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C72DAE">
      <w:pPr>
        <w:jc w:val="center"/>
        <w:rPr>
          <w:rFonts w:hint="eastAsia" w:cs="宋体"/>
          <w:spacing w:val="5760"/>
          <w:kern w:val="0"/>
          <w:sz w:val="36"/>
          <w:szCs w:val="36"/>
        </w:rPr>
      </w:pPr>
    </w:p>
    <w:p w14:paraId="6AA295CD">
      <w:pPr>
        <w:jc w:val="center"/>
        <w:rPr>
          <w:rFonts w:hint="eastAsia" w:cs="宋体"/>
          <w:b/>
          <w:bCs/>
          <w:sz w:val="112"/>
          <w:szCs w:val="112"/>
        </w:rPr>
      </w:pPr>
      <w:r>
        <w:rPr>
          <w:rFonts w:hint="eastAsia" w:cs="宋体"/>
          <w:b/>
          <w:bCs/>
          <w:kern w:val="0"/>
          <w:sz w:val="112"/>
          <w:szCs w:val="112"/>
        </w:rPr>
        <w:t>政府采购项目</w:t>
      </w:r>
    </w:p>
    <w:p w14:paraId="731B6AA1">
      <w:pPr>
        <w:jc w:val="center"/>
        <w:rPr>
          <w:rFonts w:hint="eastAsia" w:cs="宋体"/>
          <w:b/>
          <w:bCs/>
          <w:sz w:val="72"/>
          <w:szCs w:val="72"/>
        </w:rPr>
      </w:pPr>
      <w:r>
        <w:rPr>
          <w:rFonts w:hint="eastAsia" w:cs="宋体"/>
          <w:b/>
          <w:bCs/>
          <w:sz w:val="72"/>
          <w:szCs w:val="72"/>
        </w:rPr>
        <w:t>竞争性磋商文件</w:t>
      </w:r>
    </w:p>
    <w:p w14:paraId="71759C7B">
      <w:pPr>
        <w:jc w:val="center"/>
        <w:rPr>
          <w:rFonts w:hint="eastAsia" w:cs="宋体"/>
          <w:b/>
          <w:bCs/>
          <w:sz w:val="60"/>
          <w:szCs w:val="60"/>
        </w:rPr>
      </w:pPr>
      <w:r>
        <w:rPr>
          <w:rFonts w:hint="eastAsia" w:cs="宋体"/>
          <w:b/>
          <w:bCs/>
          <w:sz w:val="60"/>
          <w:szCs w:val="60"/>
        </w:rPr>
        <w:t>（服务）</w:t>
      </w:r>
      <w:bookmarkStart w:id="0" w:name="_Hlk164181180"/>
      <w:r>
        <w:rPr>
          <w:rFonts w:hint="eastAsia" w:cs="宋体"/>
          <w:b/>
          <w:bCs/>
          <w:sz w:val="28"/>
          <w:szCs w:val="28"/>
        </w:rPr>
        <w:drawing>
          <wp:anchor distT="0" distB="0" distL="114300" distR="114300" simplePos="0" relativeHeight="251659264" behindDoc="1" locked="0" layoutInCell="1" allowOverlap="1">
            <wp:simplePos x="0" y="0"/>
            <wp:positionH relativeFrom="column">
              <wp:posOffset>931545</wp:posOffset>
            </wp:positionH>
            <wp:positionV relativeFrom="paragraph">
              <wp:posOffset>438150</wp:posOffset>
            </wp:positionV>
            <wp:extent cx="3273425" cy="2569845"/>
            <wp:effectExtent l="0" t="0" r="3175" b="1905"/>
            <wp:wrapNone/>
            <wp:docPr id="3" name="图片 2"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图片1"/>
                    <pic:cNvPicPr>
                      <a:picLocks noChangeAspect="1"/>
                    </pic:cNvPicPr>
                  </pic:nvPicPr>
                  <pic:blipFill>
                    <a:blip r:embed="rId10"/>
                    <a:stretch>
                      <a:fillRect/>
                    </a:stretch>
                  </pic:blipFill>
                  <pic:spPr>
                    <a:xfrm>
                      <a:off x="0" y="0"/>
                      <a:ext cx="3273425" cy="2569845"/>
                    </a:xfrm>
                    <a:prstGeom prst="rect">
                      <a:avLst/>
                    </a:prstGeom>
                    <a:noFill/>
                    <a:ln>
                      <a:noFill/>
                    </a:ln>
                  </pic:spPr>
                </pic:pic>
              </a:graphicData>
            </a:graphic>
          </wp:anchor>
        </w:drawing>
      </w:r>
    </w:p>
    <w:bookmarkEnd w:id="0"/>
    <w:p w14:paraId="5145357F">
      <w:pPr>
        <w:spacing w:line="240" w:lineRule="auto"/>
        <w:jc w:val="center"/>
        <w:rPr>
          <w:rFonts w:hint="eastAsia" w:cs="宋体"/>
          <w:sz w:val="52"/>
          <w:szCs w:val="52"/>
        </w:rPr>
      </w:pPr>
    </w:p>
    <w:p w14:paraId="6BD449B2">
      <w:pPr>
        <w:spacing w:line="240" w:lineRule="auto"/>
        <w:jc w:val="center"/>
        <w:rPr>
          <w:rFonts w:hint="eastAsia" w:cs="宋体"/>
          <w:sz w:val="52"/>
          <w:szCs w:val="52"/>
        </w:rPr>
      </w:pPr>
    </w:p>
    <w:p w14:paraId="2706C3A3">
      <w:pPr>
        <w:spacing w:line="240" w:lineRule="auto"/>
        <w:jc w:val="center"/>
        <w:rPr>
          <w:rFonts w:hint="eastAsia" w:cs="宋体"/>
          <w:sz w:val="52"/>
          <w:szCs w:val="52"/>
        </w:rPr>
      </w:pPr>
    </w:p>
    <w:p w14:paraId="5C4FC928">
      <w:pPr>
        <w:ind w:left="420" w:leftChars="175"/>
        <w:rPr>
          <w:rFonts w:hint="eastAsia" w:cs="宋体"/>
          <w:sz w:val="36"/>
          <w:szCs w:val="36"/>
        </w:rPr>
      </w:pPr>
    </w:p>
    <w:p w14:paraId="339DF2AC">
      <w:pPr>
        <w:rPr>
          <w:rFonts w:hint="eastAsia" w:cs="宋体"/>
          <w:sz w:val="36"/>
          <w:szCs w:val="36"/>
        </w:rPr>
      </w:pPr>
    </w:p>
    <w:p w14:paraId="2F179D8A">
      <w:pPr>
        <w:pStyle w:val="10"/>
        <w:ind w:firstLine="480"/>
        <w:rPr>
          <w:rFonts w:hint="eastAsia" w:ascii="宋体" w:hAnsi="宋体" w:cs="宋体"/>
        </w:rPr>
      </w:pPr>
    </w:p>
    <w:p w14:paraId="21FA5331">
      <w:pPr>
        <w:ind w:left="420" w:leftChars="175"/>
        <w:rPr>
          <w:rFonts w:hint="eastAsia" w:cs="宋体"/>
          <w:sz w:val="36"/>
          <w:szCs w:val="36"/>
          <w:u w:val="single"/>
        </w:rPr>
      </w:pPr>
      <w:r>
        <w:rPr>
          <w:rFonts w:hint="eastAsia" w:cs="宋体"/>
          <w:sz w:val="36"/>
          <w:szCs w:val="36"/>
        </w:rPr>
        <w:t>项目编号：</w:t>
      </w:r>
      <w:r>
        <w:rPr>
          <w:rFonts w:hint="eastAsia" w:cs="宋体"/>
          <w:sz w:val="36"/>
          <w:szCs w:val="36"/>
          <w:u w:val="single"/>
        </w:rPr>
        <w:t xml:space="preserve">XJCC-ZB-2026-092                  </w:t>
      </w:r>
    </w:p>
    <w:p w14:paraId="4EFA4C6C">
      <w:pPr>
        <w:ind w:left="2220" w:leftChars="175" w:hanging="1800" w:hangingChars="500"/>
        <w:rPr>
          <w:rFonts w:hint="eastAsia" w:cs="宋体"/>
          <w:sz w:val="36"/>
          <w:szCs w:val="36"/>
          <w:u w:val="single"/>
        </w:rPr>
      </w:pPr>
      <w:r>
        <w:rPr>
          <w:rFonts w:hint="eastAsia" w:cs="宋体"/>
          <w:sz w:val="36"/>
          <w:szCs w:val="36"/>
        </w:rPr>
        <w:t>项目名称：</w:t>
      </w:r>
      <w:r>
        <w:fldChar w:fldCharType="begin"/>
      </w:r>
      <w:r>
        <w:instrText xml:space="preserve">HYPERLINK "https://pay.zcygov.cn/budget-quota-index/" \l "/plan/list/_blank" \t "https://pay.zcygov.cn/purchaseplan_front/"</w:instrText>
      </w:r>
      <w:r>
        <w:fldChar w:fldCharType="separate"/>
      </w:r>
      <w:r>
        <w:rPr>
          <w:rFonts w:hint="eastAsia" w:cs="宋体"/>
          <w:sz w:val="36"/>
          <w:szCs w:val="36"/>
          <w:u w:val="single"/>
        </w:rPr>
        <w:t>关于自治区财政支持南疆城市更新试点行动的可行性研究项目</w:t>
      </w:r>
      <w:r>
        <w:fldChar w:fldCharType="end"/>
      </w:r>
      <w:r>
        <w:rPr>
          <w:rFonts w:hint="eastAsia" w:cs="宋体"/>
          <w:sz w:val="36"/>
          <w:szCs w:val="36"/>
          <w:u w:val="single"/>
        </w:rPr>
        <w:t xml:space="preserve">             </w:t>
      </w:r>
    </w:p>
    <w:p w14:paraId="7959F670">
      <w:pPr>
        <w:ind w:left="420" w:leftChars="175"/>
        <w:rPr>
          <w:rFonts w:hint="eastAsia" w:cs="宋体"/>
          <w:sz w:val="36"/>
          <w:szCs w:val="36"/>
        </w:rPr>
      </w:pPr>
      <w:r>
        <w:rPr>
          <w:rFonts w:hint="eastAsia" w:cs="宋体"/>
          <w:sz w:val="36"/>
          <w:szCs w:val="36"/>
        </w:rPr>
        <w:t>采购人：</w:t>
      </w:r>
      <w:r>
        <w:rPr>
          <w:rFonts w:hint="eastAsia" w:cs="宋体"/>
          <w:sz w:val="36"/>
          <w:szCs w:val="36"/>
          <w:u w:val="single"/>
        </w:rPr>
        <w:t xml:space="preserve">新疆维吾尔自治区建设执业资格注册中心（新疆维吾尔自治区城市建设档案馆）           </w:t>
      </w:r>
    </w:p>
    <w:p w14:paraId="48AF3E86">
      <w:pPr>
        <w:ind w:firstLine="360" w:firstLineChars="100"/>
        <w:rPr>
          <w:rFonts w:hint="eastAsia" w:cs="宋体"/>
        </w:rPr>
      </w:pPr>
      <w:r>
        <w:rPr>
          <w:rFonts w:hint="eastAsia" w:cs="宋体"/>
          <w:sz w:val="36"/>
          <w:szCs w:val="36"/>
        </w:rPr>
        <w:t>采购代理机构：</w:t>
      </w:r>
      <w:r>
        <w:rPr>
          <w:rFonts w:hint="eastAsia" w:cs="宋体"/>
          <w:sz w:val="36"/>
          <w:szCs w:val="36"/>
          <w:u w:val="single"/>
        </w:rPr>
        <w:t xml:space="preserve">新疆诚成工程项目管理有限公司   </w:t>
      </w:r>
    </w:p>
    <w:p w14:paraId="11FE88B6">
      <w:pPr>
        <w:jc w:val="center"/>
        <w:rPr>
          <w:rFonts w:hint="eastAsia" w:cs="宋体"/>
          <w:b/>
          <w:bCs/>
          <w:sz w:val="36"/>
          <w:szCs w:val="36"/>
        </w:rPr>
      </w:pPr>
    </w:p>
    <w:p w14:paraId="455593B7">
      <w:pPr>
        <w:jc w:val="center"/>
        <w:rPr>
          <w:rFonts w:hint="eastAsia" w:cs="宋体"/>
          <w:b/>
          <w:bCs/>
          <w:sz w:val="36"/>
          <w:szCs w:val="36"/>
        </w:rPr>
      </w:pPr>
    </w:p>
    <w:p w14:paraId="27FDC88F">
      <w:pPr>
        <w:jc w:val="center"/>
        <w:rPr>
          <w:rFonts w:hint="eastAsia" w:cs="宋体"/>
        </w:rPr>
      </w:pPr>
      <w:r>
        <w:rPr>
          <w:rFonts w:hint="eastAsia" w:cs="宋体"/>
          <w:b/>
          <w:bCs/>
          <w:sz w:val="36"/>
          <w:szCs w:val="36"/>
        </w:rPr>
        <w:t>目 录</w:t>
      </w:r>
    </w:p>
    <w:p w14:paraId="758034AC">
      <w:pPr>
        <w:pStyle w:val="17"/>
        <w:tabs>
          <w:tab w:val="right" w:leader="dot" w:pos="8306"/>
        </w:tabs>
        <w:rPr>
          <w:rFonts w:hint="eastAsia" w:ascii="宋体" w:eastAsia="宋体" w:cs="宋体"/>
        </w:rPr>
      </w:pPr>
      <w:r>
        <w:rPr>
          <w:rFonts w:hint="eastAsia" w:ascii="宋体" w:eastAsia="宋体" w:cs="宋体"/>
          <w:sz w:val="24"/>
          <w:szCs w:val="24"/>
        </w:rPr>
        <w:fldChar w:fldCharType="begin"/>
      </w:r>
      <w:r>
        <w:rPr>
          <w:rFonts w:hint="eastAsia" w:ascii="宋体" w:eastAsia="宋体" w:cs="宋体"/>
          <w:sz w:val="24"/>
          <w:szCs w:val="24"/>
        </w:rPr>
        <w:instrText xml:space="preserve"> TOC \o "1-3" \h \z \u </w:instrText>
      </w:r>
      <w:r>
        <w:rPr>
          <w:rFonts w:hint="eastAsia" w:ascii="宋体" w:eastAsia="宋体" w:cs="宋体"/>
          <w:sz w:val="24"/>
          <w:szCs w:val="24"/>
        </w:rPr>
        <w:fldChar w:fldCharType="separate"/>
      </w:r>
      <w:r>
        <w:fldChar w:fldCharType="begin"/>
      </w:r>
      <w:r>
        <w:instrText xml:space="preserve"> HYPERLINK \l "_Toc23194" </w:instrText>
      </w:r>
      <w:r>
        <w:fldChar w:fldCharType="separate"/>
      </w:r>
      <w:r>
        <w:rPr>
          <w:rFonts w:hint="eastAsia" w:ascii="宋体" w:eastAsia="宋体" w:cs="宋体"/>
          <w:kern w:val="44"/>
          <w:szCs w:val="36"/>
        </w:rPr>
        <w:t>第一章 竞争性磋商公告</w:t>
      </w:r>
      <w:r>
        <w:rPr>
          <w:rFonts w:hint="eastAsia" w:ascii="宋体" w:eastAsia="宋体" w:cs="宋体"/>
        </w:rPr>
        <w:tab/>
      </w:r>
      <w:r>
        <w:rPr>
          <w:rFonts w:hint="eastAsia" w:ascii="宋体" w:eastAsia="宋体" w:cs="宋体"/>
        </w:rPr>
        <w:fldChar w:fldCharType="begin"/>
      </w:r>
      <w:r>
        <w:rPr>
          <w:rFonts w:hint="eastAsia" w:ascii="宋体" w:eastAsia="宋体" w:cs="宋体"/>
        </w:rPr>
        <w:instrText xml:space="preserve"> PAGEREF _Toc23194 \h </w:instrText>
      </w:r>
      <w:r>
        <w:rPr>
          <w:rFonts w:hint="eastAsia" w:ascii="宋体" w:eastAsia="宋体" w:cs="宋体"/>
        </w:rPr>
        <w:fldChar w:fldCharType="separate"/>
      </w:r>
      <w:r>
        <w:rPr>
          <w:rFonts w:hint="eastAsia" w:ascii="宋体" w:eastAsia="宋体" w:cs="宋体"/>
        </w:rPr>
        <w:t>- 1 -</w:t>
      </w:r>
      <w:r>
        <w:rPr>
          <w:rFonts w:hint="eastAsia" w:ascii="宋体" w:eastAsia="宋体" w:cs="宋体"/>
        </w:rPr>
        <w:fldChar w:fldCharType="end"/>
      </w:r>
      <w:r>
        <w:rPr>
          <w:rFonts w:hint="eastAsia" w:ascii="宋体" w:eastAsia="宋体" w:cs="宋体"/>
        </w:rPr>
        <w:fldChar w:fldCharType="end"/>
      </w:r>
    </w:p>
    <w:p w14:paraId="77BFB251">
      <w:pPr>
        <w:pStyle w:val="17"/>
        <w:tabs>
          <w:tab w:val="right" w:leader="dot" w:pos="8306"/>
        </w:tabs>
        <w:rPr>
          <w:rFonts w:hint="eastAsia" w:ascii="宋体" w:eastAsia="宋体" w:cs="宋体"/>
        </w:rPr>
      </w:pPr>
      <w:r>
        <w:fldChar w:fldCharType="begin"/>
      </w:r>
      <w:r>
        <w:instrText xml:space="preserve"> HYPERLINK \l "_Toc25866" </w:instrText>
      </w:r>
      <w:r>
        <w:fldChar w:fldCharType="separate"/>
      </w:r>
      <w:r>
        <w:rPr>
          <w:rFonts w:hint="eastAsia" w:ascii="宋体" w:eastAsia="宋体" w:cs="宋体"/>
          <w:kern w:val="44"/>
          <w:szCs w:val="36"/>
        </w:rPr>
        <w:t>第二章 供应商须知</w:t>
      </w:r>
      <w:r>
        <w:rPr>
          <w:rFonts w:hint="eastAsia" w:ascii="宋体" w:eastAsia="宋体" w:cs="宋体"/>
        </w:rPr>
        <w:tab/>
      </w:r>
      <w:r>
        <w:rPr>
          <w:rFonts w:hint="eastAsia" w:ascii="宋体" w:eastAsia="宋体" w:cs="宋体"/>
        </w:rPr>
        <w:fldChar w:fldCharType="begin"/>
      </w:r>
      <w:r>
        <w:rPr>
          <w:rFonts w:hint="eastAsia" w:ascii="宋体" w:eastAsia="宋体" w:cs="宋体"/>
        </w:rPr>
        <w:instrText xml:space="preserve"> PAGEREF _Toc25866 \h </w:instrText>
      </w:r>
      <w:r>
        <w:rPr>
          <w:rFonts w:hint="eastAsia" w:ascii="宋体" w:eastAsia="宋体" w:cs="宋体"/>
        </w:rPr>
        <w:fldChar w:fldCharType="separate"/>
      </w:r>
      <w:r>
        <w:rPr>
          <w:rFonts w:hint="eastAsia" w:ascii="宋体" w:eastAsia="宋体" w:cs="宋体"/>
        </w:rPr>
        <w:t>- 4 -</w:t>
      </w:r>
      <w:r>
        <w:rPr>
          <w:rFonts w:hint="eastAsia" w:ascii="宋体" w:eastAsia="宋体" w:cs="宋体"/>
        </w:rPr>
        <w:fldChar w:fldCharType="end"/>
      </w:r>
      <w:r>
        <w:rPr>
          <w:rFonts w:hint="eastAsia" w:ascii="宋体" w:eastAsia="宋体" w:cs="宋体"/>
        </w:rPr>
        <w:fldChar w:fldCharType="end"/>
      </w:r>
    </w:p>
    <w:p w14:paraId="75320FBD">
      <w:pPr>
        <w:pStyle w:val="17"/>
        <w:tabs>
          <w:tab w:val="right" w:leader="dot" w:pos="8306"/>
        </w:tabs>
        <w:rPr>
          <w:rFonts w:hint="eastAsia" w:ascii="宋体" w:eastAsia="宋体" w:cs="宋体"/>
        </w:rPr>
      </w:pPr>
      <w:r>
        <w:fldChar w:fldCharType="begin"/>
      </w:r>
      <w:r>
        <w:instrText xml:space="preserve"> HYPERLINK \l "_Toc7438" </w:instrText>
      </w:r>
      <w:r>
        <w:fldChar w:fldCharType="separate"/>
      </w:r>
      <w:r>
        <w:rPr>
          <w:rFonts w:hint="eastAsia" w:ascii="宋体" w:eastAsia="宋体" w:cs="宋体"/>
          <w:kern w:val="44"/>
          <w:szCs w:val="36"/>
        </w:rPr>
        <w:t>第三章 项目采购需求</w:t>
      </w:r>
      <w:r>
        <w:rPr>
          <w:rFonts w:hint="eastAsia" w:ascii="宋体" w:eastAsia="宋体" w:cs="宋体"/>
        </w:rPr>
        <w:tab/>
      </w:r>
      <w:r>
        <w:rPr>
          <w:rFonts w:hint="eastAsia" w:ascii="宋体" w:eastAsia="宋体" w:cs="宋体"/>
        </w:rPr>
        <w:fldChar w:fldCharType="begin"/>
      </w:r>
      <w:r>
        <w:rPr>
          <w:rFonts w:hint="eastAsia" w:ascii="宋体" w:eastAsia="宋体" w:cs="宋体"/>
        </w:rPr>
        <w:instrText xml:space="preserve"> PAGEREF _Toc7438 \h </w:instrText>
      </w:r>
      <w:r>
        <w:rPr>
          <w:rFonts w:hint="eastAsia" w:ascii="宋体" w:eastAsia="宋体" w:cs="宋体"/>
        </w:rPr>
        <w:fldChar w:fldCharType="separate"/>
      </w:r>
      <w:r>
        <w:rPr>
          <w:rFonts w:hint="eastAsia" w:ascii="宋体" w:eastAsia="宋体" w:cs="宋体"/>
        </w:rPr>
        <w:t>- 36 -</w:t>
      </w:r>
      <w:r>
        <w:rPr>
          <w:rFonts w:hint="eastAsia" w:ascii="宋体" w:eastAsia="宋体" w:cs="宋体"/>
        </w:rPr>
        <w:fldChar w:fldCharType="end"/>
      </w:r>
      <w:r>
        <w:rPr>
          <w:rFonts w:hint="eastAsia" w:ascii="宋体" w:eastAsia="宋体" w:cs="宋体"/>
        </w:rPr>
        <w:fldChar w:fldCharType="end"/>
      </w:r>
    </w:p>
    <w:p w14:paraId="299C87A7">
      <w:pPr>
        <w:pStyle w:val="17"/>
        <w:tabs>
          <w:tab w:val="right" w:leader="dot" w:pos="8306"/>
        </w:tabs>
        <w:rPr>
          <w:rFonts w:hint="eastAsia" w:ascii="宋体" w:eastAsia="宋体" w:cs="宋体"/>
        </w:rPr>
      </w:pPr>
      <w:r>
        <w:fldChar w:fldCharType="begin"/>
      </w:r>
      <w:r>
        <w:instrText xml:space="preserve"> HYPERLINK \l "_Toc19026" </w:instrText>
      </w:r>
      <w:r>
        <w:fldChar w:fldCharType="separate"/>
      </w:r>
      <w:r>
        <w:rPr>
          <w:rFonts w:hint="eastAsia" w:ascii="宋体" w:eastAsia="宋体" w:cs="宋体"/>
          <w:kern w:val="44"/>
          <w:szCs w:val="36"/>
        </w:rPr>
        <w:t>第四章 评审方法及标准</w:t>
      </w:r>
      <w:r>
        <w:rPr>
          <w:rFonts w:hint="eastAsia" w:ascii="宋体" w:eastAsia="宋体" w:cs="宋体"/>
        </w:rPr>
        <w:tab/>
      </w:r>
      <w:r>
        <w:rPr>
          <w:rFonts w:hint="eastAsia" w:ascii="宋体" w:eastAsia="宋体" w:cs="宋体"/>
        </w:rPr>
        <w:fldChar w:fldCharType="begin"/>
      </w:r>
      <w:r>
        <w:rPr>
          <w:rFonts w:hint="eastAsia" w:ascii="宋体" w:eastAsia="宋体" w:cs="宋体"/>
        </w:rPr>
        <w:instrText xml:space="preserve"> PAGEREF _Toc19026 \h </w:instrText>
      </w:r>
      <w:r>
        <w:rPr>
          <w:rFonts w:hint="eastAsia" w:ascii="宋体" w:eastAsia="宋体" w:cs="宋体"/>
        </w:rPr>
        <w:fldChar w:fldCharType="separate"/>
      </w:r>
      <w:r>
        <w:rPr>
          <w:rFonts w:hint="eastAsia" w:ascii="宋体" w:eastAsia="宋体" w:cs="宋体"/>
        </w:rPr>
        <w:t>- 38 -</w:t>
      </w:r>
      <w:r>
        <w:rPr>
          <w:rFonts w:hint="eastAsia" w:ascii="宋体" w:eastAsia="宋体" w:cs="宋体"/>
        </w:rPr>
        <w:fldChar w:fldCharType="end"/>
      </w:r>
      <w:r>
        <w:rPr>
          <w:rFonts w:hint="eastAsia" w:ascii="宋体" w:eastAsia="宋体" w:cs="宋体"/>
        </w:rPr>
        <w:fldChar w:fldCharType="end"/>
      </w:r>
    </w:p>
    <w:p w14:paraId="2631DB6D">
      <w:pPr>
        <w:pStyle w:val="17"/>
        <w:tabs>
          <w:tab w:val="right" w:leader="dot" w:pos="8306"/>
        </w:tabs>
        <w:rPr>
          <w:rFonts w:hint="eastAsia" w:ascii="宋体" w:eastAsia="宋体" w:cs="宋体"/>
        </w:rPr>
      </w:pPr>
      <w:r>
        <w:fldChar w:fldCharType="begin"/>
      </w:r>
      <w:r>
        <w:instrText xml:space="preserve"> HYPERLINK \l "_Toc17664" </w:instrText>
      </w:r>
      <w:r>
        <w:fldChar w:fldCharType="separate"/>
      </w:r>
      <w:r>
        <w:rPr>
          <w:rFonts w:hint="eastAsia" w:ascii="宋体" w:eastAsia="宋体" w:cs="宋体"/>
          <w:kern w:val="44"/>
          <w:szCs w:val="36"/>
        </w:rPr>
        <w:t xml:space="preserve">第五章 </w:t>
      </w:r>
      <w:r>
        <w:rPr>
          <w:rFonts w:hint="eastAsia" w:ascii="宋体" w:eastAsia="宋体" w:cs="宋体"/>
          <w:kern w:val="44"/>
          <w:szCs w:val="36"/>
          <w:lang w:val="zh-CN"/>
        </w:rPr>
        <w:t>合同草案</w:t>
      </w:r>
      <w:r>
        <w:rPr>
          <w:rFonts w:hint="eastAsia" w:ascii="宋体" w:eastAsia="宋体" w:cs="宋体"/>
        </w:rPr>
        <w:tab/>
      </w:r>
      <w:r>
        <w:rPr>
          <w:rFonts w:hint="eastAsia" w:ascii="宋体" w:eastAsia="宋体" w:cs="宋体"/>
        </w:rPr>
        <w:fldChar w:fldCharType="begin"/>
      </w:r>
      <w:r>
        <w:rPr>
          <w:rFonts w:hint="eastAsia" w:ascii="宋体" w:eastAsia="宋体" w:cs="宋体"/>
        </w:rPr>
        <w:instrText xml:space="preserve"> PAGEREF _Toc17664 \h </w:instrText>
      </w:r>
      <w:r>
        <w:rPr>
          <w:rFonts w:hint="eastAsia" w:ascii="宋体" w:eastAsia="宋体" w:cs="宋体"/>
        </w:rPr>
        <w:fldChar w:fldCharType="separate"/>
      </w:r>
      <w:r>
        <w:rPr>
          <w:rFonts w:hint="eastAsia" w:ascii="宋体" w:eastAsia="宋体" w:cs="宋体"/>
        </w:rPr>
        <w:t>- 48 -</w:t>
      </w:r>
      <w:r>
        <w:rPr>
          <w:rFonts w:hint="eastAsia" w:ascii="宋体" w:eastAsia="宋体" w:cs="宋体"/>
        </w:rPr>
        <w:fldChar w:fldCharType="end"/>
      </w:r>
      <w:r>
        <w:rPr>
          <w:rFonts w:hint="eastAsia" w:ascii="宋体" w:eastAsia="宋体" w:cs="宋体"/>
        </w:rPr>
        <w:fldChar w:fldCharType="end"/>
      </w:r>
    </w:p>
    <w:p w14:paraId="0D5D44A3">
      <w:pPr>
        <w:pStyle w:val="17"/>
        <w:tabs>
          <w:tab w:val="right" w:leader="dot" w:pos="8306"/>
        </w:tabs>
        <w:rPr>
          <w:rFonts w:hint="eastAsia" w:ascii="宋体" w:eastAsia="宋体" w:cs="宋体"/>
        </w:rPr>
      </w:pPr>
      <w:r>
        <w:fldChar w:fldCharType="begin"/>
      </w:r>
      <w:r>
        <w:instrText xml:space="preserve"> HYPERLINK \l "_Toc11712" </w:instrText>
      </w:r>
      <w:r>
        <w:fldChar w:fldCharType="separate"/>
      </w:r>
      <w:r>
        <w:rPr>
          <w:rFonts w:hint="eastAsia" w:ascii="宋体" w:eastAsia="宋体" w:cs="宋体"/>
          <w:kern w:val="44"/>
          <w:szCs w:val="36"/>
        </w:rPr>
        <w:t xml:space="preserve">第六章 </w:t>
      </w:r>
      <w:r>
        <w:rPr>
          <w:rFonts w:hint="eastAsia" w:ascii="宋体" w:eastAsia="宋体" w:cs="宋体"/>
          <w:szCs w:val="36"/>
        </w:rPr>
        <w:t>响应文件的格式</w:t>
      </w:r>
      <w:r>
        <w:rPr>
          <w:rFonts w:hint="eastAsia" w:ascii="宋体" w:eastAsia="宋体" w:cs="宋体"/>
        </w:rPr>
        <w:tab/>
      </w:r>
      <w:r>
        <w:rPr>
          <w:rFonts w:hint="eastAsia" w:ascii="宋体" w:eastAsia="宋体" w:cs="宋体"/>
        </w:rPr>
        <w:fldChar w:fldCharType="begin"/>
      </w:r>
      <w:r>
        <w:rPr>
          <w:rFonts w:hint="eastAsia" w:ascii="宋体" w:eastAsia="宋体" w:cs="宋体"/>
        </w:rPr>
        <w:instrText xml:space="preserve"> PAGEREF _Toc11712 \h </w:instrText>
      </w:r>
      <w:r>
        <w:rPr>
          <w:rFonts w:hint="eastAsia" w:ascii="宋体" w:eastAsia="宋体" w:cs="宋体"/>
        </w:rPr>
        <w:fldChar w:fldCharType="separate"/>
      </w:r>
      <w:r>
        <w:rPr>
          <w:rFonts w:hint="eastAsia" w:ascii="宋体" w:eastAsia="宋体" w:cs="宋体"/>
        </w:rPr>
        <w:t>- 57 -</w:t>
      </w:r>
      <w:r>
        <w:rPr>
          <w:rFonts w:hint="eastAsia" w:ascii="宋体" w:eastAsia="宋体" w:cs="宋体"/>
        </w:rPr>
        <w:fldChar w:fldCharType="end"/>
      </w:r>
      <w:r>
        <w:rPr>
          <w:rFonts w:hint="eastAsia" w:ascii="宋体" w:eastAsia="宋体" w:cs="宋体"/>
        </w:rPr>
        <w:fldChar w:fldCharType="end"/>
      </w:r>
    </w:p>
    <w:p w14:paraId="4D90D7D4">
      <w:pPr>
        <w:adjustRightInd w:val="0"/>
        <w:snapToGrid w:val="0"/>
        <w:spacing w:line="240" w:lineRule="auto"/>
        <w:rPr>
          <w:rFonts w:hint="eastAsia" w:cs="宋体"/>
          <w:sz w:val="32"/>
          <w:szCs w:val="32"/>
        </w:rPr>
      </w:pPr>
      <w:r>
        <w:rPr>
          <w:rFonts w:hint="eastAsia" w:cs="宋体"/>
          <w:szCs w:val="24"/>
        </w:rPr>
        <w:fldChar w:fldCharType="end"/>
      </w:r>
    </w:p>
    <w:p w14:paraId="2455F597">
      <w:pPr>
        <w:jc w:val="center"/>
        <w:rPr>
          <w:rFonts w:hint="eastAsia" w:cs="宋体"/>
          <w:sz w:val="32"/>
          <w:szCs w:val="32"/>
        </w:rPr>
        <w:sectPr>
          <w:pgSz w:w="11906" w:h="16838"/>
          <w:pgMar w:top="1440" w:right="1800" w:bottom="1440" w:left="1800" w:header="851" w:footer="992" w:gutter="0"/>
          <w:cols w:space="425" w:num="1"/>
          <w:docGrid w:type="lines" w:linePitch="312" w:charSpace="0"/>
        </w:sectPr>
      </w:pPr>
    </w:p>
    <w:p w14:paraId="0DDCC6E5">
      <w:pPr>
        <w:pStyle w:val="6"/>
        <w:spacing w:before="220" w:after="220" w:line="480" w:lineRule="auto"/>
        <w:ind w:left="420" w:hanging="420"/>
        <w:rPr>
          <w:rFonts w:hint="eastAsia" w:eastAsia="宋体" w:cs="宋体"/>
          <w:sz w:val="36"/>
          <w:szCs w:val="36"/>
        </w:rPr>
      </w:pPr>
      <w:bookmarkStart w:id="1" w:name="_Toc23194"/>
      <w:r>
        <w:rPr>
          <w:rFonts w:hint="eastAsia" w:eastAsia="宋体" w:cs="宋体"/>
          <w:sz w:val="36"/>
          <w:szCs w:val="36"/>
        </w:rPr>
        <w:t>第一章 竞争性磋商公告</w:t>
      </w:r>
      <w:bookmarkEnd w:id="1"/>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073C5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8522" w:type="dxa"/>
          </w:tcPr>
          <w:p w14:paraId="3F01D870">
            <w:pPr>
              <w:pStyle w:val="7"/>
              <w:spacing w:before="100" w:after="100" w:line="360" w:lineRule="auto"/>
              <w:ind w:left="420" w:hanging="420"/>
              <w:rPr>
                <w:rFonts w:hint="eastAsia" w:ascii="宋体" w:hAnsi="宋体" w:cs="宋体"/>
                <w:sz w:val="24"/>
                <w:szCs w:val="24"/>
                <w:highlight w:val="none"/>
              </w:rPr>
            </w:pPr>
            <w:bookmarkStart w:id="2" w:name="_Toc5436"/>
            <w:bookmarkStart w:id="3" w:name="_Toc21773"/>
            <w:bookmarkStart w:id="4" w:name="_Toc12841"/>
            <w:bookmarkStart w:id="5" w:name="_Toc23233"/>
            <w:bookmarkStart w:id="6" w:name="_Toc8264"/>
            <w:bookmarkStart w:id="7" w:name="_Toc44583628"/>
            <w:bookmarkStart w:id="8" w:name="_Toc109900248"/>
            <w:bookmarkStart w:id="9" w:name="_Toc35393629"/>
            <w:bookmarkStart w:id="10" w:name="_Toc35393798"/>
            <w:bookmarkStart w:id="11" w:name="_Toc28359089"/>
            <w:bookmarkStart w:id="12" w:name="_Toc109899829"/>
            <w:bookmarkStart w:id="13" w:name="_Toc140132745"/>
            <w:bookmarkStart w:id="14" w:name="_Toc109899410"/>
            <w:bookmarkStart w:id="15" w:name="_Toc155185860"/>
            <w:bookmarkStart w:id="16" w:name="_Toc28359012"/>
            <w:r>
              <w:rPr>
                <w:rFonts w:hint="eastAsia" w:ascii="宋体" w:hAnsi="宋体" w:cs="宋体"/>
                <w:sz w:val="24"/>
                <w:szCs w:val="24"/>
                <w:highlight w:val="none"/>
              </w:rPr>
              <w:t>项目概况：</w:t>
            </w:r>
            <w:bookmarkEnd w:id="2"/>
            <w:bookmarkEnd w:id="3"/>
            <w:bookmarkEnd w:id="4"/>
            <w:bookmarkEnd w:id="5"/>
            <w:bookmarkEnd w:id="6"/>
          </w:p>
          <w:p w14:paraId="4D6F5A8A">
            <w:pPr>
              <w:ind w:firstLine="480" w:firstLineChars="200"/>
              <w:rPr>
                <w:rFonts w:hint="eastAsia" w:cs="宋体"/>
                <w:highlight w:val="none"/>
              </w:rPr>
            </w:pPr>
            <w:r>
              <w:rPr>
                <w:rFonts w:hint="eastAsia" w:cs="宋体"/>
                <w:iCs/>
                <w:szCs w:val="24"/>
                <w:highlight w:val="none"/>
                <w:u w:val="single"/>
                <w:shd w:val="clear" w:color="auto" w:fill="FFFFFF"/>
                <w:lang w:val="hr-HR"/>
              </w:rPr>
              <w:t>关于自治区财政支持南疆城市更新试点行动的可行性研究项目</w:t>
            </w:r>
            <w:r>
              <w:rPr>
                <w:rFonts w:hint="eastAsia" w:cs="宋体"/>
                <w:iCs/>
                <w:szCs w:val="24"/>
                <w:highlight w:val="none"/>
                <w:shd w:val="clear" w:color="auto" w:fill="FFFFFF"/>
                <w:lang w:val="hr-HR"/>
              </w:rPr>
              <w:t>招标项目的潜在投标人应在</w:t>
            </w:r>
            <w:r>
              <w:rPr>
                <w:rFonts w:hint="eastAsia" w:cs="宋体"/>
                <w:iCs/>
                <w:szCs w:val="24"/>
                <w:highlight w:val="none"/>
                <w:u w:val="single"/>
                <w:shd w:val="clear" w:color="auto" w:fill="FFFFFF"/>
                <w:lang w:val="hr-HR"/>
              </w:rPr>
              <w:t>（政采云平台线上）</w:t>
            </w:r>
            <w:r>
              <w:rPr>
                <w:rFonts w:hint="eastAsia" w:cs="宋体"/>
                <w:iCs/>
                <w:szCs w:val="24"/>
                <w:highlight w:val="none"/>
                <w:shd w:val="clear" w:color="auto" w:fill="FFFFFF"/>
                <w:lang w:val="hr-HR"/>
              </w:rPr>
              <w:t>获取招标文件，并于</w:t>
            </w:r>
            <w:r>
              <w:rPr>
                <w:rFonts w:hint="eastAsia" w:cs="宋体"/>
                <w:iCs/>
                <w:szCs w:val="24"/>
                <w:highlight w:val="none"/>
                <w:u w:val="single"/>
                <w:shd w:val="clear" w:color="auto" w:fill="FFFFFF"/>
              </w:rPr>
              <w:t>2026</w:t>
            </w:r>
            <w:r>
              <w:rPr>
                <w:rFonts w:hint="eastAsia" w:cs="宋体"/>
                <w:iCs/>
                <w:szCs w:val="24"/>
                <w:highlight w:val="none"/>
                <w:u w:val="single"/>
                <w:shd w:val="clear" w:color="auto" w:fill="FFFFFF"/>
                <w:lang w:val="hr-HR"/>
              </w:rPr>
              <w:t>年</w:t>
            </w:r>
            <w:r>
              <w:rPr>
                <w:rFonts w:hint="eastAsia" w:cs="宋体"/>
                <w:iCs/>
                <w:szCs w:val="24"/>
                <w:highlight w:val="none"/>
                <w:u w:val="single"/>
                <w:shd w:val="clear" w:color="auto" w:fill="FFFFFF"/>
                <w:lang w:val="en-US" w:eastAsia="zh-CN"/>
              </w:rPr>
              <w:t>06</w:t>
            </w:r>
            <w:r>
              <w:rPr>
                <w:rFonts w:hint="eastAsia" w:cs="宋体"/>
                <w:iCs/>
                <w:szCs w:val="24"/>
                <w:highlight w:val="none"/>
                <w:u w:val="single"/>
                <w:shd w:val="clear" w:color="auto" w:fill="FFFFFF"/>
              </w:rPr>
              <w:t>月</w:t>
            </w:r>
            <w:r>
              <w:rPr>
                <w:rFonts w:hint="eastAsia" w:cs="宋体"/>
                <w:iCs/>
                <w:szCs w:val="24"/>
                <w:highlight w:val="none"/>
                <w:u w:val="single"/>
                <w:shd w:val="clear" w:color="auto" w:fill="FFFFFF"/>
                <w:lang w:val="en-US" w:eastAsia="zh-CN"/>
              </w:rPr>
              <w:t>03</w:t>
            </w:r>
            <w:r>
              <w:rPr>
                <w:rFonts w:hint="eastAsia" w:cs="宋体"/>
                <w:iCs/>
                <w:szCs w:val="24"/>
                <w:highlight w:val="none"/>
                <w:u w:val="single"/>
                <w:shd w:val="clear" w:color="auto" w:fill="FFFFFF"/>
              </w:rPr>
              <w:t>日1</w:t>
            </w:r>
            <w:r>
              <w:rPr>
                <w:rFonts w:hint="eastAsia" w:cs="宋体"/>
                <w:iCs/>
                <w:szCs w:val="24"/>
                <w:highlight w:val="none"/>
                <w:u w:val="single"/>
                <w:shd w:val="clear" w:color="auto" w:fill="FFFFFF"/>
                <w:lang w:val="en-US" w:eastAsia="zh-CN"/>
              </w:rPr>
              <w:t>6</w:t>
            </w:r>
            <w:r>
              <w:rPr>
                <w:rFonts w:hint="eastAsia" w:cs="宋体"/>
                <w:iCs/>
                <w:szCs w:val="24"/>
                <w:highlight w:val="none"/>
                <w:u w:val="single"/>
                <w:shd w:val="clear" w:color="auto" w:fill="FFFFFF"/>
              </w:rPr>
              <w:t>时00</w:t>
            </w:r>
            <w:r>
              <w:rPr>
                <w:rFonts w:hint="eastAsia" w:cs="宋体"/>
                <w:iCs/>
                <w:szCs w:val="24"/>
                <w:highlight w:val="none"/>
                <w:u w:val="single"/>
                <w:shd w:val="clear" w:color="auto" w:fill="FFFFFF"/>
                <w:lang w:val="hr-HR"/>
              </w:rPr>
              <w:t>分</w:t>
            </w:r>
            <w:r>
              <w:rPr>
                <w:rFonts w:hint="eastAsia" w:cs="宋体"/>
                <w:iCs/>
                <w:szCs w:val="24"/>
                <w:highlight w:val="none"/>
                <w:shd w:val="clear" w:color="auto" w:fill="FFFFFF"/>
                <w:lang w:val="hr-HR"/>
              </w:rPr>
              <w:t>（北京时间）前递交投标文件。</w:t>
            </w:r>
          </w:p>
        </w:tc>
      </w:tr>
      <w:bookmarkEnd w:id="7"/>
      <w:bookmarkEnd w:id="8"/>
      <w:bookmarkEnd w:id="9"/>
      <w:bookmarkEnd w:id="10"/>
      <w:bookmarkEnd w:id="11"/>
      <w:bookmarkEnd w:id="12"/>
      <w:bookmarkEnd w:id="13"/>
      <w:bookmarkEnd w:id="14"/>
      <w:bookmarkEnd w:id="15"/>
      <w:bookmarkEnd w:id="16"/>
    </w:tbl>
    <w:p w14:paraId="0A15CF50">
      <w:pPr>
        <w:pStyle w:val="7"/>
        <w:adjustRightInd w:val="0"/>
        <w:snapToGrid w:val="0"/>
        <w:spacing w:before="0" w:after="0" w:line="360" w:lineRule="auto"/>
        <w:ind w:left="420" w:hanging="420"/>
        <w:rPr>
          <w:rFonts w:hint="eastAsia" w:ascii="宋体" w:hAnsi="宋体" w:cs="宋体"/>
          <w:sz w:val="24"/>
          <w:szCs w:val="24"/>
          <w:highlight w:val="none"/>
          <w:lang w:val="hr-HR"/>
        </w:rPr>
      </w:pPr>
      <w:bookmarkStart w:id="17" w:name="_Toc11462"/>
      <w:bookmarkStart w:id="18" w:name="_Toc17448"/>
      <w:bookmarkStart w:id="19" w:name="_Toc27653"/>
      <w:bookmarkStart w:id="20" w:name="_Toc13157"/>
      <w:r>
        <w:rPr>
          <w:rFonts w:hint="eastAsia" w:ascii="宋体" w:hAnsi="宋体" w:cs="宋体"/>
          <w:sz w:val="24"/>
          <w:szCs w:val="24"/>
          <w:highlight w:val="none"/>
          <w:lang w:val="hr-HR"/>
        </w:rPr>
        <w:t>一、项目基本情况</w:t>
      </w:r>
      <w:bookmarkEnd w:id="17"/>
      <w:bookmarkEnd w:id="18"/>
      <w:bookmarkEnd w:id="19"/>
      <w:bookmarkEnd w:id="20"/>
    </w:p>
    <w:p w14:paraId="3B18A4FD">
      <w:pPr>
        <w:pStyle w:val="25"/>
        <w:adjustRightInd w:val="0"/>
        <w:snapToGrid w:val="0"/>
        <w:ind w:firstLine="480"/>
        <w:rPr>
          <w:rFonts w:hint="eastAsia" w:cs="宋体"/>
          <w:szCs w:val="24"/>
          <w:highlight w:val="none"/>
          <w:u w:val="single"/>
        </w:rPr>
      </w:pPr>
      <w:r>
        <w:rPr>
          <w:rFonts w:hint="eastAsia" w:cs="宋体"/>
          <w:szCs w:val="24"/>
          <w:highlight w:val="none"/>
          <w:lang w:val="hr-HR"/>
        </w:rPr>
        <w:t>项目编号：</w:t>
      </w:r>
      <w:r>
        <w:rPr>
          <w:rFonts w:hint="eastAsia" w:cs="宋体"/>
          <w:szCs w:val="24"/>
          <w:highlight w:val="none"/>
          <w:u w:val="single"/>
          <w:lang w:val="hr-HR"/>
        </w:rPr>
        <w:t>XJCC-ZB-2026-092</w:t>
      </w:r>
    </w:p>
    <w:p w14:paraId="336D29C6">
      <w:pPr>
        <w:pStyle w:val="25"/>
        <w:adjustRightInd w:val="0"/>
        <w:snapToGrid w:val="0"/>
        <w:ind w:firstLine="480"/>
        <w:rPr>
          <w:rFonts w:hint="eastAsia" w:cs="宋体"/>
          <w:szCs w:val="24"/>
          <w:highlight w:val="none"/>
        </w:rPr>
      </w:pPr>
      <w:r>
        <w:rPr>
          <w:rFonts w:hint="eastAsia" w:cs="宋体"/>
          <w:szCs w:val="24"/>
          <w:highlight w:val="none"/>
          <w:lang w:val="hr-HR"/>
        </w:rPr>
        <w:t>项目名称：</w:t>
      </w:r>
      <w:r>
        <w:rPr>
          <w:rFonts w:hint="eastAsia" w:cs="宋体"/>
          <w:iCs/>
          <w:szCs w:val="24"/>
          <w:highlight w:val="none"/>
          <w:u w:val="single"/>
          <w:shd w:val="clear" w:color="auto" w:fill="FFFFFF"/>
          <w:lang w:val="hr-HR"/>
        </w:rPr>
        <w:t>关于自治区财政支持南疆城市更新试点行动的可行性研究项目</w:t>
      </w:r>
    </w:p>
    <w:p w14:paraId="22448CEB">
      <w:pPr>
        <w:pStyle w:val="25"/>
        <w:adjustRightInd w:val="0"/>
        <w:snapToGrid w:val="0"/>
        <w:ind w:firstLine="480"/>
        <w:rPr>
          <w:rFonts w:hint="eastAsia" w:cs="宋体"/>
          <w:szCs w:val="24"/>
          <w:highlight w:val="none"/>
          <w:u w:val="single"/>
        </w:rPr>
      </w:pPr>
      <w:r>
        <w:rPr>
          <w:rFonts w:hint="eastAsia" w:cs="宋体"/>
          <w:szCs w:val="24"/>
          <w:highlight w:val="none"/>
        </w:rPr>
        <w:t>采购方式：</w:t>
      </w:r>
      <w:r>
        <w:rPr>
          <w:rFonts w:hint="eastAsia" w:cs="宋体"/>
          <w:szCs w:val="24"/>
          <w:highlight w:val="none"/>
          <w:u w:val="single"/>
        </w:rPr>
        <w:t>竞争性磋商</w:t>
      </w:r>
    </w:p>
    <w:p w14:paraId="1B97D5A8">
      <w:pPr>
        <w:pStyle w:val="25"/>
        <w:adjustRightInd w:val="0"/>
        <w:snapToGrid w:val="0"/>
        <w:ind w:firstLine="480"/>
        <w:rPr>
          <w:rFonts w:hint="eastAsia" w:cs="宋体"/>
          <w:szCs w:val="24"/>
          <w:highlight w:val="none"/>
        </w:rPr>
      </w:pPr>
      <w:r>
        <w:rPr>
          <w:rFonts w:hint="eastAsia" w:cs="宋体"/>
          <w:szCs w:val="24"/>
          <w:highlight w:val="none"/>
          <w:lang w:val="hr-HR"/>
        </w:rPr>
        <w:t>预算金额：</w:t>
      </w:r>
      <w:r>
        <w:rPr>
          <w:rFonts w:hint="eastAsia" w:cs="宋体"/>
          <w:szCs w:val="24"/>
          <w:highlight w:val="none"/>
          <w:u w:val="single"/>
        </w:rPr>
        <w:t>110000.00元</w:t>
      </w:r>
    </w:p>
    <w:p w14:paraId="6C620CC0">
      <w:pPr>
        <w:pStyle w:val="25"/>
        <w:adjustRightInd w:val="0"/>
        <w:snapToGrid w:val="0"/>
        <w:ind w:firstLine="480"/>
        <w:rPr>
          <w:rFonts w:hint="eastAsia" w:cs="宋体"/>
          <w:szCs w:val="24"/>
          <w:highlight w:val="none"/>
          <w:lang w:val="hr-HR"/>
        </w:rPr>
      </w:pPr>
      <w:r>
        <w:rPr>
          <w:rFonts w:hint="eastAsia" w:cs="宋体"/>
          <w:szCs w:val="24"/>
          <w:highlight w:val="none"/>
        </w:rPr>
        <w:t>最高限价</w:t>
      </w:r>
      <w:r>
        <w:rPr>
          <w:rFonts w:hint="eastAsia" w:cs="宋体"/>
          <w:szCs w:val="24"/>
          <w:highlight w:val="none"/>
          <w:lang w:val="hr-HR"/>
        </w:rPr>
        <w:t>：</w:t>
      </w:r>
      <w:r>
        <w:rPr>
          <w:rFonts w:hint="eastAsia" w:cs="宋体"/>
          <w:szCs w:val="24"/>
          <w:highlight w:val="none"/>
          <w:u w:val="single"/>
        </w:rPr>
        <w:t>110000.00元</w:t>
      </w:r>
    </w:p>
    <w:p w14:paraId="04B9FCC3">
      <w:pPr>
        <w:pStyle w:val="25"/>
        <w:adjustRightInd w:val="0"/>
        <w:snapToGrid w:val="0"/>
        <w:ind w:firstLine="480"/>
        <w:rPr>
          <w:rFonts w:hint="eastAsia" w:cs="宋体"/>
          <w:szCs w:val="24"/>
          <w:highlight w:val="none"/>
          <w:lang w:val="hr-HR"/>
        </w:rPr>
      </w:pPr>
      <w:r>
        <w:rPr>
          <w:rFonts w:hint="eastAsia" w:cs="宋体"/>
          <w:szCs w:val="24"/>
          <w:highlight w:val="none"/>
          <w:lang w:val="hr-HR"/>
        </w:rPr>
        <w:t>采购需求：</w:t>
      </w:r>
    </w:p>
    <w:p w14:paraId="67AF5637">
      <w:pPr>
        <w:pStyle w:val="25"/>
        <w:adjustRightInd w:val="0"/>
        <w:snapToGrid w:val="0"/>
        <w:ind w:firstLine="480"/>
        <w:rPr>
          <w:rFonts w:hint="eastAsia" w:cs="宋体"/>
          <w:szCs w:val="24"/>
          <w:highlight w:val="none"/>
        </w:rPr>
      </w:pPr>
      <w:r>
        <w:rPr>
          <w:rFonts w:hint="eastAsia" w:cs="宋体"/>
          <w:szCs w:val="24"/>
          <w:highlight w:val="none"/>
          <w:lang w:val="hr-HR"/>
        </w:rPr>
        <w:t>标项名称</w:t>
      </w:r>
      <w:r>
        <w:rPr>
          <w:rFonts w:hint="eastAsia" w:cs="宋体"/>
          <w:szCs w:val="24"/>
          <w:highlight w:val="none"/>
          <w:lang w:val="hr-HR" w:eastAsia="zh-CN"/>
        </w:rPr>
        <w:t>：</w:t>
      </w:r>
      <w:r>
        <w:rPr>
          <w:rFonts w:hint="eastAsia" w:cs="宋体"/>
          <w:iCs/>
          <w:szCs w:val="24"/>
          <w:highlight w:val="none"/>
          <w:u w:val="single"/>
          <w:shd w:val="clear" w:color="auto" w:fill="FFFFFF"/>
          <w:lang w:val="hr-HR"/>
        </w:rPr>
        <w:t>关于自治区财政支持南疆城市更新试点行动的可行性研究项目</w:t>
      </w:r>
    </w:p>
    <w:p w14:paraId="08228EEB">
      <w:pPr>
        <w:pStyle w:val="25"/>
        <w:adjustRightInd w:val="0"/>
        <w:snapToGrid w:val="0"/>
        <w:ind w:firstLine="480"/>
        <w:rPr>
          <w:rFonts w:hint="eastAsia" w:cs="宋体"/>
          <w:szCs w:val="24"/>
          <w:highlight w:val="none"/>
          <w:lang w:val="hr-HR"/>
        </w:rPr>
      </w:pPr>
      <w:r>
        <w:rPr>
          <w:rFonts w:hint="eastAsia" w:cs="宋体"/>
          <w:szCs w:val="24"/>
          <w:highlight w:val="none"/>
          <w:lang w:val="hr-HR"/>
        </w:rPr>
        <w:t>数量：1</w:t>
      </w:r>
    </w:p>
    <w:p w14:paraId="3ED9B3A2">
      <w:pPr>
        <w:pStyle w:val="25"/>
        <w:adjustRightInd w:val="0"/>
        <w:snapToGrid w:val="0"/>
        <w:ind w:firstLine="480"/>
        <w:rPr>
          <w:rFonts w:hint="eastAsia" w:cs="宋体"/>
          <w:szCs w:val="24"/>
          <w:highlight w:val="none"/>
          <w:lang w:val="hr-HR"/>
        </w:rPr>
      </w:pPr>
      <w:r>
        <w:rPr>
          <w:rFonts w:hint="eastAsia" w:cs="宋体"/>
          <w:szCs w:val="24"/>
          <w:highlight w:val="none"/>
          <w:lang w:val="hr-HR"/>
        </w:rPr>
        <w:t>预算金额（元）：</w:t>
      </w:r>
      <w:r>
        <w:rPr>
          <w:rFonts w:hint="eastAsia" w:cs="宋体"/>
          <w:szCs w:val="24"/>
          <w:highlight w:val="none"/>
          <w:u w:val="single"/>
        </w:rPr>
        <w:t>110000.00元</w:t>
      </w:r>
    </w:p>
    <w:p w14:paraId="4A19637B">
      <w:pPr>
        <w:pStyle w:val="25"/>
        <w:adjustRightInd w:val="0"/>
        <w:snapToGrid w:val="0"/>
        <w:ind w:firstLine="480"/>
        <w:rPr>
          <w:rFonts w:hint="eastAsia" w:cs="宋体"/>
          <w:szCs w:val="24"/>
          <w:highlight w:val="none"/>
          <w:lang w:val="hr-HR"/>
        </w:rPr>
      </w:pPr>
      <w:r>
        <w:rPr>
          <w:rFonts w:hint="eastAsia" w:cs="宋体"/>
          <w:szCs w:val="24"/>
          <w:highlight w:val="none"/>
          <w:lang w:val="hr-HR"/>
        </w:rPr>
        <w:t>单位：</w:t>
      </w:r>
      <w:r>
        <w:rPr>
          <w:rFonts w:hint="eastAsia" w:cs="宋体"/>
          <w:szCs w:val="24"/>
          <w:highlight w:val="none"/>
        </w:rPr>
        <w:t>项</w:t>
      </w:r>
      <w:r>
        <w:rPr>
          <w:rFonts w:hint="eastAsia" w:cs="宋体"/>
          <w:szCs w:val="24"/>
          <w:highlight w:val="none"/>
          <w:lang w:val="hr-HR"/>
        </w:rPr>
        <w:t xml:space="preserve"> </w:t>
      </w:r>
    </w:p>
    <w:p w14:paraId="1106873C">
      <w:pPr>
        <w:pStyle w:val="25"/>
        <w:adjustRightInd w:val="0"/>
        <w:snapToGrid w:val="0"/>
        <w:ind w:firstLine="480"/>
        <w:rPr>
          <w:rFonts w:hint="eastAsia" w:cs="宋体"/>
          <w:szCs w:val="24"/>
          <w:highlight w:val="none"/>
        </w:rPr>
      </w:pPr>
      <w:r>
        <w:rPr>
          <w:rFonts w:hint="eastAsia" w:cs="宋体"/>
          <w:szCs w:val="24"/>
          <w:highlight w:val="none"/>
          <w:lang w:val="hr-HR"/>
        </w:rPr>
        <w:t>简要规格描述或项目基本概况介绍、用途：</w:t>
      </w:r>
      <w:r>
        <w:rPr>
          <w:rFonts w:hint="eastAsia" w:cs="宋体"/>
          <w:szCs w:val="24"/>
          <w:highlight w:val="none"/>
        </w:rPr>
        <w:t>详见竞争性磋商文件。</w:t>
      </w:r>
    </w:p>
    <w:p w14:paraId="72425C3C">
      <w:pPr>
        <w:pStyle w:val="25"/>
        <w:adjustRightInd w:val="0"/>
        <w:snapToGrid w:val="0"/>
        <w:ind w:firstLine="480"/>
        <w:rPr>
          <w:rFonts w:hint="eastAsia" w:cs="宋体"/>
          <w:szCs w:val="24"/>
          <w:highlight w:val="none"/>
          <w:lang w:val="hr-HR"/>
        </w:rPr>
      </w:pPr>
      <w:r>
        <w:rPr>
          <w:rFonts w:hint="eastAsia" w:cs="宋体"/>
          <w:szCs w:val="24"/>
          <w:highlight w:val="none"/>
          <w:lang w:val="hr-HR"/>
        </w:rPr>
        <w:t>备注：</w:t>
      </w:r>
    </w:p>
    <w:p w14:paraId="643F0CA4">
      <w:pPr>
        <w:pStyle w:val="25"/>
        <w:adjustRightInd w:val="0"/>
        <w:snapToGrid w:val="0"/>
        <w:ind w:firstLine="480"/>
        <w:rPr>
          <w:rFonts w:hint="eastAsia" w:cs="宋体"/>
          <w:szCs w:val="24"/>
          <w:highlight w:val="none"/>
        </w:rPr>
      </w:pPr>
      <w:r>
        <w:rPr>
          <w:rFonts w:hint="eastAsia" w:cs="宋体"/>
          <w:szCs w:val="24"/>
          <w:highlight w:val="none"/>
          <w:lang w:val="hr-HR"/>
        </w:rPr>
        <w:t>合同履约期限：</w:t>
      </w:r>
      <w:r>
        <w:rPr>
          <w:rFonts w:hint="eastAsia" w:cs="宋体"/>
          <w:szCs w:val="24"/>
          <w:highlight w:val="none"/>
        </w:rPr>
        <w:t>按合同约定期限执行。</w:t>
      </w:r>
    </w:p>
    <w:p w14:paraId="0BB4A456">
      <w:pPr>
        <w:pStyle w:val="25"/>
        <w:adjustRightInd w:val="0"/>
        <w:snapToGrid w:val="0"/>
        <w:ind w:firstLine="480"/>
        <w:rPr>
          <w:rFonts w:hint="eastAsia" w:cs="宋体"/>
          <w:szCs w:val="24"/>
          <w:highlight w:val="none"/>
          <w:lang w:val="hr-HR"/>
        </w:rPr>
      </w:pPr>
      <w:r>
        <w:rPr>
          <w:rFonts w:hint="eastAsia" w:cs="宋体"/>
          <w:szCs w:val="24"/>
          <w:highlight w:val="none"/>
          <w:lang w:val="hr-HR"/>
        </w:rPr>
        <w:t>本项目（否）接受联合体投标。</w:t>
      </w:r>
    </w:p>
    <w:p w14:paraId="7E8A81D7">
      <w:pPr>
        <w:pStyle w:val="7"/>
        <w:adjustRightInd w:val="0"/>
        <w:snapToGrid w:val="0"/>
        <w:spacing w:before="0" w:after="0" w:line="360" w:lineRule="auto"/>
        <w:ind w:left="420" w:hanging="420"/>
        <w:rPr>
          <w:rFonts w:hint="eastAsia" w:ascii="宋体" w:hAnsi="宋体" w:cs="宋体"/>
          <w:sz w:val="24"/>
          <w:szCs w:val="24"/>
          <w:highlight w:val="none"/>
          <w:lang w:val="hr-HR"/>
        </w:rPr>
      </w:pPr>
      <w:bookmarkStart w:id="21" w:name="_Toc163492813"/>
      <w:bookmarkStart w:id="22" w:name="_Toc1273"/>
      <w:bookmarkStart w:id="23" w:name="_Toc155185861"/>
      <w:bookmarkStart w:id="24" w:name="_Toc109899411"/>
      <w:bookmarkStart w:id="25" w:name="_Toc109900249"/>
      <w:bookmarkStart w:id="26" w:name="_Toc15913"/>
      <w:bookmarkStart w:id="27" w:name="_Toc10329"/>
      <w:bookmarkStart w:id="28" w:name="_Toc16234"/>
      <w:bookmarkStart w:id="29" w:name="_Toc109899830"/>
      <w:bookmarkStart w:id="30" w:name="_Toc140132746"/>
      <w:r>
        <w:rPr>
          <w:rFonts w:hint="eastAsia" w:ascii="宋体" w:hAnsi="宋体" w:cs="宋体"/>
          <w:sz w:val="24"/>
          <w:szCs w:val="24"/>
          <w:highlight w:val="none"/>
        </w:rPr>
        <w:t>二、申请人的</w:t>
      </w:r>
      <w:r>
        <w:rPr>
          <w:rFonts w:hint="eastAsia" w:ascii="宋体" w:hAnsi="宋体" w:cs="宋体"/>
          <w:sz w:val="24"/>
          <w:szCs w:val="24"/>
          <w:highlight w:val="none"/>
          <w:lang w:val="hr-HR"/>
        </w:rPr>
        <w:t>资格要求</w:t>
      </w:r>
      <w:bookmarkEnd w:id="21"/>
      <w:bookmarkEnd w:id="22"/>
      <w:bookmarkEnd w:id="23"/>
      <w:bookmarkEnd w:id="24"/>
      <w:bookmarkEnd w:id="25"/>
      <w:bookmarkEnd w:id="26"/>
      <w:bookmarkEnd w:id="27"/>
      <w:bookmarkEnd w:id="28"/>
      <w:bookmarkEnd w:id="29"/>
      <w:bookmarkEnd w:id="30"/>
    </w:p>
    <w:p w14:paraId="4FF996E4">
      <w:pPr>
        <w:adjustRightInd w:val="0"/>
        <w:snapToGrid w:val="0"/>
        <w:ind w:firstLine="480" w:firstLineChars="200"/>
        <w:rPr>
          <w:rFonts w:hint="eastAsia" w:cs="宋体"/>
          <w:strike/>
          <w:szCs w:val="24"/>
          <w:highlight w:val="none"/>
        </w:rPr>
      </w:pPr>
      <w:bookmarkStart w:id="31" w:name="_Toc44583630"/>
      <w:bookmarkStart w:id="32" w:name="_Toc35393631"/>
      <w:bookmarkStart w:id="33" w:name="_Toc35393800"/>
      <w:bookmarkStart w:id="34" w:name="_Toc28359014"/>
      <w:bookmarkStart w:id="35" w:name="_Toc28359091"/>
      <w:r>
        <w:rPr>
          <w:rFonts w:hint="eastAsia" w:cs="宋体"/>
          <w:szCs w:val="24"/>
          <w:highlight w:val="none"/>
        </w:rPr>
        <w:t>1.满足《中华人民共和国政府采购法》第二十二条规定；</w:t>
      </w:r>
    </w:p>
    <w:p w14:paraId="502E6132">
      <w:pPr>
        <w:adjustRightInd w:val="0"/>
        <w:snapToGrid w:val="0"/>
        <w:ind w:firstLine="480" w:firstLineChars="200"/>
        <w:rPr>
          <w:rFonts w:hint="eastAsia" w:cs="宋体"/>
          <w:szCs w:val="24"/>
          <w:highlight w:val="none"/>
        </w:rPr>
      </w:pPr>
      <w:bookmarkStart w:id="36" w:name="_Hlk89807755"/>
      <w:r>
        <w:rPr>
          <w:rFonts w:hint="eastAsia" w:cs="宋体"/>
          <w:szCs w:val="24"/>
          <w:highlight w:val="none"/>
        </w:rPr>
        <w:t>2.落实政府采购政策需满足的资格要求：</w:t>
      </w:r>
      <w:r>
        <w:rPr>
          <w:rFonts w:hint="eastAsia" w:cs="宋体"/>
          <w:highlight w:val="none"/>
        </w:rPr>
        <w:t>本项目不专门面向中小企业。</w:t>
      </w:r>
    </w:p>
    <w:p w14:paraId="1994D851">
      <w:pPr>
        <w:adjustRightInd w:val="0"/>
        <w:snapToGrid w:val="0"/>
        <w:ind w:firstLine="480" w:firstLineChars="200"/>
        <w:rPr>
          <w:rFonts w:hint="eastAsia" w:cs="宋体"/>
          <w:szCs w:val="24"/>
          <w:highlight w:val="none"/>
          <w:u w:val="single"/>
        </w:rPr>
      </w:pPr>
      <w:r>
        <w:rPr>
          <w:rFonts w:hint="eastAsia" w:cs="宋体"/>
          <w:szCs w:val="24"/>
          <w:highlight w:val="none"/>
        </w:rPr>
        <w:t>3.本项目的特定资格要求：根据《财政部关于在政府采购活动中查询及使用信用记录有关问题的通知》（财库〔2016〕125号）的规定，将在资格审查时通过“信用中国”网站、中国政府采购网等渠道查询供应商信用记录。被列入失信被执行人、重大税收违法案件当事人名单、政府采购严重违法失信行为记录名单的供应商，将被拒绝参与本项目政府采购活动。</w:t>
      </w:r>
    </w:p>
    <w:bookmarkEnd w:id="36"/>
    <w:p w14:paraId="366F7EF4">
      <w:pPr>
        <w:pStyle w:val="7"/>
        <w:adjustRightInd w:val="0"/>
        <w:snapToGrid w:val="0"/>
        <w:spacing w:before="0" w:after="0" w:line="360" w:lineRule="auto"/>
        <w:ind w:left="420" w:hanging="420"/>
        <w:rPr>
          <w:rFonts w:hint="eastAsia" w:ascii="宋体" w:hAnsi="宋体" w:cs="宋体"/>
          <w:sz w:val="24"/>
          <w:szCs w:val="24"/>
          <w:highlight w:val="none"/>
          <w:lang w:val="hr-HR"/>
        </w:rPr>
      </w:pPr>
      <w:bookmarkStart w:id="37" w:name="_Toc109899831"/>
      <w:bookmarkStart w:id="38" w:name="_Toc155185862"/>
      <w:bookmarkStart w:id="39" w:name="_Toc1693"/>
      <w:bookmarkStart w:id="40" w:name="_Toc27103"/>
      <w:bookmarkStart w:id="41" w:name="_Toc16556"/>
      <w:bookmarkStart w:id="42" w:name="_Toc140132747"/>
      <w:bookmarkStart w:id="43" w:name="_Toc109900250"/>
      <w:bookmarkStart w:id="44" w:name="_Toc109899412"/>
      <w:bookmarkStart w:id="45" w:name="_Toc163492814"/>
      <w:bookmarkStart w:id="46" w:name="_Toc2477"/>
      <w:r>
        <w:rPr>
          <w:rFonts w:hint="eastAsia" w:ascii="宋体" w:hAnsi="宋体" w:cs="宋体"/>
          <w:sz w:val="24"/>
          <w:szCs w:val="24"/>
          <w:highlight w:val="none"/>
        </w:rPr>
        <w:t>三、</w:t>
      </w:r>
      <w:r>
        <w:rPr>
          <w:rFonts w:hint="eastAsia" w:ascii="宋体" w:hAnsi="宋体" w:cs="宋体"/>
          <w:sz w:val="24"/>
          <w:szCs w:val="24"/>
          <w:highlight w:val="none"/>
          <w:lang w:val="hr-HR"/>
        </w:rPr>
        <w:t>获取</w:t>
      </w:r>
      <w:r>
        <w:rPr>
          <w:rFonts w:hint="eastAsia" w:ascii="宋体" w:hAnsi="宋体" w:cs="宋体"/>
          <w:sz w:val="24"/>
          <w:szCs w:val="24"/>
          <w:highlight w:val="none"/>
        </w:rPr>
        <w:t>采购</w:t>
      </w:r>
      <w:r>
        <w:rPr>
          <w:rFonts w:hint="eastAsia" w:ascii="宋体" w:hAnsi="宋体" w:cs="宋体"/>
          <w:sz w:val="24"/>
          <w:szCs w:val="24"/>
          <w:highlight w:val="none"/>
          <w:lang w:val="hr-HR"/>
        </w:rPr>
        <w:t>文件</w:t>
      </w:r>
      <w:bookmarkEnd w:id="31"/>
      <w:bookmarkEnd w:id="32"/>
      <w:bookmarkEnd w:id="33"/>
      <w:bookmarkEnd w:id="34"/>
      <w:bookmarkEnd w:id="35"/>
      <w:bookmarkEnd w:id="37"/>
      <w:bookmarkEnd w:id="38"/>
      <w:bookmarkEnd w:id="39"/>
      <w:bookmarkEnd w:id="40"/>
      <w:bookmarkEnd w:id="41"/>
      <w:bookmarkEnd w:id="42"/>
      <w:bookmarkEnd w:id="43"/>
      <w:bookmarkEnd w:id="44"/>
      <w:bookmarkEnd w:id="45"/>
      <w:bookmarkEnd w:id="46"/>
      <w:r>
        <w:rPr>
          <w:rFonts w:hint="eastAsia" w:ascii="宋体" w:hAnsi="宋体" w:cs="宋体"/>
          <w:sz w:val="24"/>
          <w:szCs w:val="24"/>
          <w:highlight w:val="none"/>
          <w:lang w:val="hr-HR"/>
        </w:rPr>
        <w:t xml:space="preserve"> </w:t>
      </w:r>
    </w:p>
    <w:p w14:paraId="3526548F">
      <w:pPr>
        <w:adjustRightInd w:val="0"/>
        <w:snapToGrid w:val="0"/>
        <w:ind w:firstLine="540"/>
        <w:rPr>
          <w:rFonts w:hint="eastAsia" w:cs="宋体"/>
          <w:szCs w:val="24"/>
          <w:highlight w:val="none"/>
          <w:lang w:val="hr-HR"/>
        </w:rPr>
      </w:pPr>
      <w:bookmarkStart w:id="47" w:name="_Hlk130457234"/>
      <w:bookmarkStart w:id="48" w:name="_Toc35393801"/>
      <w:bookmarkStart w:id="49" w:name="_Hlk130457261"/>
      <w:bookmarkStart w:id="50" w:name="_Toc28359092"/>
      <w:bookmarkStart w:id="51" w:name="_Toc28359015"/>
      <w:bookmarkStart w:id="52" w:name="_Toc35393632"/>
      <w:bookmarkStart w:id="53" w:name="_Hlk130457327"/>
      <w:r>
        <w:rPr>
          <w:rFonts w:hint="eastAsia" w:cs="宋体"/>
          <w:szCs w:val="24"/>
          <w:highlight w:val="none"/>
          <w:lang w:val="hr-HR"/>
        </w:rPr>
        <w:t>1.时间：</w:t>
      </w:r>
      <w:r>
        <w:rPr>
          <w:rFonts w:hint="eastAsia" w:cs="宋体"/>
          <w:highlight w:val="none"/>
          <w:u w:val="single"/>
        </w:rPr>
        <w:t>2026年</w:t>
      </w:r>
      <w:r>
        <w:rPr>
          <w:rFonts w:hint="eastAsia" w:cs="宋体"/>
          <w:highlight w:val="none"/>
          <w:u w:val="single"/>
          <w:lang w:val="en-US" w:eastAsia="zh-CN"/>
        </w:rPr>
        <w:t>05</w:t>
      </w:r>
      <w:r>
        <w:rPr>
          <w:rFonts w:hint="eastAsia" w:cs="宋体"/>
          <w:highlight w:val="none"/>
          <w:u w:val="single"/>
        </w:rPr>
        <w:t>月</w:t>
      </w:r>
      <w:r>
        <w:rPr>
          <w:rFonts w:hint="eastAsia" w:cs="宋体"/>
          <w:highlight w:val="none"/>
          <w:u w:val="single"/>
          <w:lang w:val="en-US" w:eastAsia="zh-CN"/>
        </w:rPr>
        <w:t>16</w:t>
      </w:r>
      <w:r>
        <w:rPr>
          <w:rFonts w:hint="eastAsia" w:cs="宋体"/>
          <w:highlight w:val="none"/>
          <w:u w:val="single"/>
        </w:rPr>
        <w:t>日00时00分</w:t>
      </w:r>
      <w:r>
        <w:rPr>
          <w:rFonts w:hint="eastAsia" w:cs="宋体"/>
          <w:highlight w:val="none"/>
          <w:lang w:val="hr-HR"/>
        </w:rPr>
        <w:t>至</w:t>
      </w:r>
      <w:r>
        <w:rPr>
          <w:rFonts w:hint="eastAsia" w:cs="宋体"/>
          <w:highlight w:val="none"/>
          <w:u w:val="single"/>
        </w:rPr>
        <w:t>2026年</w:t>
      </w:r>
      <w:r>
        <w:rPr>
          <w:rFonts w:hint="eastAsia" w:cs="宋体"/>
          <w:highlight w:val="none"/>
          <w:u w:val="single"/>
          <w:lang w:val="en-US" w:eastAsia="zh-CN"/>
        </w:rPr>
        <w:t>05</w:t>
      </w:r>
      <w:r>
        <w:rPr>
          <w:rFonts w:hint="eastAsia" w:cs="宋体"/>
          <w:highlight w:val="none"/>
          <w:u w:val="single"/>
        </w:rPr>
        <w:t>月</w:t>
      </w:r>
      <w:r>
        <w:rPr>
          <w:rFonts w:hint="eastAsia" w:cs="宋体"/>
          <w:highlight w:val="none"/>
          <w:u w:val="single"/>
          <w:lang w:val="en-US" w:eastAsia="zh-CN"/>
        </w:rPr>
        <w:t>22</w:t>
      </w:r>
      <w:r>
        <w:rPr>
          <w:rFonts w:hint="eastAsia" w:cs="宋体"/>
          <w:highlight w:val="none"/>
          <w:u w:val="single"/>
        </w:rPr>
        <w:t>日23时59分</w:t>
      </w:r>
      <w:r>
        <w:rPr>
          <w:rFonts w:hint="eastAsia" w:cs="宋体"/>
          <w:highlight w:val="none"/>
          <w:lang w:val="hr-HR"/>
        </w:rPr>
        <w:t>（北京时间）</w:t>
      </w:r>
      <w:r>
        <w:rPr>
          <w:rFonts w:hint="eastAsia" w:cs="宋体"/>
          <w:szCs w:val="24"/>
          <w:highlight w:val="none"/>
        </w:rPr>
        <w:t>。</w:t>
      </w:r>
    </w:p>
    <w:bookmarkEnd w:id="47"/>
    <w:p w14:paraId="4FBB59DD">
      <w:pPr>
        <w:pStyle w:val="25"/>
        <w:adjustRightInd w:val="0"/>
        <w:snapToGrid w:val="0"/>
        <w:ind w:firstLine="480"/>
        <w:rPr>
          <w:rFonts w:hint="eastAsia" w:cs="宋体"/>
          <w:szCs w:val="24"/>
          <w:highlight w:val="none"/>
          <w:lang w:val="hr-HR"/>
        </w:rPr>
      </w:pPr>
      <w:r>
        <w:rPr>
          <w:rFonts w:hint="eastAsia" w:cs="宋体"/>
          <w:szCs w:val="24"/>
          <w:highlight w:val="none"/>
          <w:lang w:val="hr-HR"/>
        </w:rPr>
        <w:t>2.</w:t>
      </w:r>
      <w:r>
        <w:rPr>
          <w:rFonts w:hint="eastAsia" w:cs="宋体"/>
          <w:szCs w:val="24"/>
          <w:highlight w:val="none"/>
        </w:rPr>
        <w:t>地点</w:t>
      </w:r>
      <w:r>
        <w:rPr>
          <w:rFonts w:hint="eastAsia" w:cs="宋体"/>
          <w:szCs w:val="24"/>
          <w:highlight w:val="none"/>
          <w:lang w:val="hr-HR"/>
        </w:rPr>
        <w:t>：</w:t>
      </w:r>
      <w:bookmarkStart w:id="54" w:name="_Hlk89807779"/>
      <w:r>
        <w:rPr>
          <w:rFonts w:hint="eastAsia" w:cs="宋体"/>
          <w:szCs w:val="24"/>
          <w:highlight w:val="none"/>
          <w:lang w:val="hr-HR"/>
        </w:rPr>
        <w:t>政采云线上平台</w:t>
      </w:r>
      <w:r>
        <w:rPr>
          <w:rFonts w:hint="eastAsia" w:cs="宋体"/>
          <w:szCs w:val="24"/>
          <w:highlight w:val="none"/>
        </w:rPr>
        <w:t>。</w:t>
      </w:r>
      <w:bookmarkEnd w:id="54"/>
    </w:p>
    <w:p w14:paraId="4CA3D8BA">
      <w:pPr>
        <w:pStyle w:val="25"/>
        <w:adjustRightInd w:val="0"/>
        <w:snapToGrid w:val="0"/>
        <w:ind w:firstLine="480"/>
        <w:rPr>
          <w:rFonts w:hint="eastAsia" w:cs="宋体"/>
          <w:szCs w:val="24"/>
          <w:highlight w:val="none"/>
          <w:lang w:val="hr-HR"/>
        </w:rPr>
      </w:pPr>
      <w:r>
        <w:rPr>
          <w:rFonts w:hint="eastAsia" w:cs="宋体"/>
          <w:szCs w:val="24"/>
          <w:highlight w:val="none"/>
          <w:lang w:val="hr-HR"/>
        </w:rPr>
        <w:t>3.</w:t>
      </w:r>
      <w:r>
        <w:rPr>
          <w:rFonts w:hint="eastAsia" w:cs="宋体"/>
          <w:szCs w:val="24"/>
          <w:highlight w:val="none"/>
        </w:rPr>
        <w:t>方式</w:t>
      </w:r>
      <w:r>
        <w:rPr>
          <w:rFonts w:hint="eastAsia" w:cs="宋体"/>
          <w:szCs w:val="24"/>
          <w:highlight w:val="none"/>
          <w:lang w:val="hr-HR"/>
        </w:rPr>
        <w:t>：供应商登录政采云平台https://www.zcygov.cn/在线申请获取采购文件（进入“项目采购”应用，在获取采购文件菜单中选择项目，申请获取采购文件）</w:t>
      </w:r>
      <w:r>
        <w:rPr>
          <w:rFonts w:hint="eastAsia" w:cs="宋体"/>
          <w:szCs w:val="24"/>
          <w:highlight w:val="none"/>
        </w:rPr>
        <w:t>。</w:t>
      </w:r>
      <w:r>
        <w:rPr>
          <w:rFonts w:hint="eastAsia" w:cs="宋体"/>
          <w:szCs w:val="24"/>
          <w:highlight w:val="none"/>
          <w:lang w:val="hr-HR"/>
        </w:rPr>
        <w:t xml:space="preserve"> </w:t>
      </w:r>
    </w:p>
    <w:p w14:paraId="63EA5E85">
      <w:pPr>
        <w:pStyle w:val="25"/>
        <w:adjustRightInd w:val="0"/>
        <w:snapToGrid w:val="0"/>
        <w:ind w:firstLine="480"/>
        <w:rPr>
          <w:rFonts w:hint="eastAsia" w:cs="宋体"/>
          <w:szCs w:val="24"/>
          <w:highlight w:val="none"/>
          <w:lang w:val="hr-HR"/>
        </w:rPr>
      </w:pPr>
      <w:r>
        <w:rPr>
          <w:rFonts w:hint="eastAsia" w:cs="宋体"/>
          <w:szCs w:val="24"/>
          <w:highlight w:val="none"/>
        </w:rPr>
        <w:t>4.售价：0元。</w:t>
      </w:r>
    </w:p>
    <w:bookmarkEnd w:id="48"/>
    <w:bookmarkEnd w:id="49"/>
    <w:bookmarkEnd w:id="50"/>
    <w:bookmarkEnd w:id="51"/>
    <w:bookmarkEnd w:id="52"/>
    <w:bookmarkEnd w:id="53"/>
    <w:p w14:paraId="3897FBE0">
      <w:pPr>
        <w:pStyle w:val="7"/>
        <w:adjustRightInd w:val="0"/>
        <w:snapToGrid w:val="0"/>
        <w:spacing w:before="0" w:after="0" w:line="360" w:lineRule="auto"/>
        <w:ind w:left="420" w:hanging="420"/>
        <w:rPr>
          <w:rFonts w:hint="eastAsia" w:ascii="宋体" w:hAnsi="宋体" w:cs="宋体"/>
          <w:sz w:val="24"/>
          <w:szCs w:val="24"/>
          <w:highlight w:val="none"/>
          <w:lang w:val="hr-HR"/>
        </w:rPr>
      </w:pPr>
      <w:bookmarkStart w:id="55" w:name="_Toc155185863"/>
      <w:bookmarkStart w:id="56" w:name="_Toc109899832"/>
      <w:bookmarkStart w:id="57" w:name="_Toc140132748"/>
      <w:bookmarkStart w:id="58" w:name="_Toc109899413"/>
      <w:bookmarkStart w:id="59" w:name="_Toc109900251"/>
      <w:bookmarkStart w:id="60" w:name="_Toc163492815"/>
      <w:bookmarkStart w:id="61" w:name="_Toc25497"/>
      <w:bookmarkStart w:id="62" w:name="_Toc15226"/>
      <w:bookmarkStart w:id="63" w:name="_Toc14973"/>
      <w:bookmarkStart w:id="64" w:name="_Toc11953"/>
      <w:r>
        <w:rPr>
          <w:rFonts w:hint="eastAsia" w:ascii="宋体" w:hAnsi="宋体" w:cs="宋体"/>
          <w:sz w:val="24"/>
          <w:szCs w:val="24"/>
          <w:highlight w:val="none"/>
        </w:rPr>
        <w:t>四、</w:t>
      </w:r>
      <w:bookmarkEnd w:id="55"/>
      <w:bookmarkEnd w:id="56"/>
      <w:bookmarkEnd w:id="57"/>
      <w:bookmarkEnd w:id="58"/>
      <w:bookmarkEnd w:id="59"/>
      <w:bookmarkEnd w:id="60"/>
      <w:r>
        <w:rPr>
          <w:rFonts w:hint="eastAsia" w:ascii="宋体" w:hAnsi="宋体" w:cs="宋体"/>
          <w:spacing w:val="-6"/>
          <w:sz w:val="24"/>
          <w:szCs w:val="24"/>
          <w:highlight w:val="none"/>
          <w:lang w:val="hr-HR"/>
        </w:rPr>
        <w:t>响应文件提交</w:t>
      </w:r>
      <w:bookmarkEnd w:id="61"/>
      <w:bookmarkEnd w:id="62"/>
      <w:bookmarkEnd w:id="63"/>
      <w:bookmarkEnd w:id="64"/>
    </w:p>
    <w:p w14:paraId="753D313C">
      <w:pPr>
        <w:pStyle w:val="25"/>
        <w:adjustRightInd w:val="0"/>
        <w:snapToGrid w:val="0"/>
        <w:ind w:firstLine="480"/>
        <w:rPr>
          <w:rFonts w:hint="eastAsia" w:cs="宋体"/>
          <w:szCs w:val="24"/>
          <w:highlight w:val="none"/>
        </w:rPr>
      </w:pPr>
      <w:bookmarkStart w:id="65" w:name="_Hlk130457395"/>
      <w:bookmarkStart w:id="66" w:name="_Toc35393634"/>
      <w:bookmarkStart w:id="67" w:name="_Toc35393803"/>
      <w:bookmarkStart w:id="68" w:name="_Toc28359094"/>
      <w:bookmarkStart w:id="69" w:name="_Toc44583633"/>
      <w:bookmarkStart w:id="70" w:name="_Toc28359017"/>
      <w:r>
        <w:rPr>
          <w:rFonts w:hint="eastAsia" w:cs="宋体"/>
          <w:szCs w:val="24"/>
          <w:highlight w:val="none"/>
        </w:rPr>
        <w:t>1.截止时间：</w:t>
      </w:r>
      <w:r>
        <w:rPr>
          <w:rFonts w:hint="eastAsia" w:cs="宋体"/>
          <w:iCs/>
          <w:szCs w:val="24"/>
          <w:highlight w:val="none"/>
          <w:u w:val="single"/>
          <w:shd w:val="clear" w:color="auto" w:fill="FFFFFF"/>
        </w:rPr>
        <w:t>2026</w:t>
      </w:r>
      <w:r>
        <w:rPr>
          <w:rFonts w:hint="eastAsia" w:cs="宋体"/>
          <w:iCs/>
          <w:szCs w:val="24"/>
          <w:highlight w:val="none"/>
          <w:u w:val="single"/>
          <w:shd w:val="clear" w:color="auto" w:fill="FFFFFF"/>
          <w:lang w:val="hr-HR"/>
        </w:rPr>
        <w:t>年</w:t>
      </w:r>
      <w:r>
        <w:rPr>
          <w:rFonts w:hint="eastAsia" w:cs="宋体"/>
          <w:iCs/>
          <w:szCs w:val="24"/>
          <w:highlight w:val="none"/>
          <w:u w:val="single"/>
          <w:shd w:val="clear" w:color="auto" w:fill="FFFFFF"/>
          <w:lang w:val="en-US" w:eastAsia="zh-CN"/>
        </w:rPr>
        <w:t>06</w:t>
      </w:r>
      <w:r>
        <w:rPr>
          <w:rFonts w:hint="eastAsia" w:cs="宋体"/>
          <w:iCs/>
          <w:szCs w:val="24"/>
          <w:highlight w:val="none"/>
          <w:u w:val="single"/>
          <w:shd w:val="clear" w:color="auto" w:fill="FFFFFF"/>
        </w:rPr>
        <w:t>月</w:t>
      </w:r>
      <w:r>
        <w:rPr>
          <w:rFonts w:hint="eastAsia" w:cs="宋体"/>
          <w:iCs/>
          <w:szCs w:val="24"/>
          <w:highlight w:val="none"/>
          <w:u w:val="single"/>
          <w:shd w:val="clear" w:color="auto" w:fill="FFFFFF"/>
          <w:lang w:val="en-US" w:eastAsia="zh-CN"/>
        </w:rPr>
        <w:t>03</w:t>
      </w:r>
      <w:r>
        <w:rPr>
          <w:rFonts w:hint="eastAsia" w:cs="宋体"/>
          <w:iCs/>
          <w:szCs w:val="24"/>
          <w:highlight w:val="none"/>
          <w:u w:val="single"/>
          <w:shd w:val="clear" w:color="auto" w:fill="FFFFFF"/>
        </w:rPr>
        <w:t>日</w:t>
      </w:r>
      <w:r>
        <w:rPr>
          <w:rFonts w:hint="eastAsia" w:cs="宋体"/>
          <w:iCs/>
          <w:szCs w:val="24"/>
          <w:highlight w:val="none"/>
          <w:u w:val="single"/>
          <w:shd w:val="clear" w:color="auto" w:fill="FFFFFF"/>
          <w:lang w:val="en-US" w:eastAsia="zh-CN"/>
        </w:rPr>
        <w:t>16</w:t>
      </w:r>
      <w:r>
        <w:rPr>
          <w:rFonts w:hint="eastAsia" w:cs="宋体"/>
          <w:iCs/>
          <w:szCs w:val="24"/>
          <w:highlight w:val="none"/>
          <w:u w:val="single"/>
          <w:shd w:val="clear" w:color="auto" w:fill="FFFFFF"/>
        </w:rPr>
        <w:t>时00</w:t>
      </w:r>
      <w:r>
        <w:rPr>
          <w:rFonts w:hint="eastAsia" w:cs="宋体"/>
          <w:iCs/>
          <w:szCs w:val="24"/>
          <w:highlight w:val="none"/>
          <w:u w:val="single"/>
          <w:shd w:val="clear" w:color="auto" w:fill="FFFFFF"/>
          <w:lang w:val="hr-HR"/>
        </w:rPr>
        <w:t>分</w:t>
      </w:r>
      <w:r>
        <w:rPr>
          <w:rFonts w:hint="eastAsia" w:cs="宋体"/>
          <w:szCs w:val="24"/>
          <w:highlight w:val="none"/>
        </w:rPr>
        <w:t>（北京时间）。</w:t>
      </w:r>
    </w:p>
    <w:p w14:paraId="2664E059">
      <w:pPr>
        <w:pStyle w:val="25"/>
        <w:adjustRightInd w:val="0"/>
        <w:snapToGrid w:val="0"/>
        <w:ind w:firstLine="480"/>
        <w:rPr>
          <w:rFonts w:hint="eastAsia" w:cs="宋体"/>
          <w:szCs w:val="24"/>
          <w:highlight w:val="none"/>
        </w:rPr>
      </w:pPr>
      <w:r>
        <w:rPr>
          <w:rFonts w:hint="eastAsia" w:cs="宋体"/>
          <w:szCs w:val="24"/>
          <w:highlight w:val="none"/>
        </w:rPr>
        <w:t>2.地点：通过政采云平台投标供应商客户端选择项目分包文件递交页面进行递交（上传）。</w:t>
      </w:r>
    </w:p>
    <w:bookmarkEnd w:id="65"/>
    <w:p w14:paraId="1076689B">
      <w:pPr>
        <w:pStyle w:val="7"/>
        <w:adjustRightInd w:val="0"/>
        <w:snapToGrid w:val="0"/>
        <w:spacing w:before="0" w:after="0" w:line="360" w:lineRule="auto"/>
        <w:ind w:left="420" w:hanging="420"/>
        <w:rPr>
          <w:rFonts w:hint="eastAsia" w:ascii="宋体" w:hAnsi="宋体" w:cs="宋体"/>
          <w:sz w:val="24"/>
          <w:szCs w:val="24"/>
          <w:highlight w:val="none"/>
        </w:rPr>
      </w:pPr>
      <w:bookmarkStart w:id="71" w:name="_Toc24119"/>
      <w:bookmarkStart w:id="72" w:name="_Toc8821"/>
      <w:bookmarkStart w:id="73" w:name="_Toc28309"/>
      <w:bookmarkStart w:id="74" w:name="_Toc25869"/>
      <w:bookmarkStart w:id="75" w:name="_Toc109900252"/>
      <w:bookmarkStart w:id="76" w:name="_Toc155185864"/>
      <w:bookmarkStart w:id="77" w:name="_Toc109899414"/>
      <w:bookmarkStart w:id="78" w:name="_Toc140132749"/>
      <w:bookmarkStart w:id="79" w:name="_Toc163492816"/>
      <w:bookmarkStart w:id="80" w:name="_Toc109899833"/>
      <w:r>
        <w:rPr>
          <w:rFonts w:hint="eastAsia" w:ascii="宋体" w:hAnsi="宋体" w:cs="宋体"/>
          <w:sz w:val="24"/>
          <w:szCs w:val="24"/>
          <w:highlight w:val="none"/>
        </w:rPr>
        <w:t>五、开启</w:t>
      </w:r>
      <w:bookmarkEnd w:id="71"/>
      <w:bookmarkEnd w:id="72"/>
      <w:bookmarkEnd w:id="73"/>
      <w:bookmarkEnd w:id="74"/>
    </w:p>
    <w:p w14:paraId="4B2D3BC6">
      <w:pPr>
        <w:pStyle w:val="25"/>
        <w:adjustRightInd w:val="0"/>
        <w:snapToGrid w:val="0"/>
        <w:ind w:firstLine="480"/>
        <w:rPr>
          <w:rFonts w:hint="eastAsia" w:cs="宋体"/>
          <w:szCs w:val="24"/>
          <w:highlight w:val="none"/>
        </w:rPr>
      </w:pPr>
      <w:r>
        <w:rPr>
          <w:rFonts w:hint="eastAsia" w:cs="宋体"/>
          <w:szCs w:val="24"/>
          <w:highlight w:val="none"/>
        </w:rPr>
        <w:t>1.时间：</w:t>
      </w:r>
      <w:r>
        <w:rPr>
          <w:rFonts w:hint="eastAsia" w:cs="宋体"/>
          <w:iCs/>
          <w:szCs w:val="24"/>
          <w:highlight w:val="none"/>
          <w:u w:val="single"/>
          <w:shd w:val="clear" w:color="auto" w:fill="FFFFFF"/>
        </w:rPr>
        <w:t>2026</w:t>
      </w:r>
      <w:r>
        <w:rPr>
          <w:rFonts w:hint="eastAsia" w:cs="宋体"/>
          <w:iCs/>
          <w:szCs w:val="24"/>
          <w:highlight w:val="none"/>
          <w:u w:val="single"/>
          <w:shd w:val="clear" w:color="auto" w:fill="FFFFFF"/>
          <w:lang w:val="hr-HR"/>
        </w:rPr>
        <w:t>年</w:t>
      </w:r>
      <w:r>
        <w:rPr>
          <w:rFonts w:hint="eastAsia" w:cs="宋体"/>
          <w:iCs/>
          <w:szCs w:val="24"/>
          <w:highlight w:val="none"/>
          <w:u w:val="single"/>
          <w:shd w:val="clear" w:color="auto" w:fill="FFFFFF"/>
          <w:lang w:val="en-US" w:eastAsia="zh-CN"/>
        </w:rPr>
        <w:t>06</w:t>
      </w:r>
      <w:r>
        <w:rPr>
          <w:rFonts w:hint="eastAsia" w:cs="宋体"/>
          <w:iCs/>
          <w:szCs w:val="24"/>
          <w:highlight w:val="none"/>
          <w:u w:val="single"/>
          <w:shd w:val="clear" w:color="auto" w:fill="FFFFFF"/>
        </w:rPr>
        <w:t>月</w:t>
      </w:r>
      <w:r>
        <w:rPr>
          <w:rFonts w:hint="eastAsia" w:cs="宋体"/>
          <w:iCs/>
          <w:szCs w:val="24"/>
          <w:highlight w:val="none"/>
          <w:u w:val="single"/>
          <w:shd w:val="clear" w:color="auto" w:fill="FFFFFF"/>
          <w:lang w:val="en-US" w:eastAsia="zh-CN"/>
        </w:rPr>
        <w:t>03</w:t>
      </w:r>
      <w:r>
        <w:rPr>
          <w:rFonts w:hint="eastAsia" w:cs="宋体"/>
          <w:iCs/>
          <w:szCs w:val="24"/>
          <w:highlight w:val="none"/>
          <w:u w:val="single"/>
          <w:shd w:val="clear" w:color="auto" w:fill="FFFFFF"/>
        </w:rPr>
        <w:t>日</w:t>
      </w:r>
      <w:r>
        <w:rPr>
          <w:rFonts w:hint="eastAsia" w:cs="宋体"/>
          <w:iCs/>
          <w:szCs w:val="24"/>
          <w:highlight w:val="none"/>
          <w:u w:val="single"/>
          <w:shd w:val="clear" w:color="auto" w:fill="FFFFFF"/>
          <w:lang w:val="en-US" w:eastAsia="zh-CN"/>
        </w:rPr>
        <w:t>16</w:t>
      </w:r>
      <w:r>
        <w:rPr>
          <w:rFonts w:hint="eastAsia" w:cs="宋体"/>
          <w:iCs/>
          <w:szCs w:val="24"/>
          <w:highlight w:val="none"/>
          <w:u w:val="single"/>
          <w:shd w:val="clear" w:color="auto" w:fill="FFFFFF"/>
        </w:rPr>
        <w:t>时00</w:t>
      </w:r>
      <w:r>
        <w:rPr>
          <w:rFonts w:hint="eastAsia" w:cs="宋体"/>
          <w:iCs/>
          <w:szCs w:val="24"/>
          <w:highlight w:val="none"/>
          <w:u w:val="single"/>
          <w:shd w:val="clear" w:color="auto" w:fill="FFFFFF"/>
          <w:lang w:val="hr-HR"/>
        </w:rPr>
        <w:t>分</w:t>
      </w:r>
      <w:r>
        <w:rPr>
          <w:rFonts w:hint="eastAsia" w:cs="宋体"/>
          <w:szCs w:val="24"/>
          <w:highlight w:val="none"/>
        </w:rPr>
        <w:t>（北京时间）。</w:t>
      </w:r>
    </w:p>
    <w:p w14:paraId="0086A88E">
      <w:pPr>
        <w:pStyle w:val="25"/>
        <w:adjustRightInd w:val="0"/>
        <w:snapToGrid w:val="0"/>
        <w:ind w:firstLine="480"/>
        <w:rPr>
          <w:rFonts w:hint="eastAsia" w:cs="宋体"/>
          <w:szCs w:val="24"/>
        </w:rPr>
      </w:pPr>
      <w:r>
        <w:rPr>
          <w:rFonts w:hint="eastAsia" w:cs="宋体"/>
          <w:szCs w:val="24"/>
          <w:highlight w:val="none"/>
        </w:rPr>
        <w:t>2.地点：新疆政府采购网（http://www.ccgp-xinj</w:t>
      </w:r>
      <w:r>
        <w:rPr>
          <w:rFonts w:hint="eastAsia" w:cs="宋体"/>
          <w:szCs w:val="24"/>
        </w:rPr>
        <w:t>iang.gov.cn）政采云线上平台。</w:t>
      </w:r>
    </w:p>
    <w:p w14:paraId="2B4D4B74">
      <w:pPr>
        <w:pStyle w:val="7"/>
        <w:adjustRightInd w:val="0"/>
        <w:snapToGrid w:val="0"/>
        <w:spacing w:before="0" w:after="0" w:line="360" w:lineRule="auto"/>
        <w:ind w:left="420" w:hanging="420"/>
        <w:rPr>
          <w:rFonts w:hint="eastAsia" w:ascii="宋体" w:hAnsi="宋体" w:cs="宋体"/>
          <w:sz w:val="24"/>
          <w:szCs w:val="24"/>
          <w:lang w:val="hr-HR"/>
        </w:rPr>
      </w:pPr>
      <w:bookmarkStart w:id="81" w:name="_Toc16329"/>
      <w:bookmarkStart w:id="82" w:name="_Toc9733"/>
      <w:bookmarkStart w:id="83" w:name="_Toc17471"/>
      <w:bookmarkStart w:id="84" w:name="_Toc9513"/>
      <w:r>
        <w:rPr>
          <w:rFonts w:hint="eastAsia" w:ascii="宋体" w:hAnsi="宋体" w:cs="宋体"/>
          <w:sz w:val="24"/>
          <w:szCs w:val="24"/>
        </w:rPr>
        <w:t>六、</w:t>
      </w:r>
      <w:r>
        <w:rPr>
          <w:rFonts w:hint="eastAsia" w:ascii="宋体" w:hAnsi="宋体" w:cs="宋体"/>
          <w:sz w:val="24"/>
          <w:szCs w:val="24"/>
          <w:lang w:val="hr-HR"/>
        </w:rPr>
        <w:t>公告期限</w:t>
      </w:r>
      <w:bookmarkEnd w:id="66"/>
      <w:bookmarkEnd w:id="67"/>
      <w:bookmarkEnd w:id="68"/>
      <w:bookmarkEnd w:id="69"/>
      <w:bookmarkEnd w:id="70"/>
      <w:bookmarkEnd w:id="75"/>
      <w:bookmarkEnd w:id="76"/>
      <w:bookmarkEnd w:id="77"/>
      <w:bookmarkEnd w:id="78"/>
      <w:bookmarkEnd w:id="79"/>
      <w:bookmarkEnd w:id="80"/>
      <w:bookmarkEnd w:id="81"/>
      <w:bookmarkEnd w:id="82"/>
      <w:bookmarkEnd w:id="83"/>
      <w:bookmarkEnd w:id="84"/>
    </w:p>
    <w:p w14:paraId="46D68938">
      <w:pPr>
        <w:adjustRightInd w:val="0"/>
        <w:snapToGrid w:val="0"/>
        <w:ind w:firstLine="480" w:firstLineChars="200"/>
        <w:jc w:val="both"/>
        <w:rPr>
          <w:rFonts w:hint="eastAsia" w:cs="宋体"/>
          <w:szCs w:val="24"/>
        </w:rPr>
      </w:pPr>
      <w:r>
        <w:rPr>
          <w:rFonts w:hint="eastAsia" w:cs="宋体"/>
          <w:szCs w:val="24"/>
        </w:rPr>
        <w:t>自本公告发布之日起3个工作日。</w:t>
      </w:r>
      <w:bookmarkStart w:id="85" w:name="_Toc163492817"/>
      <w:bookmarkStart w:id="86" w:name="_Toc109900253"/>
      <w:bookmarkStart w:id="87" w:name="_Toc155185865"/>
      <w:bookmarkStart w:id="88" w:name="_Toc109899415"/>
      <w:bookmarkStart w:id="89" w:name="_Toc140132750"/>
      <w:bookmarkStart w:id="90" w:name="_Toc109899834"/>
      <w:bookmarkStart w:id="91" w:name="_Toc35393804"/>
      <w:bookmarkStart w:id="92" w:name="_Toc44583634"/>
      <w:bookmarkStart w:id="93" w:name="_Toc35393635"/>
    </w:p>
    <w:p w14:paraId="5F075C58">
      <w:pPr>
        <w:adjustRightInd w:val="0"/>
        <w:snapToGrid w:val="0"/>
        <w:jc w:val="both"/>
        <w:rPr>
          <w:rFonts w:hint="eastAsia" w:cs="宋体"/>
          <w:szCs w:val="24"/>
          <w:lang w:val="hr-HR"/>
        </w:rPr>
      </w:pPr>
      <w:bookmarkStart w:id="94" w:name="_Toc6777"/>
      <w:bookmarkStart w:id="95" w:name="_Toc23239"/>
      <w:bookmarkStart w:id="96" w:name="_Toc11867"/>
      <w:bookmarkStart w:id="97" w:name="_Toc10669"/>
      <w:r>
        <w:rPr>
          <w:rStyle w:val="26"/>
          <w:rFonts w:hint="eastAsia" w:ascii="宋体" w:hAnsi="宋体" w:cs="宋体"/>
          <w:sz w:val="24"/>
          <w:szCs w:val="24"/>
          <w:lang w:val="hr-HR"/>
        </w:rPr>
        <w:t>七、其他补充事宜</w:t>
      </w:r>
      <w:bookmarkEnd w:id="85"/>
      <w:bookmarkEnd w:id="86"/>
      <w:bookmarkEnd w:id="87"/>
      <w:bookmarkEnd w:id="88"/>
      <w:bookmarkEnd w:id="89"/>
      <w:bookmarkEnd w:id="90"/>
      <w:bookmarkEnd w:id="91"/>
      <w:bookmarkEnd w:id="92"/>
      <w:bookmarkEnd w:id="93"/>
      <w:bookmarkEnd w:id="94"/>
      <w:bookmarkEnd w:id="95"/>
      <w:bookmarkEnd w:id="96"/>
      <w:bookmarkEnd w:id="97"/>
    </w:p>
    <w:p w14:paraId="32BD3C7C">
      <w:pPr>
        <w:pStyle w:val="27"/>
        <w:widowControl/>
        <w:adjustRightInd w:val="0"/>
        <w:snapToGrid w:val="0"/>
        <w:ind w:firstLine="420"/>
        <w:rPr>
          <w:rStyle w:val="22"/>
          <w:rFonts w:hint="eastAsia" w:ascii="宋体" w:hAnsi="宋体" w:cs="宋体"/>
          <w:b w:val="0"/>
          <w:bCs w:val="0"/>
          <w:szCs w:val="24"/>
        </w:rPr>
      </w:pPr>
      <w:r>
        <w:rPr>
          <w:rStyle w:val="22"/>
          <w:rFonts w:hint="eastAsia" w:ascii="宋体" w:hAnsi="宋体" w:cs="宋体"/>
          <w:b w:val="0"/>
          <w:bCs w:val="0"/>
          <w:szCs w:val="24"/>
        </w:rPr>
        <w:t>1、本公告在新疆政府采购网发布。</w:t>
      </w:r>
    </w:p>
    <w:p w14:paraId="094D6C0B">
      <w:pPr>
        <w:pStyle w:val="27"/>
        <w:widowControl/>
        <w:adjustRightInd w:val="0"/>
        <w:snapToGrid w:val="0"/>
        <w:ind w:firstLine="420"/>
        <w:rPr>
          <w:rStyle w:val="22"/>
          <w:rFonts w:hint="eastAsia" w:ascii="宋体" w:hAnsi="宋体" w:cs="宋体"/>
          <w:b w:val="0"/>
          <w:bCs w:val="0"/>
          <w:szCs w:val="24"/>
        </w:rPr>
      </w:pPr>
      <w:r>
        <w:rPr>
          <w:rStyle w:val="22"/>
          <w:rFonts w:hint="eastAsia" w:ascii="宋体" w:hAnsi="宋体" w:cs="宋体"/>
          <w:b w:val="0"/>
          <w:bCs w:val="0"/>
          <w:szCs w:val="24"/>
        </w:rPr>
        <w:t>2、请投标单位随时关注本项目的澄清、答疑、变更事项。</w:t>
      </w:r>
    </w:p>
    <w:p w14:paraId="7143B344">
      <w:pPr>
        <w:pStyle w:val="27"/>
        <w:widowControl/>
        <w:adjustRightInd w:val="0"/>
        <w:snapToGrid w:val="0"/>
        <w:ind w:firstLine="420"/>
        <w:rPr>
          <w:rStyle w:val="22"/>
          <w:rFonts w:hint="eastAsia" w:ascii="宋体" w:hAnsi="宋体" w:cs="宋体"/>
          <w:b w:val="0"/>
          <w:bCs w:val="0"/>
          <w:szCs w:val="24"/>
        </w:rPr>
      </w:pPr>
      <w:r>
        <w:rPr>
          <w:rStyle w:val="22"/>
          <w:rFonts w:hint="eastAsia" w:ascii="宋体" w:hAnsi="宋体" w:cs="宋体"/>
          <w:b w:val="0"/>
          <w:bCs w:val="0"/>
          <w:szCs w:val="24"/>
        </w:rPr>
        <w:t>3、本项目实行电子招投标，供应商须登录政采云平台申请获取磋商文件，并通过政采云电子投标客户端制作响应文件，同时自行承担与投标有关的一切费用。</w:t>
      </w:r>
    </w:p>
    <w:p w14:paraId="7738A2A3">
      <w:pPr>
        <w:pStyle w:val="27"/>
        <w:widowControl/>
        <w:adjustRightInd w:val="0"/>
        <w:snapToGrid w:val="0"/>
        <w:ind w:firstLine="420"/>
        <w:rPr>
          <w:rStyle w:val="22"/>
          <w:rFonts w:hint="eastAsia" w:ascii="宋体" w:hAnsi="宋体" w:cs="宋体"/>
          <w:b w:val="0"/>
          <w:bCs w:val="0"/>
          <w:szCs w:val="24"/>
        </w:rPr>
      </w:pPr>
      <w:r>
        <w:rPr>
          <w:rStyle w:val="22"/>
          <w:rFonts w:hint="eastAsia" w:ascii="宋体" w:hAnsi="宋体" w:cs="宋体"/>
          <w:b w:val="0"/>
          <w:bCs w:val="0"/>
          <w:szCs w:val="24"/>
        </w:rPr>
        <w:t>4、各供应商应在开标前确保成为新疆维吾尔自治区政府采购网正式注册入库供应商，并完成CA数字证书申领。因未注册入库、未办理CA数字证书等原因造成无法投标或投标失败等后果由供应商自行承担。</w:t>
      </w:r>
    </w:p>
    <w:p w14:paraId="539EE7B5">
      <w:pPr>
        <w:pStyle w:val="27"/>
        <w:widowControl/>
        <w:adjustRightInd w:val="0"/>
        <w:snapToGrid w:val="0"/>
        <w:ind w:firstLine="420"/>
        <w:rPr>
          <w:rStyle w:val="22"/>
          <w:rFonts w:hint="eastAsia" w:ascii="宋体" w:hAnsi="宋体" w:cs="宋体"/>
          <w:b w:val="0"/>
          <w:bCs w:val="0"/>
          <w:szCs w:val="24"/>
        </w:rPr>
      </w:pPr>
      <w:r>
        <w:rPr>
          <w:rStyle w:val="22"/>
          <w:rFonts w:hint="eastAsia" w:ascii="宋体" w:hAnsi="宋体" w:cs="宋体"/>
          <w:b w:val="0"/>
          <w:bCs w:val="0"/>
          <w:szCs w:val="24"/>
        </w:rPr>
        <w:t>5、有意向参与新疆区域电子开评标的供应商，可访问新疆数字证书认证中心官方网站（https://www.xjca.com.cn/）或下载“新疆政务通”APP自行进行申领。如需咨询，请联系新疆CA服务热线0991-2819290。</w:t>
      </w:r>
    </w:p>
    <w:p w14:paraId="620D2CCD">
      <w:pPr>
        <w:pStyle w:val="27"/>
        <w:widowControl/>
        <w:adjustRightInd w:val="0"/>
        <w:snapToGrid w:val="0"/>
        <w:ind w:firstLine="420"/>
        <w:rPr>
          <w:rStyle w:val="22"/>
          <w:rFonts w:hint="eastAsia" w:ascii="宋体" w:hAnsi="宋体" w:cs="宋体"/>
          <w:b w:val="0"/>
          <w:bCs w:val="0"/>
          <w:szCs w:val="24"/>
        </w:rPr>
      </w:pPr>
      <w:r>
        <w:rPr>
          <w:rStyle w:val="22"/>
          <w:rFonts w:hint="eastAsia" w:ascii="宋体" w:hAnsi="宋体" w:cs="宋体"/>
          <w:b w:val="0"/>
          <w:bCs w:val="0"/>
          <w:szCs w:val="24"/>
        </w:rPr>
        <w:t>6、供应商可前往新疆政府采购网（http://www.ccgp-xinjiang.gov.cn/）下载专区，下载政采云电子投标客户端，安装完成后，可通过账号密码或CA登录客户端进行响应文件制作。在使用政采云电子投标客户端时，建议使用WIN7及以上操作系统。如有问题可拨打政采云客户服务热线400-881-7190进行咨询。</w:t>
      </w:r>
    </w:p>
    <w:p w14:paraId="4BD66FB5">
      <w:pPr>
        <w:pStyle w:val="27"/>
        <w:widowControl/>
        <w:adjustRightInd w:val="0"/>
        <w:snapToGrid w:val="0"/>
        <w:ind w:firstLine="420"/>
        <w:rPr>
          <w:rStyle w:val="22"/>
          <w:rFonts w:hint="eastAsia" w:ascii="宋体" w:hAnsi="宋体" w:cs="宋体"/>
          <w:b w:val="0"/>
          <w:bCs w:val="0"/>
          <w:szCs w:val="24"/>
        </w:rPr>
      </w:pPr>
      <w:r>
        <w:rPr>
          <w:rStyle w:val="22"/>
          <w:rFonts w:hint="eastAsia" w:ascii="宋体" w:hAnsi="宋体" w:cs="宋体"/>
          <w:b w:val="0"/>
          <w:bCs w:val="0"/>
          <w:szCs w:val="24"/>
        </w:rPr>
        <w:t>7、本项目采用不见面开标，供应商须在投标截止时间前通过CA在政采云平台上传加密的电子响应文件。备注：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w:t>
      </w:r>
    </w:p>
    <w:p w14:paraId="3C3AC904">
      <w:pPr>
        <w:widowControl/>
        <w:wordWrap w:val="0"/>
        <w:adjustRightInd w:val="0"/>
        <w:snapToGrid w:val="0"/>
        <w:ind w:firstLine="480" w:firstLineChars="200"/>
        <w:rPr>
          <w:rFonts w:hint="eastAsia" w:cs="宋体"/>
          <w:bCs/>
          <w:szCs w:val="24"/>
        </w:rPr>
      </w:pPr>
      <w:r>
        <w:rPr>
          <w:rStyle w:val="22"/>
          <w:rFonts w:hint="eastAsia" w:cs="宋体"/>
          <w:b w:val="0"/>
          <w:bCs w:val="0"/>
          <w:szCs w:val="24"/>
        </w:rPr>
        <w:t>8、供应商在开标前须提前配置好电脑浏览器（建议使用360浏览器或谷歌浏览器），开标时请使用制作加密电子响应文件的CA锁进行解密及报价确认。本项目响应文件解密时间定为30分钟，如因自身原因导致无法正常解密，后果由供应商自行承担。</w:t>
      </w:r>
    </w:p>
    <w:p w14:paraId="610DD74C">
      <w:pPr>
        <w:pStyle w:val="7"/>
        <w:adjustRightInd w:val="0"/>
        <w:snapToGrid w:val="0"/>
        <w:spacing w:before="0" w:after="0" w:line="360" w:lineRule="auto"/>
        <w:ind w:left="420" w:hanging="420"/>
        <w:rPr>
          <w:rFonts w:hint="eastAsia" w:ascii="宋体" w:hAnsi="宋体" w:cs="宋体"/>
          <w:sz w:val="24"/>
          <w:szCs w:val="24"/>
          <w:lang w:val="hr-HR"/>
        </w:rPr>
      </w:pPr>
      <w:bookmarkStart w:id="98" w:name="_Toc6352"/>
      <w:bookmarkStart w:id="99" w:name="_Toc4818"/>
      <w:bookmarkStart w:id="100" w:name="_Toc12646"/>
      <w:bookmarkStart w:id="101" w:name="_Toc1462"/>
      <w:r>
        <w:rPr>
          <w:rFonts w:hint="eastAsia" w:ascii="宋体" w:hAnsi="宋体" w:cs="宋体"/>
          <w:sz w:val="24"/>
          <w:szCs w:val="24"/>
        </w:rPr>
        <w:t>八、</w:t>
      </w:r>
      <w:r>
        <w:rPr>
          <w:rFonts w:hint="eastAsia" w:ascii="宋体" w:hAnsi="宋体" w:cs="宋体"/>
          <w:sz w:val="24"/>
          <w:szCs w:val="24"/>
          <w:lang w:val="hr-HR"/>
        </w:rPr>
        <w:t>凡对本次采购提出询问，请按以下方式联系</w:t>
      </w:r>
      <w:bookmarkEnd w:id="98"/>
      <w:bookmarkEnd w:id="99"/>
      <w:bookmarkEnd w:id="100"/>
      <w:bookmarkEnd w:id="101"/>
    </w:p>
    <w:p w14:paraId="382F5825">
      <w:pPr>
        <w:pStyle w:val="25"/>
        <w:adjustRightInd w:val="0"/>
        <w:snapToGrid w:val="0"/>
        <w:ind w:firstLine="480"/>
        <w:rPr>
          <w:rFonts w:hint="eastAsia" w:cs="宋体"/>
        </w:rPr>
      </w:pPr>
      <w:bookmarkStart w:id="102" w:name="_Toc28359019"/>
      <w:bookmarkStart w:id="103" w:name="_Toc35393637"/>
      <w:bookmarkStart w:id="104" w:name="_Toc28359096"/>
      <w:bookmarkStart w:id="105" w:name="_Toc35393806"/>
      <w:r>
        <w:rPr>
          <w:rFonts w:hint="eastAsia" w:cs="宋体"/>
        </w:rPr>
        <w:t>1.采购人信息</w:t>
      </w:r>
      <w:bookmarkEnd w:id="102"/>
      <w:bookmarkEnd w:id="103"/>
      <w:bookmarkEnd w:id="104"/>
      <w:bookmarkEnd w:id="105"/>
    </w:p>
    <w:p w14:paraId="748EC65E">
      <w:pPr>
        <w:pStyle w:val="25"/>
        <w:adjustRightInd w:val="0"/>
        <w:snapToGrid w:val="0"/>
        <w:ind w:firstLine="480"/>
        <w:rPr>
          <w:rFonts w:hint="eastAsia" w:cs="宋体"/>
        </w:rPr>
      </w:pPr>
      <w:bookmarkStart w:id="106" w:name="_Hlk46775675"/>
      <w:r>
        <w:rPr>
          <w:rFonts w:hint="eastAsia" w:cs="宋体"/>
        </w:rPr>
        <w:t>名称：新疆维吾尔自治区建设执业资格注册中心（新疆维吾尔自治区城市建设档案馆）</w:t>
      </w:r>
    </w:p>
    <w:p w14:paraId="7AE928A7">
      <w:pPr>
        <w:pStyle w:val="25"/>
        <w:adjustRightInd w:val="0"/>
        <w:snapToGrid w:val="0"/>
        <w:ind w:firstLine="480"/>
        <w:rPr>
          <w:rFonts w:hint="eastAsia" w:cs="宋体"/>
        </w:rPr>
      </w:pPr>
      <w:r>
        <w:rPr>
          <w:rFonts w:hint="eastAsia" w:cs="宋体"/>
        </w:rPr>
        <w:t>地址：乌市天山区中山路462号广场联合大厦A座</w:t>
      </w:r>
    </w:p>
    <w:p w14:paraId="2D1707B9">
      <w:pPr>
        <w:pStyle w:val="25"/>
        <w:adjustRightInd w:val="0"/>
        <w:snapToGrid w:val="0"/>
        <w:ind w:firstLine="480"/>
        <w:rPr>
          <w:rFonts w:hint="eastAsia" w:cs="宋体"/>
        </w:rPr>
      </w:pPr>
      <w:r>
        <w:rPr>
          <w:rFonts w:hint="eastAsia" w:cs="宋体"/>
        </w:rPr>
        <w:t>联系人：蔡诗华</w:t>
      </w:r>
    </w:p>
    <w:p w14:paraId="5701472A">
      <w:pPr>
        <w:pStyle w:val="25"/>
        <w:adjustRightInd w:val="0"/>
        <w:snapToGrid w:val="0"/>
        <w:ind w:firstLine="480"/>
        <w:rPr>
          <w:rFonts w:hint="eastAsia" w:cs="宋体"/>
        </w:rPr>
      </w:pPr>
      <w:r>
        <w:rPr>
          <w:rFonts w:hint="eastAsia" w:cs="宋体"/>
        </w:rPr>
        <w:t>联系方式：15699201697</w:t>
      </w:r>
    </w:p>
    <w:bookmarkEnd w:id="106"/>
    <w:p w14:paraId="0F2C374B">
      <w:pPr>
        <w:pStyle w:val="25"/>
        <w:adjustRightInd w:val="0"/>
        <w:snapToGrid w:val="0"/>
        <w:ind w:firstLine="480"/>
        <w:rPr>
          <w:rFonts w:hint="eastAsia" w:cs="宋体"/>
          <w:szCs w:val="24"/>
        </w:rPr>
      </w:pPr>
      <w:r>
        <w:rPr>
          <w:rFonts w:hint="eastAsia" w:cs="宋体"/>
          <w:szCs w:val="24"/>
        </w:rPr>
        <w:t>2.采购代理机构信息</w:t>
      </w:r>
    </w:p>
    <w:p w14:paraId="4A8843BA">
      <w:pPr>
        <w:pStyle w:val="25"/>
        <w:adjustRightInd w:val="0"/>
        <w:snapToGrid w:val="0"/>
        <w:ind w:firstLine="480"/>
        <w:rPr>
          <w:rFonts w:hint="eastAsia" w:cs="宋体"/>
          <w:szCs w:val="24"/>
        </w:rPr>
      </w:pPr>
      <w:r>
        <w:rPr>
          <w:rFonts w:hint="eastAsia" w:cs="宋体"/>
          <w:szCs w:val="24"/>
        </w:rPr>
        <w:t>名称：新疆诚成工程项目管理有限公司</w:t>
      </w:r>
    </w:p>
    <w:p w14:paraId="13B75214">
      <w:pPr>
        <w:pStyle w:val="25"/>
        <w:adjustRightInd w:val="0"/>
        <w:snapToGrid w:val="0"/>
        <w:ind w:firstLine="480"/>
        <w:rPr>
          <w:rFonts w:hint="eastAsia" w:cs="宋体"/>
          <w:szCs w:val="24"/>
        </w:rPr>
      </w:pPr>
      <w:r>
        <w:rPr>
          <w:rFonts w:hint="eastAsia" w:cs="宋体"/>
          <w:szCs w:val="24"/>
        </w:rPr>
        <w:t>地址：乌市水磨沟区红光山路2588号绿地中心领海大厦1806</w:t>
      </w:r>
    </w:p>
    <w:p w14:paraId="5E5B45C6">
      <w:pPr>
        <w:adjustRightInd w:val="0"/>
        <w:snapToGrid w:val="0"/>
        <w:ind w:firstLine="480" w:firstLineChars="200"/>
        <w:rPr>
          <w:rFonts w:hint="eastAsia" w:cs="宋体"/>
          <w:szCs w:val="24"/>
        </w:rPr>
      </w:pPr>
      <w:r>
        <w:rPr>
          <w:rFonts w:hint="eastAsia" w:cs="宋体"/>
          <w:szCs w:val="24"/>
        </w:rPr>
        <w:t>联系方式：13199858738、17767622798</w:t>
      </w:r>
    </w:p>
    <w:p w14:paraId="6D1EC5D6">
      <w:pPr>
        <w:adjustRightInd w:val="0"/>
        <w:snapToGrid w:val="0"/>
        <w:ind w:firstLine="480" w:firstLineChars="200"/>
        <w:rPr>
          <w:rFonts w:hint="eastAsia" w:cs="宋体"/>
          <w:szCs w:val="24"/>
        </w:rPr>
      </w:pPr>
      <w:r>
        <w:rPr>
          <w:rFonts w:hint="eastAsia" w:cs="宋体"/>
          <w:szCs w:val="24"/>
        </w:rPr>
        <w:t>3.项目联系方式</w:t>
      </w:r>
    </w:p>
    <w:p w14:paraId="7CFCB15D">
      <w:pPr>
        <w:adjustRightInd w:val="0"/>
        <w:snapToGrid w:val="0"/>
        <w:ind w:firstLine="480" w:firstLineChars="200"/>
        <w:rPr>
          <w:rFonts w:hint="eastAsia" w:cs="宋体"/>
          <w:szCs w:val="24"/>
        </w:rPr>
      </w:pPr>
      <w:r>
        <w:rPr>
          <w:rFonts w:hint="eastAsia" w:cs="宋体"/>
          <w:szCs w:val="24"/>
        </w:rPr>
        <w:t>项目联系人：马琴、马洁、沙艳、马乐、王丽</w:t>
      </w:r>
    </w:p>
    <w:p w14:paraId="1F383D31">
      <w:pPr>
        <w:adjustRightInd w:val="0"/>
        <w:snapToGrid w:val="0"/>
        <w:ind w:firstLine="480" w:firstLineChars="200"/>
        <w:rPr>
          <w:rFonts w:hint="eastAsia" w:cs="宋体"/>
          <w:szCs w:val="24"/>
        </w:rPr>
      </w:pPr>
      <w:r>
        <w:rPr>
          <w:rFonts w:hint="eastAsia" w:cs="宋体"/>
          <w:szCs w:val="24"/>
        </w:rPr>
        <w:t>联系电话：13199858738、17767622798</w:t>
      </w:r>
    </w:p>
    <w:p w14:paraId="45089683">
      <w:pPr>
        <w:pStyle w:val="25"/>
        <w:spacing w:line="400" w:lineRule="exact"/>
        <w:ind w:firstLine="480"/>
        <w:rPr>
          <w:rFonts w:hint="eastAsia" w:cs="宋体"/>
          <w:szCs w:val="24"/>
        </w:rPr>
      </w:pPr>
    </w:p>
    <w:p w14:paraId="4544B48E">
      <w:pPr>
        <w:rPr>
          <w:rFonts w:hint="eastAsia" w:cs="宋体"/>
        </w:rPr>
        <w:sectPr>
          <w:footerReference r:id="rId5" w:type="default"/>
          <w:pgSz w:w="11906" w:h="16838"/>
          <w:pgMar w:top="1440" w:right="1800" w:bottom="1440" w:left="1800" w:header="851" w:footer="992" w:gutter="0"/>
          <w:pgNumType w:fmt="numberInDash" w:start="1"/>
          <w:cols w:space="425" w:num="1"/>
          <w:docGrid w:type="lines" w:linePitch="312" w:charSpace="0"/>
        </w:sectPr>
      </w:pPr>
    </w:p>
    <w:p w14:paraId="1E2C9AB2">
      <w:pPr>
        <w:pStyle w:val="6"/>
        <w:spacing w:before="220" w:after="220" w:line="480" w:lineRule="auto"/>
        <w:ind w:left="420" w:hanging="420"/>
        <w:rPr>
          <w:rFonts w:hint="eastAsia" w:eastAsia="宋体" w:cs="宋体"/>
          <w:sz w:val="36"/>
          <w:szCs w:val="36"/>
        </w:rPr>
      </w:pPr>
      <w:bookmarkStart w:id="107" w:name="_Toc25866"/>
      <w:r>
        <w:rPr>
          <w:rFonts w:hint="eastAsia" w:eastAsia="宋体" w:cs="宋体"/>
          <w:sz w:val="36"/>
          <w:szCs w:val="36"/>
        </w:rPr>
        <w:t>第二章 供应商须知</w:t>
      </w:r>
      <w:bookmarkEnd w:id="107"/>
    </w:p>
    <w:p w14:paraId="224924B5">
      <w:pPr>
        <w:pStyle w:val="7"/>
        <w:spacing w:before="80" w:after="80" w:line="360" w:lineRule="auto"/>
        <w:ind w:left="420" w:hanging="420"/>
        <w:rPr>
          <w:rFonts w:hint="eastAsia" w:ascii="宋体" w:hAnsi="宋体" w:cs="宋体"/>
          <w:sz w:val="28"/>
          <w:szCs w:val="28"/>
        </w:rPr>
      </w:pPr>
      <w:bookmarkStart w:id="108" w:name="_Toc30620"/>
      <w:r>
        <w:rPr>
          <w:rFonts w:hint="eastAsia" w:ascii="宋体" w:hAnsi="宋体" w:cs="宋体"/>
          <w:sz w:val="28"/>
          <w:szCs w:val="28"/>
        </w:rPr>
        <w:t>一、供应商须知前附表</w:t>
      </w:r>
      <w:bookmarkEnd w:id="108"/>
    </w:p>
    <w:p w14:paraId="016068EF">
      <w:pPr>
        <w:pStyle w:val="25"/>
        <w:ind w:firstLine="480"/>
        <w:rPr>
          <w:rFonts w:hint="eastAsia" w:cs="宋体"/>
        </w:rPr>
      </w:pPr>
      <w:r>
        <w:rPr>
          <w:rFonts w:hint="eastAsia" w:cs="宋体"/>
        </w:rPr>
        <w:t>磋商供应商应仔细阅读本磋商文件的第二章“供应商须知”，下面所列资料是对“供应商须知”的具体补充和说明。如有矛盾，应以本表为准。标记“☑”的选项意为适用于本项目，标记“□”的选项意为不适用于本项目。</w:t>
      </w:r>
    </w:p>
    <w:tbl>
      <w:tblPr>
        <w:tblStyle w:val="19"/>
        <w:tblW w:w="9887" w:type="dxa"/>
        <w:tblInd w:w="-454"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57" w:type="dxa"/>
          <w:left w:w="108" w:type="dxa"/>
          <w:bottom w:w="57" w:type="dxa"/>
          <w:right w:w="108" w:type="dxa"/>
        </w:tblCellMar>
      </w:tblPr>
      <w:tblGrid>
        <w:gridCol w:w="970"/>
        <w:gridCol w:w="1971"/>
        <w:gridCol w:w="6946"/>
      </w:tblGrid>
      <w:tr w14:paraId="5EEA9AB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567" w:hRule="atLeast"/>
          <w:tblHeader/>
        </w:trPr>
        <w:tc>
          <w:tcPr>
            <w:tcW w:w="970"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55EA5529">
            <w:pPr>
              <w:pStyle w:val="28"/>
              <w:spacing w:line="400" w:lineRule="exact"/>
              <w:jc w:val="center"/>
              <w:rPr>
                <w:rFonts w:hint="eastAsia" w:cs="宋体"/>
                <w:b/>
                <w:bCs/>
                <w:sz w:val="24"/>
                <w:szCs w:val="24"/>
              </w:rPr>
            </w:pPr>
            <w:bookmarkStart w:id="109" w:name="_Hlk161703381"/>
            <w:r>
              <w:rPr>
                <w:rFonts w:hint="eastAsia" w:cs="宋体"/>
                <w:b/>
                <w:bCs/>
                <w:sz w:val="24"/>
                <w:szCs w:val="24"/>
              </w:rPr>
              <w:t>条款号</w:t>
            </w:r>
          </w:p>
        </w:tc>
        <w:tc>
          <w:tcPr>
            <w:tcW w:w="1971"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560503F1">
            <w:pPr>
              <w:pStyle w:val="28"/>
              <w:spacing w:line="400" w:lineRule="exact"/>
              <w:jc w:val="center"/>
              <w:rPr>
                <w:rFonts w:hint="eastAsia" w:cs="宋体"/>
                <w:b/>
                <w:bCs/>
                <w:sz w:val="24"/>
                <w:szCs w:val="24"/>
              </w:rPr>
            </w:pPr>
            <w:r>
              <w:rPr>
                <w:rFonts w:hint="eastAsia" w:cs="宋体"/>
                <w:b/>
                <w:bCs/>
                <w:sz w:val="24"/>
                <w:szCs w:val="24"/>
              </w:rPr>
              <w:t>条款名称</w:t>
            </w:r>
          </w:p>
        </w:tc>
        <w:tc>
          <w:tcPr>
            <w:tcW w:w="6946"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6777820C">
            <w:pPr>
              <w:pStyle w:val="28"/>
              <w:spacing w:line="400" w:lineRule="exact"/>
              <w:jc w:val="center"/>
              <w:rPr>
                <w:rFonts w:hint="eastAsia" w:cs="宋体"/>
                <w:b/>
                <w:bCs/>
                <w:sz w:val="24"/>
                <w:szCs w:val="24"/>
              </w:rPr>
            </w:pPr>
            <w:r>
              <w:rPr>
                <w:rFonts w:hint="eastAsia" w:cs="宋体"/>
                <w:b/>
                <w:bCs/>
                <w:sz w:val="24"/>
                <w:szCs w:val="24"/>
              </w:rPr>
              <w:t>内  容</w:t>
            </w:r>
          </w:p>
        </w:tc>
      </w:tr>
      <w:tr w14:paraId="00CDAA8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567" w:hRule="atLeast"/>
        </w:trPr>
        <w:tc>
          <w:tcPr>
            <w:tcW w:w="970" w:type="dxa"/>
            <w:tcBorders>
              <w:top w:val="single" w:color="auto" w:sz="2" w:space="0"/>
              <w:left w:val="single" w:color="auto" w:sz="2" w:space="0"/>
              <w:bottom w:val="single" w:color="auto" w:sz="2" w:space="0"/>
              <w:right w:val="single" w:color="auto" w:sz="2" w:space="0"/>
            </w:tcBorders>
            <w:vAlign w:val="center"/>
          </w:tcPr>
          <w:p w14:paraId="66D2FF53">
            <w:pPr>
              <w:pStyle w:val="28"/>
              <w:adjustRightInd w:val="0"/>
              <w:snapToGrid w:val="0"/>
              <w:spacing w:line="400" w:lineRule="exact"/>
              <w:jc w:val="center"/>
              <w:rPr>
                <w:rFonts w:hint="eastAsia" w:cs="宋体"/>
                <w:sz w:val="24"/>
                <w:szCs w:val="24"/>
                <w:highlight w:val="none"/>
              </w:rPr>
            </w:pPr>
            <w:r>
              <w:rPr>
                <w:rFonts w:hint="eastAsia" w:cs="宋体"/>
                <w:sz w:val="24"/>
                <w:szCs w:val="24"/>
                <w:highlight w:val="none"/>
              </w:rPr>
              <w:t>1</w:t>
            </w:r>
          </w:p>
        </w:tc>
        <w:tc>
          <w:tcPr>
            <w:tcW w:w="1971" w:type="dxa"/>
            <w:tcBorders>
              <w:top w:val="single" w:color="auto" w:sz="2" w:space="0"/>
              <w:left w:val="single" w:color="auto" w:sz="2" w:space="0"/>
              <w:bottom w:val="single" w:color="auto" w:sz="2" w:space="0"/>
              <w:right w:val="single" w:color="auto" w:sz="2" w:space="0"/>
            </w:tcBorders>
            <w:vAlign w:val="center"/>
          </w:tcPr>
          <w:p w14:paraId="7ACDA765">
            <w:pPr>
              <w:pStyle w:val="28"/>
              <w:adjustRightInd w:val="0"/>
              <w:snapToGrid w:val="0"/>
              <w:spacing w:line="400" w:lineRule="exact"/>
              <w:jc w:val="center"/>
              <w:rPr>
                <w:rFonts w:hint="eastAsia" w:cs="宋体"/>
                <w:sz w:val="24"/>
                <w:szCs w:val="24"/>
                <w:highlight w:val="none"/>
              </w:rPr>
            </w:pPr>
            <w:r>
              <w:rPr>
                <w:rFonts w:hint="eastAsia" w:cs="宋体"/>
                <w:sz w:val="24"/>
                <w:szCs w:val="24"/>
                <w:highlight w:val="none"/>
              </w:rPr>
              <w:t>项目名称</w:t>
            </w:r>
          </w:p>
        </w:tc>
        <w:tc>
          <w:tcPr>
            <w:tcW w:w="6946" w:type="dxa"/>
            <w:tcBorders>
              <w:top w:val="single" w:color="auto" w:sz="2" w:space="0"/>
              <w:left w:val="single" w:color="auto" w:sz="2" w:space="0"/>
              <w:bottom w:val="single" w:color="auto" w:sz="2" w:space="0"/>
              <w:right w:val="single" w:color="auto" w:sz="2" w:space="0"/>
            </w:tcBorders>
            <w:vAlign w:val="center"/>
          </w:tcPr>
          <w:p w14:paraId="090866C0">
            <w:pPr>
              <w:pStyle w:val="28"/>
              <w:adjustRightInd w:val="0"/>
              <w:snapToGrid w:val="0"/>
              <w:spacing w:line="400" w:lineRule="exact"/>
              <w:rPr>
                <w:rFonts w:hint="eastAsia" w:cs="宋体"/>
                <w:sz w:val="24"/>
                <w:szCs w:val="24"/>
                <w:highlight w:val="none"/>
                <w:u w:val="single"/>
              </w:rPr>
            </w:pPr>
            <w:r>
              <w:rPr>
                <w:rFonts w:hint="eastAsia" w:cs="宋体"/>
                <w:sz w:val="24"/>
                <w:szCs w:val="24"/>
                <w:highlight w:val="none"/>
                <w:u w:val="single"/>
              </w:rPr>
              <w:t>关于自治区财政支持南疆城市更新试点行动的可行性研究项目</w:t>
            </w:r>
          </w:p>
        </w:tc>
      </w:tr>
      <w:tr w14:paraId="487F02D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567" w:hRule="atLeast"/>
        </w:trPr>
        <w:tc>
          <w:tcPr>
            <w:tcW w:w="970" w:type="dxa"/>
            <w:tcBorders>
              <w:top w:val="single" w:color="auto" w:sz="2" w:space="0"/>
              <w:left w:val="single" w:color="auto" w:sz="2" w:space="0"/>
              <w:bottom w:val="single" w:color="auto" w:sz="2" w:space="0"/>
              <w:right w:val="single" w:color="auto" w:sz="2" w:space="0"/>
            </w:tcBorders>
            <w:vAlign w:val="center"/>
          </w:tcPr>
          <w:p w14:paraId="384526A9">
            <w:pPr>
              <w:pStyle w:val="28"/>
              <w:adjustRightInd w:val="0"/>
              <w:snapToGrid w:val="0"/>
              <w:spacing w:line="400" w:lineRule="exact"/>
              <w:jc w:val="center"/>
              <w:rPr>
                <w:rFonts w:hint="eastAsia" w:cs="宋体"/>
                <w:sz w:val="24"/>
                <w:szCs w:val="24"/>
              </w:rPr>
            </w:pPr>
            <w:r>
              <w:rPr>
                <w:rFonts w:hint="eastAsia" w:cs="宋体"/>
                <w:sz w:val="24"/>
                <w:szCs w:val="24"/>
              </w:rPr>
              <w:t>2.2</w:t>
            </w:r>
          </w:p>
        </w:tc>
        <w:tc>
          <w:tcPr>
            <w:tcW w:w="1971" w:type="dxa"/>
            <w:tcBorders>
              <w:top w:val="single" w:color="auto" w:sz="2" w:space="0"/>
              <w:left w:val="single" w:color="auto" w:sz="2" w:space="0"/>
              <w:bottom w:val="single" w:color="auto" w:sz="2" w:space="0"/>
              <w:right w:val="single" w:color="auto" w:sz="2" w:space="0"/>
            </w:tcBorders>
            <w:vAlign w:val="center"/>
          </w:tcPr>
          <w:p w14:paraId="2ACE9C70">
            <w:pPr>
              <w:pStyle w:val="28"/>
              <w:adjustRightInd w:val="0"/>
              <w:snapToGrid w:val="0"/>
              <w:spacing w:line="400" w:lineRule="exact"/>
              <w:jc w:val="center"/>
              <w:rPr>
                <w:rFonts w:hint="eastAsia" w:cs="宋体"/>
                <w:sz w:val="24"/>
                <w:szCs w:val="24"/>
              </w:rPr>
            </w:pPr>
            <w:r>
              <w:rPr>
                <w:rFonts w:hint="eastAsia" w:cs="宋体"/>
                <w:sz w:val="24"/>
                <w:szCs w:val="24"/>
              </w:rPr>
              <w:t>采购人</w:t>
            </w:r>
          </w:p>
        </w:tc>
        <w:tc>
          <w:tcPr>
            <w:tcW w:w="6946" w:type="dxa"/>
            <w:tcBorders>
              <w:top w:val="single" w:color="auto" w:sz="2" w:space="0"/>
              <w:left w:val="single" w:color="auto" w:sz="2" w:space="0"/>
              <w:bottom w:val="single" w:color="auto" w:sz="2" w:space="0"/>
              <w:right w:val="single" w:color="auto" w:sz="2" w:space="0"/>
            </w:tcBorders>
            <w:vAlign w:val="center"/>
          </w:tcPr>
          <w:p w14:paraId="26EA2251">
            <w:pPr>
              <w:adjustRightInd w:val="0"/>
              <w:snapToGrid w:val="0"/>
              <w:spacing w:line="400" w:lineRule="exact"/>
              <w:rPr>
                <w:rFonts w:hint="eastAsia" w:cs="宋体"/>
                <w:szCs w:val="24"/>
              </w:rPr>
            </w:pPr>
            <w:r>
              <w:rPr>
                <w:rFonts w:hint="eastAsia" w:cs="宋体"/>
                <w:szCs w:val="24"/>
              </w:rPr>
              <w:t>采购人名称：新疆维吾尔自治区建设执业资格注册中心（新疆维吾尔自治区城市建设档案馆）　　　　　　　　</w:t>
            </w:r>
          </w:p>
          <w:p w14:paraId="76C8ADCC">
            <w:pPr>
              <w:adjustRightInd w:val="0"/>
              <w:snapToGrid w:val="0"/>
              <w:spacing w:line="400" w:lineRule="exact"/>
              <w:rPr>
                <w:rFonts w:hint="eastAsia" w:cs="宋体"/>
                <w:szCs w:val="24"/>
              </w:rPr>
            </w:pPr>
            <w:r>
              <w:rPr>
                <w:rFonts w:hint="eastAsia" w:cs="宋体"/>
                <w:szCs w:val="24"/>
              </w:rPr>
              <w:t>地址：乌市天山区中山路462号广场联合大厦A座</w:t>
            </w:r>
          </w:p>
          <w:p w14:paraId="0E272452">
            <w:pPr>
              <w:adjustRightInd w:val="0"/>
              <w:snapToGrid w:val="0"/>
              <w:spacing w:line="400" w:lineRule="exact"/>
              <w:rPr>
                <w:rFonts w:hint="eastAsia" w:cs="宋体"/>
                <w:szCs w:val="24"/>
              </w:rPr>
            </w:pPr>
            <w:r>
              <w:rPr>
                <w:rFonts w:hint="eastAsia" w:cs="宋体"/>
                <w:szCs w:val="24"/>
              </w:rPr>
              <w:t>联系人：蔡诗华</w:t>
            </w:r>
          </w:p>
          <w:p w14:paraId="0F32A6F5">
            <w:pPr>
              <w:adjustRightInd w:val="0"/>
              <w:snapToGrid w:val="0"/>
              <w:spacing w:line="400" w:lineRule="exact"/>
              <w:rPr>
                <w:rFonts w:hint="eastAsia" w:cs="宋体"/>
                <w:szCs w:val="24"/>
                <w:u w:val="single"/>
              </w:rPr>
            </w:pPr>
            <w:r>
              <w:rPr>
                <w:rFonts w:hint="eastAsia" w:cs="宋体"/>
                <w:szCs w:val="24"/>
              </w:rPr>
              <w:t>联系方式：</w:t>
            </w:r>
            <w:r>
              <w:rPr>
                <w:rFonts w:hint="eastAsia" w:cs="宋体"/>
              </w:rPr>
              <w:t>15699201697</w:t>
            </w:r>
          </w:p>
        </w:tc>
      </w:tr>
      <w:tr w14:paraId="530E97F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567" w:hRule="atLeast"/>
        </w:trPr>
        <w:tc>
          <w:tcPr>
            <w:tcW w:w="970" w:type="dxa"/>
            <w:tcBorders>
              <w:top w:val="single" w:color="auto" w:sz="2" w:space="0"/>
              <w:left w:val="single" w:color="auto" w:sz="2" w:space="0"/>
              <w:bottom w:val="single" w:color="auto" w:sz="2" w:space="0"/>
              <w:right w:val="single" w:color="auto" w:sz="2" w:space="0"/>
            </w:tcBorders>
            <w:vAlign w:val="center"/>
          </w:tcPr>
          <w:p w14:paraId="1E247E49">
            <w:pPr>
              <w:pStyle w:val="28"/>
              <w:adjustRightInd w:val="0"/>
              <w:snapToGrid w:val="0"/>
              <w:spacing w:line="400" w:lineRule="exact"/>
              <w:jc w:val="center"/>
              <w:rPr>
                <w:rFonts w:hint="eastAsia" w:cs="宋体"/>
                <w:sz w:val="24"/>
                <w:szCs w:val="24"/>
              </w:rPr>
            </w:pPr>
            <w:r>
              <w:rPr>
                <w:rFonts w:hint="eastAsia" w:cs="宋体"/>
                <w:sz w:val="24"/>
                <w:szCs w:val="24"/>
              </w:rPr>
              <w:t>2.3</w:t>
            </w:r>
          </w:p>
        </w:tc>
        <w:tc>
          <w:tcPr>
            <w:tcW w:w="1971" w:type="dxa"/>
            <w:tcBorders>
              <w:top w:val="single" w:color="auto" w:sz="2" w:space="0"/>
              <w:left w:val="single" w:color="auto" w:sz="2" w:space="0"/>
              <w:bottom w:val="single" w:color="auto" w:sz="2" w:space="0"/>
              <w:right w:val="single" w:color="auto" w:sz="2" w:space="0"/>
            </w:tcBorders>
            <w:vAlign w:val="center"/>
          </w:tcPr>
          <w:p w14:paraId="37A68DF1">
            <w:pPr>
              <w:pStyle w:val="28"/>
              <w:adjustRightInd w:val="0"/>
              <w:snapToGrid w:val="0"/>
              <w:spacing w:line="400" w:lineRule="exact"/>
              <w:jc w:val="center"/>
              <w:rPr>
                <w:rFonts w:hint="eastAsia" w:cs="宋体"/>
                <w:sz w:val="24"/>
                <w:szCs w:val="24"/>
              </w:rPr>
            </w:pPr>
            <w:r>
              <w:rPr>
                <w:rFonts w:hint="eastAsia" w:cs="宋体"/>
                <w:sz w:val="24"/>
                <w:szCs w:val="24"/>
              </w:rPr>
              <w:t>采购代理机构</w:t>
            </w:r>
          </w:p>
        </w:tc>
        <w:tc>
          <w:tcPr>
            <w:tcW w:w="6946" w:type="dxa"/>
            <w:tcBorders>
              <w:top w:val="single" w:color="auto" w:sz="2" w:space="0"/>
              <w:left w:val="single" w:color="auto" w:sz="2" w:space="0"/>
              <w:bottom w:val="single" w:color="auto" w:sz="2" w:space="0"/>
              <w:right w:val="single" w:color="auto" w:sz="2" w:space="0"/>
            </w:tcBorders>
            <w:vAlign w:val="center"/>
          </w:tcPr>
          <w:p w14:paraId="732FB2B5">
            <w:pPr>
              <w:widowControl/>
              <w:adjustRightInd w:val="0"/>
              <w:snapToGrid w:val="0"/>
              <w:spacing w:line="400" w:lineRule="exact"/>
              <w:rPr>
                <w:rFonts w:hint="eastAsia" w:cs="宋体"/>
                <w:szCs w:val="24"/>
              </w:rPr>
            </w:pPr>
            <w:r>
              <w:rPr>
                <w:rFonts w:hint="eastAsia" w:cs="宋体"/>
                <w:szCs w:val="24"/>
              </w:rPr>
              <w:t>采购代理机构名称：新疆诚成工程项目管理有限公司</w:t>
            </w:r>
          </w:p>
          <w:p w14:paraId="40D26968">
            <w:pPr>
              <w:widowControl/>
              <w:adjustRightInd w:val="0"/>
              <w:snapToGrid w:val="0"/>
              <w:spacing w:line="400" w:lineRule="exact"/>
              <w:rPr>
                <w:rFonts w:hint="eastAsia" w:cs="宋体"/>
                <w:szCs w:val="24"/>
              </w:rPr>
            </w:pPr>
            <w:r>
              <w:rPr>
                <w:rFonts w:hint="eastAsia" w:cs="宋体"/>
                <w:szCs w:val="24"/>
              </w:rPr>
              <w:t>联系人：马琴、马洁、沙艳、马乐、王丽  </w:t>
            </w:r>
          </w:p>
          <w:p w14:paraId="5173DBC4">
            <w:pPr>
              <w:pStyle w:val="18"/>
              <w:adjustRightInd w:val="0"/>
              <w:snapToGrid w:val="0"/>
              <w:spacing w:before="0" w:beforeAutospacing="0" w:after="0" w:afterAutospacing="0" w:line="400" w:lineRule="exact"/>
              <w:rPr>
                <w:rFonts w:hint="eastAsia"/>
                <w:szCs w:val="24"/>
              </w:rPr>
            </w:pPr>
            <w:r>
              <w:rPr>
                <w:rFonts w:hint="eastAsia"/>
                <w:szCs w:val="24"/>
              </w:rPr>
              <w:t>联系电话：13199858738、17767622798</w:t>
            </w:r>
          </w:p>
          <w:p w14:paraId="7A3BBAEF">
            <w:pPr>
              <w:widowControl/>
              <w:adjustRightInd w:val="0"/>
              <w:snapToGrid w:val="0"/>
              <w:spacing w:line="400" w:lineRule="exact"/>
              <w:rPr>
                <w:rFonts w:hint="eastAsia" w:cs="宋体"/>
                <w:szCs w:val="24"/>
                <w:u w:val="single"/>
              </w:rPr>
            </w:pPr>
            <w:r>
              <w:rPr>
                <w:rFonts w:hint="eastAsia" w:cs="宋体"/>
                <w:szCs w:val="24"/>
              </w:rPr>
              <w:t xml:space="preserve">地址：乌市水磨沟区红光山路2588号绿地中心领海大厦1806       </w:t>
            </w:r>
          </w:p>
        </w:tc>
      </w:tr>
      <w:tr w14:paraId="3A7B706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567" w:hRule="atLeast"/>
        </w:trPr>
        <w:tc>
          <w:tcPr>
            <w:tcW w:w="970" w:type="dxa"/>
            <w:tcBorders>
              <w:top w:val="single" w:color="auto" w:sz="2" w:space="0"/>
              <w:left w:val="single" w:color="auto" w:sz="2" w:space="0"/>
              <w:bottom w:val="single" w:color="auto" w:sz="2" w:space="0"/>
              <w:right w:val="single" w:color="auto" w:sz="2" w:space="0"/>
            </w:tcBorders>
            <w:vAlign w:val="center"/>
          </w:tcPr>
          <w:p w14:paraId="3704EA20">
            <w:pPr>
              <w:pStyle w:val="28"/>
              <w:spacing w:line="400" w:lineRule="exact"/>
              <w:jc w:val="center"/>
              <w:rPr>
                <w:rFonts w:hint="eastAsia" w:cs="宋体"/>
                <w:sz w:val="24"/>
                <w:szCs w:val="24"/>
              </w:rPr>
            </w:pPr>
            <w:r>
              <w:rPr>
                <w:rFonts w:hint="eastAsia" w:cs="宋体"/>
                <w:sz w:val="24"/>
                <w:szCs w:val="24"/>
              </w:rPr>
              <w:t>2.5</w:t>
            </w:r>
          </w:p>
        </w:tc>
        <w:tc>
          <w:tcPr>
            <w:tcW w:w="1971" w:type="dxa"/>
            <w:tcBorders>
              <w:top w:val="single" w:color="auto" w:sz="2" w:space="0"/>
              <w:left w:val="single" w:color="auto" w:sz="2" w:space="0"/>
              <w:bottom w:val="single" w:color="auto" w:sz="2" w:space="0"/>
              <w:right w:val="single" w:color="auto" w:sz="2" w:space="0"/>
            </w:tcBorders>
            <w:vAlign w:val="center"/>
          </w:tcPr>
          <w:p w14:paraId="70EEC57E">
            <w:pPr>
              <w:pStyle w:val="28"/>
              <w:spacing w:line="400" w:lineRule="exact"/>
              <w:jc w:val="center"/>
              <w:rPr>
                <w:rFonts w:hint="eastAsia" w:cs="宋体"/>
                <w:sz w:val="24"/>
                <w:szCs w:val="24"/>
              </w:rPr>
            </w:pPr>
            <w:r>
              <w:rPr>
                <w:rFonts w:hint="eastAsia" w:cs="宋体"/>
                <w:sz w:val="24"/>
                <w:szCs w:val="24"/>
              </w:rPr>
              <w:t>服务内容</w:t>
            </w:r>
          </w:p>
        </w:tc>
        <w:tc>
          <w:tcPr>
            <w:tcW w:w="6946" w:type="dxa"/>
            <w:tcBorders>
              <w:top w:val="single" w:color="auto" w:sz="2" w:space="0"/>
              <w:left w:val="single" w:color="auto" w:sz="2" w:space="0"/>
              <w:bottom w:val="single" w:color="auto" w:sz="2" w:space="0"/>
              <w:right w:val="single" w:color="auto" w:sz="2" w:space="0"/>
            </w:tcBorders>
            <w:vAlign w:val="center"/>
          </w:tcPr>
          <w:p w14:paraId="566B01F6">
            <w:pPr>
              <w:pStyle w:val="28"/>
              <w:spacing w:line="400" w:lineRule="exact"/>
              <w:jc w:val="both"/>
              <w:rPr>
                <w:rFonts w:hint="eastAsia" w:cs="宋体"/>
                <w:sz w:val="24"/>
                <w:szCs w:val="24"/>
                <w:u w:val="single"/>
              </w:rPr>
            </w:pPr>
            <w:r>
              <w:rPr>
                <w:rFonts w:hint="eastAsia" w:cs="宋体"/>
                <w:sz w:val="24"/>
                <w:szCs w:val="24"/>
                <w:u w:val="single"/>
              </w:rPr>
              <w:t>关于自治区财政支持南疆城市更新试点行动的可行性研究项目，具体内容详见“第三章 项目采购需求”】 。</w:t>
            </w:r>
          </w:p>
        </w:tc>
      </w:tr>
      <w:tr w14:paraId="7054717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567" w:hRule="atLeast"/>
        </w:trPr>
        <w:tc>
          <w:tcPr>
            <w:tcW w:w="970" w:type="dxa"/>
            <w:tcBorders>
              <w:top w:val="single" w:color="auto" w:sz="2" w:space="0"/>
              <w:left w:val="single" w:color="auto" w:sz="2" w:space="0"/>
              <w:bottom w:val="single" w:color="auto" w:sz="2" w:space="0"/>
              <w:right w:val="single" w:color="auto" w:sz="2" w:space="0"/>
            </w:tcBorders>
            <w:vAlign w:val="center"/>
          </w:tcPr>
          <w:p w14:paraId="2AEE4073">
            <w:pPr>
              <w:pStyle w:val="28"/>
              <w:spacing w:line="400" w:lineRule="exact"/>
              <w:jc w:val="center"/>
              <w:rPr>
                <w:rFonts w:hint="eastAsia" w:cs="宋体"/>
                <w:sz w:val="24"/>
                <w:szCs w:val="24"/>
              </w:rPr>
            </w:pPr>
            <w:r>
              <w:rPr>
                <w:rFonts w:hint="eastAsia" w:cs="宋体"/>
                <w:sz w:val="24"/>
                <w:szCs w:val="24"/>
              </w:rPr>
              <w:t>9.1</w:t>
            </w:r>
          </w:p>
        </w:tc>
        <w:tc>
          <w:tcPr>
            <w:tcW w:w="1971" w:type="dxa"/>
            <w:tcBorders>
              <w:top w:val="single" w:color="auto" w:sz="2" w:space="0"/>
              <w:left w:val="single" w:color="auto" w:sz="2" w:space="0"/>
              <w:bottom w:val="single" w:color="auto" w:sz="2" w:space="0"/>
              <w:right w:val="single" w:color="auto" w:sz="2" w:space="0"/>
            </w:tcBorders>
            <w:vAlign w:val="center"/>
          </w:tcPr>
          <w:p w14:paraId="71CF8DC6">
            <w:pPr>
              <w:pStyle w:val="28"/>
              <w:spacing w:line="400" w:lineRule="exact"/>
              <w:jc w:val="center"/>
              <w:rPr>
                <w:rFonts w:hint="eastAsia" w:cs="宋体"/>
                <w:sz w:val="24"/>
                <w:szCs w:val="24"/>
              </w:rPr>
            </w:pPr>
            <w:bookmarkStart w:id="110" w:name="_Hlk143529175"/>
            <w:r>
              <w:rPr>
                <w:rFonts w:hint="eastAsia" w:cs="宋体"/>
                <w:sz w:val="24"/>
                <w:szCs w:val="24"/>
              </w:rPr>
              <w:t>现场考察</w:t>
            </w:r>
            <w:bookmarkEnd w:id="110"/>
          </w:p>
        </w:tc>
        <w:tc>
          <w:tcPr>
            <w:tcW w:w="6946" w:type="dxa"/>
            <w:tcBorders>
              <w:top w:val="single" w:color="auto" w:sz="2" w:space="0"/>
              <w:left w:val="single" w:color="auto" w:sz="2" w:space="0"/>
              <w:bottom w:val="single" w:color="auto" w:sz="2" w:space="0"/>
              <w:right w:val="single" w:color="auto" w:sz="2" w:space="0"/>
            </w:tcBorders>
            <w:vAlign w:val="center"/>
          </w:tcPr>
          <w:p w14:paraId="5E2B3EE4">
            <w:pPr>
              <w:pStyle w:val="28"/>
              <w:spacing w:line="400" w:lineRule="exact"/>
              <w:rPr>
                <w:rFonts w:hint="eastAsia" w:cs="宋体"/>
                <w:sz w:val="24"/>
                <w:szCs w:val="24"/>
              </w:rPr>
            </w:pPr>
            <w:r>
              <w:rPr>
                <w:rFonts w:hint="eastAsia" w:cs="宋体"/>
                <w:sz w:val="24"/>
                <w:szCs w:val="24"/>
              </w:rPr>
              <w:sym w:font="Wingdings" w:char="00FE"/>
            </w:r>
            <w:r>
              <w:rPr>
                <w:rFonts w:hint="eastAsia" w:cs="宋体"/>
                <w:sz w:val="24"/>
                <w:szCs w:val="24"/>
              </w:rPr>
              <w:t>不组织，供应商自行前往</w:t>
            </w:r>
          </w:p>
          <w:p w14:paraId="2238EF6A">
            <w:pPr>
              <w:pStyle w:val="28"/>
              <w:spacing w:line="400" w:lineRule="exact"/>
              <w:rPr>
                <w:rFonts w:hint="eastAsia" w:cs="宋体"/>
                <w:sz w:val="24"/>
                <w:szCs w:val="24"/>
              </w:rPr>
            </w:pPr>
            <w:r>
              <w:rPr>
                <w:rFonts w:hint="eastAsia" w:cs="宋体"/>
                <w:sz w:val="24"/>
                <w:szCs w:val="24"/>
              </w:rPr>
              <w:sym w:font="Wingdings" w:char="F0A8"/>
            </w:r>
            <w:r>
              <w:rPr>
                <w:rFonts w:hint="eastAsia" w:cs="宋体"/>
                <w:sz w:val="24"/>
                <w:szCs w:val="24"/>
              </w:rPr>
              <w:t>组织</w:t>
            </w:r>
          </w:p>
          <w:p w14:paraId="047A7004">
            <w:pPr>
              <w:pStyle w:val="28"/>
              <w:spacing w:line="400" w:lineRule="exact"/>
              <w:ind w:firstLine="240" w:firstLineChars="100"/>
              <w:rPr>
                <w:rFonts w:hint="eastAsia" w:cs="宋体"/>
                <w:sz w:val="24"/>
                <w:szCs w:val="24"/>
              </w:rPr>
            </w:pPr>
            <w:r>
              <w:rPr>
                <w:rFonts w:hint="eastAsia" w:cs="宋体"/>
                <w:sz w:val="24"/>
                <w:szCs w:val="24"/>
              </w:rPr>
              <w:t>时间：</w:t>
            </w:r>
            <w:r>
              <w:rPr>
                <w:rFonts w:hint="eastAsia" w:cs="宋体"/>
                <w:sz w:val="24"/>
                <w:szCs w:val="24"/>
                <w:u w:val="single"/>
              </w:rPr>
              <w:t xml:space="preserve">                     </w:t>
            </w:r>
            <w:r>
              <w:rPr>
                <w:rFonts w:hint="eastAsia" w:cs="宋体"/>
                <w:sz w:val="24"/>
                <w:szCs w:val="24"/>
              </w:rPr>
              <w:t>。</w:t>
            </w:r>
          </w:p>
          <w:p w14:paraId="1520FC15">
            <w:pPr>
              <w:pStyle w:val="28"/>
              <w:spacing w:line="400" w:lineRule="exact"/>
              <w:ind w:firstLine="240" w:firstLineChars="100"/>
              <w:rPr>
                <w:rFonts w:hint="eastAsia" w:cs="宋体"/>
                <w:sz w:val="24"/>
                <w:szCs w:val="24"/>
              </w:rPr>
            </w:pPr>
            <w:r>
              <w:rPr>
                <w:rFonts w:hint="eastAsia" w:cs="宋体"/>
                <w:sz w:val="24"/>
                <w:szCs w:val="24"/>
              </w:rPr>
              <w:t>地点：</w:t>
            </w:r>
            <w:r>
              <w:rPr>
                <w:rFonts w:hint="eastAsia" w:cs="宋体"/>
                <w:sz w:val="24"/>
                <w:szCs w:val="24"/>
                <w:u w:val="single"/>
              </w:rPr>
              <w:t xml:space="preserve">                     </w:t>
            </w:r>
            <w:r>
              <w:rPr>
                <w:rFonts w:hint="eastAsia" w:cs="宋体"/>
                <w:sz w:val="24"/>
                <w:szCs w:val="24"/>
              </w:rPr>
              <w:t>。</w:t>
            </w:r>
          </w:p>
        </w:tc>
      </w:tr>
      <w:tr w14:paraId="263D18D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567" w:hRule="atLeast"/>
        </w:trPr>
        <w:tc>
          <w:tcPr>
            <w:tcW w:w="970" w:type="dxa"/>
            <w:tcBorders>
              <w:top w:val="single" w:color="auto" w:sz="2" w:space="0"/>
              <w:left w:val="single" w:color="auto" w:sz="2" w:space="0"/>
              <w:bottom w:val="single" w:color="auto" w:sz="2" w:space="0"/>
              <w:right w:val="single" w:color="auto" w:sz="2" w:space="0"/>
            </w:tcBorders>
            <w:vAlign w:val="center"/>
          </w:tcPr>
          <w:p w14:paraId="6DD5B89A">
            <w:pPr>
              <w:pStyle w:val="28"/>
              <w:spacing w:line="400" w:lineRule="exact"/>
              <w:jc w:val="center"/>
              <w:rPr>
                <w:rFonts w:hint="eastAsia" w:cs="宋体"/>
                <w:sz w:val="24"/>
                <w:szCs w:val="24"/>
              </w:rPr>
            </w:pPr>
            <w:r>
              <w:rPr>
                <w:rFonts w:hint="eastAsia" w:cs="宋体"/>
                <w:sz w:val="24"/>
                <w:szCs w:val="24"/>
              </w:rPr>
              <w:t>9.5</w:t>
            </w:r>
          </w:p>
        </w:tc>
        <w:tc>
          <w:tcPr>
            <w:tcW w:w="1971" w:type="dxa"/>
            <w:tcBorders>
              <w:top w:val="single" w:color="auto" w:sz="2" w:space="0"/>
              <w:left w:val="single" w:color="auto" w:sz="2" w:space="0"/>
              <w:bottom w:val="single" w:color="auto" w:sz="2" w:space="0"/>
              <w:right w:val="single" w:color="auto" w:sz="2" w:space="0"/>
            </w:tcBorders>
            <w:vAlign w:val="center"/>
          </w:tcPr>
          <w:p w14:paraId="4D60B551">
            <w:pPr>
              <w:pStyle w:val="28"/>
              <w:spacing w:line="400" w:lineRule="exact"/>
              <w:jc w:val="center"/>
              <w:rPr>
                <w:rFonts w:hint="eastAsia" w:cs="宋体"/>
                <w:sz w:val="24"/>
                <w:szCs w:val="24"/>
              </w:rPr>
            </w:pPr>
            <w:r>
              <w:rPr>
                <w:rFonts w:hint="eastAsia" w:cs="宋体"/>
                <w:sz w:val="24"/>
                <w:szCs w:val="24"/>
              </w:rPr>
              <w:t>答疑会</w:t>
            </w:r>
          </w:p>
        </w:tc>
        <w:tc>
          <w:tcPr>
            <w:tcW w:w="6946" w:type="dxa"/>
            <w:tcBorders>
              <w:top w:val="single" w:color="auto" w:sz="2" w:space="0"/>
              <w:left w:val="single" w:color="auto" w:sz="2" w:space="0"/>
              <w:bottom w:val="single" w:color="auto" w:sz="2" w:space="0"/>
              <w:right w:val="single" w:color="auto" w:sz="2" w:space="0"/>
            </w:tcBorders>
            <w:vAlign w:val="center"/>
          </w:tcPr>
          <w:p w14:paraId="251DA069">
            <w:pPr>
              <w:pStyle w:val="28"/>
              <w:spacing w:line="400" w:lineRule="exact"/>
              <w:rPr>
                <w:rFonts w:hint="eastAsia" w:cs="宋体"/>
                <w:sz w:val="24"/>
                <w:szCs w:val="24"/>
              </w:rPr>
            </w:pPr>
            <w:r>
              <w:rPr>
                <w:rFonts w:hint="eastAsia" w:cs="宋体"/>
                <w:sz w:val="24"/>
                <w:szCs w:val="24"/>
              </w:rPr>
              <w:sym w:font="Wingdings" w:char="00FE"/>
            </w:r>
            <w:r>
              <w:rPr>
                <w:rFonts w:hint="eastAsia" w:cs="宋体"/>
                <w:sz w:val="24"/>
                <w:szCs w:val="24"/>
              </w:rPr>
              <w:t>不组织</w:t>
            </w:r>
          </w:p>
          <w:p w14:paraId="6CDDB2BC">
            <w:pPr>
              <w:pStyle w:val="28"/>
              <w:spacing w:line="400" w:lineRule="exact"/>
              <w:rPr>
                <w:rFonts w:hint="eastAsia" w:cs="宋体"/>
                <w:sz w:val="24"/>
                <w:szCs w:val="24"/>
              </w:rPr>
            </w:pPr>
            <w:r>
              <w:rPr>
                <w:rFonts w:hint="eastAsia" w:cs="宋体"/>
                <w:sz w:val="24"/>
                <w:szCs w:val="24"/>
              </w:rPr>
              <w:sym w:font="Wingdings" w:char="00A8"/>
            </w:r>
            <w:r>
              <w:rPr>
                <w:rFonts w:hint="eastAsia" w:cs="宋体"/>
                <w:sz w:val="24"/>
                <w:szCs w:val="24"/>
              </w:rPr>
              <w:t>组织</w:t>
            </w:r>
          </w:p>
          <w:p w14:paraId="22E645A0">
            <w:pPr>
              <w:pStyle w:val="28"/>
              <w:spacing w:line="400" w:lineRule="exact"/>
              <w:ind w:firstLine="240" w:firstLineChars="100"/>
              <w:rPr>
                <w:rFonts w:hint="eastAsia" w:cs="宋体"/>
                <w:sz w:val="24"/>
                <w:szCs w:val="24"/>
              </w:rPr>
            </w:pPr>
            <w:r>
              <w:rPr>
                <w:rFonts w:hint="eastAsia" w:cs="宋体"/>
                <w:sz w:val="24"/>
                <w:szCs w:val="24"/>
              </w:rPr>
              <w:t>时间：</w:t>
            </w:r>
            <w:r>
              <w:rPr>
                <w:rFonts w:hint="eastAsia" w:cs="宋体"/>
                <w:sz w:val="24"/>
                <w:szCs w:val="24"/>
                <w:u w:val="single"/>
              </w:rPr>
              <w:t xml:space="preserve">                     </w:t>
            </w:r>
            <w:r>
              <w:rPr>
                <w:rFonts w:hint="eastAsia" w:cs="宋体"/>
                <w:sz w:val="24"/>
                <w:szCs w:val="24"/>
              </w:rPr>
              <w:t>。</w:t>
            </w:r>
          </w:p>
          <w:p w14:paraId="5421787D">
            <w:pPr>
              <w:pStyle w:val="28"/>
              <w:spacing w:line="400" w:lineRule="exact"/>
              <w:ind w:firstLine="240" w:firstLineChars="100"/>
              <w:rPr>
                <w:rFonts w:hint="eastAsia" w:cs="宋体"/>
                <w:sz w:val="24"/>
                <w:szCs w:val="24"/>
              </w:rPr>
            </w:pPr>
            <w:r>
              <w:rPr>
                <w:rFonts w:hint="eastAsia" w:cs="宋体"/>
                <w:sz w:val="24"/>
                <w:szCs w:val="24"/>
              </w:rPr>
              <w:t>地点：</w:t>
            </w:r>
            <w:r>
              <w:rPr>
                <w:rFonts w:hint="eastAsia" w:cs="宋体"/>
                <w:sz w:val="24"/>
                <w:szCs w:val="24"/>
                <w:u w:val="single"/>
              </w:rPr>
              <w:t xml:space="preserve">                     </w:t>
            </w:r>
            <w:r>
              <w:rPr>
                <w:rFonts w:hint="eastAsia" w:cs="宋体"/>
                <w:sz w:val="24"/>
                <w:szCs w:val="24"/>
              </w:rPr>
              <w:t>。</w:t>
            </w:r>
          </w:p>
        </w:tc>
      </w:tr>
      <w:tr w14:paraId="50FF560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567" w:hRule="atLeast"/>
        </w:trPr>
        <w:tc>
          <w:tcPr>
            <w:tcW w:w="970" w:type="dxa"/>
            <w:tcBorders>
              <w:top w:val="single" w:color="auto" w:sz="2" w:space="0"/>
              <w:left w:val="single" w:color="auto" w:sz="2" w:space="0"/>
              <w:bottom w:val="single" w:color="auto" w:sz="2" w:space="0"/>
              <w:right w:val="single" w:color="auto" w:sz="2" w:space="0"/>
            </w:tcBorders>
            <w:vAlign w:val="center"/>
          </w:tcPr>
          <w:p w14:paraId="6CBF1A30">
            <w:pPr>
              <w:pStyle w:val="28"/>
              <w:spacing w:line="400" w:lineRule="exact"/>
              <w:jc w:val="center"/>
              <w:rPr>
                <w:rFonts w:hint="eastAsia" w:cs="宋体"/>
                <w:sz w:val="24"/>
                <w:szCs w:val="24"/>
              </w:rPr>
            </w:pPr>
            <w:r>
              <w:rPr>
                <w:rFonts w:hint="eastAsia" w:cs="宋体"/>
                <w:sz w:val="24"/>
                <w:szCs w:val="24"/>
              </w:rPr>
              <w:t>12.1</w:t>
            </w:r>
          </w:p>
        </w:tc>
        <w:tc>
          <w:tcPr>
            <w:tcW w:w="1971" w:type="dxa"/>
            <w:tcBorders>
              <w:top w:val="single" w:color="auto" w:sz="2" w:space="0"/>
              <w:left w:val="single" w:color="auto" w:sz="2" w:space="0"/>
              <w:bottom w:val="single" w:color="auto" w:sz="2" w:space="0"/>
              <w:right w:val="single" w:color="auto" w:sz="2" w:space="0"/>
            </w:tcBorders>
            <w:vAlign w:val="center"/>
          </w:tcPr>
          <w:p w14:paraId="4A7BE250">
            <w:pPr>
              <w:pStyle w:val="28"/>
              <w:spacing w:line="400" w:lineRule="exact"/>
              <w:jc w:val="center"/>
              <w:rPr>
                <w:rFonts w:hint="eastAsia" w:cs="宋体"/>
                <w:sz w:val="24"/>
                <w:szCs w:val="24"/>
              </w:rPr>
            </w:pPr>
            <w:r>
              <w:rPr>
                <w:rFonts w:hint="eastAsia" w:cs="宋体"/>
                <w:sz w:val="24"/>
                <w:szCs w:val="24"/>
              </w:rPr>
              <w:t>询问</w:t>
            </w:r>
          </w:p>
        </w:tc>
        <w:tc>
          <w:tcPr>
            <w:tcW w:w="6946" w:type="dxa"/>
            <w:tcBorders>
              <w:top w:val="single" w:color="auto" w:sz="2" w:space="0"/>
              <w:left w:val="single" w:color="auto" w:sz="2" w:space="0"/>
              <w:bottom w:val="single" w:color="auto" w:sz="2" w:space="0"/>
              <w:right w:val="single" w:color="auto" w:sz="2" w:space="0"/>
            </w:tcBorders>
            <w:vAlign w:val="center"/>
          </w:tcPr>
          <w:p w14:paraId="49C56F26">
            <w:pPr>
              <w:pStyle w:val="28"/>
              <w:adjustRightInd w:val="0"/>
              <w:snapToGrid w:val="0"/>
              <w:spacing w:line="400" w:lineRule="exact"/>
              <w:rPr>
                <w:rFonts w:hint="eastAsia" w:cs="宋体"/>
                <w:sz w:val="24"/>
                <w:szCs w:val="24"/>
              </w:rPr>
            </w:pPr>
            <w:r>
              <w:rPr>
                <w:rFonts w:hint="eastAsia" w:cs="宋体"/>
                <w:sz w:val="24"/>
                <w:szCs w:val="24"/>
              </w:rPr>
              <w:t>1.方式：</w:t>
            </w:r>
          </w:p>
          <w:p w14:paraId="66540688">
            <w:pPr>
              <w:pStyle w:val="28"/>
              <w:adjustRightInd w:val="0"/>
              <w:snapToGrid w:val="0"/>
              <w:spacing w:line="400" w:lineRule="exact"/>
              <w:ind w:firstLine="480" w:firstLineChars="200"/>
              <w:rPr>
                <w:rFonts w:hint="eastAsia" w:cs="宋体"/>
                <w:sz w:val="24"/>
                <w:szCs w:val="24"/>
              </w:rPr>
            </w:pPr>
            <w:r>
              <w:rPr>
                <w:rFonts w:hint="eastAsia" w:cs="宋体"/>
                <w:sz w:val="24"/>
                <w:szCs w:val="24"/>
              </w:rPr>
              <w:t>在供应商客户端中按照格式填写询问函，并在生成询问函后加盖电子印章提交；</w:t>
            </w:r>
          </w:p>
          <w:p w14:paraId="1080DBB6">
            <w:pPr>
              <w:pStyle w:val="28"/>
              <w:adjustRightInd w:val="0"/>
              <w:snapToGrid w:val="0"/>
              <w:spacing w:line="400" w:lineRule="exact"/>
              <w:ind w:firstLine="480" w:firstLineChars="200"/>
              <w:rPr>
                <w:rFonts w:hint="eastAsia" w:cs="宋体"/>
                <w:sz w:val="24"/>
                <w:szCs w:val="24"/>
              </w:rPr>
            </w:pPr>
            <w:r>
              <w:rPr>
                <w:rFonts w:hint="eastAsia" w:cs="宋体"/>
                <w:sz w:val="24"/>
                <w:szCs w:val="24"/>
              </w:rPr>
              <w:t>其他询问方式：</w:t>
            </w:r>
            <w:r>
              <w:rPr>
                <w:rFonts w:hint="eastAsia" w:cs="宋体"/>
                <w:sz w:val="24"/>
                <w:szCs w:val="24"/>
                <w:u w:val="single"/>
              </w:rPr>
              <w:t>以加盖供应商公章的书面形式递交至代理公司</w:t>
            </w:r>
            <w:r>
              <w:rPr>
                <w:rFonts w:hint="eastAsia" w:cs="宋体"/>
                <w:sz w:val="24"/>
                <w:szCs w:val="24"/>
              </w:rPr>
              <w:t>。</w:t>
            </w:r>
          </w:p>
          <w:p w14:paraId="29922CE1">
            <w:pPr>
              <w:pStyle w:val="28"/>
              <w:adjustRightInd w:val="0"/>
              <w:snapToGrid w:val="0"/>
              <w:spacing w:line="400" w:lineRule="exact"/>
              <w:rPr>
                <w:rFonts w:hint="eastAsia" w:cs="宋体"/>
                <w:sz w:val="24"/>
                <w:szCs w:val="24"/>
              </w:rPr>
            </w:pPr>
            <w:r>
              <w:rPr>
                <w:rFonts w:hint="eastAsia" w:cs="宋体"/>
                <w:sz w:val="24"/>
                <w:szCs w:val="24"/>
              </w:rPr>
              <w:t>2.时间要求：</w:t>
            </w:r>
          </w:p>
          <w:p w14:paraId="2E1677CE">
            <w:pPr>
              <w:pStyle w:val="28"/>
              <w:spacing w:line="400" w:lineRule="exact"/>
              <w:ind w:firstLine="480" w:firstLineChars="200"/>
              <w:rPr>
                <w:rFonts w:hint="eastAsia" w:cs="宋体"/>
                <w:sz w:val="24"/>
                <w:szCs w:val="24"/>
              </w:rPr>
            </w:pPr>
            <w:r>
              <w:rPr>
                <w:rFonts w:hint="eastAsia" w:cs="宋体"/>
                <w:sz w:val="24"/>
                <w:szCs w:val="24"/>
                <w:u w:val="single"/>
              </w:rPr>
              <w:t>自获取招标文件之日起7个工作日内（逾期视为对招标文件内容无异议的，采购人将视其为同意。在规定的时间后就招标文件内容提出的异议或询问的将不予受理。）</w:t>
            </w:r>
            <w:r>
              <w:rPr>
                <w:rFonts w:hint="eastAsia" w:cs="宋体"/>
                <w:sz w:val="24"/>
                <w:szCs w:val="24"/>
              </w:rPr>
              <w:t>。</w:t>
            </w:r>
          </w:p>
        </w:tc>
      </w:tr>
      <w:tr w14:paraId="6FA9621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567" w:hRule="atLeast"/>
        </w:trPr>
        <w:tc>
          <w:tcPr>
            <w:tcW w:w="970" w:type="dxa"/>
            <w:tcBorders>
              <w:top w:val="single" w:color="auto" w:sz="2" w:space="0"/>
              <w:left w:val="single" w:color="auto" w:sz="2" w:space="0"/>
              <w:bottom w:val="single" w:color="auto" w:sz="2" w:space="0"/>
              <w:right w:val="single" w:color="auto" w:sz="2" w:space="0"/>
            </w:tcBorders>
            <w:vAlign w:val="center"/>
          </w:tcPr>
          <w:p w14:paraId="5418A6F2">
            <w:pPr>
              <w:pStyle w:val="28"/>
              <w:spacing w:line="400" w:lineRule="exact"/>
              <w:jc w:val="center"/>
              <w:rPr>
                <w:rFonts w:hint="eastAsia" w:cs="宋体"/>
                <w:sz w:val="24"/>
                <w:szCs w:val="24"/>
                <w:highlight w:val="none"/>
              </w:rPr>
            </w:pPr>
            <w:r>
              <w:rPr>
                <w:rFonts w:hint="eastAsia" w:cs="宋体"/>
                <w:sz w:val="24"/>
                <w:szCs w:val="24"/>
                <w:highlight w:val="none"/>
              </w:rPr>
              <w:t>14.1</w:t>
            </w:r>
          </w:p>
        </w:tc>
        <w:tc>
          <w:tcPr>
            <w:tcW w:w="1971" w:type="dxa"/>
            <w:tcBorders>
              <w:top w:val="single" w:color="auto" w:sz="2" w:space="0"/>
              <w:left w:val="single" w:color="auto" w:sz="2" w:space="0"/>
              <w:bottom w:val="single" w:color="auto" w:sz="2" w:space="0"/>
              <w:right w:val="single" w:color="auto" w:sz="2" w:space="0"/>
            </w:tcBorders>
            <w:vAlign w:val="center"/>
          </w:tcPr>
          <w:p w14:paraId="1E4709E5">
            <w:pPr>
              <w:pStyle w:val="28"/>
              <w:spacing w:line="400" w:lineRule="exact"/>
              <w:jc w:val="center"/>
              <w:rPr>
                <w:rFonts w:hint="eastAsia" w:cs="宋体"/>
                <w:sz w:val="24"/>
                <w:szCs w:val="24"/>
                <w:highlight w:val="none"/>
              </w:rPr>
            </w:pPr>
            <w:r>
              <w:rPr>
                <w:rFonts w:hint="eastAsia" w:cs="宋体"/>
                <w:sz w:val="24"/>
                <w:szCs w:val="24"/>
                <w:highlight w:val="none"/>
              </w:rPr>
              <w:t>磋商报价</w:t>
            </w:r>
          </w:p>
        </w:tc>
        <w:tc>
          <w:tcPr>
            <w:tcW w:w="6946" w:type="dxa"/>
            <w:tcBorders>
              <w:top w:val="single" w:color="auto" w:sz="2" w:space="0"/>
              <w:left w:val="single" w:color="auto" w:sz="2" w:space="0"/>
              <w:bottom w:val="single" w:color="auto" w:sz="2" w:space="0"/>
              <w:right w:val="single" w:color="auto" w:sz="2" w:space="0"/>
            </w:tcBorders>
            <w:vAlign w:val="center"/>
          </w:tcPr>
          <w:p w14:paraId="44EE4E45">
            <w:pPr>
              <w:pStyle w:val="28"/>
              <w:spacing w:line="400" w:lineRule="exact"/>
              <w:rPr>
                <w:rFonts w:hint="eastAsia" w:cs="宋体"/>
                <w:sz w:val="24"/>
                <w:szCs w:val="24"/>
                <w:highlight w:val="none"/>
                <w:u w:val="single"/>
              </w:rPr>
            </w:pPr>
            <w:r>
              <w:rPr>
                <w:rFonts w:hint="eastAsia" w:cs="宋体"/>
                <w:sz w:val="24"/>
                <w:szCs w:val="24"/>
                <w:highlight w:val="none"/>
                <w:u w:val="single"/>
              </w:rPr>
              <w:t>磋商供应商的报价均应以人民币报价。磋商报价包括磋商供应商在首次提交的响应文件中的报价、磋商过程中的报价和最后报价，且均不得超过“第一章 竞争性磋商公告”中规定的最高限价或者预算金额，否则其响应文件将被视为无效文件。本项目最高限价或者预算金额为110000.00元</w:t>
            </w:r>
          </w:p>
        </w:tc>
      </w:tr>
      <w:tr w14:paraId="4571B91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567" w:hRule="atLeast"/>
        </w:trPr>
        <w:tc>
          <w:tcPr>
            <w:tcW w:w="970" w:type="dxa"/>
            <w:tcBorders>
              <w:top w:val="single" w:color="auto" w:sz="2" w:space="0"/>
              <w:left w:val="single" w:color="auto" w:sz="2" w:space="0"/>
              <w:bottom w:val="single" w:color="auto" w:sz="2" w:space="0"/>
              <w:right w:val="single" w:color="auto" w:sz="2" w:space="0"/>
            </w:tcBorders>
            <w:vAlign w:val="center"/>
          </w:tcPr>
          <w:p w14:paraId="697CBDA8">
            <w:pPr>
              <w:pStyle w:val="28"/>
              <w:spacing w:line="400" w:lineRule="exact"/>
              <w:jc w:val="center"/>
              <w:rPr>
                <w:rFonts w:hint="eastAsia" w:cs="宋体"/>
                <w:sz w:val="24"/>
                <w:szCs w:val="24"/>
              </w:rPr>
            </w:pPr>
            <w:r>
              <w:rPr>
                <w:rFonts w:hint="eastAsia" w:cs="宋体"/>
                <w:sz w:val="24"/>
                <w:szCs w:val="24"/>
              </w:rPr>
              <w:t>15.1</w:t>
            </w:r>
          </w:p>
        </w:tc>
        <w:tc>
          <w:tcPr>
            <w:tcW w:w="1971" w:type="dxa"/>
            <w:tcBorders>
              <w:top w:val="single" w:color="auto" w:sz="2" w:space="0"/>
              <w:left w:val="single" w:color="auto" w:sz="2" w:space="0"/>
              <w:bottom w:val="single" w:color="auto" w:sz="2" w:space="0"/>
              <w:right w:val="single" w:color="auto" w:sz="2" w:space="0"/>
            </w:tcBorders>
            <w:vAlign w:val="center"/>
          </w:tcPr>
          <w:p w14:paraId="56E4A3E9">
            <w:pPr>
              <w:pStyle w:val="28"/>
              <w:spacing w:line="400" w:lineRule="exact"/>
              <w:jc w:val="center"/>
              <w:rPr>
                <w:rFonts w:hint="eastAsia" w:cs="宋体"/>
                <w:sz w:val="24"/>
                <w:szCs w:val="24"/>
              </w:rPr>
            </w:pPr>
            <w:r>
              <w:rPr>
                <w:rFonts w:hint="eastAsia" w:cs="宋体"/>
                <w:sz w:val="24"/>
                <w:szCs w:val="24"/>
              </w:rPr>
              <w:t>响应文件有效期</w:t>
            </w:r>
          </w:p>
        </w:tc>
        <w:tc>
          <w:tcPr>
            <w:tcW w:w="6946" w:type="dxa"/>
            <w:tcBorders>
              <w:top w:val="single" w:color="auto" w:sz="2" w:space="0"/>
              <w:left w:val="single" w:color="auto" w:sz="2" w:space="0"/>
              <w:bottom w:val="single" w:color="auto" w:sz="2" w:space="0"/>
              <w:right w:val="single" w:color="auto" w:sz="2" w:space="0"/>
            </w:tcBorders>
            <w:vAlign w:val="center"/>
          </w:tcPr>
          <w:p w14:paraId="7A8404D2">
            <w:pPr>
              <w:pStyle w:val="28"/>
              <w:spacing w:line="400" w:lineRule="exact"/>
              <w:rPr>
                <w:rFonts w:hint="eastAsia" w:cs="宋体"/>
                <w:sz w:val="24"/>
                <w:szCs w:val="24"/>
              </w:rPr>
            </w:pPr>
            <w:r>
              <w:rPr>
                <w:rFonts w:hint="eastAsia" w:cs="宋体"/>
                <w:sz w:val="24"/>
                <w:szCs w:val="24"/>
              </w:rPr>
              <w:t>响应文件递交截止日期后</w:t>
            </w:r>
            <w:r>
              <w:rPr>
                <w:rFonts w:hint="eastAsia" w:cs="宋体"/>
                <w:sz w:val="24"/>
                <w:szCs w:val="24"/>
                <w:u w:val="single"/>
              </w:rPr>
              <w:t>90</w:t>
            </w:r>
            <w:r>
              <w:rPr>
                <w:rFonts w:hint="eastAsia" w:cs="宋体"/>
                <w:sz w:val="24"/>
                <w:szCs w:val="24"/>
              </w:rPr>
              <w:t>日历日。</w:t>
            </w:r>
          </w:p>
        </w:tc>
      </w:tr>
      <w:tr w14:paraId="49C77E5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567" w:hRule="atLeast"/>
        </w:trPr>
        <w:tc>
          <w:tcPr>
            <w:tcW w:w="970" w:type="dxa"/>
            <w:tcBorders>
              <w:top w:val="single" w:color="auto" w:sz="2" w:space="0"/>
              <w:left w:val="single" w:color="auto" w:sz="2" w:space="0"/>
              <w:bottom w:val="single" w:color="auto" w:sz="2" w:space="0"/>
              <w:right w:val="single" w:color="auto" w:sz="2" w:space="0"/>
            </w:tcBorders>
            <w:vAlign w:val="center"/>
          </w:tcPr>
          <w:p w14:paraId="26C48057">
            <w:pPr>
              <w:pStyle w:val="28"/>
              <w:spacing w:line="400" w:lineRule="exact"/>
              <w:jc w:val="center"/>
              <w:rPr>
                <w:rFonts w:hint="eastAsia" w:cs="宋体"/>
                <w:sz w:val="24"/>
                <w:szCs w:val="24"/>
                <w:highlight w:val="none"/>
              </w:rPr>
            </w:pPr>
            <w:r>
              <w:rPr>
                <w:rFonts w:hint="eastAsia" w:cs="宋体"/>
                <w:sz w:val="24"/>
                <w:szCs w:val="24"/>
                <w:highlight w:val="none"/>
              </w:rPr>
              <w:t>17.1</w:t>
            </w:r>
          </w:p>
        </w:tc>
        <w:tc>
          <w:tcPr>
            <w:tcW w:w="1971" w:type="dxa"/>
            <w:tcBorders>
              <w:top w:val="single" w:color="auto" w:sz="2" w:space="0"/>
              <w:left w:val="single" w:color="auto" w:sz="2" w:space="0"/>
              <w:bottom w:val="single" w:color="auto" w:sz="2" w:space="0"/>
              <w:right w:val="single" w:color="auto" w:sz="2" w:space="0"/>
            </w:tcBorders>
            <w:vAlign w:val="center"/>
          </w:tcPr>
          <w:p w14:paraId="60D2F551">
            <w:pPr>
              <w:pStyle w:val="28"/>
              <w:spacing w:line="400" w:lineRule="exact"/>
              <w:jc w:val="center"/>
              <w:rPr>
                <w:rFonts w:hint="eastAsia" w:cs="宋体"/>
                <w:sz w:val="24"/>
                <w:szCs w:val="24"/>
                <w:highlight w:val="none"/>
              </w:rPr>
            </w:pPr>
            <w:r>
              <w:rPr>
                <w:rFonts w:hint="eastAsia" w:cs="宋体"/>
                <w:sz w:val="24"/>
                <w:szCs w:val="24"/>
                <w:highlight w:val="none"/>
              </w:rPr>
              <w:t>磋商保证金</w:t>
            </w:r>
          </w:p>
        </w:tc>
        <w:tc>
          <w:tcPr>
            <w:tcW w:w="6946" w:type="dxa"/>
            <w:tcBorders>
              <w:top w:val="single" w:color="auto" w:sz="2" w:space="0"/>
              <w:left w:val="single" w:color="auto" w:sz="2" w:space="0"/>
              <w:bottom w:val="single" w:color="auto" w:sz="2" w:space="0"/>
              <w:right w:val="single" w:color="auto" w:sz="2" w:space="0"/>
            </w:tcBorders>
            <w:vAlign w:val="center"/>
          </w:tcPr>
          <w:p w14:paraId="08A5DAAE">
            <w:pPr>
              <w:pStyle w:val="29"/>
              <w:adjustRightInd w:val="0"/>
              <w:snapToGrid w:val="0"/>
              <w:spacing w:line="400" w:lineRule="exact"/>
              <w:rPr>
                <w:rFonts w:hint="eastAsia" w:ascii="宋体" w:hAnsi="宋体" w:cs="宋体"/>
                <w:sz w:val="24"/>
                <w:szCs w:val="24"/>
                <w:highlight w:val="none"/>
              </w:rPr>
            </w:pPr>
            <w:r>
              <w:rPr>
                <w:rFonts w:hint="eastAsia" w:ascii="宋体" w:hAnsi="宋体" w:cs="宋体"/>
                <w:sz w:val="24"/>
                <w:szCs w:val="24"/>
                <w:highlight w:val="none"/>
              </w:rPr>
              <w:t>1.金额：</w:t>
            </w:r>
          </w:p>
          <w:p w14:paraId="707005D7">
            <w:pPr>
              <w:pStyle w:val="29"/>
              <w:adjustRightInd w:val="0"/>
              <w:snapToGrid w:val="0"/>
              <w:spacing w:line="400" w:lineRule="exact"/>
              <w:ind w:firstLine="480" w:firstLineChars="200"/>
              <w:rPr>
                <w:rFonts w:hint="eastAsia" w:ascii="宋体" w:hAnsi="宋体" w:cs="宋体"/>
                <w:sz w:val="24"/>
                <w:szCs w:val="24"/>
                <w:highlight w:val="none"/>
              </w:rPr>
            </w:pPr>
            <w:r>
              <w:rPr>
                <w:rFonts w:ascii="宋体" w:hAnsi="宋体" w:cs="宋体"/>
                <w:sz w:val="24"/>
                <w:szCs w:val="24"/>
                <w:highlight w:val="none"/>
              </w:rPr>
              <w:t>☑</w:t>
            </w:r>
            <w:r>
              <w:rPr>
                <w:rFonts w:hint="eastAsia" w:ascii="宋体" w:hAnsi="宋体" w:cs="宋体"/>
                <w:sz w:val="24"/>
                <w:szCs w:val="24"/>
                <w:highlight w:val="none"/>
              </w:rPr>
              <w:t>免收</w:t>
            </w:r>
          </w:p>
          <w:p w14:paraId="483172DA">
            <w:pPr>
              <w:pStyle w:val="29"/>
              <w:adjustRightInd w:val="0"/>
              <w:snapToGrid w:val="0"/>
              <w:spacing w:line="40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□预算金额的   %。</w:t>
            </w:r>
          </w:p>
          <w:p w14:paraId="5CA9234E">
            <w:pPr>
              <w:pStyle w:val="29"/>
              <w:adjustRightInd w:val="0"/>
              <w:snapToGrid w:val="0"/>
              <w:spacing w:line="40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□定额收取：</w:t>
            </w:r>
          </w:p>
          <w:p w14:paraId="17394A88">
            <w:pPr>
              <w:pStyle w:val="29"/>
              <w:adjustRightInd w:val="0"/>
              <w:snapToGrid w:val="0"/>
              <w:spacing w:line="400" w:lineRule="exact"/>
              <w:rPr>
                <w:rFonts w:hint="eastAsia" w:ascii="宋体" w:hAnsi="宋体" w:cs="宋体"/>
                <w:sz w:val="24"/>
                <w:szCs w:val="24"/>
                <w:highlight w:val="none"/>
              </w:rPr>
            </w:pPr>
            <w:r>
              <w:rPr>
                <w:rFonts w:hint="eastAsia" w:ascii="宋体" w:hAnsi="宋体" w:cs="宋体"/>
                <w:sz w:val="24"/>
                <w:szCs w:val="24"/>
                <w:highlight w:val="none"/>
              </w:rPr>
              <w:t>2.支付方式：</w:t>
            </w:r>
          </w:p>
          <w:p w14:paraId="6D8D136C">
            <w:pPr>
              <w:pStyle w:val="29"/>
              <w:adjustRightInd w:val="0"/>
              <w:snapToGrid w:val="0"/>
              <w:spacing w:line="400" w:lineRule="exact"/>
              <w:ind w:firstLine="240" w:firstLineChars="100"/>
              <w:rPr>
                <w:rFonts w:hint="eastAsia" w:ascii="宋体" w:hAnsi="宋体" w:cs="宋体"/>
                <w:sz w:val="24"/>
                <w:szCs w:val="24"/>
                <w:highlight w:val="none"/>
              </w:rPr>
            </w:pPr>
            <w:r>
              <w:rPr>
                <w:rFonts w:hint="eastAsia" w:ascii="宋体" w:hAnsi="宋体" w:cs="宋体"/>
                <w:sz w:val="24"/>
                <w:szCs w:val="24"/>
                <w:highlight w:val="none"/>
              </w:rPr>
              <w:t>磋商保证金缴纳方式：银行汇票、银行电汇、转账、本票或者金融机构、担保机构出具的保函等非现金形式提交。</w:t>
            </w:r>
          </w:p>
          <w:p w14:paraId="493E4F42">
            <w:pPr>
              <w:pStyle w:val="29"/>
              <w:adjustRightInd w:val="0"/>
              <w:snapToGrid w:val="0"/>
              <w:spacing w:line="400" w:lineRule="exact"/>
              <w:rPr>
                <w:rFonts w:hint="eastAsia" w:ascii="宋体" w:hAnsi="宋体" w:cs="宋体"/>
                <w:sz w:val="24"/>
                <w:szCs w:val="24"/>
                <w:highlight w:val="none"/>
              </w:rPr>
            </w:pPr>
            <w:r>
              <w:rPr>
                <w:rFonts w:hint="eastAsia" w:ascii="宋体" w:hAnsi="宋体" w:cs="宋体"/>
                <w:sz w:val="24"/>
                <w:szCs w:val="24"/>
                <w:highlight w:val="none"/>
              </w:rPr>
              <w:t>（1）若采用银行汇票、银行电汇、转账、本票时，磋商保证金于2026年</w:t>
            </w:r>
            <w:r>
              <w:rPr>
                <w:rFonts w:hint="eastAsia" w:ascii="宋体" w:hAnsi="宋体" w:cs="宋体"/>
                <w:sz w:val="24"/>
                <w:szCs w:val="24"/>
                <w:highlight w:val="none"/>
                <w:lang w:val="en-US" w:eastAsia="zh-CN"/>
              </w:rPr>
              <w:t>06</w:t>
            </w:r>
            <w:r>
              <w:rPr>
                <w:rFonts w:hint="eastAsia" w:ascii="宋体" w:hAnsi="宋体" w:cs="宋体"/>
                <w:sz w:val="24"/>
                <w:szCs w:val="24"/>
                <w:highlight w:val="none"/>
              </w:rPr>
              <w:t>月</w:t>
            </w:r>
            <w:r>
              <w:rPr>
                <w:rFonts w:hint="eastAsia" w:ascii="宋体" w:hAnsi="宋体" w:cs="宋体"/>
                <w:sz w:val="24"/>
                <w:szCs w:val="24"/>
                <w:highlight w:val="none"/>
                <w:lang w:val="en-US" w:eastAsia="zh-CN"/>
              </w:rPr>
              <w:t>03</w:t>
            </w:r>
            <w:r>
              <w:rPr>
                <w:rFonts w:hint="eastAsia" w:ascii="宋体" w:hAnsi="宋体" w:cs="宋体"/>
                <w:sz w:val="24"/>
                <w:szCs w:val="24"/>
                <w:highlight w:val="none"/>
              </w:rPr>
              <w:t>日1</w:t>
            </w:r>
            <w:r>
              <w:rPr>
                <w:rFonts w:hint="eastAsia" w:ascii="宋体" w:hAnsi="宋体" w:cs="宋体"/>
                <w:sz w:val="24"/>
                <w:szCs w:val="24"/>
                <w:highlight w:val="none"/>
                <w:lang w:val="en-US" w:eastAsia="zh-CN"/>
              </w:rPr>
              <w:t>6</w:t>
            </w:r>
            <w:r>
              <w:rPr>
                <w:rFonts w:hint="eastAsia" w:ascii="宋体" w:hAnsi="宋体" w:cs="宋体"/>
                <w:sz w:val="24"/>
                <w:szCs w:val="24"/>
                <w:highlight w:val="none"/>
              </w:rPr>
              <w:t>时00分（以到账时间为准）之前从供应商账户汇至新疆诚成工程项目管理有限公司账户，否则其投标文件将被拒绝评审，供应商提交磋商保证金应充分考虑资金在途时间。</w:t>
            </w:r>
          </w:p>
          <w:p w14:paraId="1FA72CC2">
            <w:pPr>
              <w:pStyle w:val="29"/>
              <w:adjustRightInd w:val="0"/>
              <w:snapToGrid w:val="0"/>
              <w:spacing w:line="400" w:lineRule="exact"/>
              <w:ind w:firstLine="240" w:firstLineChars="100"/>
              <w:rPr>
                <w:rFonts w:hint="eastAsia" w:ascii="宋体" w:hAnsi="宋体" w:cs="宋体"/>
                <w:sz w:val="24"/>
                <w:szCs w:val="24"/>
                <w:highlight w:val="none"/>
              </w:rPr>
            </w:pPr>
            <w:r>
              <w:rPr>
                <w:rFonts w:hint="eastAsia" w:ascii="宋体" w:hAnsi="宋体" w:cs="宋体"/>
                <w:sz w:val="24"/>
                <w:szCs w:val="24"/>
                <w:highlight w:val="none"/>
              </w:rPr>
              <w:t>注：供应商向银行办理磋商保证金汇（转）款时，应在用途栏（备注栏）准确注明"本项目招标编号（例如：XJCC-ZB-2026-092磋商保证金）"字样（每个标段应分别汇款），由于未按要求准确注明信息而导致的一切后果由供应商承担。</w:t>
            </w:r>
          </w:p>
          <w:p w14:paraId="2D0547AD">
            <w:pPr>
              <w:pStyle w:val="29"/>
              <w:adjustRightInd w:val="0"/>
              <w:snapToGrid w:val="0"/>
              <w:spacing w:line="400" w:lineRule="exact"/>
              <w:ind w:firstLine="240" w:firstLineChars="100"/>
              <w:rPr>
                <w:rFonts w:hint="eastAsia" w:ascii="宋体" w:hAnsi="宋体" w:cs="宋体"/>
                <w:sz w:val="24"/>
                <w:szCs w:val="24"/>
                <w:highlight w:val="none"/>
              </w:rPr>
            </w:pPr>
            <w:r>
              <w:rPr>
                <w:rFonts w:hint="eastAsia" w:ascii="宋体" w:hAnsi="宋体" w:cs="宋体"/>
                <w:sz w:val="24"/>
                <w:szCs w:val="24"/>
                <w:highlight w:val="none"/>
              </w:rPr>
              <w:t>户名：新疆诚成工程项目管理有限公司</w:t>
            </w:r>
          </w:p>
          <w:p w14:paraId="5D109D52">
            <w:pPr>
              <w:pStyle w:val="29"/>
              <w:adjustRightInd w:val="0"/>
              <w:snapToGrid w:val="0"/>
              <w:spacing w:line="400" w:lineRule="exact"/>
              <w:ind w:firstLine="240" w:firstLineChars="100"/>
              <w:rPr>
                <w:rFonts w:hint="eastAsia" w:ascii="宋体" w:hAnsi="宋体" w:cs="宋体"/>
                <w:sz w:val="24"/>
                <w:szCs w:val="24"/>
                <w:highlight w:val="none"/>
              </w:rPr>
            </w:pPr>
            <w:r>
              <w:rPr>
                <w:rFonts w:hint="eastAsia" w:ascii="宋体" w:hAnsi="宋体" w:cs="宋体"/>
                <w:sz w:val="24"/>
                <w:szCs w:val="24"/>
                <w:highlight w:val="none"/>
              </w:rPr>
              <w:t>开户行名称：乌鲁木齐银行新华南路支行</w:t>
            </w:r>
          </w:p>
          <w:p w14:paraId="44FD7691">
            <w:pPr>
              <w:pStyle w:val="29"/>
              <w:adjustRightInd w:val="0"/>
              <w:snapToGrid w:val="0"/>
              <w:spacing w:line="400" w:lineRule="exact"/>
              <w:ind w:firstLine="240" w:firstLineChars="100"/>
              <w:rPr>
                <w:rFonts w:hint="eastAsia" w:ascii="宋体" w:hAnsi="宋体" w:cs="宋体"/>
                <w:sz w:val="24"/>
                <w:szCs w:val="24"/>
                <w:highlight w:val="none"/>
              </w:rPr>
            </w:pPr>
            <w:r>
              <w:rPr>
                <w:rFonts w:hint="eastAsia" w:ascii="宋体" w:hAnsi="宋体" w:cs="宋体"/>
                <w:sz w:val="24"/>
                <w:szCs w:val="24"/>
                <w:highlight w:val="none"/>
              </w:rPr>
              <w:t>账号：0000001211121500053685</w:t>
            </w:r>
          </w:p>
          <w:p w14:paraId="27EC180A">
            <w:pPr>
              <w:pStyle w:val="29"/>
              <w:adjustRightInd w:val="0"/>
              <w:snapToGrid w:val="0"/>
              <w:spacing w:line="400" w:lineRule="exact"/>
              <w:ind w:firstLine="240" w:firstLineChars="100"/>
              <w:rPr>
                <w:rFonts w:hint="eastAsia" w:ascii="宋体" w:hAnsi="宋体" w:cs="宋体"/>
                <w:sz w:val="24"/>
                <w:szCs w:val="24"/>
                <w:highlight w:val="none"/>
              </w:rPr>
            </w:pPr>
            <w:r>
              <w:rPr>
                <w:rFonts w:hint="eastAsia" w:ascii="宋体" w:hAnsi="宋体" w:cs="宋体"/>
                <w:sz w:val="24"/>
                <w:szCs w:val="24"/>
                <w:highlight w:val="none"/>
              </w:rPr>
              <w:t>开户行号：313881000176</w:t>
            </w:r>
          </w:p>
          <w:p w14:paraId="5B92372F">
            <w:pPr>
              <w:pStyle w:val="29"/>
              <w:adjustRightInd w:val="0"/>
              <w:snapToGrid w:val="0"/>
              <w:spacing w:line="400" w:lineRule="exact"/>
              <w:rPr>
                <w:rFonts w:hint="eastAsia" w:ascii="宋体" w:hAnsi="宋体" w:cs="宋体"/>
                <w:sz w:val="24"/>
                <w:szCs w:val="24"/>
                <w:highlight w:val="none"/>
              </w:rPr>
            </w:pPr>
            <w:r>
              <w:rPr>
                <w:rFonts w:hint="eastAsia" w:ascii="宋体" w:hAnsi="宋体" w:cs="宋体"/>
                <w:sz w:val="24"/>
                <w:szCs w:val="24"/>
                <w:highlight w:val="none"/>
              </w:rPr>
              <w:t>（2）若采用金融机构、担保机构出具的保函形式递交时，须出具对本项目（项目名称）的保函，提供原件的扫描件于投标文件中，否则视为无效。保函有效期不少于投标有效期。</w:t>
            </w:r>
          </w:p>
          <w:p w14:paraId="7BDBD97B">
            <w:pPr>
              <w:pStyle w:val="29"/>
              <w:adjustRightInd w:val="0"/>
              <w:snapToGrid w:val="0"/>
              <w:spacing w:line="400" w:lineRule="exact"/>
              <w:rPr>
                <w:rFonts w:hint="eastAsia" w:ascii="宋体" w:hAnsi="宋体" w:cs="宋体"/>
                <w:sz w:val="24"/>
                <w:szCs w:val="24"/>
                <w:highlight w:val="none"/>
              </w:rPr>
            </w:pPr>
            <w:r>
              <w:rPr>
                <w:rFonts w:hint="eastAsia" w:ascii="宋体" w:hAnsi="宋体" w:cs="宋体"/>
                <w:sz w:val="24"/>
                <w:szCs w:val="24"/>
                <w:highlight w:val="none"/>
              </w:rPr>
              <w:t>（3）如采用电子保函方式缴纳可按照新疆政府采购网-电子保函模块。采用电子保函形式应按以下要求办理：</w:t>
            </w:r>
          </w:p>
          <w:p w14:paraId="0EE9DD15">
            <w:pPr>
              <w:pStyle w:val="29"/>
              <w:adjustRightInd w:val="0"/>
              <w:snapToGrid w:val="0"/>
              <w:spacing w:line="400" w:lineRule="exact"/>
              <w:rPr>
                <w:rFonts w:hint="eastAsia" w:ascii="宋体" w:hAnsi="宋体" w:cs="宋体"/>
                <w:sz w:val="24"/>
                <w:szCs w:val="24"/>
                <w:highlight w:val="none"/>
              </w:rPr>
            </w:pPr>
            <w:r>
              <w:rPr>
                <w:rFonts w:hint="eastAsia" w:ascii="宋体" w:hAnsi="宋体" w:cs="宋体"/>
                <w:sz w:val="24"/>
                <w:szCs w:val="24"/>
                <w:highlight w:val="none"/>
              </w:rPr>
              <w:t>a、电子保函按照“一分包一保函”的原则。</w:t>
            </w:r>
          </w:p>
          <w:p w14:paraId="018DFE9F">
            <w:pPr>
              <w:pStyle w:val="29"/>
              <w:adjustRightInd w:val="0"/>
              <w:snapToGrid w:val="0"/>
              <w:spacing w:line="400" w:lineRule="exact"/>
              <w:rPr>
                <w:rFonts w:hint="eastAsia" w:ascii="宋体" w:hAnsi="宋体" w:cs="宋体"/>
                <w:sz w:val="24"/>
                <w:szCs w:val="24"/>
                <w:highlight w:val="none"/>
              </w:rPr>
            </w:pPr>
            <w:r>
              <w:rPr>
                <w:rFonts w:hint="eastAsia" w:ascii="宋体" w:hAnsi="宋体" w:cs="宋体"/>
                <w:sz w:val="24"/>
                <w:szCs w:val="24"/>
                <w:highlight w:val="none"/>
              </w:rPr>
              <w:t>b、电子保函须在招标文件规定的投标截止时间前办理完成。</w:t>
            </w:r>
          </w:p>
          <w:p w14:paraId="2465F3F8">
            <w:pPr>
              <w:pStyle w:val="29"/>
              <w:adjustRightInd w:val="0"/>
              <w:snapToGrid w:val="0"/>
              <w:spacing w:line="400" w:lineRule="exact"/>
              <w:ind w:firstLine="240" w:firstLineChars="100"/>
              <w:rPr>
                <w:rFonts w:hint="eastAsia" w:ascii="宋体" w:hAnsi="宋体" w:cs="宋体"/>
                <w:sz w:val="24"/>
                <w:szCs w:val="24"/>
                <w:highlight w:val="none"/>
              </w:rPr>
            </w:pPr>
            <w:r>
              <w:rPr>
                <w:rFonts w:hint="eastAsia" w:ascii="宋体" w:hAnsi="宋体" w:cs="宋体"/>
                <w:sz w:val="24"/>
                <w:szCs w:val="24"/>
                <w:highlight w:val="none"/>
              </w:rPr>
              <w:t>备注：（1）磋商保证金保证金缴纳截止时间同开标时间一致。（2）供应商未按照采购文件上述要求提交磋商保证金的，投标将被否决。</w:t>
            </w:r>
          </w:p>
        </w:tc>
      </w:tr>
      <w:tr w14:paraId="0492E45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567" w:hRule="atLeast"/>
        </w:trPr>
        <w:tc>
          <w:tcPr>
            <w:tcW w:w="970" w:type="dxa"/>
            <w:tcBorders>
              <w:top w:val="single" w:color="auto" w:sz="2" w:space="0"/>
              <w:left w:val="single" w:color="auto" w:sz="2" w:space="0"/>
              <w:bottom w:val="single" w:color="auto" w:sz="2" w:space="0"/>
              <w:right w:val="single" w:color="auto" w:sz="2" w:space="0"/>
            </w:tcBorders>
            <w:vAlign w:val="center"/>
          </w:tcPr>
          <w:p w14:paraId="733F5245">
            <w:pPr>
              <w:pStyle w:val="28"/>
              <w:spacing w:line="400" w:lineRule="exact"/>
              <w:jc w:val="center"/>
              <w:rPr>
                <w:rFonts w:hint="eastAsia" w:cs="宋体"/>
                <w:sz w:val="24"/>
                <w:szCs w:val="24"/>
              </w:rPr>
            </w:pPr>
            <w:r>
              <w:rPr>
                <w:rFonts w:hint="eastAsia" w:cs="宋体"/>
                <w:sz w:val="24"/>
                <w:szCs w:val="24"/>
              </w:rPr>
              <w:t>23.1</w:t>
            </w:r>
          </w:p>
        </w:tc>
        <w:tc>
          <w:tcPr>
            <w:tcW w:w="1971" w:type="dxa"/>
            <w:tcBorders>
              <w:top w:val="single" w:color="auto" w:sz="2" w:space="0"/>
              <w:left w:val="single" w:color="auto" w:sz="2" w:space="0"/>
              <w:bottom w:val="single" w:color="auto" w:sz="2" w:space="0"/>
              <w:right w:val="single" w:color="auto" w:sz="2" w:space="0"/>
            </w:tcBorders>
            <w:vAlign w:val="center"/>
          </w:tcPr>
          <w:p w14:paraId="4ABD3E07">
            <w:pPr>
              <w:pStyle w:val="28"/>
              <w:spacing w:line="400" w:lineRule="exact"/>
              <w:jc w:val="center"/>
              <w:rPr>
                <w:rFonts w:hint="eastAsia" w:cs="宋体"/>
                <w:sz w:val="24"/>
                <w:szCs w:val="24"/>
              </w:rPr>
            </w:pPr>
            <w:r>
              <w:rPr>
                <w:rFonts w:hint="eastAsia" w:cs="宋体"/>
                <w:sz w:val="24"/>
                <w:szCs w:val="24"/>
              </w:rPr>
              <w:t>演示</w:t>
            </w:r>
          </w:p>
        </w:tc>
        <w:tc>
          <w:tcPr>
            <w:tcW w:w="6946" w:type="dxa"/>
            <w:tcBorders>
              <w:top w:val="single" w:color="auto" w:sz="2" w:space="0"/>
              <w:left w:val="single" w:color="auto" w:sz="2" w:space="0"/>
              <w:bottom w:val="single" w:color="auto" w:sz="2" w:space="0"/>
              <w:right w:val="single" w:color="auto" w:sz="2" w:space="0"/>
            </w:tcBorders>
            <w:vAlign w:val="center"/>
          </w:tcPr>
          <w:p w14:paraId="2794EEA6">
            <w:pPr>
              <w:pStyle w:val="28"/>
              <w:spacing w:line="400" w:lineRule="exact"/>
              <w:rPr>
                <w:rFonts w:hint="eastAsia" w:cs="宋体"/>
                <w:sz w:val="24"/>
                <w:szCs w:val="24"/>
              </w:rPr>
            </w:pPr>
            <w:r>
              <w:rPr>
                <w:rFonts w:hint="eastAsia" w:cs="宋体"/>
                <w:sz w:val="24"/>
                <w:szCs w:val="24"/>
              </w:rPr>
              <w:sym w:font="Wingdings" w:char="00FE"/>
            </w:r>
            <w:r>
              <w:rPr>
                <w:rFonts w:hint="eastAsia" w:cs="宋体"/>
                <w:sz w:val="24"/>
                <w:szCs w:val="24"/>
              </w:rPr>
              <w:t>不进行</w:t>
            </w:r>
          </w:p>
          <w:p w14:paraId="1B031671">
            <w:pPr>
              <w:pStyle w:val="28"/>
              <w:spacing w:line="400" w:lineRule="exact"/>
              <w:rPr>
                <w:rFonts w:hint="eastAsia" w:cs="宋体"/>
                <w:sz w:val="24"/>
                <w:szCs w:val="24"/>
              </w:rPr>
            </w:pPr>
            <w:r>
              <w:rPr>
                <w:rFonts w:hint="eastAsia" w:cs="宋体"/>
                <w:sz w:val="24"/>
                <w:szCs w:val="24"/>
              </w:rPr>
              <w:sym w:font="Wingdings" w:char="00A8"/>
            </w:r>
            <w:r>
              <w:rPr>
                <w:rFonts w:hint="eastAsia" w:cs="宋体"/>
                <w:sz w:val="24"/>
                <w:szCs w:val="24"/>
              </w:rPr>
              <w:t>进行，远程线上演示/现场演示</w:t>
            </w:r>
          </w:p>
          <w:p w14:paraId="0D779AAC">
            <w:pPr>
              <w:pStyle w:val="28"/>
              <w:spacing w:line="400" w:lineRule="exact"/>
              <w:ind w:firstLine="240" w:firstLineChars="100"/>
              <w:rPr>
                <w:rFonts w:hint="eastAsia" w:cs="宋体"/>
                <w:sz w:val="24"/>
                <w:szCs w:val="24"/>
              </w:rPr>
            </w:pPr>
            <w:r>
              <w:rPr>
                <w:rFonts w:hint="eastAsia" w:cs="宋体"/>
                <w:sz w:val="24"/>
                <w:szCs w:val="24"/>
              </w:rPr>
              <w:t>1.演示时间不得超过</w:t>
            </w:r>
            <w:r>
              <w:rPr>
                <w:rFonts w:hint="eastAsia" w:cs="宋体"/>
                <w:sz w:val="24"/>
                <w:szCs w:val="24"/>
                <w:u w:val="single"/>
              </w:rPr>
              <w:t xml:space="preserve">       </w:t>
            </w:r>
            <w:r>
              <w:rPr>
                <w:rFonts w:hint="eastAsia" w:cs="宋体"/>
                <w:sz w:val="24"/>
                <w:szCs w:val="24"/>
              </w:rPr>
              <w:t>分钟。</w:t>
            </w:r>
          </w:p>
          <w:p w14:paraId="7D605738">
            <w:pPr>
              <w:pStyle w:val="28"/>
              <w:spacing w:line="400" w:lineRule="exact"/>
              <w:ind w:firstLine="240" w:firstLineChars="100"/>
              <w:rPr>
                <w:rFonts w:hint="eastAsia" w:cs="宋体"/>
                <w:sz w:val="24"/>
                <w:szCs w:val="24"/>
              </w:rPr>
            </w:pPr>
            <w:r>
              <w:rPr>
                <w:rFonts w:hint="eastAsia" w:cs="宋体"/>
                <w:sz w:val="24"/>
                <w:szCs w:val="24"/>
              </w:rPr>
              <w:t>2.进行远程线上演示的，供应商应提前自行准备好演示的软硬配置环境和网络环境，做好演示的各项准备工作。因供应商自身原因无法演示或者演示效果不理想的，导致的后果由供应商自行承担。</w:t>
            </w:r>
          </w:p>
          <w:p w14:paraId="18545CBA">
            <w:pPr>
              <w:pStyle w:val="28"/>
              <w:spacing w:line="400" w:lineRule="exact"/>
              <w:ind w:firstLine="240" w:firstLineChars="100"/>
              <w:rPr>
                <w:rFonts w:hint="eastAsia" w:cs="宋体"/>
                <w:sz w:val="24"/>
                <w:szCs w:val="24"/>
              </w:rPr>
            </w:pPr>
            <w:r>
              <w:rPr>
                <w:rFonts w:hint="eastAsia" w:cs="宋体"/>
                <w:sz w:val="24"/>
                <w:szCs w:val="24"/>
              </w:rPr>
              <w:t>3.进行现场演示的，演示人员不得超过</w:t>
            </w:r>
            <w:r>
              <w:rPr>
                <w:rFonts w:hint="eastAsia" w:cs="宋体"/>
                <w:sz w:val="24"/>
                <w:szCs w:val="24"/>
                <w:u w:val="single"/>
              </w:rPr>
              <w:t xml:space="preserve">    </w:t>
            </w:r>
            <w:r>
              <w:rPr>
                <w:rFonts w:hint="eastAsia" w:cs="宋体"/>
                <w:sz w:val="24"/>
                <w:szCs w:val="24"/>
              </w:rPr>
              <w:t>人，演示现场提供</w:t>
            </w:r>
            <w:r>
              <w:rPr>
                <w:rFonts w:hint="eastAsia" w:cs="宋体"/>
                <w:sz w:val="24"/>
                <w:szCs w:val="24"/>
                <w:u w:val="single"/>
              </w:rPr>
              <w:t xml:space="preserve">       </w:t>
            </w:r>
            <w:r>
              <w:rPr>
                <w:rFonts w:hint="eastAsia" w:cs="宋体"/>
                <w:sz w:val="24"/>
                <w:szCs w:val="24"/>
              </w:rPr>
              <w:t>。</w:t>
            </w:r>
          </w:p>
        </w:tc>
      </w:tr>
      <w:tr w14:paraId="4181FFF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567" w:hRule="atLeast"/>
        </w:trPr>
        <w:tc>
          <w:tcPr>
            <w:tcW w:w="970" w:type="dxa"/>
            <w:tcBorders>
              <w:top w:val="single" w:color="auto" w:sz="2" w:space="0"/>
              <w:left w:val="single" w:color="auto" w:sz="2" w:space="0"/>
              <w:bottom w:val="single" w:color="auto" w:sz="2" w:space="0"/>
              <w:right w:val="single" w:color="auto" w:sz="2" w:space="0"/>
            </w:tcBorders>
            <w:vAlign w:val="center"/>
          </w:tcPr>
          <w:p w14:paraId="75DCCD86">
            <w:pPr>
              <w:pStyle w:val="28"/>
              <w:spacing w:line="400" w:lineRule="exact"/>
              <w:jc w:val="center"/>
              <w:rPr>
                <w:rFonts w:hint="eastAsia" w:cs="宋体"/>
                <w:sz w:val="24"/>
                <w:szCs w:val="24"/>
              </w:rPr>
            </w:pPr>
            <w:r>
              <w:rPr>
                <w:rFonts w:hint="eastAsia" w:cs="宋体"/>
                <w:sz w:val="24"/>
                <w:szCs w:val="24"/>
              </w:rPr>
              <w:t>25.2</w:t>
            </w:r>
          </w:p>
        </w:tc>
        <w:tc>
          <w:tcPr>
            <w:tcW w:w="1971" w:type="dxa"/>
            <w:tcBorders>
              <w:top w:val="single" w:color="auto" w:sz="2" w:space="0"/>
              <w:left w:val="single" w:color="auto" w:sz="2" w:space="0"/>
              <w:bottom w:val="single" w:color="auto" w:sz="2" w:space="0"/>
              <w:right w:val="single" w:color="auto" w:sz="2" w:space="0"/>
            </w:tcBorders>
            <w:vAlign w:val="center"/>
          </w:tcPr>
          <w:p w14:paraId="747E8F82">
            <w:pPr>
              <w:pStyle w:val="28"/>
              <w:spacing w:line="400" w:lineRule="exact"/>
              <w:jc w:val="center"/>
              <w:rPr>
                <w:rFonts w:hint="eastAsia" w:cs="宋体"/>
                <w:sz w:val="24"/>
                <w:szCs w:val="24"/>
              </w:rPr>
            </w:pPr>
            <w:r>
              <w:rPr>
                <w:rFonts w:hint="eastAsia" w:cs="宋体"/>
                <w:sz w:val="24"/>
                <w:szCs w:val="24"/>
              </w:rPr>
              <w:t>解密响应文件的时限</w:t>
            </w:r>
          </w:p>
        </w:tc>
        <w:tc>
          <w:tcPr>
            <w:tcW w:w="6946" w:type="dxa"/>
            <w:tcBorders>
              <w:top w:val="single" w:color="auto" w:sz="2" w:space="0"/>
              <w:left w:val="single" w:color="auto" w:sz="2" w:space="0"/>
              <w:bottom w:val="single" w:color="auto" w:sz="2" w:space="0"/>
              <w:right w:val="single" w:color="auto" w:sz="2" w:space="0"/>
            </w:tcBorders>
            <w:vAlign w:val="center"/>
          </w:tcPr>
          <w:p w14:paraId="308957CA">
            <w:pPr>
              <w:pStyle w:val="28"/>
              <w:spacing w:line="400" w:lineRule="exact"/>
              <w:rPr>
                <w:rFonts w:hint="eastAsia" w:cs="宋体"/>
                <w:sz w:val="24"/>
                <w:szCs w:val="24"/>
              </w:rPr>
            </w:pPr>
            <w:r>
              <w:rPr>
                <w:rFonts w:hint="eastAsia" w:cs="宋体"/>
                <w:sz w:val="24"/>
                <w:szCs w:val="24"/>
              </w:rPr>
              <w:t>不见面开标默认解密时长：</w:t>
            </w:r>
            <w:r>
              <w:rPr>
                <w:rFonts w:hint="eastAsia" w:cs="宋体"/>
                <w:sz w:val="24"/>
                <w:szCs w:val="24"/>
                <w:u w:val="single"/>
              </w:rPr>
              <w:t>30</w:t>
            </w:r>
            <w:r>
              <w:rPr>
                <w:rFonts w:hint="eastAsia" w:cs="宋体"/>
                <w:sz w:val="24"/>
                <w:szCs w:val="24"/>
              </w:rPr>
              <w:t xml:space="preserve">分钟。 </w:t>
            </w:r>
          </w:p>
          <w:p w14:paraId="590AA3C2">
            <w:pPr>
              <w:pStyle w:val="28"/>
              <w:spacing w:line="400" w:lineRule="exact"/>
              <w:rPr>
                <w:rFonts w:hint="eastAsia" w:cs="宋体"/>
                <w:sz w:val="24"/>
                <w:szCs w:val="24"/>
              </w:rPr>
            </w:pPr>
            <w:r>
              <w:rPr>
                <w:rFonts w:hint="eastAsia" w:cs="宋体"/>
                <w:sz w:val="24"/>
                <w:szCs w:val="24"/>
              </w:rPr>
              <w:t>注：除因交易平台发生故障导致响应文件无法按时解密外，响应文件未按时解密的，视为未按规定提交响应文件，响应无效。</w:t>
            </w:r>
          </w:p>
        </w:tc>
      </w:tr>
      <w:tr w14:paraId="55F302E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567" w:hRule="atLeast"/>
        </w:trPr>
        <w:tc>
          <w:tcPr>
            <w:tcW w:w="970" w:type="dxa"/>
            <w:tcBorders>
              <w:top w:val="single" w:color="auto" w:sz="2" w:space="0"/>
              <w:left w:val="single" w:color="auto" w:sz="2" w:space="0"/>
              <w:bottom w:val="single" w:color="auto" w:sz="2" w:space="0"/>
              <w:right w:val="single" w:color="auto" w:sz="2" w:space="0"/>
            </w:tcBorders>
            <w:vAlign w:val="center"/>
          </w:tcPr>
          <w:p w14:paraId="0A512A01">
            <w:pPr>
              <w:pStyle w:val="28"/>
              <w:spacing w:line="400" w:lineRule="exact"/>
              <w:jc w:val="center"/>
              <w:rPr>
                <w:rFonts w:hint="eastAsia" w:cs="宋体"/>
                <w:sz w:val="24"/>
                <w:szCs w:val="24"/>
              </w:rPr>
            </w:pPr>
            <w:r>
              <w:rPr>
                <w:rFonts w:hint="eastAsia" w:cs="宋体"/>
                <w:sz w:val="24"/>
                <w:szCs w:val="24"/>
              </w:rPr>
              <w:t>29.2</w:t>
            </w:r>
          </w:p>
        </w:tc>
        <w:tc>
          <w:tcPr>
            <w:tcW w:w="1971" w:type="dxa"/>
            <w:tcBorders>
              <w:top w:val="single" w:color="auto" w:sz="2" w:space="0"/>
              <w:left w:val="single" w:color="auto" w:sz="2" w:space="0"/>
              <w:bottom w:val="single" w:color="auto" w:sz="2" w:space="0"/>
              <w:right w:val="single" w:color="auto" w:sz="2" w:space="0"/>
            </w:tcBorders>
            <w:vAlign w:val="center"/>
          </w:tcPr>
          <w:p w14:paraId="3B1D8DC9">
            <w:pPr>
              <w:pStyle w:val="28"/>
              <w:spacing w:line="400" w:lineRule="exact"/>
              <w:jc w:val="center"/>
              <w:rPr>
                <w:rFonts w:hint="eastAsia" w:cs="宋体"/>
                <w:sz w:val="24"/>
                <w:szCs w:val="24"/>
              </w:rPr>
            </w:pPr>
            <w:r>
              <w:rPr>
                <w:rFonts w:hint="eastAsia" w:cs="宋体"/>
                <w:sz w:val="24"/>
                <w:szCs w:val="24"/>
              </w:rPr>
              <w:t>推荐成交候选供应商</w:t>
            </w:r>
          </w:p>
        </w:tc>
        <w:tc>
          <w:tcPr>
            <w:tcW w:w="6946" w:type="dxa"/>
            <w:tcBorders>
              <w:top w:val="single" w:color="auto" w:sz="2" w:space="0"/>
              <w:left w:val="single" w:color="auto" w:sz="2" w:space="0"/>
              <w:bottom w:val="single" w:color="auto" w:sz="2" w:space="0"/>
              <w:right w:val="single" w:color="auto" w:sz="2" w:space="0"/>
            </w:tcBorders>
            <w:vAlign w:val="center"/>
          </w:tcPr>
          <w:p w14:paraId="67201373">
            <w:pPr>
              <w:pStyle w:val="28"/>
              <w:spacing w:line="400" w:lineRule="exact"/>
              <w:rPr>
                <w:rFonts w:hint="eastAsia" w:cs="宋体"/>
                <w:sz w:val="24"/>
                <w:szCs w:val="24"/>
              </w:rPr>
            </w:pPr>
            <w:r>
              <w:rPr>
                <w:rFonts w:hint="eastAsia" w:cs="宋体"/>
                <w:sz w:val="24"/>
                <w:szCs w:val="24"/>
              </w:rPr>
              <w:t>成交候选供应商数量</w:t>
            </w:r>
            <w:r>
              <w:rPr>
                <w:rFonts w:hint="eastAsia" w:cs="宋体"/>
                <w:sz w:val="24"/>
                <w:szCs w:val="24"/>
                <w:u w:val="single"/>
              </w:rPr>
              <w:t>3</w:t>
            </w:r>
            <w:r>
              <w:rPr>
                <w:rFonts w:hint="eastAsia" w:cs="宋体"/>
                <w:sz w:val="24"/>
                <w:szCs w:val="24"/>
              </w:rPr>
              <w:t>家</w:t>
            </w:r>
          </w:p>
        </w:tc>
      </w:tr>
      <w:tr w14:paraId="15B571E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567" w:hRule="atLeast"/>
        </w:trPr>
        <w:tc>
          <w:tcPr>
            <w:tcW w:w="970" w:type="dxa"/>
            <w:tcBorders>
              <w:top w:val="single" w:color="auto" w:sz="2" w:space="0"/>
              <w:left w:val="single" w:color="auto" w:sz="2" w:space="0"/>
              <w:bottom w:val="single" w:color="auto" w:sz="2" w:space="0"/>
              <w:right w:val="single" w:color="auto" w:sz="2" w:space="0"/>
            </w:tcBorders>
            <w:vAlign w:val="center"/>
          </w:tcPr>
          <w:p w14:paraId="37AC9C03">
            <w:pPr>
              <w:pStyle w:val="28"/>
              <w:spacing w:line="400" w:lineRule="exact"/>
              <w:jc w:val="center"/>
              <w:rPr>
                <w:rFonts w:hint="eastAsia" w:cs="宋体"/>
                <w:sz w:val="24"/>
                <w:szCs w:val="24"/>
              </w:rPr>
            </w:pPr>
            <w:r>
              <w:rPr>
                <w:rFonts w:hint="eastAsia" w:cs="宋体"/>
                <w:sz w:val="24"/>
                <w:szCs w:val="24"/>
              </w:rPr>
              <w:t>30.1</w:t>
            </w:r>
          </w:p>
        </w:tc>
        <w:tc>
          <w:tcPr>
            <w:tcW w:w="1971" w:type="dxa"/>
            <w:tcBorders>
              <w:top w:val="single" w:color="auto" w:sz="2" w:space="0"/>
              <w:left w:val="single" w:color="auto" w:sz="2" w:space="0"/>
              <w:bottom w:val="single" w:color="auto" w:sz="2" w:space="0"/>
              <w:right w:val="single" w:color="auto" w:sz="2" w:space="0"/>
            </w:tcBorders>
            <w:vAlign w:val="center"/>
          </w:tcPr>
          <w:p w14:paraId="7F769072">
            <w:pPr>
              <w:pStyle w:val="28"/>
              <w:spacing w:line="400" w:lineRule="exact"/>
              <w:jc w:val="center"/>
              <w:rPr>
                <w:rFonts w:hint="eastAsia" w:cs="宋体"/>
                <w:sz w:val="24"/>
                <w:szCs w:val="24"/>
              </w:rPr>
            </w:pPr>
            <w:r>
              <w:rPr>
                <w:rFonts w:hint="eastAsia" w:cs="宋体"/>
                <w:sz w:val="24"/>
                <w:szCs w:val="24"/>
              </w:rPr>
              <w:t>确定成交供应商</w:t>
            </w:r>
          </w:p>
        </w:tc>
        <w:tc>
          <w:tcPr>
            <w:tcW w:w="6946" w:type="dxa"/>
            <w:tcBorders>
              <w:top w:val="single" w:color="auto" w:sz="2" w:space="0"/>
              <w:left w:val="single" w:color="auto" w:sz="2" w:space="0"/>
              <w:bottom w:val="single" w:color="auto" w:sz="2" w:space="0"/>
              <w:right w:val="single" w:color="auto" w:sz="2" w:space="0"/>
            </w:tcBorders>
            <w:vAlign w:val="center"/>
          </w:tcPr>
          <w:p w14:paraId="59D1D95D">
            <w:pPr>
              <w:pStyle w:val="28"/>
              <w:spacing w:line="400" w:lineRule="exact"/>
              <w:rPr>
                <w:rFonts w:hint="eastAsia" w:cs="宋体"/>
                <w:sz w:val="24"/>
                <w:szCs w:val="24"/>
              </w:rPr>
            </w:pPr>
            <w:r>
              <w:rPr>
                <w:rFonts w:hint="eastAsia" w:cs="宋体"/>
                <w:sz w:val="24"/>
                <w:szCs w:val="24"/>
              </w:rPr>
              <w:sym w:font="Wingdings" w:char="00FE"/>
            </w:r>
            <w:r>
              <w:rPr>
                <w:rFonts w:hint="eastAsia" w:cs="宋体"/>
                <w:sz w:val="24"/>
                <w:szCs w:val="24"/>
              </w:rPr>
              <w:t>采购人在收到评审报告后5个工作日内，按评审报告中推荐的成交候选人排序确定成交供应商。</w:t>
            </w:r>
          </w:p>
          <w:p w14:paraId="481AA3BC">
            <w:pPr>
              <w:pStyle w:val="28"/>
              <w:spacing w:line="400" w:lineRule="exact"/>
              <w:rPr>
                <w:rFonts w:hint="eastAsia" w:cs="宋体"/>
                <w:sz w:val="24"/>
                <w:szCs w:val="24"/>
              </w:rPr>
            </w:pPr>
            <w:r>
              <w:rPr>
                <w:rFonts w:hint="eastAsia" w:cs="宋体"/>
                <w:sz w:val="24"/>
                <w:szCs w:val="24"/>
              </w:rPr>
              <w:sym w:font="Wingdings" w:char="00A8"/>
            </w:r>
            <w:r>
              <w:rPr>
                <w:rFonts w:hint="eastAsia" w:cs="宋体"/>
                <w:sz w:val="24"/>
                <w:szCs w:val="24"/>
              </w:rPr>
              <w:t>采购人委托磋商小组直接确定成交供应商。</w:t>
            </w:r>
          </w:p>
        </w:tc>
      </w:tr>
      <w:tr w14:paraId="024268E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567" w:hRule="atLeast"/>
        </w:trPr>
        <w:tc>
          <w:tcPr>
            <w:tcW w:w="970" w:type="dxa"/>
            <w:tcBorders>
              <w:top w:val="single" w:color="auto" w:sz="2" w:space="0"/>
              <w:left w:val="single" w:color="auto" w:sz="2" w:space="0"/>
              <w:bottom w:val="single" w:color="auto" w:sz="2" w:space="0"/>
              <w:right w:val="single" w:color="auto" w:sz="2" w:space="0"/>
            </w:tcBorders>
            <w:vAlign w:val="center"/>
          </w:tcPr>
          <w:p w14:paraId="027ED33D">
            <w:pPr>
              <w:pStyle w:val="28"/>
              <w:spacing w:line="400" w:lineRule="exact"/>
              <w:jc w:val="center"/>
              <w:rPr>
                <w:rFonts w:hint="eastAsia" w:cs="宋体"/>
                <w:sz w:val="24"/>
                <w:szCs w:val="24"/>
              </w:rPr>
            </w:pPr>
            <w:r>
              <w:rPr>
                <w:rFonts w:hint="eastAsia" w:cs="宋体"/>
                <w:sz w:val="24"/>
                <w:szCs w:val="24"/>
              </w:rPr>
              <w:t>33.1</w:t>
            </w:r>
          </w:p>
        </w:tc>
        <w:tc>
          <w:tcPr>
            <w:tcW w:w="1971" w:type="dxa"/>
            <w:tcBorders>
              <w:top w:val="single" w:color="auto" w:sz="2" w:space="0"/>
              <w:left w:val="single" w:color="auto" w:sz="2" w:space="0"/>
              <w:bottom w:val="single" w:color="auto" w:sz="2" w:space="0"/>
              <w:right w:val="single" w:color="auto" w:sz="2" w:space="0"/>
            </w:tcBorders>
            <w:vAlign w:val="center"/>
          </w:tcPr>
          <w:p w14:paraId="6AB44AED">
            <w:pPr>
              <w:pStyle w:val="28"/>
              <w:spacing w:line="400" w:lineRule="exact"/>
              <w:jc w:val="center"/>
              <w:rPr>
                <w:rFonts w:hint="eastAsia" w:cs="宋体"/>
                <w:sz w:val="24"/>
                <w:szCs w:val="24"/>
              </w:rPr>
            </w:pPr>
            <w:r>
              <w:rPr>
                <w:rFonts w:hint="eastAsia" w:cs="宋体"/>
                <w:sz w:val="24"/>
                <w:szCs w:val="24"/>
              </w:rPr>
              <w:t>履约保证金</w:t>
            </w:r>
          </w:p>
        </w:tc>
        <w:tc>
          <w:tcPr>
            <w:tcW w:w="6946" w:type="dxa"/>
            <w:tcBorders>
              <w:top w:val="single" w:color="auto" w:sz="2" w:space="0"/>
              <w:left w:val="single" w:color="auto" w:sz="2" w:space="0"/>
              <w:bottom w:val="single" w:color="auto" w:sz="2" w:space="0"/>
              <w:right w:val="single" w:color="auto" w:sz="2" w:space="0"/>
            </w:tcBorders>
            <w:vAlign w:val="center"/>
          </w:tcPr>
          <w:p w14:paraId="08247B4B">
            <w:pPr>
              <w:pStyle w:val="28"/>
              <w:spacing w:line="400" w:lineRule="exact"/>
              <w:rPr>
                <w:rFonts w:hint="eastAsia" w:cs="宋体"/>
                <w:sz w:val="24"/>
                <w:szCs w:val="24"/>
              </w:rPr>
            </w:pPr>
            <w:r>
              <w:rPr>
                <w:rFonts w:hint="eastAsia" w:cs="宋体"/>
                <w:sz w:val="24"/>
                <w:szCs w:val="24"/>
              </w:rPr>
              <w:t>1.金额：</w:t>
            </w:r>
          </w:p>
          <w:p w14:paraId="18E8C640">
            <w:pPr>
              <w:pStyle w:val="28"/>
              <w:spacing w:line="400" w:lineRule="exact"/>
              <w:ind w:firstLine="240" w:firstLineChars="100"/>
              <w:rPr>
                <w:rFonts w:hint="eastAsia" w:cs="宋体"/>
                <w:sz w:val="24"/>
                <w:szCs w:val="24"/>
              </w:rPr>
            </w:pPr>
            <w:r>
              <w:rPr>
                <w:rFonts w:hint="eastAsia" w:cs="宋体"/>
                <w:sz w:val="24"/>
                <w:szCs w:val="24"/>
              </w:rPr>
              <w:t>☑免收</w:t>
            </w:r>
          </w:p>
          <w:p w14:paraId="45051CB9">
            <w:pPr>
              <w:pStyle w:val="28"/>
              <w:spacing w:line="400" w:lineRule="exact"/>
              <w:ind w:firstLine="240" w:firstLineChars="100"/>
              <w:rPr>
                <w:rFonts w:hint="eastAsia" w:cs="宋体"/>
                <w:sz w:val="24"/>
                <w:szCs w:val="24"/>
              </w:rPr>
            </w:pPr>
            <w:r>
              <w:rPr>
                <w:rFonts w:hint="eastAsia" w:cs="宋体"/>
                <w:sz w:val="24"/>
                <w:szCs w:val="24"/>
              </w:rPr>
              <w:t>□合同价的</w:t>
            </w:r>
            <w:r>
              <w:rPr>
                <w:rFonts w:hint="eastAsia" w:cs="宋体"/>
                <w:sz w:val="24"/>
                <w:szCs w:val="24"/>
                <w:u w:val="single"/>
              </w:rPr>
              <w:t xml:space="preserve">              %</w:t>
            </w:r>
          </w:p>
          <w:p w14:paraId="77DCE896">
            <w:pPr>
              <w:pStyle w:val="28"/>
              <w:spacing w:line="400" w:lineRule="exact"/>
              <w:ind w:firstLine="240" w:firstLineChars="100"/>
              <w:rPr>
                <w:rFonts w:hint="eastAsia" w:cs="宋体"/>
                <w:sz w:val="24"/>
                <w:szCs w:val="24"/>
              </w:rPr>
            </w:pPr>
            <w:r>
              <w:rPr>
                <w:rFonts w:hint="eastAsia" w:cs="宋体"/>
                <w:sz w:val="24"/>
                <w:szCs w:val="24"/>
              </w:rPr>
              <w:t>□定额收取：</w:t>
            </w:r>
            <w:r>
              <w:rPr>
                <w:rFonts w:hint="eastAsia" w:cs="宋体"/>
                <w:sz w:val="24"/>
                <w:szCs w:val="24"/>
                <w:u w:val="single"/>
              </w:rPr>
              <w:t>人民币       元</w:t>
            </w:r>
          </w:p>
          <w:p w14:paraId="601DBCCC">
            <w:pPr>
              <w:pStyle w:val="28"/>
              <w:spacing w:line="400" w:lineRule="exact"/>
              <w:rPr>
                <w:rFonts w:hint="eastAsia" w:cs="宋体"/>
                <w:sz w:val="24"/>
                <w:szCs w:val="24"/>
              </w:rPr>
            </w:pPr>
            <w:r>
              <w:rPr>
                <w:rFonts w:hint="eastAsia" w:cs="宋体"/>
                <w:sz w:val="24"/>
                <w:szCs w:val="24"/>
              </w:rPr>
              <w:t>2.支付方式：</w:t>
            </w:r>
          </w:p>
          <w:p w14:paraId="1076A323">
            <w:pPr>
              <w:pStyle w:val="29"/>
              <w:spacing w:line="400" w:lineRule="exact"/>
              <w:ind w:firstLine="240" w:firstLineChars="100"/>
              <w:rPr>
                <w:rFonts w:hint="eastAsia" w:ascii="宋体" w:hAnsi="宋体" w:cs="宋体"/>
                <w:sz w:val="24"/>
                <w:szCs w:val="24"/>
              </w:rPr>
            </w:pPr>
            <w:r>
              <w:rPr>
                <w:rFonts w:hint="eastAsia" w:ascii="宋体" w:hAnsi="宋体" w:cs="宋体"/>
                <w:sz w:val="24"/>
                <w:szCs w:val="24"/>
              </w:rPr>
              <w:t>供应商可自主选择以支票、汇票、本票、电汇、转账、网银、保函等非现金形式缴纳或提交保证金。</w:t>
            </w:r>
          </w:p>
          <w:p w14:paraId="62C268E3">
            <w:pPr>
              <w:pStyle w:val="28"/>
              <w:spacing w:line="400" w:lineRule="exact"/>
              <w:rPr>
                <w:rFonts w:hint="eastAsia" w:cs="宋体"/>
                <w:sz w:val="24"/>
                <w:szCs w:val="24"/>
              </w:rPr>
            </w:pPr>
            <w:r>
              <w:rPr>
                <w:rFonts w:hint="eastAsia" w:cs="宋体"/>
                <w:sz w:val="24"/>
                <w:szCs w:val="24"/>
              </w:rPr>
              <w:t xml:space="preserve">3.收取单位：                            </w:t>
            </w:r>
          </w:p>
          <w:p w14:paraId="586EF0F6">
            <w:pPr>
              <w:pStyle w:val="28"/>
              <w:spacing w:line="400" w:lineRule="exact"/>
              <w:rPr>
                <w:rFonts w:hint="eastAsia" w:cs="宋体"/>
                <w:sz w:val="24"/>
                <w:szCs w:val="24"/>
              </w:rPr>
            </w:pPr>
            <w:r>
              <w:rPr>
                <w:rFonts w:hint="eastAsia" w:cs="宋体"/>
                <w:sz w:val="24"/>
                <w:szCs w:val="24"/>
              </w:rPr>
              <w:t xml:space="preserve">4.收取账号：              </w:t>
            </w:r>
          </w:p>
          <w:p w14:paraId="012A090E">
            <w:pPr>
              <w:pStyle w:val="28"/>
              <w:spacing w:line="400" w:lineRule="exact"/>
              <w:rPr>
                <w:rFonts w:hint="eastAsia" w:cs="宋体"/>
                <w:sz w:val="24"/>
                <w:szCs w:val="24"/>
              </w:rPr>
            </w:pPr>
            <w:r>
              <w:rPr>
                <w:rFonts w:hint="eastAsia" w:cs="宋体"/>
                <w:sz w:val="24"/>
                <w:szCs w:val="24"/>
              </w:rPr>
              <w:t xml:space="preserve">5.退还时间：              </w:t>
            </w:r>
          </w:p>
          <w:p w14:paraId="669D6D76">
            <w:pPr>
              <w:pStyle w:val="28"/>
              <w:spacing w:line="400" w:lineRule="exact"/>
              <w:rPr>
                <w:rFonts w:hint="eastAsia" w:cs="宋体"/>
                <w:b/>
                <w:bCs/>
                <w:sz w:val="24"/>
                <w:szCs w:val="24"/>
              </w:rPr>
            </w:pPr>
            <w:r>
              <w:rPr>
                <w:rFonts w:hint="eastAsia" w:cs="宋体"/>
                <w:b/>
                <w:bCs/>
                <w:sz w:val="24"/>
                <w:szCs w:val="24"/>
              </w:rPr>
              <w:t>注意事项：</w:t>
            </w:r>
          </w:p>
          <w:p w14:paraId="2E2158BA">
            <w:pPr>
              <w:pStyle w:val="28"/>
              <w:spacing w:line="400" w:lineRule="exact"/>
              <w:rPr>
                <w:rFonts w:hint="eastAsia" w:cs="宋体"/>
                <w:sz w:val="24"/>
                <w:szCs w:val="24"/>
              </w:rPr>
            </w:pPr>
            <w:r>
              <w:rPr>
                <w:rFonts w:hint="eastAsia" w:cs="宋体"/>
                <w:sz w:val="24"/>
                <w:szCs w:val="24"/>
              </w:rPr>
              <w:t xml:space="preserve">  1.以上各类机构出具的以担保函、保证保险承担责任的方式均须满足无条件见索即付条件。</w:t>
            </w:r>
          </w:p>
          <w:p w14:paraId="158E6C8E">
            <w:pPr>
              <w:pStyle w:val="28"/>
              <w:spacing w:line="400" w:lineRule="exact"/>
              <w:rPr>
                <w:rFonts w:hint="eastAsia" w:cs="宋体"/>
                <w:sz w:val="24"/>
                <w:szCs w:val="24"/>
              </w:rPr>
            </w:pPr>
            <w:r>
              <w:rPr>
                <w:rFonts w:hint="eastAsia" w:cs="宋体"/>
                <w:sz w:val="24"/>
                <w:szCs w:val="24"/>
              </w:rPr>
              <w:t xml:space="preserve">  2.以担保函、保证保险形式缴纳履约保证金的，受益人和收取单位须为采购人。</w:t>
            </w:r>
          </w:p>
        </w:tc>
      </w:tr>
      <w:tr w14:paraId="64B5E43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567" w:hRule="atLeast"/>
        </w:trPr>
        <w:tc>
          <w:tcPr>
            <w:tcW w:w="970" w:type="dxa"/>
            <w:tcBorders>
              <w:top w:val="single" w:color="auto" w:sz="2" w:space="0"/>
              <w:left w:val="single" w:color="auto" w:sz="2" w:space="0"/>
              <w:bottom w:val="single" w:color="auto" w:sz="2" w:space="0"/>
              <w:right w:val="single" w:color="auto" w:sz="2" w:space="0"/>
            </w:tcBorders>
            <w:vAlign w:val="center"/>
          </w:tcPr>
          <w:p w14:paraId="0861755C">
            <w:pPr>
              <w:pStyle w:val="28"/>
              <w:spacing w:line="400" w:lineRule="exact"/>
              <w:jc w:val="center"/>
              <w:rPr>
                <w:rFonts w:hint="eastAsia" w:cs="宋体"/>
                <w:sz w:val="24"/>
                <w:szCs w:val="24"/>
              </w:rPr>
            </w:pPr>
            <w:r>
              <w:rPr>
                <w:rFonts w:hint="eastAsia" w:cs="宋体"/>
                <w:sz w:val="24"/>
                <w:szCs w:val="24"/>
              </w:rPr>
              <w:t>34.5</w:t>
            </w:r>
          </w:p>
        </w:tc>
        <w:tc>
          <w:tcPr>
            <w:tcW w:w="1971" w:type="dxa"/>
            <w:tcBorders>
              <w:top w:val="single" w:color="auto" w:sz="2" w:space="0"/>
              <w:left w:val="single" w:color="auto" w:sz="2" w:space="0"/>
              <w:bottom w:val="single" w:color="auto" w:sz="2" w:space="0"/>
              <w:right w:val="single" w:color="auto" w:sz="2" w:space="0"/>
            </w:tcBorders>
            <w:vAlign w:val="center"/>
          </w:tcPr>
          <w:p w14:paraId="04D9510B">
            <w:pPr>
              <w:pStyle w:val="28"/>
              <w:spacing w:line="400" w:lineRule="exact"/>
              <w:jc w:val="center"/>
              <w:rPr>
                <w:rFonts w:hint="eastAsia" w:cs="宋体"/>
                <w:sz w:val="24"/>
                <w:szCs w:val="24"/>
              </w:rPr>
            </w:pPr>
            <w:r>
              <w:rPr>
                <w:rFonts w:hint="eastAsia" w:cs="宋体"/>
                <w:sz w:val="24"/>
                <w:szCs w:val="24"/>
              </w:rPr>
              <w:t>合同分包</w:t>
            </w:r>
          </w:p>
        </w:tc>
        <w:tc>
          <w:tcPr>
            <w:tcW w:w="6946" w:type="dxa"/>
            <w:tcBorders>
              <w:top w:val="single" w:color="auto" w:sz="2" w:space="0"/>
              <w:left w:val="single" w:color="auto" w:sz="2" w:space="0"/>
              <w:bottom w:val="single" w:color="auto" w:sz="2" w:space="0"/>
              <w:right w:val="single" w:color="auto" w:sz="2" w:space="0"/>
            </w:tcBorders>
            <w:vAlign w:val="center"/>
          </w:tcPr>
          <w:p w14:paraId="4344EC45">
            <w:pPr>
              <w:pStyle w:val="28"/>
              <w:spacing w:line="400" w:lineRule="exact"/>
              <w:rPr>
                <w:rFonts w:hint="eastAsia" w:cs="宋体"/>
                <w:sz w:val="24"/>
                <w:szCs w:val="24"/>
              </w:rPr>
            </w:pPr>
            <w:r>
              <w:rPr>
                <w:rFonts w:hint="eastAsia" w:cs="宋体"/>
                <w:sz w:val="24"/>
                <w:szCs w:val="24"/>
              </w:rPr>
              <w:t xml:space="preserve">本项目的非主体、非关键性工作是否允许分包： </w:t>
            </w:r>
          </w:p>
          <w:p w14:paraId="3D901FC0">
            <w:pPr>
              <w:pStyle w:val="28"/>
              <w:spacing w:line="400" w:lineRule="exact"/>
              <w:ind w:firstLine="480" w:firstLineChars="200"/>
              <w:rPr>
                <w:rFonts w:hint="eastAsia" w:cs="宋体"/>
                <w:sz w:val="24"/>
                <w:szCs w:val="24"/>
              </w:rPr>
            </w:pPr>
            <w:r>
              <w:rPr>
                <w:rFonts w:hint="eastAsia" w:cs="宋体"/>
                <w:sz w:val="24"/>
                <w:szCs w:val="24"/>
              </w:rPr>
              <w:t xml:space="preserve">☑不允许 </w:t>
            </w:r>
          </w:p>
          <w:p w14:paraId="56DFA0F7">
            <w:pPr>
              <w:pStyle w:val="28"/>
              <w:spacing w:line="400" w:lineRule="exact"/>
              <w:ind w:firstLine="480" w:firstLineChars="200"/>
              <w:rPr>
                <w:rFonts w:hint="eastAsia" w:cs="宋体"/>
                <w:sz w:val="24"/>
                <w:szCs w:val="24"/>
              </w:rPr>
            </w:pPr>
            <w:r>
              <w:rPr>
                <w:rFonts w:hint="eastAsia" w:cs="宋体"/>
                <w:sz w:val="24"/>
                <w:szCs w:val="24"/>
              </w:rPr>
              <w:t xml:space="preserve">□允许，具体要求： </w:t>
            </w:r>
          </w:p>
          <w:p w14:paraId="6C445FF2">
            <w:pPr>
              <w:pStyle w:val="28"/>
              <w:spacing w:line="400" w:lineRule="exact"/>
              <w:rPr>
                <w:rFonts w:hint="eastAsia" w:cs="宋体"/>
                <w:sz w:val="24"/>
                <w:szCs w:val="24"/>
              </w:rPr>
            </w:pPr>
            <w:r>
              <w:rPr>
                <w:rFonts w:hint="eastAsia" w:cs="宋体"/>
                <w:sz w:val="24"/>
                <w:szCs w:val="24"/>
              </w:rPr>
              <w:t xml:space="preserve">     1.可以分包履行的具体内容：_____； </w:t>
            </w:r>
          </w:p>
          <w:p w14:paraId="71BE067E">
            <w:pPr>
              <w:pStyle w:val="28"/>
              <w:spacing w:line="400" w:lineRule="exact"/>
              <w:rPr>
                <w:rFonts w:hint="eastAsia" w:cs="宋体"/>
                <w:sz w:val="24"/>
                <w:szCs w:val="24"/>
              </w:rPr>
            </w:pPr>
            <w:r>
              <w:rPr>
                <w:rFonts w:hint="eastAsia" w:cs="宋体"/>
                <w:sz w:val="24"/>
                <w:szCs w:val="24"/>
              </w:rPr>
              <w:t xml:space="preserve">     2.允许分包的金额或者比例：_____； </w:t>
            </w:r>
          </w:p>
          <w:p w14:paraId="3628979B">
            <w:pPr>
              <w:pStyle w:val="28"/>
              <w:spacing w:line="400" w:lineRule="exact"/>
              <w:ind w:firstLine="480" w:firstLineChars="200"/>
              <w:rPr>
                <w:rFonts w:hint="eastAsia" w:cs="宋体"/>
                <w:sz w:val="24"/>
                <w:szCs w:val="24"/>
              </w:rPr>
            </w:pPr>
            <w:r>
              <w:rPr>
                <w:rFonts w:hint="eastAsia" w:cs="宋体"/>
                <w:sz w:val="24"/>
                <w:szCs w:val="24"/>
              </w:rPr>
              <w:t xml:space="preserve"> 3.其他要求：_____。</w:t>
            </w:r>
          </w:p>
        </w:tc>
      </w:tr>
      <w:tr w14:paraId="749FBCF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567" w:hRule="atLeast"/>
        </w:trPr>
        <w:tc>
          <w:tcPr>
            <w:tcW w:w="970" w:type="dxa"/>
            <w:tcBorders>
              <w:top w:val="single" w:color="auto" w:sz="2" w:space="0"/>
              <w:left w:val="single" w:color="auto" w:sz="2" w:space="0"/>
              <w:bottom w:val="single" w:color="auto" w:sz="2" w:space="0"/>
              <w:right w:val="single" w:color="auto" w:sz="2" w:space="0"/>
            </w:tcBorders>
            <w:vAlign w:val="center"/>
          </w:tcPr>
          <w:p w14:paraId="1F3EF9C4">
            <w:pPr>
              <w:pStyle w:val="28"/>
              <w:spacing w:line="400" w:lineRule="exact"/>
              <w:jc w:val="center"/>
              <w:rPr>
                <w:rFonts w:hint="eastAsia" w:cs="宋体"/>
                <w:sz w:val="24"/>
                <w:szCs w:val="24"/>
              </w:rPr>
            </w:pPr>
            <w:r>
              <w:rPr>
                <w:rFonts w:hint="eastAsia" w:cs="宋体"/>
                <w:sz w:val="24"/>
                <w:szCs w:val="24"/>
              </w:rPr>
              <w:t>35.1</w:t>
            </w:r>
          </w:p>
        </w:tc>
        <w:tc>
          <w:tcPr>
            <w:tcW w:w="1971" w:type="dxa"/>
            <w:tcBorders>
              <w:top w:val="single" w:color="auto" w:sz="2" w:space="0"/>
              <w:left w:val="single" w:color="auto" w:sz="2" w:space="0"/>
              <w:bottom w:val="single" w:color="auto" w:sz="2" w:space="0"/>
              <w:right w:val="single" w:color="auto" w:sz="2" w:space="0"/>
            </w:tcBorders>
            <w:vAlign w:val="center"/>
          </w:tcPr>
          <w:p w14:paraId="66EBB004">
            <w:pPr>
              <w:pStyle w:val="28"/>
              <w:spacing w:line="400" w:lineRule="exact"/>
              <w:jc w:val="center"/>
              <w:rPr>
                <w:rFonts w:hint="eastAsia" w:cs="宋体"/>
                <w:sz w:val="24"/>
                <w:szCs w:val="24"/>
              </w:rPr>
            </w:pPr>
            <w:r>
              <w:rPr>
                <w:rFonts w:hint="eastAsia" w:cs="宋体"/>
                <w:sz w:val="24"/>
                <w:szCs w:val="24"/>
              </w:rPr>
              <w:t>质疑</w:t>
            </w:r>
          </w:p>
        </w:tc>
        <w:tc>
          <w:tcPr>
            <w:tcW w:w="6946" w:type="dxa"/>
            <w:tcBorders>
              <w:top w:val="single" w:color="auto" w:sz="2" w:space="0"/>
              <w:left w:val="single" w:color="auto" w:sz="2" w:space="0"/>
              <w:bottom w:val="single" w:color="auto" w:sz="2" w:space="0"/>
              <w:right w:val="single" w:color="auto" w:sz="2" w:space="0"/>
            </w:tcBorders>
            <w:vAlign w:val="center"/>
          </w:tcPr>
          <w:p w14:paraId="5F42B61C">
            <w:pPr>
              <w:pStyle w:val="37"/>
              <w:autoSpaceDE w:val="0"/>
              <w:autoSpaceDN w:val="0"/>
              <w:adjustRightInd w:val="0"/>
              <w:snapToGrid w:val="0"/>
              <w:spacing w:line="400" w:lineRule="exact"/>
              <w:rPr>
                <w:rFonts w:hint="eastAsia" w:ascii="宋体" w:hAnsi="宋体" w:cs="宋体"/>
                <w:sz w:val="24"/>
                <w:lang w:val="zh-CN"/>
              </w:rPr>
            </w:pPr>
            <w:r>
              <w:rPr>
                <w:rFonts w:hint="eastAsia" w:ascii="宋体" w:hAnsi="宋体" w:cs="宋体"/>
                <w:sz w:val="24"/>
                <w:lang w:val="zh-CN"/>
              </w:rPr>
              <w:t>递交方式：</w:t>
            </w:r>
            <w:r>
              <w:rPr>
                <w:rFonts w:hint="eastAsia" w:ascii="宋体" w:hAnsi="宋体" w:cs="宋体"/>
                <w:sz w:val="24"/>
                <w:u w:val="single"/>
                <w:lang w:val="zh-CN"/>
              </w:rPr>
              <w:t>以加盖供应商公章的书面形式</w:t>
            </w:r>
            <w:r>
              <w:rPr>
                <w:rFonts w:hint="eastAsia" w:ascii="宋体" w:hAnsi="宋体" w:cs="宋体"/>
                <w:sz w:val="24"/>
                <w:lang w:val="zh-CN"/>
              </w:rPr>
              <w:t xml:space="preserve">              </w:t>
            </w:r>
          </w:p>
          <w:p w14:paraId="0786D581">
            <w:pPr>
              <w:pStyle w:val="37"/>
              <w:autoSpaceDE w:val="0"/>
              <w:autoSpaceDN w:val="0"/>
              <w:adjustRightInd w:val="0"/>
              <w:snapToGrid w:val="0"/>
              <w:spacing w:line="400" w:lineRule="exact"/>
              <w:rPr>
                <w:rFonts w:hint="eastAsia" w:ascii="宋体" w:hAnsi="宋体" w:cs="宋体"/>
                <w:sz w:val="24"/>
                <w:lang w:val="zh-CN"/>
              </w:rPr>
            </w:pPr>
            <w:r>
              <w:rPr>
                <w:rFonts w:hint="eastAsia" w:ascii="宋体" w:hAnsi="宋体" w:cs="宋体"/>
                <w:sz w:val="24"/>
                <w:lang w:val="zh-CN"/>
              </w:rPr>
              <w:t>接收部门：</w:t>
            </w:r>
            <w:r>
              <w:rPr>
                <w:rFonts w:hint="eastAsia" w:ascii="宋体" w:hAnsi="宋体" w:cs="宋体"/>
                <w:sz w:val="24"/>
                <w:u w:val="single"/>
              </w:rPr>
              <w:t>新疆诚成工程项目管理有限公司</w:t>
            </w:r>
            <w:r>
              <w:rPr>
                <w:rFonts w:hint="eastAsia" w:ascii="宋体" w:hAnsi="宋体" w:cs="宋体"/>
                <w:sz w:val="24"/>
                <w:lang w:val="zh-CN"/>
              </w:rPr>
              <w:t xml:space="preserve">              </w:t>
            </w:r>
          </w:p>
          <w:p w14:paraId="01D21CDC">
            <w:pPr>
              <w:pStyle w:val="37"/>
              <w:autoSpaceDE w:val="0"/>
              <w:autoSpaceDN w:val="0"/>
              <w:adjustRightInd w:val="0"/>
              <w:snapToGrid w:val="0"/>
              <w:spacing w:line="400" w:lineRule="exact"/>
              <w:rPr>
                <w:rFonts w:hint="eastAsia" w:ascii="宋体" w:hAnsi="宋体" w:cs="宋体"/>
                <w:sz w:val="24"/>
                <w:lang w:val="zh-CN"/>
              </w:rPr>
            </w:pPr>
            <w:r>
              <w:rPr>
                <w:rFonts w:hint="eastAsia" w:ascii="宋体" w:hAnsi="宋体" w:cs="宋体"/>
                <w:sz w:val="24"/>
                <w:lang w:val="zh-CN"/>
              </w:rPr>
              <w:t>联系电话：</w:t>
            </w:r>
            <w:r>
              <w:rPr>
                <w:rFonts w:hint="eastAsia" w:ascii="宋体" w:hAnsi="宋体" w:cs="宋体"/>
                <w:sz w:val="24"/>
                <w:u w:val="single"/>
              </w:rPr>
              <w:t>0991-2325156</w:t>
            </w:r>
            <w:r>
              <w:rPr>
                <w:rFonts w:hint="eastAsia" w:ascii="宋体" w:hAnsi="宋体" w:cs="宋体"/>
                <w:sz w:val="24"/>
                <w:lang w:val="zh-CN"/>
              </w:rPr>
              <w:t xml:space="preserve">              </w:t>
            </w:r>
          </w:p>
          <w:p w14:paraId="04255124">
            <w:pPr>
              <w:pStyle w:val="37"/>
              <w:autoSpaceDE w:val="0"/>
              <w:autoSpaceDN w:val="0"/>
              <w:adjustRightInd w:val="0"/>
              <w:spacing w:line="400" w:lineRule="exact"/>
              <w:rPr>
                <w:rFonts w:hint="eastAsia" w:ascii="宋体" w:hAnsi="宋体" w:cs="宋体"/>
                <w:sz w:val="24"/>
                <w:lang w:val="zh-CN"/>
              </w:rPr>
            </w:pPr>
            <w:r>
              <w:rPr>
                <w:rFonts w:hint="eastAsia" w:ascii="宋体" w:hAnsi="宋体" w:cs="宋体"/>
                <w:sz w:val="24"/>
                <w:lang w:val="zh-CN"/>
              </w:rPr>
              <w:t>通讯地址：</w:t>
            </w:r>
            <w:r>
              <w:rPr>
                <w:rFonts w:hint="eastAsia" w:ascii="宋体" w:hAnsi="宋体" w:cs="宋体"/>
                <w:sz w:val="24"/>
                <w:u w:val="single"/>
                <w:lang w:val="zh-CN"/>
              </w:rPr>
              <w:t>乌鲁木齐市水磨沟区红光山路2588号绿地中心101栋1806室</w:t>
            </w:r>
          </w:p>
        </w:tc>
      </w:tr>
      <w:tr w14:paraId="33386A9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567" w:hRule="atLeast"/>
        </w:trPr>
        <w:tc>
          <w:tcPr>
            <w:tcW w:w="970" w:type="dxa"/>
            <w:tcBorders>
              <w:top w:val="single" w:color="auto" w:sz="2" w:space="0"/>
              <w:left w:val="single" w:color="auto" w:sz="2" w:space="0"/>
              <w:bottom w:val="single" w:color="auto" w:sz="2" w:space="0"/>
              <w:right w:val="single" w:color="auto" w:sz="2" w:space="0"/>
            </w:tcBorders>
            <w:vAlign w:val="center"/>
          </w:tcPr>
          <w:p w14:paraId="0B4B8253">
            <w:pPr>
              <w:pStyle w:val="28"/>
              <w:spacing w:line="400" w:lineRule="exact"/>
              <w:jc w:val="center"/>
              <w:rPr>
                <w:rFonts w:hint="eastAsia" w:cs="宋体"/>
                <w:sz w:val="24"/>
                <w:szCs w:val="24"/>
                <w:highlight w:val="none"/>
              </w:rPr>
            </w:pPr>
            <w:r>
              <w:rPr>
                <w:rFonts w:hint="eastAsia" w:cs="宋体"/>
                <w:sz w:val="24"/>
                <w:szCs w:val="24"/>
                <w:highlight w:val="none"/>
              </w:rPr>
              <w:t>38.1</w:t>
            </w:r>
          </w:p>
        </w:tc>
        <w:tc>
          <w:tcPr>
            <w:tcW w:w="1971" w:type="dxa"/>
            <w:tcBorders>
              <w:top w:val="single" w:color="auto" w:sz="2" w:space="0"/>
              <w:left w:val="single" w:color="auto" w:sz="2" w:space="0"/>
              <w:bottom w:val="single" w:color="auto" w:sz="2" w:space="0"/>
              <w:right w:val="single" w:color="auto" w:sz="2" w:space="0"/>
            </w:tcBorders>
            <w:vAlign w:val="center"/>
          </w:tcPr>
          <w:p w14:paraId="620FF725">
            <w:pPr>
              <w:pStyle w:val="28"/>
              <w:spacing w:line="400" w:lineRule="exact"/>
              <w:jc w:val="center"/>
              <w:rPr>
                <w:rFonts w:hint="eastAsia" w:cs="宋体"/>
                <w:sz w:val="24"/>
                <w:szCs w:val="24"/>
                <w:highlight w:val="none"/>
              </w:rPr>
            </w:pPr>
            <w:r>
              <w:rPr>
                <w:rFonts w:hint="eastAsia" w:cs="宋体"/>
                <w:sz w:val="24"/>
                <w:szCs w:val="24"/>
                <w:highlight w:val="none"/>
              </w:rPr>
              <w:t>采购代理服务费收取方式和标准</w:t>
            </w:r>
          </w:p>
        </w:tc>
        <w:tc>
          <w:tcPr>
            <w:tcW w:w="6946" w:type="dxa"/>
            <w:tcBorders>
              <w:top w:val="single" w:color="auto" w:sz="2" w:space="0"/>
              <w:left w:val="single" w:color="auto" w:sz="2" w:space="0"/>
              <w:bottom w:val="single" w:color="auto" w:sz="2" w:space="0"/>
              <w:right w:val="single" w:color="auto" w:sz="2" w:space="0"/>
            </w:tcBorders>
            <w:vAlign w:val="center"/>
          </w:tcPr>
          <w:p w14:paraId="50A90ABD">
            <w:pPr>
              <w:pStyle w:val="28"/>
              <w:numPr>
                <w:ilvl w:val="0"/>
                <w:numId w:val="1"/>
              </w:numPr>
              <w:adjustRightInd w:val="0"/>
              <w:snapToGrid w:val="0"/>
              <w:spacing w:line="400" w:lineRule="exact"/>
              <w:rPr>
                <w:rFonts w:hint="eastAsia" w:cs="宋体"/>
                <w:sz w:val="24"/>
                <w:szCs w:val="24"/>
                <w:highlight w:val="none"/>
              </w:rPr>
            </w:pPr>
            <w:r>
              <w:rPr>
                <w:rFonts w:hint="eastAsia" w:cs="宋体"/>
                <w:sz w:val="24"/>
                <w:szCs w:val="24"/>
                <w:highlight w:val="none"/>
              </w:rPr>
              <w:t>收费对象：</w:t>
            </w:r>
            <w:r>
              <w:rPr>
                <w:rFonts w:hint="eastAsia" w:cs="宋体"/>
                <w:sz w:val="24"/>
                <w:szCs w:val="24"/>
                <w:highlight w:val="none"/>
              </w:rPr>
              <w:sym w:font="Wingdings" w:char="00A8"/>
            </w:r>
            <w:r>
              <w:rPr>
                <w:rFonts w:hint="eastAsia" w:cs="宋体"/>
                <w:sz w:val="24"/>
                <w:szCs w:val="24"/>
                <w:highlight w:val="none"/>
              </w:rPr>
              <w:t xml:space="preserve">采购人支付 </w:t>
            </w:r>
            <w:r>
              <w:rPr>
                <w:rFonts w:hint="eastAsia" w:cs="宋体"/>
                <w:sz w:val="24"/>
                <w:szCs w:val="24"/>
                <w:highlight w:val="none"/>
              </w:rPr>
              <w:sym w:font="Wingdings" w:char="00FE"/>
            </w:r>
            <w:r>
              <w:rPr>
                <w:rFonts w:hint="eastAsia" w:cs="宋体"/>
                <w:sz w:val="24"/>
                <w:szCs w:val="24"/>
                <w:highlight w:val="none"/>
              </w:rPr>
              <w:t xml:space="preserve">中标人支付 </w:t>
            </w:r>
          </w:p>
          <w:p w14:paraId="6763A0C8">
            <w:pPr>
              <w:pStyle w:val="28"/>
              <w:numPr>
                <w:ilvl w:val="0"/>
                <w:numId w:val="1"/>
              </w:numPr>
              <w:adjustRightInd w:val="0"/>
              <w:snapToGrid w:val="0"/>
              <w:spacing w:line="400" w:lineRule="exact"/>
              <w:rPr>
                <w:rFonts w:hint="eastAsia" w:cs="宋体"/>
                <w:sz w:val="24"/>
                <w:szCs w:val="24"/>
                <w:highlight w:val="none"/>
              </w:rPr>
            </w:pPr>
            <w:r>
              <w:rPr>
                <w:rFonts w:hint="eastAsia" w:cs="宋体"/>
                <w:sz w:val="24"/>
                <w:szCs w:val="24"/>
                <w:highlight w:val="none"/>
              </w:rPr>
              <w:t>项目类型：服务类项目</w:t>
            </w:r>
          </w:p>
          <w:p w14:paraId="1E071D59">
            <w:pPr>
              <w:pStyle w:val="28"/>
              <w:numPr>
                <w:ilvl w:val="0"/>
                <w:numId w:val="1"/>
              </w:numPr>
              <w:adjustRightInd w:val="0"/>
              <w:snapToGrid w:val="0"/>
              <w:spacing w:line="400" w:lineRule="exact"/>
              <w:rPr>
                <w:rFonts w:hint="eastAsia" w:cs="宋体"/>
                <w:sz w:val="24"/>
                <w:szCs w:val="24"/>
                <w:highlight w:val="none"/>
              </w:rPr>
            </w:pPr>
            <w:r>
              <w:rPr>
                <w:rFonts w:hint="eastAsia" w:cs="宋体"/>
                <w:sz w:val="24"/>
                <w:szCs w:val="24"/>
                <w:highlight w:val="none"/>
              </w:rPr>
              <w:t>收费标准：</w:t>
            </w:r>
            <w:r>
              <w:rPr>
                <w:rFonts w:hint="eastAsia" w:cs="宋体"/>
                <w:sz w:val="24"/>
                <w:szCs w:val="24"/>
                <w:highlight w:val="none"/>
                <w:u w:val="single"/>
              </w:rPr>
              <w:t>招标代理服务费按照国家发展改革委关于进一步放开建设项目专业服务价格的通知发改价格[2015]299号文，计算方法参照“国家计委关于印发《招标代理服务收费管理暂行办法》的通知”(计价格〔2002〕1980号)文件规定，根据上述文件的规定，本次招标代理服务费以中标价格为基数收取，计算后不足5000元的按5000元收取，由中标人向采购代理机构支付。本项目最高限价已包含代理服务费，请供应商将该费用考虑在报价之中，招标人将不另行支付。</w:t>
            </w:r>
          </w:p>
          <w:p w14:paraId="3A3278DB">
            <w:pPr>
              <w:pStyle w:val="28"/>
              <w:numPr>
                <w:ilvl w:val="0"/>
                <w:numId w:val="1"/>
              </w:numPr>
              <w:adjustRightInd w:val="0"/>
              <w:snapToGrid w:val="0"/>
              <w:spacing w:line="400" w:lineRule="exact"/>
              <w:rPr>
                <w:rFonts w:hint="eastAsia" w:cs="宋体"/>
                <w:sz w:val="24"/>
                <w:szCs w:val="24"/>
                <w:highlight w:val="none"/>
              </w:rPr>
            </w:pPr>
            <w:r>
              <w:rPr>
                <w:rFonts w:hint="eastAsia" w:cs="宋体"/>
                <w:sz w:val="24"/>
                <w:szCs w:val="24"/>
                <w:highlight w:val="none"/>
              </w:rPr>
              <w:t>计算方法：同第3条</w:t>
            </w:r>
          </w:p>
          <w:p w14:paraId="3CFCDBDE">
            <w:pPr>
              <w:pStyle w:val="28"/>
              <w:numPr>
                <w:ilvl w:val="0"/>
                <w:numId w:val="1"/>
              </w:numPr>
              <w:adjustRightInd w:val="0"/>
              <w:snapToGrid w:val="0"/>
              <w:spacing w:line="400" w:lineRule="exact"/>
              <w:rPr>
                <w:rFonts w:hint="eastAsia" w:cs="宋体"/>
                <w:sz w:val="24"/>
                <w:szCs w:val="24"/>
                <w:highlight w:val="none"/>
                <w:u w:val="single"/>
              </w:rPr>
            </w:pPr>
            <w:r>
              <w:rPr>
                <w:rFonts w:hint="eastAsia" w:cs="宋体"/>
                <w:sz w:val="24"/>
                <w:szCs w:val="24"/>
                <w:highlight w:val="none"/>
              </w:rPr>
              <w:t>收取时间：</w:t>
            </w:r>
            <w:r>
              <w:rPr>
                <w:rFonts w:hint="eastAsia" w:cs="宋体"/>
                <w:sz w:val="24"/>
                <w:szCs w:val="24"/>
                <w:highlight w:val="none"/>
                <w:u w:val="single"/>
              </w:rPr>
              <w:t>核发中标通知书时由中标单位一次性支付。</w:t>
            </w:r>
          </w:p>
          <w:p w14:paraId="363045B9">
            <w:pPr>
              <w:pStyle w:val="28"/>
              <w:numPr>
                <w:ilvl w:val="0"/>
                <w:numId w:val="1"/>
              </w:numPr>
              <w:adjustRightInd w:val="0"/>
              <w:snapToGrid w:val="0"/>
              <w:spacing w:line="400" w:lineRule="exact"/>
              <w:rPr>
                <w:rFonts w:hint="eastAsia" w:cs="宋体"/>
                <w:sz w:val="24"/>
                <w:szCs w:val="24"/>
                <w:highlight w:val="none"/>
              </w:rPr>
            </w:pPr>
            <w:r>
              <w:rPr>
                <w:rFonts w:hint="eastAsia" w:cs="宋体"/>
                <w:sz w:val="24"/>
                <w:szCs w:val="24"/>
                <w:highlight w:val="none"/>
              </w:rPr>
              <w:t>收取方式：</w:t>
            </w:r>
            <w:r>
              <w:rPr>
                <w:rFonts w:hint="eastAsia" w:cs="宋体"/>
                <w:sz w:val="24"/>
                <w:szCs w:val="24"/>
                <w:highlight w:val="none"/>
                <w:u w:val="single"/>
              </w:rPr>
              <w:t>银行电汇</w:t>
            </w:r>
          </w:p>
          <w:p w14:paraId="7E778FB4">
            <w:pPr>
              <w:pStyle w:val="28"/>
              <w:numPr>
                <w:ilvl w:val="0"/>
                <w:numId w:val="1"/>
              </w:numPr>
              <w:adjustRightInd w:val="0"/>
              <w:snapToGrid w:val="0"/>
              <w:spacing w:line="400" w:lineRule="exact"/>
              <w:rPr>
                <w:rFonts w:hint="eastAsia" w:cs="宋体"/>
                <w:sz w:val="24"/>
                <w:szCs w:val="24"/>
                <w:highlight w:val="none"/>
              </w:rPr>
            </w:pPr>
            <w:r>
              <w:rPr>
                <w:rFonts w:hint="eastAsia" w:cs="宋体"/>
                <w:sz w:val="24"/>
                <w:szCs w:val="24"/>
                <w:highlight w:val="none"/>
              </w:rPr>
              <w:t>收款账户信息：</w:t>
            </w:r>
          </w:p>
          <w:p w14:paraId="1C7EBF17">
            <w:pPr>
              <w:pStyle w:val="28"/>
              <w:adjustRightInd w:val="0"/>
              <w:snapToGrid w:val="0"/>
              <w:spacing w:line="400" w:lineRule="exact"/>
              <w:rPr>
                <w:rFonts w:hint="eastAsia" w:cs="宋体"/>
                <w:sz w:val="24"/>
                <w:szCs w:val="24"/>
                <w:highlight w:val="none"/>
                <w:u w:val="single"/>
              </w:rPr>
            </w:pPr>
            <w:r>
              <w:rPr>
                <w:rFonts w:hint="eastAsia" w:cs="宋体"/>
                <w:sz w:val="24"/>
                <w:szCs w:val="24"/>
                <w:highlight w:val="none"/>
                <w:u w:val="single"/>
              </w:rPr>
              <w:t>户名：新疆诚成工程项目管理有限公司</w:t>
            </w:r>
          </w:p>
          <w:p w14:paraId="6BA3CA80">
            <w:pPr>
              <w:pStyle w:val="28"/>
              <w:adjustRightInd w:val="0"/>
              <w:snapToGrid w:val="0"/>
              <w:spacing w:line="400" w:lineRule="exact"/>
              <w:rPr>
                <w:rFonts w:hint="eastAsia" w:cs="宋体"/>
                <w:sz w:val="24"/>
                <w:szCs w:val="24"/>
                <w:highlight w:val="none"/>
                <w:u w:val="single"/>
              </w:rPr>
            </w:pPr>
            <w:r>
              <w:rPr>
                <w:rFonts w:hint="eastAsia" w:cs="宋体"/>
                <w:sz w:val="24"/>
                <w:szCs w:val="24"/>
                <w:highlight w:val="none"/>
                <w:u w:val="single"/>
              </w:rPr>
              <w:t>开户行名称：乌鲁木齐银行新华南路支行</w:t>
            </w:r>
          </w:p>
          <w:p w14:paraId="24D65C2C">
            <w:pPr>
              <w:pStyle w:val="28"/>
              <w:adjustRightInd w:val="0"/>
              <w:snapToGrid w:val="0"/>
              <w:spacing w:line="400" w:lineRule="exact"/>
              <w:rPr>
                <w:rFonts w:hint="eastAsia" w:cs="宋体"/>
                <w:sz w:val="24"/>
                <w:szCs w:val="24"/>
                <w:highlight w:val="none"/>
                <w:u w:val="single"/>
              </w:rPr>
            </w:pPr>
            <w:r>
              <w:rPr>
                <w:rFonts w:hint="eastAsia" w:cs="宋体"/>
                <w:sz w:val="24"/>
                <w:szCs w:val="24"/>
                <w:highlight w:val="none"/>
                <w:u w:val="single"/>
              </w:rPr>
              <w:t>账号：0000001211121500053685</w:t>
            </w:r>
          </w:p>
          <w:p w14:paraId="18F54595">
            <w:pPr>
              <w:pStyle w:val="28"/>
              <w:adjustRightInd w:val="0"/>
              <w:snapToGrid w:val="0"/>
              <w:spacing w:line="400" w:lineRule="exact"/>
              <w:rPr>
                <w:rFonts w:hint="eastAsia" w:cs="宋体"/>
                <w:sz w:val="24"/>
                <w:szCs w:val="24"/>
                <w:highlight w:val="none"/>
              </w:rPr>
            </w:pPr>
            <w:r>
              <w:rPr>
                <w:rFonts w:hint="eastAsia" w:cs="宋体"/>
                <w:sz w:val="24"/>
                <w:szCs w:val="24"/>
                <w:highlight w:val="none"/>
                <w:u w:val="single"/>
              </w:rPr>
              <w:t>开户行号：313881000176</w:t>
            </w:r>
          </w:p>
        </w:tc>
      </w:tr>
      <w:tr w14:paraId="399E08F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567" w:hRule="atLeast"/>
        </w:trPr>
        <w:tc>
          <w:tcPr>
            <w:tcW w:w="970" w:type="dxa"/>
            <w:tcBorders>
              <w:top w:val="single" w:color="auto" w:sz="2" w:space="0"/>
              <w:left w:val="single" w:color="auto" w:sz="2" w:space="0"/>
              <w:bottom w:val="single" w:color="auto" w:sz="2" w:space="0"/>
              <w:right w:val="single" w:color="auto" w:sz="2" w:space="0"/>
            </w:tcBorders>
            <w:vAlign w:val="center"/>
          </w:tcPr>
          <w:p w14:paraId="0A071A53">
            <w:pPr>
              <w:pStyle w:val="28"/>
              <w:spacing w:line="400" w:lineRule="exact"/>
              <w:jc w:val="center"/>
              <w:rPr>
                <w:rFonts w:hint="eastAsia" w:cs="宋体"/>
                <w:sz w:val="24"/>
                <w:szCs w:val="24"/>
              </w:rPr>
            </w:pPr>
            <w:r>
              <w:rPr>
                <w:rFonts w:hint="eastAsia" w:cs="宋体"/>
                <w:sz w:val="24"/>
                <w:szCs w:val="24"/>
              </w:rPr>
              <w:t>41.1</w:t>
            </w:r>
          </w:p>
        </w:tc>
        <w:tc>
          <w:tcPr>
            <w:tcW w:w="1971" w:type="dxa"/>
            <w:tcBorders>
              <w:top w:val="single" w:color="auto" w:sz="2" w:space="0"/>
              <w:left w:val="single" w:color="auto" w:sz="2" w:space="0"/>
              <w:bottom w:val="single" w:color="auto" w:sz="2" w:space="0"/>
              <w:right w:val="single" w:color="auto" w:sz="2" w:space="0"/>
            </w:tcBorders>
            <w:vAlign w:val="center"/>
          </w:tcPr>
          <w:p w14:paraId="1785FF1B">
            <w:pPr>
              <w:pStyle w:val="28"/>
              <w:spacing w:line="400" w:lineRule="exact"/>
              <w:jc w:val="center"/>
              <w:rPr>
                <w:rFonts w:hint="eastAsia" w:cs="宋体"/>
                <w:sz w:val="24"/>
                <w:szCs w:val="24"/>
              </w:rPr>
            </w:pPr>
            <w:r>
              <w:rPr>
                <w:rFonts w:hint="eastAsia" w:cs="宋体"/>
                <w:sz w:val="24"/>
                <w:szCs w:val="24"/>
                <w:lang w:val="zh-CN"/>
              </w:rPr>
              <w:t>是否接受进口产品</w:t>
            </w:r>
          </w:p>
        </w:tc>
        <w:tc>
          <w:tcPr>
            <w:tcW w:w="6946" w:type="dxa"/>
            <w:tcBorders>
              <w:top w:val="single" w:color="auto" w:sz="2" w:space="0"/>
              <w:left w:val="single" w:color="auto" w:sz="2" w:space="0"/>
              <w:bottom w:val="single" w:color="auto" w:sz="2" w:space="0"/>
              <w:right w:val="single" w:color="auto" w:sz="2" w:space="0"/>
            </w:tcBorders>
            <w:vAlign w:val="center"/>
          </w:tcPr>
          <w:p w14:paraId="3B4D5E17">
            <w:pPr>
              <w:pStyle w:val="28"/>
              <w:spacing w:line="400" w:lineRule="exact"/>
              <w:rPr>
                <w:rFonts w:hint="eastAsia" w:cs="宋体"/>
                <w:sz w:val="24"/>
                <w:szCs w:val="24"/>
              </w:rPr>
            </w:pPr>
            <w:r>
              <w:rPr>
                <w:rFonts w:hint="eastAsia" w:cs="宋体"/>
                <w:sz w:val="24"/>
                <w:szCs w:val="24"/>
              </w:rPr>
              <w:sym w:font="Wingdings" w:char="00FE"/>
            </w:r>
            <w:r>
              <w:rPr>
                <w:rFonts w:hint="eastAsia" w:cs="宋体"/>
                <w:sz w:val="24"/>
                <w:szCs w:val="24"/>
              </w:rPr>
              <w:t>不接受</w:t>
            </w:r>
          </w:p>
          <w:p w14:paraId="77F5BFD2">
            <w:pPr>
              <w:pStyle w:val="28"/>
              <w:spacing w:line="400" w:lineRule="exact"/>
              <w:rPr>
                <w:rFonts w:hint="eastAsia" w:cs="宋体"/>
                <w:sz w:val="24"/>
                <w:szCs w:val="24"/>
              </w:rPr>
            </w:pPr>
            <w:r>
              <w:rPr>
                <w:rFonts w:hint="eastAsia" w:cs="宋体"/>
                <w:sz w:val="24"/>
                <w:szCs w:val="24"/>
              </w:rPr>
              <w:sym w:font="Wingdings" w:char="F0A8"/>
            </w:r>
            <w:r>
              <w:rPr>
                <w:rFonts w:hint="eastAsia" w:cs="宋体"/>
                <w:sz w:val="24"/>
                <w:szCs w:val="24"/>
                <w:lang w:val="zh-CN"/>
              </w:rPr>
              <w:t>接受</w:t>
            </w:r>
          </w:p>
        </w:tc>
      </w:tr>
      <w:tr w14:paraId="6F7014D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567" w:hRule="atLeast"/>
        </w:trPr>
        <w:tc>
          <w:tcPr>
            <w:tcW w:w="970" w:type="dxa"/>
            <w:tcBorders>
              <w:top w:val="single" w:color="auto" w:sz="2" w:space="0"/>
              <w:left w:val="single" w:color="auto" w:sz="2" w:space="0"/>
              <w:bottom w:val="single" w:color="auto" w:sz="2" w:space="0"/>
              <w:right w:val="single" w:color="auto" w:sz="2" w:space="0"/>
            </w:tcBorders>
            <w:vAlign w:val="center"/>
          </w:tcPr>
          <w:p w14:paraId="15EB639A">
            <w:pPr>
              <w:pStyle w:val="28"/>
              <w:spacing w:line="400" w:lineRule="exact"/>
              <w:jc w:val="center"/>
              <w:rPr>
                <w:rFonts w:hint="eastAsia" w:cs="宋体"/>
                <w:sz w:val="24"/>
                <w:szCs w:val="24"/>
              </w:rPr>
            </w:pPr>
            <w:r>
              <w:rPr>
                <w:rFonts w:hint="eastAsia" w:cs="宋体"/>
                <w:sz w:val="24"/>
                <w:szCs w:val="24"/>
              </w:rPr>
              <w:t>42.2</w:t>
            </w:r>
          </w:p>
        </w:tc>
        <w:tc>
          <w:tcPr>
            <w:tcW w:w="1971" w:type="dxa"/>
            <w:tcBorders>
              <w:top w:val="single" w:color="auto" w:sz="2" w:space="0"/>
              <w:left w:val="single" w:color="auto" w:sz="2" w:space="0"/>
              <w:bottom w:val="single" w:color="auto" w:sz="2" w:space="0"/>
              <w:right w:val="single" w:color="auto" w:sz="2" w:space="0"/>
            </w:tcBorders>
            <w:vAlign w:val="center"/>
          </w:tcPr>
          <w:p w14:paraId="623E81DC">
            <w:pPr>
              <w:pStyle w:val="28"/>
              <w:spacing w:line="400" w:lineRule="exact"/>
              <w:jc w:val="center"/>
              <w:rPr>
                <w:rFonts w:hint="eastAsia" w:cs="宋体"/>
                <w:sz w:val="24"/>
                <w:szCs w:val="24"/>
              </w:rPr>
            </w:pPr>
            <w:r>
              <w:rPr>
                <w:rFonts w:hint="eastAsia" w:cs="宋体"/>
                <w:sz w:val="24"/>
                <w:szCs w:val="24"/>
              </w:rPr>
              <w:t>支持中小企业政策</w:t>
            </w:r>
            <w:r>
              <w:rPr>
                <w:rStyle w:val="22"/>
                <w:rFonts w:hint="eastAsia" w:cs="宋体"/>
                <w:b w:val="0"/>
                <w:sz w:val="24"/>
                <w:szCs w:val="24"/>
              </w:rPr>
              <w:t>（非专门面向中小企业采购项目适用）</w:t>
            </w:r>
          </w:p>
        </w:tc>
        <w:tc>
          <w:tcPr>
            <w:tcW w:w="6946" w:type="dxa"/>
            <w:tcBorders>
              <w:top w:val="single" w:color="auto" w:sz="2" w:space="0"/>
              <w:left w:val="single" w:color="auto" w:sz="2" w:space="0"/>
              <w:bottom w:val="single" w:color="auto" w:sz="2" w:space="0"/>
              <w:right w:val="single" w:color="auto" w:sz="2" w:space="0"/>
            </w:tcBorders>
            <w:vAlign w:val="center"/>
          </w:tcPr>
          <w:p w14:paraId="494A9BAF">
            <w:pPr>
              <w:pStyle w:val="55"/>
              <w:widowControl w:val="0"/>
              <w:spacing w:before="0" w:beforeAutospacing="0" w:after="0" w:afterAutospacing="0" w:line="400" w:lineRule="exact"/>
              <w:jc w:val="both"/>
              <w:rPr>
                <w:rFonts w:hint="eastAsia" w:cs="宋体"/>
                <w:b w:val="0"/>
                <w:sz w:val="24"/>
                <w:szCs w:val="24"/>
              </w:rPr>
            </w:pPr>
            <w:r>
              <w:rPr>
                <w:rFonts w:hint="eastAsia" w:cs="宋体"/>
                <w:b w:val="0"/>
                <w:sz w:val="24"/>
                <w:szCs w:val="24"/>
              </w:rPr>
              <w:t xml:space="preserve"> 1.小型和微型企业价格扣除：</w:t>
            </w:r>
            <w:r>
              <w:rPr>
                <w:rFonts w:hint="eastAsia" w:cs="宋体"/>
                <w:b w:val="0"/>
                <w:sz w:val="24"/>
                <w:szCs w:val="24"/>
                <w:u w:val="single"/>
              </w:rPr>
              <w:t xml:space="preserve"> 10%   </w:t>
            </w:r>
            <w:r>
              <w:rPr>
                <w:rFonts w:hint="eastAsia" w:cs="宋体"/>
                <w:b w:val="0"/>
                <w:sz w:val="24"/>
                <w:szCs w:val="24"/>
              </w:rPr>
              <w:t>。</w:t>
            </w:r>
          </w:p>
          <w:p w14:paraId="1EC73829">
            <w:pPr>
              <w:pStyle w:val="55"/>
              <w:widowControl w:val="0"/>
              <w:spacing w:before="0" w:beforeAutospacing="0" w:after="0" w:afterAutospacing="0" w:line="400" w:lineRule="exact"/>
              <w:jc w:val="both"/>
              <w:rPr>
                <w:rFonts w:hint="eastAsia" w:cs="宋体"/>
                <w:b w:val="0"/>
                <w:sz w:val="24"/>
                <w:szCs w:val="24"/>
              </w:rPr>
            </w:pPr>
            <w:r>
              <w:rPr>
                <w:rFonts w:hint="eastAsia" w:cs="宋体"/>
                <w:b w:val="0"/>
                <w:sz w:val="24"/>
                <w:szCs w:val="24"/>
              </w:rPr>
              <w:t xml:space="preserve"> 2.监狱企业价格扣除：</w:t>
            </w:r>
            <w:r>
              <w:rPr>
                <w:rFonts w:hint="eastAsia" w:cs="宋体"/>
                <w:b w:val="0"/>
                <w:sz w:val="24"/>
                <w:szCs w:val="24"/>
                <w:u w:val="single"/>
              </w:rPr>
              <w:t>同小型和微型企业</w:t>
            </w:r>
            <w:r>
              <w:rPr>
                <w:rFonts w:hint="eastAsia" w:cs="宋体"/>
                <w:b w:val="0"/>
                <w:sz w:val="24"/>
                <w:szCs w:val="24"/>
              </w:rPr>
              <w:t>。</w:t>
            </w:r>
          </w:p>
          <w:p w14:paraId="498559E5">
            <w:pPr>
              <w:pStyle w:val="55"/>
              <w:widowControl w:val="0"/>
              <w:spacing w:before="0" w:beforeAutospacing="0" w:after="0" w:afterAutospacing="0" w:line="400" w:lineRule="exact"/>
              <w:jc w:val="both"/>
              <w:rPr>
                <w:rFonts w:hint="eastAsia" w:cs="宋体"/>
                <w:b w:val="0"/>
                <w:sz w:val="24"/>
                <w:szCs w:val="24"/>
              </w:rPr>
            </w:pPr>
            <w:r>
              <w:rPr>
                <w:rFonts w:hint="eastAsia" w:cs="宋体"/>
                <w:b w:val="0"/>
                <w:sz w:val="24"/>
                <w:szCs w:val="24"/>
              </w:rPr>
              <w:t xml:space="preserve"> 3.残疾人福利性单位价格扣除：</w:t>
            </w:r>
            <w:r>
              <w:rPr>
                <w:rFonts w:hint="eastAsia" w:cs="宋体"/>
                <w:b w:val="0"/>
                <w:sz w:val="24"/>
                <w:szCs w:val="24"/>
                <w:u w:val="single"/>
              </w:rPr>
              <w:t>同小型和微型企业</w:t>
            </w:r>
            <w:r>
              <w:rPr>
                <w:rFonts w:hint="eastAsia" w:cs="宋体"/>
                <w:b w:val="0"/>
                <w:sz w:val="24"/>
                <w:szCs w:val="24"/>
              </w:rPr>
              <w:t>。</w:t>
            </w:r>
          </w:p>
          <w:p w14:paraId="56AB8547">
            <w:pPr>
              <w:pStyle w:val="55"/>
              <w:widowControl w:val="0"/>
              <w:spacing w:before="0" w:beforeAutospacing="0" w:after="0" w:afterAutospacing="0" w:line="400" w:lineRule="exact"/>
              <w:jc w:val="both"/>
              <w:rPr>
                <w:rFonts w:hint="eastAsia" w:cs="宋体"/>
                <w:b w:val="0"/>
                <w:sz w:val="24"/>
                <w:szCs w:val="24"/>
              </w:rPr>
            </w:pPr>
            <w:r>
              <w:rPr>
                <w:rFonts w:hint="eastAsia" w:cs="宋体"/>
                <w:b w:val="0"/>
                <w:sz w:val="24"/>
                <w:szCs w:val="24"/>
              </w:rPr>
              <w:t xml:space="preserve"> 4.符合条件的联合体价格扣除：</w:t>
            </w:r>
            <w:r>
              <w:rPr>
                <w:rFonts w:hint="eastAsia" w:cs="宋体"/>
                <w:b w:val="0"/>
                <w:sz w:val="24"/>
                <w:szCs w:val="24"/>
                <w:u w:val="single"/>
              </w:rPr>
              <w:t xml:space="preserve">  /  </w:t>
            </w:r>
            <w:r>
              <w:rPr>
                <w:rFonts w:hint="eastAsia" w:cs="宋体"/>
                <w:b w:val="0"/>
                <w:sz w:val="24"/>
                <w:szCs w:val="24"/>
              </w:rPr>
              <w:t>。</w:t>
            </w:r>
          </w:p>
          <w:p w14:paraId="083F702C">
            <w:pPr>
              <w:pStyle w:val="55"/>
              <w:widowControl w:val="0"/>
              <w:spacing w:before="0" w:beforeAutospacing="0" w:after="0" w:afterAutospacing="0" w:line="400" w:lineRule="exact"/>
              <w:jc w:val="both"/>
              <w:rPr>
                <w:rFonts w:hint="eastAsia" w:cs="宋体"/>
                <w:sz w:val="24"/>
                <w:szCs w:val="24"/>
              </w:rPr>
            </w:pPr>
            <w:r>
              <w:rPr>
                <w:rFonts w:hint="eastAsia" w:cs="宋体"/>
                <w:b w:val="0"/>
                <w:sz w:val="24"/>
                <w:szCs w:val="24"/>
              </w:rPr>
              <w:t xml:space="preserve"> 5.符合条件的向小微企业分包的大中型企业价格扣除：</w:t>
            </w:r>
            <w:r>
              <w:rPr>
                <w:rFonts w:hint="eastAsia" w:cs="宋体"/>
                <w:b w:val="0"/>
                <w:sz w:val="24"/>
                <w:szCs w:val="24"/>
                <w:u w:val="single"/>
              </w:rPr>
              <w:t xml:space="preserve"> /</w:t>
            </w:r>
            <w:r>
              <w:rPr>
                <w:rFonts w:hint="eastAsia" w:cs="宋体"/>
                <w:b w:val="0"/>
                <w:sz w:val="24"/>
                <w:szCs w:val="24"/>
              </w:rPr>
              <w:t>。（允许大中型企业向小微企业分包的项目适用）</w:t>
            </w:r>
          </w:p>
        </w:tc>
      </w:tr>
      <w:tr w14:paraId="0160515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567" w:hRule="atLeast"/>
        </w:trPr>
        <w:tc>
          <w:tcPr>
            <w:tcW w:w="970" w:type="dxa"/>
            <w:tcBorders>
              <w:top w:val="single" w:color="auto" w:sz="2" w:space="0"/>
              <w:left w:val="single" w:color="auto" w:sz="2" w:space="0"/>
              <w:bottom w:val="single" w:color="auto" w:sz="2" w:space="0"/>
              <w:right w:val="single" w:color="auto" w:sz="2" w:space="0"/>
            </w:tcBorders>
            <w:vAlign w:val="center"/>
          </w:tcPr>
          <w:p w14:paraId="790F1479">
            <w:pPr>
              <w:pStyle w:val="28"/>
              <w:spacing w:line="400" w:lineRule="exact"/>
              <w:jc w:val="center"/>
              <w:rPr>
                <w:rFonts w:hint="eastAsia" w:cs="宋体"/>
                <w:sz w:val="24"/>
                <w:szCs w:val="24"/>
              </w:rPr>
            </w:pPr>
            <w:r>
              <w:rPr>
                <w:rFonts w:hint="eastAsia" w:cs="宋体"/>
                <w:sz w:val="24"/>
                <w:szCs w:val="24"/>
              </w:rPr>
              <w:t>42.9</w:t>
            </w:r>
          </w:p>
        </w:tc>
        <w:tc>
          <w:tcPr>
            <w:tcW w:w="1971" w:type="dxa"/>
            <w:tcBorders>
              <w:top w:val="single" w:color="auto" w:sz="2" w:space="0"/>
              <w:left w:val="single" w:color="auto" w:sz="2" w:space="0"/>
              <w:bottom w:val="single" w:color="auto" w:sz="2" w:space="0"/>
              <w:right w:val="single" w:color="auto" w:sz="2" w:space="0"/>
            </w:tcBorders>
            <w:vAlign w:val="center"/>
          </w:tcPr>
          <w:p w14:paraId="4DEF3B1D">
            <w:pPr>
              <w:pStyle w:val="28"/>
              <w:spacing w:line="400" w:lineRule="exact"/>
              <w:jc w:val="center"/>
              <w:rPr>
                <w:rFonts w:hint="eastAsia" w:cs="宋体"/>
                <w:sz w:val="24"/>
                <w:szCs w:val="24"/>
              </w:rPr>
            </w:pPr>
            <w:r>
              <w:rPr>
                <w:rFonts w:hint="eastAsia" w:cs="宋体"/>
                <w:sz w:val="24"/>
                <w:szCs w:val="24"/>
              </w:rPr>
              <w:t>标的所属行业</w:t>
            </w:r>
          </w:p>
          <w:p w14:paraId="2A0D024C">
            <w:pPr>
              <w:pStyle w:val="28"/>
              <w:spacing w:line="400" w:lineRule="exact"/>
              <w:jc w:val="center"/>
              <w:rPr>
                <w:rFonts w:hint="eastAsia" w:cs="宋体"/>
                <w:sz w:val="24"/>
                <w:szCs w:val="24"/>
              </w:rPr>
            </w:pPr>
            <w:r>
              <w:rPr>
                <w:rStyle w:val="22"/>
                <w:rFonts w:hint="eastAsia" w:cs="宋体"/>
                <w:b w:val="0"/>
                <w:sz w:val="24"/>
                <w:szCs w:val="24"/>
              </w:rPr>
              <w:t>（参照后附《工信部联企业〔2011〕300号》）</w:t>
            </w:r>
          </w:p>
        </w:tc>
        <w:tc>
          <w:tcPr>
            <w:tcW w:w="6946" w:type="dxa"/>
            <w:tcBorders>
              <w:top w:val="single" w:color="auto" w:sz="2" w:space="0"/>
              <w:left w:val="single" w:color="auto" w:sz="2" w:space="0"/>
              <w:bottom w:val="single" w:color="auto" w:sz="2" w:space="0"/>
              <w:right w:val="single" w:color="auto" w:sz="2" w:space="0"/>
            </w:tcBorders>
            <w:vAlign w:val="center"/>
          </w:tcPr>
          <w:p w14:paraId="73639D39">
            <w:pPr>
              <w:widowControl/>
              <w:spacing w:line="400" w:lineRule="exact"/>
              <w:rPr>
                <w:rFonts w:hint="eastAsia" w:cs="宋体"/>
                <w:szCs w:val="24"/>
              </w:rPr>
            </w:pPr>
            <w:r>
              <w:rPr>
                <w:rFonts w:hint="eastAsia" w:cs="宋体"/>
                <w:kern w:val="0"/>
                <w:szCs w:val="24"/>
                <w:lang w:bidi="ar"/>
              </w:rPr>
              <w:t xml:space="preserve">本项目采购标的对应的中小企业划分标准所属行业： </w:t>
            </w:r>
          </w:p>
          <w:tbl>
            <w:tblPr>
              <w:tblStyle w:val="20"/>
              <w:tblW w:w="63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1"/>
              <w:gridCol w:w="3556"/>
              <w:gridCol w:w="2013"/>
            </w:tblGrid>
            <w:tr w14:paraId="385ED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1" w:type="dxa"/>
                  <w:vAlign w:val="center"/>
                </w:tcPr>
                <w:p w14:paraId="6A664177">
                  <w:pPr>
                    <w:widowControl/>
                    <w:spacing w:line="400" w:lineRule="exact"/>
                    <w:jc w:val="center"/>
                    <w:rPr>
                      <w:rFonts w:hint="eastAsia" w:cs="宋体"/>
                      <w:kern w:val="0"/>
                      <w:szCs w:val="24"/>
                      <w:lang w:bidi="ar"/>
                    </w:rPr>
                  </w:pPr>
                  <w:r>
                    <w:rPr>
                      <w:rFonts w:hint="eastAsia" w:cs="宋体"/>
                      <w:kern w:val="0"/>
                      <w:szCs w:val="24"/>
                      <w:lang w:bidi="ar"/>
                    </w:rPr>
                    <w:t>包号</w:t>
                  </w:r>
                </w:p>
              </w:tc>
              <w:tc>
                <w:tcPr>
                  <w:tcW w:w="3556" w:type="dxa"/>
                  <w:vAlign w:val="center"/>
                </w:tcPr>
                <w:p w14:paraId="0AD36816">
                  <w:pPr>
                    <w:widowControl/>
                    <w:spacing w:line="400" w:lineRule="exact"/>
                    <w:jc w:val="center"/>
                    <w:rPr>
                      <w:rFonts w:hint="eastAsia" w:cs="宋体"/>
                      <w:kern w:val="0"/>
                      <w:szCs w:val="24"/>
                      <w:lang w:bidi="ar"/>
                    </w:rPr>
                  </w:pPr>
                  <w:r>
                    <w:rPr>
                      <w:rFonts w:hint="eastAsia" w:cs="宋体"/>
                      <w:kern w:val="0"/>
                      <w:szCs w:val="24"/>
                      <w:lang w:bidi="ar"/>
                    </w:rPr>
                    <w:t>标的名称</w:t>
                  </w:r>
                </w:p>
              </w:tc>
              <w:tc>
                <w:tcPr>
                  <w:tcW w:w="2013" w:type="dxa"/>
                  <w:vAlign w:val="center"/>
                </w:tcPr>
                <w:p w14:paraId="2C78D772">
                  <w:pPr>
                    <w:widowControl/>
                    <w:spacing w:line="400" w:lineRule="exact"/>
                    <w:jc w:val="center"/>
                    <w:rPr>
                      <w:rFonts w:hint="eastAsia" w:cs="宋体"/>
                      <w:kern w:val="0"/>
                      <w:szCs w:val="24"/>
                      <w:lang w:bidi="ar"/>
                    </w:rPr>
                  </w:pPr>
                  <w:r>
                    <w:rPr>
                      <w:rFonts w:hint="eastAsia" w:cs="宋体"/>
                      <w:kern w:val="0"/>
                      <w:szCs w:val="24"/>
                      <w:lang w:bidi="ar"/>
                    </w:rPr>
                    <w:t>中小企业划分标准所属行业</w:t>
                  </w:r>
                </w:p>
              </w:tc>
            </w:tr>
            <w:tr w14:paraId="531AC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1" w:type="dxa"/>
                  <w:vAlign w:val="center"/>
                </w:tcPr>
                <w:p w14:paraId="45DA92CB">
                  <w:pPr>
                    <w:widowControl/>
                    <w:spacing w:line="400" w:lineRule="exact"/>
                    <w:jc w:val="center"/>
                    <w:rPr>
                      <w:rFonts w:hint="eastAsia" w:cs="宋体"/>
                      <w:kern w:val="0"/>
                      <w:szCs w:val="24"/>
                      <w:lang w:bidi="ar"/>
                    </w:rPr>
                  </w:pPr>
                  <w:r>
                    <w:rPr>
                      <w:rFonts w:hint="eastAsia" w:cs="宋体"/>
                      <w:kern w:val="0"/>
                      <w:szCs w:val="24"/>
                      <w:lang w:bidi="ar"/>
                    </w:rPr>
                    <w:t>/</w:t>
                  </w:r>
                </w:p>
              </w:tc>
              <w:tc>
                <w:tcPr>
                  <w:tcW w:w="3556" w:type="dxa"/>
                  <w:vAlign w:val="center"/>
                </w:tcPr>
                <w:p w14:paraId="7B94C3FE">
                  <w:pPr>
                    <w:widowControl/>
                    <w:spacing w:line="400" w:lineRule="exact"/>
                    <w:jc w:val="center"/>
                    <w:rPr>
                      <w:rFonts w:hint="eastAsia" w:cs="宋体"/>
                      <w:kern w:val="0"/>
                      <w:szCs w:val="24"/>
                      <w:lang w:bidi="ar"/>
                    </w:rPr>
                  </w:pPr>
                  <w:r>
                    <w:rPr>
                      <w:rFonts w:hint="eastAsia" w:cs="宋体"/>
                      <w:kern w:val="0"/>
                      <w:szCs w:val="24"/>
                      <w:lang w:bidi="ar"/>
                    </w:rPr>
                    <w:t>关于自治区财政支持南疆城市更新试点行动的可行性研究项目</w:t>
                  </w:r>
                </w:p>
              </w:tc>
              <w:tc>
                <w:tcPr>
                  <w:tcW w:w="2013" w:type="dxa"/>
                  <w:vAlign w:val="center"/>
                </w:tcPr>
                <w:p w14:paraId="33535D95">
                  <w:pPr>
                    <w:widowControl/>
                    <w:spacing w:line="400" w:lineRule="exact"/>
                    <w:jc w:val="center"/>
                    <w:rPr>
                      <w:rFonts w:hint="eastAsia" w:cs="宋体"/>
                      <w:kern w:val="0"/>
                      <w:szCs w:val="24"/>
                      <w:lang w:bidi="ar"/>
                    </w:rPr>
                  </w:pPr>
                  <w:r>
                    <w:rPr>
                      <w:rFonts w:hint="eastAsia" w:cs="宋体"/>
                      <w:kern w:val="0"/>
                      <w:szCs w:val="24"/>
                      <w:lang w:bidi="ar"/>
                    </w:rPr>
                    <w:t>其他未列明行业</w:t>
                  </w:r>
                </w:p>
              </w:tc>
            </w:tr>
          </w:tbl>
          <w:p w14:paraId="4176FC14">
            <w:pPr>
              <w:pStyle w:val="28"/>
              <w:spacing w:line="400" w:lineRule="exact"/>
              <w:rPr>
                <w:rFonts w:hint="eastAsia" w:cs="宋体"/>
                <w:sz w:val="24"/>
                <w:szCs w:val="24"/>
              </w:rPr>
            </w:pPr>
          </w:p>
        </w:tc>
      </w:tr>
      <w:tr w14:paraId="255D901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567" w:hRule="atLeast"/>
        </w:trPr>
        <w:tc>
          <w:tcPr>
            <w:tcW w:w="970" w:type="dxa"/>
            <w:tcBorders>
              <w:top w:val="single" w:color="auto" w:sz="2" w:space="0"/>
              <w:left w:val="single" w:color="auto" w:sz="2" w:space="0"/>
              <w:bottom w:val="single" w:color="auto" w:sz="2" w:space="0"/>
              <w:right w:val="single" w:color="auto" w:sz="2" w:space="0"/>
            </w:tcBorders>
            <w:vAlign w:val="center"/>
          </w:tcPr>
          <w:p w14:paraId="1EF21B18">
            <w:pPr>
              <w:pStyle w:val="28"/>
              <w:spacing w:line="400" w:lineRule="exact"/>
              <w:jc w:val="center"/>
              <w:rPr>
                <w:rFonts w:hint="eastAsia" w:cs="宋体"/>
                <w:sz w:val="24"/>
                <w:szCs w:val="24"/>
              </w:rPr>
            </w:pPr>
            <w:r>
              <w:rPr>
                <w:rFonts w:hint="eastAsia" w:cs="宋体"/>
                <w:sz w:val="24"/>
                <w:szCs w:val="24"/>
              </w:rPr>
              <w:t>43.5</w:t>
            </w:r>
          </w:p>
        </w:tc>
        <w:tc>
          <w:tcPr>
            <w:tcW w:w="1971" w:type="dxa"/>
            <w:tcBorders>
              <w:top w:val="single" w:color="auto" w:sz="2" w:space="0"/>
              <w:left w:val="single" w:color="auto" w:sz="2" w:space="0"/>
              <w:bottom w:val="single" w:color="auto" w:sz="2" w:space="0"/>
              <w:right w:val="single" w:color="auto" w:sz="2" w:space="0"/>
            </w:tcBorders>
            <w:vAlign w:val="center"/>
          </w:tcPr>
          <w:p w14:paraId="4E9700F5">
            <w:pPr>
              <w:pStyle w:val="28"/>
              <w:spacing w:line="400" w:lineRule="exact"/>
              <w:jc w:val="center"/>
              <w:rPr>
                <w:rFonts w:hint="eastAsia" w:cs="宋体"/>
                <w:sz w:val="24"/>
                <w:szCs w:val="24"/>
              </w:rPr>
            </w:pPr>
            <w:r>
              <w:rPr>
                <w:rFonts w:hint="eastAsia" w:cs="宋体"/>
                <w:sz w:val="24"/>
                <w:szCs w:val="24"/>
              </w:rPr>
              <w:t>优先采购创新节能环保产品</w:t>
            </w:r>
          </w:p>
        </w:tc>
        <w:tc>
          <w:tcPr>
            <w:tcW w:w="6946" w:type="dxa"/>
            <w:tcBorders>
              <w:top w:val="single" w:color="auto" w:sz="2" w:space="0"/>
              <w:left w:val="single" w:color="auto" w:sz="2" w:space="0"/>
              <w:bottom w:val="single" w:color="auto" w:sz="2" w:space="0"/>
              <w:right w:val="single" w:color="auto" w:sz="2" w:space="0"/>
            </w:tcBorders>
            <w:vAlign w:val="center"/>
          </w:tcPr>
          <w:p w14:paraId="1E29B3FF">
            <w:pPr>
              <w:pStyle w:val="28"/>
              <w:spacing w:line="400" w:lineRule="exact"/>
              <w:rPr>
                <w:rFonts w:hint="eastAsia" w:cs="宋体"/>
                <w:sz w:val="24"/>
                <w:szCs w:val="24"/>
              </w:rPr>
            </w:pPr>
            <w:r>
              <w:rPr>
                <w:rFonts w:hint="eastAsia" w:cs="宋体"/>
                <w:sz w:val="24"/>
                <w:szCs w:val="24"/>
              </w:rPr>
              <w:t>所响应产品纳入创新产品应用示范推荐目录内企业、所响应产品获得节能产品或环境标志产品认证证书的供应商报价给予</w:t>
            </w:r>
            <w:r>
              <w:rPr>
                <w:rFonts w:hint="eastAsia" w:cs="宋体"/>
                <w:sz w:val="24"/>
                <w:szCs w:val="24"/>
                <w:u w:val="single"/>
              </w:rPr>
              <w:t xml:space="preserve"> / </w:t>
            </w:r>
            <w:r>
              <w:rPr>
                <w:rFonts w:hint="eastAsia" w:cs="宋体"/>
                <w:sz w:val="24"/>
                <w:szCs w:val="24"/>
              </w:rPr>
              <w:t>的价格扣除。</w:t>
            </w:r>
          </w:p>
        </w:tc>
      </w:tr>
      <w:tr w14:paraId="0153B36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567" w:hRule="atLeast"/>
        </w:trPr>
        <w:tc>
          <w:tcPr>
            <w:tcW w:w="970" w:type="dxa"/>
            <w:tcBorders>
              <w:top w:val="single" w:color="auto" w:sz="2" w:space="0"/>
              <w:left w:val="single" w:color="auto" w:sz="2" w:space="0"/>
              <w:bottom w:val="single" w:color="auto" w:sz="2" w:space="0"/>
              <w:right w:val="single" w:color="auto" w:sz="2" w:space="0"/>
            </w:tcBorders>
            <w:vAlign w:val="center"/>
          </w:tcPr>
          <w:p w14:paraId="19C2258F">
            <w:pPr>
              <w:pStyle w:val="28"/>
              <w:spacing w:line="400" w:lineRule="exact"/>
              <w:jc w:val="center"/>
              <w:rPr>
                <w:rFonts w:hint="eastAsia" w:cs="宋体"/>
                <w:sz w:val="24"/>
                <w:szCs w:val="24"/>
              </w:rPr>
            </w:pPr>
            <w:r>
              <w:rPr>
                <w:rFonts w:hint="eastAsia" w:cs="宋体"/>
                <w:sz w:val="24"/>
                <w:szCs w:val="24"/>
              </w:rPr>
              <w:t>48.1</w:t>
            </w:r>
          </w:p>
        </w:tc>
        <w:tc>
          <w:tcPr>
            <w:tcW w:w="1971" w:type="dxa"/>
            <w:tcBorders>
              <w:top w:val="single" w:color="auto" w:sz="2" w:space="0"/>
              <w:left w:val="single" w:color="auto" w:sz="2" w:space="0"/>
              <w:bottom w:val="single" w:color="auto" w:sz="2" w:space="0"/>
              <w:right w:val="single" w:color="auto" w:sz="2" w:space="0"/>
            </w:tcBorders>
            <w:vAlign w:val="center"/>
          </w:tcPr>
          <w:p w14:paraId="3B01BB27">
            <w:pPr>
              <w:pStyle w:val="28"/>
              <w:spacing w:line="400" w:lineRule="exact"/>
              <w:jc w:val="center"/>
              <w:rPr>
                <w:rFonts w:hint="eastAsia" w:cs="宋体"/>
                <w:sz w:val="24"/>
                <w:szCs w:val="24"/>
              </w:rPr>
            </w:pPr>
            <w:r>
              <w:rPr>
                <w:rFonts w:hint="eastAsia" w:cs="宋体"/>
                <w:sz w:val="24"/>
                <w:szCs w:val="24"/>
              </w:rPr>
              <w:t>需要补充的其他内容</w:t>
            </w:r>
          </w:p>
        </w:tc>
        <w:tc>
          <w:tcPr>
            <w:tcW w:w="6946" w:type="dxa"/>
            <w:tcBorders>
              <w:top w:val="single" w:color="auto" w:sz="2" w:space="0"/>
              <w:left w:val="single" w:color="auto" w:sz="2" w:space="0"/>
              <w:bottom w:val="single" w:color="auto" w:sz="2" w:space="0"/>
              <w:right w:val="single" w:color="auto" w:sz="2" w:space="0"/>
            </w:tcBorders>
            <w:vAlign w:val="center"/>
          </w:tcPr>
          <w:p w14:paraId="42E12623">
            <w:pPr>
              <w:pStyle w:val="28"/>
              <w:spacing w:line="400" w:lineRule="exact"/>
              <w:rPr>
                <w:rFonts w:hint="eastAsia" w:cs="宋体"/>
                <w:sz w:val="24"/>
                <w:szCs w:val="24"/>
              </w:rPr>
            </w:pPr>
            <w:r>
              <w:rPr>
                <w:rFonts w:hint="eastAsia" w:cs="宋体"/>
                <w:sz w:val="24"/>
                <w:szCs w:val="24"/>
              </w:rPr>
              <w:t>1.投标报价具有唯一性，未超过采购项目预算，本项目不接受选择性报价，对于出现的政采云平台开标唱标环节经投标供应商确认的投标报价与投标文件中开标一览表的报价不一致的现象，视作选择性报价，将被作为无效投标处理。</w:t>
            </w:r>
          </w:p>
          <w:p w14:paraId="2A13CB5B">
            <w:pPr>
              <w:pStyle w:val="28"/>
              <w:spacing w:line="400" w:lineRule="exact"/>
              <w:rPr>
                <w:rFonts w:hint="eastAsia" w:cs="宋体"/>
                <w:sz w:val="24"/>
                <w:szCs w:val="24"/>
              </w:rPr>
            </w:pPr>
            <w:r>
              <w:rPr>
                <w:rFonts w:hint="eastAsia" w:cs="宋体"/>
                <w:sz w:val="24"/>
                <w:szCs w:val="24"/>
              </w:rPr>
              <w:t>2.在中标成交通知书发出之日起30日内，按照采购文件确定的事项签订采购合同，并在合同签订之日起2个工作日内将合同上传至新疆政府采购网进行公示。</w:t>
            </w:r>
          </w:p>
        </w:tc>
      </w:tr>
      <w:tr w14:paraId="474F00F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567" w:hRule="atLeast"/>
        </w:trPr>
        <w:tc>
          <w:tcPr>
            <w:tcW w:w="970" w:type="dxa"/>
            <w:tcBorders>
              <w:top w:val="single" w:color="auto" w:sz="2" w:space="0"/>
              <w:left w:val="single" w:color="auto" w:sz="2" w:space="0"/>
              <w:bottom w:val="single" w:color="auto" w:sz="2" w:space="0"/>
              <w:right w:val="single" w:color="auto" w:sz="2" w:space="0"/>
            </w:tcBorders>
            <w:vAlign w:val="center"/>
          </w:tcPr>
          <w:p w14:paraId="4AF4F3E7">
            <w:pPr>
              <w:pStyle w:val="28"/>
              <w:spacing w:line="400" w:lineRule="exact"/>
              <w:jc w:val="center"/>
              <w:rPr>
                <w:rFonts w:hint="eastAsia" w:cs="宋体"/>
                <w:sz w:val="24"/>
                <w:szCs w:val="24"/>
              </w:rPr>
            </w:pPr>
            <w:r>
              <w:rPr>
                <w:rFonts w:hint="eastAsia" w:cs="宋体"/>
                <w:sz w:val="24"/>
                <w:szCs w:val="24"/>
              </w:rPr>
              <w:t>48.2</w:t>
            </w:r>
          </w:p>
        </w:tc>
        <w:tc>
          <w:tcPr>
            <w:tcW w:w="1971" w:type="dxa"/>
            <w:tcBorders>
              <w:top w:val="single" w:color="auto" w:sz="2" w:space="0"/>
              <w:left w:val="single" w:color="auto" w:sz="2" w:space="0"/>
              <w:bottom w:val="single" w:color="auto" w:sz="2" w:space="0"/>
              <w:right w:val="single" w:color="auto" w:sz="2" w:space="0"/>
            </w:tcBorders>
            <w:vAlign w:val="center"/>
          </w:tcPr>
          <w:p w14:paraId="3F6C1C3B">
            <w:pPr>
              <w:pStyle w:val="28"/>
              <w:spacing w:line="400" w:lineRule="exact"/>
              <w:jc w:val="center"/>
              <w:rPr>
                <w:rFonts w:hint="eastAsia" w:cs="宋体"/>
                <w:sz w:val="24"/>
                <w:szCs w:val="24"/>
              </w:rPr>
            </w:pPr>
            <w:r>
              <w:rPr>
                <w:rFonts w:hint="eastAsia" w:cs="宋体"/>
                <w:sz w:val="24"/>
                <w:szCs w:val="24"/>
              </w:rPr>
              <w:t>政府采购异常低价审查</w:t>
            </w:r>
          </w:p>
        </w:tc>
        <w:tc>
          <w:tcPr>
            <w:tcW w:w="6946" w:type="dxa"/>
            <w:tcBorders>
              <w:top w:val="single" w:color="auto" w:sz="2" w:space="0"/>
              <w:left w:val="single" w:color="auto" w:sz="2" w:space="0"/>
              <w:bottom w:val="single" w:color="auto" w:sz="2" w:space="0"/>
              <w:right w:val="single" w:color="auto" w:sz="2" w:space="0"/>
            </w:tcBorders>
            <w:vAlign w:val="center"/>
          </w:tcPr>
          <w:p w14:paraId="6C811C88">
            <w:pPr>
              <w:spacing w:line="400" w:lineRule="exact"/>
              <w:rPr>
                <w:rStyle w:val="56"/>
                <w:rFonts w:hint="eastAsia" w:ascii="宋体" w:hAnsi="宋体" w:eastAsia="宋体" w:cs="宋体"/>
                <w:b w:val="0"/>
                <w:kern w:val="0"/>
                <w:sz w:val="24"/>
                <w:szCs w:val="24"/>
              </w:rPr>
            </w:pPr>
            <w:r>
              <w:rPr>
                <w:rStyle w:val="56"/>
                <w:rFonts w:hint="eastAsia" w:ascii="宋体" w:hAnsi="宋体" w:eastAsia="宋体" w:cs="宋体"/>
                <w:b w:val="0"/>
                <w:kern w:val="0"/>
                <w:sz w:val="24"/>
                <w:szCs w:val="24"/>
              </w:rPr>
              <w:t>一、依据《关于推动解决政府采购异常低价问题的通知》财库〔2026〕2号文件通知，评审中出现下列情形之一的，评审委员会将启动异常低价投标（响应）审查：</w:t>
            </w:r>
          </w:p>
          <w:p w14:paraId="09C8B747">
            <w:pPr>
              <w:spacing w:line="400" w:lineRule="exact"/>
              <w:rPr>
                <w:rStyle w:val="56"/>
                <w:rFonts w:hint="eastAsia" w:ascii="宋体" w:hAnsi="宋体" w:eastAsia="宋体" w:cs="宋体"/>
                <w:b w:val="0"/>
                <w:kern w:val="0"/>
                <w:sz w:val="24"/>
                <w:szCs w:val="24"/>
              </w:rPr>
            </w:pPr>
            <w:r>
              <w:rPr>
                <w:rStyle w:val="56"/>
                <w:rFonts w:hint="eastAsia" w:ascii="宋体" w:hAnsi="宋体" w:eastAsia="宋体" w:cs="宋体"/>
                <w:b w:val="0"/>
                <w:kern w:val="0"/>
                <w:sz w:val="24"/>
                <w:szCs w:val="24"/>
              </w:rPr>
              <w:t>1.投标（响应）报价低于全部通过符合性审查供应商投标（响应）报价平均值50%的，即投标（响应）报价&lt;全部通过符合性审查供应商投标（响应）报价平均值×50%；</w:t>
            </w:r>
          </w:p>
          <w:p w14:paraId="3E2BB463">
            <w:pPr>
              <w:spacing w:line="400" w:lineRule="exact"/>
              <w:rPr>
                <w:rStyle w:val="56"/>
                <w:rFonts w:hint="eastAsia" w:ascii="宋体" w:hAnsi="宋体" w:eastAsia="宋体" w:cs="宋体"/>
                <w:b w:val="0"/>
                <w:kern w:val="0"/>
                <w:sz w:val="24"/>
                <w:szCs w:val="24"/>
              </w:rPr>
            </w:pPr>
            <w:r>
              <w:rPr>
                <w:rStyle w:val="56"/>
                <w:rFonts w:hint="eastAsia" w:ascii="宋体" w:hAnsi="宋体" w:eastAsia="宋体" w:cs="宋体"/>
                <w:b w:val="0"/>
                <w:kern w:val="0"/>
                <w:sz w:val="24"/>
                <w:szCs w:val="24"/>
              </w:rPr>
              <w:t>2.投标（响应）报价低于通过符合性审查的次低报价供应商投标（响应）报价50%的，即投标（响应）报价&lt;通过符合性审查的次低报价供应商投标（响应）报价×50%；</w:t>
            </w:r>
          </w:p>
          <w:p w14:paraId="683A0167">
            <w:pPr>
              <w:spacing w:line="400" w:lineRule="exact"/>
              <w:rPr>
                <w:rStyle w:val="56"/>
                <w:rFonts w:hint="eastAsia" w:ascii="宋体" w:hAnsi="宋体" w:eastAsia="宋体" w:cs="宋体"/>
                <w:b w:val="0"/>
                <w:kern w:val="0"/>
                <w:sz w:val="24"/>
                <w:szCs w:val="24"/>
              </w:rPr>
            </w:pPr>
            <w:r>
              <w:rPr>
                <w:rStyle w:val="56"/>
                <w:rFonts w:hint="eastAsia" w:ascii="宋体" w:hAnsi="宋体" w:eastAsia="宋体" w:cs="宋体"/>
                <w:b w:val="0"/>
                <w:kern w:val="0"/>
                <w:sz w:val="24"/>
                <w:szCs w:val="24"/>
              </w:rPr>
              <w:t>3.投标（响应）报价低于采购项目最高限价45%的，即投标（响应）报价&lt;采购项目最高限价×45%；</w:t>
            </w:r>
          </w:p>
          <w:p w14:paraId="6D8217A7">
            <w:pPr>
              <w:spacing w:line="400" w:lineRule="exact"/>
              <w:rPr>
                <w:rStyle w:val="56"/>
                <w:rFonts w:hint="eastAsia" w:ascii="宋体" w:hAnsi="宋体" w:eastAsia="宋体" w:cs="宋体"/>
                <w:b w:val="0"/>
                <w:kern w:val="0"/>
                <w:sz w:val="24"/>
                <w:szCs w:val="24"/>
              </w:rPr>
            </w:pPr>
            <w:r>
              <w:rPr>
                <w:rStyle w:val="56"/>
                <w:rFonts w:hint="eastAsia" w:ascii="宋体" w:hAnsi="宋体" w:eastAsia="宋体" w:cs="宋体"/>
                <w:b w:val="0"/>
                <w:kern w:val="0"/>
                <w:sz w:val="24"/>
                <w:szCs w:val="24"/>
              </w:rPr>
              <w:t>4.评审委员会基于专业判断，认为供应商报价过低，有可能影响产品质量或者不能诚信履约的其他情形。</w:t>
            </w:r>
          </w:p>
          <w:p w14:paraId="4537DEF9">
            <w:pPr>
              <w:spacing w:line="400" w:lineRule="exact"/>
              <w:rPr>
                <w:rStyle w:val="56"/>
                <w:rFonts w:hint="eastAsia" w:ascii="宋体" w:hAnsi="宋体" w:eastAsia="宋体" w:cs="宋体"/>
                <w:b w:val="0"/>
                <w:kern w:val="0"/>
                <w:sz w:val="24"/>
                <w:szCs w:val="24"/>
              </w:rPr>
            </w:pPr>
            <w:r>
              <w:rPr>
                <w:rStyle w:val="56"/>
                <w:rFonts w:hint="eastAsia" w:ascii="宋体" w:hAnsi="宋体" w:eastAsia="宋体" w:cs="宋体"/>
                <w:b w:val="0"/>
                <w:kern w:val="0"/>
                <w:sz w:val="24"/>
                <w:szCs w:val="24"/>
              </w:rPr>
              <w:t>二、评审委员会启动异常低价投标（响应）审查后，属于前述第1项至第4项情形的，相关供应商需在评审现场合理的时间内（30分钟）对投标（响应）价格作出解释，提供项目具体成本测算等与报价合理性相关的书面说明及必要的证明材料，包括但不限于原材料成本、人工成本、制造费用等。其中，属于第3项情形，供应商已随投标（响应）文件一并提交相关书面说明及必要的证明材料的，在评审现场可不再重复提交。</w:t>
            </w:r>
          </w:p>
          <w:p w14:paraId="486E55EC">
            <w:pPr>
              <w:spacing w:line="400" w:lineRule="exact"/>
              <w:rPr>
                <w:rFonts w:hint="eastAsia" w:cs="宋体"/>
                <w:szCs w:val="24"/>
              </w:rPr>
            </w:pPr>
            <w:r>
              <w:rPr>
                <w:rStyle w:val="56"/>
                <w:rFonts w:hint="eastAsia" w:ascii="宋体" w:hAnsi="宋体" w:eastAsia="宋体" w:cs="宋体"/>
                <w:b w:val="0"/>
                <w:kern w:val="0"/>
                <w:sz w:val="24"/>
                <w:szCs w:val="24"/>
              </w:rPr>
              <w:t>三、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tc>
      </w:tr>
      <w:tr w14:paraId="54F8D04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567" w:hRule="atLeast"/>
        </w:trPr>
        <w:tc>
          <w:tcPr>
            <w:tcW w:w="2941" w:type="dxa"/>
            <w:gridSpan w:val="2"/>
            <w:tcBorders>
              <w:top w:val="single" w:color="auto" w:sz="2" w:space="0"/>
              <w:left w:val="single" w:color="auto" w:sz="2" w:space="0"/>
              <w:bottom w:val="single" w:color="auto" w:sz="2" w:space="0"/>
              <w:right w:val="single" w:color="auto" w:sz="4" w:space="0"/>
            </w:tcBorders>
            <w:vAlign w:val="center"/>
          </w:tcPr>
          <w:p w14:paraId="57A459C3">
            <w:pPr>
              <w:pStyle w:val="28"/>
              <w:spacing w:line="400" w:lineRule="exact"/>
              <w:jc w:val="center"/>
              <w:rPr>
                <w:rFonts w:hint="eastAsia" w:cs="宋体"/>
                <w:sz w:val="22"/>
              </w:rPr>
            </w:pPr>
            <w:r>
              <w:rPr>
                <w:rFonts w:hint="eastAsia" w:cs="宋体"/>
                <w:sz w:val="22"/>
              </w:rPr>
              <w:t>注意事项</w:t>
            </w:r>
          </w:p>
        </w:tc>
        <w:tc>
          <w:tcPr>
            <w:tcW w:w="6946" w:type="dxa"/>
            <w:tcBorders>
              <w:top w:val="single" w:color="auto" w:sz="2" w:space="0"/>
              <w:left w:val="single" w:color="auto" w:sz="4" w:space="0"/>
              <w:bottom w:val="single" w:color="auto" w:sz="2" w:space="0"/>
              <w:right w:val="single" w:color="auto" w:sz="2" w:space="0"/>
            </w:tcBorders>
            <w:vAlign w:val="center"/>
          </w:tcPr>
          <w:p w14:paraId="60C891EB">
            <w:pPr>
              <w:pStyle w:val="28"/>
              <w:spacing w:line="400" w:lineRule="exact"/>
              <w:rPr>
                <w:rFonts w:hint="eastAsia" w:cs="宋体"/>
                <w:sz w:val="22"/>
              </w:rPr>
            </w:pPr>
            <w:r>
              <w:rPr>
                <w:rFonts w:hint="eastAsia" w:cs="宋体"/>
                <w:sz w:val="22"/>
              </w:rPr>
              <w:t>1、各供应商应成为政采云正式注册入库供应商，并完成CA数字证书（符合国密标准）申领。因未注册入库、未办理CA数字证书等原因造成无法投标或投标失败等后果由供应商自行承担。有意向参与电子开评标的供应商，可访问新疆数字证书认证中心官方网站（https://www.xjca.com.cn/）或下载“新疆政务通”APP自行进行申领。如需咨询，请联系新疆CA服务热线0991-2819290；2、供应商将政采云电子交易客户端下载、安装完成后，可通过账号密码或CA登录客户端进行投标文件的制作。在使用政采云投标客户端时，建议使用WIN7及以上操作系统。客户端请至政采云下载专区查看，如有问题可拨打政采云客户服务热线95763进行咨询。如因供应商自身原因导致在规定时间内无法正常解密的（如：浏览器故障、未安装相关驱动、网络故障、加密CA与解密CA不一致等），采购中心/代理机构不予异常处理，视为供应商自动弃标。3、本项目采用不见面开标、投标人需要递交电子投标文件，加密的电子投标文件，在投标截止时间前通过新疆政府采购云平台：https://www.zcygov.cn/上传到指定位置。无需递交纸质文件。4、本项目采用远程不见面交易的模式。开标当日，投标人无需到达开标现场，仅需在任意地点通过新疆政府采购云平台不见面开标系统（登录地址详见网站操作手册）完成远程解密、提疑澄清、开标唱标、结果公布等交互环节。投标人必须使用能正确解密投标文件的“CA锁”在规定的时间内完成远程解密，因投标人原因未能解密、解密失败或解密超时，视为投标人撤销其投标文件，系统内投标文件将被退回；因采购人原因或网上招投标平台发生故障，导致无法按时完成投标文件解密或开、评标工作无法进行的，可根据实际情况相应延迟解密时间或调整开、评标时间（友情提示：若投标人已领取副锁（含多把副锁）请注意正副锁的使用差别，务必使用生成投标文件的那把锁解密）。5、远程开标前，投标人务必在新疆政府采购云平台：https://www.zcygov.cn/投标文件上传模块中使用“模拟解密”功能，验证本机远程自助解密环境。6、供应商应当在招标截止时间前,将生成的“电子加密响应文件”上传递交至“政府采购云平台”,招标截止时间以后上传递交的响应文件将被“政府采购云平台”拒收。7、供应商在招标前须提前配置好电脑浏览器（建议使用360 浏览器或谷歌浏览器）, 招标时请使用制作加密电子响应文件的CA锁进行解密及报价确认。8、供应商登录政采云平台，在招标文件规定时间内用“项目采购-开标评标”功能进行解密响应文件。若供应商在规定时间内未按时解密的，视为无效招标。解密与加密响应文件须使用同一个CA。 </w:t>
            </w:r>
          </w:p>
        </w:tc>
      </w:tr>
      <w:tr w14:paraId="1707FD3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567" w:hRule="atLeast"/>
        </w:trPr>
        <w:tc>
          <w:tcPr>
            <w:tcW w:w="9887" w:type="dxa"/>
            <w:gridSpan w:val="3"/>
            <w:tcBorders>
              <w:top w:val="single" w:color="auto" w:sz="2" w:space="0"/>
              <w:left w:val="single" w:color="auto" w:sz="2" w:space="0"/>
              <w:bottom w:val="single" w:color="auto" w:sz="2" w:space="0"/>
              <w:right w:val="single" w:color="auto" w:sz="2" w:space="0"/>
            </w:tcBorders>
            <w:vAlign w:val="center"/>
          </w:tcPr>
          <w:p w14:paraId="45AC7FA3">
            <w:pPr>
              <w:pStyle w:val="28"/>
              <w:spacing w:line="400" w:lineRule="exact"/>
              <w:rPr>
                <w:rFonts w:hint="eastAsia" w:cs="宋体"/>
                <w:b/>
                <w:bCs/>
                <w:sz w:val="22"/>
              </w:rPr>
            </w:pPr>
            <w:r>
              <w:rPr>
                <w:rFonts w:hint="eastAsia" w:cs="宋体"/>
                <w:b/>
                <w:bCs/>
                <w:sz w:val="22"/>
              </w:rPr>
              <w:t>1. 除本竞争性磋商文件另有规定外，竞争性磋商文件中出现的类似于“近三年”或“前三年”、“近五年”或“前五年”均指递交响应文件时间以前三年或前五年，以此类推。如：递交响应文件时间为  年  月  日，则“近三年”是指  年  月  日至  年  月  日。</w:t>
            </w:r>
          </w:p>
          <w:p w14:paraId="27269E57">
            <w:pPr>
              <w:pStyle w:val="28"/>
              <w:spacing w:line="400" w:lineRule="exact"/>
              <w:rPr>
                <w:rFonts w:hint="eastAsia" w:cs="宋体"/>
                <w:sz w:val="22"/>
              </w:rPr>
            </w:pPr>
            <w:r>
              <w:rPr>
                <w:rFonts w:hint="eastAsia" w:cs="宋体"/>
                <w:b/>
                <w:bCs/>
                <w:sz w:val="22"/>
              </w:rPr>
              <w:t>2. 本竞争性磋商文件所称的“以上”、“以下”、“内”、“以内”，包括本数；所称的“不足”，不包括本数。</w:t>
            </w:r>
          </w:p>
        </w:tc>
      </w:tr>
      <w:bookmarkEnd w:id="109"/>
    </w:tbl>
    <w:p w14:paraId="1A22499F">
      <w:pPr>
        <w:rPr>
          <w:rFonts w:hint="eastAsia" w:cs="宋体"/>
        </w:rPr>
        <w:sectPr>
          <w:footerReference r:id="rId6" w:type="default"/>
          <w:pgSz w:w="11906" w:h="16838"/>
          <w:pgMar w:top="1440" w:right="1800" w:bottom="1440" w:left="1800" w:header="851" w:footer="652" w:gutter="0"/>
          <w:pgNumType w:fmt="numberInDash"/>
          <w:cols w:space="0" w:num="1"/>
          <w:docGrid w:type="lines" w:linePitch="312" w:charSpace="0"/>
        </w:sectPr>
      </w:pPr>
    </w:p>
    <w:p w14:paraId="1CF0D4F4">
      <w:pPr>
        <w:pStyle w:val="7"/>
        <w:adjustRightInd w:val="0"/>
        <w:snapToGrid w:val="0"/>
        <w:spacing w:before="0" w:after="0" w:line="360" w:lineRule="auto"/>
        <w:ind w:left="420" w:hanging="420"/>
        <w:jc w:val="center"/>
        <w:rPr>
          <w:rFonts w:hint="eastAsia" w:ascii="宋体" w:hAnsi="宋体" w:cs="宋体"/>
          <w:sz w:val="24"/>
          <w:szCs w:val="24"/>
        </w:rPr>
      </w:pPr>
      <w:bookmarkStart w:id="111" w:name="_Toc19875"/>
      <w:r>
        <w:rPr>
          <w:rFonts w:hint="eastAsia" w:ascii="宋体" w:hAnsi="宋体" w:cs="宋体"/>
          <w:sz w:val="24"/>
          <w:szCs w:val="24"/>
        </w:rPr>
        <w:t>二、供应商须知</w:t>
      </w:r>
      <w:bookmarkEnd w:id="111"/>
    </w:p>
    <w:p w14:paraId="04978FCD">
      <w:pPr>
        <w:pStyle w:val="8"/>
        <w:keepNext w:val="0"/>
        <w:keepLines w:val="0"/>
        <w:adjustRightInd w:val="0"/>
        <w:snapToGrid w:val="0"/>
        <w:spacing w:before="0" w:after="0" w:line="360" w:lineRule="auto"/>
        <w:ind w:left="420" w:hanging="420"/>
        <w:rPr>
          <w:rFonts w:hint="eastAsia" w:cs="宋体"/>
          <w:sz w:val="24"/>
          <w:szCs w:val="24"/>
        </w:rPr>
      </w:pPr>
      <w:bookmarkStart w:id="112" w:name="_Toc23351"/>
      <w:bookmarkStart w:id="113" w:name="_Toc21767"/>
      <w:bookmarkStart w:id="114" w:name="_Toc46771638"/>
      <w:bookmarkStart w:id="115" w:name="_Toc109899532"/>
      <w:bookmarkStart w:id="116" w:name="_Toc26119"/>
      <w:bookmarkStart w:id="117" w:name="_Toc109897433"/>
      <w:bookmarkStart w:id="118" w:name="_Toc109899951"/>
      <w:bookmarkStart w:id="119" w:name="_Toc163493611"/>
      <w:bookmarkStart w:id="120" w:name="_Toc109900370"/>
      <w:bookmarkStart w:id="121" w:name="_Toc470172694"/>
      <w:r>
        <w:rPr>
          <w:rFonts w:hint="eastAsia" w:cs="宋体"/>
          <w:sz w:val="24"/>
          <w:szCs w:val="24"/>
        </w:rPr>
        <w:t>（一）总则</w:t>
      </w:r>
      <w:bookmarkEnd w:id="112"/>
      <w:bookmarkEnd w:id="113"/>
      <w:bookmarkEnd w:id="114"/>
      <w:bookmarkEnd w:id="115"/>
      <w:bookmarkEnd w:id="116"/>
      <w:bookmarkEnd w:id="117"/>
      <w:bookmarkEnd w:id="118"/>
      <w:bookmarkEnd w:id="119"/>
      <w:bookmarkEnd w:id="120"/>
    </w:p>
    <w:p w14:paraId="18977FAF">
      <w:pPr>
        <w:pStyle w:val="9"/>
        <w:keepNext w:val="0"/>
        <w:keepLines w:val="0"/>
        <w:adjustRightInd w:val="0"/>
        <w:snapToGrid w:val="0"/>
        <w:spacing w:before="0" w:after="0" w:line="360" w:lineRule="auto"/>
        <w:ind w:left="420" w:hanging="420"/>
        <w:rPr>
          <w:rFonts w:hint="eastAsia" w:ascii="宋体" w:hAnsi="宋体" w:cs="宋体"/>
          <w:sz w:val="24"/>
          <w:szCs w:val="24"/>
        </w:rPr>
      </w:pPr>
      <w:bookmarkStart w:id="122" w:name="_Toc46771639"/>
      <w:bookmarkStart w:id="123" w:name="_Toc109900371"/>
      <w:bookmarkStart w:id="124" w:name="_Toc52960552"/>
      <w:bookmarkStart w:id="125" w:name="_Toc51674210"/>
      <w:bookmarkStart w:id="126" w:name="_Toc48688788"/>
      <w:bookmarkStart w:id="127" w:name="_Toc109897434"/>
      <w:bookmarkStart w:id="128" w:name="_Toc52962726"/>
      <w:bookmarkStart w:id="129" w:name="_Toc109899952"/>
      <w:bookmarkStart w:id="130" w:name="_Toc48846108"/>
      <w:bookmarkStart w:id="131" w:name="_Toc470172664"/>
      <w:bookmarkStart w:id="132" w:name="_Toc27243"/>
      <w:bookmarkStart w:id="133" w:name="_Toc46772240"/>
      <w:bookmarkStart w:id="134" w:name="_Toc109899533"/>
      <w:r>
        <w:rPr>
          <w:rFonts w:hint="eastAsia" w:ascii="宋体" w:hAnsi="宋体" w:cs="宋体"/>
          <w:sz w:val="24"/>
          <w:szCs w:val="24"/>
        </w:rPr>
        <w:t>1.适用范围</w:t>
      </w:r>
      <w:bookmarkEnd w:id="122"/>
      <w:bookmarkEnd w:id="123"/>
      <w:bookmarkEnd w:id="124"/>
      <w:bookmarkEnd w:id="125"/>
      <w:bookmarkEnd w:id="126"/>
      <w:bookmarkEnd w:id="127"/>
      <w:bookmarkEnd w:id="128"/>
      <w:bookmarkEnd w:id="129"/>
      <w:bookmarkEnd w:id="130"/>
      <w:bookmarkEnd w:id="131"/>
      <w:bookmarkEnd w:id="132"/>
      <w:bookmarkEnd w:id="133"/>
      <w:bookmarkEnd w:id="134"/>
    </w:p>
    <w:p w14:paraId="3FAC17DD">
      <w:pPr>
        <w:pStyle w:val="25"/>
        <w:adjustRightInd w:val="0"/>
        <w:snapToGrid w:val="0"/>
        <w:ind w:firstLine="480"/>
        <w:rPr>
          <w:rFonts w:hint="eastAsia" w:cs="宋体"/>
          <w:snapToGrid w:val="0"/>
          <w:szCs w:val="24"/>
        </w:rPr>
      </w:pPr>
      <w:r>
        <w:rPr>
          <w:rFonts w:hint="eastAsia" w:cs="宋体"/>
          <w:snapToGrid w:val="0"/>
          <w:szCs w:val="24"/>
        </w:rPr>
        <w:t>1.1本竞争性磋商文件（也称磋商文件或采购文件）仅适用于本次竞争性磋商中所述项目的采购活动。</w:t>
      </w:r>
    </w:p>
    <w:p w14:paraId="34F08411">
      <w:pPr>
        <w:pStyle w:val="9"/>
        <w:keepNext w:val="0"/>
        <w:keepLines w:val="0"/>
        <w:adjustRightInd w:val="0"/>
        <w:snapToGrid w:val="0"/>
        <w:spacing w:before="0" w:after="0" w:line="360" w:lineRule="auto"/>
        <w:ind w:left="420" w:hanging="420"/>
        <w:rPr>
          <w:rFonts w:hint="eastAsia" w:ascii="宋体" w:hAnsi="宋体" w:cs="宋体"/>
          <w:sz w:val="24"/>
          <w:szCs w:val="24"/>
        </w:rPr>
      </w:pPr>
      <w:bookmarkStart w:id="135" w:name="_Toc163492824"/>
      <w:r>
        <w:rPr>
          <w:rFonts w:hint="eastAsia" w:ascii="宋体" w:hAnsi="宋体" w:cs="宋体"/>
          <w:sz w:val="24"/>
          <w:szCs w:val="24"/>
        </w:rPr>
        <w:t>2.基本定义</w:t>
      </w:r>
      <w:bookmarkEnd w:id="135"/>
    </w:p>
    <w:p w14:paraId="768D70C2">
      <w:pPr>
        <w:pStyle w:val="25"/>
        <w:adjustRightInd w:val="0"/>
        <w:snapToGrid w:val="0"/>
        <w:ind w:firstLine="480"/>
        <w:rPr>
          <w:rFonts w:hint="eastAsia" w:cs="宋体"/>
          <w:szCs w:val="24"/>
        </w:rPr>
      </w:pPr>
      <w:r>
        <w:rPr>
          <w:rFonts w:hint="eastAsia" w:cs="宋体"/>
          <w:szCs w:val="24"/>
        </w:rPr>
        <w:t>2.1根据《中华人民共和国政府采购法》及其实施条例等有关法律、法规和规章的规定，制定本竞争性磋商文件。</w:t>
      </w:r>
    </w:p>
    <w:p w14:paraId="342EC44E">
      <w:pPr>
        <w:adjustRightInd w:val="0"/>
        <w:snapToGrid w:val="0"/>
        <w:ind w:firstLine="480" w:firstLineChars="200"/>
        <w:rPr>
          <w:rFonts w:hint="eastAsia" w:cs="宋体"/>
          <w:szCs w:val="24"/>
        </w:rPr>
      </w:pPr>
      <w:r>
        <w:rPr>
          <w:rFonts w:hint="eastAsia" w:cs="宋体"/>
          <w:szCs w:val="24"/>
        </w:rPr>
        <w:t>2.2采购人：</w:t>
      </w:r>
      <w:r>
        <w:rPr>
          <w:rFonts w:hint="eastAsia" w:cs="宋体"/>
          <w:kern w:val="0"/>
          <w:szCs w:val="24"/>
          <w:lang w:bidi="ar"/>
        </w:rPr>
        <w:t>指依法进行政府采购的国家机关、事业单位、团体组织</w:t>
      </w:r>
      <w:r>
        <w:rPr>
          <w:rFonts w:hint="eastAsia" w:cs="宋体"/>
          <w:szCs w:val="24"/>
        </w:rPr>
        <w:t>。</w:t>
      </w:r>
    </w:p>
    <w:p w14:paraId="429A3EF6">
      <w:pPr>
        <w:adjustRightInd w:val="0"/>
        <w:snapToGrid w:val="0"/>
        <w:ind w:firstLine="480" w:firstLineChars="200"/>
        <w:rPr>
          <w:rFonts w:hint="eastAsia" w:cs="宋体"/>
          <w:szCs w:val="24"/>
        </w:rPr>
      </w:pPr>
      <w:r>
        <w:rPr>
          <w:rFonts w:hint="eastAsia" w:cs="宋体"/>
          <w:szCs w:val="24"/>
        </w:rPr>
        <w:t>2.3采购代理机构：</w:t>
      </w:r>
      <w:r>
        <w:rPr>
          <w:rFonts w:hint="eastAsia" w:cs="宋体"/>
          <w:kern w:val="0"/>
          <w:szCs w:val="24"/>
          <w:lang w:bidi="ar"/>
        </w:rPr>
        <w:t>指依法进行政府采购的国家机关、事业单位、团体组织</w:t>
      </w:r>
      <w:r>
        <w:rPr>
          <w:rFonts w:hint="eastAsia" w:cs="宋体"/>
          <w:szCs w:val="24"/>
        </w:rPr>
        <w:t>委托的采购代理机构。</w:t>
      </w:r>
    </w:p>
    <w:p w14:paraId="26D50742">
      <w:pPr>
        <w:pStyle w:val="25"/>
        <w:adjustRightInd w:val="0"/>
        <w:snapToGrid w:val="0"/>
        <w:ind w:firstLine="480"/>
        <w:rPr>
          <w:rFonts w:hint="eastAsia" w:cs="宋体"/>
          <w:szCs w:val="24"/>
        </w:rPr>
      </w:pPr>
      <w:r>
        <w:rPr>
          <w:rFonts w:hint="eastAsia" w:cs="宋体"/>
          <w:szCs w:val="24"/>
        </w:rPr>
        <w:t>2.4政府采购监督管理部门：各级人民政府财政部门是负责政府采购监督管理的部门，依法履行对政府采购活动的监督管理职责。各级人民政府其他有关部门依法履行与政府采购活动有关的监督管理职责。</w:t>
      </w:r>
    </w:p>
    <w:p w14:paraId="18E21DAA">
      <w:pPr>
        <w:pStyle w:val="25"/>
        <w:adjustRightInd w:val="0"/>
        <w:snapToGrid w:val="0"/>
        <w:ind w:firstLine="480"/>
        <w:rPr>
          <w:rFonts w:hint="eastAsia" w:cs="宋体"/>
          <w:szCs w:val="24"/>
        </w:rPr>
      </w:pPr>
      <w:r>
        <w:rPr>
          <w:rFonts w:hint="eastAsia" w:cs="宋体"/>
          <w:szCs w:val="24"/>
        </w:rPr>
        <w:t>2.5 服务内容见“供应商须知前附表”。</w:t>
      </w:r>
    </w:p>
    <w:p w14:paraId="359C340E">
      <w:pPr>
        <w:adjustRightInd w:val="0"/>
        <w:snapToGrid w:val="0"/>
        <w:ind w:firstLine="480" w:firstLineChars="200"/>
        <w:rPr>
          <w:rFonts w:hint="eastAsia" w:cs="宋体"/>
          <w:szCs w:val="24"/>
        </w:rPr>
      </w:pPr>
      <w:r>
        <w:rPr>
          <w:rFonts w:hint="eastAsia" w:cs="宋体"/>
          <w:szCs w:val="24"/>
        </w:rPr>
        <w:t>2.6供应商（也称“申请人”）：指向采购人提供货物、工程或者服务的法人、其他组织或者自然人。分支机构不得参加政府采购活动，但银行、保险、石油石化、电力、电信等有行业特殊情况的除外。本项目的供应商须满足以下条件：</w:t>
      </w:r>
    </w:p>
    <w:p w14:paraId="074A8062">
      <w:pPr>
        <w:adjustRightInd w:val="0"/>
        <w:snapToGrid w:val="0"/>
        <w:ind w:firstLine="480" w:firstLineChars="200"/>
        <w:rPr>
          <w:rFonts w:hint="eastAsia" w:cs="宋体"/>
          <w:szCs w:val="24"/>
        </w:rPr>
      </w:pPr>
      <w:r>
        <w:rPr>
          <w:rFonts w:hint="eastAsia" w:cs="宋体"/>
          <w:szCs w:val="24"/>
        </w:rPr>
        <w:t>2.6.1具备《中华人民共和国政府采购法》第二十二条规定的条件，遵守本项目采购人本级和上级财政部门政府采购的有关规定。</w:t>
      </w:r>
    </w:p>
    <w:p w14:paraId="323DC0B9">
      <w:pPr>
        <w:pStyle w:val="25"/>
        <w:adjustRightInd w:val="0"/>
        <w:snapToGrid w:val="0"/>
        <w:ind w:firstLine="480"/>
        <w:rPr>
          <w:rFonts w:hint="eastAsia" w:cs="宋体"/>
          <w:szCs w:val="24"/>
        </w:rPr>
      </w:pPr>
      <w:r>
        <w:rPr>
          <w:rFonts w:hint="eastAsia" w:cs="宋体"/>
          <w:szCs w:val="24"/>
        </w:rPr>
        <w:t>2.6.2以竞争性磋商公告中发布的方式依法获得了本项目的竞争性磋商文件。</w:t>
      </w:r>
    </w:p>
    <w:p w14:paraId="07B83632">
      <w:pPr>
        <w:adjustRightInd w:val="0"/>
        <w:snapToGrid w:val="0"/>
        <w:ind w:firstLine="480" w:firstLineChars="200"/>
        <w:rPr>
          <w:rFonts w:hint="eastAsia" w:cs="宋体"/>
          <w:szCs w:val="24"/>
        </w:rPr>
      </w:pPr>
      <w:r>
        <w:rPr>
          <w:rFonts w:hint="eastAsia" w:cs="宋体"/>
          <w:szCs w:val="24"/>
        </w:rPr>
        <w:t>2.6.3符合本磋商文件规定并参加磋商的供应商。</w:t>
      </w:r>
    </w:p>
    <w:p w14:paraId="08F81926">
      <w:pPr>
        <w:pStyle w:val="25"/>
        <w:adjustRightInd w:val="0"/>
        <w:snapToGrid w:val="0"/>
        <w:ind w:firstLine="480"/>
        <w:rPr>
          <w:rFonts w:hint="eastAsia" w:cs="宋体"/>
          <w:szCs w:val="24"/>
        </w:rPr>
      </w:pPr>
      <w:r>
        <w:rPr>
          <w:rFonts w:hint="eastAsia" w:cs="宋体"/>
          <w:szCs w:val="24"/>
        </w:rPr>
        <w:t>2.7</w:t>
      </w:r>
      <w:r>
        <w:rPr>
          <w:rFonts w:hint="eastAsia" w:cs="宋体"/>
          <w:szCs w:val="24"/>
          <w:shd w:val="clear" w:color="auto" w:fill="FFFFFF" w:themeFill="background1"/>
        </w:rPr>
        <w:t>潜在供应商：指</w:t>
      </w:r>
      <w:r>
        <w:rPr>
          <w:rFonts w:hint="eastAsia" w:cs="宋体"/>
          <w:szCs w:val="24"/>
        </w:rPr>
        <w:t>符合本磋商文件规定的供应商。</w:t>
      </w:r>
    </w:p>
    <w:p w14:paraId="4FFEB4B0">
      <w:pPr>
        <w:pStyle w:val="9"/>
        <w:keepNext w:val="0"/>
        <w:keepLines w:val="0"/>
        <w:adjustRightInd w:val="0"/>
        <w:snapToGrid w:val="0"/>
        <w:spacing w:before="0" w:after="0" w:line="360" w:lineRule="auto"/>
        <w:ind w:left="420" w:hanging="420"/>
        <w:rPr>
          <w:rFonts w:hint="eastAsia" w:ascii="宋体" w:hAnsi="宋体" w:cs="宋体"/>
          <w:sz w:val="24"/>
          <w:szCs w:val="24"/>
        </w:rPr>
      </w:pPr>
      <w:bookmarkStart w:id="136" w:name="_Toc109900374"/>
      <w:bookmarkStart w:id="137" w:name="_Toc109899955"/>
      <w:bookmarkStart w:id="138" w:name="_Toc109897437"/>
      <w:bookmarkStart w:id="139" w:name="_Toc46772243"/>
      <w:bookmarkStart w:id="140" w:name="_Toc109899536"/>
      <w:bookmarkStart w:id="141" w:name="_Toc48846111"/>
      <w:bookmarkStart w:id="142" w:name="_Toc52962729"/>
      <w:bookmarkStart w:id="143" w:name="_Toc46771642"/>
      <w:bookmarkStart w:id="144" w:name="_Toc9974"/>
      <w:bookmarkStart w:id="145" w:name="_Toc48688791"/>
      <w:bookmarkStart w:id="146" w:name="_Toc51674213"/>
      <w:bookmarkStart w:id="147" w:name="_Toc470172667"/>
      <w:bookmarkStart w:id="148" w:name="_Toc52960555"/>
      <w:r>
        <w:rPr>
          <w:rFonts w:hint="eastAsia" w:ascii="宋体" w:hAnsi="宋体" w:cs="宋体"/>
          <w:sz w:val="24"/>
          <w:szCs w:val="24"/>
        </w:rPr>
        <w:t>3.资金来源</w:t>
      </w:r>
    </w:p>
    <w:p w14:paraId="7E10FE0B">
      <w:pPr>
        <w:pStyle w:val="25"/>
        <w:adjustRightInd w:val="0"/>
        <w:snapToGrid w:val="0"/>
        <w:ind w:firstLine="480"/>
        <w:rPr>
          <w:rFonts w:hint="eastAsia" w:cs="宋体"/>
          <w:szCs w:val="24"/>
        </w:rPr>
      </w:pPr>
      <w:r>
        <w:rPr>
          <w:rFonts w:hint="eastAsia" w:cs="宋体"/>
          <w:szCs w:val="24"/>
        </w:rPr>
        <w:t>3.1资金来源：为财政性资金即纳入预算管理的资金。以财政性资金作为还款来源的借贷资金，视同财政性资金。财政性资金与非财政性资金无法分割采购的，统一适用《中华人民共和国政府采购法》及其实施条例。</w:t>
      </w:r>
    </w:p>
    <w:p w14:paraId="5B4402E6">
      <w:pPr>
        <w:pStyle w:val="9"/>
        <w:keepNext w:val="0"/>
        <w:keepLines w:val="0"/>
        <w:adjustRightInd w:val="0"/>
        <w:snapToGrid w:val="0"/>
        <w:spacing w:before="0" w:after="0" w:line="360" w:lineRule="auto"/>
        <w:ind w:left="420" w:hanging="420"/>
        <w:rPr>
          <w:rFonts w:hint="eastAsia" w:ascii="宋体" w:hAnsi="宋体" w:cs="宋体"/>
          <w:sz w:val="24"/>
          <w:szCs w:val="24"/>
        </w:rPr>
      </w:pPr>
      <w:r>
        <w:rPr>
          <w:rFonts w:hint="eastAsia" w:ascii="宋体" w:hAnsi="宋体" w:cs="宋体"/>
          <w:sz w:val="24"/>
          <w:szCs w:val="24"/>
        </w:rPr>
        <w:t>4.供应商资格要求</w:t>
      </w:r>
    </w:p>
    <w:p w14:paraId="02548426">
      <w:pPr>
        <w:pStyle w:val="25"/>
        <w:adjustRightInd w:val="0"/>
        <w:snapToGrid w:val="0"/>
        <w:ind w:firstLine="480"/>
        <w:rPr>
          <w:rFonts w:hint="eastAsia" w:cs="宋体"/>
          <w:szCs w:val="24"/>
        </w:rPr>
      </w:pPr>
      <w:r>
        <w:rPr>
          <w:rFonts w:hint="eastAsia" w:cs="宋体"/>
          <w:szCs w:val="24"/>
        </w:rPr>
        <w:t>4.1供应商资格要求：见“第一章 竞争性磋商公告”；</w:t>
      </w:r>
    </w:p>
    <w:p w14:paraId="0BD49E7F">
      <w:pPr>
        <w:pStyle w:val="25"/>
        <w:adjustRightInd w:val="0"/>
        <w:snapToGrid w:val="0"/>
        <w:ind w:firstLine="480"/>
        <w:rPr>
          <w:rFonts w:hint="eastAsia" w:cs="宋体"/>
          <w:szCs w:val="24"/>
          <w:lang w:val="zh-CN"/>
        </w:rPr>
      </w:pPr>
      <w:r>
        <w:rPr>
          <w:rFonts w:hint="eastAsia" w:cs="宋体"/>
          <w:szCs w:val="24"/>
        </w:rPr>
        <w:t>4</w:t>
      </w:r>
      <w:r>
        <w:rPr>
          <w:rFonts w:hint="eastAsia" w:cs="宋体"/>
          <w:szCs w:val="24"/>
          <w:lang w:val="zh-CN"/>
        </w:rPr>
        <w:t>.</w:t>
      </w:r>
      <w:r>
        <w:rPr>
          <w:rFonts w:hint="eastAsia" w:cs="宋体"/>
          <w:szCs w:val="24"/>
        </w:rPr>
        <w:t>2</w:t>
      </w:r>
      <w:r>
        <w:rPr>
          <w:rFonts w:hint="eastAsia" w:cs="宋体"/>
          <w:szCs w:val="24"/>
          <w:lang w:val="zh-CN"/>
        </w:rPr>
        <w:t>“</w:t>
      </w:r>
      <w:r>
        <w:rPr>
          <w:rFonts w:hint="eastAsia" w:cs="宋体"/>
          <w:szCs w:val="24"/>
        </w:rPr>
        <w:t>第一章 竞争性磋商公告</w:t>
      </w:r>
      <w:r>
        <w:rPr>
          <w:rFonts w:hint="eastAsia" w:cs="宋体"/>
          <w:szCs w:val="24"/>
          <w:lang w:val="zh-CN"/>
        </w:rPr>
        <w:t>”规定接受联合体</w:t>
      </w:r>
      <w:r>
        <w:rPr>
          <w:rFonts w:hint="eastAsia" w:cs="宋体"/>
          <w:szCs w:val="24"/>
        </w:rPr>
        <w:t>磋商</w:t>
      </w:r>
      <w:r>
        <w:rPr>
          <w:rFonts w:hint="eastAsia" w:cs="宋体"/>
          <w:szCs w:val="24"/>
          <w:lang w:val="zh-CN"/>
        </w:rPr>
        <w:t>的，还应遵守以下规定：</w:t>
      </w:r>
    </w:p>
    <w:p w14:paraId="313C07E9">
      <w:pPr>
        <w:pStyle w:val="25"/>
        <w:adjustRightInd w:val="0"/>
        <w:snapToGrid w:val="0"/>
        <w:ind w:firstLine="480"/>
        <w:rPr>
          <w:rFonts w:hint="eastAsia" w:cs="宋体"/>
          <w:szCs w:val="24"/>
          <w:shd w:val="clear" w:color="auto" w:fill="FFFFFF" w:themeFill="background1"/>
          <w:lang w:val="zh-CN"/>
        </w:rPr>
      </w:pPr>
      <w:r>
        <w:rPr>
          <w:rFonts w:hint="eastAsia" w:cs="宋体"/>
          <w:szCs w:val="24"/>
        </w:rPr>
        <w:t>4</w:t>
      </w:r>
      <w:r>
        <w:rPr>
          <w:rFonts w:hint="eastAsia" w:cs="宋体"/>
          <w:szCs w:val="24"/>
          <w:lang w:val="zh-CN"/>
        </w:rPr>
        <w:t>.</w:t>
      </w:r>
      <w:r>
        <w:rPr>
          <w:rFonts w:hint="eastAsia" w:cs="宋体"/>
          <w:szCs w:val="24"/>
        </w:rPr>
        <w:t>2.</w:t>
      </w:r>
      <w:r>
        <w:rPr>
          <w:rFonts w:hint="eastAsia" w:cs="宋体"/>
          <w:szCs w:val="24"/>
          <w:lang w:val="zh-CN"/>
        </w:rPr>
        <w:t>1两个以上的自然人、法人或者其他组织可以组成一个联合体，以一个供应商的身份共同参加政府采购。</w:t>
      </w:r>
      <w:r>
        <w:rPr>
          <w:rFonts w:hint="eastAsia" w:cs="宋体"/>
          <w:szCs w:val="24"/>
          <w:shd w:val="clear" w:color="auto" w:fill="FFFFFF" w:themeFill="background1"/>
          <w:lang w:val="zh-CN"/>
        </w:rPr>
        <w:t>以联合体形式进行政府采购的，参加联合体的供应商均应当具备《政府采购法》第二十二条规定的条件。</w:t>
      </w:r>
    </w:p>
    <w:p w14:paraId="01B629AE">
      <w:pPr>
        <w:pStyle w:val="25"/>
        <w:adjustRightInd w:val="0"/>
        <w:snapToGrid w:val="0"/>
        <w:ind w:firstLine="480"/>
        <w:rPr>
          <w:rFonts w:hint="eastAsia" w:cs="宋体"/>
          <w:szCs w:val="24"/>
          <w:shd w:val="clear" w:color="auto" w:fill="FFFFFF" w:themeFill="background1"/>
          <w:lang w:val="zh-CN"/>
        </w:rPr>
      </w:pPr>
      <w:r>
        <w:rPr>
          <w:rFonts w:hint="eastAsia" w:cs="宋体"/>
          <w:szCs w:val="24"/>
          <w:shd w:val="clear" w:color="auto" w:fill="FFFFFF" w:themeFill="background1"/>
        </w:rPr>
        <w:t>4</w:t>
      </w:r>
      <w:r>
        <w:rPr>
          <w:rFonts w:hint="eastAsia" w:cs="宋体"/>
          <w:szCs w:val="24"/>
          <w:shd w:val="clear" w:color="auto" w:fill="FFFFFF" w:themeFill="background1"/>
          <w:lang w:val="zh-CN"/>
        </w:rPr>
        <w:t>.</w:t>
      </w:r>
      <w:r>
        <w:rPr>
          <w:rFonts w:hint="eastAsia" w:cs="宋体"/>
          <w:szCs w:val="24"/>
          <w:shd w:val="clear" w:color="auto" w:fill="FFFFFF" w:themeFill="background1"/>
        </w:rPr>
        <w:t>2.2</w:t>
      </w:r>
      <w:r>
        <w:rPr>
          <w:rFonts w:hint="eastAsia" w:cs="宋体"/>
          <w:szCs w:val="24"/>
          <w:shd w:val="clear" w:color="auto" w:fill="FFFFFF" w:themeFill="background1"/>
          <w:lang w:val="zh-CN"/>
        </w:rPr>
        <w:t>联合体各方应按竞争性磋商文件提供的格式签订联合</w:t>
      </w:r>
      <w:r>
        <w:rPr>
          <w:rFonts w:hint="eastAsia" w:cs="宋体"/>
          <w:szCs w:val="24"/>
          <w:shd w:val="clear" w:color="auto" w:fill="FFFFFF" w:themeFill="background1"/>
        </w:rPr>
        <w:t>体</w:t>
      </w:r>
      <w:r>
        <w:rPr>
          <w:rFonts w:hint="eastAsia" w:cs="宋体"/>
          <w:szCs w:val="24"/>
          <w:shd w:val="clear" w:color="auto" w:fill="FFFFFF" w:themeFill="background1"/>
          <w:lang w:val="zh-CN"/>
        </w:rPr>
        <w:t>协议</w:t>
      </w:r>
      <w:r>
        <w:rPr>
          <w:rFonts w:hint="eastAsia" w:cs="宋体"/>
          <w:szCs w:val="24"/>
          <w:shd w:val="clear" w:color="auto" w:fill="FFFFFF" w:themeFill="background1"/>
        </w:rPr>
        <w:t>书</w:t>
      </w:r>
      <w:r>
        <w:rPr>
          <w:rFonts w:hint="eastAsia" w:cs="宋体"/>
          <w:szCs w:val="24"/>
          <w:shd w:val="clear" w:color="auto" w:fill="FFFFFF" w:themeFill="background1"/>
          <w:lang w:val="zh-CN"/>
        </w:rPr>
        <w:t>，明确约定联合体各方承担的工作和相应的责任，并将联合</w:t>
      </w:r>
      <w:r>
        <w:rPr>
          <w:rFonts w:hint="eastAsia" w:cs="宋体"/>
          <w:szCs w:val="24"/>
          <w:shd w:val="clear" w:color="auto" w:fill="FFFFFF" w:themeFill="background1"/>
        </w:rPr>
        <w:t>体</w:t>
      </w:r>
      <w:r>
        <w:rPr>
          <w:rFonts w:hint="eastAsia" w:cs="宋体"/>
          <w:szCs w:val="24"/>
          <w:shd w:val="clear" w:color="auto" w:fill="FFFFFF" w:themeFill="background1"/>
          <w:lang w:val="zh-CN"/>
        </w:rPr>
        <w:t>协议</w:t>
      </w:r>
      <w:r>
        <w:rPr>
          <w:rFonts w:hint="eastAsia" w:cs="宋体"/>
          <w:szCs w:val="24"/>
          <w:shd w:val="clear" w:color="auto" w:fill="FFFFFF" w:themeFill="background1"/>
        </w:rPr>
        <w:t>书</w:t>
      </w:r>
      <w:r>
        <w:rPr>
          <w:rFonts w:hint="eastAsia" w:cs="宋体"/>
          <w:szCs w:val="24"/>
          <w:shd w:val="clear" w:color="auto" w:fill="FFFFFF" w:themeFill="background1"/>
          <w:lang w:val="zh-CN"/>
        </w:rPr>
        <w:t>作为</w:t>
      </w:r>
      <w:r>
        <w:rPr>
          <w:rFonts w:hint="eastAsia" w:cs="宋体"/>
          <w:szCs w:val="24"/>
          <w:shd w:val="clear" w:color="auto" w:fill="FFFFFF" w:themeFill="background1"/>
        </w:rPr>
        <w:t>响应</w:t>
      </w:r>
      <w:r>
        <w:rPr>
          <w:rFonts w:hint="eastAsia" w:cs="宋体"/>
          <w:szCs w:val="24"/>
          <w:shd w:val="clear" w:color="auto" w:fill="FFFFFF" w:themeFill="background1"/>
          <w:lang w:val="zh-CN"/>
        </w:rPr>
        <w:t>文件的一部分提交，该协议书对联合</w:t>
      </w:r>
      <w:r>
        <w:rPr>
          <w:rFonts w:hint="eastAsia" w:cs="宋体"/>
          <w:szCs w:val="24"/>
          <w:shd w:val="clear" w:color="auto" w:fill="FFFFFF" w:themeFill="background1"/>
        </w:rPr>
        <w:t>体所有成员</w:t>
      </w:r>
      <w:r>
        <w:rPr>
          <w:rFonts w:hint="eastAsia" w:cs="宋体"/>
          <w:szCs w:val="24"/>
          <w:shd w:val="clear" w:color="auto" w:fill="FFFFFF" w:themeFill="background1"/>
          <w:lang w:val="zh-CN"/>
        </w:rPr>
        <w:t>均具有法律约束力。</w:t>
      </w:r>
    </w:p>
    <w:p w14:paraId="7A48C239">
      <w:pPr>
        <w:pStyle w:val="25"/>
        <w:adjustRightInd w:val="0"/>
        <w:snapToGrid w:val="0"/>
        <w:ind w:firstLine="480"/>
        <w:rPr>
          <w:rFonts w:hint="eastAsia" w:cs="宋体"/>
          <w:szCs w:val="24"/>
          <w:shd w:val="clear" w:color="auto" w:fill="FFFFFF" w:themeFill="background1"/>
          <w:lang w:val="zh-CN"/>
        </w:rPr>
      </w:pPr>
      <w:r>
        <w:rPr>
          <w:rFonts w:hint="eastAsia" w:cs="宋体"/>
          <w:szCs w:val="24"/>
          <w:shd w:val="clear" w:color="auto" w:fill="FFFFFF" w:themeFill="background1"/>
        </w:rPr>
        <w:t>4.2.3</w:t>
      </w:r>
      <w:r>
        <w:rPr>
          <w:rFonts w:hint="eastAsia" w:cs="宋体"/>
          <w:szCs w:val="24"/>
          <w:shd w:val="clear" w:color="auto" w:fill="FFFFFF" w:themeFill="background1"/>
          <w:lang w:val="zh-CN"/>
        </w:rPr>
        <w:t>联合体中有同类资质的供应商按照联合体分工承担相同工作的，应当按照资质等级较低的供应商确定资质等级。</w:t>
      </w:r>
    </w:p>
    <w:p w14:paraId="6B55F833">
      <w:pPr>
        <w:pStyle w:val="25"/>
        <w:adjustRightInd w:val="0"/>
        <w:snapToGrid w:val="0"/>
        <w:ind w:firstLine="480"/>
        <w:rPr>
          <w:rFonts w:hint="eastAsia" w:cs="宋体"/>
          <w:szCs w:val="24"/>
          <w:shd w:val="clear" w:color="auto" w:fill="FFFFFF" w:themeFill="background1"/>
          <w:lang w:val="zh-CN"/>
        </w:rPr>
      </w:pPr>
      <w:r>
        <w:rPr>
          <w:rFonts w:hint="eastAsia" w:cs="宋体"/>
          <w:szCs w:val="24"/>
          <w:shd w:val="clear" w:color="auto" w:fill="FFFFFF" w:themeFill="background1"/>
        </w:rPr>
        <w:t>4.2</w:t>
      </w:r>
      <w:r>
        <w:rPr>
          <w:rFonts w:hint="eastAsia" w:cs="宋体"/>
          <w:szCs w:val="24"/>
          <w:shd w:val="clear" w:color="auto" w:fill="FFFFFF" w:themeFill="background1"/>
          <w:lang w:val="zh-CN"/>
        </w:rPr>
        <w:t>.</w:t>
      </w:r>
      <w:r>
        <w:rPr>
          <w:rFonts w:hint="eastAsia" w:cs="宋体"/>
          <w:szCs w:val="24"/>
          <w:shd w:val="clear" w:color="auto" w:fill="FFFFFF" w:themeFill="background1"/>
        </w:rPr>
        <w:t>4</w:t>
      </w:r>
      <w:r>
        <w:rPr>
          <w:rFonts w:hint="eastAsia" w:cs="宋体"/>
          <w:szCs w:val="24"/>
          <w:shd w:val="clear" w:color="auto" w:fill="FFFFFF" w:themeFill="background1"/>
          <w:lang w:val="zh-CN"/>
        </w:rPr>
        <w:t>以联合体形式参加政府采购活动的，联合体各方不得再单独参加或者与其他供应商另外组成联合体参加</w:t>
      </w:r>
      <w:r>
        <w:rPr>
          <w:rFonts w:hint="eastAsia" w:cs="宋体"/>
          <w:szCs w:val="24"/>
          <w:shd w:val="clear" w:color="auto" w:fill="FFFFFF" w:themeFill="background1"/>
        </w:rPr>
        <w:t>同一合同项下的磋商</w:t>
      </w:r>
      <w:r>
        <w:rPr>
          <w:rFonts w:hint="eastAsia" w:cs="宋体"/>
          <w:szCs w:val="24"/>
          <w:shd w:val="clear" w:color="auto" w:fill="FFFFFF" w:themeFill="background1"/>
          <w:lang w:val="zh-CN"/>
        </w:rPr>
        <w:t>，否则相关</w:t>
      </w:r>
      <w:r>
        <w:rPr>
          <w:rFonts w:hint="eastAsia" w:cs="宋体"/>
          <w:szCs w:val="24"/>
          <w:shd w:val="clear" w:color="auto" w:fill="FFFFFF" w:themeFill="background1"/>
        </w:rPr>
        <w:t>响应</w:t>
      </w:r>
      <w:r>
        <w:rPr>
          <w:rFonts w:hint="eastAsia" w:cs="宋体"/>
          <w:szCs w:val="24"/>
          <w:shd w:val="clear" w:color="auto" w:fill="FFFFFF" w:themeFill="background1"/>
          <w:lang w:val="zh-CN"/>
        </w:rPr>
        <w:t>将被认定为</w:t>
      </w:r>
      <w:r>
        <w:rPr>
          <w:rFonts w:hint="eastAsia" w:cs="宋体"/>
          <w:b/>
          <w:bCs/>
          <w:szCs w:val="24"/>
          <w:shd w:val="clear" w:color="auto" w:fill="FFFFFF" w:themeFill="background1"/>
        </w:rPr>
        <w:t>响应</w:t>
      </w:r>
      <w:r>
        <w:rPr>
          <w:rFonts w:hint="eastAsia" w:cs="宋体"/>
          <w:b/>
          <w:bCs/>
          <w:szCs w:val="24"/>
          <w:shd w:val="clear" w:color="auto" w:fill="FFFFFF" w:themeFill="background1"/>
          <w:lang w:val="zh-CN"/>
        </w:rPr>
        <w:t>无效</w:t>
      </w:r>
      <w:r>
        <w:rPr>
          <w:rFonts w:hint="eastAsia" w:cs="宋体"/>
          <w:szCs w:val="24"/>
          <w:shd w:val="clear" w:color="auto" w:fill="FFFFFF" w:themeFill="background1"/>
          <w:lang w:val="zh-CN"/>
        </w:rPr>
        <w:t>。</w:t>
      </w:r>
    </w:p>
    <w:p w14:paraId="1D414EDE">
      <w:pPr>
        <w:pStyle w:val="25"/>
        <w:adjustRightInd w:val="0"/>
        <w:snapToGrid w:val="0"/>
        <w:ind w:firstLine="480"/>
        <w:rPr>
          <w:rFonts w:hint="eastAsia" w:cs="宋体"/>
          <w:szCs w:val="24"/>
          <w:shd w:val="clear" w:color="auto" w:fill="FFFFFF" w:themeFill="background1"/>
          <w:lang w:val="zh-CN"/>
        </w:rPr>
      </w:pPr>
      <w:r>
        <w:rPr>
          <w:rFonts w:hint="eastAsia" w:cs="宋体"/>
          <w:szCs w:val="24"/>
          <w:shd w:val="clear" w:color="auto" w:fill="FFFFFF" w:themeFill="background1"/>
        </w:rPr>
        <w:t>4.2</w:t>
      </w:r>
      <w:r>
        <w:rPr>
          <w:rFonts w:hint="eastAsia" w:cs="宋体"/>
          <w:szCs w:val="24"/>
          <w:shd w:val="clear" w:color="auto" w:fill="FFFFFF" w:themeFill="background1"/>
          <w:lang w:val="zh-CN"/>
        </w:rPr>
        <w:t>.5大中型企业、其他自然人、法人或者非法人组织与小型、微型企业组成联合体共同参加</w:t>
      </w:r>
      <w:r>
        <w:rPr>
          <w:rFonts w:hint="eastAsia" w:cs="宋体"/>
          <w:szCs w:val="24"/>
          <w:shd w:val="clear" w:color="auto" w:fill="FFFFFF" w:themeFill="background1"/>
        </w:rPr>
        <w:t>磋商的</w:t>
      </w:r>
      <w:r>
        <w:rPr>
          <w:rFonts w:hint="eastAsia" w:cs="宋体"/>
          <w:szCs w:val="24"/>
          <w:shd w:val="clear" w:color="auto" w:fill="FFFFFF" w:themeFill="background1"/>
          <w:lang w:val="zh-CN"/>
        </w:rPr>
        <w:t>，联合</w:t>
      </w:r>
      <w:r>
        <w:rPr>
          <w:rFonts w:hint="eastAsia" w:cs="宋体"/>
          <w:szCs w:val="24"/>
          <w:shd w:val="clear" w:color="auto" w:fill="FFFFFF" w:themeFill="background1"/>
        </w:rPr>
        <w:t>体</w:t>
      </w:r>
      <w:r>
        <w:rPr>
          <w:rFonts w:hint="eastAsia" w:cs="宋体"/>
          <w:szCs w:val="24"/>
          <w:shd w:val="clear" w:color="auto" w:fill="FFFFFF" w:themeFill="background1"/>
          <w:lang w:val="zh-CN"/>
        </w:rPr>
        <w:t>协议</w:t>
      </w:r>
      <w:r>
        <w:rPr>
          <w:rFonts w:hint="eastAsia" w:cs="宋体"/>
          <w:szCs w:val="24"/>
          <w:shd w:val="clear" w:color="auto" w:fill="FFFFFF" w:themeFill="background1"/>
        </w:rPr>
        <w:t>书</w:t>
      </w:r>
      <w:r>
        <w:rPr>
          <w:rFonts w:hint="eastAsia" w:cs="宋体"/>
          <w:szCs w:val="24"/>
          <w:shd w:val="clear" w:color="auto" w:fill="FFFFFF" w:themeFill="background1"/>
          <w:lang w:val="zh-CN"/>
        </w:rPr>
        <w:t>中应写明小型、微型企业的合同金额占到联合</w:t>
      </w:r>
      <w:r>
        <w:rPr>
          <w:rFonts w:hint="eastAsia" w:cs="宋体"/>
          <w:szCs w:val="24"/>
          <w:shd w:val="clear" w:color="auto" w:fill="FFFFFF" w:themeFill="background1"/>
        </w:rPr>
        <w:t>体磋商合同</w:t>
      </w:r>
      <w:r>
        <w:rPr>
          <w:rFonts w:hint="eastAsia" w:cs="宋体"/>
          <w:szCs w:val="24"/>
          <w:shd w:val="clear" w:color="auto" w:fill="FFFFFF" w:themeFill="background1"/>
          <w:lang w:val="zh-CN"/>
        </w:rPr>
        <w:t>总金额的比例。</w:t>
      </w:r>
    </w:p>
    <w:p w14:paraId="60365691">
      <w:pPr>
        <w:pStyle w:val="25"/>
        <w:adjustRightInd w:val="0"/>
        <w:snapToGrid w:val="0"/>
        <w:ind w:firstLine="480"/>
        <w:rPr>
          <w:rFonts w:hint="eastAsia" w:cs="宋体"/>
          <w:szCs w:val="24"/>
          <w:shd w:val="clear" w:color="auto" w:fill="FFFFFF" w:themeFill="background1"/>
          <w:lang w:val="zh-CN"/>
        </w:rPr>
      </w:pPr>
      <w:r>
        <w:rPr>
          <w:rFonts w:hint="eastAsia" w:cs="宋体"/>
          <w:szCs w:val="24"/>
          <w:shd w:val="clear" w:color="auto" w:fill="FFFFFF" w:themeFill="background1"/>
          <w:lang w:val="zh-CN"/>
        </w:rPr>
        <w:t>4.2</w:t>
      </w:r>
      <w:r>
        <w:rPr>
          <w:rFonts w:hint="eastAsia" w:cs="宋体"/>
          <w:szCs w:val="24"/>
          <w:shd w:val="clear" w:color="auto" w:fill="FFFFFF" w:themeFill="background1"/>
        </w:rPr>
        <w:t>.6</w:t>
      </w:r>
      <w:r>
        <w:rPr>
          <w:rFonts w:hint="eastAsia" w:cs="宋体"/>
          <w:szCs w:val="24"/>
          <w:shd w:val="clear" w:color="auto" w:fill="FFFFFF" w:themeFill="background1"/>
          <w:lang w:val="zh-CN"/>
        </w:rPr>
        <w:t>联合体</w:t>
      </w:r>
      <w:r>
        <w:rPr>
          <w:rFonts w:hint="eastAsia" w:cs="宋体"/>
          <w:szCs w:val="24"/>
          <w:shd w:val="clear" w:color="auto" w:fill="FFFFFF" w:themeFill="background1"/>
        </w:rPr>
        <w:t>成交的</w:t>
      </w:r>
      <w:r>
        <w:rPr>
          <w:rFonts w:hint="eastAsia" w:cs="宋体"/>
          <w:szCs w:val="24"/>
          <w:shd w:val="clear" w:color="auto" w:fill="FFFFFF" w:themeFill="background1"/>
          <w:lang w:val="zh-CN"/>
        </w:rPr>
        <w:t>，</w:t>
      </w:r>
      <w:r>
        <w:rPr>
          <w:rFonts w:hint="eastAsia" w:cs="宋体"/>
          <w:szCs w:val="24"/>
          <w:shd w:val="clear" w:color="auto" w:fill="FFFFFF" w:themeFill="background1"/>
        </w:rPr>
        <w:t>采购</w:t>
      </w:r>
      <w:r>
        <w:rPr>
          <w:rFonts w:hint="eastAsia" w:cs="宋体"/>
          <w:szCs w:val="24"/>
          <w:shd w:val="clear" w:color="auto" w:fill="FFFFFF" w:themeFill="background1"/>
          <w:lang w:val="zh-CN"/>
        </w:rPr>
        <w:t>合同应由</w:t>
      </w:r>
      <w:r>
        <w:rPr>
          <w:rFonts w:hint="eastAsia" w:cs="宋体"/>
          <w:szCs w:val="24"/>
          <w:shd w:val="clear" w:color="auto" w:fill="FFFFFF" w:themeFill="background1"/>
        </w:rPr>
        <w:t>联合体</w:t>
      </w:r>
      <w:r>
        <w:rPr>
          <w:rFonts w:hint="eastAsia" w:cs="宋体"/>
          <w:szCs w:val="24"/>
          <w:shd w:val="clear" w:color="auto" w:fill="FFFFFF" w:themeFill="background1"/>
          <w:lang w:val="zh-CN"/>
        </w:rPr>
        <w:t>各成员的合法授权代表签字</w:t>
      </w:r>
      <w:r>
        <w:rPr>
          <w:rFonts w:hint="eastAsia" w:cs="宋体"/>
          <w:szCs w:val="24"/>
          <w:shd w:val="clear" w:color="auto" w:fill="FFFFFF" w:themeFill="background1"/>
        </w:rPr>
        <w:t>及</w:t>
      </w:r>
      <w:r>
        <w:rPr>
          <w:rFonts w:hint="eastAsia" w:cs="宋体"/>
          <w:szCs w:val="24"/>
          <w:shd w:val="clear" w:color="auto" w:fill="FFFFFF" w:themeFill="background1"/>
          <w:lang w:val="zh-CN"/>
        </w:rPr>
        <w:t>加盖</w:t>
      </w:r>
      <w:r>
        <w:rPr>
          <w:rFonts w:hint="eastAsia" w:cs="宋体"/>
          <w:szCs w:val="24"/>
          <w:shd w:val="clear" w:color="auto" w:fill="FFFFFF" w:themeFill="background1"/>
        </w:rPr>
        <w:t>联合体</w:t>
      </w:r>
      <w:r>
        <w:rPr>
          <w:rFonts w:hint="eastAsia" w:cs="宋体"/>
          <w:szCs w:val="24"/>
          <w:shd w:val="clear" w:color="auto" w:fill="FFFFFF" w:themeFill="background1"/>
          <w:lang w:val="zh-CN"/>
        </w:rPr>
        <w:t>各成员公章，</w:t>
      </w:r>
      <w:r>
        <w:rPr>
          <w:rFonts w:hint="eastAsia" w:cs="宋体"/>
          <w:szCs w:val="24"/>
          <w:shd w:val="clear" w:color="auto" w:fill="FFFFFF" w:themeFill="background1"/>
        </w:rPr>
        <w:t>并</w:t>
      </w:r>
      <w:r>
        <w:rPr>
          <w:rFonts w:hint="eastAsia" w:cs="宋体"/>
          <w:szCs w:val="24"/>
          <w:shd w:val="clear" w:color="auto" w:fill="FFFFFF" w:themeFill="background1"/>
          <w:lang w:val="zh-CN"/>
        </w:rPr>
        <w:t>对联合体成员作为整体和他们各自作为独立体均具有法律约束力，但若该签字或公章不齐全或缺乏，该联合体的牵头人的签署或类似的意思表示人具有代表该联合体的签署或意思表示的法律效力，并且据此各成员为履行合同应向采购人与采购代理机构承担连带责任。</w:t>
      </w:r>
    </w:p>
    <w:p w14:paraId="75BF2FA0">
      <w:pPr>
        <w:pStyle w:val="25"/>
        <w:adjustRightInd w:val="0"/>
        <w:snapToGrid w:val="0"/>
        <w:ind w:firstLine="480"/>
        <w:rPr>
          <w:rFonts w:hint="eastAsia" w:cs="宋体"/>
          <w:szCs w:val="24"/>
          <w:shd w:val="clear" w:color="auto" w:fill="FFFFFF" w:themeFill="background1"/>
          <w:lang w:val="zh-CN"/>
        </w:rPr>
      </w:pPr>
      <w:r>
        <w:rPr>
          <w:rFonts w:hint="eastAsia" w:cs="宋体"/>
          <w:szCs w:val="24"/>
          <w:shd w:val="clear" w:color="auto" w:fill="FFFFFF" w:themeFill="background1"/>
          <w:lang w:val="zh-CN"/>
        </w:rPr>
        <w:t>4.2</w:t>
      </w:r>
      <w:r>
        <w:rPr>
          <w:rFonts w:hint="eastAsia" w:cs="宋体"/>
          <w:szCs w:val="24"/>
          <w:shd w:val="clear" w:color="auto" w:fill="FFFFFF" w:themeFill="background1"/>
        </w:rPr>
        <w:t>.7</w:t>
      </w:r>
      <w:r>
        <w:rPr>
          <w:rFonts w:hint="eastAsia" w:cs="宋体"/>
          <w:szCs w:val="24"/>
          <w:shd w:val="clear" w:color="auto" w:fill="FFFFFF" w:themeFill="background1"/>
          <w:lang w:val="zh-CN"/>
        </w:rPr>
        <w:t>联合体或其成员不得将其在合同项下的权利或义务全部或部分转让给第三人，有关分包事项须事先取得采购</w:t>
      </w:r>
      <w:r>
        <w:rPr>
          <w:rFonts w:hint="eastAsia" w:cs="宋体"/>
          <w:szCs w:val="24"/>
          <w:shd w:val="clear" w:color="auto" w:fill="FFFFFF" w:themeFill="background1"/>
        </w:rPr>
        <w:t>人</w:t>
      </w:r>
      <w:r>
        <w:rPr>
          <w:rFonts w:hint="eastAsia" w:cs="宋体"/>
          <w:szCs w:val="24"/>
          <w:shd w:val="clear" w:color="auto" w:fill="FFFFFF" w:themeFill="background1"/>
          <w:lang w:val="zh-CN"/>
        </w:rPr>
        <w:t>书面同意并且须遵守相关法律、法规、本次</w:t>
      </w:r>
      <w:r>
        <w:rPr>
          <w:rFonts w:hint="eastAsia" w:cs="宋体"/>
          <w:szCs w:val="24"/>
          <w:shd w:val="clear" w:color="auto" w:fill="FFFFFF" w:themeFill="background1"/>
        </w:rPr>
        <w:t>磋商</w:t>
      </w:r>
      <w:r>
        <w:rPr>
          <w:rFonts w:hint="eastAsia" w:cs="宋体"/>
          <w:szCs w:val="24"/>
          <w:shd w:val="clear" w:color="auto" w:fill="FFFFFF" w:themeFill="background1"/>
          <w:lang w:val="zh-CN"/>
        </w:rPr>
        <w:t>的全部相关规定。</w:t>
      </w:r>
    </w:p>
    <w:p w14:paraId="1C0E489A">
      <w:pPr>
        <w:pStyle w:val="25"/>
        <w:adjustRightInd w:val="0"/>
        <w:snapToGrid w:val="0"/>
        <w:ind w:firstLine="480"/>
        <w:rPr>
          <w:rFonts w:hint="eastAsia" w:cs="宋体"/>
          <w:szCs w:val="24"/>
          <w:shd w:val="clear" w:color="auto" w:fill="FFFFFF" w:themeFill="background1"/>
          <w:lang w:val="zh-CN"/>
        </w:rPr>
      </w:pPr>
      <w:r>
        <w:rPr>
          <w:rFonts w:hint="eastAsia" w:cs="宋体"/>
          <w:szCs w:val="24"/>
          <w:shd w:val="clear" w:color="auto" w:fill="FFFFFF" w:themeFill="background1"/>
        </w:rPr>
        <w:t>4.2</w:t>
      </w:r>
      <w:r>
        <w:rPr>
          <w:rFonts w:hint="eastAsia" w:cs="宋体"/>
          <w:szCs w:val="24"/>
          <w:shd w:val="clear" w:color="auto" w:fill="FFFFFF" w:themeFill="background1"/>
          <w:lang w:val="zh-CN"/>
        </w:rPr>
        <w:t>.</w:t>
      </w:r>
      <w:r>
        <w:rPr>
          <w:rFonts w:hint="eastAsia" w:cs="宋体"/>
          <w:szCs w:val="24"/>
          <w:shd w:val="clear" w:color="auto" w:fill="FFFFFF" w:themeFill="background1"/>
        </w:rPr>
        <w:t>8</w:t>
      </w:r>
      <w:r>
        <w:rPr>
          <w:rFonts w:hint="eastAsia" w:cs="宋体"/>
          <w:szCs w:val="24"/>
          <w:shd w:val="clear" w:color="auto" w:fill="FFFFFF" w:themeFill="background1"/>
          <w:lang w:val="zh-CN"/>
        </w:rPr>
        <w:t>对联合体</w:t>
      </w:r>
      <w:r>
        <w:rPr>
          <w:rFonts w:hint="eastAsia" w:cs="宋体"/>
          <w:szCs w:val="24"/>
          <w:shd w:val="clear" w:color="auto" w:fill="FFFFFF" w:themeFill="background1"/>
        </w:rPr>
        <w:t>磋商</w:t>
      </w:r>
      <w:r>
        <w:rPr>
          <w:rFonts w:hint="eastAsia" w:cs="宋体"/>
          <w:szCs w:val="24"/>
          <w:shd w:val="clear" w:color="auto" w:fill="FFFFFF" w:themeFill="background1"/>
          <w:lang w:val="zh-CN"/>
        </w:rPr>
        <w:t>的其他资格要求见“</w:t>
      </w:r>
      <w:r>
        <w:rPr>
          <w:rFonts w:hint="eastAsia" w:cs="宋体"/>
          <w:szCs w:val="24"/>
          <w:shd w:val="clear" w:color="auto" w:fill="FFFFFF" w:themeFill="background1"/>
        </w:rPr>
        <w:t>第一章 竞争性磋商公告</w:t>
      </w:r>
      <w:r>
        <w:rPr>
          <w:rFonts w:hint="eastAsia" w:cs="宋体"/>
          <w:szCs w:val="24"/>
          <w:shd w:val="clear" w:color="auto" w:fill="FFFFFF" w:themeFill="background1"/>
          <w:lang w:val="zh-CN"/>
        </w:rPr>
        <w:t>”</w:t>
      </w:r>
      <w:r>
        <w:rPr>
          <w:rFonts w:hint="eastAsia" w:cs="宋体"/>
          <w:szCs w:val="24"/>
          <w:shd w:val="clear" w:color="auto" w:fill="FFFFFF" w:themeFill="background1"/>
        </w:rPr>
        <w:t>中的“二、供应商的</w:t>
      </w:r>
      <w:r>
        <w:rPr>
          <w:rFonts w:hint="eastAsia" w:cs="宋体"/>
          <w:szCs w:val="24"/>
          <w:shd w:val="clear" w:color="auto" w:fill="FFFFFF" w:themeFill="background1"/>
          <w:lang w:val="zh-CN"/>
        </w:rPr>
        <w:t>资格</w:t>
      </w:r>
      <w:r>
        <w:rPr>
          <w:rFonts w:hint="eastAsia" w:cs="宋体"/>
          <w:szCs w:val="24"/>
          <w:shd w:val="clear" w:color="auto" w:fill="FFFFFF" w:themeFill="background1"/>
        </w:rPr>
        <w:t>要求”</w:t>
      </w:r>
      <w:r>
        <w:rPr>
          <w:rFonts w:hint="eastAsia" w:cs="宋体"/>
          <w:szCs w:val="24"/>
          <w:shd w:val="clear" w:color="auto" w:fill="FFFFFF" w:themeFill="background1"/>
          <w:lang w:val="zh-CN"/>
        </w:rPr>
        <w:t>。</w:t>
      </w:r>
    </w:p>
    <w:p w14:paraId="485F4964">
      <w:pPr>
        <w:pStyle w:val="9"/>
        <w:keepNext w:val="0"/>
        <w:keepLines w:val="0"/>
        <w:adjustRightInd w:val="0"/>
        <w:snapToGrid w:val="0"/>
        <w:spacing w:before="0" w:after="0" w:line="360" w:lineRule="auto"/>
        <w:ind w:left="420" w:hanging="420"/>
        <w:rPr>
          <w:rFonts w:hint="eastAsia" w:ascii="宋体" w:hAnsi="宋体" w:cs="宋体"/>
          <w:sz w:val="24"/>
          <w:szCs w:val="24"/>
        </w:rPr>
      </w:pPr>
      <w:r>
        <w:rPr>
          <w:rFonts w:hint="eastAsia" w:ascii="宋体" w:hAnsi="宋体" w:cs="宋体"/>
          <w:sz w:val="24"/>
          <w:szCs w:val="24"/>
        </w:rPr>
        <w:t>5.费用</w:t>
      </w:r>
      <w:bookmarkEnd w:id="136"/>
      <w:bookmarkEnd w:id="137"/>
      <w:bookmarkEnd w:id="138"/>
      <w:bookmarkEnd w:id="139"/>
      <w:bookmarkEnd w:id="140"/>
      <w:bookmarkEnd w:id="141"/>
      <w:bookmarkEnd w:id="142"/>
      <w:bookmarkEnd w:id="143"/>
      <w:bookmarkEnd w:id="144"/>
      <w:bookmarkEnd w:id="145"/>
      <w:bookmarkEnd w:id="146"/>
      <w:bookmarkEnd w:id="147"/>
      <w:bookmarkEnd w:id="148"/>
      <w:r>
        <w:rPr>
          <w:rFonts w:hint="eastAsia" w:ascii="宋体" w:hAnsi="宋体" w:cs="宋体"/>
          <w:sz w:val="24"/>
          <w:szCs w:val="24"/>
        </w:rPr>
        <w:t>承担</w:t>
      </w:r>
    </w:p>
    <w:p w14:paraId="3C6741ED">
      <w:pPr>
        <w:pStyle w:val="25"/>
        <w:adjustRightInd w:val="0"/>
        <w:snapToGrid w:val="0"/>
        <w:ind w:firstLine="480"/>
        <w:rPr>
          <w:rFonts w:hint="eastAsia" w:cs="宋体"/>
          <w:snapToGrid w:val="0"/>
          <w:szCs w:val="24"/>
          <w:lang w:val="zh-CN"/>
        </w:rPr>
      </w:pPr>
      <w:r>
        <w:rPr>
          <w:rFonts w:hint="eastAsia" w:cs="宋体"/>
          <w:snapToGrid w:val="0"/>
          <w:szCs w:val="24"/>
          <w:lang w:val="zh-CN"/>
        </w:rPr>
        <w:t>5.1不论</w:t>
      </w:r>
      <w:r>
        <w:rPr>
          <w:rFonts w:hint="eastAsia" w:cs="宋体"/>
          <w:snapToGrid w:val="0"/>
          <w:szCs w:val="24"/>
        </w:rPr>
        <w:t>磋商</w:t>
      </w:r>
      <w:r>
        <w:rPr>
          <w:rFonts w:hint="eastAsia" w:cs="宋体"/>
          <w:snapToGrid w:val="0"/>
          <w:szCs w:val="24"/>
          <w:lang w:val="zh-CN"/>
        </w:rPr>
        <w:t>的结果如何，</w:t>
      </w:r>
      <w:r>
        <w:rPr>
          <w:rFonts w:hint="eastAsia" w:cs="宋体"/>
          <w:snapToGrid w:val="0"/>
          <w:szCs w:val="24"/>
        </w:rPr>
        <w:t>供应商</w:t>
      </w:r>
      <w:r>
        <w:rPr>
          <w:rFonts w:hint="eastAsia" w:cs="宋体"/>
          <w:snapToGrid w:val="0"/>
          <w:szCs w:val="24"/>
          <w:lang w:val="zh-CN"/>
        </w:rPr>
        <w:t>应承担所有与准备和参加</w:t>
      </w:r>
      <w:r>
        <w:rPr>
          <w:rFonts w:hint="eastAsia" w:cs="宋体"/>
          <w:snapToGrid w:val="0"/>
          <w:szCs w:val="24"/>
        </w:rPr>
        <w:t>磋商</w:t>
      </w:r>
      <w:r>
        <w:rPr>
          <w:rFonts w:hint="eastAsia" w:cs="宋体"/>
          <w:snapToGrid w:val="0"/>
          <w:szCs w:val="24"/>
          <w:lang w:val="zh-CN"/>
        </w:rPr>
        <w:t>有关的费用。</w:t>
      </w:r>
    </w:p>
    <w:p w14:paraId="6DDD89BA">
      <w:pPr>
        <w:pStyle w:val="9"/>
        <w:keepNext w:val="0"/>
        <w:keepLines w:val="0"/>
        <w:adjustRightInd w:val="0"/>
        <w:snapToGrid w:val="0"/>
        <w:spacing w:before="0" w:after="0" w:line="360" w:lineRule="auto"/>
        <w:ind w:left="420" w:hanging="420"/>
        <w:rPr>
          <w:rFonts w:hint="eastAsia" w:ascii="宋体" w:hAnsi="宋体" w:cs="宋体"/>
          <w:sz w:val="24"/>
          <w:szCs w:val="24"/>
        </w:rPr>
      </w:pPr>
      <w:bookmarkStart w:id="149" w:name="_Toc161600293"/>
      <w:bookmarkStart w:id="150" w:name="_Toc140132761"/>
      <w:r>
        <w:rPr>
          <w:rFonts w:hint="eastAsia" w:ascii="宋体" w:hAnsi="宋体" w:cs="宋体"/>
          <w:sz w:val="24"/>
          <w:szCs w:val="24"/>
        </w:rPr>
        <w:t>6.保密</w:t>
      </w:r>
      <w:bookmarkEnd w:id="149"/>
      <w:bookmarkEnd w:id="150"/>
    </w:p>
    <w:p w14:paraId="2E376810">
      <w:pPr>
        <w:pStyle w:val="25"/>
        <w:adjustRightInd w:val="0"/>
        <w:snapToGrid w:val="0"/>
        <w:ind w:firstLine="480"/>
        <w:rPr>
          <w:rFonts w:hint="eastAsia" w:cs="宋体"/>
          <w:szCs w:val="24"/>
        </w:rPr>
      </w:pPr>
      <w:r>
        <w:rPr>
          <w:rFonts w:hint="eastAsia" w:cs="宋体"/>
          <w:szCs w:val="24"/>
        </w:rPr>
        <w:t>6.1 参与磋商活动的各方应对竞争性磋商文件和响应文件中的商业和技术等秘密保密，否则应承担相应的法律责任。</w:t>
      </w:r>
    </w:p>
    <w:p w14:paraId="23555BD0">
      <w:pPr>
        <w:pStyle w:val="58"/>
        <w:adjustRightInd w:val="0"/>
        <w:snapToGrid w:val="0"/>
        <w:spacing w:line="360" w:lineRule="auto"/>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6.2 供应商自领取竞争性磋商文件之日起，须承担本竞争性磋商项目保密义务，不得将因本次竞争性磋商获得的信息向第三人外传。由采购人向供应商提供的图纸、详细资料、样品、模型、模件和所有其它资料，被视为保密资料，仅被用于它所规定的用途。除非得到采购人的同意，不能向任何第三方透露。竞争性磋商结束后，应采购人要求，供应商应归还所有从采购人处获得的保密资料。</w:t>
      </w:r>
    </w:p>
    <w:p w14:paraId="67907078">
      <w:pPr>
        <w:pStyle w:val="58"/>
        <w:adjustRightInd w:val="0"/>
        <w:snapToGrid w:val="0"/>
        <w:spacing w:line="360" w:lineRule="auto"/>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6.3 采购代理机构有权将供应商提供的所有资料向有关政府部门或竞争性磋商的有关人员披露。</w:t>
      </w:r>
    </w:p>
    <w:p w14:paraId="232A1AD6">
      <w:pPr>
        <w:pStyle w:val="25"/>
        <w:adjustRightInd w:val="0"/>
        <w:snapToGrid w:val="0"/>
        <w:ind w:firstLine="480"/>
        <w:rPr>
          <w:rFonts w:hint="eastAsia" w:cs="宋体"/>
          <w:szCs w:val="24"/>
        </w:rPr>
      </w:pPr>
      <w:r>
        <w:rPr>
          <w:rFonts w:hint="eastAsia" w:cs="宋体"/>
          <w:szCs w:val="24"/>
        </w:rPr>
        <w:t xml:space="preserve">6.4 各级人民政府财政部门对政府采购活动进行监督检查，有权查阅、复制有关文件、资料，相关单位和人员应当予以配合。 </w:t>
      </w:r>
    </w:p>
    <w:p w14:paraId="47EBAEFC">
      <w:pPr>
        <w:pStyle w:val="9"/>
        <w:keepNext w:val="0"/>
        <w:keepLines w:val="0"/>
        <w:adjustRightInd w:val="0"/>
        <w:snapToGrid w:val="0"/>
        <w:spacing w:before="0" w:after="0" w:line="360" w:lineRule="auto"/>
        <w:ind w:left="420" w:hanging="420"/>
        <w:rPr>
          <w:rFonts w:hint="eastAsia" w:ascii="宋体" w:hAnsi="宋体" w:cs="宋体"/>
          <w:sz w:val="24"/>
          <w:szCs w:val="24"/>
        </w:rPr>
      </w:pPr>
      <w:bookmarkStart w:id="151" w:name="_Toc161600294"/>
      <w:bookmarkStart w:id="152" w:name="_Toc140132762"/>
      <w:r>
        <w:rPr>
          <w:rFonts w:hint="eastAsia" w:ascii="宋体" w:hAnsi="宋体" w:cs="宋体"/>
          <w:sz w:val="24"/>
          <w:szCs w:val="24"/>
        </w:rPr>
        <w:t>7.语言文字</w:t>
      </w:r>
      <w:bookmarkEnd w:id="151"/>
      <w:bookmarkEnd w:id="152"/>
    </w:p>
    <w:p w14:paraId="3121AAFC">
      <w:pPr>
        <w:pStyle w:val="25"/>
        <w:adjustRightInd w:val="0"/>
        <w:snapToGrid w:val="0"/>
        <w:ind w:firstLine="480"/>
        <w:rPr>
          <w:rFonts w:hint="eastAsia" w:cs="宋体"/>
          <w:szCs w:val="24"/>
        </w:rPr>
      </w:pPr>
      <w:r>
        <w:rPr>
          <w:rFonts w:hint="eastAsia" w:cs="宋体"/>
          <w:szCs w:val="24"/>
        </w:rPr>
        <w:t>7.1竞争性磋商文件及响应文件使用的语言文字为中文。专用术语使用外文的，应附有中文注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14:paraId="5670762F">
      <w:pPr>
        <w:pStyle w:val="9"/>
        <w:keepNext w:val="0"/>
        <w:keepLines w:val="0"/>
        <w:adjustRightInd w:val="0"/>
        <w:snapToGrid w:val="0"/>
        <w:spacing w:before="0" w:after="0" w:line="360" w:lineRule="auto"/>
        <w:ind w:left="420" w:hanging="420"/>
        <w:rPr>
          <w:rFonts w:hint="eastAsia" w:ascii="宋体" w:hAnsi="宋体" w:cs="宋体"/>
          <w:sz w:val="24"/>
          <w:szCs w:val="24"/>
        </w:rPr>
      </w:pPr>
      <w:bookmarkStart w:id="153" w:name="_Toc161600295"/>
      <w:bookmarkStart w:id="154" w:name="_Toc140132763"/>
      <w:r>
        <w:rPr>
          <w:rFonts w:hint="eastAsia" w:ascii="宋体" w:hAnsi="宋体" w:cs="宋体"/>
          <w:sz w:val="24"/>
          <w:szCs w:val="24"/>
        </w:rPr>
        <w:t>8.计量单位</w:t>
      </w:r>
      <w:bookmarkEnd w:id="153"/>
      <w:bookmarkEnd w:id="154"/>
    </w:p>
    <w:p w14:paraId="0DC441D4">
      <w:pPr>
        <w:pStyle w:val="25"/>
        <w:adjustRightInd w:val="0"/>
        <w:snapToGrid w:val="0"/>
        <w:ind w:firstLine="480"/>
        <w:rPr>
          <w:rFonts w:hint="eastAsia" w:cs="宋体"/>
          <w:szCs w:val="24"/>
        </w:rPr>
      </w:pPr>
      <w:r>
        <w:rPr>
          <w:rFonts w:hint="eastAsia" w:cs="宋体"/>
          <w:szCs w:val="24"/>
        </w:rPr>
        <w:t>8.1所有计量均采用中华人民共和国法定计量单位。</w:t>
      </w:r>
    </w:p>
    <w:p w14:paraId="37E10A03">
      <w:pPr>
        <w:pStyle w:val="9"/>
        <w:keepNext w:val="0"/>
        <w:keepLines w:val="0"/>
        <w:adjustRightInd w:val="0"/>
        <w:snapToGrid w:val="0"/>
        <w:spacing w:before="0" w:after="0" w:line="360" w:lineRule="auto"/>
        <w:ind w:left="420" w:hanging="420"/>
        <w:rPr>
          <w:rFonts w:hint="eastAsia" w:ascii="宋体" w:hAnsi="宋体" w:cs="宋体"/>
          <w:sz w:val="24"/>
          <w:szCs w:val="24"/>
        </w:rPr>
      </w:pPr>
      <w:bookmarkStart w:id="155" w:name="_Toc161600296"/>
      <w:bookmarkStart w:id="156" w:name="_Toc140132764"/>
      <w:r>
        <w:rPr>
          <w:rFonts w:hint="eastAsia" w:ascii="宋体" w:hAnsi="宋体" w:cs="宋体"/>
          <w:sz w:val="24"/>
          <w:szCs w:val="24"/>
        </w:rPr>
        <w:t>9.现场考察和答疑会</w:t>
      </w:r>
      <w:bookmarkEnd w:id="155"/>
      <w:bookmarkEnd w:id="156"/>
    </w:p>
    <w:p w14:paraId="70E7733A">
      <w:pPr>
        <w:pStyle w:val="25"/>
        <w:adjustRightInd w:val="0"/>
        <w:snapToGrid w:val="0"/>
        <w:ind w:firstLine="480"/>
        <w:rPr>
          <w:rFonts w:hint="eastAsia" w:cs="宋体"/>
          <w:szCs w:val="24"/>
        </w:rPr>
      </w:pPr>
      <w:bookmarkStart w:id="157" w:name="_Hlk143529198"/>
      <w:r>
        <w:rPr>
          <w:rFonts w:hint="eastAsia" w:cs="宋体"/>
          <w:szCs w:val="24"/>
        </w:rPr>
        <w:t xml:space="preserve">9.1 “供应商须知前附表”规定组织现场考察的，采购代理机构按“供应商须知前附表”规定的时间、地点组织供应商项目现场考察。 </w:t>
      </w:r>
    </w:p>
    <w:p w14:paraId="473C15DA">
      <w:pPr>
        <w:pStyle w:val="25"/>
        <w:adjustRightInd w:val="0"/>
        <w:snapToGrid w:val="0"/>
        <w:ind w:firstLine="480"/>
        <w:rPr>
          <w:rFonts w:hint="eastAsia" w:cs="宋体"/>
          <w:szCs w:val="24"/>
        </w:rPr>
      </w:pPr>
      <w:r>
        <w:rPr>
          <w:rFonts w:hint="eastAsia" w:cs="宋体"/>
          <w:szCs w:val="24"/>
        </w:rPr>
        <w:t>9.2 供应商现场考察发生的费用自理。</w:t>
      </w:r>
    </w:p>
    <w:p w14:paraId="417B1E0B">
      <w:pPr>
        <w:pStyle w:val="25"/>
        <w:adjustRightInd w:val="0"/>
        <w:snapToGrid w:val="0"/>
        <w:ind w:firstLine="480"/>
        <w:rPr>
          <w:rFonts w:hint="eastAsia" w:cs="宋体"/>
          <w:szCs w:val="24"/>
        </w:rPr>
      </w:pPr>
      <w:r>
        <w:rPr>
          <w:rFonts w:hint="eastAsia" w:cs="宋体"/>
          <w:szCs w:val="24"/>
        </w:rPr>
        <w:t>9.3 在现场考察中，因供应商自身原因发生的人员伤亡和财产损失，由供应商自行负责。</w:t>
      </w:r>
    </w:p>
    <w:p w14:paraId="2BF7B5CD">
      <w:pPr>
        <w:pStyle w:val="25"/>
        <w:adjustRightInd w:val="0"/>
        <w:snapToGrid w:val="0"/>
        <w:ind w:firstLine="480"/>
        <w:rPr>
          <w:rFonts w:hint="eastAsia" w:cs="宋体"/>
          <w:szCs w:val="24"/>
        </w:rPr>
      </w:pPr>
      <w:r>
        <w:rPr>
          <w:rFonts w:hint="eastAsia" w:cs="宋体"/>
          <w:szCs w:val="24"/>
        </w:rPr>
        <w:t>9.4 采购人在现场考察中介绍的项目场地和相关的周边环境情况，仅供供应商在编制响应文件时参考，采购人和采购代理机构不对供应商据此作出的判断和决策负责。</w:t>
      </w:r>
    </w:p>
    <w:p w14:paraId="521951E4">
      <w:pPr>
        <w:pStyle w:val="25"/>
        <w:adjustRightInd w:val="0"/>
        <w:snapToGrid w:val="0"/>
        <w:ind w:firstLine="480"/>
        <w:rPr>
          <w:rFonts w:hint="eastAsia" w:cs="宋体"/>
          <w:szCs w:val="24"/>
        </w:rPr>
      </w:pPr>
      <w:r>
        <w:rPr>
          <w:rFonts w:hint="eastAsia" w:cs="宋体"/>
          <w:szCs w:val="24"/>
        </w:rPr>
        <w:t>9.5 “供应商须知前附表”规定召开答疑会的，采购代理机构按“供应商须知前附表”规定的时间和地点召开答疑会，澄清供应商提出的问题。</w:t>
      </w:r>
    </w:p>
    <w:p w14:paraId="7BC8ED9F">
      <w:pPr>
        <w:pStyle w:val="25"/>
        <w:adjustRightInd w:val="0"/>
        <w:snapToGrid w:val="0"/>
        <w:ind w:firstLine="480"/>
        <w:rPr>
          <w:rFonts w:hint="eastAsia" w:cs="宋体"/>
          <w:szCs w:val="24"/>
        </w:rPr>
      </w:pPr>
      <w:r>
        <w:rPr>
          <w:rFonts w:hint="eastAsia" w:cs="宋体"/>
          <w:szCs w:val="24"/>
        </w:rPr>
        <w:t>9.6 由于未参加现场考察或未参加答疑会而导致对项目实际情况不了解，影响响应文件编制、磋商报价准确性、综合因素响应不全面等问题的，由供应商自行承担不利评审后果。</w:t>
      </w:r>
    </w:p>
    <w:bookmarkEnd w:id="157"/>
    <w:p w14:paraId="020D8BF4">
      <w:pPr>
        <w:pStyle w:val="9"/>
        <w:keepNext w:val="0"/>
        <w:keepLines w:val="0"/>
        <w:adjustRightInd w:val="0"/>
        <w:snapToGrid w:val="0"/>
        <w:spacing w:before="0" w:after="0" w:line="360" w:lineRule="auto"/>
        <w:ind w:left="420" w:hanging="420"/>
        <w:rPr>
          <w:rFonts w:hint="eastAsia" w:ascii="宋体" w:hAnsi="宋体" w:cs="宋体"/>
          <w:sz w:val="24"/>
          <w:szCs w:val="24"/>
        </w:rPr>
      </w:pPr>
      <w:bookmarkStart w:id="158" w:name="_Toc155185858"/>
      <w:bookmarkStart w:id="159" w:name="_Toc161600298"/>
      <w:r>
        <w:rPr>
          <w:rFonts w:hint="eastAsia" w:ascii="宋体" w:hAnsi="宋体" w:cs="宋体"/>
          <w:sz w:val="24"/>
          <w:szCs w:val="24"/>
        </w:rPr>
        <w:t>10.电子标说明</w:t>
      </w:r>
      <w:bookmarkEnd w:id="158"/>
      <w:bookmarkEnd w:id="159"/>
    </w:p>
    <w:p w14:paraId="410950EB">
      <w:pPr>
        <w:pStyle w:val="25"/>
        <w:adjustRightInd w:val="0"/>
        <w:snapToGrid w:val="0"/>
        <w:ind w:firstLine="480"/>
        <w:rPr>
          <w:rFonts w:hint="eastAsia" w:cs="宋体"/>
          <w:szCs w:val="24"/>
        </w:rPr>
      </w:pPr>
      <w:r>
        <w:rPr>
          <w:rFonts w:hint="eastAsia" w:cs="宋体"/>
          <w:szCs w:val="24"/>
        </w:rPr>
        <w:t>10.1 本次采购采用电子交易方式，电子交易平台为新疆政府采购电子交易云平台（网址：https://www.zcygov.cn/）。供应商参与本项目电子交易活动前，应在政采云平台上注册供应商账号。编制电子响应文件前还需申领CA证书并绑定帐号。供应商应充分考虑完成平台注册、申领CA证书等所需的时间。潜在供应商领取文件须提前完成注册、CA证书和电子签章申领和绑定、下载投标客户端。因未办理CA数字证书、CA证书故障、操作不当等原因造成无法磋商或磋商失败等后果由供应商自行承担。供应商登录新疆政府采购网“供应商注册”—“新疆政府采购供应商入驻登记”—“立即登记”进行自助注册绑定。</w:t>
      </w:r>
    </w:p>
    <w:p w14:paraId="15920268">
      <w:pPr>
        <w:pStyle w:val="25"/>
        <w:adjustRightInd w:val="0"/>
        <w:snapToGrid w:val="0"/>
        <w:ind w:firstLine="480"/>
        <w:rPr>
          <w:rFonts w:hint="eastAsia" w:cs="宋体"/>
          <w:szCs w:val="24"/>
        </w:rPr>
      </w:pPr>
      <w:r>
        <w:rPr>
          <w:rFonts w:hint="eastAsia" w:cs="宋体"/>
          <w:szCs w:val="24"/>
        </w:rPr>
        <w:t>10.2 供应商将新疆政府采购电子交易云平台电子交易客户端下载、安装完成后，可通过账号密码或CA登录客户端进行响应文件制作。在使用政采云投标客户端时，建议使用WIN7及以上操作系统。供应商登录新疆政府采购网“下载专区”—“电子招投标客户端下载”下载相关客户端，如有问题可拨打政采云客户服务热线95763进行咨询。</w:t>
      </w:r>
    </w:p>
    <w:p w14:paraId="1BDAF1A8">
      <w:pPr>
        <w:pStyle w:val="25"/>
        <w:adjustRightInd w:val="0"/>
        <w:snapToGrid w:val="0"/>
        <w:ind w:firstLine="480"/>
        <w:rPr>
          <w:rFonts w:hint="eastAsia" w:cs="宋体"/>
          <w:szCs w:val="24"/>
        </w:rPr>
      </w:pPr>
      <w:r>
        <w:rPr>
          <w:rFonts w:hint="eastAsia" w:cs="宋体"/>
          <w:szCs w:val="24"/>
        </w:rPr>
        <w:t>10.3 加密的电子响应文件应在响应文件递交截止时间前通过政采云平台上传完成。逾期上传或者未上传指定地点的响应文件，不予受理。</w:t>
      </w:r>
    </w:p>
    <w:p w14:paraId="69FF5CC2">
      <w:pPr>
        <w:pStyle w:val="25"/>
        <w:adjustRightInd w:val="0"/>
        <w:snapToGrid w:val="0"/>
        <w:ind w:firstLine="480"/>
        <w:rPr>
          <w:rFonts w:hint="eastAsia" w:cs="宋体"/>
          <w:szCs w:val="24"/>
        </w:rPr>
      </w:pPr>
      <w:r>
        <w:rPr>
          <w:rFonts w:hint="eastAsia" w:cs="宋体"/>
          <w:szCs w:val="24"/>
        </w:rPr>
        <w:t>10.4 供应商在磋商前须提前配置好电脑及浏览器，磋商时请使用制作加密电子响应文件的CA锁进行解密及报价确认。本项目响应文件解密时间详“供应商须知前附表”，如因自身原因导致无法正常解密，后果由供应商自行承担。</w:t>
      </w:r>
    </w:p>
    <w:p w14:paraId="5C559BCB">
      <w:pPr>
        <w:pStyle w:val="25"/>
        <w:adjustRightInd w:val="0"/>
        <w:snapToGrid w:val="0"/>
        <w:ind w:firstLine="480"/>
        <w:rPr>
          <w:rFonts w:hint="eastAsia" w:cs="宋体"/>
          <w:szCs w:val="24"/>
        </w:rPr>
      </w:pPr>
      <w:r>
        <w:rPr>
          <w:rFonts w:hint="eastAsia" w:cs="宋体"/>
          <w:szCs w:val="24"/>
        </w:rPr>
        <w:t>10.5 如遇“新疆政府采购电子交易云平台（网址：https://www.zcygov.cn/）”电子交易规则调整，以最新要求为准。</w:t>
      </w:r>
    </w:p>
    <w:p w14:paraId="552450FD">
      <w:pPr>
        <w:pStyle w:val="25"/>
        <w:adjustRightInd w:val="0"/>
        <w:snapToGrid w:val="0"/>
        <w:ind w:firstLine="480"/>
        <w:rPr>
          <w:rFonts w:hint="eastAsia" w:cs="宋体"/>
          <w:szCs w:val="24"/>
        </w:rPr>
      </w:pPr>
      <w:r>
        <w:rPr>
          <w:rFonts w:hint="eastAsia" w:cs="宋体"/>
          <w:szCs w:val="24"/>
        </w:rPr>
        <w:t>10.6 电子交易系统咨询：供应商应当充分考虑到电子响应可能会发生的各种问题和风险，特别是响应文件签署、提交等问题，可按照“第一章 竞争性磋商公告”的联系方式咨询相关人员。</w:t>
      </w:r>
    </w:p>
    <w:p w14:paraId="2B30589C">
      <w:pPr>
        <w:pStyle w:val="25"/>
        <w:adjustRightInd w:val="0"/>
        <w:snapToGrid w:val="0"/>
        <w:ind w:firstLine="480"/>
        <w:rPr>
          <w:rFonts w:hint="eastAsia" w:cs="宋体"/>
          <w:szCs w:val="24"/>
        </w:rPr>
      </w:pPr>
      <w:r>
        <w:rPr>
          <w:rFonts w:hint="eastAsia" w:cs="宋体"/>
          <w:szCs w:val="24"/>
        </w:rPr>
        <w:t>10.7 由于本项目采用电子磋商方式，潜在供应商的名单将在递交响应文件截止时间后才会解密。因此，采购人或采购代理机构无法通过传统的传真或邮件方式，将竞争性磋商文件的澄清或修改内容逐一通知到每位已获取竞争性磋商文件的潜在供应商。为确保信息的及时性和准确性，澄清或修改的内容将仅在政采云平台以更正公告的形式发布。潜在供应商需密切关注该网站，及时查看并下载相关更正公告。若因潜在供应商未能及时查看或下载相关更正公告，而导致的一切后果，将由潜在供应商自行承担。</w:t>
      </w:r>
    </w:p>
    <w:p w14:paraId="17FBA29F">
      <w:pPr>
        <w:pStyle w:val="8"/>
        <w:keepNext w:val="0"/>
        <w:keepLines w:val="0"/>
        <w:adjustRightInd w:val="0"/>
        <w:snapToGrid w:val="0"/>
        <w:spacing w:before="0" w:after="0" w:line="360" w:lineRule="auto"/>
        <w:ind w:left="420" w:hanging="420"/>
        <w:rPr>
          <w:rFonts w:hint="eastAsia" w:cs="宋体"/>
          <w:sz w:val="24"/>
          <w:szCs w:val="24"/>
        </w:rPr>
      </w:pPr>
      <w:bookmarkStart w:id="160" w:name="_Toc16994"/>
      <w:bookmarkStart w:id="161" w:name="_Toc109899956"/>
      <w:bookmarkStart w:id="162" w:name="_Toc470172668"/>
      <w:bookmarkStart w:id="163" w:name="_Toc109900375"/>
      <w:bookmarkStart w:id="164" w:name="_Toc163493612"/>
      <w:bookmarkStart w:id="165" w:name="_Toc109897438"/>
      <w:bookmarkStart w:id="166" w:name="_Toc46771643"/>
      <w:bookmarkStart w:id="167" w:name="_Toc28430"/>
      <w:bookmarkStart w:id="168" w:name="_Toc3903"/>
      <w:bookmarkStart w:id="169" w:name="_Toc109899537"/>
      <w:r>
        <w:rPr>
          <w:rFonts w:hint="eastAsia" w:cs="宋体"/>
          <w:sz w:val="24"/>
          <w:szCs w:val="24"/>
        </w:rPr>
        <w:t>（二）磋商文件</w:t>
      </w:r>
      <w:bookmarkEnd w:id="160"/>
      <w:bookmarkEnd w:id="161"/>
      <w:bookmarkEnd w:id="162"/>
      <w:bookmarkEnd w:id="163"/>
      <w:bookmarkEnd w:id="164"/>
      <w:bookmarkEnd w:id="165"/>
      <w:bookmarkEnd w:id="166"/>
      <w:bookmarkEnd w:id="167"/>
      <w:bookmarkEnd w:id="168"/>
      <w:bookmarkEnd w:id="169"/>
    </w:p>
    <w:p w14:paraId="02C74752">
      <w:pPr>
        <w:pStyle w:val="9"/>
        <w:keepNext w:val="0"/>
        <w:keepLines w:val="0"/>
        <w:adjustRightInd w:val="0"/>
        <w:snapToGrid w:val="0"/>
        <w:spacing w:before="0" w:after="0" w:line="360" w:lineRule="auto"/>
        <w:ind w:left="420" w:hanging="420"/>
        <w:rPr>
          <w:rFonts w:hint="eastAsia" w:ascii="宋体" w:hAnsi="宋体" w:cs="宋体"/>
          <w:sz w:val="24"/>
          <w:szCs w:val="24"/>
        </w:rPr>
      </w:pPr>
      <w:bookmarkStart w:id="170" w:name="_Toc109899957"/>
      <w:bookmarkStart w:id="171" w:name="_Toc4547"/>
      <w:bookmarkStart w:id="172" w:name="_Toc46771644"/>
      <w:bookmarkStart w:id="173" w:name="_Toc109900376"/>
      <w:bookmarkStart w:id="174" w:name="_Toc109899538"/>
      <w:bookmarkStart w:id="175" w:name="_Toc51674215"/>
      <w:bookmarkStart w:id="176" w:name="_Toc109897439"/>
      <w:bookmarkStart w:id="177" w:name="_Toc52960557"/>
      <w:bookmarkStart w:id="178" w:name="_Toc470172669"/>
      <w:bookmarkStart w:id="179" w:name="_Toc48846113"/>
      <w:bookmarkStart w:id="180" w:name="_Toc46772245"/>
      <w:bookmarkStart w:id="181" w:name="_Toc48688793"/>
      <w:bookmarkStart w:id="182" w:name="_Toc52962731"/>
      <w:r>
        <w:rPr>
          <w:rFonts w:hint="eastAsia" w:ascii="宋体" w:hAnsi="宋体" w:cs="宋体"/>
          <w:sz w:val="24"/>
          <w:szCs w:val="24"/>
        </w:rPr>
        <w:t>11.磋商文件的构成</w:t>
      </w:r>
      <w:bookmarkEnd w:id="170"/>
      <w:bookmarkEnd w:id="171"/>
      <w:bookmarkEnd w:id="172"/>
      <w:bookmarkEnd w:id="173"/>
      <w:bookmarkEnd w:id="174"/>
      <w:bookmarkEnd w:id="175"/>
      <w:bookmarkEnd w:id="176"/>
      <w:bookmarkEnd w:id="177"/>
      <w:bookmarkEnd w:id="178"/>
      <w:bookmarkEnd w:id="179"/>
      <w:bookmarkEnd w:id="180"/>
      <w:bookmarkEnd w:id="181"/>
      <w:bookmarkEnd w:id="182"/>
    </w:p>
    <w:p w14:paraId="54909DE4">
      <w:pPr>
        <w:adjustRightInd w:val="0"/>
        <w:snapToGrid w:val="0"/>
        <w:ind w:firstLine="480" w:firstLineChars="200"/>
        <w:rPr>
          <w:rFonts w:hint="eastAsia" w:cs="宋体"/>
          <w:szCs w:val="24"/>
        </w:rPr>
      </w:pPr>
      <w:bookmarkStart w:id="183" w:name="_Toc109899539"/>
      <w:bookmarkStart w:id="184" w:name="_Toc109897440"/>
      <w:bookmarkStart w:id="185" w:name="_Toc109900377"/>
      <w:bookmarkStart w:id="186" w:name="_Toc51674216"/>
      <w:bookmarkStart w:id="187" w:name="_Toc46771645"/>
      <w:bookmarkStart w:id="188" w:name="_Toc109899958"/>
      <w:bookmarkStart w:id="189" w:name="_Toc46772246"/>
      <w:bookmarkStart w:id="190" w:name="_Toc52960558"/>
      <w:bookmarkStart w:id="191" w:name="_Toc48846114"/>
      <w:bookmarkStart w:id="192" w:name="_Toc48688794"/>
      <w:bookmarkStart w:id="193" w:name="_Toc478415174"/>
      <w:bookmarkStart w:id="194" w:name="_Toc52962732"/>
      <w:r>
        <w:rPr>
          <w:rFonts w:hint="eastAsia" w:cs="宋体"/>
          <w:szCs w:val="24"/>
        </w:rPr>
        <w:t>第一章 竞争性磋商公告</w:t>
      </w:r>
    </w:p>
    <w:p w14:paraId="7147E8B4">
      <w:pPr>
        <w:adjustRightInd w:val="0"/>
        <w:snapToGrid w:val="0"/>
        <w:ind w:firstLine="480" w:firstLineChars="200"/>
        <w:rPr>
          <w:rFonts w:hint="eastAsia" w:cs="宋体"/>
          <w:szCs w:val="24"/>
        </w:rPr>
      </w:pPr>
      <w:r>
        <w:rPr>
          <w:rFonts w:hint="eastAsia" w:cs="宋体"/>
          <w:szCs w:val="24"/>
        </w:rPr>
        <w:t>第二章 供应商须知</w:t>
      </w:r>
    </w:p>
    <w:p w14:paraId="61D89D76">
      <w:pPr>
        <w:adjustRightInd w:val="0"/>
        <w:snapToGrid w:val="0"/>
        <w:ind w:firstLine="480" w:firstLineChars="200"/>
        <w:rPr>
          <w:rFonts w:hint="eastAsia" w:cs="宋体"/>
          <w:szCs w:val="24"/>
        </w:rPr>
      </w:pPr>
      <w:r>
        <w:rPr>
          <w:rFonts w:hint="eastAsia" w:cs="宋体"/>
          <w:szCs w:val="24"/>
        </w:rPr>
        <w:t>第三章 项目采购需求</w:t>
      </w:r>
    </w:p>
    <w:p w14:paraId="6D7BF4EF">
      <w:pPr>
        <w:adjustRightInd w:val="0"/>
        <w:snapToGrid w:val="0"/>
        <w:ind w:firstLine="480" w:firstLineChars="200"/>
        <w:rPr>
          <w:rFonts w:hint="eastAsia" w:cs="宋体"/>
          <w:szCs w:val="24"/>
        </w:rPr>
      </w:pPr>
      <w:r>
        <w:rPr>
          <w:rFonts w:hint="eastAsia" w:cs="宋体"/>
          <w:szCs w:val="24"/>
        </w:rPr>
        <w:t>第四章 评审方法及标准</w:t>
      </w:r>
    </w:p>
    <w:p w14:paraId="47AC85E7">
      <w:pPr>
        <w:adjustRightInd w:val="0"/>
        <w:snapToGrid w:val="0"/>
        <w:ind w:firstLine="480" w:firstLineChars="200"/>
        <w:rPr>
          <w:rFonts w:hint="eastAsia" w:cs="宋体"/>
          <w:szCs w:val="24"/>
        </w:rPr>
      </w:pPr>
      <w:r>
        <w:rPr>
          <w:rFonts w:hint="eastAsia" w:cs="宋体"/>
          <w:szCs w:val="24"/>
        </w:rPr>
        <w:t>第五章 合同草案</w:t>
      </w:r>
    </w:p>
    <w:p w14:paraId="5706B4C2">
      <w:pPr>
        <w:adjustRightInd w:val="0"/>
        <w:snapToGrid w:val="0"/>
        <w:ind w:firstLine="480" w:firstLineChars="200"/>
        <w:rPr>
          <w:rFonts w:hint="eastAsia" w:cs="宋体"/>
          <w:szCs w:val="24"/>
        </w:rPr>
      </w:pPr>
      <w:r>
        <w:rPr>
          <w:rFonts w:hint="eastAsia" w:cs="宋体"/>
          <w:szCs w:val="24"/>
        </w:rPr>
        <w:t>第六章 响应文件的格式</w:t>
      </w:r>
    </w:p>
    <w:p w14:paraId="2FA3C6F3">
      <w:pPr>
        <w:pStyle w:val="9"/>
        <w:keepNext w:val="0"/>
        <w:keepLines w:val="0"/>
        <w:adjustRightInd w:val="0"/>
        <w:snapToGrid w:val="0"/>
        <w:spacing w:before="0" w:after="0" w:line="360" w:lineRule="auto"/>
        <w:ind w:left="420" w:hanging="420"/>
        <w:rPr>
          <w:rFonts w:hint="eastAsia" w:ascii="宋体" w:hAnsi="宋体" w:cs="宋体"/>
          <w:sz w:val="24"/>
          <w:szCs w:val="24"/>
        </w:rPr>
      </w:pPr>
      <w:r>
        <w:rPr>
          <w:rFonts w:hint="eastAsia" w:ascii="宋体" w:hAnsi="宋体" w:cs="宋体"/>
          <w:sz w:val="24"/>
          <w:szCs w:val="24"/>
        </w:rPr>
        <w:t>12.磋商文件的澄清或修改</w:t>
      </w:r>
      <w:bookmarkEnd w:id="183"/>
      <w:bookmarkEnd w:id="184"/>
      <w:bookmarkEnd w:id="185"/>
      <w:bookmarkEnd w:id="186"/>
      <w:bookmarkEnd w:id="187"/>
      <w:bookmarkEnd w:id="188"/>
      <w:bookmarkEnd w:id="189"/>
      <w:bookmarkEnd w:id="190"/>
      <w:bookmarkEnd w:id="191"/>
      <w:bookmarkEnd w:id="192"/>
      <w:bookmarkEnd w:id="193"/>
      <w:bookmarkEnd w:id="194"/>
    </w:p>
    <w:p w14:paraId="6CD54735">
      <w:pPr>
        <w:adjustRightInd w:val="0"/>
        <w:snapToGrid w:val="0"/>
        <w:ind w:firstLine="480" w:firstLineChars="200"/>
        <w:rPr>
          <w:rFonts w:hint="eastAsia" w:cs="宋体"/>
          <w:szCs w:val="24"/>
        </w:rPr>
      </w:pPr>
      <w:r>
        <w:rPr>
          <w:rFonts w:hint="eastAsia" w:cs="宋体"/>
          <w:szCs w:val="24"/>
        </w:rPr>
        <w:t>12.1 供应商对采购项目有疑问的，可以按照“供应商须知前附表”中的规定提出询问。提出后，请供应商及时通过交易平台“答疑文件下载”栏目查看答疑文件或澄清文件。必要时，采购代理机构将组织相关专家召开答疑会，如召开，答疑会安排另行通知。采购人或采购代理机构将在收到询问后依法予以答复。对竞争性磋商文件询问的答复，在必要时将以澄清形式推送给每个获取竞争性磋商文件的潜在供应商(答复中不包括问题的来源)。</w:t>
      </w:r>
    </w:p>
    <w:p w14:paraId="16247DAC">
      <w:pPr>
        <w:adjustRightInd w:val="0"/>
        <w:snapToGrid w:val="0"/>
        <w:ind w:firstLine="480" w:firstLineChars="200"/>
        <w:rPr>
          <w:rFonts w:hint="eastAsia" w:cs="宋体"/>
          <w:szCs w:val="24"/>
        </w:rPr>
      </w:pPr>
      <w:r>
        <w:rPr>
          <w:rFonts w:hint="eastAsia" w:cs="宋体"/>
          <w:szCs w:val="24"/>
        </w:rPr>
        <w:t>供应商在规定的时间内未对竞争性磋商文件提出疑问或要求澄清的，采购代理机构将视其为同意，对在“供应商须知前附表”中“提出询问的时间要求”之后就竞争性磋商文件内容提出的疑问及澄清要求将不予受理。</w:t>
      </w:r>
    </w:p>
    <w:p w14:paraId="13C40F6A">
      <w:pPr>
        <w:adjustRightInd w:val="0"/>
        <w:snapToGrid w:val="0"/>
        <w:ind w:firstLine="480" w:firstLineChars="200"/>
        <w:rPr>
          <w:rFonts w:hint="eastAsia" w:cs="宋体"/>
          <w:szCs w:val="24"/>
        </w:rPr>
      </w:pPr>
      <w:r>
        <w:rPr>
          <w:rFonts w:hint="eastAsia" w:cs="宋体"/>
          <w:szCs w:val="24"/>
        </w:rPr>
        <w:t>12.2 采购人或者采购代理机构可以对已发出的竞争性磋商文件进行必要的澄清或者修改。澄清或修改的内容为竞争性磋商文件的组成部分，并对所有获取竞争性磋商文件的潜在供应商具有约束力。</w:t>
      </w:r>
    </w:p>
    <w:p w14:paraId="254B1BD2">
      <w:pPr>
        <w:adjustRightInd w:val="0"/>
        <w:snapToGrid w:val="0"/>
        <w:ind w:firstLine="480" w:firstLineChars="200"/>
        <w:rPr>
          <w:rFonts w:hint="eastAsia" w:cs="宋体"/>
          <w:szCs w:val="24"/>
        </w:rPr>
      </w:pPr>
      <w:r>
        <w:rPr>
          <w:rFonts w:hint="eastAsia" w:cs="宋体"/>
          <w:szCs w:val="24"/>
        </w:rPr>
        <w:t>12.3 竞争性磋商文件的澄清或者修</w:t>
      </w:r>
      <w:r>
        <w:rPr>
          <w:rFonts w:hint="eastAsia" w:cs="宋体"/>
          <w:snapToGrid w:val="0"/>
          <w:szCs w:val="24"/>
          <w:lang w:val="zh-CN"/>
        </w:rPr>
        <w:t>改以当面交接、邮寄、传真或电子邮件、网站披露等其中至少一种方式，发给所有领取竞争性磋商文件的供应商，但不包括问题的来源。对磋商文件澄清或者修改的内容可能影响响应文件编制的，采购人、采购代理机构或者磋商小组应当在提交首次响应文件截止之日5日前，以书面形式通知所有接收</w:t>
      </w:r>
      <w:r>
        <w:rPr>
          <w:rFonts w:hint="eastAsia" w:cs="宋体"/>
          <w:szCs w:val="24"/>
        </w:rPr>
        <w:t>竞争性</w:t>
      </w:r>
      <w:r>
        <w:rPr>
          <w:rFonts w:hint="eastAsia" w:cs="宋体"/>
          <w:snapToGrid w:val="0"/>
          <w:szCs w:val="24"/>
          <w:lang w:val="zh-CN"/>
        </w:rPr>
        <w:t>磋商文件的供应商，不足5日的，应当顺延提交首次响应文件</w:t>
      </w:r>
      <w:r>
        <w:rPr>
          <w:rFonts w:hint="eastAsia" w:cs="宋体"/>
          <w:snapToGrid w:val="0"/>
          <w:szCs w:val="24"/>
        </w:rPr>
        <w:t>的</w:t>
      </w:r>
      <w:r>
        <w:rPr>
          <w:rFonts w:hint="eastAsia" w:cs="宋体"/>
          <w:snapToGrid w:val="0"/>
          <w:szCs w:val="24"/>
          <w:lang w:val="zh-CN"/>
        </w:rPr>
        <w:t>截止时间</w:t>
      </w:r>
      <w:r>
        <w:rPr>
          <w:rFonts w:hint="eastAsia" w:cs="宋体"/>
          <w:szCs w:val="24"/>
        </w:rPr>
        <w:t>。</w:t>
      </w:r>
    </w:p>
    <w:p w14:paraId="58FA56D7">
      <w:pPr>
        <w:pStyle w:val="25"/>
        <w:adjustRightInd w:val="0"/>
        <w:snapToGrid w:val="0"/>
        <w:ind w:firstLine="480"/>
        <w:rPr>
          <w:rFonts w:hint="eastAsia" w:cs="宋体"/>
          <w:szCs w:val="24"/>
        </w:rPr>
      </w:pPr>
      <w:r>
        <w:rPr>
          <w:rFonts w:hint="eastAsia" w:cs="宋体"/>
          <w:szCs w:val="24"/>
        </w:rPr>
        <w:t>12.4 “供应商须知”所称“书面形式”包括系统消息、政府采购云平台发布的公告。</w:t>
      </w:r>
    </w:p>
    <w:p w14:paraId="7222E92B">
      <w:pPr>
        <w:pStyle w:val="58"/>
        <w:adjustRightInd w:val="0"/>
        <w:snapToGrid w:val="0"/>
        <w:spacing w:line="360" w:lineRule="auto"/>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12.5采购代理机构一旦对竞争性</w:t>
      </w:r>
      <w:r>
        <w:rPr>
          <w:rFonts w:hint="eastAsia" w:ascii="宋体" w:hAnsi="宋体" w:eastAsia="宋体" w:cs="宋体"/>
          <w:kern w:val="2"/>
          <w:sz w:val="24"/>
          <w:szCs w:val="24"/>
          <w:lang w:val="zh-CN"/>
        </w:rPr>
        <w:t>磋商</w:t>
      </w:r>
      <w:r>
        <w:rPr>
          <w:rFonts w:hint="eastAsia" w:ascii="宋体" w:hAnsi="宋体" w:eastAsia="宋体" w:cs="宋体"/>
          <w:kern w:val="2"/>
          <w:sz w:val="24"/>
          <w:szCs w:val="24"/>
        </w:rPr>
        <w:t>文件作出了澄清、修改，即刻发生效力，采购代理机构有关的澄清、修改文件，将作为竞争性</w:t>
      </w:r>
      <w:r>
        <w:rPr>
          <w:rFonts w:hint="eastAsia" w:ascii="宋体" w:hAnsi="宋体" w:eastAsia="宋体" w:cs="宋体"/>
          <w:kern w:val="2"/>
          <w:sz w:val="24"/>
          <w:szCs w:val="24"/>
          <w:lang w:val="zh-CN"/>
        </w:rPr>
        <w:t>磋商</w:t>
      </w:r>
      <w:r>
        <w:rPr>
          <w:rFonts w:hint="eastAsia" w:ascii="宋体" w:hAnsi="宋体" w:eastAsia="宋体" w:cs="宋体"/>
          <w:kern w:val="2"/>
          <w:sz w:val="24"/>
          <w:szCs w:val="24"/>
        </w:rPr>
        <w:t>文件的组成部分，对所有现实的或潜在的供应商均具有约束力，而无论是否已经实际收到上述文件。同时，采购代理机构和供应商的权利及义务将受到新的截止期的约束。</w:t>
      </w:r>
    </w:p>
    <w:p w14:paraId="6E542BA8">
      <w:pPr>
        <w:adjustRightInd w:val="0"/>
        <w:snapToGrid w:val="0"/>
        <w:ind w:firstLine="480" w:firstLineChars="200"/>
        <w:rPr>
          <w:rFonts w:hint="eastAsia" w:cs="宋体"/>
          <w:szCs w:val="24"/>
        </w:rPr>
      </w:pPr>
      <w:r>
        <w:rPr>
          <w:rFonts w:hint="eastAsia" w:cs="宋体"/>
          <w:szCs w:val="24"/>
        </w:rPr>
        <w:t>12.6采购代理机构对竞争性</w:t>
      </w:r>
      <w:r>
        <w:rPr>
          <w:rFonts w:hint="eastAsia" w:cs="宋体"/>
          <w:szCs w:val="24"/>
          <w:lang w:val="zh-CN"/>
        </w:rPr>
        <w:t>磋商</w:t>
      </w:r>
      <w:r>
        <w:rPr>
          <w:rFonts w:hint="eastAsia" w:cs="宋体"/>
          <w:szCs w:val="24"/>
        </w:rPr>
        <w:t>文件作出的澄清、修改在平台内进行披露，请供应商及时关注并获取相关资料。因登记有误、线路故障或其它任何意外情形，导致供应商未及时获取的，采购代理机构不因此承担任何责任，且有关的磋商活动继续有效地进行。当竞争性</w:t>
      </w:r>
      <w:r>
        <w:rPr>
          <w:rFonts w:hint="eastAsia" w:cs="宋体"/>
          <w:szCs w:val="24"/>
          <w:lang w:val="zh-CN"/>
        </w:rPr>
        <w:t>磋商</w:t>
      </w:r>
      <w:r>
        <w:rPr>
          <w:rFonts w:hint="eastAsia" w:cs="宋体"/>
          <w:szCs w:val="24"/>
        </w:rPr>
        <w:t>文件的澄清、修改及进行其他答复等就同一内容的表述不一致时，以最后发布的内容为准。</w:t>
      </w:r>
    </w:p>
    <w:p w14:paraId="7D17D0F6">
      <w:pPr>
        <w:pStyle w:val="8"/>
        <w:keepNext w:val="0"/>
        <w:keepLines w:val="0"/>
        <w:adjustRightInd w:val="0"/>
        <w:snapToGrid w:val="0"/>
        <w:spacing w:before="0" w:after="0" w:line="360" w:lineRule="auto"/>
        <w:ind w:left="420" w:hanging="420"/>
        <w:rPr>
          <w:rFonts w:hint="eastAsia" w:cs="宋体"/>
          <w:sz w:val="24"/>
          <w:szCs w:val="24"/>
        </w:rPr>
      </w:pPr>
      <w:bookmarkStart w:id="195" w:name="_Toc21763"/>
      <w:bookmarkStart w:id="196" w:name="_Toc109900379"/>
      <w:bookmarkStart w:id="197" w:name="_Toc470172672"/>
      <w:bookmarkStart w:id="198" w:name="_Toc109897442"/>
      <w:bookmarkStart w:id="199" w:name="_Toc109899541"/>
      <w:bookmarkStart w:id="200" w:name="_Toc46771647"/>
      <w:bookmarkStart w:id="201" w:name="_Toc13211"/>
      <w:bookmarkStart w:id="202" w:name="_Toc163493613"/>
      <w:bookmarkStart w:id="203" w:name="_Toc109899960"/>
      <w:bookmarkStart w:id="204" w:name="_Toc7660"/>
      <w:r>
        <w:rPr>
          <w:rFonts w:hint="eastAsia" w:cs="宋体"/>
          <w:sz w:val="24"/>
          <w:szCs w:val="24"/>
        </w:rPr>
        <w:t>（三）响应文件</w:t>
      </w:r>
      <w:bookmarkEnd w:id="195"/>
      <w:bookmarkEnd w:id="196"/>
      <w:bookmarkEnd w:id="197"/>
      <w:bookmarkEnd w:id="198"/>
      <w:bookmarkEnd w:id="199"/>
      <w:bookmarkEnd w:id="200"/>
      <w:bookmarkEnd w:id="201"/>
      <w:bookmarkEnd w:id="202"/>
      <w:bookmarkEnd w:id="203"/>
      <w:bookmarkEnd w:id="204"/>
    </w:p>
    <w:p w14:paraId="3A231C5B">
      <w:pPr>
        <w:pStyle w:val="9"/>
        <w:keepNext w:val="0"/>
        <w:keepLines w:val="0"/>
        <w:adjustRightInd w:val="0"/>
        <w:snapToGrid w:val="0"/>
        <w:spacing w:before="0" w:after="0" w:line="360" w:lineRule="auto"/>
        <w:ind w:left="420" w:hanging="420"/>
        <w:rPr>
          <w:rFonts w:hint="eastAsia" w:ascii="宋体" w:hAnsi="宋体" w:cs="宋体"/>
          <w:sz w:val="24"/>
          <w:szCs w:val="24"/>
        </w:rPr>
      </w:pPr>
      <w:bookmarkStart w:id="205" w:name="_Toc109897444"/>
      <w:bookmarkStart w:id="206" w:name="_Toc109899543"/>
      <w:bookmarkStart w:id="207" w:name="_Toc46771649"/>
      <w:bookmarkStart w:id="208" w:name="_Toc51674220"/>
      <w:bookmarkStart w:id="209" w:name="_Toc470172674"/>
      <w:bookmarkStart w:id="210" w:name="_Toc52962736"/>
      <w:bookmarkStart w:id="211" w:name="_Toc48846118"/>
      <w:bookmarkStart w:id="212" w:name="_Toc32272"/>
      <w:bookmarkStart w:id="213" w:name="_Toc109900381"/>
      <w:bookmarkStart w:id="214" w:name="_Toc46772250"/>
      <w:bookmarkStart w:id="215" w:name="_Toc52960562"/>
      <w:bookmarkStart w:id="216" w:name="_Toc109899962"/>
      <w:bookmarkStart w:id="217" w:name="_Toc48688798"/>
      <w:r>
        <w:rPr>
          <w:rFonts w:hint="eastAsia" w:ascii="宋体" w:hAnsi="宋体" w:cs="宋体"/>
          <w:sz w:val="24"/>
          <w:szCs w:val="24"/>
        </w:rPr>
        <w:t>13.响应文件的</w:t>
      </w:r>
      <w:bookmarkEnd w:id="205"/>
      <w:bookmarkEnd w:id="206"/>
      <w:bookmarkEnd w:id="207"/>
      <w:bookmarkEnd w:id="208"/>
      <w:bookmarkEnd w:id="209"/>
      <w:bookmarkEnd w:id="210"/>
      <w:bookmarkEnd w:id="211"/>
      <w:bookmarkEnd w:id="212"/>
      <w:bookmarkEnd w:id="213"/>
      <w:bookmarkEnd w:id="214"/>
      <w:bookmarkEnd w:id="215"/>
      <w:bookmarkEnd w:id="216"/>
      <w:bookmarkEnd w:id="217"/>
      <w:r>
        <w:rPr>
          <w:rFonts w:hint="eastAsia" w:ascii="宋体" w:hAnsi="宋体" w:cs="宋体"/>
          <w:sz w:val="24"/>
          <w:szCs w:val="24"/>
        </w:rPr>
        <w:t>组成</w:t>
      </w:r>
    </w:p>
    <w:p w14:paraId="174A0A3D">
      <w:pPr>
        <w:pStyle w:val="58"/>
        <w:adjustRightInd w:val="0"/>
        <w:snapToGrid w:val="0"/>
        <w:spacing w:line="360" w:lineRule="auto"/>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13.1供应商应完整地按竞争性</w:t>
      </w:r>
      <w:r>
        <w:rPr>
          <w:rFonts w:hint="eastAsia" w:ascii="宋体" w:hAnsi="宋体" w:eastAsia="宋体" w:cs="宋体"/>
          <w:kern w:val="2"/>
          <w:sz w:val="24"/>
          <w:szCs w:val="24"/>
          <w:lang w:val="zh-CN"/>
        </w:rPr>
        <w:t>磋商</w:t>
      </w:r>
      <w:r>
        <w:rPr>
          <w:rFonts w:hint="eastAsia" w:ascii="宋体" w:hAnsi="宋体" w:eastAsia="宋体" w:cs="宋体"/>
          <w:kern w:val="2"/>
          <w:sz w:val="24"/>
          <w:szCs w:val="24"/>
        </w:rPr>
        <w:t>文件提供的响应文件格式及要求编写响应文件，具体内容详见“第六章 响应文件的格式”的相关内容。</w:t>
      </w:r>
    </w:p>
    <w:p w14:paraId="3BB3A0B7">
      <w:pPr>
        <w:pStyle w:val="58"/>
        <w:adjustRightInd w:val="0"/>
        <w:snapToGrid w:val="0"/>
        <w:spacing w:line="360" w:lineRule="auto"/>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13.2供应商应提交竞争性</w:t>
      </w:r>
      <w:r>
        <w:rPr>
          <w:rFonts w:hint="eastAsia" w:ascii="宋体" w:hAnsi="宋体" w:eastAsia="宋体" w:cs="宋体"/>
          <w:kern w:val="2"/>
          <w:sz w:val="24"/>
          <w:szCs w:val="24"/>
          <w:lang w:val="zh-CN"/>
        </w:rPr>
        <w:t>磋商</w:t>
      </w:r>
      <w:r>
        <w:rPr>
          <w:rFonts w:hint="eastAsia" w:ascii="宋体" w:hAnsi="宋体" w:eastAsia="宋体" w:cs="宋体"/>
          <w:kern w:val="2"/>
          <w:sz w:val="24"/>
          <w:szCs w:val="24"/>
        </w:rPr>
        <w:t>文件要求的证明文件，证明其响应内容符合竞争性</w:t>
      </w:r>
      <w:r>
        <w:rPr>
          <w:rFonts w:hint="eastAsia" w:ascii="宋体" w:hAnsi="宋体" w:eastAsia="宋体" w:cs="宋体"/>
          <w:kern w:val="2"/>
          <w:sz w:val="24"/>
          <w:szCs w:val="24"/>
          <w:lang w:val="zh-CN"/>
        </w:rPr>
        <w:t>磋商</w:t>
      </w:r>
      <w:r>
        <w:rPr>
          <w:rFonts w:hint="eastAsia" w:ascii="宋体" w:hAnsi="宋体" w:eastAsia="宋体" w:cs="宋体"/>
          <w:kern w:val="2"/>
          <w:sz w:val="24"/>
          <w:szCs w:val="24"/>
        </w:rPr>
        <w:t>文件规定，该证明文件是响应文件的一部分。证明文件形式可以是文字资料、图纸和数据</w:t>
      </w:r>
      <w:bookmarkStart w:id="218" w:name="_Hlk11703583"/>
      <w:r>
        <w:rPr>
          <w:rFonts w:hint="eastAsia" w:ascii="宋体" w:hAnsi="宋体" w:eastAsia="宋体" w:cs="宋体"/>
          <w:kern w:val="2"/>
          <w:sz w:val="24"/>
          <w:szCs w:val="24"/>
        </w:rPr>
        <w:t>等。</w:t>
      </w:r>
    </w:p>
    <w:bookmarkEnd w:id="218"/>
    <w:p w14:paraId="781BBAEB">
      <w:pPr>
        <w:pStyle w:val="58"/>
        <w:adjustRightInd w:val="0"/>
        <w:snapToGrid w:val="0"/>
        <w:spacing w:line="360" w:lineRule="auto"/>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13.3为保证公平公正，除非本磋商文件另有规定或说明，供应商对同一项目响应时，不得同时提供备选响应方案。</w:t>
      </w:r>
    </w:p>
    <w:p w14:paraId="5C8E7CA3">
      <w:pPr>
        <w:pStyle w:val="9"/>
        <w:keepNext w:val="0"/>
        <w:keepLines w:val="0"/>
        <w:adjustRightInd w:val="0"/>
        <w:snapToGrid w:val="0"/>
        <w:spacing w:before="0" w:after="0" w:line="360" w:lineRule="auto"/>
        <w:ind w:left="420" w:hanging="420"/>
        <w:rPr>
          <w:rFonts w:hint="eastAsia" w:ascii="宋体" w:hAnsi="宋体" w:cs="宋体"/>
          <w:sz w:val="24"/>
          <w:szCs w:val="24"/>
        </w:rPr>
      </w:pPr>
      <w:bookmarkStart w:id="219" w:name="_Toc48688800"/>
      <w:bookmarkStart w:id="220" w:name="_Toc470172676"/>
      <w:bookmarkStart w:id="221" w:name="_Toc52962738"/>
      <w:bookmarkStart w:id="222" w:name="_Toc109897446"/>
      <w:bookmarkStart w:id="223" w:name="_Toc46772252"/>
      <w:bookmarkStart w:id="224" w:name="_Toc109899545"/>
      <w:bookmarkStart w:id="225" w:name="_Toc109899964"/>
      <w:bookmarkStart w:id="226" w:name="_Toc52960564"/>
      <w:bookmarkStart w:id="227" w:name="_Toc109900383"/>
      <w:bookmarkStart w:id="228" w:name="_Toc48846120"/>
      <w:bookmarkStart w:id="229" w:name="_Toc24544"/>
      <w:bookmarkStart w:id="230" w:name="_Toc46771651"/>
      <w:bookmarkStart w:id="231" w:name="_Toc51674222"/>
      <w:bookmarkStart w:id="232" w:name="_Toc109897445"/>
      <w:bookmarkStart w:id="233" w:name="_Toc25217"/>
      <w:bookmarkStart w:id="234" w:name="_Toc470172675"/>
      <w:bookmarkStart w:id="235" w:name="_Toc46771650"/>
      <w:bookmarkStart w:id="236" w:name="_Toc48846119"/>
      <w:bookmarkStart w:id="237" w:name="_Toc52962737"/>
      <w:bookmarkStart w:id="238" w:name="_Toc48688799"/>
      <w:bookmarkStart w:id="239" w:name="_Toc52960563"/>
      <w:bookmarkStart w:id="240" w:name="_Toc109899963"/>
      <w:bookmarkStart w:id="241" w:name="_Toc46772251"/>
      <w:bookmarkStart w:id="242" w:name="_Toc109899544"/>
      <w:bookmarkStart w:id="243" w:name="_Toc109900382"/>
      <w:bookmarkStart w:id="244" w:name="_Toc51674221"/>
      <w:r>
        <w:rPr>
          <w:rFonts w:hint="eastAsia" w:ascii="宋体" w:hAnsi="宋体" w:cs="宋体"/>
          <w:sz w:val="24"/>
          <w:szCs w:val="24"/>
        </w:rPr>
        <w:t>14.磋商报价</w:t>
      </w:r>
      <w:bookmarkEnd w:id="219"/>
      <w:bookmarkEnd w:id="220"/>
      <w:bookmarkEnd w:id="221"/>
      <w:bookmarkEnd w:id="222"/>
      <w:bookmarkEnd w:id="223"/>
      <w:bookmarkEnd w:id="224"/>
      <w:bookmarkEnd w:id="225"/>
      <w:bookmarkEnd w:id="226"/>
      <w:bookmarkEnd w:id="227"/>
      <w:bookmarkEnd w:id="228"/>
      <w:bookmarkEnd w:id="229"/>
      <w:bookmarkEnd w:id="230"/>
      <w:bookmarkEnd w:id="231"/>
    </w:p>
    <w:p w14:paraId="0640D6E7">
      <w:pPr>
        <w:pStyle w:val="25"/>
        <w:adjustRightInd w:val="0"/>
        <w:snapToGrid w:val="0"/>
        <w:ind w:firstLine="480"/>
        <w:rPr>
          <w:rFonts w:hint="eastAsia" w:cs="宋体"/>
          <w:snapToGrid w:val="0"/>
          <w:szCs w:val="24"/>
          <w:lang w:val="zh-CN"/>
        </w:rPr>
      </w:pPr>
      <w:r>
        <w:rPr>
          <w:rFonts w:hint="eastAsia" w:cs="宋体"/>
          <w:snapToGrid w:val="0"/>
          <w:szCs w:val="24"/>
          <w:lang w:val="zh-CN"/>
        </w:rPr>
        <w:t>1</w:t>
      </w:r>
      <w:r>
        <w:rPr>
          <w:rFonts w:hint="eastAsia" w:cs="宋体"/>
          <w:snapToGrid w:val="0"/>
          <w:szCs w:val="24"/>
        </w:rPr>
        <w:t>4</w:t>
      </w:r>
      <w:r>
        <w:rPr>
          <w:rFonts w:hint="eastAsia" w:cs="宋体"/>
          <w:snapToGrid w:val="0"/>
          <w:szCs w:val="24"/>
          <w:lang w:val="zh-CN"/>
        </w:rPr>
        <w:t>.1磋商供应商的报价均应以人民币报价。磋商报价包括磋商供应商在首次提交的响应文件中的报价、磋商过程中的报价和最后报价，</w:t>
      </w:r>
      <w:r>
        <w:rPr>
          <w:rFonts w:hint="eastAsia" w:cs="宋体"/>
          <w:snapToGrid w:val="0"/>
          <w:szCs w:val="24"/>
        </w:rPr>
        <w:t>且均</w:t>
      </w:r>
      <w:r>
        <w:rPr>
          <w:rFonts w:hint="eastAsia" w:cs="宋体"/>
          <w:szCs w:val="24"/>
        </w:rPr>
        <w:t>不得超过</w:t>
      </w:r>
      <w:bookmarkStart w:id="245" w:name="_Hlk161703672"/>
      <w:r>
        <w:rPr>
          <w:rFonts w:hint="eastAsia" w:cs="宋体"/>
          <w:szCs w:val="24"/>
        </w:rPr>
        <w:t>“第一章 竞争性磋商公告”中规定</w:t>
      </w:r>
      <w:bookmarkEnd w:id="245"/>
      <w:r>
        <w:rPr>
          <w:rFonts w:hint="eastAsia" w:cs="宋体"/>
          <w:szCs w:val="24"/>
        </w:rPr>
        <w:t>的最高限价或者预算金额，</w:t>
      </w:r>
      <w:r>
        <w:rPr>
          <w:rFonts w:hint="eastAsia" w:cs="宋体"/>
          <w:snapToGrid w:val="0"/>
          <w:szCs w:val="24"/>
          <w:lang w:val="zh-CN"/>
        </w:rPr>
        <w:t>否则其响应文件将被视为</w:t>
      </w:r>
      <w:r>
        <w:rPr>
          <w:rFonts w:hint="eastAsia" w:cs="宋体"/>
          <w:b/>
          <w:bCs/>
          <w:snapToGrid w:val="0"/>
          <w:szCs w:val="24"/>
          <w:lang w:val="zh-CN"/>
        </w:rPr>
        <w:t>无效文件</w:t>
      </w:r>
      <w:r>
        <w:rPr>
          <w:rFonts w:hint="eastAsia" w:cs="宋体"/>
          <w:snapToGrid w:val="0"/>
          <w:szCs w:val="24"/>
          <w:lang w:val="zh-CN"/>
        </w:rPr>
        <w:t>。</w:t>
      </w:r>
    </w:p>
    <w:p w14:paraId="300639DC">
      <w:pPr>
        <w:pStyle w:val="25"/>
        <w:adjustRightInd w:val="0"/>
        <w:snapToGrid w:val="0"/>
        <w:ind w:firstLine="480"/>
        <w:rPr>
          <w:rFonts w:hint="eastAsia" w:cs="宋体"/>
          <w:snapToGrid w:val="0"/>
          <w:szCs w:val="24"/>
          <w:lang w:val="zh-CN"/>
        </w:rPr>
      </w:pPr>
      <w:r>
        <w:rPr>
          <w:rFonts w:hint="eastAsia" w:cs="宋体"/>
          <w:snapToGrid w:val="0"/>
          <w:szCs w:val="24"/>
          <w:lang w:val="zh-CN"/>
        </w:rPr>
        <w:t>1</w:t>
      </w:r>
      <w:r>
        <w:rPr>
          <w:rFonts w:hint="eastAsia" w:cs="宋体"/>
          <w:snapToGrid w:val="0"/>
          <w:szCs w:val="24"/>
        </w:rPr>
        <w:t>4</w:t>
      </w:r>
      <w:r>
        <w:rPr>
          <w:rFonts w:hint="eastAsia" w:cs="宋体"/>
          <w:snapToGrid w:val="0"/>
          <w:szCs w:val="24"/>
          <w:lang w:val="zh-CN"/>
        </w:rPr>
        <w:t>.2供应商应按照本磋商文件规定的采购需求及合同条款进行报价，并按磋商文件确定的格式报出。报价中不得包含磋商文件要求以外的内容，否则，在评审时不予核减。报价中也不得缺漏磋商文件所要求的内容，否则，其响应文件将被视为</w:t>
      </w:r>
      <w:r>
        <w:rPr>
          <w:rFonts w:hint="eastAsia" w:cs="宋体"/>
          <w:b/>
          <w:bCs/>
          <w:snapToGrid w:val="0"/>
          <w:szCs w:val="24"/>
          <w:lang w:val="zh-CN"/>
        </w:rPr>
        <w:t>无效文件</w:t>
      </w:r>
      <w:r>
        <w:rPr>
          <w:rFonts w:hint="eastAsia" w:cs="宋体"/>
          <w:snapToGrid w:val="0"/>
          <w:szCs w:val="24"/>
          <w:lang w:val="zh-CN"/>
        </w:rPr>
        <w:t>。</w:t>
      </w:r>
    </w:p>
    <w:p w14:paraId="487FB398">
      <w:pPr>
        <w:adjustRightInd w:val="0"/>
        <w:snapToGrid w:val="0"/>
        <w:ind w:firstLine="480" w:firstLineChars="200"/>
        <w:rPr>
          <w:rFonts w:hint="eastAsia" w:cs="宋体"/>
          <w:szCs w:val="24"/>
        </w:rPr>
      </w:pPr>
      <w:r>
        <w:rPr>
          <w:rFonts w:hint="eastAsia" w:cs="宋体"/>
          <w:snapToGrid w:val="0"/>
          <w:szCs w:val="24"/>
        </w:rPr>
        <w:t>14.3</w:t>
      </w:r>
      <w:r>
        <w:rPr>
          <w:rFonts w:hint="eastAsia" w:cs="宋体"/>
          <w:snapToGrid w:val="0"/>
          <w:szCs w:val="24"/>
          <w:lang w:val="zh-CN"/>
        </w:rPr>
        <w:t>供应商</w:t>
      </w:r>
      <w:r>
        <w:rPr>
          <w:rFonts w:hint="eastAsia" w:cs="宋体"/>
          <w:szCs w:val="24"/>
        </w:rPr>
        <w:t>的报价应包括为完成本项目所发生的一切费用和税费，采购人将不再支付报价以外的任何费用。只要投报了一个确定数额的总价，无论分项价格是否全部填报了相应的金额或免费字样，报价应被视为已经包含了但并不限于本次招标全部采购需求所应提供的服务，以及伴随的货物和工程等的费用和所需缴纳的所有价格、税、费。在其他情况下，由于分项报价填报不完整、不清楚或存在其他任何失误，所导致的任何不利后果均应当由投标人自行承担。</w:t>
      </w:r>
    </w:p>
    <w:p w14:paraId="2ACD190C">
      <w:pPr>
        <w:pStyle w:val="25"/>
        <w:adjustRightInd w:val="0"/>
        <w:snapToGrid w:val="0"/>
        <w:ind w:firstLine="480"/>
        <w:rPr>
          <w:rFonts w:hint="eastAsia" w:cs="宋体"/>
          <w:snapToGrid w:val="0"/>
          <w:szCs w:val="24"/>
          <w:lang w:val="zh-CN"/>
        </w:rPr>
      </w:pPr>
      <w:r>
        <w:rPr>
          <w:rFonts w:hint="eastAsia" w:cs="宋体"/>
          <w:szCs w:val="24"/>
        </w:rPr>
        <w:t>14.4供应商的报价应包括但不限于按照竞争性磋商文件要求完成本项目的全部相关费用。</w:t>
      </w:r>
    </w:p>
    <w:p w14:paraId="11C9B78F">
      <w:pPr>
        <w:pStyle w:val="25"/>
        <w:adjustRightInd w:val="0"/>
        <w:snapToGrid w:val="0"/>
        <w:ind w:firstLine="480"/>
        <w:rPr>
          <w:rFonts w:hint="eastAsia" w:cs="宋体"/>
          <w:snapToGrid w:val="0"/>
          <w:szCs w:val="24"/>
          <w:lang w:val="zh-CN"/>
        </w:rPr>
      </w:pPr>
      <w:r>
        <w:rPr>
          <w:rFonts w:hint="eastAsia" w:cs="宋体"/>
          <w:snapToGrid w:val="0"/>
          <w:szCs w:val="24"/>
          <w:lang w:val="zh-CN"/>
        </w:rPr>
        <w:t>1</w:t>
      </w:r>
      <w:r>
        <w:rPr>
          <w:rFonts w:hint="eastAsia" w:cs="宋体"/>
          <w:snapToGrid w:val="0"/>
          <w:szCs w:val="24"/>
        </w:rPr>
        <w:t>4</w:t>
      </w:r>
      <w:r>
        <w:rPr>
          <w:rFonts w:hint="eastAsia" w:cs="宋体"/>
          <w:snapToGrid w:val="0"/>
          <w:szCs w:val="24"/>
          <w:lang w:val="zh-CN"/>
        </w:rPr>
        <w:t>.</w:t>
      </w:r>
      <w:r>
        <w:rPr>
          <w:rFonts w:hint="eastAsia" w:cs="宋体"/>
          <w:snapToGrid w:val="0"/>
          <w:szCs w:val="24"/>
        </w:rPr>
        <w:t>5供应商须严格按照分项报价表规定的内容填写服务单价以及其他事项。供应商应根据本</w:t>
      </w:r>
      <w:r>
        <w:rPr>
          <w:rFonts w:hint="eastAsia" w:cs="宋体"/>
          <w:szCs w:val="24"/>
        </w:rPr>
        <w:t>竞争性磋商</w:t>
      </w:r>
      <w:r>
        <w:rPr>
          <w:rFonts w:hint="eastAsia" w:cs="宋体"/>
          <w:snapToGrid w:val="0"/>
          <w:szCs w:val="24"/>
        </w:rPr>
        <w:t>文件的规定和要求、市场价格水平及其走势、供应商的管理水平、供应商的方案和由这些因素决定的供应商之于本项目的成本水平等提出自己的报价。报价应合理，并包含完成本</w:t>
      </w:r>
      <w:r>
        <w:rPr>
          <w:rFonts w:hint="eastAsia" w:cs="宋体"/>
          <w:szCs w:val="24"/>
        </w:rPr>
        <w:t>竞争性磋商</w:t>
      </w:r>
      <w:r>
        <w:rPr>
          <w:rFonts w:hint="eastAsia" w:cs="宋体"/>
          <w:snapToGrid w:val="0"/>
          <w:szCs w:val="24"/>
        </w:rPr>
        <w:t>文件采购需求全部内容的所有费用，所有根据本</w:t>
      </w:r>
      <w:r>
        <w:rPr>
          <w:rFonts w:hint="eastAsia" w:cs="宋体"/>
          <w:szCs w:val="24"/>
        </w:rPr>
        <w:t>竞争性磋商</w:t>
      </w:r>
      <w:r>
        <w:rPr>
          <w:rFonts w:hint="eastAsia" w:cs="宋体"/>
          <w:snapToGrid w:val="0"/>
          <w:szCs w:val="24"/>
        </w:rPr>
        <w:t>文件或其它原因应由供应商支付的税款和其他应交纳的费用都应包括在供应商提交的响应报价中</w:t>
      </w:r>
      <w:r>
        <w:rPr>
          <w:rFonts w:hint="eastAsia" w:cs="宋体"/>
          <w:snapToGrid w:val="0"/>
          <w:szCs w:val="24"/>
          <w:lang w:val="zh-CN"/>
        </w:rPr>
        <w:t>。</w:t>
      </w:r>
    </w:p>
    <w:p w14:paraId="3DB7F190">
      <w:pPr>
        <w:pStyle w:val="25"/>
        <w:adjustRightInd w:val="0"/>
        <w:snapToGrid w:val="0"/>
        <w:ind w:firstLine="480"/>
        <w:rPr>
          <w:rFonts w:hint="eastAsia" w:cs="宋体"/>
          <w:snapToGrid w:val="0"/>
          <w:szCs w:val="24"/>
          <w:lang w:val="zh-CN"/>
        </w:rPr>
      </w:pPr>
      <w:r>
        <w:rPr>
          <w:rFonts w:hint="eastAsia" w:cs="宋体"/>
          <w:snapToGrid w:val="0"/>
          <w:szCs w:val="24"/>
          <w:lang w:val="zh-CN"/>
        </w:rPr>
        <w:t>1</w:t>
      </w:r>
      <w:r>
        <w:rPr>
          <w:rFonts w:hint="eastAsia" w:cs="宋体"/>
          <w:snapToGrid w:val="0"/>
          <w:szCs w:val="24"/>
        </w:rPr>
        <w:t>4</w:t>
      </w:r>
      <w:r>
        <w:rPr>
          <w:rFonts w:hint="eastAsia" w:cs="宋体"/>
          <w:snapToGrid w:val="0"/>
          <w:szCs w:val="24"/>
          <w:lang w:val="zh-CN"/>
        </w:rPr>
        <w:t>.</w:t>
      </w:r>
      <w:r>
        <w:rPr>
          <w:rFonts w:hint="eastAsia" w:cs="宋体"/>
          <w:snapToGrid w:val="0"/>
          <w:szCs w:val="24"/>
        </w:rPr>
        <w:t>6</w:t>
      </w:r>
      <w:r>
        <w:rPr>
          <w:rFonts w:hint="eastAsia" w:cs="宋体"/>
          <w:snapToGrid w:val="0"/>
          <w:szCs w:val="24"/>
          <w:lang w:val="zh-CN"/>
        </w:rPr>
        <w:t>供应商在响应文件中注明免费的项目将视为包含在报价中。</w:t>
      </w:r>
    </w:p>
    <w:p w14:paraId="5A2E805F">
      <w:pPr>
        <w:pStyle w:val="25"/>
        <w:adjustRightInd w:val="0"/>
        <w:snapToGrid w:val="0"/>
        <w:ind w:firstLine="480"/>
        <w:rPr>
          <w:rFonts w:hint="eastAsia" w:cs="宋体"/>
          <w:snapToGrid w:val="0"/>
          <w:szCs w:val="24"/>
          <w:lang w:val="zh-CN"/>
        </w:rPr>
      </w:pPr>
      <w:r>
        <w:rPr>
          <w:rFonts w:hint="eastAsia" w:cs="宋体"/>
          <w:snapToGrid w:val="0"/>
          <w:szCs w:val="24"/>
          <w:lang w:val="zh-CN"/>
        </w:rPr>
        <w:t>1</w:t>
      </w:r>
      <w:r>
        <w:rPr>
          <w:rFonts w:hint="eastAsia" w:cs="宋体"/>
          <w:snapToGrid w:val="0"/>
          <w:szCs w:val="24"/>
        </w:rPr>
        <w:t>4</w:t>
      </w:r>
      <w:r>
        <w:rPr>
          <w:rFonts w:hint="eastAsia" w:cs="宋体"/>
          <w:snapToGrid w:val="0"/>
          <w:szCs w:val="24"/>
          <w:lang w:val="zh-CN"/>
        </w:rPr>
        <w:t>.</w:t>
      </w:r>
      <w:r>
        <w:rPr>
          <w:rFonts w:hint="eastAsia" w:cs="宋体"/>
          <w:snapToGrid w:val="0"/>
          <w:szCs w:val="24"/>
        </w:rPr>
        <w:t>7</w:t>
      </w:r>
      <w:r>
        <w:rPr>
          <w:rFonts w:hint="eastAsia" w:cs="宋体"/>
          <w:snapToGrid w:val="0"/>
          <w:szCs w:val="24"/>
          <w:lang w:val="zh-CN"/>
        </w:rPr>
        <w:t>每一种采购内容只允许有一个报价，否则其响应文件将被视为</w:t>
      </w:r>
      <w:r>
        <w:rPr>
          <w:rFonts w:hint="eastAsia" w:cs="宋体"/>
          <w:b/>
          <w:bCs/>
          <w:snapToGrid w:val="0"/>
          <w:szCs w:val="24"/>
          <w:lang w:val="zh-CN"/>
        </w:rPr>
        <w:t>无效文件</w:t>
      </w:r>
      <w:r>
        <w:rPr>
          <w:rFonts w:hint="eastAsia" w:cs="宋体"/>
          <w:snapToGrid w:val="0"/>
          <w:szCs w:val="24"/>
          <w:lang w:val="zh-CN"/>
        </w:rPr>
        <w:t>。</w:t>
      </w:r>
      <w:r>
        <w:rPr>
          <w:rFonts w:hint="eastAsia" w:cs="宋体"/>
          <w:szCs w:val="24"/>
        </w:rPr>
        <w:t>除非磋商文件另有规定，不接受可选择或可调整的磋商方案和报价，任何有选择的或可调整的磋商方案和报价将被视为非响应性磋商而被拒绝。</w:t>
      </w:r>
    </w:p>
    <w:p w14:paraId="2D8474D4">
      <w:pPr>
        <w:pStyle w:val="58"/>
        <w:adjustRightInd w:val="0"/>
        <w:snapToGrid w:val="0"/>
        <w:spacing w:line="360" w:lineRule="auto"/>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 xml:space="preserve">14.8 </w:t>
      </w:r>
      <w:r>
        <w:rPr>
          <w:rFonts w:hint="eastAsia" w:ascii="宋体" w:hAnsi="宋体" w:eastAsia="宋体" w:cs="宋体"/>
          <w:kern w:val="2"/>
          <w:sz w:val="24"/>
          <w:szCs w:val="24"/>
          <w:lang w:val="zh-CN"/>
        </w:rPr>
        <w:t>供应商</w:t>
      </w:r>
      <w:r>
        <w:rPr>
          <w:rFonts w:hint="eastAsia" w:ascii="宋体" w:hAnsi="宋体" w:eastAsia="宋体" w:cs="宋体"/>
          <w:kern w:val="2"/>
          <w:sz w:val="24"/>
          <w:szCs w:val="24"/>
        </w:rPr>
        <w:t>对磋商报价若有说明应在响应文件中显著处注明。</w:t>
      </w:r>
    </w:p>
    <w:p w14:paraId="1719007D">
      <w:pPr>
        <w:pStyle w:val="58"/>
        <w:adjustRightInd w:val="0"/>
        <w:snapToGrid w:val="0"/>
        <w:spacing w:line="360" w:lineRule="auto"/>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除政策性文件规定以外，</w:t>
      </w:r>
      <w:r>
        <w:rPr>
          <w:rFonts w:hint="eastAsia" w:ascii="宋体" w:hAnsi="宋体" w:eastAsia="宋体" w:cs="宋体"/>
          <w:kern w:val="2"/>
          <w:sz w:val="24"/>
          <w:szCs w:val="24"/>
          <w:lang w:val="zh-CN"/>
        </w:rPr>
        <w:t>供应商</w:t>
      </w:r>
      <w:r>
        <w:rPr>
          <w:rFonts w:hint="eastAsia" w:ascii="宋体" w:hAnsi="宋体" w:eastAsia="宋体" w:cs="宋体"/>
          <w:kern w:val="2"/>
          <w:sz w:val="24"/>
          <w:szCs w:val="24"/>
        </w:rPr>
        <w:t>所报价格在合同实施期间不因市场变化因素而变动。</w:t>
      </w:r>
    </w:p>
    <w:p w14:paraId="0B64FFBB">
      <w:pPr>
        <w:pStyle w:val="58"/>
        <w:adjustRightInd w:val="0"/>
        <w:snapToGrid w:val="0"/>
        <w:spacing w:line="360" w:lineRule="auto"/>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14.9 最低报价不能作为成交的保证。</w:t>
      </w:r>
    </w:p>
    <w:p w14:paraId="2AA144BC">
      <w:pPr>
        <w:pStyle w:val="25"/>
        <w:adjustRightInd w:val="0"/>
        <w:snapToGrid w:val="0"/>
        <w:ind w:firstLine="480"/>
        <w:rPr>
          <w:rFonts w:hint="eastAsia" w:cs="宋体"/>
          <w:kern w:val="0"/>
          <w:szCs w:val="24"/>
          <w:lang w:bidi="ar"/>
        </w:rPr>
      </w:pPr>
      <w:r>
        <w:rPr>
          <w:rFonts w:hint="eastAsia" w:cs="宋体"/>
          <w:szCs w:val="24"/>
        </w:rPr>
        <w:t>14.10</w:t>
      </w:r>
      <w:r>
        <w:rPr>
          <w:rFonts w:hint="eastAsia" w:cs="宋体"/>
          <w:kern w:val="0"/>
          <w:szCs w:val="24"/>
          <w:lang w:bidi="ar"/>
        </w:rPr>
        <w:t>采购人不得向供应商索要或者接受其给予的赠品、回扣或者与采购无关的其他商品、服务。</w:t>
      </w:r>
    </w:p>
    <w:p w14:paraId="3E3AFFE7">
      <w:pPr>
        <w:pStyle w:val="25"/>
        <w:adjustRightInd w:val="0"/>
        <w:snapToGrid w:val="0"/>
        <w:ind w:firstLine="480"/>
        <w:rPr>
          <w:rFonts w:hint="eastAsia" w:cs="宋体"/>
          <w:kern w:val="0"/>
          <w:szCs w:val="24"/>
          <w:lang w:bidi="ar"/>
        </w:rPr>
      </w:pPr>
      <w:r>
        <w:rPr>
          <w:rFonts w:hint="eastAsia" w:cs="宋体"/>
          <w:kern w:val="0"/>
          <w:szCs w:val="24"/>
          <w:lang w:bidi="ar"/>
        </w:rPr>
        <w:t>14.11供应商不能提供任何有选择性或可调整的报价（磋商文件另有规定的除外），否则其</w:t>
      </w:r>
      <w:r>
        <w:rPr>
          <w:rFonts w:hint="eastAsia" w:cs="宋体"/>
          <w:b/>
          <w:bCs/>
          <w:kern w:val="0"/>
          <w:szCs w:val="24"/>
          <w:lang w:bidi="ar"/>
        </w:rPr>
        <w:t>响应无效</w:t>
      </w:r>
      <w:r>
        <w:rPr>
          <w:rFonts w:hint="eastAsia" w:cs="宋体"/>
          <w:kern w:val="0"/>
          <w:szCs w:val="24"/>
          <w:lang w:bidi="ar"/>
        </w:rPr>
        <w:t>。</w:t>
      </w:r>
    </w:p>
    <w:p w14:paraId="0CD8AEF2">
      <w:pPr>
        <w:pStyle w:val="9"/>
        <w:keepNext w:val="0"/>
        <w:keepLines w:val="0"/>
        <w:adjustRightInd w:val="0"/>
        <w:snapToGrid w:val="0"/>
        <w:spacing w:before="0" w:after="0" w:line="360" w:lineRule="auto"/>
        <w:ind w:left="420" w:hanging="420"/>
        <w:rPr>
          <w:rFonts w:hint="eastAsia" w:ascii="宋体" w:hAnsi="宋体" w:cs="宋体"/>
          <w:sz w:val="24"/>
          <w:szCs w:val="24"/>
        </w:rPr>
      </w:pPr>
      <w:bookmarkStart w:id="246" w:name="_Toc48688806"/>
      <w:bookmarkStart w:id="247" w:name="_Toc109897451"/>
      <w:bookmarkStart w:id="248" w:name="_Toc109899969"/>
      <w:bookmarkStart w:id="249" w:name="_Toc52960570"/>
      <w:bookmarkStart w:id="250" w:name="_Toc470172682"/>
      <w:bookmarkStart w:id="251" w:name="_Toc48846126"/>
      <w:bookmarkStart w:id="252" w:name="_Toc5668"/>
      <w:bookmarkStart w:id="253" w:name="_Toc109899550"/>
      <w:bookmarkStart w:id="254" w:name="_Toc46772258"/>
      <w:bookmarkStart w:id="255" w:name="_Toc46771657"/>
      <w:bookmarkStart w:id="256" w:name="_Toc109900388"/>
      <w:bookmarkStart w:id="257" w:name="_Toc51674228"/>
      <w:bookmarkStart w:id="258" w:name="_Toc52962744"/>
      <w:bookmarkStart w:id="259" w:name="_Toc3324"/>
      <w:bookmarkStart w:id="260" w:name="_Toc52960566"/>
      <w:bookmarkStart w:id="261" w:name="_Toc46772254"/>
      <w:bookmarkStart w:id="262" w:name="_Toc109899547"/>
      <w:bookmarkStart w:id="263" w:name="_Toc470172678"/>
      <w:bookmarkStart w:id="264" w:name="_Toc52962740"/>
      <w:bookmarkStart w:id="265" w:name="_Toc48846122"/>
      <w:bookmarkStart w:id="266" w:name="_Toc48688802"/>
      <w:bookmarkStart w:id="267" w:name="_Toc51674224"/>
      <w:bookmarkStart w:id="268" w:name="_Toc109900385"/>
      <w:bookmarkStart w:id="269" w:name="_Toc46771653"/>
      <w:bookmarkStart w:id="270" w:name="_Toc109899966"/>
      <w:bookmarkStart w:id="271" w:name="_Toc109897448"/>
      <w:r>
        <w:rPr>
          <w:rFonts w:hint="eastAsia" w:ascii="宋体" w:hAnsi="宋体" w:cs="宋体"/>
          <w:sz w:val="24"/>
          <w:szCs w:val="24"/>
        </w:rPr>
        <w:t>15.响应文件有效期</w:t>
      </w:r>
      <w:bookmarkEnd w:id="246"/>
      <w:bookmarkEnd w:id="247"/>
      <w:bookmarkEnd w:id="248"/>
      <w:bookmarkEnd w:id="249"/>
      <w:bookmarkEnd w:id="250"/>
      <w:bookmarkEnd w:id="251"/>
      <w:bookmarkEnd w:id="252"/>
      <w:bookmarkEnd w:id="253"/>
      <w:bookmarkEnd w:id="254"/>
      <w:bookmarkEnd w:id="255"/>
      <w:bookmarkEnd w:id="256"/>
      <w:bookmarkEnd w:id="257"/>
      <w:bookmarkEnd w:id="258"/>
    </w:p>
    <w:p w14:paraId="6C3E470C">
      <w:pPr>
        <w:pStyle w:val="25"/>
        <w:adjustRightInd w:val="0"/>
        <w:snapToGrid w:val="0"/>
        <w:ind w:firstLine="480"/>
        <w:rPr>
          <w:rFonts w:hint="eastAsia" w:cs="宋体"/>
          <w:snapToGrid w:val="0"/>
          <w:szCs w:val="24"/>
          <w:lang w:val="zh-CN"/>
        </w:rPr>
      </w:pPr>
      <w:r>
        <w:rPr>
          <w:rFonts w:hint="eastAsia" w:cs="宋体"/>
          <w:snapToGrid w:val="0"/>
          <w:szCs w:val="24"/>
          <w:lang w:val="zh-CN"/>
        </w:rPr>
        <w:t>1</w:t>
      </w:r>
      <w:r>
        <w:rPr>
          <w:rFonts w:hint="eastAsia" w:cs="宋体"/>
          <w:snapToGrid w:val="0"/>
          <w:szCs w:val="24"/>
        </w:rPr>
        <w:t>5</w:t>
      </w:r>
      <w:r>
        <w:rPr>
          <w:rFonts w:hint="eastAsia" w:cs="宋体"/>
          <w:snapToGrid w:val="0"/>
          <w:szCs w:val="24"/>
          <w:lang w:val="zh-CN"/>
        </w:rPr>
        <w:t>.1</w:t>
      </w:r>
      <w:r>
        <w:rPr>
          <w:rFonts w:hint="eastAsia" w:cs="宋体"/>
          <w:snapToGrid w:val="0"/>
          <w:szCs w:val="24"/>
        </w:rPr>
        <w:t>供应商提交的</w:t>
      </w:r>
      <w:r>
        <w:rPr>
          <w:rFonts w:hint="eastAsia" w:cs="宋体"/>
          <w:snapToGrid w:val="0"/>
          <w:szCs w:val="24"/>
          <w:lang w:val="zh-CN"/>
        </w:rPr>
        <w:t>响应文件有效期见“供应商须知前附表”，磋商供应商承诺的响应文件有效期少于</w:t>
      </w:r>
      <w:r>
        <w:rPr>
          <w:rFonts w:hint="eastAsia" w:cs="宋体"/>
          <w:snapToGrid w:val="0"/>
          <w:szCs w:val="24"/>
        </w:rPr>
        <w:t>磋商</w:t>
      </w:r>
      <w:r>
        <w:rPr>
          <w:rFonts w:hint="eastAsia" w:cs="宋体"/>
          <w:snapToGrid w:val="0"/>
          <w:szCs w:val="24"/>
          <w:lang w:val="zh-CN"/>
        </w:rPr>
        <w:t>文件规定期限的，其</w:t>
      </w:r>
      <w:r>
        <w:rPr>
          <w:rFonts w:hint="eastAsia" w:cs="宋体"/>
          <w:b/>
          <w:bCs/>
          <w:snapToGrid w:val="0"/>
          <w:szCs w:val="24"/>
        </w:rPr>
        <w:t>响应</w:t>
      </w:r>
      <w:r>
        <w:rPr>
          <w:rFonts w:hint="eastAsia" w:cs="宋体"/>
          <w:b/>
          <w:bCs/>
          <w:snapToGrid w:val="0"/>
          <w:szCs w:val="24"/>
          <w:lang w:val="zh-CN"/>
        </w:rPr>
        <w:t>无效</w:t>
      </w:r>
      <w:r>
        <w:rPr>
          <w:rFonts w:hint="eastAsia" w:cs="宋体"/>
          <w:snapToGrid w:val="0"/>
          <w:szCs w:val="24"/>
          <w:lang w:val="zh-CN"/>
        </w:rPr>
        <w:t>。</w:t>
      </w:r>
    </w:p>
    <w:p w14:paraId="4DFC2505">
      <w:pPr>
        <w:adjustRightInd w:val="0"/>
        <w:snapToGrid w:val="0"/>
        <w:ind w:firstLine="480" w:firstLineChars="200"/>
        <w:rPr>
          <w:rFonts w:hint="eastAsia" w:cs="宋体"/>
          <w:snapToGrid w:val="0"/>
          <w:szCs w:val="24"/>
        </w:rPr>
      </w:pPr>
      <w:r>
        <w:rPr>
          <w:rFonts w:hint="eastAsia" w:cs="宋体"/>
          <w:snapToGrid w:val="0"/>
          <w:szCs w:val="24"/>
        </w:rPr>
        <w:t>15.2 响应文件有效期从递交响应文件的截止之日起算。响应文件中承诺的有效期应当不少于竞争性磋商文件中载明的响应文件有效期。响应文件有效期内供应商撤销响应文件的，采购人或者采购代理机构可以不退还磋商保证金。</w:t>
      </w:r>
    </w:p>
    <w:p w14:paraId="414B33F5">
      <w:pPr>
        <w:pStyle w:val="25"/>
        <w:adjustRightInd w:val="0"/>
        <w:snapToGrid w:val="0"/>
        <w:ind w:firstLine="480"/>
        <w:rPr>
          <w:rFonts w:hint="eastAsia" w:cs="宋体"/>
          <w:snapToGrid w:val="0"/>
          <w:szCs w:val="24"/>
          <w:lang w:val="zh-CN"/>
        </w:rPr>
      </w:pPr>
      <w:r>
        <w:rPr>
          <w:rFonts w:hint="eastAsia" w:cs="宋体"/>
          <w:snapToGrid w:val="0"/>
          <w:szCs w:val="24"/>
          <w:lang w:val="zh-CN"/>
        </w:rPr>
        <w:t>1</w:t>
      </w:r>
      <w:r>
        <w:rPr>
          <w:rFonts w:hint="eastAsia" w:cs="宋体"/>
          <w:snapToGrid w:val="0"/>
          <w:szCs w:val="24"/>
        </w:rPr>
        <w:t>5</w:t>
      </w:r>
      <w:r>
        <w:rPr>
          <w:rFonts w:hint="eastAsia" w:cs="宋体"/>
          <w:snapToGrid w:val="0"/>
          <w:szCs w:val="24"/>
          <w:lang w:val="zh-CN"/>
        </w:rPr>
        <w:t>.</w:t>
      </w:r>
      <w:r>
        <w:rPr>
          <w:rFonts w:hint="eastAsia" w:cs="宋体"/>
          <w:snapToGrid w:val="0"/>
          <w:szCs w:val="24"/>
        </w:rPr>
        <w:t>3</w:t>
      </w:r>
      <w:r>
        <w:rPr>
          <w:rFonts w:hint="eastAsia" w:cs="宋体"/>
          <w:snapToGrid w:val="0"/>
          <w:szCs w:val="24"/>
          <w:lang w:val="zh-CN"/>
        </w:rPr>
        <w:t>特殊情况下，在原响应文件有效期截止之前，采购代理机构或采购人可要求供应商延长响应文件有效期。需要延长响应文件有效期时，采购代理机构或采购人将以书面形式通知所有磋商供应商，供应商应以书面形式答复是否同意延长响应文件有效期。</w:t>
      </w:r>
    </w:p>
    <w:p w14:paraId="3803927F">
      <w:pPr>
        <w:tabs>
          <w:tab w:val="left" w:pos="426"/>
        </w:tabs>
        <w:autoSpaceDE w:val="0"/>
        <w:autoSpaceDN w:val="0"/>
        <w:adjustRightInd w:val="0"/>
        <w:snapToGrid w:val="0"/>
        <w:ind w:firstLine="480" w:firstLineChars="200"/>
        <w:rPr>
          <w:rFonts w:hint="eastAsia" w:cs="宋体"/>
          <w:snapToGrid w:val="0"/>
          <w:szCs w:val="24"/>
          <w:lang w:val="zh-CN"/>
        </w:rPr>
      </w:pPr>
      <w:r>
        <w:rPr>
          <w:rFonts w:hint="eastAsia" w:cs="宋体"/>
          <w:snapToGrid w:val="0"/>
          <w:szCs w:val="24"/>
          <w:lang w:val="zh-CN"/>
        </w:rPr>
        <w:t>1</w:t>
      </w:r>
      <w:r>
        <w:rPr>
          <w:rFonts w:hint="eastAsia" w:cs="宋体"/>
          <w:snapToGrid w:val="0"/>
          <w:szCs w:val="24"/>
        </w:rPr>
        <w:t>5</w:t>
      </w:r>
      <w:r>
        <w:rPr>
          <w:rFonts w:hint="eastAsia" w:cs="宋体"/>
          <w:snapToGrid w:val="0"/>
          <w:szCs w:val="24"/>
          <w:lang w:val="zh-CN"/>
        </w:rPr>
        <w:t>.</w:t>
      </w:r>
      <w:r>
        <w:rPr>
          <w:rFonts w:hint="eastAsia" w:cs="宋体"/>
          <w:snapToGrid w:val="0"/>
          <w:szCs w:val="24"/>
        </w:rPr>
        <w:t>4</w:t>
      </w:r>
      <w:r>
        <w:rPr>
          <w:rFonts w:hint="eastAsia" w:cs="宋体"/>
          <w:snapToGrid w:val="0"/>
          <w:szCs w:val="24"/>
          <w:lang w:val="zh-CN"/>
        </w:rPr>
        <w:t>供应商同意延长的，</w:t>
      </w:r>
      <w:r>
        <w:rPr>
          <w:rFonts w:hint="eastAsia" w:cs="宋体"/>
          <w:snapToGrid w:val="0"/>
          <w:szCs w:val="24"/>
        </w:rPr>
        <w:t>其磋商</w:t>
      </w:r>
      <w:r>
        <w:rPr>
          <w:rFonts w:hint="eastAsia" w:cs="宋体"/>
          <w:snapToGrid w:val="0"/>
          <w:szCs w:val="24"/>
          <w:lang w:val="zh-CN"/>
        </w:rPr>
        <w:t>保证金的有效期也相应延长，不得要求或被允许修改或撤销其响应文件；供应商拒绝延长的，其响应文件在原响应文件有效期满后将不再有效</w:t>
      </w:r>
      <w:r>
        <w:rPr>
          <w:rFonts w:hint="eastAsia" w:cs="宋体"/>
          <w:szCs w:val="24"/>
        </w:rPr>
        <w:t>，但其提交的磋商保证金可予以退还</w:t>
      </w:r>
      <w:r>
        <w:rPr>
          <w:rFonts w:hint="eastAsia" w:cs="宋体"/>
          <w:snapToGrid w:val="0"/>
          <w:szCs w:val="24"/>
          <w:lang w:val="zh-CN"/>
        </w:rPr>
        <w:t>。</w:t>
      </w:r>
    </w:p>
    <w:bookmarkEnd w:id="259"/>
    <w:bookmarkEnd w:id="260"/>
    <w:bookmarkEnd w:id="261"/>
    <w:bookmarkEnd w:id="262"/>
    <w:bookmarkEnd w:id="263"/>
    <w:bookmarkEnd w:id="264"/>
    <w:bookmarkEnd w:id="265"/>
    <w:bookmarkEnd w:id="266"/>
    <w:bookmarkEnd w:id="267"/>
    <w:bookmarkEnd w:id="268"/>
    <w:bookmarkEnd w:id="269"/>
    <w:bookmarkEnd w:id="270"/>
    <w:bookmarkEnd w:id="271"/>
    <w:p w14:paraId="26D695E6">
      <w:pPr>
        <w:pStyle w:val="9"/>
        <w:keepNext w:val="0"/>
        <w:keepLines w:val="0"/>
        <w:adjustRightInd w:val="0"/>
        <w:snapToGrid w:val="0"/>
        <w:spacing w:before="0" w:after="0" w:line="360" w:lineRule="auto"/>
        <w:ind w:left="420" w:hanging="420"/>
        <w:rPr>
          <w:rFonts w:hint="eastAsia" w:ascii="宋体" w:hAnsi="宋体" w:cs="宋体"/>
          <w:sz w:val="24"/>
          <w:szCs w:val="24"/>
        </w:rPr>
      </w:pPr>
      <w:r>
        <w:rPr>
          <w:rFonts w:hint="eastAsia" w:ascii="宋体" w:hAnsi="宋体" w:cs="宋体"/>
          <w:sz w:val="24"/>
          <w:szCs w:val="24"/>
        </w:rPr>
        <w:t>16.响应文件的编制</w:t>
      </w:r>
      <w:bookmarkEnd w:id="232"/>
      <w:bookmarkEnd w:id="233"/>
      <w:bookmarkEnd w:id="234"/>
      <w:bookmarkEnd w:id="235"/>
      <w:bookmarkEnd w:id="236"/>
      <w:bookmarkEnd w:id="237"/>
      <w:bookmarkEnd w:id="238"/>
      <w:bookmarkEnd w:id="239"/>
      <w:bookmarkEnd w:id="240"/>
      <w:bookmarkEnd w:id="241"/>
      <w:bookmarkEnd w:id="242"/>
      <w:bookmarkEnd w:id="243"/>
      <w:bookmarkEnd w:id="244"/>
    </w:p>
    <w:p w14:paraId="710ABAB7">
      <w:pPr>
        <w:adjustRightInd w:val="0"/>
        <w:snapToGrid w:val="0"/>
        <w:ind w:firstLine="480" w:firstLineChars="200"/>
        <w:rPr>
          <w:rFonts w:hint="eastAsia" w:cs="宋体"/>
          <w:szCs w:val="24"/>
        </w:rPr>
      </w:pPr>
      <w:r>
        <w:rPr>
          <w:rFonts w:hint="eastAsia" w:cs="宋体"/>
          <w:szCs w:val="24"/>
        </w:rPr>
        <w:t>16.1响应文件应在供应商客户端中进行编制，在响应文件中要求加盖印章的，除有特殊说明之外，可使用电子签章签署。</w:t>
      </w:r>
    </w:p>
    <w:p w14:paraId="6FD5FFC6">
      <w:pPr>
        <w:pStyle w:val="25"/>
        <w:adjustRightInd w:val="0"/>
        <w:snapToGrid w:val="0"/>
        <w:ind w:firstLine="480"/>
        <w:rPr>
          <w:rFonts w:hint="eastAsia" w:cs="宋体"/>
          <w:szCs w:val="24"/>
        </w:rPr>
      </w:pPr>
      <w:r>
        <w:rPr>
          <w:rFonts w:hint="eastAsia" w:cs="宋体"/>
          <w:szCs w:val="24"/>
        </w:rPr>
        <w:t>16.2供应商在供应商客户端中按照供应商客户端中的格式要求填写响应内容后，生成响应文件。供应商须按照竞争性磋商文件的要求使用电子签章对要求加盖印章的部分逐一进行签章。</w:t>
      </w:r>
    </w:p>
    <w:p w14:paraId="4BB98241">
      <w:pPr>
        <w:pStyle w:val="25"/>
        <w:adjustRightInd w:val="0"/>
        <w:snapToGrid w:val="0"/>
        <w:ind w:firstLine="480"/>
        <w:rPr>
          <w:rFonts w:hint="eastAsia" w:cs="宋体"/>
          <w:szCs w:val="24"/>
        </w:rPr>
      </w:pPr>
      <w:r>
        <w:rPr>
          <w:rFonts w:hint="eastAsia" w:cs="宋体"/>
          <w:szCs w:val="24"/>
        </w:rPr>
        <w:t>16.3供应商应详细阅读竞争性磋商文件的全部内容。响应文件须对竞争性磋商文件中的内容作出实质性和完整的响应，如果响应文件填报的内容不详，或没有提供竞争性磋商文件中所要求的全部资料及数据，将可能</w:t>
      </w:r>
      <w:r>
        <w:rPr>
          <w:rFonts w:hint="eastAsia" w:cs="宋体"/>
          <w:b/>
          <w:bCs/>
          <w:szCs w:val="24"/>
        </w:rPr>
        <w:t>导致其响应无效</w:t>
      </w:r>
      <w:r>
        <w:rPr>
          <w:rFonts w:hint="eastAsia" w:cs="宋体"/>
          <w:szCs w:val="24"/>
        </w:rPr>
        <w:t>。</w:t>
      </w:r>
    </w:p>
    <w:p w14:paraId="2084E86D">
      <w:pPr>
        <w:pStyle w:val="25"/>
        <w:adjustRightInd w:val="0"/>
        <w:snapToGrid w:val="0"/>
        <w:ind w:firstLine="480"/>
        <w:rPr>
          <w:rFonts w:hint="eastAsia" w:cs="宋体"/>
          <w:szCs w:val="24"/>
        </w:rPr>
      </w:pPr>
      <w:r>
        <w:rPr>
          <w:rFonts w:hint="eastAsia" w:cs="宋体"/>
          <w:szCs w:val="24"/>
        </w:rPr>
        <w:t>16.4响应文件须严格按照本竞争性磋商文件第六章规定的格式提交，并按规定的统一格式逐项填写，不准有空项；无相应内容可填的项，应填写“无”、“未测试”、“没有相应指标”等明确的回答文字。由于编排混乱导致响应文件被误读或查找不到，其责任由供应商承担。</w:t>
      </w:r>
    </w:p>
    <w:p w14:paraId="71265CA2">
      <w:pPr>
        <w:pStyle w:val="25"/>
        <w:adjustRightInd w:val="0"/>
        <w:snapToGrid w:val="0"/>
        <w:ind w:firstLine="480"/>
        <w:rPr>
          <w:rFonts w:hint="eastAsia" w:cs="宋体"/>
          <w:szCs w:val="24"/>
        </w:rPr>
      </w:pPr>
      <w:r>
        <w:rPr>
          <w:rFonts w:hint="eastAsia" w:cs="宋体"/>
          <w:szCs w:val="24"/>
        </w:rPr>
        <w:t>16.5供应商须注意：为合理节约政府采购评审成本，提倡诚实信用的磋商行为，特别要求供应商应本着诚信精神，在本次响应文件的偏离表中，均以审慎的态度明确、清楚地披露各项偏离。若供应商对某一事项是否存在或是否属于偏离不能确定，亦必须在偏离表中清楚地表明该偏离事项，并可以注明不能确定的字样。任何情况下，对于供应商没有在偏离表中明确、清楚地披露的事项，包括可能属于被供应商在偏离表中遗漏披露的事项，一旦在评审中被发现存在偏离或被认定为属于偏离，则评审委员会有权视具体情形评审时予以处理，</w:t>
      </w:r>
      <w:r>
        <w:rPr>
          <w:rFonts w:hint="eastAsia" w:cs="宋体"/>
          <w:b/>
          <w:bCs/>
          <w:szCs w:val="24"/>
        </w:rPr>
        <w:t>将可能导致响应无效</w:t>
      </w:r>
      <w:r>
        <w:rPr>
          <w:rFonts w:hint="eastAsia" w:cs="宋体"/>
          <w:szCs w:val="24"/>
        </w:rPr>
        <w:t>。</w:t>
      </w:r>
    </w:p>
    <w:p w14:paraId="54FCBEFF">
      <w:pPr>
        <w:pStyle w:val="25"/>
        <w:adjustRightInd w:val="0"/>
        <w:snapToGrid w:val="0"/>
        <w:ind w:firstLine="480"/>
        <w:rPr>
          <w:rFonts w:hint="eastAsia" w:cs="宋体"/>
          <w:szCs w:val="24"/>
        </w:rPr>
      </w:pPr>
      <w:r>
        <w:rPr>
          <w:rFonts w:hint="eastAsia" w:cs="宋体"/>
          <w:szCs w:val="24"/>
        </w:rPr>
        <w:t>16.6供应商必须保证响应文件所提供的全部资料真实可靠，并接受采购人、采购代理机构或评审委员会对其中任何资料进一步审查的要求。</w:t>
      </w:r>
    </w:p>
    <w:p w14:paraId="7064EC31">
      <w:pPr>
        <w:pStyle w:val="25"/>
        <w:adjustRightInd w:val="0"/>
        <w:snapToGrid w:val="0"/>
        <w:ind w:firstLine="480"/>
        <w:rPr>
          <w:rFonts w:hint="eastAsia" w:cs="宋体"/>
          <w:szCs w:val="24"/>
        </w:rPr>
      </w:pPr>
      <w:r>
        <w:rPr>
          <w:rFonts w:hint="eastAsia" w:cs="宋体"/>
          <w:szCs w:val="24"/>
        </w:rPr>
        <w:t>16.7供应商在响应文件及相关文件的签订、履行、通知等事项的文件中的单位盖章、印章、公章等处均指与当事人全称相一致的标准公章，不得使用其他形式（如带有“专用章”等字样的印章）。不符合本条规定的按</w:t>
      </w:r>
      <w:r>
        <w:rPr>
          <w:rFonts w:hint="eastAsia" w:cs="宋体"/>
          <w:b/>
          <w:bCs/>
          <w:szCs w:val="24"/>
        </w:rPr>
        <w:t>无效响应</w:t>
      </w:r>
      <w:r>
        <w:rPr>
          <w:rFonts w:hint="eastAsia" w:cs="宋体"/>
          <w:szCs w:val="24"/>
        </w:rPr>
        <w:t>处理。</w:t>
      </w:r>
    </w:p>
    <w:p w14:paraId="4071B617">
      <w:pPr>
        <w:pStyle w:val="58"/>
        <w:adjustRightInd w:val="0"/>
        <w:snapToGrid w:val="0"/>
        <w:spacing w:line="360" w:lineRule="auto"/>
        <w:ind w:firstLine="480" w:firstLineChars="200"/>
        <w:rPr>
          <w:rFonts w:hint="eastAsia" w:ascii="宋体" w:hAnsi="宋体" w:eastAsia="宋体" w:cs="宋体"/>
          <w:kern w:val="2"/>
          <w:sz w:val="24"/>
          <w:szCs w:val="24"/>
          <w:shd w:val="clear" w:color="auto" w:fill="FFFFFF" w:themeFill="background1"/>
        </w:rPr>
      </w:pPr>
      <w:r>
        <w:rPr>
          <w:rFonts w:hint="eastAsia" w:ascii="宋体" w:hAnsi="宋体" w:eastAsia="宋体" w:cs="宋体"/>
          <w:kern w:val="2"/>
          <w:sz w:val="24"/>
          <w:szCs w:val="24"/>
          <w:shd w:val="clear" w:color="auto" w:fill="FFFFFF" w:themeFill="background1"/>
        </w:rPr>
        <w:t>16.8电子响应文件的编制</w:t>
      </w:r>
    </w:p>
    <w:p w14:paraId="4A87E245">
      <w:pPr>
        <w:pStyle w:val="58"/>
        <w:adjustRightInd w:val="0"/>
        <w:snapToGrid w:val="0"/>
        <w:spacing w:line="360" w:lineRule="auto"/>
        <w:ind w:firstLine="480" w:firstLineChars="200"/>
        <w:rPr>
          <w:rFonts w:hint="eastAsia" w:ascii="宋体" w:hAnsi="宋体" w:eastAsia="宋体" w:cs="宋体"/>
          <w:kern w:val="2"/>
          <w:sz w:val="24"/>
          <w:szCs w:val="24"/>
          <w:shd w:val="clear" w:color="auto" w:fill="FFFFFF" w:themeFill="background1"/>
        </w:rPr>
      </w:pPr>
      <w:r>
        <w:rPr>
          <w:rFonts w:hint="eastAsia" w:ascii="宋体" w:hAnsi="宋体" w:eastAsia="宋体" w:cs="宋体"/>
          <w:kern w:val="2"/>
          <w:sz w:val="24"/>
          <w:szCs w:val="24"/>
          <w:shd w:val="clear" w:color="auto" w:fill="FFFFFF" w:themeFill="background1"/>
        </w:rPr>
        <w:t xml:space="preserve">16.8.1电子响应文件需按竞争性磋商文件要求进行制作编制。响应文件制作时，不同内容按标签提示制作导入，按照竞争性磋商文件中明确的响应文件目录和格式进行编制，保证目录清晰、内容完整。           </w:t>
      </w:r>
    </w:p>
    <w:p w14:paraId="1D4C561F">
      <w:pPr>
        <w:adjustRightInd w:val="0"/>
        <w:snapToGrid w:val="0"/>
        <w:ind w:firstLine="480" w:firstLineChars="200"/>
        <w:rPr>
          <w:rFonts w:hint="eastAsia" w:cs="宋体"/>
          <w:szCs w:val="24"/>
          <w:shd w:val="clear" w:color="auto" w:fill="FFFFFF" w:themeFill="background1"/>
        </w:rPr>
      </w:pPr>
      <w:r>
        <w:rPr>
          <w:rFonts w:hint="eastAsia" w:cs="宋体"/>
          <w:szCs w:val="24"/>
          <w:shd w:val="clear" w:color="auto" w:fill="FFFFFF" w:themeFill="background1"/>
        </w:rPr>
        <w:t>16.8.2电子磋商文件及响应文件具有法律效力，与其他形式的磋商文件及响应文件在内容和格式上等同，若响应文件与竞争性磋商文件要求不一致，其内容影响成交结果时，责任由供应商自行承担。供应商递交的电子响应文件因供应商自身原因而导致无法导入电子辅助评标系统，该响应文件视为无效响应文件，</w:t>
      </w:r>
      <w:r>
        <w:rPr>
          <w:rFonts w:hint="eastAsia" w:cs="宋体"/>
          <w:b/>
          <w:bCs/>
          <w:szCs w:val="24"/>
          <w:shd w:val="clear" w:color="auto" w:fill="FFFFFF" w:themeFill="background1"/>
        </w:rPr>
        <w:t>其响应无效</w:t>
      </w:r>
      <w:r>
        <w:rPr>
          <w:rFonts w:hint="eastAsia" w:cs="宋体"/>
          <w:szCs w:val="24"/>
          <w:shd w:val="clear" w:color="auto" w:fill="FFFFFF" w:themeFill="background1"/>
        </w:rPr>
        <w:t>。</w:t>
      </w:r>
    </w:p>
    <w:p w14:paraId="72852751">
      <w:pPr>
        <w:pStyle w:val="8"/>
        <w:keepNext w:val="0"/>
        <w:keepLines w:val="0"/>
        <w:adjustRightInd w:val="0"/>
        <w:snapToGrid w:val="0"/>
        <w:spacing w:before="0" w:after="0" w:line="360" w:lineRule="auto"/>
        <w:ind w:left="420" w:hanging="420"/>
        <w:rPr>
          <w:rFonts w:hint="eastAsia" w:cs="宋体"/>
          <w:sz w:val="24"/>
          <w:szCs w:val="24"/>
        </w:rPr>
      </w:pPr>
      <w:bookmarkStart w:id="272" w:name="_Toc109899971"/>
      <w:bookmarkStart w:id="273" w:name="_Toc46771659"/>
      <w:bookmarkStart w:id="274" w:name="_Toc109899552"/>
      <w:bookmarkStart w:id="275" w:name="_Toc109900390"/>
      <w:bookmarkStart w:id="276" w:name="_Toc470172684"/>
      <w:bookmarkStart w:id="277" w:name="_Toc109897453"/>
      <w:bookmarkStart w:id="278" w:name="_Toc21993"/>
      <w:bookmarkStart w:id="279" w:name="_Toc11985"/>
      <w:bookmarkStart w:id="280" w:name="_Toc163493614"/>
      <w:bookmarkStart w:id="281" w:name="_Toc26555"/>
      <w:r>
        <w:rPr>
          <w:rFonts w:hint="eastAsia" w:cs="宋体"/>
          <w:sz w:val="24"/>
          <w:szCs w:val="24"/>
        </w:rPr>
        <w:t>（四）响应文件的</w:t>
      </w:r>
      <w:bookmarkEnd w:id="272"/>
      <w:bookmarkEnd w:id="273"/>
      <w:bookmarkEnd w:id="274"/>
      <w:bookmarkEnd w:id="275"/>
      <w:bookmarkEnd w:id="276"/>
      <w:bookmarkEnd w:id="277"/>
      <w:r>
        <w:rPr>
          <w:rFonts w:hint="eastAsia" w:cs="宋体"/>
          <w:sz w:val="24"/>
          <w:szCs w:val="24"/>
        </w:rPr>
        <w:t>递交</w:t>
      </w:r>
      <w:bookmarkEnd w:id="278"/>
      <w:bookmarkEnd w:id="279"/>
      <w:bookmarkEnd w:id="280"/>
      <w:bookmarkEnd w:id="281"/>
    </w:p>
    <w:p w14:paraId="01810122">
      <w:pPr>
        <w:pStyle w:val="9"/>
        <w:keepNext w:val="0"/>
        <w:keepLines w:val="0"/>
        <w:adjustRightInd w:val="0"/>
        <w:snapToGrid w:val="0"/>
        <w:spacing w:before="0" w:after="0" w:line="360" w:lineRule="auto"/>
        <w:ind w:left="420" w:hanging="420"/>
        <w:rPr>
          <w:rFonts w:hint="eastAsia" w:ascii="宋体" w:hAnsi="宋体" w:cs="宋体"/>
          <w:sz w:val="24"/>
          <w:szCs w:val="24"/>
        </w:rPr>
      </w:pPr>
      <w:bookmarkStart w:id="282" w:name="_Toc109900070"/>
      <w:bookmarkStart w:id="283" w:name="_Toc109900489"/>
      <w:bookmarkStart w:id="284" w:name="_Toc109899651"/>
      <w:bookmarkStart w:id="285" w:name="_Toc109897552"/>
      <w:bookmarkStart w:id="286" w:name="_Toc155095707"/>
      <w:bookmarkStart w:id="287" w:name="_Toc156490296"/>
      <w:bookmarkStart w:id="288" w:name="_Toc109899652"/>
      <w:bookmarkStart w:id="289" w:name="_Toc109900071"/>
      <w:bookmarkStart w:id="290" w:name="_Toc109900490"/>
      <w:bookmarkStart w:id="291" w:name="_Toc109897553"/>
      <w:bookmarkStart w:id="292" w:name="_Toc155095708"/>
      <w:bookmarkStart w:id="293" w:name="_Toc156490297"/>
      <w:r>
        <w:rPr>
          <w:rFonts w:hint="eastAsia" w:ascii="宋体" w:hAnsi="宋体" w:cs="宋体"/>
          <w:sz w:val="24"/>
          <w:szCs w:val="24"/>
        </w:rPr>
        <w:t>17.磋商保证金</w:t>
      </w:r>
    </w:p>
    <w:p w14:paraId="1A207ACD">
      <w:pPr>
        <w:pStyle w:val="58"/>
        <w:adjustRightInd w:val="0"/>
        <w:snapToGrid w:val="0"/>
        <w:spacing w:line="360" w:lineRule="auto"/>
        <w:ind w:firstLine="480" w:firstLineChars="200"/>
        <w:rPr>
          <w:rFonts w:hint="eastAsia" w:ascii="宋体" w:hAnsi="宋体" w:eastAsia="宋体" w:cs="宋体"/>
          <w:kern w:val="2"/>
          <w:sz w:val="24"/>
          <w:szCs w:val="24"/>
          <w:shd w:val="clear" w:color="auto" w:fill="FFFFFF" w:themeFill="background1"/>
        </w:rPr>
      </w:pPr>
      <w:r>
        <w:rPr>
          <w:rFonts w:hint="eastAsia" w:ascii="宋体" w:hAnsi="宋体" w:eastAsia="宋体" w:cs="宋体"/>
          <w:kern w:val="2"/>
          <w:sz w:val="24"/>
          <w:szCs w:val="24"/>
          <w:shd w:val="clear" w:color="auto" w:fill="FFFFFF" w:themeFill="background1"/>
        </w:rPr>
        <w:t>17.1供应商应按照竞争性磋商文件“供应商须知前附表”规定的金额及要求交纳磋商保证金。供应商自愿超额缴纳磋商保证金的，响应文件不做无效处理。</w:t>
      </w:r>
    </w:p>
    <w:p w14:paraId="77BF1621">
      <w:pPr>
        <w:adjustRightInd w:val="0"/>
        <w:snapToGrid w:val="0"/>
        <w:ind w:firstLine="480" w:firstLineChars="200"/>
        <w:rPr>
          <w:rFonts w:hint="eastAsia" w:cs="宋体"/>
          <w:szCs w:val="24"/>
          <w:shd w:val="clear" w:color="auto" w:fill="FFFFFF" w:themeFill="background1"/>
        </w:rPr>
      </w:pPr>
      <w:r>
        <w:rPr>
          <w:rFonts w:hint="eastAsia" w:cs="宋体"/>
          <w:szCs w:val="24"/>
          <w:shd w:val="clear" w:color="auto" w:fill="FFFFFF" w:themeFill="background1"/>
        </w:rPr>
        <w:t>17.2交纳磋商保证金可采用的形式：政府采购法律法规接受的支票、汇票、本票、网上银行支付或者金融机构、担保机构出具的保函等非现金形式。未按磋商文件要求提交磋商保证金的，其</w:t>
      </w:r>
      <w:r>
        <w:rPr>
          <w:rFonts w:hint="eastAsia" w:cs="宋体"/>
          <w:b/>
          <w:bCs/>
          <w:szCs w:val="24"/>
          <w:shd w:val="clear" w:color="auto" w:fill="FFFFFF" w:themeFill="background1"/>
        </w:rPr>
        <w:t>响应无效</w:t>
      </w:r>
      <w:r>
        <w:rPr>
          <w:rFonts w:hint="eastAsia" w:cs="宋体"/>
          <w:szCs w:val="24"/>
          <w:shd w:val="clear" w:color="auto" w:fill="FFFFFF" w:themeFill="background1"/>
        </w:rPr>
        <w:t>。</w:t>
      </w:r>
      <w:r>
        <w:rPr>
          <w:rFonts w:hint="eastAsia" w:cs="宋体"/>
          <w:szCs w:val="24"/>
        </w:rPr>
        <w:t>磋商保证金有效期同响应文件有效期。</w:t>
      </w:r>
    </w:p>
    <w:p w14:paraId="0C3CACC6">
      <w:pPr>
        <w:pStyle w:val="10"/>
        <w:adjustRightInd w:val="0"/>
        <w:snapToGrid w:val="0"/>
        <w:ind w:firstLine="480"/>
        <w:rPr>
          <w:rFonts w:hint="eastAsia" w:ascii="宋体" w:hAnsi="宋体" w:cs="宋体"/>
          <w:szCs w:val="24"/>
          <w:shd w:val="clear" w:color="auto" w:fill="FFFFFF" w:themeFill="background1"/>
        </w:rPr>
      </w:pPr>
      <w:r>
        <w:rPr>
          <w:rFonts w:hint="eastAsia" w:ascii="宋体" w:hAnsi="宋体" w:cs="宋体"/>
          <w:szCs w:val="24"/>
          <w:shd w:val="clear" w:color="auto" w:fill="FFFFFF" w:themeFill="background1"/>
        </w:rPr>
        <w:t>17.3磋商保证金到账（保函提交）截止时间同响应文件递交截止时间。以支票、汇票、本票、网上银行支付等形式提交磋商保证金的，应在响应文件递交截止时间前到账；以金融机构、担保机构出具的保函等形式提交磋商保证金的，应在响应文件递交截止时间前将磋商保证金支付原件扫描后作为响应文件的组成部分与响应文件一起上传。由于到账时间晚于响应文件递交截止时间，或者票据错误、印鉴不清等原因导致不能到账的，其</w:t>
      </w:r>
      <w:r>
        <w:rPr>
          <w:rFonts w:hint="eastAsia" w:ascii="宋体" w:hAnsi="宋体" w:cs="宋体"/>
          <w:b/>
          <w:bCs/>
          <w:szCs w:val="24"/>
          <w:shd w:val="clear" w:color="auto" w:fill="FFFFFF" w:themeFill="background1"/>
        </w:rPr>
        <w:t>响应无效</w:t>
      </w:r>
      <w:r>
        <w:rPr>
          <w:rFonts w:hint="eastAsia" w:ascii="宋体" w:hAnsi="宋体" w:cs="宋体"/>
          <w:szCs w:val="24"/>
          <w:shd w:val="clear" w:color="auto" w:fill="FFFFFF" w:themeFill="background1"/>
        </w:rPr>
        <w:t>。</w:t>
      </w:r>
    </w:p>
    <w:p w14:paraId="7EBFBB8B">
      <w:pPr>
        <w:pStyle w:val="58"/>
        <w:adjustRightInd w:val="0"/>
        <w:snapToGrid w:val="0"/>
        <w:spacing w:line="360" w:lineRule="auto"/>
        <w:ind w:firstLine="480" w:firstLineChars="200"/>
        <w:rPr>
          <w:rFonts w:hint="eastAsia" w:ascii="宋体" w:hAnsi="宋体" w:eastAsia="宋体" w:cs="宋体"/>
          <w:kern w:val="2"/>
          <w:sz w:val="24"/>
          <w:szCs w:val="24"/>
          <w:shd w:val="clear" w:color="auto" w:fill="FFFFFF" w:themeFill="background1"/>
        </w:rPr>
      </w:pPr>
      <w:r>
        <w:rPr>
          <w:rFonts w:hint="eastAsia" w:ascii="宋体" w:hAnsi="宋体" w:eastAsia="宋体" w:cs="宋体"/>
          <w:kern w:val="2"/>
          <w:sz w:val="24"/>
          <w:szCs w:val="24"/>
          <w:shd w:val="clear" w:color="auto" w:fill="FFFFFF" w:themeFill="background1"/>
        </w:rPr>
        <w:t xml:space="preserve">17.4 供应商为联合体的，可以由联合体中的一方或者多方共同交纳磋商保证金，其交纳的磋商保证金对联合体各方均具有约束力。 </w:t>
      </w:r>
    </w:p>
    <w:p w14:paraId="6E02FB95">
      <w:pPr>
        <w:pStyle w:val="58"/>
        <w:adjustRightInd w:val="0"/>
        <w:snapToGrid w:val="0"/>
        <w:spacing w:line="360" w:lineRule="auto"/>
        <w:ind w:firstLine="480" w:firstLineChars="200"/>
        <w:rPr>
          <w:rFonts w:hint="eastAsia" w:ascii="宋体" w:hAnsi="宋体" w:eastAsia="宋体" w:cs="宋体"/>
          <w:kern w:val="2"/>
          <w:sz w:val="24"/>
          <w:szCs w:val="24"/>
          <w:shd w:val="clear" w:color="auto" w:fill="FFFFFF" w:themeFill="background1"/>
        </w:rPr>
      </w:pPr>
      <w:r>
        <w:rPr>
          <w:rFonts w:hint="eastAsia" w:ascii="宋体" w:hAnsi="宋体" w:eastAsia="宋体" w:cs="宋体"/>
          <w:kern w:val="2"/>
          <w:sz w:val="24"/>
          <w:szCs w:val="24"/>
          <w:shd w:val="clear" w:color="auto" w:fill="FFFFFF" w:themeFill="background1"/>
        </w:rPr>
        <w:t xml:space="preserve">17.5采购人或者采购代理机构应当在采购活动结束后及时退还供应商的磋商保证金，采用银行保函、担保机构担保函等形式递交的磋商保证金，经供应商同意后采购人、采购代理机构可以不再退还，但因供应商自身原因导致无法及时退还的除外。未成交供应商的磋商保证金应当自成交通知书发出之日起 5 个工作日内退还，成交供应商的磋商保证金应当自采购合同签订之日起 5 个工作日内退还。 </w:t>
      </w:r>
    </w:p>
    <w:p w14:paraId="48C6EAF6">
      <w:pPr>
        <w:pStyle w:val="58"/>
        <w:adjustRightInd w:val="0"/>
        <w:snapToGrid w:val="0"/>
        <w:spacing w:line="360" w:lineRule="auto"/>
        <w:ind w:firstLine="480" w:firstLineChars="200"/>
        <w:rPr>
          <w:rFonts w:hint="eastAsia" w:ascii="宋体" w:hAnsi="宋体" w:eastAsia="宋体" w:cs="宋体"/>
          <w:kern w:val="2"/>
          <w:sz w:val="24"/>
          <w:szCs w:val="24"/>
          <w:shd w:val="clear" w:color="auto" w:fill="FFFFFF" w:themeFill="background1"/>
        </w:rPr>
      </w:pPr>
      <w:r>
        <w:rPr>
          <w:rFonts w:hint="eastAsia" w:ascii="宋体" w:hAnsi="宋体" w:eastAsia="宋体" w:cs="宋体"/>
          <w:kern w:val="2"/>
          <w:sz w:val="24"/>
          <w:szCs w:val="24"/>
          <w:shd w:val="clear" w:color="auto" w:fill="FFFFFF" w:themeFill="background1"/>
        </w:rPr>
        <w:t xml:space="preserve">17.6 供应商在响应文件递交截止时间前撤回已提交的响应文件的，自收到供应商书面撤回通知之日起 5 个工作日内，退还已收取的磋商保证金，但因供应商自身原因导致无法及时退还的除外。 </w:t>
      </w:r>
    </w:p>
    <w:p w14:paraId="6C0BF0B3">
      <w:pPr>
        <w:pStyle w:val="58"/>
        <w:adjustRightInd w:val="0"/>
        <w:snapToGrid w:val="0"/>
        <w:spacing w:line="360" w:lineRule="auto"/>
        <w:ind w:firstLine="480" w:firstLineChars="200"/>
        <w:rPr>
          <w:rFonts w:hint="eastAsia" w:ascii="宋体" w:hAnsi="宋体" w:eastAsia="宋体" w:cs="宋体"/>
          <w:kern w:val="2"/>
          <w:sz w:val="24"/>
          <w:szCs w:val="24"/>
          <w:shd w:val="clear" w:color="auto" w:fill="FFFFFF" w:themeFill="background1"/>
        </w:rPr>
      </w:pPr>
      <w:r>
        <w:rPr>
          <w:rFonts w:hint="eastAsia" w:ascii="宋体" w:hAnsi="宋体" w:eastAsia="宋体" w:cs="宋体"/>
          <w:kern w:val="2"/>
          <w:sz w:val="24"/>
          <w:szCs w:val="24"/>
          <w:shd w:val="clear" w:color="auto" w:fill="FFFFFF" w:themeFill="background1"/>
        </w:rPr>
        <w:t>17.7 终止磋商的项目已经收取磋商保证金的，自终止采购活动后5个工作日内退还已收取的磋商保证金及其在银行产生的孳息。</w:t>
      </w:r>
    </w:p>
    <w:p w14:paraId="63FB6EE6">
      <w:pPr>
        <w:pStyle w:val="58"/>
        <w:adjustRightInd w:val="0"/>
        <w:snapToGrid w:val="0"/>
        <w:spacing w:line="360" w:lineRule="auto"/>
        <w:ind w:firstLine="480" w:firstLineChars="200"/>
        <w:rPr>
          <w:rFonts w:hint="eastAsia" w:ascii="宋体" w:hAnsi="宋体" w:eastAsia="宋体" w:cs="宋体"/>
          <w:kern w:val="2"/>
          <w:sz w:val="24"/>
          <w:szCs w:val="24"/>
          <w:shd w:val="clear" w:color="auto" w:fill="FFFFFF" w:themeFill="background1"/>
        </w:rPr>
      </w:pPr>
      <w:r>
        <w:rPr>
          <w:rFonts w:hint="eastAsia" w:ascii="宋体" w:hAnsi="宋体" w:eastAsia="宋体" w:cs="宋体"/>
          <w:kern w:val="2"/>
          <w:sz w:val="24"/>
          <w:szCs w:val="24"/>
          <w:shd w:val="clear" w:color="auto" w:fill="FFFFFF" w:themeFill="background1"/>
        </w:rPr>
        <w:t>17.8有下列情形之一的，磋商保证金不予退还,</w:t>
      </w:r>
      <w:r>
        <w:rPr>
          <w:rFonts w:hint="eastAsia" w:ascii="宋体" w:hAnsi="宋体" w:eastAsia="宋体" w:cs="宋体"/>
          <w:kern w:val="2"/>
          <w:sz w:val="24"/>
          <w:szCs w:val="24"/>
        </w:rPr>
        <w:t>情节严重的将其列入不良记录名单</w:t>
      </w:r>
      <w:r>
        <w:rPr>
          <w:rFonts w:hint="eastAsia" w:ascii="宋体" w:hAnsi="宋体" w:eastAsia="宋体" w:cs="宋体"/>
          <w:kern w:val="2"/>
          <w:sz w:val="24"/>
          <w:szCs w:val="24"/>
          <w:shd w:val="clear" w:color="auto" w:fill="FFFFFF" w:themeFill="background1"/>
        </w:rPr>
        <w:t xml:space="preserve">： </w:t>
      </w:r>
    </w:p>
    <w:p w14:paraId="56909F59">
      <w:pPr>
        <w:pStyle w:val="58"/>
        <w:adjustRightInd w:val="0"/>
        <w:snapToGrid w:val="0"/>
        <w:spacing w:line="360" w:lineRule="auto"/>
        <w:ind w:firstLine="480" w:firstLineChars="200"/>
        <w:rPr>
          <w:rFonts w:hint="eastAsia" w:ascii="宋体" w:hAnsi="宋体" w:eastAsia="宋体" w:cs="宋体"/>
          <w:kern w:val="2"/>
          <w:sz w:val="24"/>
          <w:szCs w:val="24"/>
          <w:shd w:val="clear" w:color="auto" w:fill="FFFFFF" w:themeFill="background1"/>
        </w:rPr>
      </w:pPr>
      <w:r>
        <w:rPr>
          <w:rFonts w:hint="eastAsia" w:ascii="宋体" w:hAnsi="宋体" w:eastAsia="宋体" w:cs="宋体"/>
          <w:kern w:val="2"/>
          <w:sz w:val="24"/>
          <w:szCs w:val="24"/>
          <w:shd w:val="clear" w:color="auto" w:fill="FFFFFF" w:themeFill="background1"/>
        </w:rPr>
        <w:t xml:space="preserve">17.8.1供应商在提交响应文件截止时间后撤回响应文件的； </w:t>
      </w:r>
    </w:p>
    <w:p w14:paraId="6BDEA651">
      <w:pPr>
        <w:pStyle w:val="58"/>
        <w:adjustRightInd w:val="0"/>
        <w:snapToGrid w:val="0"/>
        <w:spacing w:line="360" w:lineRule="auto"/>
        <w:ind w:firstLine="480" w:firstLineChars="200"/>
        <w:rPr>
          <w:rFonts w:hint="eastAsia" w:ascii="宋体" w:hAnsi="宋体" w:eastAsia="宋体" w:cs="宋体"/>
          <w:kern w:val="2"/>
          <w:sz w:val="24"/>
          <w:szCs w:val="24"/>
          <w:shd w:val="clear" w:color="auto" w:fill="FFFFFF" w:themeFill="background1"/>
        </w:rPr>
      </w:pPr>
      <w:r>
        <w:rPr>
          <w:rFonts w:hint="eastAsia" w:ascii="宋体" w:hAnsi="宋体" w:eastAsia="宋体" w:cs="宋体"/>
          <w:kern w:val="2"/>
          <w:sz w:val="24"/>
          <w:szCs w:val="24"/>
          <w:shd w:val="clear" w:color="auto" w:fill="FFFFFF" w:themeFill="background1"/>
        </w:rPr>
        <w:t xml:space="preserve">17.8.2供应商在响应文件中提供虚假材料的； </w:t>
      </w:r>
    </w:p>
    <w:p w14:paraId="120042A8">
      <w:pPr>
        <w:pStyle w:val="58"/>
        <w:adjustRightInd w:val="0"/>
        <w:snapToGrid w:val="0"/>
        <w:spacing w:line="360" w:lineRule="auto"/>
        <w:ind w:firstLine="480" w:firstLineChars="200"/>
        <w:rPr>
          <w:rFonts w:hint="eastAsia" w:ascii="宋体" w:hAnsi="宋体" w:eastAsia="宋体" w:cs="宋体"/>
          <w:kern w:val="2"/>
          <w:sz w:val="24"/>
          <w:szCs w:val="24"/>
          <w:shd w:val="clear" w:color="auto" w:fill="FFFFFF" w:themeFill="background1"/>
        </w:rPr>
      </w:pPr>
      <w:r>
        <w:rPr>
          <w:rFonts w:hint="eastAsia" w:ascii="宋体" w:hAnsi="宋体" w:eastAsia="宋体" w:cs="宋体"/>
          <w:kern w:val="2"/>
          <w:sz w:val="24"/>
          <w:szCs w:val="24"/>
          <w:shd w:val="clear" w:color="auto" w:fill="FFFFFF" w:themeFill="background1"/>
        </w:rPr>
        <w:t xml:space="preserve">17.8.3除因不可抗力或磋商文件认可的情形以外，成交供应商不与采购人签订合同的； </w:t>
      </w:r>
    </w:p>
    <w:p w14:paraId="5C8617B0">
      <w:pPr>
        <w:pStyle w:val="58"/>
        <w:adjustRightInd w:val="0"/>
        <w:snapToGrid w:val="0"/>
        <w:spacing w:line="360" w:lineRule="auto"/>
        <w:ind w:firstLine="480" w:firstLineChars="200"/>
        <w:rPr>
          <w:rFonts w:hint="eastAsia" w:ascii="宋体" w:hAnsi="宋体" w:eastAsia="宋体" w:cs="宋体"/>
          <w:kern w:val="2"/>
          <w:sz w:val="24"/>
          <w:szCs w:val="24"/>
          <w:shd w:val="clear" w:color="auto" w:fill="FFFFFF" w:themeFill="background1"/>
        </w:rPr>
      </w:pPr>
      <w:r>
        <w:rPr>
          <w:rFonts w:hint="eastAsia" w:ascii="宋体" w:hAnsi="宋体" w:eastAsia="宋体" w:cs="宋体"/>
          <w:kern w:val="2"/>
          <w:sz w:val="24"/>
          <w:szCs w:val="24"/>
          <w:shd w:val="clear" w:color="auto" w:fill="FFFFFF" w:themeFill="background1"/>
        </w:rPr>
        <w:t xml:space="preserve">17.8.4供应商与采购人、其他供应商或者采购代理机构恶意串通的； </w:t>
      </w:r>
    </w:p>
    <w:p w14:paraId="17490B0E">
      <w:pPr>
        <w:pStyle w:val="58"/>
        <w:adjustRightInd w:val="0"/>
        <w:snapToGrid w:val="0"/>
        <w:spacing w:line="360" w:lineRule="auto"/>
        <w:ind w:firstLine="480" w:firstLineChars="200"/>
        <w:rPr>
          <w:rFonts w:hint="eastAsia" w:ascii="宋体" w:hAnsi="宋体" w:eastAsia="宋体" w:cs="宋体"/>
          <w:kern w:val="2"/>
          <w:sz w:val="24"/>
          <w:szCs w:val="24"/>
          <w:shd w:val="clear" w:color="auto" w:fill="FFFFFF" w:themeFill="background1"/>
        </w:rPr>
      </w:pPr>
      <w:r>
        <w:rPr>
          <w:rFonts w:hint="eastAsia" w:ascii="宋体" w:hAnsi="宋体" w:eastAsia="宋体" w:cs="宋体"/>
          <w:kern w:val="2"/>
          <w:sz w:val="24"/>
          <w:szCs w:val="24"/>
          <w:shd w:val="clear" w:color="auto" w:fill="FFFFFF" w:themeFill="background1"/>
        </w:rPr>
        <w:t>17.8.5磋商文件规定的其他情形。</w:t>
      </w:r>
    </w:p>
    <w:p w14:paraId="17E6CCBD">
      <w:pPr>
        <w:pStyle w:val="58"/>
        <w:adjustRightInd w:val="0"/>
        <w:snapToGrid w:val="0"/>
        <w:spacing w:line="360" w:lineRule="auto"/>
        <w:ind w:firstLine="480" w:firstLineChars="200"/>
        <w:rPr>
          <w:rFonts w:hint="eastAsia" w:ascii="宋体" w:hAnsi="宋体" w:eastAsia="宋体" w:cs="宋体"/>
          <w:kern w:val="2"/>
          <w:sz w:val="24"/>
          <w:szCs w:val="24"/>
          <w:shd w:val="clear" w:color="auto" w:fill="FFFFFF" w:themeFill="background1"/>
        </w:rPr>
      </w:pPr>
      <w:r>
        <w:rPr>
          <w:rFonts w:hint="eastAsia" w:ascii="宋体" w:hAnsi="宋体" w:eastAsia="宋体" w:cs="宋体"/>
          <w:kern w:val="2"/>
          <w:sz w:val="24"/>
          <w:szCs w:val="24"/>
          <w:shd w:val="clear" w:color="auto" w:fill="FFFFFF" w:themeFill="background1"/>
        </w:rPr>
        <w:t>17.9如开启时供应商对本单位磋商保证金缴纳情况有疑义，供应商应在开启结束前向采购人提交书面申请核实保证金缴纳情况。由银行或保险公司核实后出具书面材料予以答复。</w:t>
      </w:r>
    </w:p>
    <w:p w14:paraId="7018BCE4">
      <w:pPr>
        <w:pStyle w:val="58"/>
        <w:adjustRightInd w:val="0"/>
        <w:snapToGrid w:val="0"/>
        <w:spacing w:line="360" w:lineRule="auto"/>
        <w:ind w:firstLine="480" w:firstLineChars="200"/>
        <w:rPr>
          <w:rFonts w:hint="eastAsia" w:ascii="宋体" w:hAnsi="宋体" w:eastAsia="宋体" w:cs="宋体"/>
          <w:kern w:val="2"/>
          <w:sz w:val="24"/>
          <w:szCs w:val="24"/>
          <w:shd w:val="clear" w:color="auto" w:fill="FFFFFF" w:themeFill="background1"/>
        </w:rPr>
      </w:pPr>
      <w:r>
        <w:rPr>
          <w:rFonts w:hint="eastAsia" w:ascii="宋体" w:hAnsi="宋体" w:eastAsia="宋体" w:cs="宋体"/>
          <w:kern w:val="2"/>
          <w:sz w:val="24"/>
          <w:szCs w:val="24"/>
          <w:shd w:val="clear" w:color="auto" w:fill="FFFFFF" w:themeFill="background1"/>
        </w:rPr>
        <w:t>17.10为支持和促进中小企业发展，进一步发挥政府采购政策功能，鼓励供应商使用电子保函代替现金缴纳磋商保证金，在线完成保函的申请、审核、开票、出函等环节，供应商企业注意区分办理保函类型，并确认响应文件有效期，如采用政采云电子保函，可登录“新疆政府采购网”—顶部通栏“信用融资”或者“新疆政府采购网”首页“政采贷｜电子保函”快捷模块查看：</w:t>
      </w:r>
    </w:p>
    <w:p w14:paraId="1F3A8C5E">
      <w:pPr>
        <w:pStyle w:val="58"/>
        <w:adjustRightInd w:val="0"/>
        <w:snapToGrid w:val="0"/>
        <w:spacing w:line="360" w:lineRule="auto"/>
        <w:ind w:firstLine="480" w:firstLineChars="200"/>
        <w:rPr>
          <w:rFonts w:hint="eastAsia" w:ascii="宋体" w:hAnsi="宋体" w:eastAsia="宋体" w:cs="宋体"/>
          <w:kern w:val="2"/>
          <w:sz w:val="24"/>
          <w:szCs w:val="24"/>
          <w:shd w:val="clear" w:color="auto" w:fill="FFFFFF" w:themeFill="background1"/>
        </w:rPr>
      </w:pPr>
      <w:r>
        <w:rPr>
          <w:rFonts w:hint="eastAsia" w:ascii="宋体" w:hAnsi="宋体" w:eastAsia="宋体" w:cs="宋体"/>
          <w:kern w:val="2"/>
          <w:sz w:val="24"/>
          <w:szCs w:val="24"/>
          <w:shd w:val="clear" w:color="auto" w:fill="FFFFFF" w:themeFill="background1"/>
        </w:rPr>
        <w:t>直达链接（电子保函）：</w:t>
      </w:r>
    </w:p>
    <w:p w14:paraId="15E30E92">
      <w:pPr>
        <w:pStyle w:val="58"/>
        <w:adjustRightInd w:val="0"/>
        <w:snapToGrid w:val="0"/>
        <w:spacing w:line="360" w:lineRule="auto"/>
        <w:ind w:firstLine="480" w:firstLineChars="200"/>
        <w:rPr>
          <w:rFonts w:hint="eastAsia" w:ascii="宋体" w:hAnsi="宋体" w:eastAsia="宋体" w:cs="宋体"/>
          <w:kern w:val="2"/>
          <w:sz w:val="24"/>
          <w:szCs w:val="24"/>
          <w:shd w:val="clear" w:color="auto" w:fill="FFFFFF" w:themeFill="background1"/>
        </w:rPr>
      </w:pPr>
      <w:r>
        <w:rPr>
          <w:rFonts w:hint="eastAsia" w:ascii="宋体" w:hAnsi="宋体" w:eastAsia="宋体" w:cs="宋体"/>
          <w:kern w:val="2"/>
          <w:sz w:val="24"/>
          <w:szCs w:val="24"/>
          <w:shd w:val="clear" w:color="auto" w:fill="FFFFFF" w:themeFill="background1"/>
        </w:rPr>
        <w:t>https://jinrong.zcygov.cn/luban/finance/xinjiang?utm=site.site-PC-4838.1473-pc-wsg-customFloatWindow-front.1.b9d627301e6311efb796b33a13fe0d0a</w:t>
      </w:r>
    </w:p>
    <w:p w14:paraId="071DFFA7">
      <w:pPr>
        <w:pStyle w:val="58"/>
        <w:adjustRightInd w:val="0"/>
        <w:snapToGrid w:val="0"/>
        <w:spacing w:line="360" w:lineRule="auto"/>
        <w:ind w:firstLine="480" w:firstLineChars="200"/>
        <w:rPr>
          <w:rFonts w:hint="eastAsia" w:ascii="宋体" w:hAnsi="宋体" w:eastAsia="宋体" w:cs="宋体"/>
          <w:kern w:val="2"/>
          <w:sz w:val="24"/>
          <w:szCs w:val="24"/>
          <w:shd w:val="clear" w:color="auto" w:fill="FFFFFF" w:themeFill="background1"/>
        </w:rPr>
      </w:pPr>
      <w:r>
        <w:rPr>
          <w:rFonts w:hint="eastAsia" w:ascii="宋体" w:hAnsi="宋体" w:eastAsia="宋体" w:cs="宋体"/>
          <w:kern w:val="2"/>
          <w:sz w:val="24"/>
          <w:szCs w:val="24"/>
          <w:shd w:val="clear" w:color="auto" w:fill="FFFFFF" w:themeFill="background1"/>
        </w:rPr>
        <w:t xml:space="preserve">金融服务支撑热线：0991-2661159     </w:t>
      </w:r>
    </w:p>
    <w:p w14:paraId="784B786D">
      <w:pPr>
        <w:pStyle w:val="9"/>
        <w:keepNext w:val="0"/>
        <w:keepLines w:val="0"/>
        <w:adjustRightInd w:val="0"/>
        <w:snapToGrid w:val="0"/>
        <w:spacing w:before="0" w:after="0" w:line="360" w:lineRule="auto"/>
        <w:ind w:left="420" w:hanging="420"/>
        <w:rPr>
          <w:rFonts w:hint="eastAsia" w:ascii="宋体" w:hAnsi="宋体" w:cs="宋体"/>
          <w:sz w:val="24"/>
          <w:szCs w:val="24"/>
        </w:rPr>
      </w:pPr>
      <w:r>
        <w:rPr>
          <w:rFonts w:hint="eastAsia" w:ascii="宋体" w:hAnsi="宋体" w:cs="宋体"/>
          <w:sz w:val="24"/>
          <w:szCs w:val="24"/>
        </w:rPr>
        <w:t>18.响应文件的</w:t>
      </w:r>
      <w:bookmarkEnd w:id="282"/>
      <w:bookmarkEnd w:id="283"/>
      <w:bookmarkEnd w:id="284"/>
      <w:bookmarkEnd w:id="285"/>
      <w:r>
        <w:rPr>
          <w:rFonts w:hint="eastAsia" w:ascii="宋体" w:hAnsi="宋体" w:cs="宋体"/>
          <w:sz w:val="24"/>
          <w:szCs w:val="24"/>
        </w:rPr>
        <w:t>加密</w:t>
      </w:r>
      <w:bookmarkEnd w:id="286"/>
      <w:bookmarkEnd w:id="287"/>
    </w:p>
    <w:p w14:paraId="105C769D">
      <w:pPr>
        <w:pStyle w:val="25"/>
        <w:adjustRightInd w:val="0"/>
        <w:snapToGrid w:val="0"/>
        <w:ind w:firstLine="480"/>
        <w:rPr>
          <w:rFonts w:hint="eastAsia" w:cs="宋体"/>
          <w:snapToGrid w:val="0"/>
          <w:szCs w:val="24"/>
          <w:lang w:val="zh-CN"/>
        </w:rPr>
      </w:pPr>
      <w:r>
        <w:rPr>
          <w:rFonts w:hint="eastAsia" w:cs="宋体"/>
          <w:snapToGrid w:val="0"/>
          <w:szCs w:val="24"/>
          <w:lang w:val="zh-CN"/>
        </w:rPr>
        <w:t>18.1 供应商在供应商客户端中生成响应文件并完成签章之后，使用CA证书在供应商客户端中对响应文件进行加密。</w:t>
      </w:r>
    </w:p>
    <w:p w14:paraId="0AE412D5">
      <w:pPr>
        <w:pStyle w:val="25"/>
        <w:adjustRightInd w:val="0"/>
        <w:snapToGrid w:val="0"/>
        <w:ind w:firstLine="480"/>
        <w:rPr>
          <w:rFonts w:hint="eastAsia" w:cs="宋体"/>
          <w:snapToGrid w:val="0"/>
          <w:szCs w:val="24"/>
          <w:lang w:val="zh-CN"/>
        </w:rPr>
      </w:pPr>
      <w:r>
        <w:rPr>
          <w:rFonts w:hint="eastAsia" w:cs="宋体"/>
          <w:snapToGrid w:val="0"/>
          <w:szCs w:val="24"/>
          <w:lang w:val="zh-CN"/>
        </w:rPr>
        <w:t>18.2 供应商应在供应商客户端中对加密的响应文件进行解密验证，以防止响应文件加密异常，在开启时无法解密。</w:t>
      </w:r>
    </w:p>
    <w:p w14:paraId="79A877BA">
      <w:pPr>
        <w:pStyle w:val="25"/>
        <w:adjustRightInd w:val="0"/>
        <w:snapToGrid w:val="0"/>
        <w:ind w:firstLine="480"/>
        <w:rPr>
          <w:rFonts w:hint="eastAsia" w:cs="宋体"/>
          <w:snapToGrid w:val="0"/>
          <w:szCs w:val="24"/>
          <w:lang w:val="zh-CN"/>
        </w:rPr>
      </w:pPr>
      <w:r>
        <w:rPr>
          <w:rFonts w:hint="eastAsia" w:cs="宋体"/>
          <w:snapToGrid w:val="0"/>
          <w:szCs w:val="24"/>
          <w:lang w:val="zh-CN"/>
        </w:rPr>
        <w:t>18.3 供应商应保证加密响应文件的CA证书有效期在开启时间之前。若CA证书有效期临近开启时间，建议供应商提前办理CA证书续期，以免开启时无法进行解密。</w:t>
      </w:r>
    </w:p>
    <w:p w14:paraId="1CDCC9E5">
      <w:pPr>
        <w:wordWrap w:val="0"/>
        <w:adjustRightInd w:val="0"/>
        <w:snapToGrid w:val="0"/>
        <w:ind w:firstLine="480" w:firstLineChars="200"/>
        <w:rPr>
          <w:rFonts w:hint="eastAsia" w:cs="宋体"/>
          <w:szCs w:val="24"/>
        </w:rPr>
      </w:pPr>
      <w:r>
        <w:rPr>
          <w:rFonts w:hint="eastAsia" w:cs="宋体"/>
          <w:szCs w:val="24"/>
        </w:rPr>
        <w:t>18.4</w:t>
      </w:r>
      <w:r>
        <w:rPr>
          <w:rFonts w:hint="eastAsia" w:cs="宋体"/>
          <w:snapToGrid w:val="0"/>
          <w:szCs w:val="24"/>
          <w:lang w:val="zh-CN"/>
        </w:rPr>
        <w:t>供应商</w:t>
      </w:r>
      <w:r>
        <w:rPr>
          <w:rFonts w:hint="eastAsia" w:cs="宋体"/>
          <w:szCs w:val="24"/>
        </w:rPr>
        <w:t>在响应文件递交截止时间前通过新疆政府采购网（http://www.ccgp-xinjiang.gov.cn/）的”政采云登录入口”登录后，将加密电子响应文件（为.jmbs后缀格式）上传到对应项目的指定位置，供应商认为有必要提交的其他资料请于响应文件递交截止时间前一并提交。</w:t>
      </w:r>
    </w:p>
    <w:p w14:paraId="3896D475">
      <w:pPr>
        <w:adjustRightInd w:val="0"/>
        <w:snapToGrid w:val="0"/>
        <w:ind w:firstLine="480" w:firstLineChars="200"/>
        <w:rPr>
          <w:rFonts w:hint="eastAsia" w:cs="宋体"/>
          <w:szCs w:val="24"/>
        </w:rPr>
      </w:pPr>
      <w:r>
        <w:rPr>
          <w:rFonts w:hint="eastAsia" w:cs="宋体"/>
          <w:szCs w:val="24"/>
        </w:rPr>
        <w:t>18.5如果供应商未按上述要求加密并上传，采购代理机构对响应文件的误投、无法解密、传输错误等问题概不负责。对由此造成无法正常开启的响应文件，采购代理机构有权予以拒绝，并退回供应商。</w:t>
      </w:r>
    </w:p>
    <w:p w14:paraId="54A49319">
      <w:pPr>
        <w:pStyle w:val="25"/>
        <w:adjustRightInd w:val="0"/>
        <w:snapToGrid w:val="0"/>
        <w:ind w:firstLine="480"/>
        <w:rPr>
          <w:rFonts w:hint="eastAsia" w:cs="宋体"/>
          <w:szCs w:val="24"/>
        </w:rPr>
      </w:pPr>
      <w:r>
        <w:rPr>
          <w:rFonts w:hint="eastAsia" w:cs="宋体"/>
          <w:szCs w:val="24"/>
        </w:rPr>
        <w:t>18.6本项目采用不见面开启方式，无需提供电子响应文件U盘。</w:t>
      </w:r>
    </w:p>
    <w:p w14:paraId="0EEE0E8A">
      <w:pPr>
        <w:pStyle w:val="9"/>
        <w:keepNext w:val="0"/>
        <w:keepLines w:val="0"/>
        <w:adjustRightInd w:val="0"/>
        <w:snapToGrid w:val="0"/>
        <w:spacing w:before="0" w:after="0" w:line="360" w:lineRule="auto"/>
        <w:ind w:left="420" w:hanging="420"/>
        <w:rPr>
          <w:rFonts w:hint="eastAsia" w:ascii="宋体" w:hAnsi="宋体" w:cs="宋体"/>
          <w:sz w:val="24"/>
          <w:szCs w:val="24"/>
        </w:rPr>
      </w:pPr>
      <w:r>
        <w:rPr>
          <w:rFonts w:hint="eastAsia" w:ascii="宋体" w:hAnsi="宋体" w:cs="宋体"/>
          <w:sz w:val="24"/>
          <w:szCs w:val="24"/>
        </w:rPr>
        <w:t>19.响应文件的</w:t>
      </w:r>
      <w:bookmarkEnd w:id="288"/>
      <w:bookmarkEnd w:id="289"/>
      <w:bookmarkEnd w:id="290"/>
      <w:bookmarkEnd w:id="291"/>
      <w:r>
        <w:rPr>
          <w:rFonts w:hint="eastAsia" w:ascii="宋体" w:hAnsi="宋体" w:cs="宋体"/>
          <w:sz w:val="24"/>
          <w:szCs w:val="24"/>
        </w:rPr>
        <w:t>递交</w:t>
      </w:r>
      <w:bookmarkEnd w:id="292"/>
      <w:bookmarkEnd w:id="293"/>
      <w:r>
        <w:rPr>
          <w:rFonts w:hint="eastAsia" w:ascii="宋体" w:hAnsi="宋体" w:cs="宋体"/>
          <w:sz w:val="24"/>
          <w:szCs w:val="24"/>
        </w:rPr>
        <w:t>（上传）</w:t>
      </w:r>
    </w:p>
    <w:p w14:paraId="4BB721FA">
      <w:pPr>
        <w:adjustRightInd w:val="0"/>
        <w:snapToGrid w:val="0"/>
        <w:ind w:firstLine="480" w:firstLineChars="200"/>
        <w:rPr>
          <w:rFonts w:hint="eastAsia" w:cs="宋体"/>
          <w:szCs w:val="24"/>
        </w:rPr>
      </w:pPr>
      <w:r>
        <w:rPr>
          <w:rFonts w:hint="eastAsia" w:cs="宋体"/>
          <w:szCs w:val="24"/>
        </w:rPr>
        <w:t>19.1 供应商应在“第一章 竞争性磋商公告”规定的响应文件递交截止时间前递交（上传）响应文件。</w:t>
      </w:r>
    </w:p>
    <w:p w14:paraId="1788DDFE">
      <w:pPr>
        <w:adjustRightInd w:val="0"/>
        <w:snapToGrid w:val="0"/>
        <w:ind w:firstLine="480" w:firstLineChars="200"/>
        <w:rPr>
          <w:rFonts w:hint="eastAsia" w:cs="宋体"/>
          <w:szCs w:val="24"/>
        </w:rPr>
      </w:pPr>
      <w:r>
        <w:rPr>
          <w:rFonts w:hint="eastAsia" w:cs="宋体"/>
          <w:szCs w:val="24"/>
        </w:rPr>
        <w:t>19.2 供应商递交（上传）响应文件的地点见“第一章 竞争性磋商公告”。</w:t>
      </w:r>
    </w:p>
    <w:p w14:paraId="74B3F1A5">
      <w:pPr>
        <w:adjustRightInd w:val="0"/>
        <w:snapToGrid w:val="0"/>
        <w:ind w:firstLine="480" w:firstLineChars="200"/>
        <w:rPr>
          <w:rFonts w:hint="eastAsia" w:cs="宋体"/>
          <w:szCs w:val="24"/>
        </w:rPr>
      </w:pPr>
      <w:r>
        <w:rPr>
          <w:rFonts w:hint="eastAsia" w:cs="宋体"/>
          <w:szCs w:val="24"/>
        </w:rPr>
        <w:t>19.3供应商应充分评估集中同时递交响应文件带来的网络影响，尽量避开递交响应文件高峰时间，错峰进行递交。供应商递交全部的响应文件后可在政采云平台（项目采购—投标文件上传）中获取响应文件递交回执单。</w:t>
      </w:r>
    </w:p>
    <w:p w14:paraId="5634F607">
      <w:pPr>
        <w:adjustRightInd w:val="0"/>
        <w:snapToGrid w:val="0"/>
        <w:ind w:firstLine="480" w:firstLineChars="200"/>
        <w:rPr>
          <w:rFonts w:hint="eastAsia" w:cs="宋体"/>
          <w:szCs w:val="24"/>
        </w:rPr>
      </w:pPr>
      <w:r>
        <w:rPr>
          <w:rFonts w:hint="eastAsia" w:cs="宋体"/>
          <w:szCs w:val="24"/>
        </w:rPr>
        <w:t>19.4 供应商应在供应商客户端中下载未加密且完成签章的响应文件妥善保存，以便启动应急开启程序时使用。</w:t>
      </w:r>
    </w:p>
    <w:p w14:paraId="6F8BD19B">
      <w:pPr>
        <w:adjustRightInd w:val="0"/>
        <w:snapToGrid w:val="0"/>
        <w:ind w:firstLine="480" w:firstLineChars="200"/>
        <w:rPr>
          <w:rFonts w:hint="eastAsia" w:cs="宋体"/>
          <w:szCs w:val="24"/>
        </w:rPr>
      </w:pPr>
      <w:r>
        <w:rPr>
          <w:rFonts w:hint="eastAsia" w:cs="宋体"/>
          <w:szCs w:val="24"/>
        </w:rPr>
        <w:t>19.5供应商所递交的响应文件不予退还。</w:t>
      </w:r>
    </w:p>
    <w:p w14:paraId="03DDA0A8">
      <w:pPr>
        <w:pStyle w:val="9"/>
        <w:keepNext w:val="0"/>
        <w:keepLines w:val="0"/>
        <w:adjustRightInd w:val="0"/>
        <w:snapToGrid w:val="0"/>
        <w:spacing w:before="0" w:after="0" w:line="360" w:lineRule="auto"/>
        <w:ind w:left="420" w:hanging="420"/>
        <w:rPr>
          <w:rFonts w:hint="eastAsia" w:ascii="宋体" w:hAnsi="宋体" w:cs="宋体"/>
          <w:sz w:val="24"/>
          <w:szCs w:val="24"/>
        </w:rPr>
      </w:pPr>
      <w:bookmarkStart w:id="294" w:name="_Toc156490298"/>
      <w:bookmarkStart w:id="295" w:name="_Toc155095709"/>
      <w:r>
        <w:rPr>
          <w:rFonts w:hint="eastAsia" w:ascii="宋体" w:hAnsi="宋体" w:cs="宋体"/>
          <w:sz w:val="24"/>
          <w:szCs w:val="24"/>
        </w:rPr>
        <w:t>20.拒收</w:t>
      </w:r>
      <w:bookmarkEnd w:id="294"/>
      <w:bookmarkEnd w:id="295"/>
    </w:p>
    <w:p w14:paraId="6764A5C0">
      <w:pPr>
        <w:pStyle w:val="25"/>
        <w:adjustRightInd w:val="0"/>
        <w:snapToGrid w:val="0"/>
        <w:ind w:firstLine="480"/>
        <w:rPr>
          <w:rFonts w:hint="eastAsia" w:cs="宋体"/>
          <w:snapToGrid w:val="0"/>
          <w:szCs w:val="24"/>
          <w:lang w:val="zh-CN"/>
        </w:rPr>
      </w:pPr>
      <w:r>
        <w:rPr>
          <w:rFonts w:hint="eastAsia" w:cs="宋体"/>
          <w:snapToGrid w:val="0"/>
          <w:szCs w:val="24"/>
          <w:lang w:val="zh-CN"/>
        </w:rPr>
        <w:t>20.1超过递交响应文件的截止时间或者不按照本章要求加密的响应文件，交易系统应当拒收。</w:t>
      </w:r>
    </w:p>
    <w:p w14:paraId="03C096FA">
      <w:pPr>
        <w:pStyle w:val="9"/>
        <w:keepNext w:val="0"/>
        <w:keepLines w:val="0"/>
        <w:adjustRightInd w:val="0"/>
        <w:snapToGrid w:val="0"/>
        <w:spacing w:before="0" w:after="0" w:line="360" w:lineRule="auto"/>
        <w:ind w:left="420" w:hanging="420"/>
        <w:rPr>
          <w:rFonts w:hint="eastAsia" w:ascii="宋体" w:hAnsi="宋体" w:cs="宋体"/>
          <w:sz w:val="24"/>
          <w:szCs w:val="24"/>
        </w:rPr>
      </w:pPr>
      <w:bookmarkStart w:id="296" w:name="_Toc155095710"/>
      <w:bookmarkStart w:id="297" w:name="_Toc109900073"/>
      <w:bookmarkStart w:id="298" w:name="_Toc156490299"/>
      <w:bookmarkStart w:id="299" w:name="_Toc109900492"/>
      <w:bookmarkStart w:id="300" w:name="_Toc109899654"/>
      <w:bookmarkStart w:id="301" w:name="_Toc109897555"/>
      <w:r>
        <w:rPr>
          <w:rFonts w:hint="eastAsia" w:ascii="宋体" w:hAnsi="宋体" w:cs="宋体"/>
          <w:sz w:val="24"/>
          <w:szCs w:val="24"/>
        </w:rPr>
        <w:t>21.响应文件的修改与撤回</w:t>
      </w:r>
      <w:bookmarkEnd w:id="296"/>
      <w:bookmarkEnd w:id="297"/>
      <w:bookmarkEnd w:id="298"/>
      <w:bookmarkEnd w:id="299"/>
      <w:bookmarkEnd w:id="300"/>
      <w:bookmarkEnd w:id="301"/>
    </w:p>
    <w:p w14:paraId="059E1BF2">
      <w:pPr>
        <w:pStyle w:val="25"/>
        <w:adjustRightInd w:val="0"/>
        <w:snapToGrid w:val="0"/>
        <w:ind w:firstLine="480"/>
        <w:rPr>
          <w:rFonts w:hint="eastAsia" w:cs="宋体"/>
          <w:snapToGrid w:val="0"/>
          <w:szCs w:val="24"/>
          <w:lang w:val="zh-CN"/>
        </w:rPr>
      </w:pPr>
      <w:r>
        <w:rPr>
          <w:rFonts w:hint="eastAsia" w:cs="宋体"/>
          <w:snapToGrid w:val="0"/>
          <w:szCs w:val="24"/>
          <w:lang w:val="zh-CN"/>
        </w:rPr>
        <w:t>21.1</w:t>
      </w:r>
      <w:bookmarkStart w:id="302" w:name="_Hlk143532466"/>
      <w:r>
        <w:rPr>
          <w:rFonts w:hint="eastAsia" w:cs="宋体"/>
          <w:snapToGrid w:val="0"/>
          <w:szCs w:val="24"/>
          <w:lang w:val="zh-CN"/>
        </w:rPr>
        <w:t>供应商在“</w:t>
      </w:r>
      <w:r>
        <w:rPr>
          <w:rFonts w:hint="eastAsia" w:cs="宋体"/>
          <w:szCs w:val="24"/>
        </w:rPr>
        <w:t>第一章 竞争性磋商公告</w:t>
      </w:r>
      <w:r>
        <w:rPr>
          <w:rFonts w:hint="eastAsia" w:cs="宋体"/>
          <w:snapToGrid w:val="0"/>
          <w:szCs w:val="24"/>
          <w:lang w:val="zh-CN"/>
        </w:rPr>
        <w:t>”规定的</w:t>
      </w:r>
      <w:r>
        <w:rPr>
          <w:rFonts w:hint="eastAsia" w:cs="宋体"/>
          <w:snapToGrid w:val="0"/>
          <w:szCs w:val="24"/>
        </w:rPr>
        <w:t>响应</w:t>
      </w:r>
      <w:r>
        <w:rPr>
          <w:rFonts w:hint="eastAsia" w:cs="宋体"/>
          <w:snapToGrid w:val="0"/>
          <w:szCs w:val="24"/>
          <w:lang w:val="zh-CN"/>
        </w:rPr>
        <w:t>文件递交截止时间之前，可在</w:t>
      </w:r>
      <w:r>
        <w:rPr>
          <w:rFonts w:hint="eastAsia" w:cs="宋体"/>
          <w:snapToGrid w:val="0"/>
          <w:szCs w:val="24"/>
        </w:rPr>
        <w:t>新疆</w:t>
      </w:r>
      <w:r>
        <w:rPr>
          <w:rFonts w:hint="eastAsia" w:cs="宋体"/>
          <w:snapToGrid w:val="0"/>
          <w:szCs w:val="24"/>
          <w:lang w:val="zh-CN"/>
        </w:rPr>
        <w:t>政府采购电子交易云平台上随时撤回已上传的电子</w:t>
      </w:r>
      <w:r>
        <w:rPr>
          <w:rFonts w:hint="eastAsia" w:cs="宋体"/>
          <w:snapToGrid w:val="0"/>
          <w:szCs w:val="24"/>
        </w:rPr>
        <w:t>响应</w:t>
      </w:r>
      <w:r>
        <w:rPr>
          <w:rFonts w:hint="eastAsia" w:cs="宋体"/>
          <w:snapToGrid w:val="0"/>
          <w:szCs w:val="24"/>
          <w:lang w:val="zh-CN"/>
        </w:rPr>
        <w:t>文件，将修改好的电子</w:t>
      </w:r>
      <w:r>
        <w:rPr>
          <w:rFonts w:hint="eastAsia" w:cs="宋体"/>
          <w:snapToGrid w:val="0"/>
          <w:szCs w:val="24"/>
        </w:rPr>
        <w:t>响应</w:t>
      </w:r>
      <w:r>
        <w:rPr>
          <w:rFonts w:hint="eastAsia" w:cs="宋体"/>
          <w:snapToGrid w:val="0"/>
          <w:szCs w:val="24"/>
          <w:lang w:val="zh-CN"/>
        </w:rPr>
        <w:t>文件在</w:t>
      </w:r>
      <w:r>
        <w:rPr>
          <w:rFonts w:hint="eastAsia" w:cs="宋体"/>
          <w:snapToGrid w:val="0"/>
          <w:szCs w:val="24"/>
        </w:rPr>
        <w:t>响应</w:t>
      </w:r>
      <w:r>
        <w:rPr>
          <w:rFonts w:hint="eastAsia" w:cs="宋体"/>
          <w:snapToGrid w:val="0"/>
          <w:szCs w:val="24"/>
          <w:lang w:val="zh-CN"/>
        </w:rPr>
        <w:t>文件递交截止时间前重新上传到</w:t>
      </w:r>
      <w:r>
        <w:rPr>
          <w:rFonts w:hint="eastAsia" w:cs="宋体"/>
          <w:snapToGrid w:val="0"/>
          <w:szCs w:val="24"/>
        </w:rPr>
        <w:t>新疆</w:t>
      </w:r>
      <w:r>
        <w:rPr>
          <w:rFonts w:hint="eastAsia" w:cs="宋体"/>
          <w:snapToGrid w:val="0"/>
          <w:szCs w:val="24"/>
          <w:lang w:val="zh-CN"/>
        </w:rPr>
        <w:t>政府采购电子交易云平台的指定位置。</w:t>
      </w:r>
    </w:p>
    <w:bookmarkEnd w:id="302"/>
    <w:p w14:paraId="4F9C167F">
      <w:pPr>
        <w:pStyle w:val="9"/>
        <w:keepNext w:val="0"/>
        <w:keepLines w:val="0"/>
        <w:adjustRightInd w:val="0"/>
        <w:snapToGrid w:val="0"/>
        <w:spacing w:before="0" w:after="0" w:line="360" w:lineRule="auto"/>
        <w:ind w:left="420" w:hanging="420"/>
        <w:rPr>
          <w:rFonts w:hint="eastAsia" w:ascii="宋体" w:hAnsi="宋体" w:cs="宋体"/>
          <w:sz w:val="24"/>
          <w:szCs w:val="24"/>
        </w:rPr>
      </w:pPr>
      <w:bookmarkStart w:id="303" w:name="_Toc155185973"/>
      <w:bookmarkStart w:id="304" w:name="_Toc158888664"/>
      <w:bookmarkStart w:id="305" w:name="_Toc155185874"/>
      <w:r>
        <w:rPr>
          <w:rFonts w:hint="eastAsia" w:ascii="宋体" w:hAnsi="宋体" w:cs="宋体"/>
          <w:sz w:val="24"/>
          <w:szCs w:val="24"/>
        </w:rPr>
        <w:t>22.实物样品</w:t>
      </w:r>
      <w:bookmarkEnd w:id="303"/>
      <w:bookmarkEnd w:id="304"/>
      <w:bookmarkEnd w:id="305"/>
    </w:p>
    <w:p w14:paraId="3015EA96">
      <w:pPr>
        <w:pStyle w:val="25"/>
        <w:adjustRightInd w:val="0"/>
        <w:snapToGrid w:val="0"/>
        <w:ind w:firstLine="480"/>
        <w:rPr>
          <w:rFonts w:hint="eastAsia" w:cs="宋体"/>
          <w:szCs w:val="24"/>
        </w:rPr>
      </w:pPr>
      <w:r>
        <w:rPr>
          <w:rFonts w:hint="eastAsia" w:cs="宋体"/>
          <w:szCs w:val="24"/>
        </w:rPr>
        <w:t>22.1“供应商须知前附表”要求提供样品的，样品的具体要求及评审详见“第三章 项目采购需求”和“第四章 评审方法及标准”。</w:t>
      </w:r>
    </w:p>
    <w:p w14:paraId="3F3F84A5">
      <w:pPr>
        <w:pStyle w:val="25"/>
        <w:adjustRightInd w:val="0"/>
        <w:snapToGrid w:val="0"/>
        <w:ind w:firstLine="480"/>
        <w:rPr>
          <w:rFonts w:hint="eastAsia" w:cs="宋体"/>
          <w:szCs w:val="24"/>
        </w:rPr>
      </w:pPr>
      <w:r>
        <w:rPr>
          <w:rFonts w:hint="eastAsia" w:cs="宋体"/>
          <w:szCs w:val="24"/>
        </w:rPr>
        <w:t>22.2样品退还：未成交的供应商应按照“供应商须知前附表”要求自行联系采购人取回递交样品；成交供应商的样品由采购人进行保管、封存，并作为履约验收的参考（竞争性磋商文件另有规定的从其规定）。</w:t>
      </w:r>
    </w:p>
    <w:p w14:paraId="56366B46">
      <w:pPr>
        <w:pStyle w:val="9"/>
        <w:keepNext w:val="0"/>
        <w:keepLines w:val="0"/>
        <w:adjustRightInd w:val="0"/>
        <w:snapToGrid w:val="0"/>
        <w:spacing w:before="0" w:after="0" w:line="360" w:lineRule="auto"/>
        <w:ind w:left="420" w:hanging="420"/>
        <w:rPr>
          <w:rFonts w:hint="eastAsia" w:ascii="宋体" w:hAnsi="宋体" w:cs="宋体"/>
          <w:sz w:val="24"/>
          <w:szCs w:val="24"/>
        </w:rPr>
      </w:pPr>
      <w:bookmarkStart w:id="306" w:name="_Toc158888665"/>
      <w:bookmarkStart w:id="307" w:name="_Toc155185974"/>
      <w:bookmarkStart w:id="308" w:name="_Toc155185875"/>
      <w:r>
        <w:rPr>
          <w:rFonts w:hint="eastAsia" w:ascii="宋体" w:hAnsi="宋体" w:cs="宋体"/>
          <w:sz w:val="24"/>
          <w:szCs w:val="24"/>
        </w:rPr>
        <w:t>23.项目演示</w:t>
      </w:r>
      <w:bookmarkEnd w:id="306"/>
      <w:bookmarkEnd w:id="307"/>
      <w:bookmarkEnd w:id="308"/>
    </w:p>
    <w:p w14:paraId="3C483910">
      <w:pPr>
        <w:pStyle w:val="25"/>
        <w:adjustRightInd w:val="0"/>
        <w:snapToGrid w:val="0"/>
        <w:ind w:firstLine="480"/>
        <w:rPr>
          <w:rFonts w:hint="eastAsia" w:cs="宋体"/>
          <w:szCs w:val="24"/>
        </w:rPr>
      </w:pPr>
      <w:r>
        <w:rPr>
          <w:rFonts w:hint="eastAsia" w:cs="宋体"/>
          <w:szCs w:val="24"/>
        </w:rPr>
        <w:t>23.1要求供应商进行演示的，演示要求详见“供应商须知前附表”。</w:t>
      </w:r>
    </w:p>
    <w:p w14:paraId="22102C81">
      <w:pPr>
        <w:pStyle w:val="25"/>
        <w:adjustRightInd w:val="0"/>
        <w:snapToGrid w:val="0"/>
        <w:ind w:firstLine="480"/>
        <w:rPr>
          <w:rFonts w:hint="eastAsia" w:cs="宋体"/>
          <w:szCs w:val="24"/>
        </w:rPr>
      </w:pPr>
      <w:r>
        <w:rPr>
          <w:rFonts w:hint="eastAsia" w:cs="宋体"/>
          <w:szCs w:val="24"/>
        </w:rPr>
        <w:t>23.2演示的评审详见“第三章 项目采购需求”和“第四章 评审方法及标准”</w:t>
      </w:r>
    </w:p>
    <w:p w14:paraId="6B46A24D">
      <w:pPr>
        <w:pStyle w:val="8"/>
        <w:keepNext w:val="0"/>
        <w:keepLines w:val="0"/>
        <w:adjustRightInd w:val="0"/>
        <w:snapToGrid w:val="0"/>
        <w:spacing w:before="0" w:after="0" w:line="360" w:lineRule="auto"/>
        <w:ind w:left="420" w:hanging="420"/>
        <w:rPr>
          <w:rFonts w:hint="eastAsia" w:cs="宋体"/>
          <w:sz w:val="24"/>
          <w:szCs w:val="24"/>
        </w:rPr>
      </w:pPr>
      <w:bookmarkStart w:id="309" w:name="_Toc163493615"/>
      <w:bookmarkStart w:id="310" w:name="_Toc28166"/>
      <w:bookmarkStart w:id="311" w:name="_Toc22772"/>
      <w:bookmarkStart w:id="312" w:name="_Toc14547"/>
      <w:bookmarkStart w:id="313" w:name="_Toc109897458"/>
      <w:bookmarkStart w:id="314" w:name="_Toc109899557"/>
      <w:bookmarkStart w:id="315" w:name="_Toc109900395"/>
      <w:bookmarkStart w:id="316" w:name="_Toc109899976"/>
      <w:bookmarkStart w:id="317" w:name="_Toc46771664"/>
      <w:bookmarkStart w:id="318" w:name="_Toc470172689"/>
      <w:r>
        <w:rPr>
          <w:rFonts w:hint="eastAsia" w:cs="宋体"/>
          <w:sz w:val="24"/>
          <w:szCs w:val="24"/>
        </w:rPr>
        <w:t>（五）</w:t>
      </w:r>
      <w:bookmarkEnd w:id="309"/>
      <w:r>
        <w:rPr>
          <w:rFonts w:hint="eastAsia" w:cs="宋体"/>
          <w:sz w:val="24"/>
          <w:szCs w:val="24"/>
        </w:rPr>
        <w:t>响应文件开启</w:t>
      </w:r>
      <w:bookmarkEnd w:id="310"/>
      <w:bookmarkEnd w:id="311"/>
      <w:bookmarkEnd w:id="312"/>
    </w:p>
    <w:p w14:paraId="750D725B">
      <w:pPr>
        <w:pStyle w:val="9"/>
        <w:keepNext w:val="0"/>
        <w:keepLines w:val="0"/>
        <w:adjustRightInd w:val="0"/>
        <w:snapToGrid w:val="0"/>
        <w:spacing w:before="0" w:after="0" w:line="360" w:lineRule="auto"/>
        <w:ind w:left="420" w:hanging="420"/>
        <w:rPr>
          <w:rFonts w:hint="eastAsia" w:ascii="宋体" w:hAnsi="宋体" w:cs="宋体"/>
          <w:sz w:val="24"/>
          <w:szCs w:val="24"/>
        </w:rPr>
      </w:pPr>
      <w:bookmarkStart w:id="319" w:name="_Hlk161704700"/>
      <w:r>
        <w:rPr>
          <w:rFonts w:hint="eastAsia" w:ascii="宋体" w:hAnsi="宋体" w:cs="宋体"/>
          <w:sz w:val="24"/>
          <w:szCs w:val="24"/>
        </w:rPr>
        <w:t>24.响应文件开启</w:t>
      </w:r>
    </w:p>
    <w:p w14:paraId="30320CCC">
      <w:pPr>
        <w:adjustRightInd w:val="0"/>
        <w:snapToGrid w:val="0"/>
        <w:ind w:firstLine="480" w:firstLineChars="200"/>
        <w:rPr>
          <w:rFonts w:hint="eastAsia" w:cs="宋体"/>
          <w:bCs/>
          <w:szCs w:val="24"/>
        </w:rPr>
      </w:pPr>
      <w:bookmarkStart w:id="320" w:name="_Toc140132781"/>
      <w:r>
        <w:rPr>
          <w:rFonts w:hint="eastAsia" w:cs="宋体"/>
          <w:szCs w:val="24"/>
        </w:rPr>
        <w:t>24.1供应商应按照“第一章 竞争性磋商公告”中的要求参与开启。</w:t>
      </w:r>
      <w:bookmarkEnd w:id="320"/>
    </w:p>
    <w:p w14:paraId="44C062AD">
      <w:pPr>
        <w:pStyle w:val="9"/>
        <w:keepNext w:val="0"/>
        <w:keepLines w:val="0"/>
        <w:adjustRightInd w:val="0"/>
        <w:snapToGrid w:val="0"/>
        <w:spacing w:before="0" w:after="0" w:line="360" w:lineRule="auto"/>
        <w:ind w:left="420" w:hanging="420"/>
        <w:rPr>
          <w:rFonts w:hint="eastAsia" w:ascii="宋体" w:hAnsi="宋体" w:cs="宋体"/>
          <w:sz w:val="24"/>
          <w:szCs w:val="24"/>
        </w:rPr>
      </w:pPr>
      <w:bookmarkStart w:id="321" w:name="_Toc161600316"/>
      <w:bookmarkStart w:id="322" w:name="_Toc140132782"/>
      <w:r>
        <w:rPr>
          <w:rFonts w:hint="eastAsia" w:ascii="宋体" w:hAnsi="宋体" w:cs="宋体"/>
          <w:sz w:val="24"/>
          <w:szCs w:val="24"/>
        </w:rPr>
        <w:t>25.开启时间和地点</w:t>
      </w:r>
      <w:bookmarkEnd w:id="321"/>
      <w:bookmarkEnd w:id="322"/>
    </w:p>
    <w:p w14:paraId="19FC62D6">
      <w:pPr>
        <w:adjustRightInd w:val="0"/>
        <w:snapToGrid w:val="0"/>
        <w:ind w:firstLine="480" w:firstLineChars="200"/>
        <w:rPr>
          <w:rFonts w:hint="eastAsia" w:cs="宋体"/>
          <w:szCs w:val="24"/>
        </w:rPr>
      </w:pPr>
      <w:r>
        <w:rPr>
          <w:rFonts w:hint="eastAsia" w:cs="宋体"/>
          <w:szCs w:val="24"/>
        </w:rPr>
        <w:t>25.1开启时间和地点</w:t>
      </w:r>
    </w:p>
    <w:p w14:paraId="74263C6D">
      <w:pPr>
        <w:adjustRightInd w:val="0"/>
        <w:snapToGrid w:val="0"/>
        <w:ind w:firstLine="480" w:firstLineChars="200"/>
        <w:rPr>
          <w:rFonts w:hint="eastAsia" w:cs="宋体"/>
          <w:szCs w:val="24"/>
        </w:rPr>
      </w:pPr>
      <w:r>
        <w:rPr>
          <w:rFonts w:hint="eastAsia" w:cs="宋体"/>
          <w:szCs w:val="24"/>
        </w:rPr>
        <w:t>（1）递交响应文件截止时间前，供应商登录供应商客户端，</w:t>
      </w:r>
      <w:r>
        <w:rPr>
          <w:rFonts w:hint="eastAsia" w:cs="宋体"/>
          <w:snapToGrid w:val="0"/>
          <w:szCs w:val="24"/>
          <w:lang w:val="zh-CN"/>
        </w:rPr>
        <w:t>通过供应商客户端进入交易系统</w:t>
      </w:r>
      <w:r>
        <w:rPr>
          <w:rFonts w:hint="eastAsia" w:cs="宋体"/>
          <w:szCs w:val="24"/>
        </w:rPr>
        <w:t>“开标大厅”选择所投项目（或采购包）完成项目签到工作。</w:t>
      </w:r>
    </w:p>
    <w:p w14:paraId="485DC310">
      <w:pPr>
        <w:adjustRightInd w:val="0"/>
        <w:snapToGrid w:val="0"/>
        <w:ind w:firstLine="480" w:firstLineChars="200"/>
        <w:rPr>
          <w:rFonts w:hint="eastAsia" w:cs="宋体"/>
          <w:szCs w:val="24"/>
        </w:rPr>
      </w:pPr>
      <w:r>
        <w:rPr>
          <w:rFonts w:hint="eastAsia" w:cs="宋体"/>
          <w:szCs w:val="24"/>
          <w:lang w:val="zh-CN"/>
        </w:rPr>
        <w:t>（2）在</w:t>
      </w:r>
      <w:r>
        <w:rPr>
          <w:rFonts w:hint="eastAsia" w:cs="宋体"/>
          <w:szCs w:val="24"/>
        </w:rPr>
        <w:t>“第一章 竞争性磋商公告”规</w:t>
      </w:r>
      <w:r>
        <w:rPr>
          <w:rFonts w:hint="eastAsia" w:cs="宋体"/>
          <w:szCs w:val="24"/>
          <w:lang w:val="zh-CN"/>
        </w:rPr>
        <w:t>定的</w:t>
      </w:r>
      <w:r>
        <w:rPr>
          <w:rFonts w:hint="eastAsia" w:cs="宋体"/>
          <w:szCs w:val="24"/>
        </w:rPr>
        <w:t>递交</w:t>
      </w:r>
      <w:r>
        <w:rPr>
          <w:rFonts w:hint="eastAsia" w:cs="宋体"/>
          <w:szCs w:val="24"/>
          <w:lang w:val="zh-CN"/>
        </w:rPr>
        <w:t>响应文件截止时间、开启时间及地点，采购代理机构通过</w:t>
      </w:r>
      <w:r>
        <w:rPr>
          <w:rFonts w:hint="eastAsia" w:cs="宋体"/>
          <w:szCs w:val="24"/>
        </w:rPr>
        <w:t>新疆</w:t>
      </w:r>
      <w:r>
        <w:rPr>
          <w:rFonts w:hint="eastAsia" w:cs="宋体"/>
          <w:szCs w:val="24"/>
          <w:lang w:val="zh-CN"/>
        </w:rPr>
        <w:t>政府采购电子交易云平台</w:t>
      </w:r>
      <w:r>
        <w:rPr>
          <w:rFonts w:hint="eastAsia" w:cs="宋体"/>
          <w:szCs w:val="24"/>
        </w:rPr>
        <w:t>的“政采云远程开标大厅”</w:t>
      </w:r>
      <w:r>
        <w:rPr>
          <w:rFonts w:hint="eastAsia" w:cs="宋体"/>
          <w:szCs w:val="24"/>
          <w:lang w:val="zh-CN"/>
        </w:rPr>
        <w:t>组织响应文件开启工作。</w:t>
      </w:r>
    </w:p>
    <w:p w14:paraId="66534CB4">
      <w:pPr>
        <w:pStyle w:val="25"/>
        <w:adjustRightInd w:val="0"/>
        <w:snapToGrid w:val="0"/>
        <w:ind w:firstLine="480"/>
        <w:rPr>
          <w:rFonts w:hint="eastAsia" w:cs="宋体"/>
          <w:szCs w:val="24"/>
        </w:rPr>
      </w:pPr>
      <w:r>
        <w:rPr>
          <w:rFonts w:hint="eastAsia" w:cs="宋体"/>
          <w:szCs w:val="24"/>
        </w:rPr>
        <w:t>25.2响应文件开启：递交响应文件截止时间到后，工作人员启动开始解密指令，供应商应当按照“供应商须知前附表”规定及时进行响应文件解密，完成响应文件开启工作。</w:t>
      </w:r>
    </w:p>
    <w:p w14:paraId="77684B06">
      <w:pPr>
        <w:pStyle w:val="25"/>
        <w:adjustRightInd w:val="0"/>
        <w:snapToGrid w:val="0"/>
        <w:ind w:firstLine="480"/>
        <w:rPr>
          <w:rFonts w:hint="eastAsia" w:cs="宋体"/>
          <w:szCs w:val="24"/>
        </w:rPr>
      </w:pPr>
      <w:r>
        <w:rPr>
          <w:rFonts w:hint="eastAsia" w:cs="宋体"/>
          <w:szCs w:val="24"/>
        </w:rPr>
        <w:t>25.3规定的时间内，非因新疆</w:t>
      </w:r>
      <w:r>
        <w:rPr>
          <w:rFonts w:hint="eastAsia" w:cs="宋体"/>
          <w:szCs w:val="24"/>
          <w:lang w:val="zh-CN"/>
        </w:rPr>
        <w:t>政府采购电子交易云平台</w:t>
      </w:r>
      <w:r>
        <w:rPr>
          <w:rFonts w:hint="eastAsia" w:cs="宋体"/>
          <w:szCs w:val="24"/>
        </w:rPr>
        <w:t>原因造成响应文件未解密的，视为供应商撤回响应文件。停止解密后，已解密开启的响应文件不足3家的，应当终止采购活动。</w:t>
      </w:r>
    </w:p>
    <w:p w14:paraId="46075363">
      <w:pPr>
        <w:pStyle w:val="25"/>
        <w:adjustRightInd w:val="0"/>
        <w:snapToGrid w:val="0"/>
        <w:ind w:firstLine="480"/>
        <w:rPr>
          <w:rFonts w:hint="eastAsia" w:cs="宋体"/>
          <w:szCs w:val="24"/>
        </w:rPr>
      </w:pPr>
      <w:r>
        <w:rPr>
          <w:rFonts w:hint="eastAsia" w:cs="宋体"/>
          <w:szCs w:val="24"/>
        </w:rPr>
        <w:t>25.4供应商或其授权代表对响应文件开启过程有疑义的，以及认为采购人、采购代理机构相关工作人员有需要回避的情形的，应在开启会议中提出询问或者回避申请。采购人、采购代理机构对供应商授权代表提出的询问或者回避申请应当及时处理。</w:t>
      </w:r>
    </w:p>
    <w:p w14:paraId="0486AA50">
      <w:pPr>
        <w:pStyle w:val="25"/>
        <w:adjustRightInd w:val="0"/>
        <w:snapToGrid w:val="0"/>
        <w:ind w:firstLine="480"/>
        <w:rPr>
          <w:rFonts w:hint="eastAsia" w:cs="宋体"/>
          <w:szCs w:val="24"/>
        </w:rPr>
      </w:pPr>
      <w:r>
        <w:rPr>
          <w:rFonts w:hint="eastAsia" w:cs="宋体"/>
          <w:szCs w:val="24"/>
        </w:rPr>
        <w:t>25.5供应商未参加开启的，视同认可开启结果。</w:t>
      </w:r>
    </w:p>
    <w:bookmarkEnd w:id="313"/>
    <w:bookmarkEnd w:id="314"/>
    <w:bookmarkEnd w:id="315"/>
    <w:bookmarkEnd w:id="316"/>
    <w:bookmarkEnd w:id="317"/>
    <w:bookmarkEnd w:id="318"/>
    <w:bookmarkEnd w:id="319"/>
    <w:p w14:paraId="55D243EF">
      <w:pPr>
        <w:pStyle w:val="8"/>
        <w:keepNext w:val="0"/>
        <w:keepLines w:val="0"/>
        <w:adjustRightInd w:val="0"/>
        <w:snapToGrid w:val="0"/>
        <w:spacing w:before="0" w:after="0" w:line="360" w:lineRule="auto"/>
        <w:ind w:left="420" w:hanging="420"/>
        <w:rPr>
          <w:rFonts w:hint="eastAsia" w:cs="宋体"/>
          <w:sz w:val="24"/>
          <w:szCs w:val="24"/>
        </w:rPr>
      </w:pPr>
      <w:bookmarkStart w:id="323" w:name="_Toc25520"/>
      <w:bookmarkStart w:id="324" w:name="_Toc155185877"/>
      <w:bookmarkStart w:id="325" w:name="_Toc140132785"/>
      <w:bookmarkStart w:id="326" w:name="_Toc28519"/>
      <w:bookmarkStart w:id="327" w:name="_Toc163492854"/>
      <w:bookmarkStart w:id="328" w:name="_Toc8375"/>
      <w:r>
        <w:rPr>
          <w:rFonts w:hint="eastAsia" w:cs="宋体"/>
          <w:sz w:val="24"/>
          <w:szCs w:val="24"/>
        </w:rPr>
        <w:t>（六）资格审查</w:t>
      </w:r>
      <w:bookmarkEnd w:id="323"/>
      <w:bookmarkEnd w:id="324"/>
      <w:bookmarkEnd w:id="325"/>
      <w:bookmarkEnd w:id="326"/>
      <w:bookmarkEnd w:id="327"/>
      <w:bookmarkEnd w:id="328"/>
    </w:p>
    <w:p w14:paraId="2C1B5FD6">
      <w:pPr>
        <w:pStyle w:val="9"/>
        <w:keepNext w:val="0"/>
        <w:keepLines w:val="0"/>
        <w:adjustRightInd w:val="0"/>
        <w:snapToGrid w:val="0"/>
        <w:spacing w:before="0" w:after="0" w:line="360" w:lineRule="auto"/>
        <w:ind w:left="420" w:hanging="420"/>
        <w:rPr>
          <w:rFonts w:hint="eastAsia" w:ascii="宋体" w:hAnsi="宋体" w:cs="宋体"/>
          <w:sz w:val="24"/>
          <w:szCs w:val="24"/>
        </w:rPr>
      </w:pPr>
      <w:bookmarkStart w:id="329" w:name="_Toc163492855"/>
      <w:r>
        <w:rPr>
          <w:rFonts w:hint="eastAsia" w:ascii="宋体" w:hAnsi="宋体" w:cs="宋体"/>
          <w:sz w:val="24"/>
          <w:szCs w:val="24"/>
        </w:rPr>
        <w:t>26.资格审查及审查主体</w:t>
      </w:r>
      <w:bookmarkEnd w:id="329"/>
    </w:p>
    <w:p w14:paraId="3F6E8AD4">
      <w:pPr>
        <w:pStyle w:val="25"/>
        <w:adjustRightInd w:val="0"/>
        <w:snapToGrid w:val="0"/>
        <w:ind w:firstLine="480"/>
        <w:rPr>
          <w:rFonts w:hint="eastAsia" w:cs="宋体"/>
          <w:szCs w:val="24"/>
        </w:rPr>
      </w:pPr>
      <w:bookmarkStart w:id="330" w:name="_Toc140132786"/>
      <w:r>
        <w:rPr>
          <w:rFonts w:hint="eastAsia" w:cs="宋体"/>
          <w:szCs w:val="24"/>
        </w:rPr>
        <w:t>26.1开启结束后，磋商小组依据法律法规和本竞争性磋商文件的规定，依法对供应商资格进行审查，以确定供应商是否具备磋商资格。</w:t>
      </w:r>
      <w:bookmarkEnd w:id="330"/>
    </w:p>
    <w:p w14:paraId="6F7626D3">
      <w:pPr>
        <w:pStyle w:val="25"/>
        <w:adjustRightInd w:val="0"/>
        <w:snapToGrid w:val="0"/>
        <w:ind w:firstLine="480"/>
        <w:rPr>
          <w:rFonts w:hint="eastAsia" w:cs="宋体"/>
          <w:szCs w:val="24"/>
        </w:rPr>
      </w:pPr>
      <w:bookmarkStart w:id="331" w:name="_Toc140132787"/>
      <w:r>
        <w:rPr>
          <w:rFonts w:hint="eastAsia" w:cs="宋体"/>
          <w:szCs w:val="24"/>
        </w:rPr>
        <w:t xml:space="preserve">26.2资格审查按“第四章 </w:t>
      </w:r>
      <w:r>
        <w:rPr>
          <w:rFonts w:hint="eastAsia" w:cs="宋体"/>
          <w:snapToGrid w:val="0"/>
          <w:szCs w:val="24"/>
          <w:lang w:val="zh-CN"/>
        </w:rPr>
        <w:t>评审</w:t>
      </w:r>
      <w:r>
        <w:rPr>
          <w:rFonts w:hint="eastAsia" w:cs="宋体"/>
          <w:snapToGrid w:val="0"/>
          <w:szCs w:val="24"/>
        </w:rPr>
        <w:t>方</w:t>
      </w:r>
      <w:r>
        <w:rPr>
          <w:rFonts w:hint="eastAsia" w:cs="宋体"/>
          <w:snapToGrid w:val="0"/>
          <w:szCs w:val="24"/>
          <w:lang w:val="zh-CN"/>
        </w:rPr>
        <w:t>法及标准</w:t>
      </w:r>
      <w:r>
        <w:rPr>
          <w:rFonts w:hint="eastAsia" w:cs="宋体"/>
          <w:szCs w:val="24"/>
        </w:rPr>
        <w:t>”的规定进行。</w:t>
      </w:r>
      <w:bookmarkEnd w:id="331"/>
    </w:p>
    <w:p w14:paraId="44D43B82">
      <w:pPr>
        <w:pStyle w:val="25"/>
        <w:adjustRightInd w:val="0"/>
        <w:snapToGrid w:val="0"/>
        <w:ind w:firstLine="480"/>
        <w:rPr>
          <w:rFonts w:hint="eastAsia" w:cs="宋体"/>
          <w:szCs w:val="24"/>
        </w:rPr>
      </w:pPr>
      <w:bookmarkStart w:id="332" w:name="_Toc140132788"/>
      <w:r>
        <w:rPr>
          <w:rFonts w:hint="eastAsia" w:cs="宋体"/>
          <w:szCs w:val="24"/>
        </w:rPr>
        <w:t>26.3资格审查结束后，应及时对资格审查结果进行复核，对资格审查错误进行及时纠正并记录。</w:t>
      </w:r>
      <w:bookmarkEnd w:id="332"/>
    </w:p>
    <w:p w14:paraId="272F167A">
      <w:pPr>
        <w:pStyle w:val="25"/>
        <w:adjustRightInd w:val="0"/>
        <w:snapToGrid w:val="0"/>
        <w:ind w:firstLine="480"/>
        <w:rPr>
          <w:rFonts w:hint="eastAsia" w:cs="宋体"/>
          <w:szCs w:val="24"/>
        </w:rPr>
      </w:pPr>
      <w:r>
        <w:rPr>
          <w:rFonts w:hint="eastAsia" w:cs="宋体"/>
          <w:szCs w:val="24"/>
        </w:rPr>
        <w:t>26.4资格审查合格供应商不足3家的，不得评审。</w:t>
      </w:r>
    </w:p>
    <w:p w14:paraId="7A1F7D21">
      <w:pPr>
        <w:pStyle w:val="8"/>
        <w:keepNext w:val="0"/>
        <w:keepLines w:val="0"/>
        <w:adjustRightInd w:val="0"/>
        <w:snapToGrid w:val="0"/>
        <w:spacing w:before="0" w:after="0" w:line="360" w:lineRule="auto"/>
        <w:ind w:left="420" w:hanging="420"/>
        <w:rPr>
          <w:rFonts w:hint="eastAsia" w:cs="宋体"/>
          <w:sz w:val="24"/>
          <w:szCs w:val="24"/>
        </w:rPr>
      </w:pPr>
      <w:bookmarkStart w:id="333" w:name="_Toc163492856"/>
      <w:bookmarkStart w:id="334" w:name="_Toc140132789"/>
      <w:bookmarkStart w:id="335" w:name="_Toc155185878"/>
      <w:bookmarkStart w:id="336" w:name="_Toc21173"/>
      <w:bookmarkStart w:id="337" w:name="_Toc28133"/>
      <w:bookmarkStart w:id="338" w:name="_Toc29987"/>
      <w:r>
        <w:rPr>
          <w:rFonts w:hint="eastAsia" w:cs="宋体"/>
          <w:sz w:val="24"/>
          <w:szCs w:val="24"/>
        </w:rPr>
        <w:t>（七）项目评</w:t>
      </w:r>
      <w:bookmarkEnd w:id="333"/>
      <w:bookmarkEnd w:id="334"/>
      <w:bookmarkEnd w:id="335"/>
      <w:r>
        <w:rPr>
          <w:rFonts w:hint="eastAsia" w:cs="宋体"/>
          <w:sz w:val="24"/>
          <w:szCs w:val="24"/>
        </w:rPr>
        <w:t>审</w:t>
      </w:r>
      <w:bookmarkEnd w:id="336"/>
      <w:bookmarkEnd w:id="337"/>
      <w:bookmarkEnd w:id="338"/>
    </w:p>
    <w:p w14:paraId="4C04DF4E">
      <w:pPr>
        <w:pStyle w:val="9"/>
        <w:keepNext w:val="0"/>
        <w:keepLines w:val="0"/>
        <w:adjustRightInd w:val="0"/>
        <w:snapToGrid w:val="0"/>
        <w:spacing w:before="0" w:after="0" w:line="360" w:lineRule="auto"/>
        <w:ind w:left="420" w:hanging="420"/>
        <w:rPr>
          <w:rFonts w:hint="eastAsia" w:ascii="宋体" w:hAnsi="宋体" w:cs="宋体"/>
          <w:sz w:val="24"/>
          <w:szCs w:val="24"/>
        </w:rPr>
      </w:pPr>
      <w:r>
        <w:rPr>
          <w:rFonts w:hint="eastAsia" w:ascii="宋体" w:hAnsi="宋体" w:cs="宋体"/>
          <w:sz w:val="24"/>
          <w:szCs w:val="24"/>
        </w:rPr>
        <w:t>27.评审方法、程序及标准</w:t>
      </w:r>
    </w:p>
    <w:p w14:paraId="0B5D7D82">
      <w:pPr>
        <w:tabs>
          <w:tab w:val="left" w:pos="426"/>
        </w:tabs>
        <w:autoSpaceDE w:val="0"/>
        <w:autoSpaceDN w:val="0"/>
        <w:adjustRightInd w:val="0"/>
        <w:snapToGrid w:val="0"/>
        <w:ind w:firstLine="480" w:firstLineChars="200"/>
        <w:rPr>
          <w:rFonts w:hint="eastAsia" w:cs="宋体"/>
          <w:snapToGrid w:val="0"/>
          <w:szCs w:val="24"/>
        </w:rPr>
      </w:pPr>
      <w:r>
        <w:rPr>
          <w:rFonts w:hint="eastAsia" w:cs="宋体"/>
          <w:snapToGrid w:val="0"/>
          <w:szCs w:val="24"/>
          <w:lang w:val="zh-CN"/>
        </w:rPr>
        <w:t>2</w:t>
      </w:r>
      <w:r>
        <w:rPr>
          <w:rFonts w:hint="eastAsia" w:cs="宋体"/>
          <w:snapToGrid w:val="0"/>
          <w:szCs w:val="24"/>
        </w:rPr>
        <w:t>7</w:t>
      </w:r>
      <w:r>
        <w:rPr>
          <w:rFonts w:hint="eastAsia" w:cs="宋体"/>
          <w:snapToGrid w:val="0"/>
          <w:szCs w:val="24"/>
          <w:lang w:val="zh-CN"/>
        </w:rPr>
        <w:t>.1</w:t>
      </w:r>
      <w:r>
        <w:rPr>
          <w:rFonts w:hint="eastAsia" w:cs="宋体"/>
          <w:snapToGrid w:val="0"/>
          <w:szCs w:val="24"/>
        </w:rPr>
        <w:t>评审方法：综合评分法。</w:t>
      </w:r>
    </w:p>
    <w:p w14:paraId="1D78CC98">
      <w:pPr>
        <w:tabs>
          <w:tab w:val="left" w:pos="426"/>
        </w:tabs>
        <w:autoSpaceDE w:val="0"/>
        <w:autoSpaceDN w:val="0"/>
        <w:adjustRightInd w:val="0"/>
        <w:snapToGrid w:val="0"/>
        <w:ind w:firstLine="480" w:firstLineChars="200"/>
        <w:rPr>
          <w:rFonts w:hint="eastAsia" w:cs="宋体"/>
          <w:snapToGrid w:val="0"/>
          <w:szCs w:val="24"/>
          <w:lang w:val="zh-CN"/>
        </w:rPr>
      </w:pPr>
      <w:r>
        <w:rPr>
          <w:rFonts w:hint="eastAsia" w:cs="宋体"/>
          <w:snapToGrid w:val="0"/>
          <w:szCs w:val="24"/>
          <w:lang w:val="zh-CN"/>
        </w:rPr>
        <w:t>综合评分法，是指响应文件满足磋商文件全部实质性要求且按评审因素的量化指标评审得分最高的供应商为成交候选供应商的评审方法。</w:t>
      </w:r>
    </w:p>
    <w:p w14:paraId="51EDFC5F">
      <w:pPr>
        <w:tabs>
          <w:tab w:val="left" w:pos="426"/>
        </w:tabs>
        <w:autoSpaceDE w:val="0"/>
        <w:autoSpaceDN w:val="0"/>
        <w:adjustRightInd w:val="0"/>
        <w:snapToGrid w:val="0"/>
        <w:ind w:firstLine="480" w:firstLineChars="200"/>
        <w:rPr>
          <w:rFonts w:hint="eastAsia" w:cs="宋体"/>
          <w:snapToGrid w:val="0"/>
          <w:szCs w:val="24"/>
          <w:lang w:val="zh-CN"/>
        </w:rPr>
      </w:pPr>
      <w:r>
        <w:rPr>
          <w:rFonts w:hint="eastAsia" w:cs="宋体"/>
          <w:snapToGrid w:val="0"/>
          <w:szCs w:val="24"/>
        </w:rPr>
        <w:t>本</w:t>
      </w:r>
      <w:r>
        <w:rPr>
          <w:rFonts w:hint="eastAsia" w:cs="宋体"/>
          <w:snapToGrid w:val="0"/>
          <w:szCs w:val="24"/>
          <w:lang w:val="zh-CN"/>
        </w:rPr>
        <w:t>项目评审方法、程序及标准详见“第</w:t>
      </w:r>
      <w:r>
        <w:rPr>
          <w:rFonts w:hint="eastAsia" w:cs="宋体"/>
          <w:snapToGrid w:val="0"/>
          <w:szCs w:val="24"/>
        </w:rPr>
        <w:t>四</w:t>
      </w:r>
      <w:r>
        <w:rPr>
          <w:rFonts w:hint="eastAsia" w:cs="宋体"/>
          <w:snapToGrid w:val="0"/>
          <w:szCs w:val="24"/>
          <w:lang w:val="zh-CN"/>
        </w:rPr>
        <w:t>章 评审</w:t>
      </w:r>
      <w:r>
        <w:rPr>
          <w:rFonts w:hint="eastAsia" w:cs="宋体"/>
          <w:snapToGrid w:val="0"/>
          <w:szCs w:val="24"/>
        </w:rPr>
        <w:t>方</w:t>
      </w:r>
      <w:r>
        <w:rPr>
          <w:rFonts w:hint="eastAsia" w:cs="宋体"/>
          <w:snapToGrid w:val="0"/>
          <w:szCs w:val="24"/>
          <w:lang w:val="zh-CN"/>
        </w:rPr>
        <w:t>法及标准”。</w:t>
      </w:r>
    </w:p>
    <w:p w14:paraId="42E7A75C">
      <w:pPr>
        <w:tabs>
          <w:tab w:val="left" w:pos="426"/>
        </w:tabs>
        <w:autoSpaceDE w:val="0"/>
        <w:autoSpaceDN w:val="0"/>
        <w:adjustRightInd w:val="0"/>
        <w:snapToGrid w:val="0"/>
        <w:ind w:firstLine="480" w:firstLineChars="200"/>
        <w:rPr>
          <w:rFonts w:hint="eastAsia" w:cs="宋体"/>
          <w:snapToGrid w:val="0"/>
          <w:szCs w:val="24"/>
          <w:lang w:val="zh-CN"/>
        </w:rPr>
      </w:pPr>
      <w:r>
        <w:rPr>
          <w:rFonts w:hint="eastAsia" w:cs="宋体"/>
          <w:snapToGrid w:val="0"/>
          <w:szCs w:val="24"/>
          <w:lang w:val="zh-CN"/>
        </w:rPr>
        <w:t>2</w:t>
      </w:r>
      <w:r>
        <w:rPr>
          <w:rFonts w:hint="eastAsia" w:cs="宋体"/>
          <w:snapToGrid w:val="0"/>
          <w:szCs w:val="24"/>
        </w:rPr>
        <w:t>7</w:t>
      </w:r>
      <w:r>
        <w:rPr>
          <w:rFonts w:hint="eastAsia" w:cs="宋体"/>
          <w:snapToGrid w:val="0"/>
          <w:szCs w:val="24"/>
          <w:lang w:val="zh-CN"/>
        </w:rPr>
        <w:t>.2磋商准备：供应商应当按照“第</w:t>
      </w:r>
      <w:r>
        <w:rPr>
          <w:rFonts w:hint="eastAsia" w:cs="宋体"/>
          <w:snapToGrid w:val="0"/>
          <w:szCs w:val="24"/>
        </w:rPr>
        <w:t>二</w:t>
      </w:r>
      <w:r>
        <w:rPr>
          <w:rFonts w:hint="eastAsia" w:cs="宋体"/>
          <w:snapToGrid w:val="0"/>
          <w:szCs w:val="24"/>
          <w:lang w:val="zh-CN"/>
        </w:rPr>
        <w:t xml:space="preserve">章 </w:t>
      </w:r>
      <w:r>
        <w:rPr>
          <w:rFonts w:hint="eastAsia" w:cs="宋体"/>
          <w:snapToGrid w:val="0"/>
          <w:szCs w:val="24"/>
        </w:rPr>
        <w:t>供应商须知</w:t>
      </w:r>
      <w:r>
        <w:rPr>
          <w:rFonts w:hint="eastAsia" w:cs="宋体"/>
          <w:snapToGrid w:val="0"/>
          <w:szCs w:val="24"/>
          <w:lang w:val="zh-CN"/>
        </w:rPr>
        <w:t>”</w:t>
      </w:r>
      <w:r>
        <w:rPr>
          <w:rFonts w:hint="eastAsia" w:cs="宋体"/>
          <w:snapToGrid w:val="0"/>
          <w:szCs w:val="24"/>
        </w:rPr>
        <w:t>的</w:t>
      </w:r>
      <w:r>
        <w:rPr>
          <w:rFonts w:hint="eastAsia" w:cs="宋体"/>
          <w:snapToGrid w:val="0"/>
          <w:szCs w:val="24"/>
          <w:lang w:val="zh-CN"/>
        </w:rPr>
        <w:t>要求提前准备好磋商所需的设备，确保设备稳定可靠、互联网畅通。</w:t>
      </w:r>
      <w:r>
        <w:rPr>
          <w:rFonts w:hint="eastAsia" w:cs="宋体"/>
          <w:szCs w:val="24"/>
        </w:rPr>
        <w:t>供应商登录供应商客户端，</w:t>
      </w:r>
      <w:r>
        <w:rPr>
          <w:rFonts w:hint="eastAsia" w:cs="宋体"/>
          <w:snapToGrid w:val="0"/>
          <w:szCs w:val="24"/>
          <w:lang w:val="zh-CN"/>
        </w:rPr>
        <w:t>通过供应商客户端进入交易系统“</w:t>
      </w:r>
      <w:r>
        <w:rPr>
          <w:rFonts w:hint="eastAsia" w:cs="宋体"/>
          <w:snapToGrid w:val="0"/>
          <w:szCs w:val="24"/>
        </w:rPr>
        <w:t>开</w:t>
      </w:r>
      <w:r>
        <w:rPr>
          <w:rFonts w:hint="eastAsia" w:cs="宋体"/>
          <w:snapToGrid w:val="0"/>
          <w:szCs w:val="24"/>
          <w:lang w:val="zh-CN"/>
        </w:rPr>
        <w:t>标大厅”，准时参加在线磋商，按照工作人员提示进行相关操作。未按上述要求进行的，导致的后果由供应商自行承担。</w:t>
      </w:r>
    </w:p>
    <w:p w14:paraId="21D93F4E">
      <w:pPr>
        <w:pStyle w:val="9"/>
        <w:keepNext w:val="0"/>
        <w:keepLines w:val="0"/>
        <w:adjustRightInd w:val="0"/>
        <w:snapToGrid w:val="0"/>
        <w:spacing w:before="0" w:after="0" w:line="360" w:lineRule="auto"/>
        <w:ind w:left="420" w:hanging="420"/>
        <w:rPr>
          <w:rFonts w:hint="eastAsia" w:ascii="宋体" w:hAnsi="宋体" w:cs="宋体"/>
          <w:sz w:val="24"/>
          <w:szCs w:val="24"/>
        </w:rPr>
      </w:pPr>
      <w:bookmarkStart w:id="339" w:name="_Toc163492857"/>
      <w:bookmarkStart w:id="340" w:name="_Toc140132790"/>
      <w:r>
        <w:rPr>
          <w:rFonts w:hint="eastAsia" w:ascii="宋体" w:hAnsi="宋体" w:cs="宋体"/>
          <w:sz w:val="24"/>
          <w:szCs w:val="24"/>
        </w:rPr>
        <w:t>28.</w:t>
      </w:r>
      <w:bookmarkEnd w:id="339"/>
      <w:bookmarkEnd w:id="340"/>
      <w:r>
        <w:rPr>
          <w:rFonts w:hint="eastAsia" w:ascii="宋体" w:hAnsi="宋体" w:cs="宋体"/>
          <w:sz w:val="24"/>
          <w:szCs w:val="24"/>
        </w:rPr>
        <w:t>磋商小组</w:t>
      </w:r>
    </w:p>
    <w:p w14:paraId="6C1089B0">
      <w:pPr>
        <w:pStyle w:val="25"/>
        <w:adjustRightInd w:val="0"/>
        <w:snapToGrid w:val="0"/>
        <w:ind w:firstLine="480"/>
        <w:rPr>
          <w:rFonts w:hint="eastAsia" w:cs="宋体"/>
          <w:szCs w:val="24"/>
        </w:rPr>
      </w:pPr>
      <w:r>
        <w:rPr>
          <w:rFonts w:hint="eastAsia" w:cs="宋体"/>
          <w:szCs w:val="24"/>
        </w:rPr>
        <w:t>28.1 磋商小组由采购人代表和评审专家共3人以上单数组成，其中评审专家人数不得少于磋商小组成员总数的2/3。采购人代表不得以评审专家身份参加本部门或本单位采购项目的评审。采购代理机构人员不得参加本机构代理的采购项目的评审。</w:t>
      </w:r>
    </w:p>
    <w:p w14:paraId="301CAD81">
      <w:pPr>
        <w:pStyle w:val="25"/>
        <w:adjustRightInd w:val="0"/>
        <w:snapToGrid w:val="0"/>
        <w:ind w:firstLine="480"/>
        <w:rPr>
          <w:rFonts w:hint="eastAsia" w:cs="宋体"/>
          <w:szCs w:val="24"/>
        </w:rPr>
      </w:pPr>
      <w:r>
        <w:rPr>
          <w:rFonts w:hint="eastAsia" w:cs="宋体"/>
          <w:szCs w:val="24"/>
        </w:rPr>
        <w:t>28.2 磋商小组成员有下列情形之一的，应当回避：</w:t>
      </w:r>
    </w:p>
    <w:p w14:paraId="0656ACEF">
      <w:pPr>
        <w:pStyle w:val="25"/>
        <w:adjustRightInd w:val="0"/>
        <w:snapToGrid w:val="0"/>
        <w:ind w:firstLine="480"/>
        <w:rPr>
          <w:rFonts w:hint="eastAsia" w:cs="宋体"/>
          <w:szCs w:val="24"/>
        </w:rPr>
      </w:pPr>
      <w:r>
        <w:rPr>
          <w:rFonts w:hint="eastAsia" w:cs="宋体"/>
          <w:szCs w:val="24"/>
        </w:rPr>
        <w:t>（1）参加采购活动前3年内与磋商供应商存在劳动关系；</w:t>
      </w:r>
    </w:p>
    <w:p w14:paraId="55B6A1BF">
      <w:pPr>
        <w:pStyle w:val="25"/>
        <w:adjustRightInd w:val="0"/>
        <w:snapToGrid w:val="0"/>
        <w:ind w:firstLine="480"/>
        <w:rPr>
          <w:rFonts w:hint="eastAsia" w:cs="宋体"/>
          <w:szCs w:val="24"/>
        </w:rPr>
      </w:pPr>
      <w:r>
        <w:rPr>
          <w:rFonts w:hint="eastAsia" w:cs="宋体"/>
          <w:szCs w:val="24"/>
        </w:rPr>
        <w:t>（2）参加采购活动前3年内担任磋商供应商的董事、监事；</w:t>
      </w:r>
    </w:p>
    <w:p w14:paraId="61A1D2B8">
      <w:pPr>
        <w:pStyle w:val="25"/>
        <w:adjustRightInd w:val="0"/>
        <w:snapToGrid w:val="0"/>
        <w:ind w:firstLine="480"/>
        <w:rPr>
          <w:rFonts w:hint="eastAsia" w:cs="宋体"/>
          <w:szCs w:val="24"/>
        </w:rPr>
      </w:pPr>
      <w:r>
        <w:rPr>
          <w:rFonts w:hint="eastAsia" w:cs="宋体"/>
          <w:szCs w:val="24"/>
        </w:rPr>
        <w:t>（3）参加采购活动前3年内是磋商供应商的控股股东或者实际控制人；</w:t>
      </w:r>
    </w:p>
    <w:p w14:paraId="2961D582">
      <w:pPr>
        <w:pStyle w:val="25"/>
        <w:adjustRightInd w:val="0"/>
        <w:snapToGrid w:val="0"/>
        <w:ind w:firstLine="480"/>
        <w:rPr>
          <w:rFonts w:hint="eastAsia" w:cs="宋体"/>
          <w:szCs w:val="24"/>
        </w:rPr>
      </w:pPr>
      <w:r>
        <w:rPr>
          <w:rFonts w:hint="eastAsia" w:cs="宋体"/>
          <w:szCs w:val="24"/>
        </w:rPr>
        <w:t>（4）与磋商供应商的法定代表人或者负责人有夫妻、直系血亲、三代以内旁系血亲或者近姻亲关系；</w:t>
      </w:r>
    </w:p>
    <w:p w14:paraId="20FB9B78">
      <w:pPr>
        <w:pStyle w:val="25"/>
        <w:adjustRightInd w:val="0"/>
        <w:snapToGrid w:val="0"/>
        <w:ind w:firstLine="480"/>
        <w:rPr>
          <w:rFonts w:hint="eastAsia" w:cs="宋体"/>
          <w:szCs w:val="24"/>
        </w:rPr>
      </w:pPr>
      <w:r>
        <w:rPr>
          <w:rFonts w:hint="eastAsia" w:cs="宋体"/>
          <w:szCs w:val="24"/>
        </w:rPr>
        <w:t>（5）与磋商供应商有其他可能影响采购活动公平、公正进行的关系。</w:t>
      </w:r>
    </w:p>
    <w:p w14:paraId="25BEA5A7">
      <w:pPr>
        <w:pStyle w:val="9"/>
        <w:keepNext w:val="0"/>
        <w:keepLines w:val="0"/>
        <w:adjustRightInd w:val="0"/>
        <w:snapToGrid w:val="0"/>
        <w:spacing w:before="0" w:after="0" w:line="360" w:lineRule="auto"/>
        <w:ind w:left="420" w:hanging="420"/>
        <w:rPr>
          <w:rFonts w:hint="eastAsia" w:ascii="宋体" w:hAnsi="宋体" w:cs="宋体"/>
          <w:sz w:val="24"/>
          <w:szCs w:val="24"/>
        </w:rPr>
      </w:pPr>
      <w:bookmarkStart w:id="341" w:name="_Toc163492858"/>
      <w:bookmarkStart w:id="342" w:name="_Toc140132791"/>
      <w:r>
        <w:rPr>
          <w:rFonts w:hint="eastAsia" w:ascii="宋体" w:hAnsi="宋体" w:cs="宋体"/>
          <w:sz w:val="24"/>
          <w:szCs w:val="24"/>
        </w:rPr>
        <w:t>29.</w:t>
      </w:r>
      <w:bookmarkEnd w:id="341"/>
      <w:bookmarkEnd w:id="342"/>
      <w:r>
        <w:rPr>
          <w:rFonts w:hint="eastAsia" w:ascii="宋体" w:hAnsi="宋体" w:cs="宋体"/>
          <w:sz w:val="24"/>
          <w:szCs w:val="24"/>
        </w:rPr>
        <w:t>评审</w:t>
      </w:r>
    </w:p>
    <w:p w14:paraId="418DE4CD">
      <w:pPr>
        <w:pStyle w:val="25"/>
        <w:adjustRightInd w:val="0"/>
        <w:snapToGrid w:val="0"/>
        <w:ind w:firstLine="480"/>
        <w:rPr>
          <w:rFonts w:hint="eastAsia" w:cs="宋体"/>
          <w:szCs w:val="24"/>
        </w:rPr>
      </w:pPr>
      <w:r>
        <w:rPr>
          <w:rFonts w:hint="eastAsia" w:cs="宋体"/>
          <w:szCs w:val="24"/>
        </w:rPr>
        <w:t>29.1 磋商小组按照“第四章 评审方法及标准”的规定对响应文件进行评审。“第四章 评审方法及标准”没有规定的方法、评审因素和标准，不作为评审依据。</w:t>
      </w:r>
    </w:p>
    <w:p w14:paraId="1A9007D8">
      <w:pPr>
        <w:pStyle w:val="25"/>
        <w:adjustRightInd w:val="0"/>
        <w:snapToGrid w:val="0"/>
        <w:ind w:firstLine="480"/>
        <w:rPr>
          <w:rFonts w:hint="eastAsia" w:cs="宋体"/>
          <w:szCs w:val="24"/>
        </w:rPr>
      </w:pPr>
      <w:r>
        <w:rPr>
          <w:rFonts w:hint="eastAsia" w:cs="宋体"/>
          <w:szCs w:val="24"/>
        </w:rPr>
        <w:t>29.2 磋商小组按“供应商须知前附表”规定的成交候选人数量在评审报告中向采购人推荐成交候选人。</w:t>
      </w:r>
    </w:p>
    <w:p w14:paraId="1E63454C">
      <w:pPr>
        <w:pStyle w:val="25"/>
        <w:adjustRightInd w:val="0"/>
        <w:snapToGrid w:val="0"/>
        <w:ind w:firstLine="480"/>
        <w:rPr>
          <w:rFonts w:hint="eastAsia" w:cs="宋体"/>
          <w:szCs w:val="24"/>
        </w:rPr>
      </w:pPr>
      <w:r>
        <w:rPr>
          <w:rFonts w:hint="eastAsia" w:cs="宋体"/>
          <w:szCs w:val="24"/>
        </w:rPr>
        <w:t>29.3 开启之后，直到签订合同止，凡是属于审查、澄清、评价和比较磋商的有关资料以及确定成交意向等，均不得向供应商或者其他与评审无关的人员透露。</w:t>
      </w:r>
    </w:p>
    <w:p w14:paraId="57927CBE">
      <w:pPr>
        <w:pStyle w:val="25"/>
        <w:adjustRightInd w:val="0"/>
        <w:snapToGrid w:val="0"/>
        <w:ind w:firstLine="480"/>
        <w:rPr>
          <w:rFonts w:hint="eastAsia" w:cs="宋体"/>
          <w:szCs w:val="24"/>
        </w:rPr>
      </w:pPr>
      <w:r>
        <w:rPr>
          <w:rFonts w:hint="eastAsia" w:cs="宋体"/>
          <w:szCs w:val="24"/>
        </w:rPr>
        <w:t>29.4 在确定成交人之前，供应商试图在响应文件审查、澄清、比较和评审时对磋商小组、采购人和采购代理机构施加任何影响都可能导致其</w:t>
      </w:r>
      <w:r>
        <w:rPr>
          <w:rFonts w:hint="eastAsia" w:cs="宋体"/>
          <w:b/>
          <w:bCs/>
          <w:szCs w:val="24"/>
        </w:rPr>
        <w:t>响应无效</w:t>
      </w:r>
      <w:r>
        <w:rPr>
          <w:rFonts w:hint="eastAsia" w:cs="宋体"/>
          <w:szCs w:val="24"/>
        </w:rPr>
        <w:t>。</w:t>
      </w:r>
    </w:p>
    <w:p w14:paraId="32A32003">
      <w:pPr>
        <w:pStyle w:val="25"/>
        <w:adjustRightInd w:val="0"/>
        <w:snapToGrid w:val="0"/>
        <w:ind w:firstLine="480"/>
        <w:rPr>
          <w:rFonts w:hint="eastAsia" w:cs="宋体"/>
          <w:szCs w:val="24"/>
        </w:rPr>
      </w:pPr>
      <w:r>
        <w:rPr>
          <w:rFonts w:hint="eastAsia" w:cs="宋体"/>
          <w:szCs w:val="24"/>
        </w:rPr>
        <w:t>29.5 电子招投标的应急措施</w:t>
      </w:r>
    </w:p>
    <w:p w14:paraId="52525CD6">
      <w:pPr>
        <w:pStyle w:val="25"/>
        <w:adjustRightInd w:val="0"/>
        <w:snapToGrid w:val="0"/>
        <w:ind w:firstLine="480"/>
        <w:rPr>
          <w:rFonts w:hint="eastAsia" w:cs="宋体"/>
          <w:szCs w:val="24"/>
        </w:rPr>
      </w:pPr>
      <w:r>
        <w:rPr>
          <w:rFonts w:hint="eastAsia" w:cs="宋体"/>
          <w:szCs w:val="24"/>
        </w:rPr>
        <w:t>29.5.1电子开启、评审如出现下列原因，导致系统无法正常运行或无法正常评审时，应采取应急措施。</w:t>
      </w:r>
    </w:p>
    <w:p w14:paraId="3D99F562">
      <w:pPr>
        <w:pStyle w:val="25"/>
        <w:adjustRightInd w:val="0"/>
        <w:snapToGrid w:val="0"/>
        <w:ind w:firstLine="480"/>
        <w:rPr>
          <w:rFonts w:hint="eastAsia" w:cs="宋体"/>
          <w:szCs w:val="24"/>
        </w:rPr>
      </w:pPr>
      <w:r>
        <w:rPr>
          <w:rFonts w:hint="eastAsia" w:cs="宋体"/>
          <w:szCs w:val="24"/>
        </w:rPr>
        <w:t>（1）系统服务器发生故障，无法访问或无法使用系统；</w:t>
      </w:r>
    </w:p>
    <w:p w14:paraId="518B308A">
      <w:pPr>
        <w:pStyle w:val="25"/>
        <w:adjustRightInd w:val="0"/>
        <w:snapToGrid w:val="0"/>
        <w:ind w:firstLine="480"/>
        <w:rPr>
          <w:rFonts w:hint="eastAsia" w:cs="宋体"/>
          <w:szCs w:val="24"/>
        </w:rPr>
      </w:pPr>
      <w:r>
        <w:rPr>
          <w:rFonts w:hint="eastAsia" w:cs="宋体"/>
          <w:szCs w:val="24"/>
        </w:rPr>
        <w:t>（2）系统的软件或数据库出现错误，不能进行正常操作；</w:t>
      </w:r>
    </w:p>
    <w:p w14:paraId="657BA7B3">
      <w:pPr>
        <w:pStyle w:val="25"/>
        <w:adjustRightInd w:val="0"/>
        <w:snapToGrid w:val="0"/>
        <w:ind w:firstLine="480"/>
        <w:rPr>
          <w:rFonts w:hint="eastAsia" w:cs="宋体"/>
          <w:szCs w:val="24"/>
        </w:rPr>
      </w:pPr>
      <w:r>
        <w:rPr>
          <w:rFonts w:hint="eastAsia" w:cs="宋体"/>
          <w:szCs w:val="24"/>
        </w:rPr>
        <w:t>（3）系统发现有安全漏洞，有潜在的泄密危险；</w:t>
      </w:r>
    </w:p>
    <w:p w14:paraId="26B15397">
      <w:pPr>
        <w:pStyle w:val="25"/>
        <w:adjustRightInd w:val="0"/>
        <w:snapToGrid w:val="0"/>
        <w:ind w:firstLine="480"/>
        <w:rPr>
          <w:rFonts w:hint="eastAsia" w:cs="宋体"/>
          <w:szCs w:val="24"/>
        </w:rPr>
      </w:pPr>
      <w:r>
        <w:rPr>
          <w:rFonts w:hint="eastAsia" w:cs="宋体"/>
          <w:szCs w:val="24"/>
        </w:rPr>
        <w:t>（4）病毒发作或受到外来病毒的攻击；</w:t>
      </w:r>
    </w:p>
    <w:p w14:paraId="6BCA43D9">
      <w:pPr>
        <w:pStyle w:val="25"/>
        <w:adjustRightInd w:val="0"/>
        <w:snapToGrid w:val="0"/>
        <w:ind w:firstLine="480"/>
        <w:rPr>
          <w:rFonts w:hint="eastAsia" w:cs="宋体"/>
          <w:szCs w:val="24"/>
        </w:rPr>
      </w:pPr>
      <w:r>
        <w:rPr>
          <w:rFonts w:hint="eastAsia" w:cs="宋体"/>
          <w:szCs w:val="24"/>
        </w:rPr>
        <w:t>（5）出现其他不可抗拒的客观原因造成开评标系统无法正常使用。</w:t>
      </w:r>
    </w:p>
    <w:p w14:paraId="2BA3CE00">
      <w:pPr>
        <w:pStyle w:val="25"/>
        <w:adjustRightInd w:val="0"/>
        <w:snapToGrid w:val="0"/>
        <w:ind w:firstLine="480"/>
        <w:rPr>
          <w:rFonts w:hint="eastAsia" w:cs="宋体"/>
          <w:szCs w:val="24"/>
        </w:rPr>
      </w:pPr>
      <w:r>
        <w:rPr>
          <w:rFonts w:hint="eastAsia" w:cs="宋体"/>
          <w:szCs w:val="24"/>
        </w:rPr>
        <w:t>出现上述情况时，应对未开启的暂停开启。已在系统内开启、评审的立即停止。采取应急措施时，必须对原有资料及信息作出妥善保密处理。</w:t>
      </w:r>
    </w:p>
    <w:p w14:paraId="791CC4F0">
      <w:pPr>
        <w:pStyle w:val="25"/>
        <w:adjustRightInd w:val="0"/>
        <w:snapToGrid w:val="0"/>
        <w:ind w:firstLine="480"/>
        <w:rPr>
          <w:rFonts w:hint="eastAsia" w:cs="宋体"/>
          <w:szCs w:val="24"/>
        </w:rPr>
      </w:pPr>
      <w:r>
        <w:rPr>
          <w:rFonts w:hint="eastAsia" w:cs="宋体"/>
          <w:szCs w:val="24"/>
        </w:rPr>
        <w:t>29.5.2因系统原因导致供应商均无法解密电子响应文件时，采购代理机构可在开启现场直接导入供应商在递交响应文件截止时间前递交的未加密的电子响应文件进行开启、评审。</w:t>
      </w:r>
    </w:p>
    <w:p w14:paraId="28CD45E0">
      <w:pPr>
        <w:pStyle w:val="25"/>
        <w:adjustRightInd w:val="0"/>
        <w:snapToGrid w:val="0"/>
        <w:ind w:firstLine="480"/>
        <w:rPr>
          <w:rFonts w:hint="eastAsia" w:cs="宋体"/>
          <w:szCs w:val="24"/>
        </w:rPr>
      </w:pPr>
      <w:r>
        <w:rPr>
          <w:rFonts w:hint="eastAsia" w:cs="宋体"/>
          <w:szCs w:val="24"/>
        </w:rPr>
        <w:t>29.6 供应商瑕疵滞后发现的处理规则</w:t>
      </w:r>
    </w:p>
    <w:p w14:paraId="11E85EAD">
      <w:pPr>
        <w:pStyle w:val="25"/>
        <w:adjustRightInd w:val="0"/>
        <w:snapToGrid w:val="0"/>
        <w:ind w:firstLine="480"/>
        <w:rPr>
          <w:rFonts w:hint="eastAsia" w:cs="宋体"/>
          <w:szCs w:val="24"/>
        </w:rPr>
      </w:pPr>
      <w:r>
        <w:rPr>
          <w:rFonts w:hint="eastAsia" w:cs="宋体"/>
          <w:szCs w:val="24"/>
        </w:rPr>
        <w:t>29.6.1无论基于何种原因，各项本应作拒绝处理的情形即便未被及时发现而使该供应商进入初审、综合评审或其他后续程序，包括已经签订合同的情形，一旦供应商被拒绝或该供应商的此前评议结果被取消，其现有的位置将被其他供应商依序替代，相关的一切损失均由该供应商承担。</w:t>
      </w:r>
    </w:p>
    <w:p w14:paraId="5000462B">
      <w:pPr>
        <w:pStyle w:val="8"/>
        <w:keepNext w:val="0"/>
        <w:keepLines w:val="0"/>
        <w:adjustRightInd w:val="0"/>
        <w:snapToGrid w:val="0"/>
        <w:spacing w:before="0" w:after="0" w:line="360" w:lineRule="auto"/>
        <w:ind w:left="420" w:hanging="420"/>
        <w:rPr>
          <w:rFonts w:hint="eastAsia" w:cs="宋体"/>
          <w:sz w:val="24"/>
          <w:szCs w:val="24"/>
        </w:rPr>
      </w:pPr>
      <w:bookmarkStart w:id="343" w:name="_Toc2863"/>
      <w:bookmarkStart w:id="344" w:name="_Toc163493616"/>
      <w:bookmarkStart w:id="345" w:name="_Toc14869"/>
      <w:bookmarkStart w:id="346" w:name="_Toc109899982"/>
      <w:bookmarkStart w:id="347" w:name="_Toc6316"/>
      <w:bookmarkStart w:id="348" w:name="_Toc109900401"/>
      <w:bookmarkStart w:id="349" w:name="_Toc109897464"/>
      <w:bookmarkStart w:id="350" w:name="_Toc109899563"/>
      <w:bookmarkStart w:id="351" w:name="_Toc470172692"/>
      <w:bookmarkStart w:id="352" w:name="_Toc46771670"/>
      <w:r>
        <w:rPr>
          <w:rFonts w:hint="eastAsia" w:cs="宋体"/>
          <w:sz w:val="24"/>
          <w:szCs w:val="24"/>
        </w:rPr>
        <w:t>（八）成交</w:t>
      </w:r>
      <w:bookmarkEnd w:id="343"/>
      <w:bookmarkEnd w:id="344"/>
      <w:bookmarkEnd w:id="345"/>
      <w:bookmarkEnd w:id="346"/>
      <w:bookmarkEnd w:id="347"/>
      <w:bookmarkEnd w:id="348"/>
      <w:bookmarkEnd w:id="349"/>
      <w:bookmarkEnd w:id="350"/>
      <w:bookmarkEnd w:id="351"/>
      <w:bookmarkEnd w:id="352"/>
    </w:p>
    <w:p w14:paraId="59C81E92">
      <w:pPr>
        <w:pStyle w:val="9"/>
        <w:keepNext w:val="0"/>
        <w:keepLines w:val="0"/>
        <w:adjustRightInd w:val="0"/>
        <w:snapToGrid w:val="0"/>
        <w:spacing w:before="0" w:after="0" w:line="360" w:lineRule="auto"/>
        <w:ind w:left="420" w:hanging="420"/>
        <w:rPr>
          <w:rFonts w:hint="eastAsia" w:ascii="宋体" w:hAnsi="宋体" w:cs="宋体"/>
          <w:sz w:val="24"/>
          <w:szCs w:val="24"/>
        </w:rPr>
      </w:pPr>
      <w:bookmarkStart w:id="353" w:name="_Toc109899983"/>
      <w:bookmarkStart w:id="354" w:name="_Toc48846140"/>
      <w:bookmarkStart w:id="355" w:name="_Toc52962758"/>
      <w:bookmarkStart w:id="356" w:name="_Toc46771671"/>
      <w:bookmarkStart w:id="357" w:name="_Toc52960584"/>
      <w:bookmarkStart w:id="358" w:name="_Toc109900402"/>
      <w:bookmarkStart w:id="359" w:name="_Toc48688820"/>
      <w:bookmarkStart w:id="360" w:name="_Toc46772272"/>
      <w:bookmarkStart w:id="361" w:name="_Toc51674242"/>
      <w:bookmarkStart w:id="362" w:name="_Toc109897465"/>
      <w:bookmarkStart w:id="363" w:name="_Toc109899564"/>
      <w:bookmarkStart w:id="364" w:name="_Hlk143533953"/>
      <w:r>
        <w:rPr>
          <w:rFonts w:hint="eastAsia" w:ascii="宋体" w:hAnsi="宋体" w:cs="宋体"/>
          <w:sz w:val="24"/>
          <w:szCs w:val="24"/>
        </w:rPr>
        <w:t>30.确定成交供应商</w:t>
      </w:r>
      <w:bookmarkEnd w:id="353"/>
      <w:bookmarkEnd w:id="354"/>
      <w:bookmarkEnd w:id="355"/>
      <w:bookmarkEnd w:id="356"/>
      <w:bookmarkEnd w:id="357"/>
      <w:bookmarkEnd w:id="358"/>
      <w:bookmarkEnd w:id="359"/>
      <w:bookmarkEnd w:id="360"/>
      <w:bookmarkEnd w:id="361"/>
      <w:bookmarkEnd w:id="362"/>
      <w:bookmarkEnd w:id="363"/>
    </w:p>
    <w:p w14:paraId="2A96CF82">
      <w:pPr>
        <w:tabs>
          <w:tab w:val="left" w:pos="426"/>
        </w:tabs>
        <w:autoSpaceDE w:val="0"/>
        <w:autoSpaceDN w:val="0"/>
        <w:adjustRightInd w:val="0"/>
        <w:snapToGrid w:val="0"/>
        <w:ind w:firstLine="480" w:firstLineChars="200"/>
        <w:rPr>
          <w:rFonts w:hint="eastAsia" w:cs="宋体"/>
          <w:snapToGrid w:val="0"/>
          <w:szCs w:val="24"/>
          <w:lang w:val="zh-CN"/>
        </w:rPr>
      </w:pPr>
      <w:r>
        <w:rPr>
          <w:rFonts w:hint="eastAsia" w:cs="宋体"/>
          <w:snapToGrid w:val="0"/>
          <w:szCs w:val="24"/>
        </w:rPr>
        <w:t>30</w:t>
      </w:r>
      <w:r>
        <w:rPr>
          <w:rFonts w:hint="eastAsia" w:cs="宋体"/>
          <w:snapToGrid w:val="0"/>
          <w:szCs w:val="24"/>
          <w:lang w:val="zh-CN"/>
        </w:rPr>
        <w:t>.1确定成交供应商详见”供应商须知前附表”。</w:t>
      </w:r>
    </w:p>
    <w:p w14:paraId="4B64349D">
      <w:pPr>
        <w:pStyle w:val="9"/>
        <w:keepNext w:val="0"/>
        <w:keepLines w:val="0"/>
        <w:adjustRightInd w:val="0"/>
        <w:snapToGrid w:val="0"/>
        <w:spacing w:before="0" w:after="0" w:line="360" w:lineRule="auto"/>
        <w:ind w:left="420" w:hanging="420"/>
        <w:rPr>
          <w:rFonts w:hint="eastAsia" w:ascii="宋体" w:hAnsi="宋体" w:cs="宋体"/>
          <w:sz w:val="24"/>
          <w:szCs w:val="24"/>
        </w:rPr>
      </w:pPr>
      <w:r>
        <w:rPr>
          <w:rFonts w:hint="eastAsia" w:ascii="宋体" w:hAnsi="宋体" w:cs="宋体"/>
          <w:sz w:val="24"/>
          <w:szCs w:val="24"/>
        </w:rPr>
        <w:t>31.成交结果公告</w:t>
      </w:r>
    </w:p>
    <w:p w14:paraId="32E98E3A">
      <w:pPr>
        <w:pStyle w:val="25"/>
        <w:adjustRightInd w:val="0"/>
        <w:snapToGrid w:val="0"/>
        <w:ind w:firstLine="480"/>
        <w:rPr>
          <w:rFonts w:hint="eastAsia" w:cs="宋体"/>
          <w:szCs w:val="24"/>
          <w:lang w:bidi="ar"/>
        </w:rPr>
      </w:pPr>
      <w:r>
        <w:rPr>
          <w:rFonts w:hint="eastAsia" w:cs="宋体"/>
          <w:snapToGrid w:val="0"/>
          <w:szCs w:val="24"/>
        </w:rPr>
        <w:t>31</w:t>
      </w:r>
      <w:r>
        <w:rPr>
          <w:rFonts w:hint="eastAsia" w:cs="宋体"/>
          <w:snapToGrid w:val="0"/>
          <w:szCs w:val="24"/>
          <w:lang w:val="zh-CN"/>
        </w:rPr>
        <w:t>.1</w:t>
      </w:r>
      <w:r>
        <w:rPr>
          <w:rFonts w:hint="eastAsia" w:cs="宋体"/>
          <w:szCs w:val="24"/>
          <w:lang w:bidi="ar"/>
        </w:rPr>
        <w:t>采购人或者采购代理机构应当在成交供应商确定后2个工作日内，在省级以上财政部门指定的政府采购信息发布媒体上公告成交结果，磋商文件、</w:t>
      </w:r>
      <w:r>
        <w:rPr>
          <w:rFonts w:hint="eastAsia" w:cs="宋体"/>
          <w:bCs/>
          <w:szCs w:val="24"/>
        </w:rPr>
        <w:t>成交供应商的评审总得分</w:t>
      </w:r>
      <w:r>
        <w:rPr>
          <w:rFonts w:hint="eastAsia" w:cs="宋体"/>
          <w:szCs w:val="24"/>
          <w:lang w:bidi="ar"/>
        </w:rPr>
        <w:t>随成交结果同时公告。</w:t>
      </w:r>
    </w:p>
    <w:p w14:paraId="25AD9E9E">
      <w:pPr>
        <w:pStyle w:val="25"/>
        <w:adjustRightInd w:val="0"/>
        <w:snapToGrid w:val="0"/>
        <w:ind w:firstLine="480"/>
        <w:rPr>
          <w:rFonts w:hint="eastAsia" w:cs="宋体"/>
          <w:szCs w:val="24"/>
          <w:lang w:bidi="ar"/>
        </w:rPr>
      </w:pPr>
      <w:r>
        <w:rPr>
          <w:rFonts w:hint="eastAsia" w:cs="宋体"/>
          <w:bCs/>
          <w:szCs w:val="24"/>
        </w:rPr>
        <w:t>31.2成交人为中小企业享受中小企业扶持政策的，其“中小企业声明函”随成交结果同时公告。成交人为残疾人福利性单位的，其“残疾人福利性单位声明函”随成交结果同时公告。</w:t>
      </w:r>
    </w:p>
    <w:p w14:paraId="4CB6B367">
      <w:pPr>
        <w:pStyle w:val="9"/>
        <w:keepNext w:val="0"/>
        <w:keepLines w:val="0"/>
        <w:adjustRightInd w:val="0"/>
        <w:snapToGrid w:val="0"/>
        <w:spacing w:before="0" w:after="0" w:line="360" w:lineRule="auto"/>
        <w:ind w:left="420" w:hanging="420"/>
        <w:rPr>
          <w:rFonts w:hint="eastAsia" w:ascii="宋体" w:hAnsi="宋体" w:cs="宋体"/>
          <w:sz w:val="24"/>
          <w:szCs w:val="24"/>
        </w:rPr>
      </w:pPr>
      <w:r>
        <w:rPr>
          <w:rFonts w:hint="eastAsia" w:ascii="宋体" w:hAnsi="宋体" w:cs="宋体"/>
          <w:sz w:val="24"/>
          <w:szCs w:val="24"/>
        </w:rPr>
        <w:t>32.成交通知书</w:t>
      </w:r>
    </w:p>
    <w:p w14:paraId="3F3AC502">
      <w:pPr>
        <w:pStyle w:val="25"/>
        <w:adjustRightInd w:val="0"/>
        <w:snapToGrid w:val="0"/>
        <w:ind w:firstLine="480"/>
        <w:rPr>
          <w:rFonts w:hint="eastAsia" w:cs="宋体"/>
          <w:snapToGrid w:val="0"/>
          <w:szCs w:val="24"/>
          <w:lang w:val="zh-CN"/>
        </w:rPr>
      </w:pPr>
      <w:r>
        <w:rPr>
          <w:rFonts w:hint="eastAsia" w:cs="宋体"/>
          <w:snapToGrid w:val="0"/>
          <w:szCs w:val="24"/>
        </w:rPr>
        <w:t>32</w:t>
      </w:r>
      <w:r>
        <w:rPr>
          <w:rFonts w:hint="eastAsia" w:cs="宋体"/>
          <w:snapToGrid w:val="0"/>
          <w:szCs w:val="24"/>
          <w:lang w:val="zh-CN"/>
        </w:rPr>
        <w:t>.1发布成交结果公告同时向成交供应商发出成交通知书。成交通知书是合同的组成部分,对成交供应商和采购人具有同等法律效力。</w:t>
      </w:r>
    </w:p>
    <w:p w14:paraId="3E2C2D81">
      <w:pPr>
        <w:pStyle w:val="8"/>
        <w:keepNext w:val="0"/>
        <w:keepLines w:val="0"/>
        <w:adjustRightInd w:val="0"/>
        <w:snapToGrid w:val="0"/>
        <w:spacing w:before="0" w:after="0" w:line="360" w:lineRule="auto"/>
        <w:ind w:left="420" w:hanging="420"/>
        <w:rPr>
          <w:rFonts w:hint="eastAsia" w:cs="宋体"/>
          <w:sz w:val="24"/>
          <w:szCs w:val="24"/>
        </w:rPr>
      </w:pPr>
      <w:bookmarkStart w:id="365" w:name="_Toc10931"/>
      <w:bookmarkStart w:id="366" w:name="_Toc19854"/>
      <w:bookmarkStart w:id="367" w:name="_Toc2979"/>
      <w:bookmarkStart w:id="368" w:name="_Toc163493617"/>
      <w:r>
        <w:rPr>
          <w:rFonts w:hint="eastAsia" w:cs="宋体"/>
          <w:sz w:val="24"/>
          <w:szCs w:val="24"/>
        </w:rPr>
        <w:t>（九）签订合同</w:t>
      </w:r>
      <w:bookmarkEnd w:id="365"/>
      <w:bookmarkEnd w:id="366"/>
      <w:bookmarkEnd w:id="367"/>
      <w:bookmarkEnd w:id="368"/>
    </w:p>
    <w:p w14:paraId="6F871425">
      <w:pPr>
        <w:pStyle w:val="9"/>
        <w:keepNext w:val="0"/>
        <w:keepLines w:val="0"/>
        <w:adjustRightInd w:val="0"/>
        <w:snapToGrid w:val="0"/>
        <w:spacing w:before="0" w:after="0" w:line="360" w:lineRule="auto"/>
        <w:ind w:left="420" w:hanging="420"/>
        <w:rPr>
          <w:rFonts w:hint="eastAsia" w:ascii="宋体" w:hAnsi="宋体" w:cs="宋体"/>
          <w:sz w:val="24"/>
          <w:szCs w:val="24"/>
        </w:rPr>
      </w:pPr>
      <w:bookmarkStart w:id="369" w:name="_Toc109899984"/>
      <w:bookmarkStart w:id="370" w:name="_Toc52960585"/>
      <w:bookmarkStart w:id="371" w:name="_Toc51674243"/>
      <w:bookmarkStart w:id="372" w:name="_Toc48688821"/>
      <w:bookmarkStart w:id="373" w:name="_Toc109897466"/>
      <w:bookmarkStart w:id="374" w:name="_Toc52962759"/>
      <w:bookmarkStart w:id="375" w:name="_Toc109899565"/>
      <w:bookmarkStart w:id="376" w:name="_Toc109900403"/>
      <w:bookmarkStart w:id="377" w:name="_Toc46772273"/>
      <w:bookmarkStart w:id="378" w:name="_Toc48846141"/>
      <w:bookmarkStart w:id="379" w:name="_Toc46771672"/>
      <w:r>
        <w:rPr>
          <w:rFonts w:hint="eastAsia" w:ascii="宋体" w:hAnsi="宋体" w:cs="宋体"/>
          <w:sz w:val="24"/>
          <w:szCs w:val="24"/>
        </w:rPr>
        <w:t>33.履约保证金</w:t>
      </w:r>
    </w:p>
    <w:p w14:paraId="2934878C">
      <w:pPr>
        <w:pStyle w:val="25"/>
        <w:adjustRightInd w:val="0"/>
        <w:snapToGrid w:val="0"/>
        <w:ind w:firstLine="480"/>
        <w:rPr>
          <w:rFonts w:hint="eastAsia" w:cs="宋体"/>
          <w:szCs w:val="24"/>
        </w:rPr>
      </w:pPr>
      <w:r>
        <w:rPr>
          <w:rFonts w:hint="eastAsia" w:cs="宋体"/>
          <w:szCs w:val="24"/>
        </w:rPr>
        <w:t>33.1在签订合同前，成交供应商应按“供应商须知前附表”规定的金额、担保形式和采购人认可的履约担保格式向采购人提交履约保证金。</w:t>
      </w:r>
    </w:p>
    <w:p w14:paraId="429BB4A0">
      <w:pPr>
        <w:pStyle w:val="25"/>
        <w:adjustRightInd w:val="0"/>
        <w:snapToGrid w:val="0"/>
        <w:ind w:firstLine="480"/>
        <w:rPr>
          <w:rFonts w:hint="eastAsia" w:cs="宋体"/>
          <w:szCs w:val="24"/>
        </w:rPr>
      </w:pPr>
      <w:r>
        <w:rPr>
          <w:rFonts w:hint="eastAsia" w:cs="宋体"/>
          <w:szCs w:val="24"/>
        </w:rPr>
        <w:t>33.2成交供应商不能按本章第33.1项要求提交履约担保的，视为放弃成交，给采购人造成损失的，成交供应商还应当承担民事责任。</w:t>
      </w:r>
    </w:p>
    <w:p w14:paraId="2B0382DC">
      <w:pPr>
        <w:pStyle w:val="9"/>
        <w:keepNext w:val="0"/>
        <w:keepLines w:val="0"/>
        <w:adjustRightInd w:val="0"/>
        <w:snapToGrid w:val="0"/>
        <w:spacing w:before="0" w:after="0" w:line="360" w:lineRule="auto"/>
        <w:ind w:left="420" w:hanging="420"/>
        <w:rPr>
          <w:rFonts w:hint="eastAsia" w:ascii="宋体" w:hAnsi="宋体" w:cs="宋体"/>
          <w:sz w:val="24"/>
          <w:szCs w:val="24"/>
        </w:rPr>
      </w:pPr>
      <w:r>
        <w:rPr>
          <w:rFonts w:hint="eastAsia" w:ascii="宋体" w:hAnsi="宋体" w:cs="宋体"/>
          <w:sz w:val="24"/>
          <w:szCs w:val="24"/>
        </w:rPr>
        <w:t>34.签订合同</w:t>
      </w:r>
      <w:bookmarkEnd w:id="369"/>
      <w:bookmarkEnd w:id="370"/>
      <w:bookmarkEnd w:id="371"/>
      <w:bookmarkEnd w:id="372"/>
      <w:bookmarkEnd w:id="373"/>
      <w:bookmarkEnd w:id="374"/>
      <w:bookmarkEnd w:id="375"/>
      <w:bookmarkEnd w:id="376"/>
      <w:bookmarkEnd w:id="377"/>
      <w:bookmarkEnd w:id="378"/>
      <w:bookmarkEnd w:id="379"/>
    </w:p>
    <w:p w14:paraId="77507EBB">
      <w:pPr>
        <w:pStyle w:val="25"/>
        <w:adjustRightInd w:val="0"/>
        <w:snapToGrid w:val="0"/>
        <w:ind w:firstLine="480"/>
        <w:rPr>
          <w:rFonts w:hint="eastAsia" w:cs="宋体"/>
          <w:szCs w:val="24"/>
        </w:rPr>
      </w:pPr>
      <w:r>
        <w:rPr>
          <w:rFonts w:hint="eastAsia" w:cs="宋体"/>
          <w:snapToGrid w:val="0"/>
          <w:szCs w:val="24"/>
          <w:lang w:val="zh-CN"/>
        </w:rPr>
        <w:t>3</w:t>
      </w:r>
      <w:r>
        <w:rPr>
          <w:rFonts w:hint="eastAsia" w:cs="宋体"/>
          <w:snapToGrid w:val="0"/>
          <w:szCs w:val="24"/>
        </w:rPr>
        <w:t>4</w:t>
      </w:r>
      <w:r>
        <w:rPr>
          <w:rFonts w:hint="eastAsia" w:cs="宋体"/>
          <w:snapToGrid w:val="0"/>
          <w:szCs w:val="24"/>
          <w:lang w:val="zh-CN"/>
        </w:rPr>
        <w:t>.1采购人与成交供应商应当在成交通知书发出之日起</w:t>
      </w:r>
      <w:r>
        <w:rPr>
          <w:rFonts w:hint="eastAsia" w:cs="宋体"/>
          <w:snapToGrid w:val="0"/>
          <w:szCs w:val="24"/>
        </w:rPr>
        <w:t>25</w:t>
      </w:r>
      <w:r>
        <w:rPr>
          <w:rFonts w:hint="eastAsia" w:cs="宋体"/>
          <w:snapToGrid w:val="0"/>
          <w:szCs w:val="24"/>
          <w:lang w:val="zh-CN"/>
        </w:rPr>
        <w:t>日内，按照磋商文件确定的合同文本以及采购标的、规格型号、采购金额、采购数量、技术和服务要求等事项签订政府采购合同。</w:t>
      </w:r>
      <w:r>
        <w:rPr>
          <w:rFonts w:hint="eastAsia" w:cs="宋体"/>
          <w:szCs w:val="24"/>
        </w:rPr>
        <w:t>采购人因不可抗力原因迟延签订合同的，应当自不可抗力事由消除之日起7日内完成合同签订事宜。所签订的合同不得对磋商文件和成交供应商响应文件作实质性修改。成交人无正当理由拒签合同，给采购人造成损失的，成交人还应当承担民事责任。</w:t>
      </w:r>
    </w:p>
    <w:p w14:paraId="631AC2E0">
      <w:pPr>
        <w:pStyle w:val="25"/>
        <w:adjustRightInd w:val="0"/>
        <w:snapToGrid w:val="0"/>
        <w:ind w:firstLine="480"/>
        <w:rPr>
          <w:rFonts w:hint="eastAsia" w:cs="宋体"/>
          <w:szCs w:val="24"/>
          <w:lang w:val="zh-CN"/>
        </w:rPr>
      </w:pPr>
      <w:r>
        <w:rPr>
          <w:rFonts w:hint="eastAsia" w:cs="宋体"/>
          <w:szCs w:val="24"/>
        </w:rPr>
        <w:t>34.2</w:t>
      </w:r>
      <w:r>
        <w:rPr>
          <w:rFonts w:hint="eastAsia" w:cs="宋体"/>
          <w:szCs w:val="24"/>
          <w:lang w:val="zh-CN"/>
        </w:rPr>
        <w:t>成交供应商拒绝签订政府采购合同的，采购人可以</w:t>
      </w:r>
      <w:r>
        <w:rPr>
          <w:rFonts w:hint="eastAsia" w:cs="宋体"/>
          <w:szCs w:val="24"/>
        </w:rPr>
        <w:t>按照</w:t>
      </w:r>
      <w:r>
        <w:rPr>
          <w:rFonts w:hint="eastAsia" w:cs="宋体"/>
          <w:szCs w:val="24"/>
          <w:lang w:val="zh-CN"/>
        </w:rPr>
        <w:t>《政府采购竞争性磋商采购方式管理暂行办法》（财库〔2014〕214号）第二十八条第二款的规定确定其他供应商作为成交供应商并签订政府采购合同，也可以重新开展采购活动。拒绝签订政府采购合同的成交供应商不得参加对该项目重新开展的采购活动。</w:t>
      </w:r>
    </w:p>
    <w:p w14:paraId="116F4558">
      <w:pPr>
        <w:pStyle w:val="25"/>
        <w:adjustRightInd w:val="0"/>
        <w:snapToGrid w:val="0"/>
        <w:ind w:firstLine="480"/>
        <w:rPr>
          <w:rFonts w:hint="eastAsia" w:cs="宋体"/>
          <w:szCs w:val="24"/>
        </w:rPr>
      </w:pPr>
      <w:r>
        <w:rPr>
          <w:rFonts w:hint="eastAsia" w:cs="宋体"/>
          <w:bCs/>
          <w:szCs w:val="24"/>
        </w:rPr>
        <w:t>34.3</w:t>
      </w:r>
      <w:r>
        <w:rPr>
          <w:rFonts w:hint="eastAsia" w:cs="宋体"/>
          <w:szCs w:val="24"/>
        </w:rPr>
        <w:t>采购人和成交供应商不得向对方提出任何不合理的要求，作为签订合同的条件，双方不得私下订立背离合同实质性内容的协议。</w:t>
      </w:r>
    </w:p>
    <w:p w14:paraId="1585C775">
      <w:pPr>
        <w:pStyle w:val="25"/>
        <w:adjustRightInd w:val="0"/>
        <w:snapToGrid w:val="0"/>
        <w:ind w:firstLine="480"/>
        <w:rPr>
          <w:rFonts w:hint="eastAsia" w:cs="宋体"/>
          <w:szCs w:val="24"/>
        </w:rPr>
      </w:pPr>
      <w:r>
        <w:rPr>
          <w:rFonts w:hint="eastAsia" w:cs="宋体"/>
          <w:szCs w:val="24"/>
        </w:rPr>
        <w:t>34.4联合体成交的，联合体各方应当共同与采购人签订合同，就采购合同约定的事项向采购人承担连带责任。</w:t>
      </w:r>
    </w:p>
    <w:p w14:paraId="53A85602">
      <w:pPr>
        <w:pStyle w:val="25"/>
        <w:adjustRightInd w:val="0"/>
        <w:snapToGrid w:val="0"/>
        <w:ind w:firstLine="480"/>
        <w:rPr>
          <w:rFonts w:hint="eastAsia" w:cs="宋体"/>
          <w:b/>
          <w:bCs/>
          <w:szCs w:val="24"/>
        </w:rPr>
      </w:pPr>
      <w:r>
        <w:rPr>
          <w:rFonts w:hint="eastAsia" w:cs="宋体"/>
          <w:szCs w:val="24"/>
        </w:rPr>
        <w:t>34.5本项目的非主体、非关键性工作是否允许分包，见“供应商须知前附表”。供应商未遵守竞争性磋商文件分包规定的，其</w:t>
      </w:r>
      <w:r>
        <w:rPr>
          <w:rFonts w:hint="eastAsia" w:cs="宋体"/>
          <w:b/>
          <w:bCs/>
          <w:szCs w:val="24"/>
        </w:rPr>
        <w:t>响应无效</w:t>
      </w:r>
      <w:r>
        <w:rPr>
          <w:rFonts w:hint="eastAsia" w:cs="宋体"/>
          <w:szCs w:val="24"/>
        </w:rPr>
        <w:t>。采购人允许采用分包方式履行合同的，成交供应商可以依法在成交后将成交项目的非主体、非关键性工作采取分包方式履行合同。政府采购合同分包履行的，应当在响应文件中载明分包承担主体，分包承担主体应当具备相应资质条件且不得再次分包，否则</w:t>
      </w:r>
      <w:r>
        <w:rPr>
          <w:rFonts w:hint="eastAsia" w:cs="宋体"/>
          <w:b/>
          <w:bCs/>
          <w:szCs w:val="24"/>
        </w:rPr>
        <w:t>成交无效</w:t>
      </w:r>
      <w:r>
        <w:rPr>
          <w:rFonts w:hint="eastAsia" w:cs="宋体"/>
          <w:szCs w:val="24"/>
        </w:rPr>
        <w:t>。成交供应商就采购项目和分包项目向采购人负责，分包供应商就分包项目承担责任。</w:t>
      </w:r>
      <w:r>
        <w:rPr>
          <w:rFonts w:hint="eastAsia" w:cs="宋体"/>
          <w:b/>
          <w:bCs/>
          <w:szCs w:val="24"/>
        </w:rPr>
        <w:t>政府采购合同不能转包。</w:t>
      </w:r>
    </w:p>
    <w:p w14:paraId="13468534">
      <w:pPr>
        <w:pStyle w:val="25"/>
        <w:adjustRightInd w:val="0"/>
        <w:snapToGrid w:val="0"/>
        <w:ind w:firstLine="480"/>
        <w:rPr>
          <w:rFonts w:hint="eastAsia" w:cs="宋体"/>
          <w:szCs w:val="24"/>
        </w:rPr>
      </w:pPr>
      <w:r>
        <w:rPr>
          <w:rFonts w:hint="eastAsia" w:cs="宋体"/>
          <w:bCs/>
          <w:szCs w:val="24"/>
        </w:rPr>
        <w:t>34</w:t>
      </w:r>
      <w:r>
        <w:rPr>
          <w:rFonts w:hint="eastAsia" w:cs="宋体"/>
          <w:szCs w:val="24"/>
        </w:rPr>
        <w:t>.6采购合同履行中，采购人需追加与合同标的相同的货物、工程或者服务的，在不改变合同其他条款的前提下，可以与成交供应商协商签订补充合同，但所有补充合同的采购金额不得超过原合同采购金额的百分之十。</w:t>
      </w:r>
    </w:p>
    <w:p w14:paraId="43E904D8">
      <w:pPr>
        <w:pStyle w:val="25"/>
        <w:adjustRightInd w:val="0"/>
        <w:snapToGrid w:val="0"/>
        <w:ind w:firstLine="480"/>
        <w:rPr>
          <w:rFonts w:hint="eastAsia" w:cs="宋体"/>
          <w:szCs w:val="24"/>
        </w:rPr>
      </w:pPr>
      <w:r>
        <w:rPr>
          <w:rFonts w:hint="eastAsia" w:cs="宋体"/>
          <w:szCs w:val="24"/>
        </w:rPr>
        <w:t>34.7采购人应于签订合同之日起2个工作日内在政采云平台备案公示。</w:t>
      </w:r>
    </w:p>
    <w:bookmarkEnd w:id="364"/>
    <w:p w14:paraId="4252B453">
      <w:pPr>
        <w:pStyle w:val="8"/>
        <w:keepNext w:val="0"/>
        <w:keepLines w:val="0"/>
        <w:adjustRightInd w:val="0"/>
        <w:snapToGrid w:val="0"/>
        <w:spacing w:before="0" w:after="0" w:line="360" w:lineRule="auto"/>
        <w:ind w:left="420" w:hanging="420"/>
        <w:rPr>
          <w:rFonts w:hint="eastAsia" w:cs="宋体"/>
          <w:sz w:val="24"/>
          <w:szCs w:val="24"/>
        </w:rPr>
      </w:pPr>
      <w:bookmarkStart w:id="380" w:name="_Toc24818"/>
      <w:bookmarkStart w:id="381" w:name="_Toc46771673"/>
      <w:bookmarkStart w:id="382" w:name="_Toc109897467"/>
      <w:bookmarkStart w:id="383" w:name="_Toc163493618"/>
      <w:bookmarkStart w:id="384" w:name="_Toc109899566"/>
      <w:bookmarkStart w:id="385" w:name="_Toc109900404"/>
      <w:bookmarkStart w:id="386" w:name="_Toc109899985"/>
      <w:bookmarkStart w:id="387" w:name="_Toc7050"/>
      <w:bookmarkStart w:id="388" w:name="_Toc10843"/>
      <w:bookmarkStart w:id="389" w:name="_Toc470172693"/>
      <w:r>
        <w:rPr>
          <w:rFonts w:hint="eastAsia" w:cs="宋体"/>
          <w:sz w:val="24"/>
          <w:szCs w:val="24"/>
        </w:rPr>
        <w:t>（十）质疑和投诉</w:t>
      </w:r>
      <w:bookmarkEnd w:id="380"/>
      <w:bookmarkEnd w:id="381"/>
      <w:bookmarkEnd w:id="382"/>
      <w:bookmarkEnd w:id="383"/>
      <w:bookmarkEnd w:id="384"/>
      <w:bookmarkEnd w:id="385"/>
      <w:bookmarkEnd w:id="386"/>
      <w:bookmarkEnd w:id="387"/>
      <w:bookmarkEnd w:id="388"/>
    </w:p>
    <w:p w14:paraId="000ACFE7">
      <w:pPr>
        <w:pStyle w:val="9"/>
        <w:keepNext w:val="0"/>
        <w:keepLines w:val="0"/>
        <w:adjustRightInd w:val="0"/>
        <w:snapToGrid w:val="0"/>
        <w:spacing w:before="0" w:after="0" w:line="360" w:lineRule="auto"/>
        <w:ind w:left="420" w:hanging="420"/>
        <w:rPr>
          <w:rFonts w:hint="eastAsia" w:ascii="宋体" w:hAnsi="宋体" w:cs="宋体"/>
          <w:sz w:val="24"/>
          <w:szCs w:val="24"/>
        </w:rPr>
      </w:pPr>
      <w:bookmarkStart w:id="390" w:name="_Toc109900405"/>
      <w:bookmarkStart w:id="391" w:name="_Toc48846143"/>
      <w:bookmarkStart w:id="392" w:name="_Toc109897468"/>
      <w:bookmarkStart w:id="393" w:name="_Toc46771674"/>
      <w:bookmarkStart w:id="394" w:name="_Toc48688823"/>
      <w:bookmarkStart w:id="395" w:name="_Toc109899567"/>
      <w:bookmarkStart w:id="396" w:name="_Toc46772275"/>
      <w:bookmarkStart w:id="397" w:name="_Toc52962761"/>
      <w:bookmarkStart w:id="398" w:name="_Toc52960587"/>
      <w:bookmarkStart w:id="399" w:name="_Toc109899986"/>
      <w:bookmarkStart w:id="400" w:name="_Toc51674245"/>
      <w:r>
        <w:rPr>
          <w:rFonts w:hint="eastAsia" w:ascii="宋体" w:hAnsi="宋体" w:cs="宋体"/>
          <w:sz w:val="24"/>
          <w:szCs w:val="24"/>
        </w:rPr>
        <w:t>35.质疑</w:t>
      </w:r>
      <w:bookmarkEnd w:id="390"/>
      <w:bookmarkEnd w:id="391"/>
      <w:bookmarkEnd w:id="392"/>
      <w:bookmarkEnd w:id="393"/>
      <w:bookmarkEnd w:id="394"/>
      <w:bookmarkEnd w:id="395"/>
      <w:bookmarkEnd w:id="396"/>
      <w:bookmarkEnd w:id="397"/>
      <w:bookmarkEnd w:id="398"/>
      <w:bookmarkEnd w:id="399"/>
      <w:bookmarkEnd w:id="400"/>
    </w:p>
    <w:bookmarkEnd w:id="121"/>
    <w:bookmarkEnd w:id="389"/>
    <w:p w14:paraId="522F842D">
      <w:pPr>
        <w:pStyle w:val="25"/>
        <w:adjustRightInd w:val="0"/>
        <w:snapToGrid w:val="0"/>
        <w:ind w:firstLine="480"/>
        <w:rPr>
          <w:rFonts w:hint="eastAsia" w:cs="宋体"/>
          <w:szCs w:val="24"/>
        </w:rPr>
      </w:pPr>
      <w:bookmarkStart w:id="401" w:name="_Toc52962762"/>
      <w:bookmarkStart w:id="402" w:name="_Toc52960588"/>
      <w:bookmarkStart w:id="403" w:name="_Toc51674246"/>
      <w:bookmarkStart w:id="404" w:name="_Toc109897469"/>
      <w:bookmarkStart w:id="405" w:name="_Toc109900406"/>
      <w:bookmarkStart w:id="406" w:name="_Toc48688824"/>
      <w:bookmarkStart w:id="407" w:name="_Toc48846144"/>
      <w:bookmarkStart w:id="408" w:name="_Toc109899987"/>
      <w:bookmarkStart w:id="409" w:name="_Toc46771675"/>
      <w:bookmarkStart w:id="410" w:name="_Toc46772276"/>
      <w:bookmarkStart w:id="411" w:name="_Toc109899568"/>
      <w:bookmarkStart w:id="412" w:name="_Toc163493619"/>
      <w:bookmarkStart w:id="413" w:name="_Toc109897471"/>
      <w:bookmarkStart w:id="414" w:name="_Hlk60570485"/>
      <w:bookmarkStart w:id="415" w:name="_Toc109899570"/>
      <w:bookmarkStart w:id="416" w:name="_Toc109900408"/>
      <w:bookmarkStart w:id="417" w:name="_Toc109899989"/>
      <w:r>
        <w:rPr>
          <w:rFonts w:hint="eastAsia" w:cs="宋体"/>
          <w:bCs/>
          <w:szCs w:val="24"/>
        </w:rPr>
        <w:t>35</w:t>
      </w:r>
      <w:r>
        <w:rPr>
          <w:rFonts w:hint="eastAsia" w:cs="宋体"/>
          <w:szCs w:val="24"/>
        </w:rPr>
        <w:t>.1供应商认为磋商文件、评审过程、成交结果使自己的权益受到损害的，可以在知道或者应知其权益受到损害之日起7个工作日内，以书面形式向采购人、采购代理机构提出质疑，详见“供应商须知前附表”。供应商在法定质疑期内一次性提出针对同一采购程序环节的质疑。</w:t>
      </w:r>
    </w:p>
    <w:p w14:paraId="2723D96F">
      <w:pPr>
        <w:pStyle w:val="25"/>
        <w:adjustRightInd w:val="0"/>
        <w:snapToGrid w:val="0"/>
        <w:ind w:firstLine="480"/>
        <w:rPr>
          <w:rFonts w:hint="eastAsia" w:cs="宋体"/>
          <w:szCs w:val="24"/>
        </w:rPr>
      </w:pPr>
      <w:r>
        <w:rPr>
          <w:rFonts w:hint="eastAsia" w:cs="宋体"/>
          <w:bCs/>
          <w:szCs w:val="24"/>
        </w:rPr>
        <w:t>35</w:t>
      </w:r>
      <w:r>
        <w:rPr>
          <w:rFonts w:hint="eastAsia" w:cs="宋体"/>
          <w:szCs w:val="24"/>
        </w:rPr>
        <w:t>.2提出质疑的供应商（以下简称质疑供应商）应当是参与所质疑项目采购活动的供应商。</w:t>
      </w:r>
    </w:p>
    <w:p w14:paraId="09DCB026">
      <w:pPr>
        <w:pStyle w:val="25"/>
        <w:adjustRightInd w:val="0"/>
        <w:snapToGrid w:val="0"/>
        <w:ind w:firstLine="480"/>
        <w:rPr>
          <w:rFonts w:hint="eastAsia" w:cs="宋体"/>
          <w:szCs w:val="24"/>
        </w:rPr>
      </w:pPr>
      <w:r>
        <w:rPr>
          <w:rFonts w:hint="eastAsia" w:cs="宋体"/>
          <w:szCs w:val="24"/>
        </w:rPr>
        <w:t>35.3潜在供应商已依法获取其可质疑的磋商文件的，可以对该文件提出质疑。对磋商文件提出质疑的，应当在获取磋商文件或者磋商文件公告期限届满之日起7个工作日内提出。</w:t>
      </w:r>
    </w:p>
    <w:p w14:paraId="331319BB">
      <w:pPr>
        <w:pStyle w:val="25"/>
        <w:adjustRightInd w:val="0"/>
        <w:snapToGrid w:val="0"/>
        <w:ind w:firstLine="480"/>
        <w:rPr>
          <w:rFonts w:hint="eastAsia" w:cs="宋体"/>
          <w:szCs w:val="24"/>
        </w:rPr>
      </w:pPr>
      <w:r>
        <w:rPr>
          <w:rFonts w:hint="eastAsia" w:cs="宋体"/>
          <w:szCs w:val="24"/>
        </w:rPr>
        <w:t>35.4供应商提出质疑应当提交质疑函和必要的证明材料。质疑函应当包括下列内容：</w:t>
      </w:r>
    </w:p>
    <w:p w14:paraId="5E0912E3">
      <w:pPr>
        <w:pStyle w:val="25"/>
        <w:adjustRightInd w:val="0"/>
        <w:snapToGrid w:val="0"/>
        <w:ind w:firstLine="480"/>
        <w:rPr>
          <w:rFonts w:hint="eastAsia" w:cs="宋体"/>
          <w:szCs w:val="24"/>
        </w:rPr>
      </w:pPr>
      <w:r>
        <w:rPr>
          <w:rFonts w:hint="eastAsia" w:cs="宋体"/>
          <w:szCs w:val="24"/>
        </w:rPr>
        <w:t>（1）供应商的姓名或者名称、地址、邮编、联系人及联系电话；</w:t>
      </w:r>
    </w:p>
    <w:p w14:paraId="649F7F47">
      <w:pPr>
        <w:pStyle w:val="25"/>
        <w:adjustRightInd w:val="0"/>
        <w:snapToGrid w:val="0"/>
        <w:ind w:firstLine="480"/>
        <w:rPr>
          <w:rFonts w:hint="eastAsia" w:cs="宋体"/>
          <w:szCs w:val="24"/>
        </w:rPr>
      </w:pPr>
      <w:r>
        <w:rPr>
          <w:rFonts w:hint="eastAsia" w:cs="宋体"/>
          <w:szCs w:val="24"/>
        </w:rPr>
        <w:t>（2）质疑项目的名称、项目编号/包号；</w:t>
      </w:r>
    </w:p>
    <w:p w14:paraId="23F85E7F">
      <w:pPr>
        <w:pStyle w:val="25"/>
        <w:adjustRightInd w:val="0"/>
        <w:snapToGrid w:val="0"/>
        <w:ind w:firstLine="480"/>
        <w:rPr>
          <w:rFonts w:hint="eastAsia" w:cs="宋体"/>
          <w:szCs w:val="24"/>
        </w:rPr>
      </w:pPr>
      <w:r>
        <w:rPr>
          <w:rFonts w:hint="eastAsia" w:cs="宋体"/>
          <w:szCs w:val="24"/>
        </w:rPr>
        <w:t>（3）具体、明确的质疑事项和与质疑事项相关的请求；</w:t>
      </w:r>
    </w:p>
    <w:p w14:paraId="1C83B1C7">
      <w:pPr>
        <w:pStyle w:val="25"/>
        <w:adjustRightInd w:val="0"/>
        <w:snapToGrid w:val="0"/>
        <w:ind w:firstLine="480"/>
        <w:rPr>
          <w:rFonts w:hint="eastAsia" w:cs="宋体"/>
          <w:szCs w:val="24"/>
        </w:rPr>
      </w:pPr>
      <w:r>
        <w:rPr>
          <w:rFonts w:hint="eastAsia" w:cs="宋体"/>
          <w:szCs w:val="24"/>
        </w:rPr>
        <w:t>（4）事实依据；</w:t>
      </w:r>
    </w:p>
    <w:p w14:paraId="67C848AB">
      <w:pPr>
        <w:pStyle w:val="25"/>
        <w:adjustRightInd w:val="0"/>
        <w:snapToGrid w:val="0"/>
        <w:ind w:firstLine="480"/>
        <w:rPr>
          <w:rFonts w:hint="eastAsia" w:cs="宋体"/>
          <w:szCs w:val="24"/>
        </w:rPr>
      </w:pPr>
      <w:r>
        <w:rPr>
          <w:rFonts w:hint="eastAsia" w:cs="宋体"/>
          <w:szCs w:val="24"/>
        </w:rPr>
        <w:t>（5）必要的法律依据；</w:t>
      </w:r>
    </w:p>
    <w:p w14:paraId="6BCFEC3E">
      <w:pPr>
        <w:pStyle w:val="25"/>
        <w:adjustRightInd w:val="0"/>
        <w:snapToGrid w:val="0"/>
        <w:ind w:firstLine="480"/>
        <w:rPr>
          <w:rFonts w:hint="eastAsia" w:cs="宋体"/>
          <w:szCs w:val="24"/>
        </w:rPr>
      </w:pPr>
      <w:r>
        <w:rPr>
          <w:rFonts w:hint="eastAsia" w:cs="宋体"/>
          <w:szCs w:val="24"/>
        </w:rPr>
        <w:t>（6）提出质疑的日期。</w:t>
      </w:r>
    </w:p>
    <w:p w14:paraId="2623B520">
      <w:pPr>
        <w:pStyle w:val="25"/>
        <w:adjustRightInd w:val="0"/>
        <w:snapToGrid w:val="0"/>
        <w:ind w:firstLine="480"/>
        <w:rPr>
          <w:rFonts w:hint="eastAsia" w:cs="宋体"/>
          <w:szCs w:val="24"/>
        </w:rPr>
      </w:pPr>
      <w:r>
        <w:rPr>
          <w:rFonts w:hint="eastAsia" w:cs="宋体"/>
          <w:szCs w:val="24"/>
        </w:rPr>
        <w:t>供应商为自然人的，应当由本人签字；供应商为法人或者其他组织的，应当由法定代表人、主要负责人，或者其授权代表签字或者盖章，并加盖公章。</w:t>
      </w:r>
    </w:p>
    <w:p w14:paraId="5F1352A8">
      <w:pPr>
        <w:pStyle w:val="25"/>
        <w:adjustRightInd w:val="0"/>
        <w:snapToGrid w:val="0"/>
        <w:ind w:firstLine="480"/>
        <w:rPr>
          <w:rFonts w:hint="eastAsia" w:cs="宋体"/>
          <w:szCs w:val="24"/>
        </w:rPr>
      </w:pPr>
      <w:r>
        <w:rPr>
          <w:rFonts w:hint="eastAsia" w:cs="宋体"/>
          <w:szCs w:val="24"/>
        </w:rPr>
        <w:t>35.5质疑函不符合上述要求的，采购人或代理机构应书面告知具体事项，质疑人应当按要求进行修改或补充，并在质疑有效期限内提交。</w:t>
      </w:r>
    </w:p>
    <w:p w14:paraId="76BD2AC8">
      <w:pPr>
        <w:pStyle w:val="25"/>
        <w:adjustRightInd w:val="0"/>
        <w:snapToGrid w:val="0"/>
        <w:ind w:firstLine="480"/>
        <w:rPr>
          <w:rFonts w:hint="eastAsia" w:cs="宋体"/>
          <w:snapToGrid w:val="0"/>
          <w:szCs w:val="24"/>
        </w:rPr>
      </w:pPr>
      <w:r>
        <w:rPr>
          <w:rFonts w:hint="eastAsia" w:cs="宋体"/>
          <w:snapToGrid w:val="0"/>
          <w:szCs w:val="24"/>
        </w:rPr>
        <w:t>35.6供应商进行虚假和恶意质疑投诉的，采购代理机构将提请有关部门将其列入不良记录名单，在一至三年内禁止参加政府采购活动，并将处理决定在相关政府采购媒体上公布。</w:t>
      </w:r>
    </w:p>
    <w:p w14:paraId="06C8AD26">
      <w:pPr>
        <w:pStyle w:val="25"/>
        <w:adjustRightInd w:val="0"/>
        <w:snapToGrid w:val="0"/>
        <w:ind w:firstLine="480"/>
        <w:rPr>
          <w:rFonts w:hint="eastAsia" w:cs="宋体"/>
          <w:snapToGrid w:val="0"/>
          <w:szCs w:val="24"/>
        </w:rPr>
      </w:pPr>
      <w:r>
        <w:rPr>
          <w:rFonts w:hint="eastAsia" w:cs="宋体"/>
          <w:snapToGrid w:val="0"/>
          <w:szCs w:val="24"/>
        </w:rPr>
        <w:t>35.7</w:t>
      </w:r>
      <w:r>
        <w:rPr>
          <w:rFonts w:hint="eastAsia" w:cs="宋体"/>
          <w:szCs w:val="24"/>
        </w:rPr>
        <w:t>质疑函应当使用中文，并采用财政部门制定的范本。</w:t>
      </w:r>
    </w:p>
    <w:p w14:paraId="03C1D514">
      <w:pPr>
        <w:pStyle w:val="9"/>
        <w:keepNext w:val="0"/>
        <w:keepLines w:val="0"/>
        <w:adjustRightInd w:val="0"/>
        <w:snapToGrid w:val="0"/>
        <w:spacing w:before="0" w:after="0" w:line="360" w:lineRule="auto"/>
        <w:ind w:left="420" w:hanging="420"/>
        <w:rPr>
          <w:rFonts w:hint="eastAsia" w:ascii="宋体" w:hAnsi="宋体" w:cs="宋体"/>
          <w:sz w:val="24"/>
          <w:szCs w:val="24"/>
        </w:rPr>
      </w:pPr>
      <w:r>
        <w:rPr>
          <w:rFonts w:hint="eastAsia" w:ascii="宋体" w:hAnsi="宋体" w:cs="宋体"/>
          <w:sz w:val="24"/>
          <w:szCs w:val="24"/>
        </w:rPr>
        <w:t>36.质疑答复</w:t>
      </w:r>
      <w:bookmarkEnd w:id="401"/>
      <w:bookmarkEnd w:id="402"/>
      <w:bookmarkEnd w:id="403"/>
      <w:bookmarkEnd w:id="404"/>
      <w:bookmarkEnd w:id="405"/>
      <w:bookmarkEnd w:id="406"/>
      <w:bookmarkEnd w:id="407"/>
      <w:bookmarkEnd w:id="408"/>
      <w:bookmarkEnd w:id="409"/>
      <w:bookmarkEnd w:id="410"/>
      <w:bookmarkEnd w:id="411"/>
    </w:p>
    <w:p w14:paraId="4E8601BA">
      <w:pPr>
        <w:pStyle w:val="25"/>
        <w:adjustRightInd w:val="0"/>
        <w:snapToGrid w:val="0"/>
        <w:ind w:firstLine="480"/>
        <w:rPr>
          <w:rFonts w:hint="eastAsia" w:cs="宋体"/>
          <w:szCs w:val="24"/>
        </w:rPr>
      </w:pPr>
      <w:bookmarkStart w:id="418" w:name="_Toc52962763"/>
      <w:bookmarkStart w:id="419" w:name="_Toc52960589"/>
      <w:bookmarkStart w:id="420" w:name="_Toc109899988"/>
      <w:bookmarkStart w:id="421" w:name="_Toc51674247"/>
      <w:bookmarkStart w:id="422" w:name="_Toc46772277"/>
      <w:bookmarkStart w:id="423" w:name="_Toc48688825"/>
      <w:bookmarkStart w:id="424" w:name="_Toc109900407"/>
      <w:bookmarkStart w:id="425" w:name="_Toc46771676"/>
      <w:bookmarkStart w:id="426" w:name="_Toc48846145"/>
      <w:bookmarkStart w:id="427" w:name="_Toc109899569"/>
      <w:bookmarkStart w:id="428" w:name="_Toc109897470"/>
      <w:r>
        <w:rPr>
          <w:rFonts w:hint="eastAsia" w:cs="宋体"/>
          <w:szCs w:val="24"/>
        </w:rPr>
        <w:t>36.1采购人、采购代理机构不得拒收质疑供应商在法定质疑期内发出的质疑函，应当在收到质疑函后7个工作日内作出答复，并以书面形式通知质疑供应商和其他有关供应商。</w:t>
      </w:r>
    </w:p>
    <w:p w14:paraId="5D718B09">
      <w:pPr>
        <w:pStyle w:val="25"/>
        <w:adjustRightInd w:val="0"/>
        <w:snapToGrid w:val="0"/>
        <w:ind w:firstLine="480"/>
        <w:rPr>
          <w:rFonts w:hint="eastAsia" w:cs="宋体"/>
          <w:szCs w:val="24"/>
        </w:rPr>
      </w:pPr>
      <w:r>
        <w:rPr>
          <w:rFonts w:hint="eastAsia" w:cs="宋体"/>
          <w:szCs w:val="24"/>
        </w:rPr>
        <w:t>36.2供应商对评审过程、成交结果提出质疑的，采购人、采购代理机构可以组织原竞争性磋商小组协助答复质疑。</w:t>
      </w:r>
    </w:p>
    <w:p w14:paraId="093BA488">
      <w:pPr>
        <w:pStyle w:val="25"/>
        <w:adjustRightInd w:val="0"/>
        <w:snapToGrid w:val="0"/>
        <w:ind w:firstLine="480"/>
        <w:rPr>
          <w:rFonts w:hint="eastAsia" w:cs="宋体"/>
          <w:szCs w:val="24"/>
          <w:lang w:val="zh-CN"/>
        </w:rPr>
      </w:pPr>
      <w:r>
        <w:rPr>
          <w:rFonts w:hint="eastAsia" w:cs="宋体"/>
          <w:szCs w:val="24"/>
          <w:lang w:val="zh-CN"/>
        </w:rPr>
        <w:t>质疑答复应当包括下列内容：</w:t>
      </w:r>
    </w:p>
    <w:p w14:paraId="4A69D1BC">
      <w:pPr>
        <w:pStyle w:val="25"/>
        <w:adjustRightInd w:val="0"/>
        <w:snapToGrid w:val="0"/>
        <w:ind w:firstLine="480"/>
        <w:rPr>
          <w:rFonts w:hint="eastAsia" w:cs="宋体"/>
          <w:szCs w:val="24"/>
          <w:lang w:val="zh-CN"/>
        </w:rPr>
      </w:pPr>
      <w:r>
        <w:rPr>
          <w:rFonts w:hint="eastAsia" w:cs="宋体"/>
          <w:szCs w:val="24"/>
          <w:lang w:val="zh-CN"/>
        </w:rPr>
        <w:t>（</w:t>
      </w:r>
      <w:r>
        <w:rPr>
          <w:rFonts w:hint="eastAsia" w:cs="宋体"/>
          <w:szCs w:val="24"/>
        </w:rPr>
        <w:t>1</w:t>
      </w:r>
      <w:r>
        <w:rPr>
          <w:rFonts w:hint="eastAsia" w:cs="宋体"/>
          <w:szCs w:val="24"/>
          <w:lang w:val="zh-CN"/>
        </w:rPr>
        <w:t>）质疑供应商的姓名或者名称；</w:t>
      </w:r>
    </w:p>
    <w:p w14:paraId="5DAA6276">
      <w:pPr>
        <w:pStyle w:val="25"/>
        <w:adjustRightInd w:val="0"/>
        <w:snapToGrid w:val="0"/>
        <w:ind w:firstLine="480"/>
        <w:rPr>
          <w:rFonts w:hint="eastAsia" w:cs="宋体"/>
          <w:szCs w:val="24"/>
          <w:lang w:val="zh-CN"/>
        </w:rPr>
      </w:pPr>
      <w:r>
        <w:rPr>
          <w:rFonts w:hint="eastAsia" w:cs="宋体"/>
          <w:szCs w:val="24"/>
          <w:lang w:val="zh-CN"/>
        </w:rPr>
        <w:t>（</w:t>
      </w:r>
      <w:r>
        <w:rPr>
          <w:rFonts w:hint="eastAsia" w:cs="宋体"/>
          <w:szCs w:val="24"/>
        </w:rPr>
        <w:t>2</w:t>
      </w:r>
      <w:r>
        <w:rPr>
          <w:rFonts w:hint="eastAsia" w:cs="宋体"/>
          <w:szCs w:val="24"/>
          <w:lang w:val="zh-CN"/>
        </w:rPr>
        <w:t>）收到质疑函的日期、质疑项目名称及</w:t>
      </w:r>
      <w:r>
        <w:rPr>
          <w:rFonts w:hint="eastAsia" w:cs="宋体"/>
          <w:szCs w:val="24"/>
        </w:rPr>
        <w:t>项目</w:t>
      </w:r>
      <w:r>
        <w:rPr>
          <w:rFonts w:hint="eastAsia" w:cs="宋体"/>
          <w:szCs w:val="24"/>
          <w:lang w:val="zh-CN"/>
        </w:rPr>
        <w:t>编号/包号；</w:t>
      </w:r>
    </w:p>
    <w:p w14:paraId="57B0732F">
      <w:pPr>
        <w:pStyle w:val="25"/>
        <w:adjustRightInd w:val="0"/>
        <w:snapToGrid w:val="0"/>
        <w:ind w:firstLine="480"/>
        <w:rPr>
          <w:rFonts w:hint="eastAsia" w:cs="宋体"/>
          <w:szCs w:val="24"/>
          <w:lang w:val="zh-CN"/>
        </w:rPr>
      </w:pPr>
      <w:r>
        <w:rPr>
          <w:rFonts w:hint="eastAsia" w:cs="宋体"/>
          <w:szCs w:val="24"/>
          <w:lang w:val="zh-CN"/>
        </w:rPr>
        <w:t>（</w:t>
      </w:r>
      <w:r>
        <w:rPr>
          <w:rFonts w:hint="eastAsia" w:cs="宋体"/>
          <w:szCs w:val="24"/>
        </w:rPr>
        <w:t>3</w:t>
      </w:r>
      <w:r>
        <w:rPr>
          <w:rFonts w:hint="eastAsia" w:cs="宋体"/>
          <w:szCs w:val="24"/>
          <w:lang w:val="zh-CN"/>
        </w:rPr>
        <w:t>）质疑事项、质疑答复的具体内容、事实依据和法律依据；</w:t>
      </w:r>
    </w:p>
    <w:p w14:paraId="797EB669">
      <w:pPr>
        <w:pStyle w:val="25"/>
        <w:adjustRightInd w:val="0"/>
        <w:snapToGrid w:val="0"/>
        <w:ind w:firstLine="480"/>
        <w:rPr>
          <w:rFonts w:hint="eastAsia" w:cs="宋体"/>
          <w:szCs w:val="24"/>
          <w:lang w:val="zh-CN"/>
        </w:rPr>
      </w:pPr>
      <w:r>
        <w:rPr>
          <w:rFonts w:hint="eastAsia" w:cs="宋体"/>
          <w:szCs w:val="24"/>
          <w:lang w:val="zh-CN"/>
        </w:rPr>
        <w:t>（</w:t>
      </w:r>
      <w:r>
        <w:rPr>
          <w:rFonts w:hint="eastAsia" w:cs="宋体"/>
          <w:szCs w:val="24"/>
        </w:rPr>
        <w:t>4</w:t>
      </w:r>
      <w:r>
        <w:rPr>
          <w:rFonts w:hint="eastAsia" w:cs="宋体"/>
          <w:szCs w:val="24"/>
          <w:lang w:val="zh-CN"/>
        </w:rPr>
        <w:t>）告知质疑供应商依法投诉的权利；</w:t>
      </w:r>
    </w:p>
    <w:p w14:paraId="7BAD87B4">
      <w:pPr>
        <w:pStyle w:val="25"/>
        <w:adjustRightInd w:val="0"/>
        <w:snapToGrid w:val="0"/>
        <w:ind w:firstLine="480"/>
        <w:rPr>
          <w:rFonts w:hint="eastAsia" w:cs="宋体"/>
          <w:szCs w:val="24"/>
          <w:lang w:val="zh-CN"/>
        </w:rPr>
      </w:pPr>
      <w:r>
        <w:rPr>
          <w:rFonts w:hint="eastAsia" w:cs="宋体"/>
          <w:szCs w:val="24"/>
          <w:lang w:val="zh-CN"/>
        </w:rPr>
        <w:t>（</w:t>
      </w:r>
      <w:r>
        <w:rPr>
          <w:rFonts w:hint="eastAsia" w:cs="宋体"/>
          <w:szCs w:val="24"/>
        </w:rPr>
        <w:t>5</w:t>
      </w:r>
      <w:r>
        <w:rPr>
          <w:rFonts w:hint="eastAsia" w:cs="宋体"/>
          <w:szCs w:val="24"/>
          <w:lang w:val="zh-CN"/>
        </w:rPr>
        <w:t>）质疑答复人名称；</w:t>
      </w:r>
    </w:p>
    <w:p w14:paraId="0A463F5C">
      <w:pPr>
        <w:pStyle w:val="25"/>
        <w:adjustRightInd w:val="0"/>
        <w:snapToGrid w:val="0"/>
        <w:ind w:firstLine="480"/>
        <w:rPr>
          <w:rFonts w:hint="eastAsia" w:cs="宋体"/>
          <w:szCs w:val="24"/>
          <w:lang w:val="zh-CN"/>
        </w:rPr>
      </w:pPr>
      <w:r>
        <w:rPr>
          <w:rFonts w:hint="eastAsia" w:cs="宋体"/>
          <w:szCs w:val="24"/>
          <w:lang w:val="zh-CN"/>
        </w:rPr>
        <w:t>（</w:t>
      </w:r>
      <w:r>
        <w:rPr>
          <w:rFonts w:hint="eastAsia" w:cs="宋体"/>
          <w:szCs w:val="24"/>
        </w:rPr>
        <w:t>6</w:t>
      </w:r>
      <w:r>
        <w:rPr>
          <w:rFonts w:hint="eastAsia" w:cs="宋体"/>
          <w:szCs w:val="24"/>
          <w:lang w:val="zh-CN"/>
        </w:rPr>
        <w:t>）答复质疑的日期。</w:t>
      </w:r>
    </w:p>
    <w:p w14:paraId="68DAC335">
      <w:pPr>
        <w:pStyle w:val="25"/>
        <w:adjustRightInd w:val="0"/>
        <w:snapToGrid w:val="0"/>
        <w:ind w:firstLine="480"/>
        <w:rPr>
          <w:rFonts w:hint="eastAsia" w:cs="宋体"/>
          <w:szCs w:val="24"/>
          <w:lang w:val="zh-CN"/>
        </w:rPr>
      </w:pPr>
      <w:r>
        <w:rPr>
          <w:rFonts w:hint="eastAsia" w:cs="宋体"/>
          <w:szCs w:val="24"/>
        </w:rPr>
        <w:t>36.3</w:t>
      </w:r>
      <w:r>
        <w:rPr>
          <w:rFonts w:hint="eastAsia" w:cs="宋体"/>
          <w:szCs w:val="24"/>
          <w:lang w:val="zh-CN"/>
        </w:rPr>
        <w:t>质疑答复的内容不得涉及商业秘密。</w:t>
      </w:r>
    </w:p>
    <w:p w14:paraId="668690D7">
      <w:pPr>
        <w:pStyle w:val="9"/>
        <w:keepNext w:val="0"/>
        <w:keepLines w:val="0"/>
        <w:adjustRightInd w:val="0"/>
        <w:snapToGrid w:val="0"/>
        <w:spacing w:before="0" w:after="0" w:line="360" w:lineRule="auto"/>
        <w:ind w:left="420" w:hanging="420"/>
        <w:rPr>
          <w:rFonts w:hint="eastAsia" w:ascii="宋体" w:hAnsi="宋体" w:cs="宋体"/>
          <w:sz w:val="24"/>
          <w:szCs w:val="24"/>
        </w:rPr>
      </w:pPr>
      <w:r>
        <w:rPr>
          <w:rFonts w:hint="eastAsia" w:ascii="宋体" w:hAnsi="宋体" w:cs="宋体"/>
          <w:sz w:val="24"/>
          <w:szCs w:val="24"/>
        </w:rPr>
        <w:t>37.投诉</w:t>
      </w:r>
      <w:bookmarkEnd w:id="418"/>
      <w:bookmarkEnd w:id="419"/>
      <w:bookmarkEnd w:id="420"/>
      <w:bookmarkEnd w:id="421"/>
      <w:bookmarkEnd w:id="422"/>
      <w:bookmarkEnd w:id="423"/>
      <w:bookmarkEnd w:id="424"/>
      <w:bookmarkEnd w:id="425"/>
      <w:bookmarkEnd w:id="426"/>
      <w:bookmarkEnd w:id="427"/>
      <w:bookmarkEnd w:id="428"/>
    </w:p>
    <w:p w14:paraId="34C5EAA0">
      <w:pPr>
        <w:pStyle w:val="25"/>
        <w:adjustRightInd w:val="0"/>
        <w:snapToGrid w:val="0"/>
        <w:ind w:firstLine="480"/>
        <w:rPr>
          <w:rFonts w:hint="eastAsia" w:cs="宋体"/>
          <w:szCs w:val="24"/>
        </w:rPr>
      </w:pPr>
      <w:r>
        <w:rPr>
          <w:rFonts w:hint="eastAsia" w:cs="宋体"/>
          <w:szCs w:val="24"/>
        </w:rPr>
        <w:t>37.1质疑供应商对采购人、采购代理机构的答复不满意，或者采购人、采购代理机构未在规定时间内作出答复的，可以在答复期满后15个工作日内向同级政府采购监督管理部门提起投诉。</w:t>
      </w:r>
    </w:p>
    <w:p w14:paraId="7AE3C0F6">
      <w:pPr>
        <w:pStyle w:val="25"/>
        <w:adjustRightInd w:val="0"/>
        <w:snapToGrid w:val="0"/>
        <w:ind w:firstLine="480"/>
        <w:rPr>
          <w:rFonts w:hint="eastAsia" w:cs="宋体"/>
          <w:szCs w:val="24"/>
        </w:rPr>
      </w:pPr>
      <w:r>
        <w:rPr>
          <w:rFonts w:hint="eastAsia" w:cs="宋体"/>
          <w:szCs w:val="24"/>
        </w:rPr>
        <w:t>37.2投诉人投诉时,应当提交投诉书和必要的证明材料，并按照被投诉采购人、采购代理机构（以下简称被投诉人）和与投诉事项有关的供应商数量提供投诉书的副本。投诉书应当包括下列内容：</w:t>
      </w:r>
    </w:p>
    <w:p w14:paraId="49546547">
      <w:pPr>
        <w:pStyle w:val="25"/>
        <w:adjustRightInd w:val="0"/>
        <w:snapToGrid w:val="0"/>
        <w:ind w:firstLine="480"/>
        <w:rPr>
          <w:rFonts w:hint="eastAsia" w:cs="宋体"/>
          <w:szCs w:val="24"/>
        </w:rPr>
      </w:pPr>
      <w:r>
        <w:rPr>
          <w:rFonts w:hint="eastAsia" w:cs="宋体"/>
          <w:szCs w:val="24"/>
        </w:rPr>
        <w:t>（1）投诉人和被投诉人的姓名或者名称、通讯地址、邮编、联系人及联系电话；</w:t>
      </w:r>
    </w:p>
    <w:p w14:paraId="1A65A103">
      <w:pPr>
        <w:pStyle w:val="25"/>
        <w:adjustRightInd w:val="0"/>
        <w:snapToGrid w:val="0"/>
        <w:ind w:firstLine="480"/>
        <w:rPr>
          <w:rFonts w:hint="eastAsia" w:cs="宋体"/>
          <w:szCs w:val="24"/>
        </w:rPr>
      </w:pPr>
      <w:r>
        <w:rPr>
          <w:rFonts w:hint="eastAsia" w:cs="宋体"/>
          <w:szCs w:val="24"/>
        </w:rPr>
        <w:t>（2）质疑和质疑答复情况说明及相关证明材料；</w:t>
      </w:r>
    </w:p>
    <w:p w14:paraId="675A6D97">
      <w:pPr>
        <w:pStyle w:val="25"/>
        <w:adjustRightInd w:val="0"/>
        <w:snapToGrid w:val="0"/>
        <w:ind w:firstLine="480"/>
        <w:rPr>
          <w:rFonts w:hint="eastAsia" w:cs="宋体"/>
          <w:szCs w:val="24"/>
        </w:rPr>
      </w:pPr>
      <w:r>
        <w:rPr>
          <w:rFonts w:hint="eastAsia" w:cs="宋体"/>
          <w:szCs w:val="24"/>
        </w:rPr>
        <w:t>（3）具体、明确的投诉事项和与投诉事项相关的投诉请求；</w:t>
      </w:r>
    </w:p>
    <w:p w14:paraId="4A0C1598">
      <w:pPr>
        <w:pStyle w:val="25"/>
        <w:adjustRightInd w:val="0"/>
        <w:snapToGrid w:val="0"/>
        <w:ind w:firstLine="480"/>
        <w:rPr>
          <w:rFonts w:hint="eastAsia" w:cs="宋体"/>
          <w:szCs w:val="24"/>
        </w:rPr>
      </w:pPr>
      <w:r>
        <w:rPr>
          <w:rFonts w:hint="eastAsia" w:cs="宋体"/>
          <w:szCs w:val="24"/>
        </w:rPr>
        <w:t>（4）事实依据；</w:t>
      </w:r>
    </w:p>
    <w:p w14:paraId="4CFD3E01">
      <w:pPr>
        <w:pStyle w:val="25"/>
        <w:adjustRightInd w:val="0"/>
        <w:snapToGrid w:val="0"/>
        <w:ind w:firstLine="480"/>
        <w:rPr>
          <w:rFonts w:hint="eastAsia" w:cs="宋体"/>
          <w:szCs w:val="24"/>
        </w:rPr>
      </w:pPr>
      <w:r>
        <w:rPr>
          <w:rFonts w:hint="eastAsia" w:cs="宋体"/>
          <w:szCs w:val="24"/>
        </w:rPr>
        <w:t>（5）法律依据；</w:t>
      </w:r>
    </w:p>
    <w:p w14:paraId="35FA6A4A">
      <w:pPr>
        <w:pStyle w:val="25"/>
        <w:adjustRightInd w:val="0"/>
        <w:snapToGrid w:val="0"/>
        <w:ind w:firstLine="480"/>
        <w:rPr>
          <w:rFonts w:hint="eastAsia" w:cs="宋体"/>
          <w:szCs w:val="24"/>
        </w:rPr>
      </w:pPr>
      <w:r>
        <w:rPr>
          <w:rFonts w:hint="eastAsia" w:cs="宋体"/>
          <w:szCs w:val="24"/>
        </w:rPr>
        <w:t>（6）提起投诉的日期。</w:t>
      </w:r>
    </w:p>
    <w:p w14:paraId="4FC7C3AB">
      <w:pPr>
        <w:pStyle w:val="25"/>
        <w:adjustRightInd w:val="0"/>
        <w:snapToGrid w:val="0"/>
        <w:ind w:firstLine="480"/>
        <w:rPr>
          <w:rFonts w:hint="eastAsia" w:cs="宋体"/>
          <w:szCs w:val="24"/>
        </w:rPr>
      </w:pPr>
      <w:r>
        <w:rPr>
          <w:rFonts w:hint="eastAsia" w:cs="宋体"/>
          <w:szCs w:val="24"/>
        </w:rPr>
        <w:t>投诉人为自然人的，应当由本人签字；投诉人为法人或者其他组织的，应当由法定代表人、主要负责人，或者其授权代表签字或者盖章，并加盖公章。</w:t>
      </w:r>
    </w:p>
    <w:p w14:paraId="4DF335BD">
      <w:pPr>
        <w:pStyle w:val="25"/>
        <w:adjustRightInd w:val="0"/>
        <w:snapToGrid w:val="0"/>
        <w:ind w:firstLine="480"/>
        <w:rPr>
          <w:rFonts w:hint="eastAsia" w:cs="宋体"/>
          <w:bCs/>
          <w:szCs w:val="24"/>
        </w:rPr>
      </w:pPr>
      <w:r>
        <w:rPr>
          <w:rFonts w:hint="eastAsia" w:cs="宋体"/>
          <w:szCs w:val="24"/>
        </w:rPr>
        <w:t>37.3供应商质疑、投诉应当有明确的请求和必要的证明材料。供应商投诉的事项不得超出已质疑事项的范围，但基于质疑答复内容提出的投诉事项除外</w:t>
      </w:r>
      <w:r>
        <w:rPr>
          <w:rFonts w:hint="eastAsia" w:cs="宋体"/>
          <w:bCs/>
          <w:szCs w:val="24"/>
        </w:rPr>
        <w:t>。</w:t>
      </w:r>
    </w:p>
    <w:p w14:paraId="2A3BCE0B">
      <w:pPr>
        <w:pStyle w:val="25"/>
        <w:adjustRightInd w:val="0"/>
        <w:snapToGrid w:val="0"/>
        <w:ind w:firstLine="480"/>
        <w:rPr>
          <w:rFonts w:hint="eastAsia" w:cs="宋体"/>
          <w:szCs w:val="24"/>
          <w:lang w:val="zh-CN"/>
        </w:rPr>
      </w:pPr>
      <w:r>
        <w:rPr>
          <w:rFonts w:hint="eastAsia" w:cs="宋体"/>
          <w:snapToGrid w:val="0"/>
          <w:szCs w:val="24"/>
        </w:rPr>
        <w:t>37.4</w:t>
      </w:r>
      <w:r>
        <w:rPr>
          <w:rFonts w:hint="eastAsia" w:cs="宋体"/>
          <w:szCs w:val="24"/>
        </w:rPr>
        <w:t>投诉书应当使用中文，并采用财政部门制定的范本</w:t>
      </w:r>
      <w:r>
        <w:rPr>
          <w:rFonts w:hint="eastAsia" w:cs="宋体"/>
          <w:szCs w:val="24"/>
          <w:lang w:val="zh-CN"/>
        </w:rPr>
        <w:t>。</w:t>
      </w:r>
    </w:p>
    <w:p w14:paraId="072EB102">
      <w:pPr>
        <w:pStyle w:val="8"/>
        <w:keepNext w:val="0"/>
        <w:keepLines w:val="0"/>
        <w:adjustRightInd w:val="0"/>
        <w:snapToGrid w:val="0"/>
        <w:spacing w:before="0" w:after="0" w:line="360" w:lineRule="auto"/>
        <w:ind w:left="420" w:hanging="420"/>
        <w:rPr>
          <w:rFonts w:hint="eastAsia" w:cs="宋体"/>
          <w:sz w:val="24"/>
          <w:szCs w:val="24"/>
        </w:rPr>
      </w:pPr>
      <w:bookmarkStart w:id="429" w:name="_Toc2760"/>
      <w:bookmarkStart w:id="430" w:name="_Toc21708"/>
      <w:bookmarkStart w:id="431" w:name="_Toc20231"/>
      <w:r>
        <w:rPr>
          <w:rFonts w:hint="eastAsia" w:cs="宋体"/>
          <w:sz w:val="24"/>
          <w:szCs w:val="24"/>
        </w:rPr>
        <w:t>（十一）采购代理服务费</w:t>
      </w:r>
      <w:bookmarkEnd w:id="412"/>
      <w:bookmarkEnd w:id="429"/>
      <w:bookmarkEnd w:id="430"/>
      <w:bookmarkEnd w:id="431"/>
    </w:p>
    <w:p w14:paraId="32832303">
      <w:pPr>
        <w:pStyle w:val="9"/>
        <w:keepNext w:val="0"/>
        <w:keepLines w:val="0"/>
        <w:adjustRightInd w:val="0"/>
        <w:snapToGrid w:val="0"/>
        <w:spacing w:before="0" w:after="0" w:line="360" w:lineRule="auto"/>
        <w:ind w:left="420" w:hanging="420"/>
        <w:rPr>
          <w:rFonts w:hint="eastAsia" w:ascii="宋体" w:hAnsi="宋体" w:cs="宋体"/>
          <w:sz w:val="24"/>
          <w:szCs w:val="24"/>
        </w:rPr>
      </w:pPr>
      <w:r>
        <w:rPr>
          <w:rFonts w:hint="eastAsia" w:ascii="宋体" w:hAnsi="宋体" w:cs="宋体"/>
          <w:sz w:val="24"/>
          <w:szCs w:val="24"/>
        </w:rPr>
        <w:t>38.收取方式和标准</w:t>
      </w:r>
    </w:p>
    <w:p w14:paraId="0F0CA960">
      <w:pPr>
        <w:pStyle w:val="25"/>
        <w:adjustRightInd w:val="0"/>
        <w:snapToGrid w:val="0"/>
        <w:ind w:firstLine="480"/>
        <w:rPr>
          <w:rFonts w:hint="eastAsia" w:cs="宋体"/>
          <w:szCs w:val="24"/>
        </w:rPr>
      </w:pPr>
      <w:r>
        <w:rPr>
          <w:rFonts w:hint="eastAsia" w:cs="宋体"/>
          <w:bCs/>
          <w:szCs w:val="24"/>
        </w:rPr>
        <w:t>38</w:t>
      </w:r>
      <w:r>
        <w:rPr>
          <w:rFonts w:hint="eastAsia" w:cs="宋体"/>
          <w:szCs w:val="24"/>
        </w:rPr>
        <w:t>.1采购代理机构按“供应商须知前附表”规定的方式和标准收取采购代理服务费。</w:t>
      </w:r>
    </w:p>
    <w:p w14:paraId="5E6F9613">
      <w:pPr>
        <w:pStyle w:val="8"/>
        <w:keepNext w:val="0"/>
        <w:keepLines w:val="0"/>
        <w:adjustRightInd w:val="0"/>
        <w:snapToGrid w:val="0"/>
        <w:spacing w:before="0" w:after="0" w:line="360" w:lineRule="auto"/>
        <w:ind w:left="420" w:hanging="420"/>
        <w:rPr>
          <w:rFonts w:hint="eastAsia" w:cs="宋体"/>
          <w:sz w:val="24"/>
          <w:szCs w:val="24"/>
        </w:rPr>
      </w:pPr>
      <w:bookmarkStart w:id="432" w:name="_Toc14684"/>
      <w:bookmarkStart w:id="433" w:name="_Toc10233"/>
      <w:bookmarkStart w:id="434" w:name="_Toc163493620"/>
      <w:bookmarkStart w:id="435" w:name="_Toc9410"/>
      <w:r>
        <w:rPr>
          <w:rFonts w:hint="eastAsia" w:cs="宋体"/>
          <w:sz w:val="24"/>
          <w:szCs w:val="24"/>
        </w:rPr>
        <w:t>（十二）无效响应和终止采购活动</w:t>
      </w:r>
      <w:bookmarkEnd w:id="432"/>
      <w:bookmarkEnd w:id="433"/>
      <w:bookmarkEnd w:id="434"/>
      <w:bookmarkEnd w:id="435"/>
    </w:p>
    <w:p w14:paraId="02780A34">
      <w:pPr>
        <w:pStyle w:val="9"/>
        <w:keepNext w:val="0"/>
        <w:keepLines w:val="0"/>
        <w:adjustRightInd w:val="0"/>
        <w:snapToGrid w:val="0"/>
        <w:spacing w:before="0" w:after="0" w:line="360" w:lineRule="auto"/>
        <w:ind w:left="420" w:hanging="420"/>
        <w:rPr>
          <w:rFonts w:hint="eastAsia" w:ascii="宋体" w:hAnsi="宋体" w:cs="宋体"/>
          <w:sz w:val="24"/>
          <w:szCs w:val="24"/>
        </w:rPr>
      </w:pPr>
      <w:bookmarkStart w:id="436" w:name="_Toc140132806"/>
      <w:bookmarkStart w:id="437" w:name="_Toc161600338"/>
      <w:r>
        <w:rPr>
          <w:rFonts w:hint="eastAsia" w:ascii="宋体" w:hAnsi="宋体" w:cs="宋体"/>
          <w:sz w:val="24"/>
          <w:szCs w:val="24"/>
        </w:rPr>
        <w:t>39.无效</w:t>
      </w:r>
      <w:bookmarkEnd w:id="436"/>
      <w:bookmarkEnd w:id="437"/>
      <w:r>
        <w:rPr>
          <w:rFonts w:hint="eastAsia" w:ascii="宋体" w:hAnsi="宋体" w:cs="宋体"/>
          <w:sz w:val="24"/>
          <w:szCs w:val="24"/>
        </w:rPr>
        <w:t>响应</w:t>
      </w:r>
    </w:p>
    <w:p w14:paraId="132D1B41">
      <w:pPr>
        <w:pStyle w:val="25"/>
        <w:adjustRightInd w:val="0"/>
        <w:snapToGrid w:val="0"/>
        <w:ind w:firstLine="480"/>
        <w:rPr>
          <w:rFonts w:hint="eastAsia" w:cs="宋体"/>
          <w:szCs w:val="24"/>
        </w:rPr>
      </w:pPr>
      <w:r>
        <w:rPr>
          <w:rFonts w:hint="eastAsia" w:cs="宋体"/>
          <w:szCs w:val="24"/>
        </w:rPr>
        <w:t>39.1响应文件存在“第四章 评审方法及标准”规定的</w:t>
      </w:r>
      <w:r>
        <w:rPr>
          <w:rFonts w:hint="eastAsia" w:cs="宋体"/>
          <w:b/>
          <w:bCs/>
          <w:szCs w:val="24"/>
        </w:rPr>
        <w:t>响应无效</w:t>
      </w:r>
      <w:r>
        <w:rPr>
          <w:rFonts w:hint="eastAsia" w:cs="宋体"/>
          <w:szCs w:val="24"/>
        </w:rPr>
        <w:t>情形的，做</w:t>
      </w:r>
      <w:r>
        <w:rPr>
          <w:rFonts w:hint="eastAsia" w:cs="宋体"/>
          <w:b/>
          <w:bCs/>
          <w:szCs w:val="24"/>
        </w:rPr>
        <w:t>无效响应</w:t>
      </w:r>
      <w:r>
        <w:rPr>
          <w:rFonts w:hint="eastAsia" w:cs="宋体"/>
          <w:szCs w:val="24"/>
        </w:rPr>
        <w:t>处理。</w:t>
      </w:r>
    </w:p>
    <w:p w14:paraId="631C56D4">
      <w:pPr>
        <w:pStyle w:val="9"/>
        <w:keepNext w:val="0"/>
        <w:keepLines w:val="0"/>
        <w:adjustRightInd w:val="0"/>
        <w:snapToGrid w:val="0"/>
        <w:spacing w:before="0" w:after="0" w:line="360" w:lineRule="auto"/>
        <w:ind w:left="420" w:hanging="420"/>
        <w:rPr>
          <w:rFonts w:hint="eastAsia" w:ascii="宋体" w:hAnsi="宋体" w:cs="宋体"/>
          <w:sz w:val="24"/>
          <w:szCs w:val="24"/>
        </w:rPr>
      </w:pPr>
      <w:r>
        <w:rPr>
          <w:rFonts w:hint="eastAsia" w:ascii="宋体" w:hAnsi="宋体" w:cs="宋体"/>
          <w:sz w:val="24"/>
          <w:szCs w:val="24"/>
        </w:rPr>
        <w:t>40.终止采购活动</w:t>
      </w:r>
    </w:p>
    <w:p w14:paraId="6F5166EC">
      <w:pPr>
        <w:pStyle w:val="25"/>
        <w:adjustRightInd w:val="0"/>
        <w:snapToGrid w:val="0"/>
        <w:ind w:firstLine="480"/>
        <w:rPr>
          <w:rFonts w:hint="eastAsia" w:cs="宋体"/>
          <w:szCs w:val="24"/>
        </w:rPr>
      </w:pPr>
      <w:r>
        <w:rPr>
          <w:rFonts w:hint="eastAsia" w:cs="宋体"/>
          <w:szCs w:val="24"/>
        </w:rPr>
        <w:t>40.1出现下列情形之一的，应当终止竞争性磋商采购活动，发布项目终止公告并说明原因，重新开展采购活动：</w:t>
      </w:r>
    </w:p>
    <w:p w14:paraId="09E00DE2">
      <w:pPr>
        <w:pStyle w:val="25"/>
        <w:adjustRightInd w:val="0"/>
        <w:snapToGrid w:val="0"/>
        <w:ind w:firstLine="480"/>
        <w:rPr>
          <w:rFonts w:hint="eastAsia" w:cs="宋体"/>
          <w:szCs w:val="24"/>
        </w:rPr>
      </w:pPr>
      <w:r>
        <w:rPr>
          <w:rFonts w:hint="eastAsia" w:cs="宋体"/>
          <w:szCs w:val="24"/>
        </w:rPr>
        <w:t>（1）因情况变化，不再符合规定的竞争性磋商采购方式适用情形的；</w:t>
      </w:r>
    </w:p>
    <w:p w14:paraId="5FD95404">
      <w:pPr>
        <w:pStyle w:val="25"/>
        <w:adjustRightInd w:val="0"/>
        <w:snapToGrid w:val="0"/>
        <w:ind w:firstLine="480"/>
        <w:rPr>
          <w:rFonts w:hint="eastAsia" w:cs="宋体"/>
          <w:szCs w:val="24"/>
        </w:rPr>
      </w:pPr>
      <w:r>
        <w:rPr>
          <w:rFonts w:hint="eastAsia" w:cs="宋体"/>
          <w:szCs w:val="24"/>
        </w:rPr>
        <w:t>（2）出现影响采购公正的违法、违规行为的；</w:t>
      </w:r>
    </w:p>
    <w:p w14:paraId="7598E364">
      <w:pPr>
        <w:pStyle w:val="25"/>
        <w:adjustRightInd w:val="0"/>
        <w:snapToGrid w:val="0"/>
        <w:ind w:firstLine="480"/>
        <w:rPr>
          <w:rFonts w:hint="eastAsia" w:cs="宋体"/>
          <w:szCs w:val="24"/>
        </w:rPr>
      </w:pPr>
      <w:r>
        <w:rPr>
          <w:rFonts w:hint="eastAsia" w:cs="宋体"/>
          <w:szCs w:val="24"/>
        </w:rPr>
        <w:t>（3）在采购过程中符合要求的供应商或者报价未超过采购预算的供应商不足3家的（市场竞争不充分的科研项目、需要扶持的科技成果转化项目以及政府购买服务项目&lt;含政府和社会资本合作项目&gt;）的提交最后报价的供应商可以为2家）。</w:t>
      </w:r>
    </w:p>
    <w:p w14:paraId="3EDE2978">
      <w:pPr>
        <w:pStyle w:val="25"/>
        <w:adjustRightInd w:val="0"/>
        <w:snapToGrid w:val="0"/>
        <w:ind w:firstLine="480"/>
        <w:rPr>
          <w:rFonts w:hint="eastAsia" w:cs="宋体"/>
          <w:szCs w:val="24"/>
        </w:rPr>
      </w:pPr>
      <w:r>
        <w:rPr>
          <w:rFonts w:hint="eastAsia" w:cs="宋体"/>
          <w:szCs w:val="24"/>
        </w:rPr>
        <w:t>40.2在采购活动中因重大变故，采购任务取消的，采购人或者采购代理机构应当终止采购活动，通知所有参加采购活动的供应商，并将项目实施情况和采购任务取消原因报送本级财政部门。</w:t>
      </w:r>
    </w:p>
    <w:p w14:paraId="35C9F5A9">
      <w:pPr>
        <w:pStyle w:val="8"/>
        <w:keepNext w:val="0"/>
        <w:keepLines w:val="0"/>
        <w:adjustRightInd w:val="0"/>
        <w:snapToGrid w:val="0"/>
        <w:spacing w:before="0" w:after="0" w:line="360" w:lineRule="auto"/>
        <w:ind w:left="420" w:hanging="420"/>
        <w:rPr>
          <w:rFonts w:hint="eastAsia" w:cs="宋体"/>
          <w:sz w:val="24"/>
          <w:szCs w:val="24"/>
        </w:rPr>
      </w:pPr>
      <w:bookmarkStart w:id="438" w:name="_Toc163493621"/>
      <w:bookmarkStart w:id="439" w:name="_Toc140132766"/>
      <w:bookmarkStart w:id="440" w:name="_Toc161600340"/>
      <w:bookmarkStart w:id="441" w:name="_Toc3153"/>
      <w:bookmarkStart w:id="442" w:name="_Toc29654"/>
      <w:bookmarkStart w:id="443" w:name="_Toc14581"/>
      <w:r>
        <w:rPr>
          <w:rFonts w:hint="eastAsia" w:cs="宋体"/>
          <w:sz w:val="24"/>
          <w:szCs w:val="24"/>
        </w:rPr>
        <w:t>（十三）落实政府采购政策</w:t>
      </w:r>
      <w:bookmarkEnd w:id="438"/>
      <w:bookmarkEnd w:id="439"/>
      <w:bookmarkEnd w:id="440"/>
      <w:r>
        <w:rPr>
          <w:rFonts w:hint="eastAsia" w:cs="宋体"/>
          <w:sz w:val="24"/>
          <w:szCs w:val="24"/>
        </w:rPr>
        <w:t>（包括但不限于下列具体政策要求）</w:t>
      </w:r>
      <w:bookmarkEnd w:id="441"/>
      <w:bookmarkEnd w:id="442"/>
      <w:bookmarkEnd w:id="443"/>
    </w:p>
    <w:p w14:paraId="57A34F70">
      <w:pPr>
        <w:pStyle w:val="9"/>
        <w:keepNext w:val="0"/>
        <w:keepLines w:val="0"/>
        <w:spacing w:before="80" w:after="80" w:line="240" w:lineRule="auto"/>
        <w:ind w:left="420" w:hanging="420"/>
        <w:jc w:val="both"/>
        <w:rPr>
          <w:rFonts w:hint="eastAsia" w:ascii="宋体" w:hAnsi="宋体" w:cs="宋体"/>
          <w:sz w:val="24"/>
        </w:rPr>
      </w:pPr>
      <w:bookmarkStart w:id="444" w:name="_Toc163492876"/>
      <w:r>
        <w:rPr>
          <w:rFonts w:hint="eastAsia" w:ascii="宋体" w:hAnsi="宋体" w:cs="宋体"/>
          <w:sz w:val="24"/>
        </w:rPr>
        <w:t>41.本国产品和进口产品</w:t>
      </w:r>
      <w:bookmarkEnd w:id="444"/>
    </w:p>
    <w:p w14:paraId="59F3A450">
      <w:pPr>
        <w:pStyle w:val="25"/>
        <w:ind w:firstLine="480"/>
        <w:jc w:val="both"/>
        <w:rPr>
          <w:rFonts w:hint="eastAsia" w:cs="宋体"/>
          <w:snapToGrid w:val="0"/>
        </w:rPr>
      </w:pPr>
      <w:r>
        <w:rPr>
          <w:rFonts w:hint="eastAsia" w:cs="宋体"/>
          <w:snapToGrid w:val="0"/>
        </w:rPr>
        <w:t>41.1本国产品标准及支持政策</w:t>
      </w:r>
    </w:p>
    <w:p w14:paraId="441816D7">
      <w:pPr>
        <w:pStyle w:val="25"/>
        <w:ind w:firstLine="480"/>
        <w:jc w:val="both"/>
        <w:rPr>
          <w:rFonts w:hint="eastAsia" w:cs="宋体"/>
          <w:snapToGrid w:val="0"/>
        </w:rPr>
      </w:pPr>
      <w:r>
        <w:rPr>
          <w:rFonts w:hint="eastAsia" w:cs="宋体"/>
          <w:snapToGrid w:val="0"/>
        </w:rPr>
        <w:t>41.1.1产品需在中华人民共和国关境内（含保税区、综合保税区等海关特殊监管区域）完成从原材料、组件到成品的制造、加工或组装，从而产生新的产品属性。仅进行包装、贴牌、简单处理等不改变产品核心属性的操作，不视为境内生产。</w:t>
      </w:r>
    </w:p>
    <w:p w14:paraId="43EE734F">
      <w:pPr>
        <w:pStyle w:val="25"/>
        <w:ind w:firstLine="480"/>
        <w:jc w:val="both"/>
        <w:rPr>
          <w:rFonts w:hint="eastAsia" w:cs="宋体"/>
          <w:snapToGrid w:val="0"/>
        </w:rPr>
      </w:pPr>
      <w:r>
        <w:rPr>
          <w:rFonts w:hint="eastAsia" w:cs="宋体"/>
          <w:snapToGrid w:val="0"/>
        </w:rPr>
        <w:t>41.1.2产品在境内生产的组件成本应达到财政部会同相关部门确定的总成本规定比例(具体产品目录及比例标准按国家后续发布的规定执行)。在分产品目录及比例标准正式实施前的过渡期内，符合境内生产条件的产品，可视同本国产品。</w:t>
      </w:r>
    </w:p>
    <w:p w14:paraId="19E87B7B">
      <w:pPr>
        <w:pStyle w:val="25"/>
        <w:ind w:firstLine="480"/>
        <w:jc w:val="both"/>
        <w:rPr>
          <w:rFonts w:hint="eastAsia" w:cs="宋体"/>
          <w:snapToGrid w:val="0"/>
        </w:rPr>
      </w:pPr>
      <w:r>
        <w:rPr>
          <w:rFonts w:hint="eastAsia" w:cs="宋体"/>
          <w:snapToGrid w:val="0"/>
        </w:rPr>
        <w:t>41.1.3对国家相关部门后续发布的特定产品清单内的产品，除满足上述条件外，还需同时满足关键组件境内生产、关键工序境内完成等特定要求。</w:t>
      </w:r>
    </w:p>
    <w:p w14:paraId="33FDC980">
      <w:pPr>
        <w:pStyle w:val="25"/>
        <w:ind w:firstLine="480"/>
        <w:jc w:val="both"/>
        <w:rPr>
          <w:rFonts w:hint="eastAsia" w:cs="宋体"/>
          <w:snapToGrid w:val="0"/>
        </w:rPr>
      </w:pPr>
      <w:r>
        <w:rPr>
          <w:rFonts w:hint="eastAsia" w:cs="宋体"/>
          <w:snapToGrid w:val="0"/>
        </w:rPr>
        <w:t>41.1.4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5BE7BA04">
      <w:pPr>
        <w:pStyle w:val="25"/>
        <w:ind w:firstLine="480"/>
        <w:jc w:val="both"/>
        <w:rPr>
          <w:rFonts w:hint="eastAsia" w:cs="宋体"/>
          <w:snapToGrid w:val="0"/>
        </w:rPr>
      </w:pPr>
      <w:r>
        <w:rPr>
          <w:rFonts w:hint="eastAsia" w:cs="宋体"/>
          <w:snapToGrid w:val="0"/>
        </w:rPr>
        <w:t>41.1.5供应商对其提供的产品出具《关于符合本国产品标准的声明函》（样式见附件1，以下简称《声明函》）或财政部会同有关部门规定的有关证明文件。出具符合要求的《声明函》或有关证明文件的，该产品视为本国产品。</w:t>
      </w:r>
    </w:p>
    <w:p w14:paraId="6DF0CD5C">
      <w:pPr>
        <w:pStyle w:val="25"/>
        <w:ind w:firstLine="480"/>
        <w:jc w:val="both"/>
        <w:rPr>
          <w:rFonts w:hint="eastAsia" w:cs="宋体"/>
          <w:snapToGrid w:val="0"/>
        </w:rPr>
      </w:pPr>
      <w:r>
        <w:rPr>
          <w:rFonts w:hint="eastAsia" w:cs="宋体"/>
          <w:snapToGrid w:val="0"/>
        </w:rPr>
        <w:t>医疗器械产品，取得药品监督管理部门授予的准字号医疗器械注册证的，视为符合本国产品标准。</w:t>
      </w:r>
    </w:p>
    <w:p w14:paraId="1A66631B">
      <w:pPr>
        <w:pStyle w:val="25"/>
        <w:ind w:firstLine="480"/>
        <w:jc w:val="both"/>
        <w:rPr>
          <w:rFonts w:hint="eastAsia" w:cs="宋体"/>
          <w:snapToGrid w:val="0"/>
        </w:rPr>
      </w:pPr>
      <w:r>
        <w:rPr>
          <w:rFonts w:hint="eastAsia" w:cs="宋体"/>
          <w:snapToGrid w:val="0"/>
        </w:rPr>
        <w:t>41.1.6采购标的仅包含单一产品时，政府采购活动中既有本国产品又有非本国产品参与竞争的，依法对本国产品给予价格评审优惠，对本国产品的报价给予20%的价格扣除，用扣除后的价格参与评审。对于仅有本国产品参与竞争的政府采购项目，本国产品不享受价格扣除评审优惠。</w:t>
      </w:r>
    </w:p>
    <w:p w14:paraId="17228ADB">
      <w:pPr>
        <w:pStyle w:val="25"/>
        <w:ind w:firstLine="480"/>
        <w:jc w:val="both"/>
        <w:rPr>
          <w:rFonts w:hint="eastAsia" w:cs="宋体"/>
          <w:snapToGrid w:val="0"/>
        </w:rPr>
      </w:pPr>
      <w:r>
        <w:rPr>
          <w:rFonts w:hint="eastAsia" w:cs="宋体"/>
          <w:snapToGrid w:val="0"/>
        </w:rPr>
        <w:t>41.1.7采购标的中含有多种产品，供应商为该采购项目或者采购包提供的符合本国产品标准的产品成本之和占该供应商提供的全部产品成本之和的比例达到80%以上时，则依法对该供应商提供的全部产品给予价格评审优惠，即对该供应商提供的全部产品的总报价给予20%的价格扣除，用扣除后的价格参与评审。</w:t>
      </w:r>
    </w:p>
    <w:p w14:paraId="2B40C7E8">
      <w:pPr>
        <w:pStyle w:val="25"/>
        <w:ind w:firstLine="480"/>
        <w:jc w:val="both"/>
        <w:rPr>
          <w:rFonts w:hint="eastAsia" w:cs="宋体"/>
          <w:snapToGrid w:val="0"/>
        </w:rPr>
      </w:pPr>
      <w:r>
        <w:rPr>
          <w:rFonts w:hint="eastAsia" w:cs="宋体"/>
          <w:snapToGrid w:val="0"/>
        </w:rPr>
        <w:t>41.2进口产品</w:t>
      </w:r>
    </w:p>
    <w:p w14:paraId="169666B9">
      <w:pPr>
        <w:pStyle w:val="25"/>
        <w:ind w:firstLine="480"/>
        <w:jc w:val="both"/>
        <w:rPr>
          <w:rFonts w:hint="eastAsia" w:cs="宋体"/>
          <w:snapToGrid w:val="0"/>
        </w:rPr>
      </w:pPr>
      <w:r>
        <w:rPr>
          <w:rFonts w:hint="eastAsia" w:cs="宋体"/>
          <w:snapToGrid w:val="0"/>
        </w:rPr>
        <w:t>41.2.1凡在海关特殊监管区域内企业生产或加工（包括从境外进口料件）销往境内其他地区的产品，不作为政府采购项下进口产品。对从境外进入海关特殊监管区域，再经办理报关手续后从海关特殊监管区进入境内其他地区的产品，应当认定为进口产品。项目若涉及采购进口产品的，具体要求详见“第三章 采购需求”。</w:t>
      </w:r>
    </w:p>
    <w:p w14:paraId="0E882643">
      <w:pPr>
        <w:pStyle w:val="25"/>
        <w:ind w:firstLine="480"/>
        <w:jc w:val="both"/>
        <w:rPr>
          <w:rFonts w:hint="eastAsia" w:cs="宋体"/>
          <w:snapToGrid w:val="0"/>
          <w:szCs w:val="24"/>
        </w:rPr>
      </w:pPr>
      <w:r>
        <w:rPr>
          <w:rFonts w:hint="eastAsia" w:cs="宋体"/>
          <w:snapToGrid w:val="0"/>
          <w:szCs w:val="24"/>
        </w:rPr>
        <w:t>41.2.2进口产品指通过中国海关报关验放进入中国境内且产自关境外的产品，包括已经进入中国境内的进口产品。</w:t>
      </w:r>
    </w:p>
    <w:p w14:paraId="0B4648F7">
      <w:pPr>
        <w:pStyle w:val="25"/>
        <w:ind w:firstLine="480"/>
        <w:jc w:val="both"/>
        <w:rPr>
          <w:rFonts w:hint="eastAsia" w:cs="宋体"/>
          <w:snapToGrid w:val="0"/>
          <w:szCs w:val="24"/>
        </w:rPr>
      </w:pPr>
      <w:r>
        <w:rPr>
          <w:rFonts w:hint="eastAsia" w:cs="宋体"/>
          <w:snapToGrid w:val="0"/>
          <w:szCs w:val="24"/>
        </w:rPr>
        <w:t>41.2.3若采购需求中写明允许采购进口产品，供应商应保证所响应产品可履行合法报通关手续进入中国关境内。</w:t>
      </w:r>
    </w:p>
    <w:p w14:paraId="5056E4BD">
      <w:pPr>
        <w:pStyle w:val="25"/>
        <w:adjustRightInd w:val="0"/>
        <w:snapToGrid w:val="0"/>
        <w:ind w:firstLine="480"/>
        <w:rPr>
          <w:rFonts w:hint="eastAsia" w:cs="宋体"/>
          <w:snapToGrid w:val="0"/>
          <w:szCs w:val="24"/>
        </w:rPr>
      </w:pPr>
      <w:r>
        <w:rPr>
          <w:rFonts w:hint="eastAsia" w:cs="宋体"/>
          <w:snapToGrid w:val="0"/>
          <w:szCs w:val="24"/>
        </w:rPr>
        <w:t>41.2.4若采购需求中未写明允许采购进口产品，如供应商所响应产品为进口产品，其响应将被认定为</w:t>
      </w:r>
      <w:r>
        <w:rPr>
          <w:rFonts w:hint="eastAsia" w:cs="宋体"/>
          <w:b/>
          <w:bCs/>
          <w:snapToGrid w:val="0"/>
          <w:szCs w:val="24"/>
        </w:rPr>
        <w:t>响应无效</w:t>
      </w:r>
      <w:r>
        <w:rPr>
          <w:rFonts w:hint="eastAsia" w:cs="宋体"/>
          <w:snapToGrid w:val="0"/>
          <w:szCs w:val="24"/>
        </w:rPr>
        <w:t>。</w:t>
      </w:r>
    </w:p>
    <w:p w14:paraId="1F7E8604">
      <w:pPr>
        <w:pStyle w:val="9"/>
        <w:keepNext w:val="0"/>
        <w:keepLines w:val="0"/>
        <w:adjustRightInd w:val="0"/>
        <w:snapToGrid w:val="0"/>
        <w:spacing w:before="0" w:after="0" w:line="360" w:lineRule="auto"/>
        <w:ind w:left="420" w:hanging="420"/>
        <w:rPr>
          <w:rFonts w:hint="eastAsia" w:ascii="宋体" w:hAnsi="宋体" w:cs="宋体"/>
          <w:sz w:val="24"/>
          <w:szCs w:val="24"/>
        </w:rPr>
      </w:pPr>
      <w:bookmarkStart w:id="445" w:name="_Toc161600342"/>
      <w:r>
        <w:rPr>
          <w:rFonts w:hint="eastAsia" w:ascii="宋体" w:hAnsi="宋体" w:cs="宋体"/>
          <w:sz w:val="24"/>
          <w:szCs w:val="24"/>
        </w:rPr>
        <w:t>42.中小企业、监狱企业及残疾人福利性单位</w:t>
      </w:r>
      <w:bookmarkEnd w:id="445"/>
    </w:p>
    <w:p w14:paraId="3DC30D33">
      <w:pPr>
        <w:pStyle w:val="25"/>
        <w:adjustRightInd w:val="0"/>
        <w:snapToGrid w:val="0"/>
        <w:ind w:firstLine="480"/>
        <w:rPr>
          <w:rFonts w:hint="eastAsia" w:cs="宋体"/>
          <w:snapToGrid w:val="0"/>
          <w:szCs w:val="24"/>
        </w:rPr>
      </w:pPr>
      <w:r>
        <w:rPr>
          <w:rFonts w:hint="eastAsia" w:cs="宋体"/>
          <w:snapToGrid w:val="0"/>
          <w:szCs w:val="24"/>
        </w:rPr>
        <w:t xml:space="preserve">42.1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2022〕19 号）、《政府采购促进中小企业发展管理办法》（财库〔2020〕46 号）、《关于印发中小企业划型标准规定的通知》（工信部联企业〔2011〕300 号）、《金融业企业划型标准规定》（〔2015〕309 号）等国务院批准的中小企业划分标准执行。 </w:t>
      </w:r>
    </w:p>
    <w:p w14:paraId="6EB577E7">
      <w:pPr>
        <w:pStyle w:val="25"/>
        <w:adjustRightInd w:val="0"/>
        <w:snapToGrid w:val="0"/>
        <w:ind w:firstLine="480"/>
        <w:rPr>
          <w:rFonts w:hint="eastAsia" w:cs="宋体"/>
          <w:snapToGrid w:val="0"/>
          <w:szCs w:val="24"/>
        </w:rPr>
      </w:pPr>
      <w:r>
        <w:rPr>
          <w:rFonts w:hint="eastAsia" w:cs="宋体"/>
          <w:snapToGrid w:val="0"/>
          <w:szCs w:val="24"/>
        </w:rPr>
        <w:t>42.2为促进中小企业发展，依据《关于印发&lt;政府采购促进中小企业发展管理办法&gt;的通知》（财库〔2020〕46号）、《财政部 司法部关于政府采购支持监狱企业发展有关问题的通知》（财库〔2014〕68号）、《关于促进残疾人就业政府采购政策的通知》（财库〔2017〕141号）的规定，本项目供应商如需享受中小企业相关政策的，且符合上述文件规定的，应按本磋商文件规定格式提供“中小企业声明函”或“监狱企业证明文件”或“残疾人福利性单位声明函”，评审时，磋商小组将依据本磋商文件“供应商须知前附表”规定的报价扣除比例，对供应商报价进行价格扣除，用扣除后的价格参与评审；磋商公告中明确项目专门面向中小企业采购的，“中小企业声明函”为资格要求文件，供应商参与磋商须按本磋商文件规定格式提供“中小企业声明函”或“监狱企业证明文件”或“残疾人福利性单位声明函”等作为资格证明文件。</w:t>
      </w:r>
    </w:p>
    <w:p w14:paraId="61ADCD50">
      <w:pPr>
        <w:pStyle w:val="25"/>
        <w:adjustRightInd w:val="0"/>
        <w:snapToGrid w:val="0"/>
        <w:ind w:firstLine="480"/>
        <w:rPr>
          <w:rFonts w:hint="eastAsia" w:cs="宋体"/>
          <w:snapToGrid w:val="0"/>
          <w:szCs w:val="24"/>
        </w:rPr>
      </w:pPr>
      <w:r>
        <w:rPr>
          <w:rFonts w:hint="eastAsia" w:cs="宋体"/>
          <w:snapToGrid w:val="0"/>
          <w:szCs w:val="24"/>
        </w:rPr>
        <w:t xml:space="preserve">42.3供应商提供的货物、工程或者服务符合下列情形的，享受中小企业扶持政策： </w:t>
      </w:r>
    </w:p>
    <w:p w14:paraId="41D81885">
      <w:pPr>
        <w:pStyle w:val="25"/>
        <w:adjustRightInd w:val="0"/>
        <w:snapToGrid w:val="0"/>
        <w:ind w:firstLine="480"/>
        <w:rPr>
          <w:rFonts w:hint="eastAsia" w:cs="宋体"/>
          <w:snapToGrid w:val="0"/>
          <w:szCs w:val="24"/>
        </w:rPr>
      </w:pPr>
      <w:r>
        <w:rPr>
          <w:rFonts w:hint="eastAsia" w:cs="宋体"/>
          <w:snapToGrid w:val="0"/>
          <w:szCs w:val="24"/>
        </w:rPr>
        <w:t xml:space="preserve">42.3.1在货物采购项目中，货物由中小企业制造，即货物由中小企业生产且使用该中小企业商号或者注册商标； </w:t>
      </w:r>
    </w:p>
    <w:p w14:paraId="4287B4C0">
      <w:pPr>
        <w:pStyle w:val="25"/>
        <w:adjustRightInd w:val="0"/>
        <w:snapToGrid w:val="0"/>
        <w:ind w:firstLine="480"/>
        <w:rPr>
          <w:rFonts w:hint="eastAsia" w:cs="宋体"/>
          <w:snapToGrid w:val="0"/>
          <w:szCs w:val="24"/>
        </w:rPr>
      </w:pPr>
      <w:r>
        <w:rPr>
          <w:rFonts w:hint="eastAsia" w:cs="宋体"/>
          <w:snapToGrid w:val="0"/>
          <w:szCs w:val="24"/>
        </w:rPr>
        <w:t xml:space="preserve">42.3.2在工程采购项目中，工程由中小企业承建，即工程施工单位为中小企业； </w:t>
      </w:r>
    </w:p>
    <w:p w14:paraId="504BBF18">
      <w:pPr>
        <w:pStyle w:val="25"/>
        <w:adjustRightInd w:val="0"/>
        <w:snapToGrid w:val="0"/>
        <w:ind w:firstLine="480"/>
        <w:rPr>
          <w:rFonts w:hint="eastAsia" w:cs="宋体"/>
          <w:snapToGrid w:val="0"/>
          <w:szCs w:val="24"/>
        </w:rPr>
      </w:pPr>
      <w:r>
        <w:rPr>
          <w:rFonts w:hint="eastAsia" w:cs="宋体"/>
          <w:snapToGrid w:val="0"/>
          <w:szCs w:val="24"/>
        </w:rPr>
        <w:t>42.3.3在服务采购项目中，服务由中小企业承接，即提供服务的人员为中小企业依照《中华人民共和国劳动合同法》订立劳动合同的从业人员。</w:t>
      </w:r>
    </w:p>
    <w:p w14:paraId="28FED95B">
      <w:pPr>
        <w:pStyle w:val="25"/>
        <w:adjustRightInd w:val="0"/>
        <w:snapToGrid w:val="0"/>
        <w:ind w:firstLine="480"/>
        <w:rPr>
          <w:rFonts w:hint="eastAsia" w:cs="宋体"/>
          <w:snapToGrid w:val="0"/>
          <w:szCs w:val="24"/>
        </w:rPr>
      </w:pPr>
      <w:r>
        <w:rPr>
          <w:rFonts w:hint="eastAsia" w:cs="宋体"/>
          <w:snapToGrid w:val="0"/>
          <w:szCs w:val="24"/>
        </w:rPr>
        <w:t xml:space="preserve">42.4 在货物采购项目中，供应商提供的货物既有中小企业制造货物，也有大型企业制造货物的，不享受中小企业扶持政策。 </w:t>
      </w:r>
    </w:p>
    <w:p w14:paraId="182B8EB7">
      <w:pPr>
        <w:pStyle w:val="25"/>
        <w:adjustRightInd w:val="0"/>
        <w:snapToGrid w:val="0"/>
        <w:ind w:firstLine="480"/>
        <w:rPr>
          <w:rFonts w:hint="eastAsia" w:cs="宋体"/>
          <w:snapToGrid w:val="0"/>
          <w:szCs w:val="24"/>
        </w:rPr>
      </w:pPr>
      <w:r>
        <w:rPr>
          <w:rFonts w:hint="eastAsia" w:cs="宋体"/>
          <w:snapToGrid w:val="0"/>
          <w:szCs w:val="24"/>
        </w:rPr>
        <w:t xml:space="preserve">42.5 以联合体形式参加政府采购活动，联合体各方均为中小企业的，联合体视同中小企业。其中，联合体各方均为小微企业的，联合体视同小微企业。      42.6 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 </w:t>
      </w:r>
    </w:p>
    <w:p w14:paraId="615AEA5A">
      <w:pPr>
        <w:pStyle w:val="25"/>
        <w:adjustRightInd w:val="0"/>
        <w:snapToGrid w:val="0"/>
        <w:ind w:firstLine="480"/>
        <w:rPr>
          <w:rFonts w:hint="eastAsia" w:cs="宋体"/>
          <w:snapToGrid w:val="0"/>
          <w:szCs w:val="24"/>
        </w:rPr>
      </w:pPr>
      <w:r>
        <w:rPr>
          <w:rFonts w:hint="eastAsia" w:cs="宋体"/>
          <w:snapToGrid w:val="0"/>
          <w:szCs w:val="24"/>
        </w:rPr>
        <w:t xml:space="preserve">42.7 在政府采购活动中，残疾人福利性单位视同小型、微型企业，享受预留份额、评审中价格扣除等促进中小企业发展的政府采购政策。残疾人福利性单位定义：享受政府采购支持政策的残疾人福利性单位应当同时满足以下条件： </w:t>
      </w:r>
    </w:p>
    <w:p w14:paraId="0F65A301">
      <w:pPr>
        <w:pStyle w:val="25"/>
        <w:adjustRightInd w:val="0"/>
        <w:snapToGrid w:val="0"/>
        <w:ind w:firstLine="480"/>
        <w:rPr>
          <w:rFonts w:hint="eastAsia" w:cs="宋体"/>
          <w:snapToGrid w:val="0"/>
          <w:szCs w:val="24"/>
        </w:rPr>
      </w:pPr>
      <w:r>
        <w:rPr>
          <w:rFonts w:hint="eastAsia" w:cs="宋体"/>
          <w:snapToGrid w:val="0"/>
          <w:szCs w:val="24"/>
        </w:rPr>
        <w:t xml:space="preserve">42.7.1 安置的残疾人占本单位在职职工人数的比例不低于 25% （含 25%），并且安置的残疾人人数不少于 10 人（含 10人）； </w:t>
      </w:r>
    </w:p>
    <w:p w14:paraId="145068A4">
      <w:pPr>
        <w:pStyle w:val="25"/>
        <w:adjustRightInd w:val="0"/>
        <w:snapToGrid w:val="0"/>
        <w:ind w:firstLine="480"/>
        <w:rPr>
          <w:rFonts w:hint="eastAsia" w:cs="宋体"/>
          <w:snapToGrid w:val="0"/>
          <w:szCs w:val="24"/>
        </w:rPr>
      </w:pPr>
      <w:r>
        <w:rPr>
          <w:rFonts w:hint="eastAsia" w:cs="宋体"/>
          <w:snapToGrid w:val="0"/>
          <w:szCs w:val="24"/>
        </w:rPr>
        <w:t xml:space="preserve">42.7.2 依法与安置的每位残疾人签订了1年以上（含1年）的劳动合同或服务协议； </w:t>
      </w:r>
    </w:p>
    <w:p w14:paraId="4AFBBA50">
      <w:pPr>
        <w:pStyle w:val="25"/>
        <w:adjustRightInd w:val="0"/>
        <w:snapToGrid w:val="0"/>
        <w:ind w:firstLine="480"/>
        <w:rPr>
          <w:rFonts w:hint="eastAsia" w:cs="宋体"/>
          <w:snapToGrid w:val="0"/>
          <w:szCs w:val="24"/>
        </w:rPr>
      </w:pPr>
      <w:r>
        <w:rPr>
          <w:rFonts w:hint="eastAsia" w:cs="宋体"/>
          <w:snapToGrid w:val="0"/>
          <w:szCs w:val="24"/>
        </w:rPr>
        <w:t xml:space="preserve">42.7.3 为安置的每位残疾人按月足额缴纳了基本养老保险、基本医疗保险、失业保险、工伤保险和生育保险等社会保险费； </w:t>
      </w:r>
    </w:p>
    <w:p w14:paraId="4487EF6F">
      <w:pPr>
        <w:pStyle w:val="25"/>
        <w:adjustRightInd w:val="0"/>
        <w:snapToGrid w:val="0"/>
        <w:ind w:firstLine="480"/>
        <w:rPr>
          <w:rFonts w:hint="eastAsia" w:cs="宋体"/>
          <w:snapToGrid w:val="0"/>
          <w:szCs w:val="24"/>
        </w:rPr>
      </w:pPr>
      <w:r>
        <w:rPr>
          <w:rFonts w:hint="eastAsia" w:cs="宋体"/>
          <w:snapToGrid w:val="0"/>
          <w:szCs w:val="24"/>
        </w:rPr>
        <w:t xml:space="preserve">42.7.4 通过银行等金融机构向安置的每位残疾人，按月支付了不低于单位所在区县适用的经省级人民政府批准的月最低工资标准的工资； </w:t>
      </w:r>
    </w:p>
    <w:p w14:paraId="66EBECD3">
      <w:pPr>
        <w:pStyle w:val="25"/>
        <w:adjustRightInd w:val="0"/>
        <w:snapToGrid w:val="0"/>
        <w:ind w:firstLine="480"/>
        <w:rPr>
          <w:rFonts w:hint="eastAsia" w:cs="宋体"/>
          <w:snapToGrid w:val="0"/>
          <w:szCs w:val="24"/>
        </w:rPr>
      </w:pPr>
      <w:r>
        <w:rPr>
          <w:rFonts w:hint="eastAsia" w:cs="宋体"/>
          <w:snapToGrid w:val="0"/>
          <w:szCs w:val="24"/>
        </w:rPr>
        <w:t xml:space="preserve">42.7.5 提供本单位制造的货物、承担的工程或者服务（以下简称产品），或者提供其他残疾人福利性单位制造的货物（不包括使用非残疾人福利性单位注册商标的货物）； </w:t>
      </w:r>
    </w:p>
    <w:p w14:paraId="556BC0B6">
      <w:pPr>
        <w:pStyle w:val="25"/>
        <w:adjustRightInd w:val="0"/>
        <w:snapToGrid w:val="0"/>
        <w:ind w:firstLine="480"/>
        <w:rPr>
          <w:rFonts w:hint="eastAsia" w:cs="宋体"/>
          <w:snapToGrid w:val="0"/>
          <w:szCs w:val="24"/>
        </w:rPr>
      </w:pPr>
      <w:r>
        <w:rPr>
          <w:rFonts w:hint="eastAsia" w:cs="宋体"/>
          <w:snapToGrid w:val="0"/>
          <w:szCs w:val="24"/>
        </w:rPr>
        <w:t xml:space="preserve">42.7.6 前款所称残疾人是指法定劳动年龄内，持有《中华人民共和国残疾人证》或者《中华人民共和国残疾军人证（1 至 8 级）》的自然人，包括具有劳动条件和劳动意愿的精神残疾人。在职职工人数是指与残疾人福利性单位建立劳动关系并依法签订劳动合同或服务协议的雇员人数。 </w:t>
      </w:r>
    </w:p>
    <w:p w14:paraId="3B39EECD">
      <w:pPr>
        <w:pStyle w:val="25"/>
        <w:adjustRightInd w:val="0"/>
        <w:snapToGrid w:val="0"/>
        <w:ind w:firstLine="480"/>
        <w:rPr>
          <w:rFonts w:hint="eastAsia" w:cs="宋体"/>
          <w:snapToGrid w:val="0"/>
          <w:szCs w:val="24"/>
        </w:rPr>
      </w:pPr>
      <w:r>
        <w:rPr>
          <w:rFonts w:hint="eastAsia" w:cs="宋体"/>
          <w:snapToGrid w:val="0"/>
          <w:szCs w:val="24"/>
        </w:rPr>
        <w:t>42.8 本项目是否专门面向中小企业预留采购份额见“第一章 竞争性磋商邀请”。</w:t>
      </w:r>
    </w:p>
    <w:p w14:paraId="5A70CB6C">
      <w:pPr>
        <w:pStyle w:val="25"/>
        <w:adjustRightInd w:val="0"/>
        <w:snapToGrid w:val="0"/>
        <w:ind w:firstLine="480"/>
        <w:rPr>
          <w:rFonts w:hint="eastAsia" w:cs="宋体"/>
          <w:snapToGrid w:val="0"/>
          <w:szCs w:val="24"/>
        </w:rPr>
      </w:pPr>
      <w:r>
        <w:rPr>
          <w:rFonts w:hint="eastAsia" w:cs="宋体"/>
          <w:snapToGrid w:val="0"/>
          <w:szCs w:val="24"/>
        </w:rPr>
        <w:t>42.9 采购标的对应的中小企业划分标准所属行业见“供应商须知前附表”。    42.10小微企业价格评审优惠的政策调整：见“第四章 评审方法及标准”。</w:t>
      </w:r>
    </w:p>
    <w:p w14:paraId="76C0345E">
      <w:pPr>
        <w:pStyle w:val="9"/>
        <w:keepNext w:val="0"/>
        <w:keepLines w:val="0"/>
        <w:adjustRightInd w:val="0"/>
        <w:snapToGrid w:val="0"/>
        <w:spacing w:before="0" w:after="0" w:line="360" w:lineRule="auto"/>
        <w:ind w:left="420" w:hanging="420"/>
        <w:rPr>
          <w:rFonts w:hint="eastAsia" w:ascii="宋体" w:hAnsi="宋体" w:cs="宋体"/>
          <w:sz w:val="24"/>
          <w:szCs w:val="24"/>
        </w:rPr>
      </w:pPr>
      <w:bookmarkStart w:id="446" w:name="_Toc161600343"/>
      <w:r>
        <w:rPr>
          <w:rFonts w:hint="eastAsia" w:ascii="宋体" w:hAnsi="宋体" w:cs="宋体"/>
          <w:sz w:val="24"/>
          <w:szCs w:val="24"/>
        </w:rPr>
        <w:t>43.政府采购节能产品、环境标志产品</w:t>
      </w:r>
      <w:bookmarkEnd w:id="446"/>
    </w:p>
    <w:p w14:paraId="74D83274">
      <w:pPr>
        <w:pStyle w:val="25"/>
        <w:adjustRightInd w:val="0"/>
        <w:snapToGrid w:val="0"/>
        <w:ind w:firstLine="480"/>
        <w:rPr>
          <w:rFonts w:hint="eastAsia" w:cs="宋体"/>
          <w:snapToGrid w:val="0"/>
          <w:szCs w:val="24"/>
        </w:rPr>
      </w:pPr>
      <w:r>
        <w:rPr>
          <w:rFonts w:hint="eastAsia" w:cs="宋体"/>
          <w:snapToGrid w:val="0"/>
          <w:szCs w:val="24"/>
        </w:rPr>
        <w:t>43.1 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关于政府采购节能产品、环境标志产品的相关规定依据《关于调整优化节能产品、环境标志产品政府采购执行机制的通知》（财库〔2019〕9 号）、《关于印发环境标志产品政府采购品目清单的通知》（财库〔2019〕18号）、《关于印发节能产品政府采购品目清单的通知》（财库〔2019〕19号）的规定。</w:t>
      </w:r>
    </w:p>
    <w:p w14:paraId="017FF1A4">
      <w:pPr>
        <w:pStyle w:val="25"/>
        <w:adjustRightInd w:val="0"/>
        <w:snapToGrid w:val="0"/>
        <w:ind w:firstLine="480"/>
        <w:rPr>
          <w:rFonts w:hint="eastAsia" w:cs="宋体"/>
          <w:snapToGrid w:val="0"/>
          <w:szCs w:val="24"/>
        </w:rPr>
      </w:pPr>
      <w:r>
        <w:rPr>
          <w:rFonts w:hint="eastAsia" w:cs="宋体"/>
          <w:snapToGrid w:val="0"/>
          <w:szCs w:val="24"/>
        </w:rPr>
        <w:t xml:space="preserve">43.2 采购人拟采购的产品属于品目清单范围的，采购人及其委托的采购代理机构依据国家确定的认证机构出具的、处于有效期之内的节能产品、环境标志产品认证证书，对获得证书的产品实施政府优先采购或强制采购。 </w:t>
      </w:r>
    </w:p>
    <w:p w14:paraId="13797307">
      <w:pPr>
        <w:pStyle w:val="25"/>
        <w:adjustRightInd w:val="0"/>
        <w:snapToGrid w:val="0"/>
        <w:ind w:firstLine="480"/>
        <w:rPr>
          <w:rFonts w:hint="eastAsia" w:cs="宋体"/>
          <w:snapToGrid w:val="0"/>
          <w:szCs w:val="24"/>
        </w:rPr>
      </w:pPr>
      <w:r>
        <w:rPr>
          <w:rFonts w:hint="eastAsia" w:cs="宋体"/>
          <w:snapToGrid w:val="0"/>
          <w:szCs w:val="24"/>
        </w:rPr>
        <w:t>43.3 如本项目采购产品属于实施政府强制采购品目清单范围的节能产品，则供应商所报产品必须获得国家确定的认证机构出具的、处于有效期之内的节能产品认证证书，否则</w:t>
      </w:r>
      <w:r>
        <w:rPr>
          <w:rFonts w:hint="eastAsia" w:cs="宋体"/>
          <w:b/>
          <w:bCs/>
          <w:snapToGrid w:val="0"/>
          <w:szCs w:val="24"/>
        </w:rPr>
        <w:t>响应无效</w:t>
      </w:r>
      <w:r>
        <w:rPr>
          <w:rFonts w:hint="eastAsia" w:cs="宋体"/>
          <w:snapToGrid w:val="0"/>
          <w:szCs w:val="24"/>
        </w:rPr>
        <w:t xml:space="preserve">。 </w:t>
      </w:r>
    </w:p>
    <w:p w14:paraId="73ADF023">
      <w:pPr>
        <w:pStyle w:val="25"/>
        <w:adjustRightInd w:val="0"/>
        <w:snapToGrid w:val="0"/>
        <w:ind w:firstLine="480"/>
        <w:rPr>
          <w:rFonts w:hint="eastAsia" w:cs="宋体"/>
          <w:snapToGrid w:val="0"/>
          <w:szCs w:val="24"/>
        </w:rPr>
      </w:pPr>
      <w:r>
        <w:rPr>
          <w:rFonts w:hint="eastAsia" w:cs="宋体"/>
          <w:snapToGrid w:val="0"/>
          <w:szCs w:val="24"/>
        </w:rPr>
        <w:t>43.4 非政府强制采购的节能产品或环境标志产品，依据品目清单和认证证书实施政府优先采购。优先采购的具体规定见“第四章 评审方法及标准”（如涉及）。</w:t>
      </w:r>
    </w:p>
    <w:p w14:paraId="1E54CD45">
      <w:pPr>
        <w:pStyle w:val="25"/>
        <w:adjustRightInd w:val="0"/>
        <w:snapToGrid w:val="0"/>
        <w:ind w:firstLine="480"/>
        <w:rPr>
          <w:rFonts w:hint="eastAsia" w:cs="宋体"/>
          <w:szCs w:val="24"/>
        </w:rPr>
      </w:pPr>
      <w:r>
        <w:rPr>
          <w:rFonts w:hint="eastAsia" w:cs="宋体"/>
          <w:snapToGrid w:val="0"/>
          <w:szCs w:val="24"/>
        </w:rPr>
        <w:t>43.5 供应商所报产品如属于节能产品政府采购品目清单、环境标志产品政府采购品目清单范围的，须提供国家确定的认证机构出具的、处于有效期内的产品认证证书，认证证书的产品型号与所报产品不一致的，视为未提供。属于政府强制采购产品的，已作为响应时强制性要求不再给予价格评审优惠，未提供认证证书的视为</w:t>
      </w:r>
      <w:r>
        <w:rPr>
          <w:rFonts w:hint="eastAsia" w:cs="宋体"/>
          <w:b/>
          <w:bCs/>
          <w:snapToGrid w:val="0"/>
          <w:szCs w:val="24"/>
        </w:rPr>
        <w:t>无效响应</w:t>
      </w:r>
      <w:r>
        <w:rPr>
          <w:rFonts w:hint="eastAsia" w:cs="宋体"/>
          <w:snapToGrid w:val="0"/>
          <w:szCs w:val="24"/>
        </w:rPr>
        <w:t>。属于优先采购节能产品政府采购品目清单、环境标志产品政府采购品目清单、创新产品范围的，按照“第四章 评审方法及标准”中相关规定</w:t>
      </w:r>
      <w:r>
        <w:rPr>
          <w:rFonts w:hint="eastAsia" w:cs="宋体"/>
          <w:szCs w:val="24"/>
        </w:rPr>
        <w:t>在评审时给予价格评审优惠，具体详见</w:t>
      </w:r>
      <w:r>
        <w:rPr>
          <w:rFonts w:hint="eastAsia" w:cs="宋体"/>
          <w:snapToGrid w:val="0"/>
          <w:szCs w:val="24"/>
        </w:rPr>
        <w:t>“供应商须知前附表”及</w:t>
      </w:r>
      <w:r>
        <w:rPr>
          <w:rFonts w:hint="eastAsia" w:cs="宋体"/>
          <w:szCs w:val="24"/>
        </w:rPr>
        <w:t>“第四章 评审方法及标准”。</w:t>
      </w:r>
    </w:p>
    <w:p w14:paraId="17C511EA">
      <w:pPr>
        <w:pStyle w:val="9"/>
        <w:keepNext w:val="0"/>
        <w:keepLines w:val="0"/>
        <w:adjustRightInd w:val="0"/>
        <w:snapToGrid w:val="0"/>
        <w:spacing w:before="0" w:after="0" w:line="360" w:lineRule="auto"/>
        <w:ind w:left="420" w:hanging="420"/>
        <w:rPr>
          <w:rFonts w:hint="eastAsia" w:ascii="宋体" w:hAnsi="宋体" w:cs="宋体"/>
          <w:sz w:val="24"/>
          <w:szCs w:val="24"/>
        </w:rPr>
      </w:pPr>
      <w:r>
        <w:rPr>
          <w:rFonts w:hint="eastAsia" w:ascii="宋体" w:hAnsi="宋体" w:cs="宋体"/>
          <w:sz w:val="24"/>
          <w:szCs w:val="24"/>
        </w:rPr>
        <w:t>44.正版软件</w:t>
      </w:r>
    </w:p>
    <w:p w14:paraId="1F0E8307">
      <w:pPr>
        <w:pStyle w:val="25"/>
        <w:adjustRightInd w:val="0"/>
        <w:snapToGrid w:val="0"/>
        <w:ind w:firstLine="480"/>
        <w:rPr>
          <w:rFonts w:hint="eastAsia" w:cs="宋体"/>
          <w:snapToGrid w:val="0"/>
          <w:szCs w:val="24"/>
        </w:rPr>
      </w:pPr>
      <w:r>
        <w:rPr>
          <w:rFonts w:hint="eastAsia" w:cs="宋体"/>
          <w:snapToGrid w:val="0"/>
          <w:szCs w:val="24"/>
        </w:rPr>
        <w:t>44.1 依据《财政部 国家发展改革委 信息产业部关于印发无线局域网产品政府采购实施意见的通知》（财库〔2005〕366 号），采购无线局域网产品和含有无线局域网功能的计算机、通信设备、打印机、复印机、投影仪等产品的，优先采购符合国家无线局域网安全标准（GB 15629.11/1102）并通过国家产品认证的产品。其中，国家有特殊信息安全要求的项目必须采购认证产品，否则</w:t>
      </w:r>
      <w:r>
        <w:rPr>
          <w:rFonts w:hint="eastAsia" w:cs="宋体"/>
          <w:b/>
          <w:bCs/>
          <w:snapToGrid w:val="0"/>
          <w:szCs w:val="24"/>
        </w:rPr>
        <w:t>响应无效</w:t>
      </w:r>
      <w:r>
        <w:rPr>
          <w:rFonts w:hint="eastAsia" w:cs="宋体"/>
          <w:snapToGrid w:val="0"/>
          <w:szCs w:val="24"/>
        </w:rPr>
        <w:t xml:space="preserve">。财政部、国家发展改革委、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国家发展改革委、信息产业部以文件形式确定、公布并适时调整。 </w:t>
      </w:r>
    </w:p>
    <w:p w14:paraId="34806368">
      <w:pPr>
        <w:pStyle w:val="25"/>
        <w:adjustRightInd w:val="0"/>
        <w:snapToGrid w:val="0"/>
        <w:ind w:firstLine="480"/>
        <w:rPr>
          <w:rFonts w:hint="eastAsia" w:cs="宋体"/>
          <w:snapToGrid w:val="0"/>
          <w:szCs w:val="24"/>
        </w:rPr>
      </w:pPr>
      <w:r>
        <w:rPr>
          <w:rFonts w:hint="eastAsia" w:cs="宋体"/>
          <w:snapToGrid w:val="0"/>
          <w:szCs w:val="24"/>
        </w:rPr>
        <w:t xml:space="preserve">44.2 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 </w:t>
      </w:r>
    </w:p>
    <w:p w14:paraId="57A1724D">
      <w:pPr>
        <w:pStyle w:val="9"/>
        <w:keepNext w:val="0"/>
        <w:keepLines w:val="0"/>
        <w:adjustRightInd w:val="0"/>
        <w:snapToGrid w:val="0"/>
        <w:spacing w:before="0" w:after="0" w:line="360" w:lineRule="auto"/>
        <w:ind w:left="420" w:hanging="420"/>
        <w:rPr>
          <w:rFonts w:hint="eastAsia" w:ascii="宋体" w:hAnsi="宋体" w:cs="宋体"/>
          <w:sz w:val="24"/>
          <w:szCs w:val="24"/>
        </w:rPr>
      </w:pPr>
      <w:r>
        <w:rPr>
          <w:rFonts w:hint="eastAsia" w:ascii="宋体" w:hAnsi="宋体" w:cs="宋体"/>
          <w:sz w:val="24"/>
          <w:szCs w:val="24"/>
        </w:rPr>
        <w:t xml:space="preserve">45.网络安全专用产品 </w:t>
      </w:r>
    </w:p>
    <w:p w14:paraId="13C08773">
      <w:pPr>
        <w:pStyle w:val="25"/>
        <w:adjustRightInd w:val="0"/>
        <w:snapToGrid w:val="0"/>
        <w:ind w:firstLine="480"/>
        <w:rPr>
          <w:rFonts w:hint="eastAsia" w:cs="宋体"/>
          <w:snapToGrid w:val="0"/>
          <w:szCs w:val="24"/>
        </w:rPr>
      </w:pPr>
      <w:r>
        <w:rPr>
          <w:rFonts w:hint="eastAsia" w:cs="宋体"/>
          <w:snapToGrid w:val="0"/>
          <w:szCs w:val="24"/>
        </w:rPr>
        <w:t>45.1本项目中如涉及网络关键设备或网络安全专用产品的，应严格执行国家互联网信息办公室、工业和信息化部、公安部、财政部和国家认证认可监督管理委员会 2023年第 1 号《关于调整网络安全专用产品安全管理有关事项的公告》及国家互联网信息办公室、工业和信息化部、公安部和国家认证认可监督管理委员会 2023 年第 2号《关于调整&lt;网络关键设备和网络安全专用产品目录&gt;的公告》等相关文件要求，所投标（响应）设备或产品至少符合以下条件之一：一是已由具备资格的机构安全认证合格或安全检测符合要求；二是已获得《计算机信息系统安全专用产品销售许可证》，且在有效期内。采购人、中标(成交)人双方签订合同及验收环节，应包含上述网络安全要求的条款。</w:t>
      </w:r>
    </w:p>
    <w:p w14:paraId="4911AC78">
      <w:pPr>
        <w:pStyle w:val="25"/>
        <w:adjustRightInd w:val="0"/>
        <w:snapToGrid w:val="0"/>
        <w:ind w:firstLine="480"/>
        <w:rPr>
          <w:rFonts w:hint="eastAsia" w:cs="宋体"/>
          <w:snapToGrid w:val="0"/>
          <w:szCs w:val="24"/>
        </w:rPr>
      </w:pPr>
      <w:r>
        <w:rPr>
          <w:rFonts w:hint="eastAsia" w:cs="宋体"/>
          <w:snapToGrid w:val="0"/>
          <w:szCs w:val="24"/>
        </w:rPr>
        <w:t>45.2本项目中如涉及国家强制性产品认证证书（CCC 认证证书）、电信设备进网许可证、无线电发射设备核准证等市场准入类资质的，应严格执行国家相关法律法规的要求。采购人、中标(成交)人双方签订合同及验收环节，应包含上述市场准入类资质要求的条款。</w:t>
      </w:r>
    </w:p>
    <w:p w14:paraId="05D0648E">
      <w:pPr>
        <w:pStyle w:val="9"/>
        <w:keepNext w:val="0"/>
        <w:keepLines w:val="0"/>
        <w:adjustRightInd w:val="0"/>
        <w:snapToGrid w:val="0"/>
        <w:spacing w:before="0" w:after="0" w:line="360" w:lineRule="auto"/>
        <w:ind w:left="420" w:hanging="420"/>
        <w:rPr>
          <w:rFonts w:hint="eastAsia" w:ascii="宋体" w:hAnsi="宋体" w:cs="宋体"/>
          <w:sz w:val="24"/>
          <w:szCs w:val="24"/>
        </w:rPr>
      </w:pPr>
      <w:r>
        <w:rPr>
          <w:rFonts w:hint="eastAsia" w:ascii="宋体" w:hAnsi="宋体" w:cs="宋体"/>
          <w:sz w:val="24"/>
          <w:szCs w:val="24"/>
        </w:rPr>
        <w:t xml:space="preserve">46.采购需求标准 </w:t>
      </w:r>
    </w:p>
    <w:bookmarkEnd w:id="413"/>
    <w:bookmarkEnd w:id="414"/>
    <w:bookmarkEnd w:id="415"/>
    <w:bookmarkEnd w:id="416"/>
    <w:bookmarkEnd w:id="417"/>
    <w:p w14:paraId="12518086">
      <w:pPr>
        <w:pStyle w:val="25"/>
        <w:adjustRightInd w:val="0"/>
        <w:snapToGrid w:val="0"/>
        <w:ind w:firstLine="480"/>
        <w:rPr>
          <w:rFonts w:hint="eastAsia" w:cs="宋体"/>
          <w:snapToGrid w:val="0"/>
          <w:szCs w:val="24"/>
        </w:rPr>
      </w:pPr>
      <w:bookmarkStart w:id="447" w:name="_Toc109900412"/>
      <w:bookmarkStart w:id="448" w:name="_Toc163493622"/>
      <w:bookmarkStart w:id="449" w:name="_Toc109899574"/>
      <w:bookmarkStart w:id="450" w:name="_Toc109897475"/>
      <w:bookmarkStart w:id="451" w:name="_Toc109899993"/>
      <w:r>
        <w:rPr>
          <w:rFonts w:hint="eastAsia" w:cs="宋体"/>
          <w:snapToGrid w:val="0"/>
          <w:szCs w:val="24"/>
        </w:rPr>
        <w:t xml:space="preserve">46.1 商品包装、快递包装政府采购需求标准（试行） </w:t>
      </w:r>
    </w:p>
    <w:p w14:paraId="527BC2D1">
      <w:pPr>
        <w:pStyle w:val="25"/>
        <w:adjustRightInd w:val="0"/>
        <w:snapToGrid w:val="0"/>
        <w:ind w:firstLine="480"/>
        <w:rPr>
          <w:rFonts w:hint="eastAsia" w:cs="宋体"/>
          <w:snapToGrid w:val="0"/>
          <w:szCs w:val="24"/>
        </w:rPr>
      </w:pPr>
      <w:r>
        <w:rPr>
          <w:rFonts w:hint="eastAsia" w:cs="宋体"/>
          <w:snapToGrid w:val="0"/>
          <w:szCs w:val="24"/>
        </w:rPr>
        <w:t>为助力打好污染防治攻坚战，推广使用绿色包装，根据财政部关于印发《商品包装政府采购需求标准（试行）》、《快递包装政府采购需求标准（试行）》的通知（财办库〔2020〕123 号），本项目如涉及商品包装和快递包装的，则其具体要求见</w:t>
      </w:r>
      <w:r>
        <w:rPr>
          <w:rFonts w:hint="eastAsia" w:cs="宋体"/>
          <w:szCs w:val="24"/>
        </w:rPr>
        <w:t>“第三章 项目采购需求”</w:t>
      </w:r>
      <w:r>
        <w:rPr>
          <w:rFonts w:hint="eastAsia" w:cs="宋体"/>
          <w:snapToGrid w:val="0"/>
          <w:szCs w:val="24"/>
        </w:rPr>
        <w:t xml:space="preserve">。 </w:t>
      </w:r>
    </w:p>
    <w:p w14:paraId="088B5DEF">
      <w:pPr>
        <w:pStyle w:val="25"/>
        <w:adjustRightInd w:val="0"/>
        <w:snapToGrid w:val="0"/>
        <w:ind w:firstLine="480"/>
        <w:rPr>
          <w:rFonts w:hint="eastAsia" w:cs="宋体"/>
          <w:snapToGrid w:val="0"/>
          <w:szCs w:val="24"/>
        </w:rPr>
      </w:pPr>
      <w:r>
        <w:rPr>
          <w:rFonts w:hint="eastAsia" w:cs="宋体"/>
          <w:snapToGrid w:val="0"/>
          <w:szCs w:val="24"/>
        </w:rPr>
        <w:t xml:space="preserve">46.2 绿色数据中心政府采购需求标准（试行） </w:t>
      </w:r>
    </w:p>
    <w:p w14:paraId="2BAD2545">
      <w:pPr>
        <w:pStyle w:val="25"/>
        <w:adjustRightInd w:val="0"/>
        <w:snapToGrid w:val="0"/>
        <w:ind w:firstLine="480"/>
        <w:rPr>
          <w:rFonts w:hint="eastAsia" w:cs="宋体"/>
          <w:snapToGrid w:val="0"/>
          <w:szCs w:val="24"/>
        </w:rPr>
      </w:pPr>
      <w:r>
        <w:rPr>
          <w:rFonts w:hint="eastAsia" w:cs="宋体"/>
          <w:snapToGrid w:val="0"/>
          <w:szCs w:val="24"/>
        </w:rPr>
        <w:t>为加快数据中心绿色转型，根据财政部 生态环境部 工业和信息化部关于印发《绿色数据中心政府采购需求标准（试行）》的通知（财库〔2023〕7 号），本项目如涉及绿色数据中心，则具体要求见</w:t>
      </w:r>
      <w:r>
        <w:rPr>
          <w:rFonts w:hint="eastAsia" w:cs="宋体"/>
          <w:szCs w:val="24"/>
        </w:rPr>
        <w:t>“第三章 项目采购需求”</w:t>
      </w:r>
      <w:r>
        <w:rPr>
          <w:rFonts w:hint="eastAsia" w:cs="宋体"/>
          <w:snapToGrid w:val="0"/>
          <w:szCs w:val="24"/>
        </w:rPr>
        <w:t xml:space="preserve">。 </w:t>
      </w:r>
    </w:p>
    <w:p w14:paraId="33C6F27D">
      <w:pPr>
        <w:pStyle w:val="25"/>
        <w:adjustRightInd w:val="0"/>
        <w:snapToGrid w:val="0"/>
        <w:ind w:firstLine="480"/>
        <w:rPr>
          <w:rFonts w:hint="eastAsia" w:cs="宋体"/>
          <w:snapToGrid w:val="0"/>
          <w:szCs w:val="24"/>
        </w:rPr>
      </w:pPr>
      <w:r>
        <w:rPr>
          <w:rFonts w:hint="eastAsia" w:cs="宋体"/>
          <w:snapToGrid w:val="0"/>
          <w:szCs w:val="24"/>
        </w:rPr>
        <w:t>46.3台式计算机政府采购需求标准</w:t>
      </w:r>
    </w:p>
    <w:p w14:paraId="7FE94F3A">
      <w:pPr>
        <w:pStyle w:val="25"/>
        <w:adjustRightInd w:val="0"/>
        <w:snapToGrid w:val="0"/>
        <w:ind w:firstLine="480"/>
        <w:rPr>
          <w:rFonts w:hint="eastAsia" w:cs="宋体"/>
          <w:snapToGrid w:val="0"/>
          <w:szCs w:val="24"/>
        </w:rPr>
      </w:pPr>
      <w:r>
        <w:rPr>
          <w:rFonts w:hint="eastAsia" w:cs="宋体"/>
          <w:snapToGrid w:val="0"/>
          <w:szCs w:val="24"/>
        </w:rPr>
        <w:t>为提高台式计算机政府采购需求管理的科学化、规范化水平，进一步落实政府采购公平竞争原则，优化营商环境，营造良好的产业生态，财政部 工业和信息化部关于印发《台式计算机政府采购需求标准（2023年版）》的通知（财库〔2023〕29号），本项目如涉及台式计算机采购，则具体要求见</w:t>
      </w:r>
      <w:r>
        <w:rPr>
          <w:rFonts w:hint="eastAsia" w:cs="宋体"/>
          <w:szCs w:val="24"/>
        </w:rPr>
        <w:t>“第三章 项目采购需求”</w:t>
      </w:r>
      <w:r>
        <w:rPr>
          <w:rFonts w:hint="eastAsia" w:cs="宋体"/>
          <w:snapToGrid w:val="0"/>
          <w:szCs w:val="24"/>
        </w:rPr>
        <w:t>。</w:t>
      </w:r>
    </w:p>
    <w:p w14:paraId="683C9A61">
      <w:pPr>
        <w:pStyle w:val="25"/>
        <w:adjustRightInd w:val="0"/>
        <w:snapToGrid w:val="0"/>
        <w:ind w:firstLine="480"/>
        <w:rPr>
          <w:rFonts w:hint="eastAsia" w:cs="宋体"/>
          <w:snapToGrid w:val="0"/>
          <w:szCs w:val="24"/>
        </w:rPr>
      </w:pPr>
      <w:r>
        <w:rPr>
          <w:rFonts w:hint="eastAsia" w:cs="宋体"/>
          <w:snapToGrid w:val="0"/>
          <w:szCs w:val="24"/>
        </w:rPr>
        <w:t>46.4便携式计算机政府采购需求标准</w:t>
      </w:r>
    </w:p>
    <w:p w14:paraId="56D621A3">
      <w:pPr>
        <w:pStyle w:val="25"/>
        <w:adjustRightInd w:val="0"/>
        <w:snapToGrid w:val="0"/>
        <w:ind w:firstLine="480"/>
        <w:rPr>
          <w:rFonts w:hint="eastAsia" w:cs="宋体"/>
          <w:snapToGrid w:val="0"/>
          <w:szCs w:val="24"/>
        </w:rPr>
      </w:pPr>
      <w:r>
        <w:rPr>
          <w:rFonts w:hint="eastAsia" w:cs="宋体"/>
          <w:snapToGrid w:val="0"/>
          <w:szCs w:val="24"/>
        </w:rPr>
        <w:t>为提高便携式计算机政府采购需求管理的科学化、规范化水平，进一步落实政府采购公平竞争原则，优化营商环境，营造良好的产业生态，财政部 工业和信息化部关于印发《便携式计算机政府采购需求标准（2023年版）》的通知（财库〔2023〕30号），本项目如涉及便携式计算机采购，则具体要求见</w:t>
      </w:r>
      <w:r>
        <w:rPr>
          <w:rFonts w:hint="eastAsia" w:cs="宋体"/>
          <w:szCs w:val="24"/>
        </w:rPr>
        <w:t>“第三章 项目采购需求”</w:t>
      </w:r>
      <w:r>
        <w:rPr>
          <w:rFonts w:hint="eastAsia" w:cs="宋体"/>
          <w:snapToGrid w:val="0"/>
          <w:szCs w:val="24"/>
        </w:rPr>
        <w:t>。</w:t>
      </w:r>
    </w:p>
    <w:p w14:paraId="48ED6666">
      <w:pPr>
        <w:pStyle w:val="25"/>
        <w:adjustRightInd w:val="0"/>
        <w:snapToGrid w:val="0"/>
        <w:ind w:firstLine="480"/>
        <w:rPr>
          <w:rFonts w:hint="eastAsia" w:cs="宋体"/>
          <w:snapToGrid w:val="0"/>
          <w:szCs w:val="24"/>
        </w:rPr>
      </w:pPr>
      <w:r>
        <w:rPr>
          <w:rFonts w:hint="eastAsia" w:cs="宋体"/>
          <w:snapToGrid w:val="0"/>
          <w:szCs w:val="24"/>
        </w:rPr>
        <w:t>46.5一体式计算机政府采购需求标准</w:t>
      </w:r>
    </w:p>
    <w:p w14:paraId="7A06F60A">
      <w:pPr>
        <w:pStyle w:val="25"/>
        <w:adjustRightInd w:val="0"/>
        <w:snapToGrid w:val="0"/>
        <w:ind w:firstLine="480"/>
        <w:rPr>
          <w:rFonts w:hint="eastAsia" w:cs="宋体"/>
          <w:snapToGrid w:val="0"/>
          <w:szCs w:val="24"/>
        </w:rPr>
      </w:pPr>
      <w:r>
        <w:rPr>
          <w:rFonts w:hint="eastAsia" w:cs="宋体"/>
          <w:snapToGrid w:val="0"/>
          <w:szCs w:val="24"/>
        </w:rPr>
        <w:t>为提高一体式计算机政府采购需求管理的科学化、规范化水平，进一步落实政府采购公平竞争原则，优化营商环境，营造良好的产业生态，财政部 工业和信息化部关于印发《一体式计算机政府采购需求标准（2023年版）》的通知（财库〔2023〕31号），本项目如涉及一体式计算机采购，则具体要求见</w:t>
      </w:r>
      <w:r>
        <w:rPr>
          <w:rFonts w:hint="eastAsia" w:cs="宋体"/>
          <w:szCs w:val="24"/>
        </w:rPr>
        <w:t>“第三章 项目采购需求”</w:t>
      </w:r>
      <w:r>
        <w:rPr>
          <w:rFonts w:hint="eastAsia" w:cs="宋体"/>
          <w:snapToGrid w:val="0"/>
          <w:szCs w:val="24"/>
        </w:rPr>
        <w:t>。</w:t>
      </w:r>
    </w:p>
    <w:p w14:paraId="6AA36A4C">
      <w:pPr>
        <w:pStyle w:val="25"/>
        <w:adjustRightInd w:val="0"/>
        <w:snapToGrid w:val="0"/>
        <w:ind w:firstLine="480"/>
        <w:rPr>
          <w:rFonts w:hint="eastAsia" w:cs="宋体"/>
          <w:snapToGrid w:val="0"/>
          <w:szCs w:val="24"/>
        </w:rPr>
      </w:pPr>
      <w:r>
        <w:rPr>
          <w:rFonts w:hint="eastAsia" w:cs="宋体"/>
          <w:snapToGrid w:val="0"/>
          <w:szCs w:val="24"/>
        </w:rPr>
        <w:t>46.6工作站政府采购需求标准</w:t>
      </w:r>
    </w:p>
    <w:p w14:paraId="401E4836">
      <w:pPr>
        <w:pStyle w:val="25"/>
        <w:adjustRightInd w:val="0"/>
        <w:snapToGrid w:val="0"/>
        <w:ind w:firstLine="480"/>
        <w:rPr>
          <w:rFonts w:hint="eastAsia" w:cs="宋体"/>
          <w:snapToGrid w:val="0"/>
          <w:szCs w:val="24"/>
        </w:rPr>
      </w:pPr>
      <w:r>
        <w:rPr>
          <w:rFonts w:hint="eastAsia" w:cs="宋体"/>
          <w:snapToGrid w:val="0"/>
          <w:szCs w:val="24"/>
        </w:rPr>
        <w:t>为提高工作站政府采购需求管理的科学化、规范化水平，进一步落实政府采购公平竞争原则，优化营商环境，营造良好的产业生态，财政部 工业和信息化部关于印发《工作站政府采购需求标准（2023年版）》的通知（财库〔2023〕32号），本项目如涉及工作站采购，则具体要求见</w:t>
      </w:r>
      <w:r>
        <w:rPr>
          <w:rFonts w:hint="eastAsia" w:cs="宋体"/>
          <w:szCs w:val="24"/>
        </w:rPr>
        <w:t>“第三章 项目采购需求”</w:t>
      </w:r>
      <w:r>
        <w:rPr>
          <w:rFonts w:hint="eastAsia" w:cs="宋体"/>
          <w:snapToGrid w:val="0"/>
          <w:szCs w:val="24"/>
        </w:rPr>
        <w:t>。</w:t>
      </w:r>
    </w:p>
    <w:p w14:paraId="6AA55F4D">
      <w:pPr>
        <w:pStyle w:val="25"/>
        <w:adjustRightInd w:val="0"/>
        <w:snapToGrid w:val="0"/>
        <w:ind w:firstLine="480"/>
        <w:rPr>
          <w:rFonts w:hint="eastAsia" w:cs="宋体"/>
          <w:snapToGrid w:val="0"/>
          <w:szCs w:val="24"/>
        </w:rPr>
      </w:pPr>
      <w:r>
        <w:rPr>
          <w:rFonts w:hint="eastAsia" w:cs="宋体"/>
          <w:snapToGrid w:val="0"/>
          <w:szCs w:val="24"/>
        </w:rPr>
        <w:t>46.7通用服务器政府采购需求标准</w:t>
      </w:r>
    </w:p>
    <w:p w14:paraId="6FE6FE7A">
      <w:pPr>
        <w:pStyle w:val="25"/>
        <w:adjustRightInd w:val="0"/>
        <w:snapToGrid w:val="0"/>
        <w:ind w:firstLine="480"/>
        <w:rPr>
          <w:rFonts w:hint="eastAsia" w:cs="宋体"/>
          <w:snapToGrid w:val="0"/>
          <w:szCs w:val="24"/>
        </w:rPr>
      </w:pPr>
      <w:r>
        <w:rPr>
          <w:rFonts w:hint="eastAsia" w:cs="宋体"/>
          <w:snapToGrid w:val="0"/>
          <w:szCs w:val="24"/>
        </w:rPr>
        <w:t>为提高通用服务器政府采购需求管理的科学化、规范化水平，进一步落实政府采购公平竞争原则，优化营商环境，营造良好的产业生态，财政部 工业和信息化部关于印发《通用服务器政府采购需求标准（2023年版）》的通知（财库〔2023〕33号），本项目如涉及通用服务器采购，则具体要求见</w:t>
      </w:r>
      <w:r>
        <w:rPr>
          <w:rFonts w:hint="eastAsia" w:cs="宋体"/>
          <w:szCs w:val="24"/>
        </w:rPr>
        <w:t>“第三章 项目采购需求”</w:t>
      </w:r>
      <w:r>
        <w:rPr>
          <w:rFonts w:hint="eastAsia" w:cs="宋体"/>
          <w:snapToGrid w:val="0"/>
          <w:szCs w:val="24"/>
        </w:rPr>
        <w:t>。</w:t>
      </w:r>
    </w:p>
    <w:p w14:paraId="5E799E3E">
      <w:pPr>
        <w:pStyle w:val="25"/>
        <w:adjustRightInd w:val="0"/>
        <w:snapToGrid w:val="0"/>
        <w:ind w:firstLine="480"/>
        <w:rPr>
          <w:rFonts w:hint="eastAsia" w:cs="宋体"/>
          <w:snapToGrid w:val="0"/>
          <w:szCs w:val="24"/>
        </w:rPr>
      </w:pPr>
      <w:r>
        <w:rPr>
          <w:rFonts w:hint="eastAsia" w:cs="宋体"/>
          <w:snapToGrid w:val="0"/>
          <w:szCs w:val="24"/>
        </w:rPr>
        <w:t>46.8操作系统政府采购需求标准</w:t>
      </w:r>
    </w:p>
    <w:p w14:paraId="71E70859">
      <w:pPr>
        <w:pStyle w:val="25"/>
        <w:adjustRightInd w:val="0"/>
        <w:snapToGrid w:val="0"/>
        <w:ind w:firstLine="480"/>
        <w:rPr>
          <w:rFonts w:hint="eastAsia" w:cs="宋体"/>
          <w:snapToGrid w:val="0"/>
          <w:szCs w:val="24"/>
        </w:rPr>
      </w:pPr>
      <w:r>
        <w:rPr>
          <w:rFonts w:hint="eastAsia" w:cs="宋体"/>
          <w:snapToGrid w:val="0"/>
          <w:szCs w:val="24"/>
        </w:rPr>
        <w:t>为提高操作系统政府采购需求管理的科学化、规范化水平，进一步落实政府采购公平竞争原则，优化营商环境，营造良好的产业生态，财政部 工业和信息化部关于印发《操作系统政府采购需求标准（2023年版）》的通知（财库〔2023〕34号），本项目如涉及操作系统采购，则具体要求见</w:t>
      </w:r>
      <w:r>
        <w:rPr>
          <w:rFonts w:hint="eastAsia" w:cs="宋体"/>
          <w:szCs w:val="24"/>
        </w:rPr>
        <w:t>“第三章 项目采购需求”</w:t>
      </w:r>
      <w:r>
        <w:rPr>
          <w:rFonts w:hint="eastAsia" w:cs="宋体"/>
          <w:snapToGrid w:val="0"/>
          <w:szCs w:val="24"/>
        </w:rPr>
        <w:t>。</w:t>
      </w:r>
    </w:p>
    <w:p w14:paraId="757FBE31">
      <w:pPr>
        <w:pStyle w:val="25"/>
        <w:adjustRightInd w:val="0"/>
        <w:snapToGrid w:val="0"/>
        <w:ind w:firstLine="480"/>
        <w:rPr>
          <w:rFonts w:hint="eastAsia" w:cs="宋体"/>
          <w:snapToGrid w:val="0"/>
          <w:szCs w:val="24"/>
        </w:rPr>
      </w:pPr>
      <w:r>
        <w:rPr>
          <w:rFonts w:hint="eastAsia" w:cs="宋体"/>
          <w:snapToGrid w:val="0"/>
          <w:szCs w:val="24"/>
        </w:rPr>
        <w:t>46.9数据库政府采购需求标准</w:t>
      </w:r>
    </w:p>
    <w:p w14:paraId="4096E2F1">
      <w:pPr>
        <w:pStyle w:val="25"/>
        <w:adjustRightInd w:val="0"/>
        <w:snapToGrid w:val="0"/>
        <w:ind w:firstLine="480"/>
        <w:rPr>
          <w:rFonts w:hint="eastAsia" w:cs="宋体"/>
          <w:snapToGrid w:val="0"/>
          <w:szCs w:val="24"/>
        </w:rPr>
      </w:pPr>
      <w:r>
        <w:rPr>
          <w:rFonts w:hint="eastAsia" w:cs="宋体"/>
          <w:snapToGrid w:val="0"/>
          <w:szCs w:val="24"/>
        </w:rPr>
        <w:t>为提高数据库政府采购需求管理的科学化、规范化水平，进一步落实政府采购公平竞争原则，优化营商环境，营造良好的产业生态，财政部 工业和信息化部关于印发《数据库政府采购需求标准（2023年版）》的通知（财库〔2023〕35号），本项目如涉及数据库采购，则具体要求见</w:t>
      </w:r>
      <w:r>
        <w:rPr>
          <w:rFonts w:hint="eastAsia" w:cs="宋体"/>
          <w:szCs w:val="24"/>
        </w:rPr>
        <w:t>“第三章 项目采购需求”</w:t>
      </w:r>
      <w:r>
        <w:rPr>
          <w:rFonts w:hint="eastAsia" w:cs="宋体"/>
          <w:snapToGrid w:val="0"/>
          <w:szCs w:val="24"/>
        </w:rPr>
        <w:t>。</w:t>
      </w:r>
    </w:p>
    <w:p w14:paraId="0F23144D">
      <w:pPr>
        <w:pStyle w:val="25"/>
        <w:adjustRightInd w:val="0"/>
        <w:snapToGrid w:val="0"/>
        <w:ind w:firstLine="480"/>
        <w:rPr>
          <w:rFonts w:hint="eastAsia" w:cs="宋体"/>
          <w:snapToGrid w:val="0"/>
          <w:szCs w:val="24"/>
        </w:rPr>
      </w:pPr>
      <w:r>
        <w:rPr>
          <w:rFonts w:hint="eastAsia" w:cs="宋体"/>
          <w:snapToGrid w:val="0"/>
          <w:szCs w:val="24"/>
        </w:rPr>
        <w:t>46.10物业管理服务政府采购需求标准（办公场所类）（试行）</w:t>
      </w:r>
    </w:p>
    <w:p w14:paraId="0169F247">
      <w:pPr>
        <w:pStyle w:val="25"/>
        <w:adjustRightInd w:val="0"/>
        <w:snapToGrid w:val="0"/>
        <w:ind w:firstLine="480"/>
        <w:rPr>
          <w:rFonts w:hint="eastAsia" w:cs="宋体"/>
          <w:snapToGrid w:val="0"/>
          <w:szCs w:val="24"/>
        </w:rPr>
      </w:pPr>
      <w:r>
        <w:rPr>
          <w:rFonts w:hint="eastAsia" w:cs="宋体"/>
          <w:snapToGrid w:val="0"/>
          <w:szCs w:val="24"/>
        </w:rPr>
        <w:t>为贯彻落实中央全面深化改革委员会审议通过的《深化政府采购制度改革方案》有关要求，推动政府采购需求标准建设，财政部办公厅关于印发《物业管理服务政府采购需求标准（办公场所类）（试行）》的通知（财办库〔2024〕113号），本项目如涉及物业管理服务采购，则具体要求见</w:t>
      </w:r>
      <w:r>
        <w:rPr>
          <w:rFonts w:hint="eastAsia" w:cs="宋体"/>
          <w:szCs w:val="24"/>
        </w:rPr>
        <w:t>“第三章 项目采购需求”</w:t>
      </w:r>
      <w:r>
        <w:rPr>
          <w:rFonts w:hint="eastAsia" w:cs="宋体"/>
          <w:snapToGrid w:val="0"/>
          <w:szCs w:val="24"/>
        </w:rPr>
        <w:t>。</w:t>
      </w:r>
    </w:p>
    <w:p w14:paraId="38AF6858">
      <w:pPr>
        <w:pStyle w:val="8"/>
        <w:keepNext w:val="0"/>
        <w:keepLines w:val="0"/>
        <w:adjustRightInd w:val="0"/>
        <w:snapToGrid w:val="0"/>
        <w:spacing w:before="0" w:after="0" w:line="360" w:lineRule="auto"/>
        <w:ind w:left="420" w:hanging="420"/>
        <w:rPr>
          <w:rFonts w:hint="eastAsia" w:cs="宋体"/>
          <w:sz w:val="24"/>
          <w:szCs w:val="24"/>
        </w:rPr>
      </w:pPr>
      <w:bookmarkStart w:id="452" w:name="_Toc339"/>
      <w:bookmarkStart w:id="453" w:name="_Toc14693"/>
      <w:bookmarkStart w:id="454" w:name="_Toc26488"/>
      <w:r>
        <w:rPr>
          <w:rFonts w:hint="eastAsia" w:cs="宋体"/>
          <w:sz w:val="24"/>
          <w:szCs w:val="24"/>
        </w:rPr>
        <w:t>（十四）政府采购合同融资政策</w:t>
      </w:r>
      <w:bookmarkEnd w:id="447"/>
      <w:bookmarkEnd w:id="448"/>
      <w:bookmarkEnd w:id="449"/>
      <w:bookmarkEnd w:id="450"/>
      <w:bookmarkEnd w:id="451"/>
      <w:bookmarkEnd w:id="452"/>
      <w:bookmarkEnd w:id="453"/>
      <w:bookmarkEnd w:id="454"/>
    </w:p>
    <w:p w14:paraId="78CE466D">
      <w:pPr>
        <w:pStyle w:val="9"/>
        <w:keepNext w:val="0"/>
        <w:keepLines w:val="0"/>
        <w:adjustRightInd w:val="0"/>
        <w:snapToGrid w:val="0"/>
        <w:spacing w:before="0" w:after="0" w:line="360" w:lineRule="auto"/>
        <w:ind w:left="420" w:hanging="420"/>
        <w:rPr>
          <w:rFonts w:hint="eastAsia" w:ascii="宋体" w:hAnsi="宋体" w:cs="宋体"/>
          <w:sz w:val="24"/>
          <w:szCs w:val="24"/>
        </w:rPr>
      </w:pPr>
      <w:bookmarkStart w:id="455" w:name="_Toc161600345"/>
      <w:bookmarkStart w:id="456" w:name="_Toc109897476"/>
      <w:r>
        <w:rPr>
          <w:rFonts w:hint="eastAsia" w:ascii="宋体" w:hAnsi="宋体" w:cs="宋体"/>
          <w:sz w:val="24"/>
          <w:szCs w:val="24"/>
        </w:rPr>
        <w:t>47.政府采购合同融资政策</w:t>
      </w:r>
      <w:bookmarkEnd w:id="455"/>
    </w:p>
    <w:p w14:paraId="59269D30">
      <w:pPr>
        <w:pStyle w:val="25"/>
        <w:adjustRightInd w:val="0"/>
        <w:snapToGrid w:val="0"/>
        <w:ind w:firstLine="480"/>
        <w:rPr>
          <w:rFonts w:hint="eastAsia" w:cs="宋体"/>
          <w:szCs w:val="24"/>
        </w:rPr>
      </w:pPr>
      <w:r>
        <w:rPr>
          <w:rFonts w:hint="eastAsia" w:cs="宋体"/>
          <w:szCs w:val="24"/>
        </w:rPr>
        <w:t>47.1政府采购合同融资政策：见供应商须知前附表。</w:t>
      </w:r>
    </w:p>
    <w:p w14:paraId="032E5A3C">
      <w:pPr>
        <w:pStyle w:val="8"/>
        <w:keepNext w:val="0"/>
        <w:keepLines w:val="0"/>
        <w:adjustRightInd w:val="0"/>
        <w:snapToGrid w:val="0"/>
        <w:spacing w:before="0" w:after="0" w:line="360" w:lineRule="auto"/>
        <w:ind w:left="420" w:hanging="420"/>
        <w:rPr>
          <w:rFonts w:hint="eastAsia" w:cs="宋体"/>
          <w:sz w:val="24"/>
          <w:szCs w:val="24"/>
        </w:rPr>
      </w:pPr>
      <w:bookmarkStart w:id="457" w:name="_Toc11635"/>
      <w:bookmarkStart w:id="458" w:name="_Toc29430"/>
      <w:bookmarkStart w:id="459" w:name="_Toc109900413"/>
      <w:bookmarkStart w:id="460" w:name="_Toc163493623"/>
      <w:bookmarkStart w:id="461" w:name="_Toc29816"/>
      <w:bookmarkStart w:id="462" w:name="_Toc109899994"/>
      <w:bookmarkStart w:id="463" w:name="_Toc109899575"/>
      <w:r>
        <w:rPr>
          <w:rFonts w:hint="eastAsia" w:cs="宋体"/>
          <w:sz w:val="24"/>
          <w:szCs w:val="24"/>
        </w:rPr>
        <w:t>（十五）其他</w:t>
      </w:r>
      <w:bookmarkEnd w:id="456"/>
      <w:bookmarkEnd w:id="457"/>
      <w:bookmarkEnd w:id="458"/>
      <w:bookmarkEnd w:id="459"/>
      <w:bookmarkEnd w:id="460"/>
      <w:bookmarkEnd w:id="461"/>
      <w:bookmarkEnd w:id="462"/>
      <w:bookmarkEnd w:id="463"/>
    </w:p>
    <w:p w14:paraId="0C2C4C1A">
      <w:pPr>
        <w:pStyle w:val="9"/>
        <w:keepNext w:val="0"/>
        <w:keepLines w:val="0"/>
        <w:adjustRightInd w:val="0"/>
        <w:snapToGrid w:val="0"/>
        <w:spacing w:before="0" w:after="0" w:line="360" w:lineRule="auto"/>
        <w:ind w:left="420" w:hanging="420"/>
        <w:rPr>
          <w:rFonts w:hint="eastAsia" w:ascii="宋体" w:hAnsi="宋体" w:cs="宋体"/>
          <w:sz w:val="24"/>
          <w:szCs w:val="24"/>
        </w:rPr>
      </w:pPr>
      <w:bookmarkStart w:id="464" w:name="_Toc161600347"/>
      <w:r>
        <w:rPr>
          <w:rFonts w:hint="eastAsia" w:ascii="宋体" w:hAnsi="宋体" w:cs="宋体"/>
          <w:sz w:val="24"/>
          <w:szCs w:val="24"/>
        </w:rPr>
        <w:t>48.需要补充的其他内容</w:t>
      </w:r>
      <w:bookmarkEnd w:id="464"/>
    </w:p>
    <w:p w14:paraId="3957C993">
      <w:pPr>
        <w:pStyle w:val="25"/>
        <w:adjustRightInd w:val="0"/>
        <w:snapToGrid w:val="0"/>
        <w:ind w:firstLine="480"/>
        <w:rPr>
          <w:rFonts w:hint="eastAsia" w:cs="宋体"/>
          <w:szCs w:val="24"/>
        </w:rPr>
      </w:pPr>
      <w:r>
        <w:rPr>
          <w:rFonts w:hint="eastAsia" w:cs="宋体"/>
          <w:szCs w:val="24"/>
        </w:rPr>
        <w:t>48.1需要补充的其他内容：见供应商须知前附表。</w:t>
      </w:r>
    </w:p>
    <w:p w14:paraId="740594BA">
      <w:pPr>
        <w:pStyle w:val="9"/>
        <w:keepNext w:val="0"/>
        <w:keepLines w:val="0"/>
        <w:adjustRightInd w:val="0"/>
        <w:snapToGrid w:val="0"/>
        <w:spacing w:before="0" w:after="0" w:line="360" w:lineRule="auto"/>
        <w:ind w:left="420" w:hanging="420"/>
        <w:rPr>
          <w:rFonts w:hint="eastAsia" w:ascii="宋体" w:hAnsi="宋体" w:cs="宋体"/>
          <w:sz w:val="24"/>
          <w:szCs w:val="24"/>
        </w:rPr>
      </w:pPr>
      <w:bookmarkStart w:id="465" w:name="_Toc109900414"/>
      <w:bookmarkStart w:id="466" w:name="_Toc109899995"/>
      <w:bookmarkStart w:id="467" w:name="_Toc109899576"/>
      <w:bookmarkStart w:id="468" w:name="_Toc109897477"/>
      <w:r>
        <w:rPr>
          <w:rFonts w:hint="eastAsia" w:ascii="宋体" w:hAnsi="宋体" w:cs="宋体"/>
          <w:sz w:val="24"/>
          <w:szCs w:val="24"/>
        </w:rPr>
        <w:t>49.适用法律</w:t>
      </w:r>
      <w:bookmarkEnd w:id="465"/>
      <w:bookmarkEnd w:id="466"/>
      <w:bookmarkEnd w:id="467"/>
      <w:bookmarkEnd w:id="468"/>
    </w:p>
    <w:p w14:paraId="48B6B3FD">
      <w:pPr>
        <w:tabs>
          <w:tab w:val="left" w:pos="426"/>
        </w:tabs>
        <w:autoSpaceDE w:val="0"/>
        <w:autoSpaceDN w:val="0"/>
        <w:adjustRightInd w:val="0"/>
        <w:snapToGrid w:val="0"/>
        <w:ind w:firstLine="480" w:firstLineChars="200"/>
        <w:rPr>
          <w:rFonts w:hint="eastAsia" w:cs="宋体"/>
          <w:snapToGrid w:val="0"/>
          <w:szCs w:val="24"/>
          <w:lang w:val="zh-CN"/>
        </w:rPr>
      </w:pPr>
      <w:r>
        <w:rPr>
          <w:rFonts w:hint="eastAsia" w:cs="宋体"/>
          <w:snapToGrid w:val="0"/>
          <w:szCs w:val="24"/>
          <w:lang w:val="zh-CN"/>
        </w:rPr>
        <w:t>4</w:t>
      </w:r>
      <w:r>
        <w:rPr>
          <w:rFonts w:hint="eastAsia" w:cs="宋体"/>
          <w:snapToGrid w:val="0"/>
          <w:szCs w:val="24"/>
        </w:rPr>
        <w:t>9</w:t>
      </w:r>
      <w:r>
        <w:rPr>
          <w:rFonts w:hint="eastAsia" w:cs="宋体"/>
          <w:snapToGrid w:val="0"/>
          <w:szCs w:val="24"/>
          <w:lang w:val="zh-CN"/>
        </w:rPr>
        <w:t>.1采购人、采购代理机构及供应商的一切采购活动均适用《</w:t>
      </w:r>
      <w:r>
        <w:rPr>
          <w:rFonts w:hint="eastAsia" w:cs="宋体"/>
          <w:snapToGrid w:val="0"/>
          <w:szCs w:val="24"/>
        </w:rPr>
        <w:t>中华人民共和国</w:t>
      </w:r>
      <w:r>
        <w:rPr>
          <w:rFonts w:hint="eastAsia" w:cs="宋体"/>
          <w:snapToGrid w:val="0"/>
          <w:szCs w:val="24"/>
          <w:lang w:val="zh-CN"/>
        </w:rPr>
        <w:t>政府采购法》、《</w:t>
      </w:r>
      <w:r>
        <w:rPr>
          <w:rFonts w:hint="eastAsia" w:cs="宋体"/>
          <w:snapToGrid w:val="0"/>
          <w:szCs w:val="24"/>
        </w:rPr>
        <w:t>中华人民共和国</w:t>
      </w:r>
      <w:r>
        <w:rPr>
          <w:rFonts w:hint="eastAsia" w:cs="宋体"/>
          <w:snapToGrid w:val="0"/>
          <w:szCs w:val="24"/>
          <w:lang w:val="zh-CN"/>
        </w:rPr>
        <w:t>政府采购法实施条例》、</w:t>
      </w:r>
      <w:r>
        <w:rPr>
          <w:rFonts w:hint="eastAsia" w:cs="宋体"/>
          <w:szCs w:val="24"/>
        </w:rPr>
        <w:t>《政府采购竞争性磋商采购方式管理暂行办法》（财库〔2014〕214号）</w:t>
      </w:r>
      <w:r>
        <w:rPr>
          <w:rFonts w:hint="eastAsia" w:cs="宋体"/>
          <w:snapToGrid w:val="0"/>
          <w:szCs w:val="24"/>
          <w:lang w:val="zh-CN"/>
        </w:rPr>
        <w:t>及相关法律法规。</w:t>
      </w:r>
    </w:p>
    <w:p w14:paraId="7EF83039">
      <w:pPr>
        <w:pStyle w:val="25"/>
        <w:adjustRightInd w:val="0"/>
        <w:snapToGrid w:val="0"/>
        <w:ind w:firstLine="480"/>
        <w:rPr>
          <w:rFonts w:hint="eastAsia" w:cs="宋体"/>
          <w:snapToGrid w:val="0"/>
          <w:szCs w:val="24"/>
          <w:lang w:val="zh-CN"/>
        </w:rPr>
      </w:pPr>
      <w:r>
        <w:rPr>
          <w:rFonts w:hint="eastAsia" w:cs="宋体"/>
          <w:snapToGrid w:val="0"/>
          <w:szCs w:val="24"/>
          <w:lang w:val="zh-CN"/>
        </w:rPr>
        <w:t>4</w:t>
      </w:r>
      <w:r>
        <w:rPr>
          <w:rFonts w:hint="eastAsia" w:cs="宋体"/>
          <w:snapToGrid w:val="0"/>
          <w:szCs w:val="24"/>
        </w:rPr>
        <w:t>9</w:t>
      </w:r>
      <w:r>
        <w:rPr>
          <w:rFonts w:hint="eastAsia" w:cs="宋体"/>
          <w:snapToGrid w:val="0"/>
          <w:szCs w:val="24"/>
          <w:lang w:val="zh-CN"/>
        </w:rPr>
        <w:t>.2政府采购合同的履行、违约责任和解决争议的方法等适用《</w:t>
      </w:r>
      <w:r>
        <w:rPr>
          <w:rFonts w:hint="eastAsia" w:cs="宋体"/>
          <w:snapToGrid w:val="0"/>
          <w:szCs w:val="24"/>
        </w:rPr>
        <w:t>中华人民共和国</w:t>
      </w:r>
      <w:r>
        <w:rPr>
          <w:rFonts w:hint="eastAsia" w:cs="宋体"/>
          <w:snapToGrid w:val="0"/>
          <w:szCs w:val="24"/>
          <w:lang w:val="zh-CN"/>
        </w:rPr>
        <w:t>民法典》。</w:t>
      </w:r>
    </w:p>
    <w:p w14:paraId="5A914310">
      <w:pPr>
        <w:pStyle w:val="9"/>
        <w:keepNext w:val="0"/>
        <w:keepLines w:val="0"/>
        <w:adjustRightInd w:val="0"/>
        <w:snapToGrid w:val="0"/>
        <w:spacing w:before="0" w:after="0" w:line="360" w:lineRule="auto"/>
        <w:ind w:left="420" w:hanging="420"/>
        <w:rPr>
          <w:rFonts w:hint="eastAsia" w:ascii="宋体" w:hAnsi="宋体" w:cs="宋体"/>
          <w:sz w:val="24"/>
          <w:szCs w:val="24"/>
        </w:rPr>
      </w:pPr>
      <w:bookmarkStart w:id="469" w:name="_Toc155185887"/>
      <w:bookmarkStart w:id="470" w:name="_Toc161600349"/>
      <w:r>
        <w:rPr>
          <w:rFonts w:hint="eastAsia" w:ascii="宋体" w:hAnsi="宋体" w:cs="宋体"/>
          <w:sz w:val="24"/>
          <w:szCs w:val="24"/>
        </w:rPr>
        <w:t>50.解释权</w:t>
      </w:r>
      <w:bookmarkEnd w:id="469"/>
      <w:bookmarkEnd w:id="470"/>
    </w:p>
    <w:p w14:paraId="02BEF40F">
      <w:pPr>
        <w:pStyle w:val="25"/>
        <w:adjustRightInd w:val="0"/>
        <w:snapToGrid w:val="0"/>
        <w:ind w:firstLine="480"/>
        <w:rPr>
          <w:rFonts w:hint="eastAsia" w:cs="宋体"/>
          <w:snapToGrid w:val="0"/>
          <w:szCs w:val="24"/>
        </w:rPr>
      </w:pPr>
      <w:r>
        <w:rPr>
          <w:rFonts w:hint="eastAsia" w:cs="宋体"/>
          <w:snapToGrid w:val="0"/>
          <w:szCs w:val="24"/>
        </w:rPr>
        <w:t>50.1本竞争性磋商文件最终解释权归采购人或采购代理机构所有。</w:t>
      </w:r>
    </w:p>
    <w:p w14:paraId="787885AB">
      <w:pPr>
        <w:pStyle w:val="25"/>
        <w:adjustRightInd w:val="0"/>
        <w:snapToGrid w:val="0"/>
        <w:ind w:firstLine="480"/>
        <w:rPr>
          <w:rFonts w:hint="eastAsia" w:cs="宋体"/>
          <w:snapToGrid w:val="0"/>
          <w:szCs w:val="24"/>
        </w:rPr>
      </w:pPr>
    </w:p>
    <w:p w14:paraId="39B2275E">
      <w:pPr>
        <w:pStyle w:val="6"/>
        <w:spacing w:before="220" w:after="220" w:line="480" w:lineRule="auto"/>
        <w:ind w:left="420" w:hanging="420"/>
        <w:rPr>
          <w:rFonts w:hint="eastAsia" w:eastAsia="宋体" w:cs="宋体"/>
          <w:sz w:val="36"/>
          <w:szCs w:val="36"/>
          <w:highlight w:val="none"/>
        </w:rPr>
      </w:pPr>
      <w:bookmarkStart w:id="471" w:name="_Toc7438"/>
      <w:r>
        <w:rPr>
          <w:rFonts w:hint="eastAsia" w:eastAsia="宋体" w:cs="宋体"/>
          <w:sz w:val="36"/>
          <w:szCs w:val="36"/>
          <w:highlight w:val="none"/>
        </w:rPr>
        <w:t>第三章 项目采购需求</w:t>
      </w:r>
      <w:bookmarkEnd w:id="471"/>
    </w:p>
    <w:p w14:paraId="74BCECBF">
      <w:pPr>
        <w:pStyle w:val="7"/>
        <w:spacing w:before="0" w:after="0" w:line="560" w:lineRule="exact"/>
        <w:ind w:firstLine="482" w:firstLineChars="200"/>
        <w:rPr>
          <w:rFonts w:hint="eastAsia" w:ascii="宋体" w:hAnsi="宋体" w:cs="宋体"/>
          <w:sz w:val="24"/>
          <w:szCs w:val="24"/>
          <w:highlight w:val="none"/>
        </w:rPr>
      </w:pPr>
      <w:bookmarkStart w:id="472" w:name="_Toc11920"/>
      <w:bookmarkStart w:id="473" w:name="_Toc29178"/>
      <w:bookmarkStart w:id="474" w:name="_Toc163492886"/>
      <w:bookmarkStart w:id="475" w:name="_Toc140132812"/>
      <w:bookmarkStart w:id="476" w:name="_Toc155185889"/>
      <w:r>
        <w:rPr>
          <w:rFonts w:hint="eastAsia" w:ascii="宋体" w:hAnsi="宋体" w:cs="宋体"/>
          <w:sz w:val="24"/>
          <w:szCs w:val="24"/>
          <w:highlight w:val="none"/>
        </w:rPr>
        <w:t>一、采购标的</w:t>
      </w:r>
      <w:bookmarkEnd w:id="472"/>
      <w:bookmarkEnd w:id="473"/>
      <w:r>
        <w:rPr>
          <w:rFonts w:hint="eastAsia" w:ascii="宋体" w:hAnsi="宋体" w:cs="宋体"/>
          <w:sz w:val="24"/>
          <w:szCs w:val="24"/>
          <w:highlight w:val="none"/>
        </w:rPr>
        <w:t xml:space="preserve"> </w:t>
      </w:r>
    </w:p>
    <w:tbl>
      <w:tblPr>
        <w:tblStyle w:val="19"/>
        <w:tblW w:w="94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2"/>
        <w:gridCol w:w="3655"/>
        <w:gridCol w:w="863"/>
        <w:gridCol w:w="975"/>
        <w:gridCol w:w="2532"/>
        <w:gridCol w:w="711"/>
      </w:tblGrid>
      <w:tr w14:paraId="3815C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752" w:type="dxa"/>
            <w:vAlign w:val="center"/>
          </w:tcPr>
          <w:p w14:paraId="73D47E14">
            <w:pPr>
              <w:pStyle w:val="25"/>
              <w:topLinePunct/>
              <w:spacing w:line="560" w:lineRule="exact"/>
              <w:ind w:firstLine="0" w:firstLineChars="0"/>
              <w:jc w:val="center"/>
              <w:rPr>
                <w:rFonts w:hint="eastAsia" w:cs="宋体"/>
                <w:snapToGrid w:val="0"/>
                <w:szCs w:val="24"/>
                <w:highlight w:val="none"/>
              </w:rPr>
            </w:pPr>
            <w:r>
              <w:rPr>
                <w:rFonts w:hint="eastAsia" w:cs="宋体"/>
                <w:snapToGrid w:val="0"/>
                <w:szCs w:val="24"/>
                <w:highlight w:val="none"/>
              </w:rPr>
              <w:t>序号</w:t>
            </w:r>
          </w:p>
        </w:tc>
        <w:tc>
          <w:tcPr>
            <w:tcW w:w="3655" w:type="dxa"/>
            <w:vAlign w:val="center"/>
          </w:tcPr>
          <w:p w14:paraId="12631D7D">
            <w:pPr>
              <w:widowControl/>
              <w:wordWrap w:val="0"/>
              <w:topLinePunct/>
              <w:spacing w:line="560" w:lineRule="exact"/>
              <w:jc w:val="center"/>
              <w:rPr>
                <w:rFonts w:hint="eastAsia" w:cs="宋体"/>
                <w:kern w:val="0"/>
                <w:szCs w:val="24"/>
                <w:highlight w:val="none"/>
              </w:rPr>
            </w:pPr>
            <w:r>
              <w:rPr>
                <w:rFonts w:hint="eastAsia" w:cs="宋体"/>
                <w:kern w:val="0"/>
                <w:szCs w:val="24"/>
                <w:highlight w:val="none"/>
              </w:rPr>
              <w:t>标的名称</w:t>
            </w:r>
          </w:p>
        </w:tc>
        <w:tc>
          <w:tcPr>
            <w:tcW w:w="863" w:type="dxa"/>
            <w:vAlign w:val="center"/>
          </w:tcPr>
          <w:p w14:paraId="76CF6042">
            <w:pPr>
              <w:pStyle w:val="25"/>
              <w:topLinePunct/>
              <w:spacing w:line="560" w:lineRule="exact"/>
              <w:ind w:firstLine="0" w:firstLineChars="0"/>
              <w:jc w:val="center"/>
              <w:rPr>
                <w:rFonts w:hint="eastAsia" w:cs="宋体"/>
                <w:snapToGrid w:val="0"/>
                <w:szCs w:val="24"/>
                <w:highlight w:val="none"/>
              </w:rPr>
            </w:pPr>
            <w:r>
              <w:rPr>
                <w:rFonts w:hint="eastAsia" w:cs="宋体"/>
                <w:snapToGrid w:val="0"/>
                <w:szCs w:val="24"/>
                <w:highlight w:val="none"/>
              </w:rPr>
              <w:t>单位</w:t>
            </w:r>
          </w:p>
        </w:tc>
        <w:tc>
          <w:tcPr>
            <w:tcW w:w="975" w:type="dxa"/>
            <w:vAlign w:val="center"/>
          </w:tcPr>
          <w:p w14:paraId="17A27D81">
            <w:pPr>
              <w:pStyle w:val="25"/>
              <w:topLinePunct/>
              <w:spacing w:line="560" w:lineRule="exact"/>
              <w:ind w:firstLine="0" w:firstLineChars="0"/>
              <w:jc w:val="both"/>
              <w:rPr>
                <w:rFonts w:hint="eastAsia" w:cs="宋体"/>
                <w:snapToGrid w:val="0"/>
                <w:szCs w:val="24"/>
                <w:highlight w:val="none"/>
              </w:rPr>
            </w:pPr>
            <w:r>
              <w:rPr>
                <w:rFonts w:hint="eastAsia" w:cs="宋体"/>
                <w:snapToGrid w:val="0"/>
                <w:szCs w:val="24"/>
                <w:highlight w:val="none"/>
              </w:rPr>
              <w:t>数量</w:t>
            </w:r>
          </w:p>
        </w:tc>
        <w:tc>
          <w:tcPr>
            <w:tcW w:w="2532" w:type="dxa"/>
            <w:vAlign w:val="center"/>
          </w:tcPr>
          <w:p w14:paraId="0ED05FD3">
            <w:pPr>
              <w:pStyle w:val="25"/>
              <w:topLinePunct/>
              <w:spacing w:line="560" w:lineRule="exact"/>
              <w:ind w:firstLine="0" w:firstLineChars="0"/>
              <w:jc w:val="center"/>
              <w:rPr>
                <w:rFonts w:hint="eastAsia" w:cs="宋体"/>
                <w:snapToGrid w:val="0"/>
                <w:szCs w:val="24"/>
                <w:highlight w:val="none"/>
              </w:rPr>
            </w:pPr>
            <w:r>
              <w:rPr>
                <w:rFonts w:hint="eastAsia" w:cs="宋体"/>
                <w:snapToGrid w:val="0"/>
                <w:szCs w:val="24"/>
                <w:highlight w:val="none"/>
              </w:rPr>
              <w:t>预算金额/最高限价（元）</w:t>
            </w:r>
          </w:p>
        </w:tc>
        <w:tc>
          <w:tcPr>
            <w:tcW w:w="711" w:type="dxa"/>
            <w:vAlign w:val="center"/>
          </w:tcPr>
          <w:p w14:paraId="32A32FFC">
            <w:pPr>
              <w:pStyle w:val="25"/>
              <w:topLinePunct/>
              <w:spacing w:line="560" w:lineRule="exact"/>
              <w:ind w:firstLine="0" w:firstLineChars="0"/>
              <w:jc w:val="both"/>
              <w:rPr>
                <w:rFonts w:hint="eastAsia" w:cs="宋体"/>
                <w:snapToGrid w:val="0"/>
                <w:szCs w:val="24"/>
                <w:highlight w:val="none"/>
              </w:rPr>
            </w:pPr>
            <w:r>
              <w:rPr>
                <w:rFonts w:hint="eastAsia" w:cs="宋体"/>
                <w:snapToGrid w:val="0"/>
                <w:szCs w:val="24"/>
                <w:highlight w:val="none"/>
              </w:rPr>
              <w:t>备注</w:t>
            </w:r>
          </w:p>
        </w:tc>
      </w:tr>
      <w:tr w14:paraId="4F2DA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752" w:type="dxa"/>
            <w:vAlign w:val="center"/>
          </w:tcPr>
          <w:p w14:paraId="7823B746">
            <w:pPr>
              <w:widowControl/>
              <w:wordWrap w:val="0"/>
              <w:topLinePunct/>
              <w:spacing w:line="560" w:lineRule="exact"/>
              <w:jc w:val="center"/>
              <w:rPr>
                <w:rFonts w:hint="eastAsia" w:cs="宋体"/>
                <w:kern w:val="0"/>
                <w:szCs w:val="24"/>
                <w:highlight w:val="none"/>
              </w:rPr>
            </w:pPr>
            <w:r>
              <w:rPr>
                <w:rFonts w:hint="eastAsia" w:cs="宋体"/>
                <w:kern w:val="0"/>
                <w:szCs w:val="24"/>
                <w:highlight w:val="none"/>
              </w:rPr>
              <w:t>1</w:t>
            </w:r>
          </w:p>
        </w:tc>
        <w:tc>
          <w:tcPr>
            <w:tcW w:w="3655" w:type="dxa"/>
            <w:vAlign w:val="center"/>
          </w:tcPr>
          <w:p w14:paraId="491DFF75">
            <w:pPr>
              <w:widowControl/>
              <w:wordWrap w:val="0"/>
              <w:topLinePunct/>
              <w:spacing w:line="560" w:lineRule="exact"/>
              <w:jc w:val="center"/>
              <w:textAlignment w:val="center"/>
              <w:rPr>
                <w:rFonts w:hint="eastAsia" w:cs="宋体"/>
                <w:kern w:val="0"/>
                <w:szCs w:val="24"/>
                <w:highlight w:val="none"/>
              </w:rPr>
            </w:pPr>
            <w:r>
              <w:rPr>
                <w:rFonts w:hint="eastAsia" w:cs="宋体"/>
                <w:kern w:val="0"/>
                <w:szCs w:val="24"/>
                <w:highlight w:val="none"/>
              </w:rPr>
              <w:t>关于自治区财政支持南疆城市更新试点行动的可行性研究项目</w:t>
            </w:r>
          </w:p>
        </w:tc>
        <w:tc>
          <w:tcPr>
            <w:tcW w:w="863" w:type="dxa"/>
            <w:vAlign w:val="center"/>
          </w:tcPr>
          <w:p w14:paraId="17971D27">
            <w:pPr>
              <w:widowControl/>
              <w:wordWrap w:val="0"/>
              <w:topLinePunct/>
              <w:spacing w:line="560" w:lineRule="exact"/>
              <w:jc w:val="center"/>
              <w:textAlignment w:val="center"/>
              <w:rPr>
                <w:rFonts w:hint="eastAsia" w:cs="宋体"/>
                <w:snapToGrid w:val="0"/>
                <w:szCs w:val="24"/>
                <w:highlight w:val="none"/>
              </w:rPr>
            </w:pPr>
            <w:r>
              <w:rPr>
                <w:rFonts w:hint="eastAsia" w:cs="宋体"/>
                <w:snapToGrid w:val="0"/>
                <w:szCs w:val="24"/>
                <w:highlight w:val="none"/>
              </w:rPr>
              <w:t>项</w:t>
            </w:r>
          </w:p>
        </w:tc>
        <w:tc>
          <w:tcPr>
            <w:tcW w:w="975" w:type="dxa"/>
            <w:vAlign w:val="center"/>
          </w:tcPr>
          <w:p w14:paraId="7620C460">
            <w:pPr>
              <w:widowControl/>
              <w:wordWrap w:val="0"/>
              <w:topLinePunct/>
              <w:spacing w:line="560" w:lineRule="exact"/>
              <w:jc w:val="center"/>
              <w:textAlignment w:val="center"/>
              <w:rPr>
                <w:rFonts w:hint="eastAsia" w:cs="宋体"/>
                <w:snapToGrid w:val="0"/>
                <w:szCs w:val="24"/>
                <w:highlight w:val="none"/>
              </w:rPr>
            </w:pPr>
            <w:r>
              <w:rPr>
                <w:rFonts w:hint="eastAsia" w:cs="宋体"/>
                <w:snapToGrid w:val="0"/>
                <w:szCs w:val="24"/>
                <w:highlight w:val="none"/>
              </w:rPr>
              <w:t>1</w:t>
            </w:r>
          </w:p>
        </w:tc>
        <w:tc>
          <w:tcPr>
            <w:tcW w:w="2532" w:type="dxa"/>
            <w:vAlign w:val="center"/>
          </w:tcPr>
          <w:p w14:paraId="3D69616B">
            <w:pPr>
              <w:widowControl/>
              <w:wordWrap w:val="0"/>
              <w:topLinePunct/>
              <w:spacing w:line="560" w:lineRule="exact"/>
              <w:jc w:val="center"/>
              <w:textAlignment w:val="center"/>
              <w:rPr>
                <w:rFonts w:hint="eastAsia" w:cs="宋体"/>
                <w:kern w:val="0"/>
                <w:szCs w:val="24"/>
                <w:highlight w:val="none"/>
              </w:rPr>
            </w:pPr>
            <w:r>
              <w:rPr>
                <w:rFonts w:hint="eastAsia" w:cs="宋体"/>
                <w:kern w:val="0"/>
                <w:szCs w:val="24"/>
                <w:highlight w:val="none"/>
              </w:rPr>
              <w:t>110000.00元</w:t>
            </w:r>
          </w:p>
        </w:tc>
        <w:tc>
          <w:tcPr>
            <w:tcW w:w="711" w:type="dxa"/>
            <w:vAlign w:val="center"/>
          </w:tcPr>
          <w:p w14:paraId="33DC1A24">
            <w:pPr>
              <w:widowControl/>
              <w:wordWrap w:val="0"/>
              <w:topLinePunct/>
              <w:spacing w:line="560" w:lineRule="exact"/>
              <w:jc w:val="center"/>
              <w:textAlignment w:val="center"/>
              <w:rPr>
                <w:rFonts w:hint="eastAsia" w:cs="宋体"/>
                <w:kern w:val="0"/>
                <w:szCs w:val="24"/>
                <w:highlight w:val="none"/>
                <w:lang w:bidi="ar"/>
              </w:rPr>
            </w:pPr>
          </w:p>
        </w:tc>
      </w:tr>
    </w:tbl>
    <w:p w14:paraId="6D523F8D">
      <w:pPr>
        <w:pStyle w:val="7"/>
        <w:spacing w:before="0" w:after="0" w:line="560" w:lineRule="exact"/>
        <w:ind w:firstLine="482" w:firstLineChars="200"/>
        <w:rPr>
          <w:rFonts w:hint="eastAsia" w:ascii="宋体" w:hAnsi="宋体" w:cs="宋体"/>
          <w:sz w:val="24"/>
          <w:szCs w:val="24"/>
          <w:highlight w:val="none"/>
        </w:rPr>
      </w:pPr>
      <w:bookmarkStart w:id="477" w:name="_Toc17642"/>
      <w:bookmarkStart w:id="478" w:name="_Toc18674"/>
      <w:r>
        <w:rPr>
          <w:rFonts w:hint="eastAsia" w:ascii="宋体" w:hAnsi="宋体" w:cs="宋体"/>
          <w:sz w:val="24"/>
          <w:szCs w:val="24"/>
          <w:highlight w:val="none"/>
        </w:rPr>
        <w:t>二、商务要求</w:t>
      </w:r>
      <w:bookmarkEnd w:id="477"/>
      <w:bookmarkEnd w:id="478"/>
    </w:p>
    <w:p w14:paraId="395092DD">
      <w:pPr>
        <w:pStyle w:val="25"/>
        <w:spacing w:line="560" w:lineRule="exact"/>
        <w:ind w:firstLine="480"/>
        <w:rPr>
          <w:rFonts w:hint="eastAsia" w:cs="宋体"/>
          <w:snapToGrid w:val="0"/>
          <w:szCs w:val="24"/>
          <w:highlight w:val="none"/>
        </w:rPr>
      </w:pPr>
      <w:r>
        <w:rPr>
          <w:rFonts w:hint="eastAsia" w:cs="宋体"/>
          <w:snapToGrid w:val="0"/>
          <w:szCs w:val="24"/>
          <w:highlight w:val="none"/>
        </w:rPr>
        <w:t>1.服务期限：2026年</w:t>
      </w:r>
      <w:r>
        <w:rPr>
          <w:rFonts w:hint="eastAsia" w:cs="宋体"/>
          <w:snapToGrid w:val="0"/>
          <w:szCs w:val="24"/>
          <w:highlight w:val="none"/>
          <w:lang w:val="en-US" w:eastAsia="zh-CN"/>
        </w:rPr>
        <w:t>10</w:t>
      </w:r>
      <w:r>
        <w:rPr>
          <w:rFonts w:hint="eastAsia" w:cs="宋体"/>
          <w:snapToGrid w:val="0"/>
          <w:szCs w:val="24"/>
          <w:highlight w:val="none"/>
        </w:rPr>
        <w:t>月</w:t>
      </w:r>
      <w:r>
        <w:rPr>
          <w:rFonts w:hint="eastAsia" w:cs="宋体"/>
          <w:snapToGrid w:val="0"/>
          <w:szCs w:val="24"/>
          <w:highlight w:val="none"/>
          <w:lang w:val="en-US" w:eastAsia="zh-CN"/>
        </w:rPr>
        <w:t>31</w:t>
      </w:r>
      <w:r>
        <w:rPr>
          <w:rFonts w:hint="eastAsia" w:cs="宋体"/>
          <w:snapToGrid w:val="0"/>
          <w:szCs w:val="24"/>
          <w:highlight w:val="none"/>
        </w:rPr>
        <w:t>日前按甲方要求完成全部工作内容。</w:t>
      </w:r>
    </w:p>
    <w:p w14:paraId="053D4F60">
      <w:pPr>
        <w:pStyle w:val="25"/>
        <w:spacing w:line="560" w:lineRule="exact"/>
        <w:ind w:firstLine="480"/>
        <w:rPr>
          <w:rFonts w:hint="eastAsia" w:cs="宋体"/>
          <w:snapToGrid w:val="0"/>
          <w:szCs w:val="24"/>
          <w:highlight w:val="none"/>
        </w:rPr>
      </w:pPr>
      <w:r>
        <w:rPr>
          <w:rFonts w:hint="eastAsia" w:cs="宋体"/>
          <w:snapToGrid w:val="0"/>
          <w:szCs w:val="24"/>
          <w:highlight w:val="none"/>
        </w:rPr>
        <w:t>2.付款方式：</w:t>
      </w:r>
    </w:p>
    <w:p w14:paraId="418628B4">
      <w:pPr>
        <w:pStyle w:val="25"/>
        <w:spacing w:line="560" w:lineRule="exact"/>
        <w:ind w:firstLine="480"/>
        <w:rPr>
          <w:rFonts w:hint="eastAsia" w:cs="宋体"/>
          <w:snapToGrid w:val="0"/>
          <w:szCs w:val="24"/>
          <w:highlight w:val="none"/>
        </w:rPr>
      </w:pPr>
      <w:r>
        <w:rPr>
          <w:rFonts w:hint="eastAsia" w:cs="宋体"/>
          <w:snapToGrid w:val="0"/>
          <w:szCs w:val="24"/>
          <w:highlight w:val="none"/>
        </w:rPr>
        <w:t>（1）合同签订后三十个工作日内，采购人向供应商支付合同金额的70%；</w:t>
      </w:r>
    </w:p>
    <w:p w14:paraId="34C590D6">
      <w:pPr>
        <w:pStyle w:val="25"/>
        <w:spacing w:line="560" w:lineRule="exact"/>
        <w:ind w:firstLine="480"/>
        <w:rPr>
          <w:rFonts w:hint="eastAsia" w:cs="宋体"/>
          <w:snapToGrid w:val="0"/>
          <w:szCs w:val="24"/>
          <w:highlight w:val="none"/>
        </w:rPr>
      </w:pPr>
      <w:r>
        <w:rPr>
          <w:rFonts w:hint="eastAsia" w:cs="宋体"/>
          <w:snapToGrid w:val="0"/>
          <w:szCs w:val="24"/>
          <w:highlight w:val="none"/>
        </w:rPr>
        <w:t>（2）在供应商提交最终成果后十个工作日内，采购人向供应商支付合同金额的30%。</w:t>
      </w:r>
    </w:p>
    <w:p w14:paraId="3F90EB44">
      <w:pPr>
        <w:pStyle w:val="7"/>
        <w:spacing w:before="0" w:after="0" w:line="560" w:lineRule="exact"/>
        <w:ind w:firstLine="482" w:firstLineChars="200"/>
        <w:rPr>
          <w:rFonts w:hint="eastAsia" w:ascii="宋体" w:hAnsi="宋体" w:cs="宋体"/>
          <w:sz w:val="24"/>
          <w:szCs w:val="24"/>
          <w:highlight w:val="none"/>
        </w:rPr>
      </w:pPr>
      <w:bookmarkStart w:id="479" w:name="_Toc16384"/>
      <w:bookmarkStart w:id="480" w:name="_Toc29321"/>
      <w:r>
        <w:rPr>
          <w:rFonts w:hint="eastAsia" w:ascii="宋体" w:hAnsi="宋体" w:cs="宋体"/>
          <w:sz w:val="24"/>
          <w:szCs w:val="24"/>
          <w:highlight w:val="none"/>
        </w:rPr>
        <w:t>三、技术要求</w:t>
      </w:r>
      <w:bookmarkEnd w:id="479"/>
      <w:bookmarkEnd w:id="480"/>
      <w:r>
        <w:rPr>
          <w:rFonts w:hint="eastAsia" w:ascii="宋体" w:hAnsi="宋体" w:cs="宋体"/>
          <w:sz w:val="24"/>
          <w:szCs w:val="24"/>
          <w:highlight w:val="none"/>
        </w:rPr>
        <w:t xml:space="preserve"> </w:t>
      </w:r>
    </w:p>
    <w:p w14:paraId="67845AE8">
      <w:pPr>
        <w:spacing w:line="440" w:lineRule="exact"/>
        <w:ind w:firstLine="480" w:firstLineChars="200"/>
        <w:rPr>
          <w:rFonts w:hint="eastAsia" w:cs="宋体"/>
          <w:szCs w:val="24"/>
          <w:highlight w:val="none"/>
        </w:rPr>
      </w:pPr>
      <w:r>
        <w:rPr>
          <w:rFonts w:hint="eastAsia" w:cs="宋体"/>
          <w:szCs w:val="24"/>
          <w:highlight w:val="none"/>
        </w:rPr>
        <w:t>为全面贯彻党的二十大和二十届历次全会精神，深入贯彻习近平总书记关于城市工作的重要论述，全面贯彻落实习近平总书记视察新疆作出的重要讲话和重要指示精神以及出席自治区成立70周年庆祝活动期间作出的重要讲话和重要指示精神，贯彻王沪宁同志关于新疆城市规划建设的指示要求，完整准确全面贯彻新时代党的治疆方略，坚持把铸牢中华民族共同体意识贯穿城市工作全过程，按照自治区领导安排和自治区城市更新工作要求，现拟开展自关于自治区财政支持南疆城市更新行动的可行性研究，编制研究报告。</w:t>
      </w:r>
    </w:p>
    <w:p w14:paraId="170C6093">
      <w:pPr>
        <w:spacing w:line="440" w:lineRule="exact"/>
        <w:ind w:firstLine="480" w:firstLineChars="200"/>
        <w:rPr>
          <w:rFonts w:hint="eastAsia" w:cs="宋体"/>
          <w:szCs w:val="24"/>
          <w:highlight w:val="none"/>
        </w:rPr>
      </w:pPr>
      <w:r>
        <w:rPr>
          <w:rFonts w:hint="eastAsia" w:cs="宋体"/>
          <w:szCs w:val="24"/>
          <w:highlight w:val="none"/>
        </w:rPr>
        <w:t>一、研究背景和必要性</w:t>
      </w:r>
    </w:p>
    <w:p w14:paraId="088AA754">
      <w:pPr>
        <w:spacing w:line="440" w:lineRule="exact"/>
        <w:ind w:firstLine="480" w:firstLineChars="200"/>
        <w:rPr>
          <w:rFonts w:hint="eastAsia" w:cs="宋体"/>
          <w:szCs w:val="24"/>
          <w:highlight w:val="none"/>
          <w:lang w:eastAsia="zh-Hans" w:bidi="ar"/>
        </w:rPr>
      </w:pPr>
      <w:r>
        <w:rPr>
          <w:rFonts w:hint="eastAsia" w:cs="宋体"/>
          <w:szCs w:val="24"/>
          <w:highlight w:val="none"/>
        </w:rPr>
        <w:t>（一）工作背景</w:t>
      </w:r>
    </w:p>
    <w:p w14:paraId="612F1DED">
      <w:pPr>
        <w:spacing w:line="440" w:lineRule="exact"/>
        <w:ind w:firstLine="482" w:firstLineChars="200"/>
        <w:rPr>
          <w:rFonts w:hint="eastAsia" w:cs="宋体"/>
          <w:szCs w:val="24"/>
          <w:highlight w:val="none"/>
        </w:rPr>
      </w:pPr>
      <w:r>
        <w:rPr>
          <w:rFonts w:hint="eastAsia" w:cs="宋体"/>
          <w:b/>
          <w:szCs w:val="24"/>
          <w:highlight w:val="none"/>
        </w:rPr>
        <w:t>国家层面高度重视南疆工作，明确工作部署要求。</w:t>
      </w:r>
      <w:r>
        <w:rPr>
          <w:rFonts w:hint="eastAsia" w:cs="宋体"/>
          <w:szCs w:val="24"/>
          <w:highlight w:val="none"/>
        </w:rPr>
        <w:t>中央领导王沪宁同志多次莅临新疆调研，就城市高质量发展规划建设作出重要指示，特别是在南疆调研时强调“要注意集约式发展，要有市中心的概念”。2025年5月，中共中央办公厅、国务院办公厅印发《关于持续推进城市更新行动的意见》，明确提出了8项主要任务和6项支撑保障举措。</w:t>
      </w:r>
      <w:r>
        <w:rPr>
          <w:rFonts w:hint="eastAsia" w:cs="宋体"/>
          <w:color w:val="000000"/>
          <w:szCs w:val="24"/>
          <w:highlight w:val="none"/>
        </w:rPr>
        <w:t>2025年6月，中央城市工作会议明确提出“建设创新、宜居、美丽、韧性、文明、智慧的现代化人民城市”。</w:t>
      </w:r>
      <w:r>
        <w:rPr>
          <w:rFonts w:hint="eastAsia" w:cs="宋体"/>
          <w:szCs w:val="24"/>
          <w:highlight w:val="none"/>
        </w:rPr>
        <w:t>2025年7月，第十次全国对口支援新疆工作会议强调“要更加注重在解决南疆突出问题上聚焦发力，巩固拓展南疆脱贫攻坚成果，推动南疆经济社会发展和长治久安”。因此，国家层面围绕推动南疆高质量发展，进行了一系列顶层设计和战略部署，擘画了清晰的任务书和路线图。</w:t>
      </w:r>
    </w:p>
    <w:p w14:paraId="1BA7597C">
      <w:pPr>
        <w:spacing w:line="440" w:lineRule="exact"/>
        <w:ind w:firstLine="482" w:firstLineChars="200"/>
        <w:rPr>
          <w:rFonts w:hint="eastAsia" w:cs="宋体"/>
          <w:szCs w:val="24"/>
          <w:highlight w:val="none"/>
        </w:rPr>
      </w:pPr>
      <w:r>
        <w:rPr>
          <w:rFonts w:hint="eastAsia" w:cs="宋体"/>
          <w:b/>
          <w:bCs/>
          <w:szCs w:val="24"/>
          <w:highlight w:val="none"/>
        </w:rPr>
        <w:t>自治区层面迅速响应，出台系列精准务实举措。</w:t>
      </w:r>
      <w:r>
        <w:rPr>
          <w:rFonts w:hint="eastAsia" w:cs="宋体"/>
          <w:szCs w:val="24"/>
          <w:highlight w:val="none"/>
        </w:rPr>
        <w:t>2025年8月，自治区党委城市工作会议召开，明确将推进城市更新作为重要抓手，推动自治区城市高质量发展。2025年10月，自治区出台《关于进一步推动城市高质量发展的实施意见》，强调“下大力气推进南疆城镇化建设”“高质量开展城市更新”，并研究制定《自治区推进城市更新行动工作方案》，部署了12项任务和8项保障举措，为开展城市更新行动提供了操作指南。</w:t>
      </w:r>
    </w:p>
    <w:p w14:paraId="2D601E2B">
      <w:pPr>
        <w:spacing w:line="440" w:lineRule="exact"/>
        <w:ind w:firstLine="480" w:firstLineChars="200"/>
        <w:rPr>
          <w:rFonts w:hint="eastAsia" w:cs="宋体"/>
          <w:szCs w:val="24"/>
          <w:highlight w:val="none"/>
          <w:lang w:bidi="ar"/>
        </w:rPr>
      </w:pPr>
      <w:r>
        <w:rPr>
          <w:rFonts w:hint="eastAsia" w:cs="宋体"/>
          <w:szCs w:val="24"/>
          <w:highlight w:val="none"/>
          <w:lang w:bidi="ar"/>
        </w:rPr>
        <w:t>（二）研究的必要性</w:t>
      </w:r>
    </w:p>
    <w:p w14:paraId="4213D2B9">
      <w:pPr>
        <w:spacing w:line="440" w:lineRule="exact"/>
        <w:ind w:firstLine="480" w:firstLineChars="200"/>
        <w:rPr>
          <w:rFonts w:hint="eastAsia" w:cs="宋体"/>
          <w:szCs w:val="24"/>
          <w:highlight w:val="none"/>
        </w:rPr>
      </w:pPr>
      <w:r>
        <w:rPr>
          <w:rFonts w:hint="eastAsia" w:cs="宋体"/>
          <w:szCs w:val="24"/>
          <w:highlight w:val="none"/>
        </w:rPr>
        <w:t>为落实国家和自治区系列部署安排和工作要求，加快释放南疆对新疆社会稳定和长治久安的特殊作用，积极优化南疆城镇布局，按照中央和自治区党委城市工作会议提出的</w:t>
      </w:r>
      <w:r>
        <w:rPr>
          <w:rFonts w:hint="eastAsia" w:cs="宋体"/>
          <w:b/>
          <w:szCs w:val="24"/>
          <w:highlight w:val="none"/>
        </w:rPr>
        <w:t>“以推进城市更新为重要抓手”“以现代化人民城市为目标”</w:t>
      </w:r>
      <w:r>
        <w:rPr>
          <w:rFonts w:hint="eastAsia" w:cs="宋体"/>
          <w:szCs w:val="24"/>
          <w:highlight w:val="none"/>
        </w:rPr>
        <w:t>要求，拟通过开展《研究报告》编制，加强对南疆设市城市和县城的城市更新支持力度，</w:t>
      </w:r>
      <w:r>
        <w:rPr>
          <w:rFonts w:hint="eastAsia" w:cs="宋体"/>
          <w:b/>
          <w:szCs w:val="24"/>
          <w:highlight w:val="none"/>
        </w:rPr>
        <w:t>进一步</w:t>
      </w:r>
      <w:r>
        <w:rPr>
          <w:rFonts w:hint="eastAsia" w:cs="宋体"/>
          <w:szCs w:val="24"/>
          <w:highlight w:val="none"/>
        </w:rPr>
        <w:t>优化南疆人口结构，促进各民族交往交流交融，构建互嵌入式社会结构和社区环境；</w:t>
      </w:r>
      <w:r>
        <w:rPr>
          <w:rFonts w:hint="eastAsia" w:cs="宋体"/>
          <w:b/>
          <w:szCs w:val="24"/>
          <w:highlight w:val="none"/>
        </w:rPr>
        <w:t>进一步</w:t>
      </w:r>
      <w:r>
        <w:rPr>
          <w:rFonts w:hint="eastAsia" w:cs="宋体"/>
          <w:szCs w:val="24"/>
          <w:highlight w:val="none"/>
        </w:rPr>
        <w:t>增强南疆城镇发展活力，培育建设城市市中心，增强高质量发展水平；</w:t>
      </w:r>
      <w:r>
        <w:rPr>
          <w:rFonts w:hint="eastAsia" w:cs="宋体"/>
          <w:b/>
          <w:szCs w:val="24"/>
          <w:highlight w:val="none"/>
        </w:rPr>
        <w:t>进一步</w:t>
      </w:r>
      <w:r>
        <w:rPr>
          <w:rFonts w:hint="eastAsia" w:cs="宋体"/>
          <w:szCs w:val="24"/>
          <w:highlight w:val="none"/>
        </w:rPr>
        <w:t>保障改善南疆民生，增强城市对人口的综合承载力和吸引力，加快南疆现代文明发展进程。</w:t>
      </w:r>
    </w:p>
    <w:p w14:paraId="463E8BFA">
      <w:pPr>
        <w:spacing w:line="440" w:lineRule="exact"/>
        <w:ind w:firstLine="480" w:firstLineChars="200"/>
        <w:rPr>
          <w:rFonts w:hint="eastAsia" w:cs="宋体"/>
          <w:szCs w:val="24"/>
          <w:highlight w:val="none"/>
        </w:rPr>
      </w:pPr>
      <w:r>
        <w:rPr>
          <w:rFonts w:hint="eastAsia" w:cs="宋体"/>
          <w:szCs w:val="24"/>
          <w:highlight w:val="none"/>
        </w:rPr>
        <w:t>二、编制内容</w:t>
      </w:r>
    </w:p>
    <w:p w14:paraId="4DFE910A">
      <w:pPr>
        <w:spacing w:line="440" w:lineRule="exact"/>
        <w:ind w:firstLine="480" w:firstLineChars="200"/>
        <w:rPr>
          <w:rFonts w:hint="eastAsia" w:cs="宋体"/>
          <w:szCs w:val="24"/>
          <w:highlight w:val="none"/>
        </w:rPr>
      </w:pPr>
      <w:r>
        <w:rPr>
          <w:rFonts w:hint="eastAsia" w:cs="宋体"/>
          <w:szCs w:val="24"/>
          <w:highlight w:val="none"/>
        </w:rPr>
        <w:t>聚焦南疆城镇建设实际以及城市更新紧迫需求，依托各地体检成果，初步考虑《研究报告》拟以“南疆地区基本概况、推进南疆城市更新行动的必要性、国家和相关省份财政支持城市更新试点的经验做法、开展南疆城市更新试点的可行性分析、支持南疆城市更新的政策建议”五大部分内容为重点，开展可行性研究工作，撰写研究报告。</w:t>
      </w:r>
    </w:p>
    <w:p w14:paraId="2AAC5FCF">
      <w:pPr>
        <w:spacing w:line="440" w:lineRule="exact"/>
        <w:ind w:firstLine="482" w:firstLineChars="200"/>
        <w:rPr>
          <w:rFonts w:hint="eastAsia" w:cs="宋体"/>
          <w:szCs w:val="24"/>
          <w:highlight w:val="none"/>
        </w:rPr>
      </w:pPr>
      <w:r>
        <w:rPr>
          <w:rFonts w:hint="eastAsia" w:cs="宋体"/>
          <w:b/>
          <w:bCs/>
          <w:szCs w:val="24"/>
          <w:highlight w:val="none"/>
        </w:rPr>
        <w:t>第一部分：研究分析南疆地区基本概况。</w:t>
      </w:r>
      <w:r>
        <w:rPr>
          <w:rFonts w:hint="eastAsia" w:cs="宋体"/>
          <w:szCs w:val="24"/>
          <w:highlight w:val="none"/>
        </w:rPr>
        <w:t>分析南疆区域地位与边境安全，人口规模与结构，城镇建设与城镇化水平，历史文化与城市特色等方面的现状情况。</w:t>
      </w:r>
    </w:p>
    <w:p w14:paraId="75601375">
      <w:pPr>
        <w:spacing w:line="440" w:lineRule="exact"/>
        <w:ind w:firstLine="482" w:firstLineChars="200"/>
        <w:rPr>
          <w:rFonts w:hint="eastAsia" w:cs="宋体"/>
          <w:szCs w:val="24"/>
          <w:highlight w:val="none"/>
        </w:rPr>
      </w:pPr>
      <w:r>
        <w:rPr>
          <w:rFonts w:hint="eastAsia" w:cs="宋体"/>
          <w:b/>
          <w:bCs/>
          <w:szCs w:val="24"/>
          <w:highlight w:val="none"/>
        </w:rPr>
        <w:t>第二部分：深入分析推进南疆城市更新试点的必要性。</w:t>
      </w:r>
      <w:r>
        <w:rPr>
          <w:rFonts w:hint="eastAsia" w:cs="宋体"/>
          <w:szCs w:val="24"/>
          <w:highlight w:val="none"/>
        </w:rPr>
        <w:t xml:space="preserve">南疆在新疆乃至国家战略全局中地位重要、作用特殊，要找准支持南疆城市更新试点的着力点和聚焦点。一是基于推进南疆新型城镇化的需要，以城市更新为抓手，加快补齐城市发展短板。二是推动南疆高质量发展的需要，依托城市更新着力建设现代化城市中心。三是探索南疆城市更新路径的需要，以自治区财政支持的方式，破解目前各地资金和政策瓶颈。 </w:t>
      </w:r>
    </w:p>
    <w:p w14:paraId="456296BE">
      <w:pPr>
        <w:spacing w:line="440" w:lineRule="exact"/>
        <w:ind w:firstLine="482" w:firstLineChars="200"/>
        <w:rPr>
          <w:rFonts w:hint="eastAsia" w:cs="宋体"/>
          <w:szCs w:val="24"/>
          <w:highlight w:val="none"/>
        </w:rPr>
      </w:pPr>
      <w:r>
        <w:rPr>
          <w:rFonts w:hint="eastAsia" w:cs="宋体"/>
          <w:b/>
          <w:bCs/>
          <w:szCs w:val="24"/>
          <w:highlight w:val="none"/>
        </w:rPr>
        <w:t>第三部分：深入研究国家和其他省份财政支持城市更新试点的经验做法。</w:t>
      </w:r>
      <w:r>
        <w:rPr>
          <w:rFonts w:hint="eastAsia" w:cs="宋体"/>
          <w:szCs w:val="24"/>
          <w:highlight w:val="none"/>
        </w:rPr>
        <w:t>当前，国家与地方层面已逐渐形成联动推进城市更新试点的工作格局。国家层面，2024年、2025年，国家财政部、住房城乡建设部已经连续两年通过竞争性选拔支持部分城市开展城市更新示范。省市层面，进一步深入研究四川、福建等省级财政支持城市更新模式，总结值得借鉴的经验做法，提出对南疆城市更新试点的工作启示。</w:t>
      </w:r>
    </w:p>
    <w:p w14:paraId="3155F11C">
      <w:pPr>
        <w:spacing w:line="440" w:lineRule="exact"/>
        <w:ind w:firstLine="482" w:firstLineChars="200"/>
        <w:rPr>
          <w:rFonts w:hint="eastAsia" w:cs="宋体"/>
          <w:szCs w:val="24"/>
          <w:highlight w:val="none"/>
        </w:rPr>
      </w:pPr>
      <w:r>
        <w:rPr>
          <w:rFonts w:hint="eastAsia" w:cs="宋体"/>
          <w:b/>
          <w:bCs/>
          <w:szCs w:val="24"/>
          <w:highlight w:val="none"/>
        </w:rPr>
        <w:t>第四部分：开展南疆城市更新试点的可行性分析。</w:t>
      </w:r>
      <w:r>
        <w:rPr>
          <w:rFonts w:hint="eastAsia" w:cs="宋体"/>
          <w:szCs w:val="24"/>
          <w:highlight w:val="none"/>
        </w:rPr>
        <w:t>结合南疆地区实际情况，借鉴国家及相关省份试点经验，开展自治区财政支持的南疆城市更新试点，具备坚实的政策基础、群众基础、资源基础和实践基础，可行性较强，能够有效破解南疆城市发展短板，推动城市更新工作有序开展。</w:t>
      </w:r>
    </w:p>
    <w:p w14:paraId="67EA0BEE">
      <w:pPr>
        <w:spacing w:line="440" w:lineRule="exact"/>
        <w:ind w:firstLine="482" w:firstLineChars="200"/>
        <w:rPr>
          <w:rFonts w:hint="eastAsia" w:cs="宋体"/>
          <w:szCs w:val="24"/>
          <w:highlight w:val="none"/>
        </w:rPr>
      </w:pPr>
      <w:r>
        <w:rPr>
          <w:rFonts w:hint="eastAsia" w:cs="宋体"/>
          <w:b/>
          <w:bCs/>
          <w:szCs w:val="24"/>
          <w:highlight w:val="none"/>
        </w:rPr>
        <w:t>第五部分：研究提出财政支持南疆城市更新试点的政策建议。</w:t>
      </w:r>
      <w:r>
        <w:rPr>
          <w:rFonts w:hint="eastAsia" w:cs="宋体"/>
          <w:szCs w:val="24"/>
          <w:highlight w:val="none"/>
        </w:rPr>
        <w:t>基于南疆地区城市更新的紧迫性以及财政可承受能力，并充分借鉴内地省份成功经验，明确提出南疆更新试点的目标原则、实施对象与重点内容、资金安排、监督管理等内容，为制定自治区财政支持南疆城市更新试点的工作方案提供基础和参考。</w:t>
      </w:r>
    </w:p>
    <w:p w14:paraId="27ED15ED">
      <w:pPr>
        <w:spacing w:line="440" w:lineRule="exact"/>
        <w:ind w:firstLine="480" w:firstLineChars="200"/>
        <w:rPr>
          <w:rFonts w:hint="eastAsia" w:cs="宋体"/>
          <w:szCs w:val="24"/>
          <w:highlight w:val="none"/>
        </w:rPr>
      </w:pPr>
      <w:r>
        <w:rPr>
          <w:rFonts w:hint="eastAsia" w:cs="宋体"/>
          <w:szCs w:val="24"/>
          <w:highlight w:val="none"/>
        </w:rPr>
        <w:t>三</w:t>
      </w:r>
      <w:bookmarkStart w:id="481" w:name="_Toc16939"/>
      <w:bookmarkStart w:id="482" w:name="_Toc24643"/>
      <w:bookmarkStart w:id="483" w:name="_Toc22058"/>
      <w:r>
        <w:rPr>
          <w:rFonts w:hint="eastAsia" w:cs="宋体"/>
          <w:szCs w:val="24"/>
          <w:highlight w:val="none"/>
        </w:rPr>
        <w:t>、编制进度安排</w:t>
      </w:r>
      <w:bookmarkEnd w:id="481"/>
      <w:bookmarkEnd w:id="482"/>
      <w:bookmarkEnd w:id="483"/>
    </w:p>
    <w:p w14:paraId="523E9F50">
      <w:pPr>
        <w:spacing w:line="440" w:lineRule="exact"/>
        <w:ind w:firstLine="480" w:firstLineChars="200"/>
        <w:rPr>
          <w:rFonts w:hint="eastAsia" w:cs="宋体"/>
          <w:szCs w:val="24"/>
          <w:highlight w:val="none"/>
        </w:rPr>
      </w:pPr>
      <w:bookmarkStart w:id="484" w:name="_Toc29169"/>
      <w:r>
        <w:rPr>
          <w:rFonts w:hint="eastAsia" w:cs="宋体"/>
          <w:szCs w:val="24"/>
          <w:highlight w:val="none"/>
        </w:rPr>
        <w:t>（一）工作准备阶段（2026年5月-6月）</w:t>
      </w:r>
    </w:p>
    <w:p w14:paraId="7974CEEA">
      <w:pPr>
        <w:spacing w:line="440" w:lineRule="exact"/>
        <w:ind w:firstLine="480" w:firstLineChars="200"/>
        <w:rPr>
          <w:rFonts w:hint="eastAsia" w:cs="宋体"/>
          <w:szCs w:val="24"/>
          <w:highlight w:val="none"/>
        </w:rPr>
      </w:pPr>
      <w:r>
        <w:rPr>
          <w:rFonts w:hint="eastAsia" w:cs="宋体"/>
          <w:szCs w:val="24"/>
          <w:highlight w:val="none"/>
        </w:rPr>
        <w:t>研究确定工作内容与目标，落实编制经费和编制单位，开展资料收集和前期调研等准备工作。</w:t>
      </w:r>
      <w:bookmarkEnd w:id="484"/>
    </w:p>
    <w:p w14:paraId="5ABB5794">
      <w:pPr>
        <w:spacing w:line="440" w:lineRule="exact"/>
        <w:ind w:firstLine="480" w:firstLineChars="200"/>
        <w:rPr>
          <w:rFonts w:hint="eastAsia" w:cs="宋体"/>
          <w:szCs w:val="24"/>
          <w:highlight w:val="none"/>
        </w:rPr>
      </w:pPr>
      <w:bookmarkStart w:id="485" w:name="OLE_LINK9"/>
      <w:bookmarkStart w:id="486" w:name="_Toc29175"/>
      <w:r>
        <w:rPr>
          <w:rFonts w:hint="eastAsia" w:cs="宋体"/>
          <w:szCs w:val="24"/>
          <w:highlight w:val="none"/>
        </w:rPr>
        <w:t>（二）</w:t>
      </w:r>
      <w:bookmarkEnd w:id="485"/>
      <w:r>
        <w:rPr>
          <w:rFonts w:hint="eastAsia" w:cs="宋体"/>
          <w:szCs w:val="24"/>
          <w:highlight w:val="none"/>
        </w:rPr>
        <w:t>资料收集整理阶段（2026年7月-8月）</w:t>
      </w:r>
    </w:p>
    <w:p w14:paraId="726E1ADA">
      <w:pPr>
        <w:widowControl/>
        <w:spacing w:line="440" w:lineRule="exact"/>
        <w:ind w:firstLine="480" w:firstLineChars="200"/>
        <w:rPr>
          <w:rFonts w:hint="eastAsia" w:cs="宋体"/>
          <w:szCs w:val="24"/>
          <w:highlight w:val="none"/>
        </w:rPr>
      </w:pPr>
      <w:r>
        <w:rPr>
          <w:rFonts w:hint="eastAsia" w:cs="宋体"/>
          <w:szCs w:val="24"/>
          <w:highlight w:val="none"/>
        </w:rPr>
        <w:t>通过查阅资料、座谈交流等方式，深入了解典型县市实施城市更新的进展和困难，结合工作需要，适时组织开展典型县市调研，深化问题分析和建议制定。</w:t>
      </w:r>
      <w:bookmarkEnd w:id="486"/>
    </w:p>
    <w:p w14:paraId="55904C16">
      <w:pPr>
        <w:spacing w:line="440" w:lineRule="exact"/>
        <w:ind w:firstLine="480" w:firstLineChars="200"/>
        <w:rPr>
          <w:rFonts w:hint="eastAsia" w:cs="宋体"/>
          <w:szCs w:val="24"/>
          <w:highlight w:val="none"/>
        </w:rPr>
      </w:pPr>
      <w:bookmarkStart w:id="487" w:name="OLE_LINK10"/>
      <w:bookmarkStart w:id="488" w:name="_Toc2498"/>
      <w:r>
        <w:rPr>
          <w:rFonts w:hint="eastAsia" w:cs="宋体"/>
          <w:szCs w:val="24"/>
          <w:highlight w:val="none"/>
        </w:rPr>
        <w:t>（三）成果编制阶段</w:t>
      </w:r>
      <w:bookmarkEnd w:id="487"/>
      <w:r>
        <w:rPr>
          <w:rFonts w:hint="eastAsia" w:cs="宋体"/>
          <w:szCs w:val="24"/>
          <w:highlight w:val="none"/>
        </w:rPr>
        <w:t>（2026年9月-10月）</w:t>
      </w:r>
    </w:p>
    <w:p w14:paraId="77984090">
      <w:pPr>
        <w:spacing w:line="440" w:lineRule="exact"/>
        <w:ind w:firstLine="480" w:firstLineChars="200"/>
        <w:rPr>
          <w:rFonts w:hint="eastAsia" w:cs="宋体"/>
          <w:snapToGrid w:val="0"/>
          <w:highlight w:val="none"/>
        </w:rPr>
      </w:pPr>
      <w:r>
        <w:rPr>
          <w:rFonts w:hint="eastAsia" w:cs="宋体"/>
          <w:szCs w:val="24"/>
          <w:highlight w:val="none"/>
        </w:rPr>
        <w:t>对收集的数据和资料进行分析汇总，形成可行性论证报告。</w:t>
      </w:r>
      <w:bookmarkEnd w:id="488"/>
      <w:bookmarkStart w:id="489" w:name="_Toc1274"/>
      <w:r>
        <w:rPr>
          <w:rFonts w:hint="eastAsia" w:cs="宋体"/>
          <w:szCs w:val="24"/>
          <w:highlight w:val="none"/>
        </w:rPr>
        <w:t>征求意见建议，进一步修改完善后，形成最终成果。</w:t>
      </w:r>
      <w:bookmarkEnd w:id="489"/>
    </w:p>
    <w:bookmarkEnd w:id="474"/>
    <w:bookmarkEnd w:id="475"/>
    <w:bookmarkEnd w:id="476"/>
    <w:p w14:paraId="54EA3F97">
      <w:pPr>
        <w:bidi w:val="0"/>
        <w:rPr>
          <w:rFonts w:hint="eastAsia"/>
          <w:highlight w:val="none"/>
        </w:rPr>
      </w:pPr>
      <w:bookmarkStart w:id="490" w:name="_Toc19026"/>
    </w:p>
    <w:p w14:paraId="129B6558">
      <w:pPr>
        <w:pStyle w:val="2"/>
        <w:rPr>
          <w:rFonts w:hint="eastAsia"/>
          <w:highlight w:val="none"/>
        </w:rPr>
      </w:pPr>
    </w:p>
    <w:p w14:paraId="28FA2165">
      <w:pPr>
        <w:pStyle w:val="6"/>
        <w:spacing w:before="220" w:after="220" w:line="480" w:lineRule="auto"/>
        <w:ind w:left="420" w:hanging="420"/>
        <w:rPr>
          <w:rFonts w:hint="eastAsia" w:eastAsia="宋体" w:cs="宋体"/>
          <w:sz w:val="36"/>
          <w:szCs w:val="36"/>
        </w:rPr>
      </w:pPr>
      <w:r>
        <w:rPr>
          <w:rFonts w:hint="eastAsia" w:eastAsia="宋体" w:cs="宋体"/>
          <w:sz w:val="36"/>
          <w:szCs w:val="36"/>
        </w:rPr>
        <w:t>第四章 评审方法及标准</w:t>
      </w:r>
      <w:bookmarkEnd w:id="490"/>
    </w:p>
    <w:p w14:paraId="3C2D8384">
      <w:pPr>
        <w:pStyle w:val="7"/>
        <w:keepNext w:val="0"/>
        <w:keepLines w:val="0"/>
        <w:spacing w:before="120" w:after="120" w:line="440" w:lineRule="exact"/>
        <w:ind w:left="420" w:hanging="420"/>
        <w:rPr>
          <w:rFonts w:hint="eastAsia" w:ascii="宋体" w:hAnsi="宋体" w:cs="宋体"/>
          <w:sz w:val="28"/>
          <w:szCs w:val="28"/>
          <w:lang w:val="zh-CN"/>
        </w:rPr>
      </w:pPr>
      <w:bookmarkStart w:id="491" w:name="_Toc18999"/>
      <w:bookmarkStart w:id="492" w:name="_Toc4321"/>
      <w:r>
        <w:rPr>
          <w:rFonts w:hint="eastAsia" w:ascii="宋体" w:hAnsi="宋体" w:cs="宋体"/>
          <w:sz w:val="28"/>
          <w:szCs w:val="28"/>
        </w:rPr>
        <w:t>一、</w:t>
      </w:r>
      <w:r>
        <w:rPr>
          <w:rFonts w:hint="eastAsia" w:ascii="宋体" w:hAnsi="宋体" w:cs="宋体"/>
          <w:sz w:val="28"/>
          <w:szCs w:val="28"/>
          <w:lang w:val="zh-CN"/>
        </w:rPr>
        <w:t>评审方法</w:t>
      </w:r>
      <w:bookmarkEnd w:id="491"/>
      <w:bookmarkEnd w:id="492"/>
    </w:p>
    <w:p w14:paraId="53640E9C">
      <w:pPr>
        <w:pStyle w:val="25"/>
        <w:spacing w:line="440" w:lineRule="exact"/>
        <w:ind w:firstLine="480"/>
        <w:rPr>
          <w:rFonts w:hint="eastAsia" w:cs="宋体"/>
        </w:rPr>
      </w:pPr>
      <w:r>
        <w:rPr>
          <w:rFonts w:hint="eastAsia" w:cs="宋体"/>
        </w:rPr>
        <w:t>本项目采用综合评分法。综合评分法是指经磋商确定最终采购需求和提交最后报价</w:t>
      </w:r>
      <w:r>
        <w:rPr>
          <w:rFonts w:hint="eastAsia" w:cs="宋体"/>
          <w:b/>
          <w:bCs/>
          <w:szCs w:val="24"/>
          <w:lang w:val="zh-CN"/>
        </w:rPr>
        <w:t>（因落实政府采购政策进行价格调整的，以调整后的价格计算）</w:t>
      </w:r>
      <w:r>
        <w:rPr>
          <w:rFonts w:hint="eastAsia" w:cs="宋体"/>
        </w:rPr>
        <w:t>的供应商的响应文件满足磋商文件全部实质性要求且按评审因素的量化指标评审得分最高的供应商为成交候选供应商的评审方法。</w:t>
      </w:r>
    </w:p>
    <w:p w14:paraId="2E5B7BB0">
      <w:pPr>
        <w:pStyle w:val="7"/>
        <w:keepNext w:val="0"/>
        <w:keepLines w:val="0"/>
        <w:spacing w:before="120" w:after="120" w:line="440" w:lineRule="exact"/>
        <w:ind w:left="420" w:hanging="420"/>
        <w:rPr>
          <w:rFonts w:hint="eastAsia" w:ascii="宋体" w:hAnsi="宋体" w:cs="宋体"/>
          <w:sz w:val="28"/>
          <w:szCs w:val="28"/>
          <w:lang w:val="zh-CN"/>
        </w:rPr>
      </w:pPr>
      <w:bookmarkStart w:id="493" w:name="_Toc16572"/>
      <w:bookmarkStart w:id="494" w:name="_Toc29836"/>
      <w:r>
        <w:rPr>
          <w:rFonts w:hint="eastAsia" w:ascii="宋体" w:hAnsi="宋体" w:cs="宋体"/>
          <w:sz w:val="28"/>
          <w:szCs w:val="28"/>
        </w:rPr>
        <w:t>二、</w:t>
      </w:r>
      <w:r>
        <w:rPr>
          <w:rFonts w:hint="eastAsia" w:ascii="宋体" w:hAnsi="宋体" w:cs="宋体"/>
          <w:sz w:val="28"/>
          <w:szCs w:val="28"/>
          <w:lang w:val="zh-CN"/>
        </w:rPr>
        <w:t>评审程序</w:t>
      </w:r>
      <w:bookmarkEnd w:id="493"/>
      <w:bookmarkEnd w:id="494"/>
    </w:p>
    <w:p w14:paraId="25412360">
      <w:pPr>
        <w:pStyle w:val="8"/>
        <w:spacing w:before="80" w:after="80" w:line="440" w:lineRule="exact"/>
        <w:ind w:left="420" w:hanging="420"/>
        <w:rPr>
          <w:rFonts w:hint="eastAsia" w:cs="宋体"/>
          <w:sz w:val="24"/>
          <w:szCs w:val="24"/>
          <w:lang w:val="zh-CN"/>
        </w:rPr>
      </w:pPr>
      <w:bookmarkStart w:id="495" w:name="_Toc16996"/>
      <w:bookmarkStart w:id="496" w:name="_Toc25329"/>
      <w:bookmarkStart w:id="497" w:name="_Toc1267"/>
      <w:bookmarkStart w:id="498" w:name="_Toc163493634"/>
      <w:r>
        <w:rPr>
          <w:rFonts w:hint="eastAsia" w:cs="宋体"/>
          <w:sz w:val="24"/>
          <w:szCs w:val="24"/>
          <w:lang w:val="zh-CN"/>
        </w:rPr>
        <w:t>（一）资格审查和符合性审查</w:t>
      </w:r>
      <w:bookmarkEnd w:id="495"/>
      <w:bookmarkEnd w:id="496"/>
      <w:bookmarkEnd w:id="497"/>
      <w:bookmarkEnd w:id="498"/>
    </w:p>
    <w:p w14:paraId="64549C54">
      <w:pPr>
        <w:tabs>
          <w:tab w:val="left" w:pos="312"/>
        </w:tabs>
        <w:wordWrap w:val="0"/>
        <w:adjustRightInd w:val="0"/>
        <w:snapToGrid w:val="0"/>
        <w:spacing w:line="440" w:lineRule="exact"/>
        <w:ind w:firstLine="480" w:firstLineChars="200"/>
        <w:rPr>
          <w:rFonts w:hint="eastAsia" w:cs="宋体"/>
          <w:lang w:val="zh-CN"/>
        </w:rPr>
      </w:pPr>
      <w:r>
        <w:rPr>
          <w:rFonts w:hint="eastAsia" w:cs="宋体"/>
          <w:szCs w:val="24"/>
        </w:rPr>
        <w:t>1.磋商小组</w:t>
      </w:r>
      <w:r>
        <w:rPr>
          <w:rFonts w:hint="eastAsia" w:cs="宋体"/>
        </w:rPr>
        <w:t>根据磋商文件规定的供应商资格条件、评审成交的标准等事项，对供应商的响应文件进行评审。资格审查和符合性审查不符合磋商文件要求的响应文件，按</w:t>
      </w:r>
      <w:r>
        <w:rPr>
          <w:rFonts w:hint="eastAsia" w:cs="宋体"/>
          <w:b/>
          <w:bCs/>
        </w:rPr>
        <w:t>无效文件</w:t>
      </w:r>
      <w:r>
        <w:rPr>
          <w:rFonts w:hint="eastAsia" w:cs="宋体"/>
        </w:rPr>
        <w:t>处理，不进入磋商，并告知有关供应商</w:t>
      </w:r>
      <w:r>
        <w:rPr>
          <w:rFonts w:hint="eastAsia" w:cs="宋体"/>
          <w:lang w:val="zh-CN"/>
        </w:rPr>
        <w:t>。</w:t>
      </w:r>
    </w:p>
    <w:p w14:paraId="24AD4304">
      <w:pPr>
        <w:pStyle w:val="25"/>
        <w:spacing w:line="440" w:lineRule="exact"/>
        <w:ind w:firstLine="480"/>
        <w:rPr>
          <w:rFonts w:hint="eastAsia" w:cs="宋体"/>
        </w:rPr>
      </w:pPr>
      <w:r>
        <w:rPr>
          <w:rFonts w:hint="eastAsia" w:cs="宋体"/>
        </w:rPr>
        <w:t>2.通过资格性审查和符合性审查的有效供应商不足3家的应当终止竞争性磋商采购活动，发布项目终止公告并说明原因，重新开展采购活动。</w:t>
      </w:r>
    </w:p>
    <w:p w14:paraId="2BB3FE29">
      <w:pPr>
        <w:pStyle w:val="25"/>
        <w:spacing w:line="440" w:lineRule="exact"/>
        <w:ind w:firstLine="480"/>
        <w:rPr>
          <w:rFonts w:hint="eastAsia" w:cs="宋体"/>
        </w:rPr>
      </w:pPr>
      <w:r>
        <w:rPr>
          <w:rFonts w:hint="eastAsia" w:cs="宋体"/>
        </w:rPr>
        <w:t>3.根据《财政部关于政府采购竞争性磋商采购方式管理暂行办法有关问题的补充通知》的要求，采用竞争性磋商采购方式采购的政府购买服务项目（含政府和社会资本合作项目），在采购过程中符合要求的供应商（社会资本）只有2家的，竞争性磋商采购活动可以继续进行。采购过程中符合要求的供应商（社会资本）只有1家的，采购人（项目实施机构）或者采购代理机构应当终止竞争性磋商采购活动，发布项目终止公告并说明原因，重新开展采购活动。</w:t>
      </w:r>
    </w:p>
    <w:p w14:paraId="2480155A">
      <w:pPr>
        <w:pStyle w:val="8"/>
        <w:spacing w:before="80" w:after="80" w:line="440" w:lineRule="exact"/>
        <w:ind w:left="420" w:hanging="420"/>
        <w:rPr>
          <w:rFonts w:hint="eastAsia" w:cs="宋体"/>
          <w:sz w:val="24"/>
          <w:szCs w:val="24"/>
          <w:lang w:val="zh-CN"/>
        </w:rPr>
      </w:pPr>
      <w:bookmarkStart w:id="499" w:name="_Toc163493635"/>
      <w:bookmarkStart w:id="500" w:name="_Toc19782"/>
      <w:bookmarkStart w:id="501" w:name="_Toc13167"/>
      <w:bookmarkStart w:id="502" w:name="_Toc7721"/>
      <w:bookmarkStart w:id="503" w:name="_Hlk158124046"/>
      <w:bookmarkStart w:id="504" w:name="_Toc102119879"/>
      <w:bookmarkStart w:id="505" w:name="_Toc102116178"/>
      <w:bookmarkStart w:id="506" w:name="_Toc102114946"/>
      <w:bookmarkStart w:id="507" w:name="_Toc102056244"/>
      <w:bookmarkStart w:id="508" w:name="_Toc102057744"/>
      <w:bookmarkStart w:id="509" w:name="_Toc102116048"/>
      <w:r>
        <w:rPr>
          <w:rFonts w:hint="eastAsia" w:cs="宋体"/>
          <w:sz w:val="24"/>
          <w:szCs w:val="24"/>
        </w:rPr>
        <w:t>（二）</w:t>
      </w:r>
      <w:r>
        <w:rPr>
          <w:rFonts w:hint="eastAsia" w:cs="宋体"/>
          <w:sz w:val="24"/>
          <w:szCs w:val="24"/>
          <w:lang w:val="zh-CN"/>
        </w:rPr>
        <w:t>响应文件澄清</w:t>
      </w:r>
      <w:bookmarkEnd w:id="499"/>
      <w:bookmarkEnd w:id="500"/>
      <w:bookmarkEnd w:id="501"/>
      <w:bookmarkEnd w:id="502"/>
    </w:p>
    <w:p w14:paraId="4E589A43">
      <w:pPr>
        <w:pStyle w:val="25"/>
        <w:spacing w:line="440" w:lineRule="exact"/>
        <w:ind w:firstLine="480"/>
        <w:rPr>
          <w:rFonts w:hint="eastAsia" w:cs="宋体"/>
        </w:rPr>
      </w:pPr>
      <w:r>
        <w:rPr>
          <w:rFonts w:hint="eastAsia" w:cs="宋体"/>
        </w:rPr>
        <w:t>1.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07E33E43">
      <w:pPr>
        <w:pStyle w:val="25"/>
        <w:spacing w:line="440" w:lineRule="exact"/>
        <w:ind w:firstLine="480"/>
        <w:rPr>
          <w:rFonts w:hint="eastAsia" w:cs="宋体"/>
        </w:rPr>
      </w:pPr>
      <w:r>
        <w:rPr>
          <w:rFonts w:hint="eastAsia" w:cs="宋体"/>
        </w:rPr>
        <w:t>2.磋商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bookmarkEnd w:id="503"/>
    <w:p w14:paraId="27E4E052">
      <w:pPr>
        <w:pStyle w:val="8"/>
        <w:spacing w:before="80" w:after="80" w:line="440" w:lineRule="exact"/>
        <w:ind w:left="420" w:hanging="420"/>
        <w:rPr>
          <w:rFonts w:hint="eastAsia" w:cs="宋体"/>
          <w:sz w:val="24"/>
          <w:szCs w:val="24"/>
          <w:lang w:val="zh-CN"/>
        </w:rPr>
      </w:pPr>
      <w:bookmarkStart w:id="510" w:name="_Toc163493636"/>
      <w:bookmarkStart w:id="511" w:name="_Toc15716"/>
      <w:bookmarkStart w:id="512" w:name="_Toc10518"/>
      <w:bookmarkStart w:id="513" w:name="_Toc13480"/>
      <w:r>
        <w:rPr>
          <w:rFonts w:hint="eastAsia" w:cs="宋体"/>
          <w:sz w:val="24"/>
          <w:szCs w:val="24"/>
        </w:rPr>
        <w:t>（三）</w:t>
      </w:r>
      <w:r>
        <w:rPr>
          <w:rFonts w:hint="eastAsia" w:cs="宋体"/>
          <w:sz w:val="24"/>
          <w:szCs w:val="24"/>
          <w:lang w:val="zh-CN"/>
        </w:rPr>
        <w:t>磋商程序</w:t>
      </w:r>
      <w:bookmarkEnd w:id="510"/>
      <w:bookmarkEnd w:id="511"/>
      <w:bookmarkEnd w:id="512"/>
      <w:bookmarkEnd w:id="513"/>
    </w:p>
    <w:p w14:paraId="3B21DF86">
      <w:pPr>
        <w:pStyle w:val="25"/>
        <w:spacing w:line="440" w:lineRule="exact"/>
        <w:ind w:firstLine="480"/>
        <w:rPr>
          <w:rFonts w:hint="eastAsia" w:cs="宋体"/>
        </w:rPr>
      </w:pPr>
      <w:r>
        <w:rPr>
          <w:rFonts w:hint="eastAsia" w:cs="宋体"/>
        </w:rPr>
        <w:t>磋商小组应当依据磋商文件规定的程序、评审成交的标准等事项与</w:t>
      </w:r>
      <w:r>
        <w:rPr>
          <w:rFonts w:hint="eastAsia" w:cs="宋体"/>
          <w:szCs w:val="24"/>
          <w:lang w:val="zh-CN"/>
        </w:rPr>
        <w:t>实质性</w:t>
      </w:r>
      <w:r>
        <w:rPr>
          <w:rFonts w:hint="eastAsia" w:cs="宋体"/>
        </w:rPr>
        <w:t>响应磋商文件要求的供应商进行磋商。</w:t>
      </w:r>
    </w:p>
    <w:p w14:paraId="410355B6">
      <w:pPr>
        <w:pStyle w:val="9"/>
        <w:keepNext w:val="0"/>
        <w:keepLines w:val="0"/>
        <w:spacing w:before="80" w:after="60" w:line="440" w:lineRule="exact"/>
        <w:ind w:left="420" w:hanging="420"/>
        <w:rPr>
          <w:rFonts w:hint="eastAsia" w:ascii="宋体" w:hAnsi="宋体" w:cs="宋体"/>
          <w:sz w:val="24"/>
          <w:szCs w:val="24"/>
        </w:rPr>
      </w:pPr>
      <w:r>
        <w:rPr>
          <w:rFonts w:hint="eastAsia" w:ascii="宋体" w:hAnsi="宋体" w:cs="宋体"/>
          <w:sz w:val="24"/>
          <w:szCs w:val="24"/>
        </w:rPr>
        <w:t>1.第一轮磋商</w:t>
      </w:r>
    </w:p>
    <w:p w14:paraId="3A166FAD">
      <w:pPr>
        <w:pStyle w:val="25"/>
        <w:spacing w:line="440" w:lineRule="exact"/>
        <w:ind w:firstLine="480"/>
        <w:rPr>
          <w:rFonts w:hint="eastAsia" w:cs="宋体"/>
          <w:szCs w:val="24"/>
        </w:rPr>
      </w:pPr>
      <w:r>
        <w:rPr>
          <w:rFonts w:hint="eastAsia" w:cs="宋体"/>
          <w:lang w:val="zh-CN"/>
        </w:rPr>
        <w:t>1.1磋商小组将按照系统随机的顺序决定供应商的磋商顺序，并集中与单一供应商分别进行磋商</w:t>
      </w:r>
      <w:r>
        <w:rPr>
          <w:rFonts w:hint="eastAsia" w:cs="宋体"/>
          <w:szCs w:val="24"/>
        </w:rPr>
        <w:t>。</w:t>
      </w:r>
    </w:p>
    <w:p w14:paraId="77949909">
      <w:pPr>
        <w:pStyle w:val="25"/>
        <w:spacing w:line="440" w:lineRule="exact"/>
        <w:ind w:firstLine="480"/>
        <w:rPr>
          <w:rFonts w:hint="eastAsia" w:cs="宋体"/>
          <w:szCs w:val="24"/>
        </w:rPr>
      </w:pPr>
      <w:r>
        <w:rPr>
          <w:rFonts w:hint="eastAsia" w:cs="宋体"/>
          <w:szCs w:val="24"/>
        </w:rPr>
        <w:t>1.2磋商小组所有成员应当对照磋商文件和响应文件就采购需求、质量和服务等内容集中与单一供应商分别进行磋商，并给予所有参加磋商的供应商平等的磋商机会。在磋商中，磋商的任何一方不得透露与磋商有关的其他供应商的技术资料、价格和其他信息。</w:t>
      </w:r>
    </w:p>
    <w:p w14:paraId="4B5E37B4">
      <w:pPr>
        <w:pStyle w:val="25"/>
        <w:spacing w:line="440" w:lineRule="exact"/>
        <w:ind w:firstLine="480"/>
        <w:rPr>
          <w:rFonts w:hint="eastAsia" w:cs="宋体"/>
          <w:szCs w:val="24"/>
        </w:rPr>
      </w:pPr>
      <w:r>
        <w:rPr>
          <w:rFonts w:hint="eastAsia" w:cs="宋体"/>
          <w:szCs w:val="24"/>
        </w:rPr>
        <w:t>1.3磋商过程中，磋商小组可以根据磋商文件和磋商情况实质性变动采购需求中的技术、服务要求以及合同草案条款，但不得变动磋商文件中的其他内容。实质性变动的内容，须经采购人代表确认。</w:t>
      </w:r>
    </w:p>
    <w:p w14:paraId="79187789">
      <w:pPr>
        <w:pStyle w:val="25"/>
        <w:spacing w:line="440" w:lineRule="exact"/>
        <w:ind w:firstLine="480"/>
        <w:rPr>
          <w:rFonts w:hint="eastAsia" w:cs="宋体"/>
          <w:szCs w:val="24"/>
        </w:rPr>
      </w:pPr>
      <w:r>
        <w:rPr>
          <w:rFonts w:hint="eastAsia" w:cs="宋体"/>
          <w:szCs w:val="24"/>
        </w:rPr>
        <w:t>1.4对磋商文件作出的实质性变动的内容是磋商文件的有效组成部分。磋商小组应将磋商文件的变动情况以书面形式通知所有参加磋商的供应商。</w:t>
      </w:r>
    </w:p>
    <w:p w14:paraId="708F2F98">
      <w:pPr>
        <w:pStyle w:val="25"/>
        <w:spacing w:line="440" w:lineRule="exact"/>
        <w:ind w:firstLine="480"/>
        <w:rPr>
          <w:rFonts w:hint="eastAsia" w:cs="宋体"/>
          <w:szCs w:val="24"/>
        </w:rPr>
      </w:pPr>
      <w:r>
        <w:rPr>
          <w:rFonts w:hint="eastAsia" w:cs="宋体"/>
          <w:szCs w:val="24"/>
        </w:rPr>
        <w:t>1.5供应商应当按照磋商文件的变动情况和磋商小组的要求在规定的时间内重新提交响应文件，并由其法定代表人或授权代表签字或者加盖公章。由授权代表签字的，应当附法定代表人授权书。供应商为自然人的，应当由本人签字并附身份证明。逾时不提交的，视同退出磋商。</w:t>
      </w:r>
    </w:p>
    <w:p w14:paraId="296A5BF1">
      <w:pPr>
        <w:pStyle w:val="9"/>
        <w:keepNext w:val="0"/>
        <w:keepLines w:val="0"/>
        <w:spacing w:before="80" w:after="60" w:line="440" w:lineRule="exact"/>
        <w:ind w:left="420" w:hanging="420"/>
        <w:rPr>
          <w:rFonts w:hint="eastAsia" w:ascii="宋体" w:hAnsi="宋体" w:cs="宋体"/>
          <w:sz w:val="24"/>
          <w:szCs w:val="24"/>
        </w:rPr>
      </w:pPr>
      <w:r>
        <w:rPr>
          <w:rFonts w:hint="eastAsia" w:ascii="宋体" w:hAnsi="宋体" w:cs="宋体"/>
          <w:sz w:val="24"/>
          <w:szCs w:val="24"/>
        </w:rPr>
        <w:t>2.多轮磋商</w:t>
      </w:r>
    </w:p>
    <w:p w14:paraId="320277BA">
      <w:pPr>
        <w:pStyle w:val="25"/>
        <w:spacing w:line="440" w:lineRule="exact"/>
        <w:ind w:firstLine="480"/>
        <w:rPr>
          <w:rFonts w:hint="eastAsia" w:cs="宋体"/>
        </w:rPr>
      </w:pPr>
      <w:r>
        <w:rPr>
          <w:rFonts w:hint="eastAsia" w:cs="宋体"/>
        </w:rPr>
        <w:t>2.1磋商文件中不能详细列明采购标的的技术、服务要求，需经磋商由供应商提供最终设计方案或解决方案的项目，磋商小组可以根据采购人对采购需求的确认情况，进行多轮磋商，直到采购人代表最终确认采购需求为止。</w:t>
      </w:r>
    </w:p>
    <w:p w14:paraId="7990D9D0">
      <w:pPr>
        <w:pStyle w:val="25"/>
        <w:spacing w:line="440" w:lineRule="exact"/>
        <w:ind w:firstLine="480"/>
        <w:rPr>
          <w:rFonts w:hint="eastAsia" w:cs="宋体"/>
          <w:sz w:val="28"/>
        </w:rPr>
      </w:pPr>
      <w:r>
        <w:rPr>
          <w:rFonts w:hint="eastAsia" w:cs="宋体"/>
        </w:rPr>
        <w:t>2.3磋商程序同第一轮磋商。</w:t>
      </w:r>
    </w:p>
    <w:p w14:paraId="47413248">
      <w:pPr>
        <w:pStyle w:val="9"/>
        <w:keepNext w:val="0"/>
        <w:keepLines w:val="0"/>
        <w:spacing w:before="80" w:after="60" w:line="440" w:lineRule="exact"/>
        <w:ind w:left="420" w:hanging="420"/>
        <w:rPr>
          <w:rFonts w:hint="eastAsia" w:ascii="宋体" w:hAnsi="宋体" w:cs="宋体"/>
          <w:sz w:val="24"/>
          <w:szCs w:val="24"/>
        </w:rPr>
      </w:pPr>
      <w:r>
        <w:rPr>
          <w:rFonts w:hint="eastAsia" w:ascii="宋体" w:hAnsi="宋体" w:cs="宋体"/>
          <w:sz w:val="24"/>
          <w:szCs w:val="24"/>
        </w:rPr>
        <w:t>3.最后报价</w:t>
      </w:r>
    </w:p>
    <w:p w14:paraId="2AED22E8">
      <w:pPr>
        <w:pStyle w:val="25"/>
        <w:spacing w:line="440" w:lineRule="exact"/>
        <w:ind w:firstLine="480"/>
        <w:rPr>
          <w:rFonts w:hint="eastAsia" w:cs="宋体"/>
        </w:rPr>
      </w:pPr>
      <w:r>
        <w:rPr>
          <w:rFonts w:hint="eastAsia" w:cs="宋体"/>
        </w:rPr>
        <w:t>3.1磋商文件中能够详细列明采购标的的技术、服务要求的，磋商结束后，磋商小组应当要求所有实质性响应的供应商，在规定时间内，以书面的方式经授权代表签字（或加盖公章）后提交最后报价，提交最后报价的供应商不得少于3家</w:t>
      </w:r>
      <w:r>
        <w:rPr>
          <w:rFonts w:hint="eastAsia" w:cs="宋体"/>
          <w:szCs w:val="24"/>
          <w:lang w:val="zh-CN"/>
        </w:rPr>
        <w:t>（</w:t>
      </w:r>
      <w:r>
        <w:rPr>
          <w:rFonts w:hint="eastAsia" w:cs="宋体"/>
        </w:rPr>
        <w:t>市场竞争不充分的科研项目，以及需要扶持的科技成果转化项目可以为2家，</w:t>
      </w:r>
      <w:r>
        <w:rPr>
          <w:rFonts w:hint="eastAsia" w:cs="宋体"/>
          <w:snapToGrid w:val="0"/>
        </w:rPr>
        <w:t>政府购买服务项目[含政府和社会资本合作项目]，在采购过程中符合要求的供应商[社会资本]只有2家的</w:t>
      </w:r>
      <w:r>
        <w:rPr>
          <w:rFonts w:hint="eastAsia" w:cs="宋体"/>
        </w:rPr>
        <w:t>可以为2家</w:t>
      </w:r>
      <w:r>
        <w:rPr>
          <w:rFonts w:hint="eastAsia" w:cs="宋体"/>
          <w:szCs w:val="24"/>
          <w:lang w:val="zh-CN"/>
        </w:rPr>
        <w:t>）</w:t>
      </w:r>
      <w:r>
        <w:rPr>
          <w:rFonts w:hint="eastAsia" w:cs="宋体"/>
        </w:rPr>
        <w:t>。</w:t>
      </w:r>
    </w:p>
    <w:p w14:paraId="5C393493">
      <w:pPr>
        <w:pStyle w:val="25"/>
        <w:spacing w:line="440" w:lineRule="exact"/>
        <w:ind w:firstLine="480"/>
        <w:rPr>
          <w:rFonts w:hint="eastAsia" w:cs="宋体"/>
        </w:rPr>
      </w:pPr>
      <w:r>
        <w:rPr>
          <w:rFonts w:hint="eastAsia" w:cs="宋体"/>
        </w:rPr>
        <w:t>3.2磋商文件中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w:t>
      </w:r>
    </w:p>
    <w:p w14:paraId="50FAF062">
      <w:pPr>
        <w:pStyle w:val="25"/>
        <w:spacing w:line="440" w:lineRule="exact"/>
        <w:ind w:firstLine="480"/>
        <w:rPr>
          <w:rFonts w:hint="eastAsia" w:cs="宋体"/>
        </w:rPr>
      </w:pPr>
      <w:r>
        <w:rPr>
          <w:rFonts w:hint="eastAsia" w:cs="宋体"/>
        </w:rPr>
        <w:t>3.3最后报价是供应商响应文件的有效组成部分。逾时不提交的，视同退出磋商。</w:t>
      </w:r>
    </w:p>
    <w:p w14:paraId="14751A39">
      <w:pPr>
        <w:pStyle w:val="25"/>
        <w:spacing w:line="440" w:lineRule="exact"/>
        <w:ind w:firstLine="480"/>
        <w:rPr>
          <w:rFonts w:hint="eastAsia" w:cs="宋体"/>
          <w:lang w:val="zh-CN"/>
        </w:rPr>
      </w:pPr>
      <w:r>
        <w:rPr>
          <w:rFonts w:hint="eastAsia" w:cs="宋体"/>
          <w:lang w:val="zh-CN"/>
        </w:rPr>
        <w:t>最后报价出现前后不一致的，按照下列规定修正：</w:t>
      </w:r>
    </w:p>
    <w:p w14:paraId="7FF06AF5">
      <w:pPr>
        <w:pStyle w:val="25"/>
        <w:spacing w:line="440" w:lineRule="exact"/>
        <w:ind w:firstLine="480"/>
        <w:rPr>
          <w:rFonts w:hint="eastAsia" w:cs="宋体"/>
          <w:lang w:val="zh-CN"/>
        </w:rPr>
      </w:pPr>
      <w:r>
        <w:rPr>
          <w:rFonts w:hint="eastAsia" w:cs="宋体"/>
          <w:lang w:val="zh-CN"/>
        </w:rPr>
        <w:t>（1）大写金额和小写金额不一致的，以大写金额为准；</w:t>
      </w:r>
    </w:p>
    <w:p w14:paraId="7677FB88">
      <w:pPr>
        <w:pStyle w:val="25"/>
        <w:spacing w:line="440" w:lineRule="exact"/>
        <w:ind w:firstLine="480"/>
        <w:rPr>
          <w:rFonts w:hint="eastAsia" w:cs="宋体"/>
          <w:lang w:val="zh-CN"/>
        </w:rPr>
      </w:pPr>
      <w:r>
        <w:rPr>
          <w:rFonts w:hint="eastAsia" w:cs="宋体"/>
          <w:lang w:val="zh-CN"/>
        </w:rPr>
        <w:t>（2）单价金额</w:t>
      </w:r>
      <w:r>
        <w:rPr>
          <w:rFonts w:hint="eastAsia" w:cs="宋体"/>
        </w:rPr>
        <w:t>小数点</w:t>
      </w:r>
      <w:r>
        <w:rPr>
          <w:rFonts w:hint="eastAsia" w:cs="宋体"/>
          <w:lang w:val="zh-CN"/>
        </w:rPr>
        <w:t>或百分比有明显错位的，以最后报价表的总价为准，并修改单价；</w:t>
      </w:r>
    </w:p>
    <w:p w14:paraId="3F18F6F4">
      <w:pPr>
        <w:pStyle w:val="25"/>
        <w:spacing w:line="440" w:lineRule="exact"/>
        <w:ind w:firstLine="480"/>
        <w:rPr>
          <w:rFonts w:hint="eastAsia" w:cs="宋体"/>
          <w:lang w:val="zh-CN"/>
        </w:rPr>
      </w:pPr>
      <w:r>
        <w:rPr>
          <w:rFonts w:hint="eastAsia" w:cs="宋体"/>
          <w:lang w:val="zh-CN"/>
        </w:rPr>
        <w:t>（3）总价金额与按单价汇总金额不一致的，以单价金额计算结果为准；</w:t>
      </w:r>
    </w:p>
    <w:p w14:paraId="1000B355">
      <w:pPr>
        <w:pStyle w:val="25"/>
        <w:spacing w:line="440" w:lineRule="exact"/>
        <w:ind w:firstLine="480"/>
        <w:rPr>
          <w:rFonts w:hint="eastAsia" w:cs="宋体"/>
          <w:lang w:val="zh-CN"/>
        </w:rPr>
      </w:pPr>
      <w:r>
        <w:rPr>
          <w:rFonts w:hint="eastAsia" w:cs="宋体"/>
          <w:lang w:val="zh-CN"/>
        </w:rPr>
        <w:t>（4）同时出现</w:t>
      </w:r>
      <w:r>
        <w:rPr>
          <w:rFonts w:hint="eastAsia" w:cs="宋体"/>
        </w:rPr>
        <w:t>两种</w:t>
      </w:r>
      <w:r>
        <w:rPr>
          <w:rFonts w:hint="eastAsia" w:cs="宋体"/>
          <w:lang w:val="zh-CN"/>
        </w:rPr>
        <w:t>以上不一致的，按照前款规定的顺序修正；</w:t>
      </w:r>
    </w:p>
    <w:p w14:paraId="119BB152">
      <w:pPr>
        <w:pStyle w:val="25"/>
        <w:spacing w:line="440" w:lineRule="exact"/>
        <w:ind w:firstLine="480"/>
        <w:rPr>
          <w:rFonts w:hint="eastAsia" w:cs="宋体"/>
        </w:rPr>
      </w:pPr>
      <w:r>
        <w:rPr>
          <w:rFonts w:hint="eastAsia" w:cs="宋体"/>
          <w:lang w:val="zh-CN"/>
        </w:rPr>
        <w:t>（5）修正后的报价应通过书面方式通知供应商，由供应商授权代表签字（或加盖公章）确认后产生约束力，供应商不确认的，按照无效响应处理。</w:t>
      </w:r>
    </w:p>
    <w:p w14:paraId="492B1BCC">
      <w:pPr>
        <w:tabs>
          <w:tab w:val="left" w:pos="993"/>
        </w:tabs>
        <w:wordWrap w:val="0"/>
        <w:adjustRightInd w:val="0"/>
        <w:snapToGrid w:val="0"/>
        <w:spacing w:line="440" w:lineRule="exact"/>
        <w:ind w:firstLine="480" w:firstLineChars="200"/>
        <w:rPr>
          <w:rFonts w:hint="eastAsia" w:cs="宋体"/>
        </w:rPr>
      </w:pPr>
      <w:r>
        <w:rPr>
          <w:rFonts w:hint="eastAsia" w:cs="宋体"/>
        </w:rPr>
        <w:t>3.4已提交响应文件的供应商，在提交最后报价之前，可以根据磋商情况退出磋商，退出磋商供应商的磋商保证金可予以退还</w:t>
      </w:r>
      <w:r>
        <w:rPr>
          <w:rFonts w:hint="eastAsia" w:cs="宋体"/>
          <w:szCs w:val="24"/>
          <w:lang w:val="zh-CN"/>
        </w:rPr>
        <w:t>。</w:t>
      </w:r>
    </w:p>
    <w:p w14:paraId="37D01FAF">
      <w:pPr>
        <w:pStyle w:val="9"/>
        <w:keepNext w:val="0"/>
        <w:keepLines w:val="0"/>
        <w:spacing w:before="80" w:after="60" w:line="440" w:lineRule="exact"/>
        <w:ind w:left="420" w:hanging="420"/>
        <w:rPr>
          <w:rFonts w:hint="eastAsia" w:ascii="宋体" w:hAnsi="宋体" w:cs="宋体"/>
          <w:sz w:val="24"/>
          <w:szCs w:val="24"/>
        </w:rPr>
      </w:pPr>
      <w:bookmarkStart w:id="514" w:name="_Toc102116179"/>
      <w:bookmarkStart w:id="515" w:name="_Toc102116049"/>
      <w:bookmarkStart w:id="516" w:name="_Toc102119880"/>
      <w:bookmarkStart w:id="517" w:name="_Toc102114947"/>
      <w:bookmarkStart w:id="518" w:name="_Toc102056245"/>
      <w:bookmarkStart w:id="519" w:name="_Toc102057745"/>
      <w:r>
        <w:rPr>
          <w:rFonts w:hint="eastAsia" w:ascii="宋体" w:hAnsi="宋体" w:cs="宋体"/>
          <w:sz w:val="24"/>
          <w:szCs w:val="24"/>
        </w:rPr>
        <w:t>4.商务技术评审</w:t>
      </w:r>
    </w:p>
    <w:p w14:paraId="04DD6A02">
      <w:pPr>
        <w:pStyle w:val="25"/>
        <w:spacing w:line="440" w:lineRule="exact"/>
        <w:ind w:firstLine="480"/>
        <w:rPr>
          <w:rFonts w:hint="eastAsia" w:cs="宋体"/>
          <w:lang w:val="zh-CN"/>
        </w:rPr>
      </w:pPr>
      <w:r>
        <w:rPr>
          <w:rFonts w:hint="eastAsia" w:cs="宋体"/>
          <w:lang w:val="zh-CN"/>
        </w:rPr>
        <w:t>4.1经磋商确定最终采购需求和提交最后报价的供应商后，由磋商小组采用综合评分法对提交最后报价的供应商的响应文件和最后报价进行综合评分。</w:t>
      </w:r>
    </w:p>
    <w:bookmarkEnd w:id="504"/>
    <w:bookmarkEnd w:id="505"/>
    <w:bookmarkEnd w:id="506"/>
    <w:bookmarkEnd w:id="507"/>
    <w:bookmarkEnd w:id="508"/>
    <w:bookmarkEnd w:id="509"/>
    <w:bookmarkEnd w:id="514"/>
    <w:bookmarkEnd w:id="515"/>
    <w:bookmarkEnd w:id="516"/>
    <w:bookmarkEnd w:id="517"/>
    <w:bookmarkEnd w:id="518"/>
    <w:bookmarkEnd w:id="519"/>
    <w:p w14:paraId="16817257">
      <w:pPr>
        <w:pStyle w:val="9"/>
        <w:keepNext w:val="0"/>
        <w:keepLines w:val="0"/>
        <w:spacing w:before="80" w:after="60" w:line="440" w:lineRule="exact"/>
        <w:ind w:left="420" w:hanging="420"/>
        <w:jc w:val="both"/>
        <w:rPr>
          <w:rFonts w:hint="eastAsia" w:ascii="宋体" w:hAnsi="宋体" w:cs="宋体"/>
          <w:sz w:val="24"/>
          <w:szCs w:val="24"/>
        </w:rPr>
      </w:pPr>
      <w:bookmarkStart w:id="520" w:name="_Toc102116181"/>
      <w:bookmarkStart w:id="521" w:name="_Toc102119882"/>
      <w:bookmarkStart w:id="522" w:name="_Toc102114949"/>
      <w:bookmarkStart w:id="523" w:name="_Toc102056247"/>
      <w:bookmarkStart w:id="524" w:name="_Toc102116051"/>
      <w:bookmarkStart w:id="525" w:name="_Toc102057747"/>
      <w:r>
        <w:rPr>
          <w:rFonts w:hint="eastAsia" w:ascii="宋体" w:hAnsi="宋体" w:cs="宋体"/>
          <w:sz w:val="24"/>
          <w:szCs w:val="24"/>
        </w:rPr>
        <w:t>5.报价评</w:t>
      </w:r>
      <w:bookmarkEnd w:id="520"/>
      <w:bookmarkEnd w:id="521"/>
      <w:bookmarkEnd w:id="522"/>
      <w:bookmarkEnd w:id="523"/>
      <w:bookmarkEnd w:id="524"/>
      <w:bookmarkEnd w:id="525"/>
      <w:r>
        <w:rPr>
          <w:rFonts w:hint="eastAsia" w:ascii="宋体" w:hAnsi="宋体" w:cs="宋体"/>
          <w:sz w:val="24"/>
          <w:szCs w:val="24"/>
        </w:rPr>
        <w:t>审</w:t>
      </w:r>
    </w:p>
    <w:p w14:paraId="4F87D81F">
      <w:pPr>
        <w:pStyle w:val="25"/>
        <w:spacing w:line="440" w:lineRule="exact"/>
        <w:ind w:firstLine="480"/>
        <w:jc w:val="both"/>
        <w:rPr>
          <w:rFonts w:hint="eastAsia" w:cs="宋体"/>
          <w:bCs/>
          <w:szCs w:val="21"/>
          <w:lang w:val="zh-CN"/>
        </w:rPr>
      </w:pPr>
      <w:r>
        <w:rPr>
          <w:rFonts w:hint="eastAsia" w:cs="宋体"/>
          <w:lang w:val="zh-CN"/>
        </w:rPr>
        <w:t>5.1报价合理性说明：磋商小组认为供应商的最后报价明显低于其他供应商最后报价，有可能影响</w:t>
      </w:r>
      <w:r>
        <w:rPr>
          <w:rFonts w:hint="eastAsia" w:cs="宋体"/>
        </w:rPr>
        <w:t>服务</w:t>
      </w:r>
      <w:r>
        <w:rPr>
          <w:rFonts w:hint="eastAsia" w:cs="宋体"/>
          <w:lang w:val="zh-CN"/>
        </w:rPr>
        <w:t>质量或者不能诚信履约的，应当要求其在合理的时间内提供说明，必要时提交相关证明材料；供应商不能证明其最后报价合理性的，磋商小组应当将其作</w:t>
      </w:r>
      <w:r>
        <w:rPr>
          <w:rFonts w:hint="eastAsia" w:cs="宋体"/>
          <w:b/>
          <w:lang w:val="zh-CN"/>
        </w:rPr>
        <w:t>无效响应处理</w:t>
      </w:r>
      <w:r>
        <w:rPr>
          <w:rFonts w:hint="eastAsia" w:cs="宋体"/>
          <w:lang w:val="zh-CN"/>
        </w:rPr>
        <w:t>。</w:t>
      </w:r>
    </w:p>
    <w:p w14:paraId="1B3E8B52">
      <w:pPr>
        <w:pStyle w:val="25"/>
        <w:spacing w:line="440" w:lineRule="exact"/>
        <w:ind w:firstLine="480"/>
        <w:jc w:val="both"/>
        <w:rPr>
          <w:rFonts w:hint="eastAsia" w:cs="宋体"/>
        </w:rPr>
      </w:pPr>
      <w:r>
        <w:rPr>
          <w:rFonts w:hint="eastAsia" w:cs="宋体"/>
        </w:rPr>
        <w:t>5.1.1供应商应根据答疑内容在规定的时间内提供说明和成本清单等相关证明材料，磋商小组认定相关证明材料对此报价的说明或者证明材料可以佐证此报价的服务质量和具有诚信履约能力，予以通过审查；</w:t>
      </w:r>
    </w:p>
    <w:p w14:paraId="61371D00">
      <w:pPr>
        <w:pStyle w:val="25"/>
        <w:spacing w:line="440" w:lineRule="exact"/>
        <w:ind w:firstLine="480"/>
        <w:jc w:val="both"/>
        <w:rPr>
          <w:rFonts w:hint="eastAsia" w:cs="宋体"/>
        </w:rPr>
      </w:pPr>
      <w:r>
        <w:rPr>
          <w:rFonts w:hint="eastAsia" w:cs="宋体"/>
        </w:rPr>
        <w:t>5.1.2供应商提供的说明或者证明材料必须按照国家财务会计制度的规定要求，逐项就供应商提供的货物和服务的主营业务成本、税收及附加、销售费用、管理费用、财务费用等成本构成事项详细陈述，并由法定代表人或者其授权代表签字确认并加盖公章；</w:t>
      </w:r>
    </w:p>
    <w:p w14:paraId="61BA1DC0">
      <w:pPr>
        <w:pStyle w:val="25"/>
        <w:spacing w:line="440" w:lineRule="exact"/>
        <w:ind w:firstLine="480"/>
        <w:jc w:val="both"/>
        <w:rPr>
          <w:rFonts w:hint="eastAsia" w:cs="宋体"/>
        </w:rPr>
      </w:pPr>
      <w:r>
        <w:rPr>
          <w:rFonts w:hint="eastAsia" w:cs="宋体"/>
        </w:rPr>
        <w:t>5.1.3供应商不能合理说明或者不能提供相关证明材料的，由磋商小组认定该供应商以低于成本报价竞标，有可能影响服务质量或者不能诚信履约，应当</w:t>
      </w:r>
      <w:r>
        <w:rPr>
          <w:rFonts w:hint="eastAsia" w:cs="宋体"/>
          <w:lang w:val="zh-CN"/>
        </w:rPr>
        <w:t>将其作为</w:t>
      </w:r>
      <w:r>
        <w:rPr>
          <w:rFonts w:hint="eastAsia" w:cs="宋体"/>
          <w:b/>
          <w:lang w:val="zh-CN"/>
        </w:rPr>
        <w:t>无效响应处理</w:t>
      </w:r>
      <w:r>
        <w:rPr>
          <w:rFonts w:hint="eastAsia" w:cs="宋体"/>
        </w:rPr>
        <w:t>；</w:t>
      </w:r>
    </w:p>
    <w:p w14:paraId="512D1AE3">
      <w:pPr>
        <w:ind w:firstLine="480" w:firstLineChars="200"/>
        <w:jc w:val="both"/>
        <w:rPr>
          <w:rFonts w:hint="eastAsia" w:cs="宋体"/>
        </w:rPr>
      </w:pPr>
      <w:r>
        <w:rPr>
          <w:rFonts w:hint="eastAsia" w:cs="宋体"/>
        </w:rPr>
        <w:t>5.1.4供应商也可以有预见性地准备好上述要求的书面说明和相关证明材料并加盖公章。</w:t>
      </w:r>
    </w:p>
    <w:p w14:paraId="776AF508">
      <w:pPr>
        <w:ind w:firstLine="480" w:firstLineChars="200"/>
        <w:jc w:val="both"/>
        <w:rPr>
          <w:rFonts w:hint="eastAsia" w:cs="宋体"/>
          <w:szCs w:val="24"/>
        </w:rPr>
      </w:pPr>
      <w:r>
        <w:rPr>
          <w:rFonts w:hint="eastAsia" w:cs="宋体"/>
          <w:szCs w:val="24"/>
          <w:lang w:val="zh-CN"/>
        </w:rPr>
        <w:t>5.2</w:t>
      </w:r>
      <w:r>
        <w:rPr>
          <w:rFonts w:hint="eastAsia" w:cs="宋体"/>
          <w:szCs w:val="24"/>
        </w:rPr>
        <w:t>.</w:t>
      </w:r>
      <w:r>
        <w:rPr>
          <w:rFonts w:hint="eastAsia" w:cs="宋体"/>
          <w:b/>
          <w:bCs/>
          <w:szCs w:val="24"/>
        </w:rPr>
        <w:t>政府采购异常低价审查</w:t>
      </w:r>
    </w:p>
    <w:p w14:paraId="2D307F64">
      <w:pPr>
        <w:ind w:firstLine="480" w:firstLineChars="200"/>
        <w:jc w:val="both"/>
        <w:rPr>
          <w:rFonts w:hint="eastAsia" w:cs="宋体"/>
          <w:szCs w:val="24"/>
        </w:rPr>
      </w:pPr>
      <w:r>
        <w:rPr>
          <w:rFonts w:hint="eastAsia" w:cs="宋体"/>
          <w:szCs w:val="24"/>
        </w:rPr>
        <w:t>5.2.1政府采购评审中出现下列情形之一的，评审委员会应当启动异常低价投标（响应）审查程序：</w:t>
      </w:r>
    </w:p>
    <w:p w14:paraId="72429835">
      <w:pPr>
        <w:ind w:firstLine="480" w:firstLineChars="200"/>
        <w:jc w:val="both"/>
        <w:rPr>
          <w:rFonts w:hint="eastAsia" w:cs="宋体"/>
          <w:szCs w:val="24"/>
        </w:rPr>
      </w:pPr>
      <w:r>
        <w:rPr>
          <w:rFonts w:hint="eastAsia" w:cs="宋体"/>
          <w:szCs w:val="24"/>
        </w:rPr>
        <w:t>（1）投标（响应）报价低于全部通过符合性审查供应商投标（响应）报价平均值50%的，即投标（响应）报价&lt;全部通过符合性审查供应商投标（响应）报价平均值×50%；</w:t>
      </w:r>
    </w:p>
    <w:p w14:paraId="2333ED0C">
      <w:pPr>
        <w:ind w:firstLine="480" w:firstLineChars="200"/>
        <w:jc w:val="both"/>
        <w:rPr>
          <w:rFonts w:hint="eastAsia" w:cs="宋体"/>
          <w:szCs w:val="24"/>
        </w:rPr>
      </w:pPr>
      <w:r>
        <w:rPr>
          <w:rFonts w:hint="eastAsia" w:cs="宋体"/>
          <w:szCs w:val="24"/>
        </w:rPr>
        <w:t>（2）投标（响应）报价低于通过符合性审查的次低报价供应商投标（响应）报价50%的，即投标（响应）报价&lt;通过符合性审查的次低报价供应商投标（响应）报价×50%；</w:t>
      </w:r>
    </w:p>
    <w:p w14:paraId="773EAD60">
      <w:pPr>
        <w:ind w:firstLine="480" w:firstLineChars="200"/>
        <w:jc w:val="both"/>
        <w:rPr>
          <w:rFonts w:hint="eastAsia" w:cs="宋体"/>
          <w:szCs w:val="24"/>
        </w:rPr>
      </w:pPr>
      <w:r>
        <w:rPr>
          <w:rFonts w:hint="eastAsia" w:cs="宋体"/>
          <w:szCs w:val="24"/>
        </w:rPr>
        <w:t>（3）投标（响应）报价低于采购项目最高限价45%的，即投标（响应）报价&lt;采购项目最高限价×45%；</w:t>
      </w:r>
    </w:p>
    <w:p w14:paraId="2A69BA9D">
      <w:pPr>
        <w:ind w:firstLine="480" w:firstLineChars="200"/>
        <w:jc w:val="both"/>
        <w:rPr>
          <w:rFonts w:hint="eastAsia" w:cs="宋体"/>
          <w:szCs w:val="24"/>
        </w:rPr>
      </w:pPr>
      <w:r>
        <w:rPr>
          <w:rFonts w:hint="eastAsia" w:cs="宋体"/>
          <w:szCs w:val="24"/>
        </w:rPr>
        <w:t>（4）评审委员会基于专业判断，认为供应商报价过低，有可能影响产品质量或者不能诚信履约的其他情形。</w:t>
      </w:r>
    </w:p>
    <w:p w14:paraId="50475768">
      <w:pPr>
        <w:ind w:firstLine="480" w:firstLineChars="200"/>
        <w:jc w:val="both"/>
        <w:rPr>
          <w:rFonts w:hint="eastAsia" w:cs="宋体"/>
          <w:szCs w:val="24"/>
        </w:rPr>
      </w:pPr>
      <w:r>
        <w:rPr>
          <w:rFonts w:hint="eastAsia" w:cs="宋体"/>
          <w:szCs w:val="24"/>
        </w:rPr>
        <w:t>5.2.2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51BBEE1F">
      <w:pPr>
        <w:ind w:firstLine="480" w:firstLineChars="200"/>
        <w:jc w:val="both"/>
        <w:rPr>
          <w:rFonts w:hint="eastAsia" w:cs="宋体"/>
          <w:lang w:val="zh-CN"/>
        </w:rPr>
      </w:pPr>
      <w:r>
        <w:rPr>
          <w:rFonts w:hint="eastAsia" w:cs="宋体"/>
          <w:szCs w:val="24"/>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58A06AD1">
      <w:pPr>
        <w:pStyle w:val="25"/>
        <w:spacing w:line="440" w:lineRule="exact"/>
        <w:ind w:firstLine="482"/>
        <w:jc w:val="both"/>
        <w:rPr>
          <w:rFonts w:hint="eastAsia" w:cs="宋体"/>
          <w:lang w:val="zh-CN"/>
        </w:rPr>
      </w:pPr>
      <w:r>
        <w:rPr>
          <w:rFonts w:hint="eastAsia" w:cs="宋体"/>
          <w:b/>
          <w:bCs/>
          <w:lang w:val="zh-CN"/>
        </w:rPr>
        <w:t>5.</w:t>
      </w:r>
      <w:r>
        <w:rPr>
          <w:rFonts w:hint="eastAsia" w:cs="宋体"/>
          <w:b/>
          <w:bCs/>
        </w:rPr>
        <w:t>3</w:t>
      </w:r>
      <w:r>
        <w:rPr>
          <w:rFonts w:hint="eastAsia" w:cs="宋体"/>
          <w:b/>
          <w:bCs/>
          <w:lang w:val="zh-CN"/>
        </w:rPr>
        <w:t>价格扣除：</w:t>
      </w:r>
      <w:r>
        <w:rPr>
          <w:rFonts w:hint="eastAsia" w:cs="宋体"/>
          <w:lang w:val="zh-CN"/>
        </w:rPr>
        <w:t xml:space="preserve"> </w:t>
      </w:r>
    </w:p>
    <w:p w14:paraId="6B855851">
      <w:pPr>
        <w:pStyle w:val="25"/>
        <w:spacing w:line="440" w:lineRule="exact"/>
        <w:ind w:firstLine="480"/>
        <w:jc w:val="both"/>
        <w:rPr>
          <w:rFonts w:hint="eastAsia" w:cs="宋体"/>
          <w:szCs w:val="24"/>
        </w:rPr>
      </w:pPr>
      <w:r>
        <w:rPr>
          <w:rFonts w:hint="eastAsia" w:cs="宋体"/>
          <w:szCs w:val="24"/>
        </w:rPr>
        <w:t>（1）非专门面向中小企业的采购项目或采购包，对符合规定的小微企业（监狱企业、残疾人福利性单位、联合体各方均为小微企业的联合体、符合小微企业划分标准的个体工商户视同小微企业）报价按照竞争性磋商文件“供应商须知前附表”中的规定扣除，对小微企业中的监狱企业、残疾人福利性单位的报价按照本竞争性磋商文件“供应商须知前附表”中的规定扣除，用扣除后的价格参与评审，采购产品纳入创新产品应用示范推荐目录内企业、采购产品获得节能产品或环境标志产品认证证书的供应商按照本竞争性磋商文件“供应商须知前附表”中的规定给予评审优惠。</w:t>
      </w:r>
    </w:p>
    <w:p w14:paraId="1DEBE5C7">
      <w:pPr>
        <w:pStyle w:val="25"/>
        <w:spacing w:line="440" w:lineRule="exact"/>
        <w:ind w:firstLine="480"/>
        <w:jc w:val="both"/>
        <w:rPr>
          <w:rFonts w:hint="eastAsia" w:cs="宋体"/>
          <w:szCs w:val="24"/>
        </w:rPr>
      </w:pPr>
      <w:r>
        <w:rPr>
          <w:rFonts w:hint="eastAsia" w:cs="宋体"/>
          <w:szCs w:val="24"/>
        </w:rPr>
        <w:t>（2）参加政府采购活动的小微企业（含节能环保、创新产品企业）未提供“中小企业声明函”的；监狱企业未提供“监狱企业证明文件”的；残疾人福利性单位未提供“残疾人福利性单位声明函”的；不得享受相应的价格扣除优惠。组成联合体或者接受分包的小微企业与联合体内其他企业、分包企业之间存在直接控股、管理关系的，不得享受价格扣除优惠。</w:t>
      </w:r>
    </w:p>
    <w:p w14:paraId="04C53275">
      <w:pPr>
        <w:pStyle w:val="25"/>
        <w:spacing w:line="440" w:lineRule="exact"/>
        <w:ind w:firstLine="480"/>
        <w:jc w:val="both"/>
        <w:rPr>
          <w:rFonts w:hint="eastAsia" w:cs="宋体"/>
          <w:szCs w:val="24"/>
        </w:rPr>
      </w:pPr>
      <w:r>
        <w:rPr>
          <w:rFonts w:hint="eastAsia" w:cs="宋体"/>
          <w:szCs w:val="24"/>
        </w:rPr>
        <w:t>（3）组成联合体或者接受分包的小微企业与联合体内其他企业、分包企业之间存在直接控股、管理关系的，不享受价格扣除优惠政策。</w:t>
      </w:r>
    </w:p>
    <w:p w14:paraId="70F55647">
      <w:pPr>
        <w:pStyle w:val="25"/>
        <w:spacing w:line="440" w:lineRule="exact"/>
        <w:ind w:firstLine="480"/>
        <w:jc w:val="both"/>
        <w:rPr>
          <w:rFonts w:hint="eastAsia" w:cs="宋体"/>
          <w:szCs w:val="24"/>
        </w:rPr>
      </w:pPr>
      <w:r>
        <w:rPr>
          <w:rFonts w:hint="eastAsia" w:cs="宋体"/>
          <w:szCs w:val="24"/>
        </w:rPr>
        <w:t>（4）价格扣除比例对小型企业和微型企业同等对待，不作区分。</w:t>
      </w:r>
    </w:p>
    <w:p w14:paraId="5A9E7504">
      <w:pPr>
        <w:pStyle w:val="25"/>
        <w:spacing w:line="440" w:lineRule="exact"/>
        <w:ind w:firstLine="480"/>
        <w:jc w:val="both"/>
        <w:rPr>
          <w:rFonts w:hint="eastAsia" w:cs="宋体"/>
          <w:szCs w:val="24"/>
        </w:rPr>
      </w:pPr>
      <w:r>
        <w:rPr>
          <w:rFonts w:hint="eastAsia" w:cs="宋体"/>
          <w:szCs w:val="24"/>
        </w:rPr>
        <w:t>（5）专门面向中小企业、预留部分采购份额面向中小企业采购的项目或采购包，评审时不再进行价格扣除。</w:t>
      </w:r>
    </w:p>
    <w:p w14:paraId="1734B414">
      <w:pPr>
        <w:pStyle w:val="25"/>
        <w:spacing w:line="440" w:lineRule="exact"/>
        <w:ind w:firstLine="480"/>
        <w:jc w:val="both"/>
        <w:rPr>
          <w:rFonts w:hint="eastAsia" w:cs="宋体"/>
          <w:szCs w:val="24"/>
        </w:rPr>
      </w:pPr>
      <w:r>
        <w:rPr>
          <w:rFonts w:hint="eastAsia" w:cs="宋体"/>
          <w:szCs w:val="24"/>
        </w:rPr>
        <w:t>（6）若供应商同时属于小型或微型企业、监狱企业、残疾人福利性单位 中的两种及以上，将不重复享受小微企业价格扣减的优惠政策。</w:t>
      </w:r>
    </w:p>
    <w:p w14:paraId="2F6B3D4B">
      <w:pPr>
        <w:pStyle w:val="25"/>
        <w:spacing w:line="440" w:lineRule="exact"/>
        <w:ind w:firstLine="480"/>
        <w:jc w:val="both"/>
        <w:rPr>
          <w:rFonts w:hint="eastAsia" w:cs="宋体"/>
          <w:szCs w:val="24"/>
          <w:lang w:val="zh-CN"/>
        </w:rPr>
      </w:pPr>
      <w:r>
        <w:rPr>
          <w:rFonts w:hint="eastAsia" w:cs="宋体"/>
          <w:szCs w:val="24"/>
          <w:lang w:val="zh-CN"/>
        </w:rPr>
        <w:t>5.</w:t>
      </w:r>
      <w:r>
        <w:rPr>
          <w:rFonts w:hint="eastAsia" w:cs="宋体"/>
          <w:szCs w:val="24"/>
        </w:rPr>
        <w:t>4</w:t>
      </w:r>
      <w:r>
        <w:rPr>
          <w:rFonts w:hint="eastAsia" w:cs="宋体"/>
          <w:szCs w:val="24"/>
          <w:lang w:val="zh-CN"/>
        </w:rPr>
        <w:t>价格分采用低价优先法计算，即满足磋商文件要求且最后报价最低的供应商的价格为磋商基准价，其价格分为满分。其他供应商的价格分统一按照下列公式计算：</w:t>
      </w:r>
    </w:p>
    <w:p w14:paraId="316F232D">
      <w:pPr>
        <w:pStyle w:val="25"/>
        <w:spacing w:line="440" w:lineRule="exact"/>
        <w:ind w:firstLine="480"/>
        <w:jc w:val="both"/>
        <w:rPr>
          <w:rFonts w:hint="eastAsia" w:cs="宋体"/>
          <w:szCs w:val="24"/>
          <w:lang w:val="zh-CN"/>
        </w:rPr>
      </w:pPr>
      <w:r>
        <w:rPr>
          <w:rFonts w:hint="eastAsia" w:cs="宋体"/>
          <w:szCs w:val="24"/>
          <w:lang w:val="zh-CN"/>
        </w:rPr>
        <w:t>磋商报价得分=（磋商基准价/最后磋商报价）×</w:t>
      </w:r>
      <w:r>
        <w:rPr>
          <w:rFonts w:hint="eastAsia" w:cs="宋体"/>
          <w:szCs w:val="24"/>
        </w:rPr>
        <w:t>价格分值</w:t>
      </w:r>
    </w:p>
    <w:p w14:paraId="1393A27E">
      <w:pPr>
        <w:pStyle w:val="25"/>
        <w:spacing w:line="440" w:lineRule="exact"/>
        <w:ind w:firstLine="480"/>
        <w:jc w:val="both"/>
        <w:rPr>
          <w:rFonts w:hint="eastAsia" w:cs="宋体"/>
          <w:szCs w:val="24"/>
          <w:lang w:val="zh-CN"/>
        </w:rPr>
      </w:pPr>
      <w:r>
        <w:rPr>
          <w:rFonts w:hint="eastAsia" w:cs="宋体"/>
          <w:szCs w:val="24"/>
          <w:lang w:val="zh-CN"/>
        </w:rPr>
        <w:t>项目评审过程中，不得去掉最后报价中的最高报价和最低报价。计算方法详见本章“三、评审标准”中的具体计算公式。</w:t>
      </w:r>
    </w:p>
    <w:p w14:paraId="656E57D5">
      <w:pPr>
        <w:pStyle w:val="25"/>
        <w:ind w:firstLine="480"/>
        <w:jc w:val="both"/>
        <w:rPr>
          <w:rFonts w:hint="eastAsia" w:cs="宋体"/>
          <w:snapToGrid w:val="0"/>
        </w:rPr>
      </w:pPr>
      <w:r>
        <w:rPr>
          <w:rFonts w:hint="eastAsia" w:cs="宋体"/>
          <w:snapToGrid w:val="0"/>
        </w:rPr>
        <w:t>5.5供应商对其提供的产品出具《关于符合本国产品标准的声明函》（样式见附件1，以下简称《声明函》）或财政部会同有关部门规定的有关证明文件。出具符合要求的《声明函》或有关证明文件的，该产品视为本国产品。</w:t>
      </w:r>
    </w:p>
    <w:p w14:paraId="2EBB5021">
      <w:pPr>
        <w:pStyle w:val="25"/>
        <w:ind w:firstLine="480"/>
        <w:jc w:val="both"/>
        <w:rPr>
          <w:rFonts w:hint="eastAsia" w:cs="宋体"/>
          <w:szCs w:val="24"/>
        </w:rPr>
      </w:pPr>
      <w:r>
        <w:rPr>
          <w:rFonts w:hint="eastAsia" w:cs="宋体"/>
          <w:snapToGrid w:val="0"/>
        </w:rPr>
        <w:t>5.6采购标的仅包含单一产品时，</w:t>
      </w:r>
      <w:r>
        <w:rPr>
          <w:rFonts w:hint="eastAsia" w:cs="宋体"/>
          <w:szCs w:val="24"/>
        </w:rPr>
        <w:t>政府采购活动中既有本国产品又有非本国产品参与竞争的，依法对本国产品给予价格评审优惠，对本国产品的报价给予20%的价格扣除，用扣除后的价格参与评审。对于仅有本国产品参与竞争的政府采购项目，本国产品不享受价格扣除评审优惠。</w:t>
      </w:r>
    </w:p>
    <w:p w14:paraId="65C3AFB4">
      <w:pPr>
        <w:pStyle w:val="25"/>
        <w:ind w:firstLine="480"/>
        <w:jc w:val="both"/>
        <w:rPr>
          <w:rFonts w:hint="eastAsia" w:cs="宋体"/>
          <w:snapToGrid w:val="0"/>
        </w:rPr>
      </w:pPr>
      <w:r>
        <w:rPr>
          <w:rFonts w:hint="eastAsia" w:cs="宋体"/>
          <w:snapToGrid w:val="0"/>
        </w:rPr>
        <w:t>5.7采购标的中含有多种产品，供应商为该采购项目或者采购包提供的符合本国产品标准的产品成本之和占该供应商提供的全部产品成本之和的比例达到80%以上时，且供应商在投标（响应）文件中对此作出承诺，出具《本国产品成本占比承诺函》（样式见附件2，以下简称《承诺函》），则依法对该供应商提供的全部产品给予价格评审优惠，即对该供应商提供的全部产品的总报价给予20%的价格扣除，用扣除后的价格参与评审。若供应商所投产品均符合本国产品标准，且已提供《声明函》，可不填写《承诺函》。</w:t>
      </w:r>
    </w:p>
    <w:p w14:paraId="69B75C11">
      <w:pPr>
        <w:pStyle w:val="25"/>
        <w:ind w:firstLine="480"/>
        <w:jc w:val="both"/>
        <w:rPr>
          <w:rFonts w:hint="eastAsia" w:cs="宋体"/>
          <w:snapToGrid w:val="0"/>
        </w:rPr>
      </w:pPr>
      <w:r>
        <w:rPr>
          <w:rFonts w:hint="eastAsia" w:cs="宋体"/>
          <w:snapToGrid w:val="0"/>
        </w:rPr>
        <w:t>5.8评审委员会应对《声明函》的完整性、准确性进行审查，对含义不明确、同类事项与投标（响应）文件表述不一致或者有明显文字错误等情况的，应当以书面形式要求供应商作出必要的澄清、说明或者补正。经澄清、说明或者补正的《声明函》仍然不符合要求的，供应商提供的相关产品视为不符合本国产品标准。</w:t>
      </w:r>
    </w:p>
    <w:p w14:paraId="5BFB2BB2">
      <w:pPr>
        <w:pStyle w:val="25"/>
        <w:ind w:firstLine="480"/>
        <w:jc w:val="both"/>
        <w:rPr>
          <w:rFonts w:hint="eastAsia" w:cs="宋体"/>
          <w:snapToGrid w:val="0"/>
        </w:rPr>
      </w:pPr>
      <w:r>
        <w:rPr>
          <w:rFonts w:hint="eastAsia" w:cs="宋体"/>
          <w:snapToGrid w:val="0"/>
        </w:rPr>
        <w:t>对医疗器械产品，提供取得药品监督管理部门授予的准字号医疗器械注册证的，视为符合本国产品标准，无须填写《声明函》，</w:t>
      </w:r>
      <w:r>
        <w:rPr>
          <w:rFonts w:hint="eastAsia" w:cs="宋体"/>
          <w:szCs w:val="24"/>
        </w:rPr>
        <w:t>报价给予20%的价格扣除，用扣除后的价格参与评审。</w:t>
      </w:r>
    </w:p>
    <w:p w14:paraId="37903CF9">
      <w:pPr>
        <w:pStyle w:val="25"/>
        <w:spacing w:line="440" w:lineRule="exact"/>
        <w:ind w:firstLine="480"/>
        <w:rPr>
          <w:rFonts w:hint="eastAsia" w:cs="宋体"/>
          <w:lang w:val="zh-CN"/>
        </w:rPr>
      </w:pPr>
      <w:r>
        <w:rPr>
          <w:rFonts w:hint="eastAsia" w:cs="宋体"/>
          <w:snapToGrid w:val="0"/>
        </w:rPr>
        <w:t>5.9对于非专门面向中小企业的采购项目，既有本国产品也有非本国产品参与竞争，且提供本国产品的供应商同时为小微企业的，对该供应商的产品同时给予支持本国产品和小微企业产品的价格评审优惠。在供应商原始报价基础上计算，用扣除后的价格参与评审。</w:t>
      </w:r>
    </w:p>
    <w:p w14:paraId="576E9827">
      <w:pPr>
        <w:pStyle w:val="9"/>
        <w:keepNext w:val="0"/>
        <w:keepLines w:val="0"/>
        <w:spacing w:before="80" w:after="60" w:line="440" w:lineRule="exact"/>
        <w:ind w:left="420" w:hanging="420"/>
        <w:rPr>
          <w:rFonts w:hint="eastAsia" w:ascii="宋体" w:hAnsi="宋体" w:cs="宋体"/>
          <w:sz w:val="24"/>
          <w:szCs w:val="24"/>
        </w:rPr>
      </w:pPr>
      <w:bookmarkStart w:id="526" w:name="_Toc102116053"/>
      <w:bookmarkStart w:id="527" w:name="_Toc102119884"/>
      <w:bookmarkStart w:id="528" w:name="_Toc102056249"/>
      <w:bookmarkStart w:id="529" w:name="_Toc102057749"/>
      <w:bookmarkStart w:id="530" w:name="_Toc102114951"/>
      <w:bookmarkStart w:id="531" w:name="_Toc102116183"/>
      <w:bookmarkStart w:id="532" w:name="_Toc102056250"/>
      <w:bookmarkStart w:id="533" w:name="_Toc102119885"/>
      <w:bookmarkStart w:id="534" w:name="_Toc102116184"/>
      <w:bookmarkStart w:id="535" w:name="_Toc102116054"/>
      <w:bookmarkStart w:id="536" w:name="_Toc102057750"/>
      <w:bookmarkStart w:id="537" w:name="_Toc102114952"/>
      <w:r>
        <w:rPr>
          <w:rFonts w:hint="eastAsia" w:ascii="宋体" w:hAnsi="宋体" w:cs="宋体"/>
          <w:sz w:val="24"/>
          <w:szCs w:val="24"/>
        </w:rPr>
        <w:t>6.计分办法</w:t>
      </w:r>
      <w:bookmarkEnd w:id="526"/>
      <w:bookmarkEnd w:id="527"/>
      <w:bookmarkEnd w:id="528"/>
      <w:bookmarkEnd w:id="529"/>
      <w:bookmarkEnd w:id="530"/>
      <w:bookmarkEnd w:id="531"/>
      <w:r>
        <w:rPr>
          <w:rFonts w:hint="eastAsia" w:ascii="宋体" w:hAnsi="宋体" w:cs="宋体"/>
          <w:sz w:val="24"/>
          <w:szCs w:val="24"/>
        </w:rPr>
        <w:t>及复核</w:t>
      </w:r>
    </w:p>
    <w:p w14:paraId="0956E193">
      <w:pPr>
        <w:pStyle w:val="25"/>
        <w:spacing w:line="440" w:lineRule="exact"/>
        <w:ind w:firstLine="480"/>
        <w:rPr>
          <w:rFonts w:hint="eastAsia" w:cs="宋体"/>
          <w:kern w:val="0"/>
          <w:lang w:val="zh-CN"/>
        </w:rPr>
      </w:pPr>
      <w:r>
        <w:rPr>
          <w:rFonts w:hint="eastAsia" w:cs="宋体"/>
          <w:lang w:val="zh-CN"/>
        </w:rPr>
        <w:t>6.1评审过程中，各项分值一般精确到小数点后两位，评审得分应当为商务评分、技术评分、报价评分之和。磋商小组各成员应当汇总每个供应商的得分。</w:t>
      </w:r>
    </w:p>
    <w:p w14:paraId="7D7F6459">
      <w:pPr>
        <w:pStyle w:val="25"/>
        <w:spacing w:line="440" w:lineRule="exact"/>
        <w:ind w:firstLine="480"/>
        <w:rPr>
          <w:rFonts w:hint="eastAsia" w:cs="宋体"/>
          <w:lang w:val="zh-CN"/>
        </w:rPr>
      </w:pPr>
      <w:r>
        <w:rPr>
          <w:rFonts w:hint="eastAsia" w:cs="宋体"/>
          <w:lang w:val="zh-CN"/>
        </w:rPr>
        <w:t>6.2评审结果汇总完成后，采购代理机构应当对评审结果进行复核。经复核发现存在以下情形之一的，磋商小组应当当场修改评审结果，并在评审报告中记载：</w:t>
      </w:r>
    </w:p>
    <w:p w14:paraId="51E15D43">
      <w:pPr>
        <w:pStyle w:val="25"/>
        <w:spacing w:line="440" w:lineRule="exact"/>
        <w:ind w:firstLine="480"/>
        <w:rPr>
          <w:rFonts w:hint="eastAsia" w:cs="宋体"/>
          <w:szCs w:val="20"/>
          <w:lang w:val="zh-CN"/>
        </w:rPr>
      </w:pPr>
      <w:r>
        <w:rPr>
          <w:rFonts w:hint="eastAsia" w:cs="宋体"/>
          <w:lang w:val="zh-CN"/>
        </w:rPr>
        <w:t xml:space="preserve">（1）资格性检查认定错误的； </w:t>
      </w:r>
    </w:p>
    <w:p w14:paraId="74DEA290">
      <w:pPr>
        <w:pStyle w:val="25"/>
        <w:spacing w:line="440" w:lineRule="exact"/>
        <w:ind w:firstLine="480"/>
        <w:rPr>
          <w:rFonts w:hint="eastAsia" w:cs="宋体"/>
          <w:szCs w:val="20"/>
          <w:lang w:val="zh-CN"/>
        </w:rPr>
      </w:pPr>
      <w:r>
        <w:rPr>
          <w:rFonts w:hint="eastAsia" w:cs="宋体"/>
          <w:lang w:val="zh-CN"/>
        </w:rPr>
        <w:t>（</w:t>
      </w:r>
      <w:r>
        <w:rPr>
          <w:rFonts w:hint="eastAsia" w:cs="宋体"/>
        </w:rPr>
        <w:t>2</w:t>
      </w:r>
      <w:r>
        <w:rPr>
          <w:rFonts w:hint="eastAsia" w:cs="宋体"/>
          <w:lang w:val="zh-CN"/>
        </w:rPr>
        <w:t xml:space="preserve">）分值汇总计算错误的； </w:t>
      </w:r>
    </w:p>
    <w:p w14:paraId="72F62B6F">
      <w:pPr>
        <w:pStyle w:val="25"/>
        <w:spacing w:line="440" w:lineRule="exact"/>
        <w:ind w:firstLine="480"/>
        <w:rPr>
          <w:rFonts w:hint="eastAsia" w:cs="宋体"/>
          <w:lang w:val="zh-CN"/>
        </w:rPr>
      </w:pPr>
      <w:r>
        <w:rPr>
          <w:rFonts w:hint="eastAsia" w:cs="宋体"/>
          <w:lang w:val="zh-CN"/>
        </w:rPr>
        <w:t>（</w:t>
      </w:r>
      <w:r>
        <w:rPr>
          <w:rFonts w:hint="eastAsia" w:cs="宋体"/>
        </w:rPr>
        <w:t>3</w:t>
      </w:r>
      <w:r>
        <w:rPr>
          <w:rFonts w:hint="eastAsia" w:cs="宋体"/>
          <w:lang w:val="zh-CN"/>
        </w:rPr>
        <w:t>）分项评分超出评分标准范围的；</w:t>
      </w:r>
    </w:p>
    <w:p w14:paraId="102EAA79">
      <w:pPr>
        <w:pStyle w:val="25"/>
        <w:spacing w:line="440" w:lineRule="exact"/>
        <w:ind w:firstLine="480"/>
        <w:rPr>
          <w:rFonts w:hint="eastAsia" w:cs="宋体"/>
          <w:lang w:val="zh-CN"/>
        </w:rPr>
      </w:pPr>
      <w:r>
        <w:rPr>
          <w:rFonts w:hint="eastAsia" w:cs="宋体"/>
          <w:lang w:val="zh-CN"/>
        </w:rPr>
        <w:t>（</w:t>
      </w:r>
      <w:r>
        <w:rPr>
          <w:rFonts w:hint="eastAsia" w:cs="宋体"/>
        </w:rPr>
        <w:t>4</w:t>
      </w:r>
      <w:r>
        <w:rPr>
          <w:rFonts w:hint="eastAsia" w:cs="宋体"/>
          <w:lang w:val="zh-CN"/>
        </w:rPr>
        <w:t>）</w:t>
      </w:r>
      <w:r>
        <w:rPr>
          <w:rFonts w:hint="eastAsia" w:cs="宋体"/>
          <w:szCs w:val="24"/>
          <w:lang w:val="zh-CN"/>
        </w:rPr>
        <w:t>磋商小组</w:t>
      </w:r>
      <w:r>
        <w:rPr>
          <w:rFonts w:hint="eastAsia" w:cs="宋体"/>
          <w:lang w:val="zh-CN"/>
        </w:rPr>
        <w:t>成员对客观</w:t>
      </w:r>
      <w:r>
        <w:rPr>
          <w:rFonts w:hint="eastAsia" w:cs="宋体"/>
        </w:rPr>
        <w:t>分</w:t>
      </w:r>
      <w:r>
        <w:rPr>
          <w:rFonts w:hint="eastAsia" w:cs="宋体"/>
          <w:lang w:val="zh-CN"/>
        </w:rPr>
        <w:t>评分不一致的；</w:t>
      </w:r>
    </w:p>
    <w:p w14:paraId="1E569905">
      <w:pPr>
        <w:pStyle w:val="25"/>
        <w:spacing w:line="440" w:lineRule="exact"/>
        <w:ind w:firstLine="480"/>
        <w:rPr>
          <w:rFonts w:hint="eastAsia" w:cs="宋体"/>
          <w:lang w:val="zh-CN"/>
        </w:rPr>
      </w:pPr>
      <w:r>
        <w:rPr>
          <w:rFonts w:hint="eastAsia" w:cs="宋体"/>
          <w:lang w:val="zh-CN"/>
        </w:rPr>
        <w:t>（</w:t>
      </w:r>
      <w:r>
        <w:rPr>
          <w:rFonts w:hint="eastAsia" w:cs="宋体"/>
        </w:rPr>
        <w:t>5</w:t>
      </w:r>
      <w:r>
        <w:rPr>
          <w:rFonts w:hint="eastAsia" w:cs="宋体"/>
          <w:lang w:val="zh-CN"/>
        </w:rPr>
        <w:t>）经</w:t>
      </w:r>
      <w:r>
        <w:rPr>
          <w:rFonts w:hint="eastAsia" w:cs="宋体"/>
          <w:szCs w:val="24"/>
          <w:lang w:val="zh-CN"/>
        </w:rPr>
        <w:t>磋商小组</w:t>
      </w:r>
      <w:r>
        <w:rPr>
          <w:rFonts w:hint="eastAsia" w:cs="宋体"/>
          <w:szCs w:val="24"/>
        </w:rPr>
        <w:t>一致</w:t>
      </w:r>
      <w:r>
        <w:rPr>
          <w:rFonts w:hint="eastAsia" w:cs="宋体"/>
          <w:lang w:val="zh-CN"/>
        </w:rPr>
        <w:t>认定评分畸高、畸低的。</w:t>
      </w:r>
    </w:p>
    <w:p w14:paraId="6C6015B1">
      <w:pPr>
        <w:pStyle w:val="25"/>
        <w:spacing w:line="440" w:lineRule="exact"/>
        <w:ind w:firstLine="480"/>
        <w:rPr>
          <w:rFonts w:hint="eastAsia" w:cs="宋体"/>
          <w:lang w:val="zh-CN"/>
        </w:rPr>
      </w:pPr>
      <w:r>
        <w:rPr>
          <w:rFonts w:hint="eastAsia" w:cs="宋体"/>
          <w:lang w:val="zh-CN"/>
        </w:rPr>
        <w:t>6.3各供应商的最终得分为磋商小组所有成员对各供应商评审得分汇总后的算术平均值。</w:t>
      </w:r>
    </w:p>
    <w:p w14:paraId="0EFF5F9B">
      <w:pPr>
        <w:pStyle w:val="25"/>
        <w:spacing w:line="440" w:lineRule="exact"/>
        <w:ind w:firstLine="480"/>
        <w:rPr>
          <w:rFonts w:hint="eastAsia" w:cs="宋体"/>
        </w:rPr>
      </w:pPr>
      <w:r>
        <w:rPr>
          <w:rFonts w:hint="eastAsia" w:cs="宋体"/>
        </w:rPr>
        <w:t>6.4除资格性检查认定错误、分值汇总计算错误、分项评分超出评分标准范围、客观分评分不一致、经磋商小组一致认定评分畸高、畸低的情形外，采购人或者采购代理机构不得以任何理由组织重新评审。采购人、采购代理机构发现磋商小组未按照磋商文件规定的评审标准进行评审的，应当重新开展采购活动，并同时书面报告本级财政部门。</w:t>
      </w:r>
    </w:p>
    <w:p w14:paraId="3A5AB6DE">
      <w:pPr>
        <w:pStyle w:val="25"/>
        <w:spacing w:line="440" w:lineRule="exact"/>
        <w:ind w:firstLine="480"/>
        <w:rPr>
          <w:rFonts w:hint="eastAsia" w:cs="宋体"/>
        </w:rPr>
      </w:pPr>
      <w:r>
        <w:rPr>
          <w:rFonts w:hint="eastAsia" w:cs="宋体"/>
        </w:rPr>
        <w:t>6.5采购人或者采购代理机构不得通过对样品进行检测、对供应商进行考察等方式改变评审结果。</w:t>
      </w:r>
    </w:p>
    <w:p w14:paraId="1F8EBB86">
      <w:pPr>
        <w:pStyle w:val="9"/>
        <w:keepNext w:val="0"/>
        <w:keepLines w:val="0"/>
        <w:spacing w:before="80" w:after="60" w:line="440" w:lineRule="exact"/>
        <w:ind w:left="420" w:hanging="420"/>
        <w:rPr>
          <w:rFonts w:hint="eastAsia" w:ascii="宋体" w:hAnsi="宋体" w:cs="宋体"/>
          <w:sz w:val="24"/>
          <w:szCs w:val="24"/>
        </w:rPr>
      </w:pPr>
      <w:r>
        <w:rPr>
          <w:rFonts w:hint="eastAsia" w:ascii="宋体" w:hAnsi="宋体" w:cs="宋体"/>
          <w:sz w:val="24"/>
          <w:szCs w:val="24"/>
        </w:rPr>
        <w:t>7.评审报告</w:t>
      </w:r>
      <w:bookmarkEnd w:id="532"/>
      <w:bookmarkEnd w:id="533"/>
      <w:bookmarkEnd w:id="534"/>
      <w:bookmarkEnd w:id="535"/>
      <w:bookmarkEnd w:id="536"/>
      <w:bookmarkEnd w:id="537"/>
    </w:p>
    <w:p w14:paraId="3341BC5C">
      <w:pPr>
        <w:pStyle w:val="25"/>
        <w:spacing w:line="440" w:lineRule="exact"/>
        <w:ind w:firstLine="480"/>
        <w:rPr>
          <w:rFonts w:hint="eastAsia" w:cs="宋体"/>
          <w:szCs w:val="24"/>
          <w:lang w:val="zh-CN"/>
        </w:rPr>
      </w:pPr>
      <w:r>
        <w:rPr>
          <w:rFonts w:hint="eastAsia" w:cs="宋体"/>
          <w:szCs w:val="24"/>
        </w:rPr>
        <w:t>7</w:t>
      </w:r>
      <w:r>
        <w:rPr>
          <w:rFonts w:hint="eastAsia" w:cs="宋体"/>
          <w:szCs w:val="24"/>
          <w:lang w:val="zh-CN"/>
        </w:rPr>
        <w:t>.1磋商小组</w:t>
      </w:r>
      <w:r>
        <w:rPr>
          <w:rFonts w:hint="eastAsia" w:cs="宋体"/>
        </w:rPr>
        <w:t>从质量和服务均能满足磋商文件实质性要求的供应商中，按照评审得分由高到低的顺序推荐3名</w:t>
      </w:r>
      <w:r>
        <w:rPr>
          <w:rFonts w:hint="eastAsia" w:cs="宋体"/>
          <w:szCs w:val="24"/>
          <w:lang w:val="zh-CN"/>
        </w:rPr>
        <w:t>（</w:t>
      </w:r>
      <w:r>
        <w:rPr>
          <w:rFonts w:hint="eastAsia" w:cs="宋体"/>
        </w:rPr>
        <w:t>市场竞争不充分的科研项目，以及需要扶持的科技成果转化项目可以为2家，</w:t>
      </w:r>
      <w:r>
        <w:rPr>
          <w:rFonts w:hint="eastAsia" w:cs="宋体"/>
          <w:snapToGrid w:val="0"/>
        </w:rPr>
        <w:t>政府购买服务项目[含政府和社会资本合作项目]，在采购过程中符合要求的供应商[社会资本]只有2家的</w:t>
      </w:r>
      <w:r>
        <w:rPr>
          <w:rFonts w:hint="eastAsia" w:cs="宋体"/>
        </w:rPr>
        <w:t>可以为2家</w:t>
      </w:r>
      <w:r>
        <w:rPr>
          <w:rFonts w:hint="eastAsia" w:cs="宋体"/>
          <w:szCs w:val="24"/>
          <w:lang w:val="zh-CN"/>
        </w:rPr>
        <w:t>）</w:t>
      </w:r>
      <w:r>
        <w:rPr>
          <w:rFonts w:hint="eastAsia" w:cs="宋体"/>
        </w:rPr>
        <w:t>以上</w:t>
      </w:r>
      <w:r>
        <w:rPr>
          <w:rFonts w:hint="eastAsia" w:cs="宋体"/>
          <w:szCs w:val="24"/>
          <w:lang w:val="zh-CN"/>
        </w:rPr>
        <w:t>成交</w:t>
      </w:r>
      <w:r>
        <w:rPr>
          <w:rFonts w:hint="eastAsia" w:cs="宋体"/>
        </w:rPr>
        <w:t>候选供应商。评审得分相同的，</w:t>
      </w:r>
      <w:r>
        <w:rPr>
          <w:rFonts w:hint="eastAsia" w:cs="宋体"/>
          <w:szCs w:val="24"/>
          <w:lang w:val="zh-CN"/>
        </w:rPr>
        <w:t>磋商小组</w:t>
      </w:r>
      <w:r>
        <w:rPr>
          <w:rFonts w:hint="eastAsia" w:cs="宋体"/>
        </w:rPr>
        <w:t>按照最后报价由低到高的顺序推荐；评审得分且最后报价相同的，按照技术指标优劣顺序推荐</w:t>
      </w:r>
      <w:r>
        <w:rPr>
          <w:rFonts w:hint="eastAsia" w:cs="宋体"/>
          <w:szCs w:val="24"/>
          <w:lang w:val="zh-CN"/>
        </w:rPr>
        <w:t>。响应文件满足磋商文件全部实质性要求且评审得分最高的供应商为排名第一的成交候选供应商。</w:t>
      </w:r>
      <w:r>
        <w:rPr>
          <w:rFonts w:hint="eastAsia" w:cs="宋体"/>
        </w:rPr>
        <w:t>磋商小组依据评审结果形成评审报告。</w:t>
      </w:r>
    </w:p>
    <w:p w14:paraId="17318A62">
      <w:pPr>
        <w:pStyle w:val="25"/>
        <w:spacing w:line="440" w:lineRule="exact"/>
        <w:ind w:firstLine="480"/>
        <w:rPr>
          <w:rFonts w:hint="eastAsia" w:cs="宋体"/>
          <w:szCs w:val="24"/>
          <w:lang w:val="zh-CN"/>
        </w:rPr>
      </w:pPr>
      <w:r>
        <w:rPr>
          <w:rFonts w:hint="eastAsia" w:cs="宋体"/>
          <w:szCs w:val="24"/>
        </w:rPr>
        <w:t>7</w:t>
      </w:r>
      <w:r>
        <w:rPr>
          <w:rFonts w:hint="eastAsia" w:cs="宋体"/>
          <w:szCs w:val="24"/>
          <w:lang w:val="zh-CN"/>
        </w:rPr>
        <w:t>.</w:t>
      </w:r>
      <w:r>
        <w:rPr>
          <w:rFonts w:hint="eastAsia" w:cs="宋体"/>
          <w:szCs w:val="24"/>
        </w:rPr>
        <w:t>2</w:t>
      </w:r>
      <w:r>
        <w:rPr>
          <w:rFonts w:hint="eastAsia" w:cs="宋体"/>
          <w:lang w:val="zh-CN"/>
        </w:rPr>
        <w:t>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r>
        <w:rPr>
          <w:rFonts w:hint="eastAsia" w:cs="宋体"/>
          <w:szCs w:val="24"/>
          <w:lang w:val="zh-CN"/>
        </w:rPr>
        <w:t>。</w:t>
      </w:r>
    </w:p>
    <w:p w14:paraId="25913F09">
      <w:pPr>
        <w:pStyle w:val="9"/>
        <w:keepNext w:val="0"/>
        <w:keepLines w:val="0"/>
        <w:spacing w:before="80" w:after="60" w:line="440" w:lineRule="exact"/>
        <w:ind w:left="420" w:hanging="420"/>
        <w:rPr>
          <w:rFonts w:hint="eastAsia" w:ascii="宋体" w:hAnsi="宋体" w:cs="宋体"/>
          <w:sz w:val="24"/>
          <w:szCs w:val="24"/>
        </w:rPr>
      </w:pPr>
      <w:r>
        <w:rPr>
          <w:rFonts w:hint="eastAsia" w:ascii="宋体" w:hAnsi="宋体" w:cs="宋体"/>
          <w:sz w:val="24"/>
          <w:szCs w:val="24"/>
        </w:rPr>
        <w:t>8.响应无效的情形</w:t>
      </w:r>
    </w:p>
    <w:p w14:paraId="21B88F58">
      <w:pPr>
        <w:widowControl/>
        <w:spacing w:line="440" w:lineRule="exact"/>
        <w:ind w:firstLine="480" w:firstLineChars="200"/>
        <w:rPr>
          <w:rFonts w:hint="eastAsia" w:cs="宋体"/>
        </w:rPr>
      </w:pPr>
      <w:r>
        <w:rPr>
          <w:rFonts w:hint="eastAsia" w:cs="宋体"/>
        </w:rPr>
        <w:t>8.1</w:t>
      </w:r>
      <w:r>
        <w:rPr>
          <w:rFonts w:hint="eastAsia" w:cs="宋体"/>
          <w:szCs w:val="24"/>
        </w:rPr>
        <w:t>供应商存在下列情况之一的，其</w:t>
      </w:r>
      <w:r>
        <w:rPr>
          <w:rFonts w:hint="eastAsia" w:cs="宋体"/>
          <w:b/>
          <w:bCs/>
          <w:szCs w:val="24"/>
        </w:rPr>
        <w:t>响应无效</w:t>
      </w:r>
      <w:r>
        <w:rPr>
          <w:rFonts w:hint="eastAsia" w:cs="宋体"/>
          <w:szCs w:val="24"/>
        </w:rPr>
        <w:t>：</w:t>
      </w:r>
    </w:p>
    <w:p w14:paraId="702D1A6A">
      <w:pPr>
        <w:pStyle w:val="58"/>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（1）不同供应商的响应文件由同一单位或者个人编制；</w:t>
      </w:r>
    </w:p>
    <w:p w14:paraId="2B2A7ABE">
      <w:pPr>
        <w:pStyle w:val="58"/>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（2）不同供应商委托同一单位或者个人办理磋商响应事宜；</w:t>
      </w:r>
    </w:p>
    <w:p w14:paraId="4EE2FB0A">
      <w:pPr>
        <w:pStyle w:val="58"/>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（3）不同供应商的响应文件载明的项目管理成员或者联系人员为同一人；</w:t>
      </w:r>
    </w:p>
    <w:p w14:paraId="53A78381">
      <w:pPr>
        <w:pStyle w:val="58"/>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（4）不同供应商的响应文件异常一致或者磋商报价呈规律性差异；</w:t>
      </w:r>
    </w:p>
    <w:p w14:paraId="60D5A539">
      <w:pPr>
        <w:pStyle w:val="58"/>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（5）不同供应商的响应文件相互混装；</w:t>
      </w:r>
    </w:p>
    <w:p w14:paraId="2FF50D83">
      <w:pPr>
        <w:pStyle w:val="58"/>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（6）不同供应商的磋商保证金从同一单位或者个人的账户转出；</w:t>
      </w:r>
    </w:p>
    <w:p w14:paraId="1C3AF755">
      <w:pPr>
        <w:pStyle w:val="25"/>
        <w:spacing w:line="440" w:lineRule="exact"/>
        <w:ind w:firstLine="480"/>
        <w:rPr>
          <w:rFonts w:hint="eastAsia" w:cs="宋体"/>
        </w:rPr>
      </w:pPr>
      <w:r>
        <w:rPr>
          <w:rFonts w:hint="eastAsia" w:cs="宋体"/>
        </w:rPr>
        <w:t>（7）</w:t>
      </w:r>
      <w:r>
        <w:rPr>
          <w:rFonts w:hint="eastAsia" w:cs="宋体"/>
          <w:lang w:val="zh-CN"/>
        </w:rPr>
        <w:t>不同</w:t>
      </w:r>
      <w:r>
        <w:rPr>
          <w:rFonts w:hint="eastAsia" w:cs="宋体"/>
        </w:rPr>
        <w:t>供应商</w:t>
      </w:r>
      <w:r>
        <w:rPr>
          <w:rFonts w:hint="eastAsia" w:cs="宋体"/>
          <w:lang w:val="zh-CN"/>
        </w:rPr>
        <w:t>使用同一电脑（机器特征值一致：如MAC地址等）或使用同一电子密钥，编制或上传电子</w:t>
      </w:r>
      <w:r>
        <w:rPr>
          <w:rFonts w:hint="eastAsia" w:cs="宋体"/>
        </w:rPr>
        <w:t>响应</w:t>
      </w:r>
      <w:r>
        <w:rPr>
          <w:rFonts w:hint="eastAsia" w:cs="宋体"/>
          <w:lang w:val="zh-CN"/>
        </w:rPr>
        <w:t>文件</w:t>
      </w:r>
      <w:r>
        <w:rPr>
          <w:rFonts w:hint="eastAsia" w:cs="宋体"/>
        </w:rPr>
        <w:t>；</w:t>
      </w:r>
    </w:p>
    <w:p w14:paraId="29DA958A">
      <w:pPr>
        <w:pStyle w:val="25"/>
        <w:spacing w:line="440" w:lineRule="exact"/>
        <w:ind w:firstLine="480"/>
        <w:rPr>
          <w:rFonts w:hint="eastAsia" w:cs="宋体"/>
        </w:rPr>
      </w:pPr>
      <w:r>
        <w:rPr>
          <w:rFonts w:hint="eastAsia" w:cs="宋体"/>
        </w:rPr>
        <w:t>（8）法律、法规、规章和竞争性磋商文件规定的其他响应无效的情形。</w:t>
      </w:r>
    </w:p>
    <w:p w14:paraId="51CFEB2F">
      <w:pPr>
        <w:pStyle w:val="58"/>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8.2 磋商小组应当审查所有供应商的响应文件是否对竞争性磋商文件提出的所有实质性要求和条件做出响应。未能在实质上响应的供应商，其</w:t>
      </w:r>
      <w:r>
        <w:rPr>
          <w:rFonts w:hint="eastAsia" w:ascii="宋体" w:hAnsi="宋体" w:eastAsia="宋体" w:cs="宋体"/>
          <w:b/>
          <w:bCs/>
          <w:sz w:val="24"/>
          <w:szCs w:val="24"/>
        </w:rPr>
        <w:t>响应无效</w:t>
      </w:r>
      <w:r>
        <w:rPr>
          <w:rFonts w:hint="eastAsia" w:ascii="宋体" w:hAnsi="宋体" w:eastAsia="宋体" w:cs="宋体"/>
          <w:sz w:val="24"/>
          <w:szCs w:val="24"/>
        </w:rPr>
        <w:t>。</w:t>
      </w:r>
    </w:p>
    <w:p w14:paraId="5DBCA20D">
      <w:pPr>
        <w:pStyle w:val="25"/>
        <w:spacing w:line="440" w:lineRule="exact"/>
        <w:ind w:firstLine="480"/>
        <w:rPr>
          <w:rFonts w:hint="eastAsia" w:cs="宋体"/>
          <w:szCs w:val="24"/>
          <w:lang w:val="zh-CN"/>
        </w:rPr>
      </w:pPr>
      <w:r>
        <w:rPr>
          <w:rFonts w:hint="eastAsia" w:cs="宋体"/>
          <w:szCs w:val="24"/>
        </w:rPr>
        <w:t>8.3 供应商不得误导、干扰磋商小组的评审活动，否则其</w:t>
      </w:r>
      <w:r>
        <w:rPr>
          <w:rFonts w:hint="eastAsia" w:cs="宋体"/>
          <w:b/>
          <w:bCs/>
          <w:szCs w:val="24"/>
        </w:rPr>
        <w:t>响应无效</w:t>
      </w:r>
      <w:r>
        <w:rPr>
          <w:rFonts w:hint="eastAsia" w:cs="宋体"/>
          <w:szCs w:val="24"/>
        </w:rPr>
        <w:t>。</w:t>
      </w:r>
    </w:p>
    <w:p w14:paraId="054A61A3">
      <w:pPr>
        <w:pStyle w:val="9"/>
        <w:keepNext w:val="0"/>
        <w:keepLines w:val="0"/>
        <w:spacing w:before="80" w:after="60" w:line="440" w:lineRule="exact"/>
        <w:ind w:left="420" w:hanging="420"/>
        <w:rPr>
          <w:rFonts w:hint="eastAsia" w:ascii="宋体" w:hAnsi="宋体" w:cs="宋体"/>
          <w:sz w:val="24"/>
          <w:szCs w:val="24"/>
        </w:rPr>
      </w:pPr>
      <w:bookmarkStart w:id="538" w:name="_Toc102057718"/>
      <w:bookmarkStart w:id="539" w:name="_Toc102116152"/>
      <w:bookmarkStart w:id="540" w:name="_Toc102056218"/>
      <w:bookmarkStart w:id="541" w:name="_Toc102119853"/>
      <w:bookmarkStart w:id="542" w:name="_Toc102114920"/>
      <w:bookmarkStart w:id="543" w:name="_Toc102116022"/>
      <w:r>
        <w:rPr>
          <w:rFonts w:hint="eastAsia" w:ascii="宋体" w:hAnsi="宋体" w:cs="宋体"/>
          <w:sz w:val="24"/>
          <w:szCs w:val="24"/>
        </w:rPr>
        <w:t>9.停止评审的情形</w:t>
      </w:r>
      <w:bookmarkEnd w:id="538"/>
      <w:bookmarkEnd w:id="539"/>
      <w:bookmarkEnd w:id="540"/>
      <w:bookmarkEnd w:id="541"/>
      <w:bookmarkEnd w:id="542"/>
      <w:bookmarkEnd w:id="543"/>
    </w:p>
    <w:p w14:paraId="58A3D9D5">
      <w:pPr>
        <w:widowControl/>
        <w:spacing w:line="440" w:lineRule="exact"/>
        <w:ind w:firstLine="480" w:firstLineChars="200"/>
        <w:rPr>
          <w:rFonts w:hint="eastAsia" w:cs="宋体"/>
          <w:lang w:val="zh-CN"/>
        </w:rPr>
      </w:pPr>
      <w:r>
        <w:rPr>
          <w:rFonts w:hint="eastAsia" w:cs="宋体"/>
        </w:rPr>
        <w:t>9</w:t>
      </w:r>
      <w:r>
        <w:rPr>
          <w:rFonts w:hint="eastAsia" w:cs="宋体"/>
          <w:lang w:val="zh-CN"/>
        </w:rPr>
        <w:t>.1</w:t>
      </w:r>
      <w:r>
        <w:rPr>
          <w:rFonts w:hint="eastAsia" w:cs="宋体"/>
        </w:rPr>
        <w:t>磋商小组在评审过程中发现供应商有行贿、提供虚假材料或者串通等违法行为的，应当及时向财政部门报告。</w:t>
      </w:r>
    </w:p>
    <w:p w14:paraId="51B564B3">
      <w:pPr>
        <w:pStyle w:val="25"/>
        <w:spacing w:line="440" w:lineRule="exact"/>
        <w:ind w:firstLine="480"/>
        <w:rPr>
          <w:rFonts w:hint="eastAsia" w:cs="宋体"/>
          <w:lang w:val="zh-CN"/>
        </w:rPr>
      </w:pPr>
      <w:r>
        <w:rPr>
          <w:rFonts w:hint="eastAsia" w:cs="宋体"/>
        </w:rPr>
        <w:t>9.2</w:t>
      </w:r>
      <w:r>
        <w:rPr>
          <w:rFonts w:hint="eastAsia" w:cs="宋体"/>
          <w:lang w:val="zh-CN"/>
        </w:rPr>
        <w:t>磋商小组发现磋商文件存在歧义、重大缺陷导致评审工作无法进行，或者磋商文件内容违反国家有关强制性规定的，应当停止评审工作，与采购人或者采购代理机构沟通并作书面记录。采购人或者采购代理机构确认后，应当修改磋商文件，重新组织采购活动。</w:t>
      </w:r>
    </w:p>
    <w:p w14:paraId="72A0944C">
      <w:pPr>
        <w:pStyle w:val="7"/>
        <w:keepNext w:val="0"/>
        <w:keepLines w:val="0"/>
        <w:spacing w:before="120" w:after="120" w:line="440" w:lineRule="exact"/>
        <w:ind w:left="420" w:hanging="420"/>
        <w:rPr>
          <w:rFonts w:hint="eastAsia" w:ascii="宋体" w:hAnsi="宋体" w:cs="宋体"/>
          <w:sz w:val="28"/>
          <w:szCs w:val="28"/>
        </w:rPr>
      </w:pPr>
      <w:bookmarkStart w:id="544" w:name="_Toc30352"/>
      <w:bookmarkStart w:id="545" w:name="_Toc2514"/>
      <w:r>
        <w:rPr>
          <w:rFonts w:hint="eastAsia" w:ascii="宋体" w:hAnsi="宋体" w:cs="宋体"/>
          <w:sz w:val="28"/>
          <w:szCs w:val="28"/>
        </w:rPr>
        <w:t>三、</w:t>
      </w:r>
      <w:r>
        <w:rPr>
          <w:rFonts w:hint="eastAsia" w:ascii="宋体" w:hAnsi="宋体" w:cs="宋体"/>
          <w:sz w:val="28"/>
          <w:szCs w:val="28"/>
          <w:lang w:val="zh-CN"/>
        </w:rPr>
        <w:t>评审</w:t>
      </w:r>
      <w:r>
        <w:rPr>
          <w:rFonts w:hint="eastAsia" w:ascii="宋体" w:hAnsi="宋体" w:cs="宋体"/>
          <w:sz w:val="28"/>
          <w:szCs w:val="28"/>
        </w:rPr>
        <w:t>其他要求</w:t>
      </w:r>
      <w:bookmarkEnd w:id="544"/>
      <w:bookmarkEnd w:id="545"/>
    </w:p>
    <w:p w14:paraId="3B9B7B2C">
      <w:pPr>
        <w:pStyle w:val="25"/>
        <w:spacing w:line="440" w:lineRule="exact"/>
        <w:ind w:firstLine="480" w:firstLineChars="0"/>
        <w:rPr>
          <w:rFonts w:hint="eastAsia" w:cs="宋体"/>
          <w:shd w:val="clear" w:color="auto" w:fill="FFFFFF" w:themeFill="background1"/>
        </w:rPr>
      </w:pPr>
      <w:r>
        <w:rPr>
          <w:rFonts w:hint="eastAsia" w:cs="宋体"/>
          <w:shd w:val="clear" w:color="auto" w:fill="FFFFFF" w:themeFill="background1"/>
          <w:lang w:val="zh-CN"/>
        </w:rPr>
        <w:t>【</w:t>
      </w:r>
      <w:r>
        <w:rPr>
          <w:rFonts w:hint="eastAsia" w:cs="宋体"/>
          <w:shd w:val="clear" w:color="auto" w:fill="FFFFFF" w:themeFill="background1"/>
        </w:rPr>
        <w:t>可根据项目的情况增加上述内容中未包含的要求</w:t>
      </w:r>
      <w:r>
        <w:rPr>
          <w:rFonts w:hint="eastAsia" w:cs="宋体"/>
          <w:shd w:val="clear" w:color="auto" w:fill="FFFFFF" w:themeFill="background1"/>
          <w:lang w:val="zh-CN"/>
        </w:rPr>
        <w:t>】</w:t>
      </w:r>
    </w:p>
    <w:p w14:paraId="7DAD1ED7">
      <w:pPr>
        <w:pStyle w:val="7"/>
        <w:keepNext w:val="0"/>
        <w:keepLines w:val="0"/>
        <w:spacing w:before="120" w:after="120" w:line="440" w:lineRule="exact"/>
        <w:ind w:left="420" w:hanging="420"/>
        <w:rPr>
          <w:rFonts w:hint="eastAsia" w:ascii="宋体" w:hAnsi="宋体" w:cs="宋体"/>
          <w:sz w:val="28"/>
          <w:szCs w:val="28"/>
          <w:lang w:val="zh-CN"/>
        </w:rPr>
      </w:pPr>
      <w:bookmarkStart w:id="546" w:name="_Toc18209"/>
      <w:bookmarkStart w:id="547" w:name="_Toc9755"/>
      <w:r>
        <w:rPr>
          <w:rFonts w:hint="eastAsia" w:ascii="宋体" w:hAnsi="宋体" w:cs="宋体"/>
          <w:sz w:val="28"/>
          <w:szCs w:val="28"/>
        </w:rPr>
        <w:t>四、</w:t>
      </w:r>
      <w:r>
        <w:rPr>
          <w:rFonts w:hint="eastAsia" w:ascii="宋体" w:hAnsi="宋体" w:cs="宋体"/>
          <w:sz w:val="28"/>
          <w:szCs w:val="28"/>
          <w:lang w:val="zh-CN"/>
        </w:rPr>
        <w:t>评审标准</w:t>
      </w:r>
      <w:bookmarkEnd w:id="546"/>
      <w:bookmarkEnd w:id="547"/>
    </w:p>
    <w:p w14:paraId="79FEBCCF">
      <w:pPr>
        <w:pStyle w:val="8"/>
        <w:spacing w:before="80" w:after="80" w:line="440" w:lineRule="exact"/>
        <w:ind w:left="420" w:hanging="420"/>
        <w:rPr>
          <w:rFonts w:hint="eastAsia" w:cs="宋体"/>
          <w:sz w:val="24"/>
          <w:szCs w:val="24"/>
          <w:lang w:val="zh-CN"/>
        </w:rPr>
      </w:pPr>
      <w:bookmarkStart w:id="548" w:name="_Toc3257"/>
      <w:bookmarkStart w:id="549" w:name="_Toc22339"/>
      <w:bookmarkStart w:id="550" w:name="_Toc4370"/>
      <w:bookmarkStart w:id="551" w:name="_Toc163493638"/>
      <w:r>
        <w:rPr>
          <w:rFonts w:hint="eastAsia" w:cs="宋体"/>
          <w:sz w:val="24"/>
          <w:szCs w:val="24"/>
        </w:rPr>
        <w:t>（一）</w:t>
      </w:r>
      <w:r>
        <w:rPr>
          <w:rFonts w:hint="eastAsia" w:cs="宋体"/>
          <w:sz w:val="24"/>
          <w:szCs w:val="24"/>
          <w:lang w:val="zh-CN"/>
        </w:rPr>
        <w:t>资格审查表</w:t>
      </w:r>
      <w:bookmarkEnd w:id="548"/>
      <w:bookmarkEnd w:id="549"/>
      <w:bookmarkEnd w:id="550"/>
      <w:bookmarkEnd w:id="551"/>
    </w:p>
    <w:tbl>
      <w:tblPr>
        <w:tblStyle w:val="19"/>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108" w:type="dxa"/>
          <w:bottom w:w="57" w:type="dxa"/>
          <w:right w:w="108" w:type="dxa"/>
        </w:tblCellMar>
      </w:tblPr>
      <w:tblGrid>
        <w:gridCol w:w="457"/>
        <w:gridCol w:w="1028"/>
        <w:gridCol w:w="1028"/>
        <w:gridCol w:w="4281"/>
        <w:gridCol w:w="1725"/>
      </w:tblGrid>
      <w:tr w14:paraId="0B2DA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268" w:type="pct"/>
            <w:shd w:val="clear" w:color="auto" w:fill="D8D8D8"/>
            <w:vAlign w:val="center"/>
          </w:tcPr>
          <w:p w14:paraId="3E16CAF9">
            <w:pPr>
              <w:pStyle w:val="28"/>
              <w:shd w:val="clear"/>
              <w:jc w:val="center"/>
              <w:rPr>
                <w:rFonts w:hint="eastAsia" w:cs="宋体"/>
                <w:b/>
                <w:bCs/>
                <w:sz w:val="24"/>
                <w:szCs w:val="24"/>
                <w:highlight w:val="none"/>
              </w:rPr>
            </w:pPr>
            <w:bookmarkStart w:id="552" w:name="_Toc156490348"/>
            <w:r>
              <w:rPr>
                <w:rFonts w:hint="eastAsia" w:cs="宋体"/>
                <w:b/>
                <w:bCs/>
                <w:sz w:val="24"/>
                <w:szCs w:val="24"/>
                <w:highlight w:val="none"/>
              </w:rPr>
              <w:t>序号</w:t>
            </w:r>
          </w:p>
        </w:tc>
        <w:tc>
          <w:tcPr>
            <w:tcW w:w="1206" w:type="pct"/>
            <w:gridSpan w:val="2"/>
            <w:shd w:val="clear" w:color="auto" w:fill="D8D8D8"/>
            <w:vAlign w:val="center"/>
          </w:tcPr>
          <w:p w14:paraId="0B2B5AFE">
            <w:pPr>
              <w:pStyle w:val="28"/>
              <w:shd w:val="clear"/>
              <w:jc w:val="center"/>
              <w:rPr>
                <w:rFonts w:hint="eastAsia" w:cs="宋体"/>
                <w:b/>
                <w:bCs/>
                <w:sz w:val="24"/>
                <w:szCs w:val="24"/>
                <w:highlight w:val="none"/>
              </w:rPr>
            </w:pPr>
            <w:r>
              <w:rPr>
                <w:rFonts w:hint="eastAsia" w:cs="宋体"/>
                <w:b/>
                <w:bCs/>
                <w:sz w:val="24"/>
                <w:szCs w:val="24"/>
                <w:highlight w:val="none"/>
              </w:rPr>
              <w:t>审查因素</w:t>
            </w:r>
          </w:p>
        </w:tc>
        <w:tc>
          <w:tcPr>
            <w:tcW w:w="2512" w:type="pct"/>
            <w:shd w:val="clear" w:color="auto" w:fill="D8D8D8"/>
            <w:vAlign w:val="center"/>
          </w:tcPr>
          <w:p w14:paraId="6CCF918D">
            <w:pPr>
              <w:pStyle w:val="28"/>
              <w:shd w:val="clear"/>
              <w:jc w:val="center"/>
              <w:rPr>
                <w:rFonts w:hint="eastAsia" w:cs="宋体"/>
                <w:b/>
                <w:bCs/>
                <w:sz w:val="24"/>
                <w:szCs w:val="24"/>
                <w:highlight w:val="none"/>
              </w:rPr>
            </w:pPr>
            <w:r>
              <w:rPr>
                <w:rFonts w:hint="eastAsia" w:cs="宋体"/>
                <w:b/>
                <w:bCs/>
                <w:sz w:val="24"/>
                <w:szCs w:val="24"/>
                <w:highlight w:val="none"/>
              </w:rPr>
              <w:t>审查内容</w:t>
            </w:r>
          </w:p>
        </w:tc>
        <w:tc>
          <w:tcPr>
            <w:tcW w:w="1012" w:type="pct"/>
            <w:shd w:val="clear" w:color="auto" w:fill="D8D8D8"/>
            <w:vAlign w:val="center"/>
          </w:tcPr>
          <w:p w14:paraId="143DD7FD">
            <w:pPr>
              <w:pStyle w:val="28"/>
              <w:shd w:val="clear"/>
              <w:jc w:val="center"/>
              <w:rPr>
                <w:rFonts w:hint="eastAsia" w:cs="宋体"/>
                <w:b/>
                <w:bCs/>
                <w:sz w:val="24"/>
                <w:szCs w:val="24"/>
                <w:highlight w:val="none"/>
              </w:rPr>
            </w:pPr>
            <w:r>
              <w:rPr>
                <w:rFonts w:hint="eastAsia" w:cs="宋体"/>
                <w:b/>
                <w:bCs/>
                <w:sz w:val="24"/>
                <w:szCs w:val="24"/>
                <w:highlight w:val="none"/>
              </w:rPr>
              <w:t>格式要求</w:t>
            </w:r>
          </w:p>
        </w:tc>
      </w:tr>
      <w:tr w14:paraId="08BC0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268" w:type="pct"/>
            <w:vMerge w:val="restart"/>
            <w:shd w:val="clear" w:color="auto" w:fill="FFFFFF"/>
            <w:vAlign w:val="center"/>
          </w:tcPr>
          <w:p w14:paraId="0D319101">
            <w:pPr>
              <w:pStyle w:val="28"/>
              <w:shd w:val="clear"/>
              <w:jc w:val="center"/>
              <w:rPr>
                <w:rFonts w:hint="eastAsia" w:cs="宋体"/>
                <w:b/>
                <w:bCs/>
                <w:sz w:val="24"/>
                <w:szCs w:val="24"/>
                <w:highlight w:val="none"/>
              </w:rPr>
            </w:pPr>
            <w:r>
              <w:rPr>
                <w:rFonts w:hint="eastAsia" w:cs="宋体"/>
                <w:b/>
                <w:bCs/>
                <w:sz w:val="24"/>
                <w:szCs w:val="24"/>
                <w:highlight w:val="none"/>
              </w:rPr>
              <w:t>1</w:t>
            </w:r>
          </w:p>
          <w:p w14:paraId="546BB5BE">
            <w:pPr>
              <w:pStyle w:val="28"/>
              <w:shd w:val="clear"/>
              <w:jc w:val="center"/>
              <w:rPr>
                <w:rFonts w:hint="eastAsia" w:cs="宋体"/>
                <w:b/>
                <w:bCs/>
                <w:sz w:val="24"/>
                <w:szCs w:val="24"/>
                <w:highlight w:val="none"/>
              </w:rPr>
            </w:pPr>
          </w:p>
        </w:tc>
        <w:tc>
          <w:tcPr>
            <w:tcW w:w="603" w:type="pct"/>
            <w:vMerge w:val="restart"/>
            <w:shd w:val="clear" w:color="auto" w:fill="FFFFFF"/>
            <w:vAlign w:val="center"/>
          </w:tcPr>
          <w:p w14:paraId="064A5FFC">
            <w:pPr>
              <w:pStyle w:val="28"/>
              <w:shd w:val="clear"/>
              <w:adjustRightInd w:val="0"/>
              <w:snapToGrid w:val="0"/>
              <w:jc w:val="center"/>
              <w:rPr>
                <w:rFonts w:hint="eastAsia" w:cs="宋体"/>
                <w:sz w:val="24"/>
                <w:szCs w:val="24"/>
                <w:highlight w:val="none"/>
              </w:rPr>
            </w:pPr>
            <w:r>
              <w:rPr>
                <w:rFonts w:hint="eastAsia" w:cs="宋体"/>
                <w:sz w:val="24"/>
                <w:szCs w:val="24"/>
                <w:highlight w:val="none"/>
              </w:rPr>
              <w:t>满足《政府采购法》第二十二条规定</w:t>
            </w:r>
          </w:p>
        </w:tc>
        <w:tc>
          <w:tcPr>
            <w:tcW w:w="603" w:type="pct"/>
            <w:shd w:val="clear" w:color="auto" w:fill="FFFFFF"/>
            <w:vAlign w:val="center"/>
          </w:tcPr>
          <w:p w14:paraId="00F00A49">
            <w:pPr>
              <w:pStyle w:val="28"/>
              <w:shd w:val="clear"/>
              <w:adjustRightInd w:val="0"/>
              <w:snapToGrid w:val="0"/>
              <w:jc w:val="both"/>
              <w:rPr>
                <w:rFonts w:hint="eastAsia" w:cs="宋体"/>
                <w:sz w:val="24"/>
                <w:szCs w:val="24"/>
                <w:highlight w:val="none"/>
              </w:rPr>
            </w:pPr>
            <w:r>
              <w:rPr>
                <w:rFonts w:hint="eastAsia" w:cs="宋体"/>
                <w:sz w:val="24"/>
                <w:szCs w:val="24"/>
                <w:highlight w:val="none"/>
              </w:rPr>
              <w:t>营业执照等证明文件</w:t>
            </w:r>
          </w:p>
        </w:tc>
        <w:tc>
          <w:tcPr>
            <w:tcW w:w="2512" w:type="pct"/>
            <w:shd w:val="clear" w:color="auto" w:fill="FFFFFF"/>
            <w:vAlign w:val="center"/>
          </w:tcPr>
          <w:p w14:paraId="1B3E9CC2">
            <w:pPr>
              <w:widowControl/>
              <w:shd w:val="clear"/>
              <w:adjustRightInd w:val="0"/>
              <w:snapToGrid w:val="0"/>
              <w:spacing w:line="240" w:lineRule="auto"/>
              <w:rPr>
                <w:rFonts w:hint="eastAsia" w:cs="宋体"/>
                <w:spacing w:val="-6"/>
                <w:szCs w:val="24"/>
                <w:highlight w:val="none"/>
              </w:rPr>
            </w:pPr>
            <w:r>
              <w:rPr>
                <w:rFonts w:hint="eastAsia" w:cs="宋体"/>
                <w:spacing w:val="-6"/>
                <w:kern w:val="0"/>
                <w:szCs w:val="24"/>
                <w:highlight w:val="none"/>
                <w:lang w:bidi="ar"/>
              </w:rPr>
              <w:t xml:space="preserve">投标人为企业（包括合伙企业）的，应提供有效的“营业执照”； </w:t>
            </w:r>
          </w:p>
          <w:p w14:paraId="5CB6B3C1">
            <w:pPr>
              <w:widowControl/>
              <w:shd w:val="clear"/>
              <w:adjustRightInd w:val="0"/>
              <w:snapToGrid w:val="0"/>
              <w:spacing w:line="240" w:lineRule="auto"/>
              <w:rPr>
                <w:rFonts w:hint="eastAsia" w:cs="宋体"/>
                <w:spacing w:val="-6"/>
                <w:szCs w:val="24"/>
                <w:highlight w:val="none"/>
              </w:rPr>
            </w:pPr>
            <w:r>
              <w:rPr>
                <w:rFonts w:hint="eastAsia" w:cs="宋体"/>
                <w:spacing w:val="-6"/>
                <w:kern w:val="0"/>
                <w:szCs w:val="24"/>
                <w:highlight w:val="none"/>
                <w:lang w:bidi="ar"/>
              </w:rPr>
              <w:t xml:space="preserve">投标人为事业单位的，应提供有效的“事业单位法人证书” ； </w:t>
            </w:r>
          </w:p>
          <w:p w14:paraId="68925822">
            <w:pPr>
              <w:widowControl/>
              <w:shd w:val="clear"/>
              <w:adjustRightInd w:val="0"/>
              <w:snapToGrid w:val="0"/>
              <w:spacing w:line="240" w:lineRule="auto"/>
              <w:rPr>
                <w:rFonts w:hint="eastAsia" w:cs="宋体"/>
                <w:spacing w:val="-6"/>
                <w:szCs w:val="24"/>
                <w:highlight w:val="none"/>
              </w:rPr>
            </w:pPr>
            <w:r>
              <w:rPr>
                <w:rFonts w:hint="eastAsia" w:cs="宋体"/>
                <w:spacing w:val="-6"/>
                <w:kern w:val="0"/>
                <w:szCs w:val="24"/>
                <w:highlight w:val="none"/>
                <w:lang w:bidi="ar"/>
              </w:rPr>
              <w:t xml:space="preserve">投标人是非企业机构的，应提供有效的“执业许可证”、“登记证书”等证明文件； </w:t>
            </w:r>
          </w:p>
          <w:p w14:paraId="0993DD91">
            <w:pPr>
              <w:widowControl/>
              <w:shd w:val="clear"/>
              <w:adjustRightInd w:val="0"/>
              <w:snapToGrid w:val="0"/>
              <w:spacing w:line="240" w:lineRule="auto"/>
              <w:rPr>
                <w:rFonts w:hint="eastAsia" w:cs="宋体"/>
                <w:spacing w:val="-6"/>
                <w:szCs w:val="24"/>
                <w:highlight w:val="none"/>
              </w:rPr>
            </w:pPr>
            <w:r>
              <w:rPr>
                <w:rFonts w:hint="eastAsia" w:cs="宋体"/>
                <w:spacing w:val="-6"/>
                <w:kern w:val="0"/>
                <w:szCs w:val="24"/>
                <w:highlight w:val="none"/>
                <w:lang w:bidi="ar"/>
              </w:rPr>
              <w:t xml:space="preserve">投标人是个体工商户的，应提供有效的“个体工商户营业执照”； </w:t>
            </w:r>
          </w:p>
          <w:p w14:paraId="4792F306">
            <w:pPr>
              <w:widowControl/>
              <w:shd w:val="clear"/>
              <w:adjustRightInd w:val="0"/>
              <w:snapToGrid w:val="0"/>
              <w:spacing w:line="240" w:lineRule="auto"/>
              <w:rPr>
                <w:rFonts w:hint="eastAsia" w:cs="宋体"/>
                <w:szCs w:val="24"/>
                <w:highlight w:val="none"/>
              </w:rPr>
            </w:pPr>
            <w:r>
              <w:rPr>
                <w:rFonts w:hint="eastAsia" w:cs="宋体"/>
                <w:spacing w:val="-11"/>
                <w:kern w:val="0"/>
                <w:szCs w:val="24"/>
                <w:highlight w:val="none"/>
                <w:lang w:bidi="ar"/>
              </w:rPr>
              <w:t>投标人是自然人的，应提供有效的自然人身份证明。</w:t>
            </w:r>
          </w:p>
        </w:tc>
        <w:tc>
          <w:tcPr>
            <w:tcW w:w="1012" w:type="pct"/>
            <w:shd w:val="clear" w:color="auto" w:fill="FFFFFF"/>
            <w:vAlign w:val="center"/>
          </w:tcPr>
          <w:p w14:paraId="558909A9">
            <w:pPr>
              <w:widowControl/>
              <w:shd w:val="clear"/>
              <w:adjustRightInd w:val="0"/>
              <w:snapToGrid w:val="0"/>
              <w:spacing w:line="240" w:lineRule="auto"/>
              <w:rPr>
                <w:rFonts w:hint="eastAsia" w:cs="宋体"/>
                <w:b/>
                <w:bCs/>
                <w:szCs w:val="24"/>
                <w:highlight w:val="none"/>
              </w:rPr>
            </w:pPr>
            <w:r>
              <w:rPr>
                <w:rFonts w:hint="eastAsia" w:cs="宋体"/>
                <w:kern w:val="0"/>
                <w:szCs w:val="24"/>
                <w:highlight w:val="none"/>
                <w:lang w:bidi="ar"/>
              </w:rPr>
              <w:t>提供证明文件的电子件或电子证照</w:t>
            </w:r>
          </w:p>
        </w:tc>
      </w:tr>
      <w:tr w14:paraId="0CD74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268" w:type="pct"/>
            <w:vMerge w:val="continue"/>
            <w:shd w:val="clear" w:color="auto" w:fill="FFFFFF"/>
            <w:vAlign w:val="center"/>
          </w:tcPr>
          <w:p w14:paraId="14DC031C">
            <w:pPr>
              <w:pStyle w:val="28"/>
              <w:shd w:val="clear"/>
              <w:jc w:val="center"/>
              <w:rPr>
                <w:rFonts w:hint="eastAsia" w:cs="宋体"/>
                <w:b/>
                <w:bCs/>
                <w:sz w:val="24"/>
                <w:szCs w:val="24"/>
                <w:highlight w:val="none"/>
              </w:rPr>
            </w:pPr>
          </w:p>
        </w:tc>
        <w:tc>
          <w:tcPr>
            <w:tcW w:w="603" w:type="pct"/>
            <w:vMerge w:val="continue"/>
            <w:shd w:val="clear" w:color="auto" w:fill="FFFFFF"/>
            <w:vAlign w:val="center"/>
          </w:tcPr>
          <w:p w14:paraId="304A93B1">
            <w:pPr>
              <w:pStyle w:val="28"/>
              <w:shd w:val="clear"/>
              <w:adjustRightInd w:val="0"/>
              <w:snapToGrid w:val="0"/>
              <w:jc w:val="both"/>
              <w:rPr>
                <w:rFonts w:hint="eastAsia" w:cs="宋体"/>
                <w:sz w:val="24"/>
                <w:szCs w:val="24"/>
                <w:highlight w:val="none"/>
              </w:rPr>
            </w:pPr>
          </w:p>
        </w:tc>
        <w:tc>
          <w:tcPr>
            <w:tcW w:w="603" w:type="pct"/>
            <w:shd w:val="clear" w:color="auto" w:fill="FFFFFF"/>
            <w:vAlign w:val="center"/>
          </w:tcPr>
          <w:p w14:paraId="4C5BEEE5">
            <w:pPr>
              <w:pStyle w:val="28"/>
              <w:shd w:val="clear"/>
              <w:adjustRightInd w:val="0"/>
              <w:snapToGrid w:val="0"/>
              <w:jc w:val="both"/>
              <w:rPr>
                <w:rFonts w:hint="eastAsia" w:cs="宋体"/>
                <w:sz w:val="24"/>
                <w:szCs w:val="24"/>
                <w:highlight w:val="none"/>
              </w:rPr>
            </w:pPr>
            <w:r>
              <w:rPr>
                <w:rFonts w:hint="eastAsia" w:cs="宋体"/>
                <w:sz w:val="24"/>
                <w:szCs w:val="24"/>
                <w:highlight w:val="none"/>
              </w:rPr>
              <w:t>投标人信用承诺函</w:t>
            </w:r>
          </w:p>
        </w:tc>
        <w:tc>
          <w:tcPr>
            <w:tcW w:w="2512" w:type="pct"/>
            <w:shd w:val="clear" w:color="auto" w:fill="FFFFFF"/>
            <w:vAlign w:val="center"/>
          </w:tcPr>
          <w:p w14:paraId="7D5851D3">
            <w:pPr>
              <w:pStyle w:val="28"/>
              <w:shd w:val="clear"/>
              <w:adjustRightInd w:val="0"/>
              <w:snapToGrid w:val="0"/>
              <w:jc w:val="both"/>
              <w:rPr>
                <w:rFonts w:hint="eastAsia" w:cs="宋体"/>
                <w:spacing w:val="-6"/>
                <w:sz w:val="24"/>
                <w:szCs w:val="24"/>
                <w:highlight w:val="none"/>
              </w:rPr>
            </w:pPr>
            <w:r>
              <w:rPr>
                <w:rFonts w:hint="eastAsia" w:cs="宋体"/>
                <w:sz w:val="24"/>
                <w:szCs w:val="24"/>
                <w:highlight w:val="none"/>
              </w:rPr>
              <w:t>提供了符合招标文件要求的《政府采购供应商信用承诺函》。</w:t>
            </w:r>
          </w:p>
        </w:tc>
        <w:tc>
          <w:tcPr>
            <w:tcW w:w="1012" w:type="pct"/>
            <w:shd w:val="clear" w:color="auto" w:fill="FFFFFF"/>
            <w:vAlign w:val="center"/>
          </w:tcPr>
          <w:p w14:paraId="11DA8A11">
            <w:pPr>
              <w:widowControl/>
              <w:shd w:val="clear"/>
              <w:adjustRightInd w:val="0"/>
              <w:snapToGrid w:val="0"/>
              <w:spacing w:line="240" w:lineRule="auto"/>
              <w:rPr>
                <w:rFonts w:hint="eastAsia" w:cs="宋体"/>
                <w:kern w:val="0"/>
                <w:szCs w:val="24"/>
                <w:highlight w:val="none"/>
              </w:rPr>
            </w:pPr>
            <w:r>
              <w:rPr>
                <w:rFonts w:hint="eastAsia" w:cs="宋体"/>
                <w:kern w:val="0"/>
                <w:szCs w:val="24"/>
                <w:highlight w:val="none"/>
              </w:rPr>
              <w:t>格式见第六章响应文件格式</w:t>
            </w:r>
          </w:p>
        </w:tc>
      </w:tr>
      <w:tr w14:paraId="64DA8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268" w:type="pct"/>
            <w:shd w:val="clear" w:color="auto" w:fill="FFFFFF"/>
            <w:vAlign w:val="center"/>
          </w:tcPr>
          <w:p w14:paraId="222C3E0E">
            <w:pPr>
              <w:pStyle w:val="28"/>
              <w:shd w:val="clear"/>
              <w:jc w:val="center"/>
              <w:rPr>
                <w:rFonts w:hint="eastAsia" w:eastAsia="宋体" w:cs="宋体"/>
                <w:b/>
                <w:bCs/>
                <w:sz w:val="24"/>
                <w:szCs w:val="24"/>
                <w:highlight w:val="none"/>
                <w:lang w:eastAsia="zh-CN"/>
              </w:rPr>
            </w:pPr>
            <w:r>
              <w:rPr>
                <w:rFonts w:hint="eastAsia" w:cs="宋体"/>
                <w:b/>
                <w:bCs/>
                <w:sz w:val="24"/>
                <w:szCs w:val="24"/>
                <w:highlight w:val="none"/>
                <w:lang w:val="en-US" w:eastAsia="zh-CN"/>
              </w:rPr>
              <w:t>2</w:t>
            </w:r>
          </w:p>
        </w:tc>
        <w:tc>
          <w:tcPr>
            <w:tcW w:w="1206" w:type="pct"/>
            <w:gridSpan w:val="2"/>
            <w:vAlign w:val="center"/>
          </w:tcPr>
          <w:p w14:paraId="1259036C">
            <w:pPr>
              <w:pStyle w:val="28"/>
              <w:shd w:val="clear"/>
              <w:adjustRightInd w:val="0"/>
              <w:snapToGrid w:val="0"/>
              <w:jc w:val="center"/>
              <w:rPr>
                <w:rFonts w:hint="eastAsia" w:cs="宋体"/>
                <w:sz w:val="24"/>
                <w:szCs w:val="24"/>
                <w:highlight w:val="none"/>
              </w:rPr>
            </w:pPr>
            <w:r>
              <w:rPr>
                <w:rFonts w:hint="eastAsia" w:cs="宋体"/>
                <w:sz w:val="24"/>
                <w:szCs w:val="24"/>
                <w:highlight w:val="none"/>
              </w:rPr>
              <w:t>投标人信用记录</w:t>
            </w:r>
          </w:p>
        </w:tc>
        <w:tc>
          <w:tcPr>
            <w:tcW w:w="2512" w:type="pct"/>
            <w:vAlign w:val="center"/>
          </w:tcPr>
          <w:p w14:paraId="1BE71C55">
            <w:pPr>
              <w:pStyle w:val="28"/>
              <w:shd w:val="clear"/>
              <w:adjustRightInd w:val="0"/>
              <w:snapToGrid w:val="0"/>
              <w:jc w:val="both"/>
              <w:rPr>
                <w:rFonts w:hint="eastAsia" w:cs="宋体"/>
                <w:spacing w:val="-6"/>
                <w:sz w:val="24"/>
                <w:szCs w:val="24"/>
                <w:highlight w:val="none"/>
              </w:rPr>
            </w:pPr>
            <w:r>
              <w:rPr>
                <w:rFonts w:hint="eastAsia" w:cs="宋体"/>
                <w:spacing w:val="-6"/>
                <w:sz w:val="24"/>
                <w:szCs w:val="24"/>
                <w:highlight w:val="none"/>
              </w:rPr>
              <w:t xml:space="preserve">查询渠道：信用中国网站和中国政府采购网（ </w:t>
            </w:r>
          </w:p>
          <w:p w14:paraId="0155C9CA">
            <w:pPr>
              <w:pStyle w:val="28"/>
              <w:shd w:val="clear"/>
              <w:adjustRightInd w:val="0"/>
              <w:snapToGrid w:val="0"/>
              <w:jc w:val="both"/>
              <w:rPr>
                <w:rFonts w:hint="eastAsia" w:cs="宋体"/>
                <w:sz w:val="24"/>
                <w:szCs w:val="24"/>
                <w:highlight w:val="none"/>
              </w:rPr>
            </w:pPr>
            <w:r>
              <w:rPr>
                <w:rFonts w:hint="eastAsia" w:cs="宋体"/>
                <w:spacing w:val="-6"/>
                <w:sz w:val="24"/>
                <w:szCs w:val="24"/>
                <w:highlight w:val="none"/>
              </w:rPr>
              <w:t>www.creditchina.gov.cn 、www.ccgp.gov.cn）；</w:t>
            </w:r>
            <w:r>
              <w:rPr>
                <w:rFonts w:hint="eastAsia" w:cs="宋体"/>
                <w:sz w:val="24"/>
                <w:szCs w:val="24"/>
                <w:highlight w:val="none"/>
              </w:rPr>
              <w:t xml:space="preserve"> </w:t>
            </w:r>
          </w:p>
          <w:p w14:paraId="6DA6F3DA">
            <w:pPr>
              <w:pStyle w:val="28"/>
              <w:shd w:val="clear"/>
              <w:adjustRightInd w:val="0"/>
              <w:snapToGrid w:val="0"/>
              <w:jc w:val="both"/>
              <w:rPr>
                <w:rFonts w:hint="eastAsia" w:cs="宋体"/>
                <w:sz w:val="24"/>
                <w:szCs w:val="24"/>
                <w:highlight w:val="none"/>
              </w:rPr>
            </w:pPr>
            <w:r>
              <w:rPr>
                <w:rFonts w:hint="eastAsia" w:cs="宋体"/>
                <w:sz w:val="24"/>
                <w:szCs w:val="24"/>
                <w:highlight w:val="none"/>
              </w:rPr>
              <w:t xml:space="preserve">截止时点：投标截止时间以后、资格审查阶段采购人或采购代理机构的实际查询时间； </w:t>
            </w:r>
          </w:p>
          <w:p w14:paraId="3248260B">
            <w:pPr>
              <w:pStyle w:val="28"/>
              <w:shd w:val="clear"/>
              <w:adjustRightInd w:val="0"/>
              <w:snapToGrid w:val="0"/>
              <w:jc w:val="both"/>
              <w:rPr>
                <w:rFonts w:hint="eastAsia" w:cs="宋体"/>
                <w:sz w:val="24"/>
                <w:szCs w:val="24"/>
                <w:highlight w:val="none"/>
              </w:rPr>
            </w:pPr>
            <w:r>
              <w:rPr>
                <w:rFonts w:hint="eastAsia" w:cs="宋体"/>
                <w:sz w:val="24"/>
                <w:szCs w:val="24"/>
                <w:highlight w:val="none"/>
              </w:rPr>
              <w:t xml:space="preserve">信用信息查询记录和证据留存具体方式：查询结果网页打印页作为查询记录和证据，与其他采购文件一并保存； </w:t>
            </w:r>
          </w:p>
          <w:p w14:paraId="691DC2F2">
            <w:pPr>
              <w:pStyle w:val="28"/>
              <w:shd w:val="clear"/>
              <w:adjustRightInd w:val="0"/>
              <w:snapToGrid w:val="0"/>
              <w:jc w:val="both"/>
              <w:rPr>
                <w:rFonts w:hint="eastAsia" w:cs="宋体"/>
                <w:sz w:val="24"/>
                <w:szCs w:val="24"/>
                <w:highlight w:val="none"/>
              </w:rPr>
            </w:pPr>
            <w:r>
              <w:rPr>
                <w:rFonts w:hint="eastAsia" w:cs="宋体"/>
                <w:spacing w:val="-6"/>
                <w:sz w:val="24"/>
                <w:szCs w:val="24"/>
                <w:highlight w:val="none"/>
              </w:rPr>
              <w:t>信用信息的使用原则：经认定的被列入失信被执行人、重大税收违法失信主体、政府采购严重违法失信行为记录名单的投标人，其</w:t>
            </w:r>
            <w:r>
              <w:rPr>
                <w:rFonts w:hint="eastAsia" w:cs="宋体"/>
                <w:b/>
                <w:bCs/>
                <w:spacing w:val="-6"/>
                <w:sz w:val="24"/>
                <w:szCs w:val="24"/>
                <w:highlight w:val="none"/>
              </w:rPr>
              <w:t>投标无效</w:t>
            </w:r>
            <w:r>
              <w:rPr>
                <w:rFonts w:hint="eastAsia" w:cs="宋体"/>
                <w:spacing w:val="-6"/>
                <w:sz w:val="24"/>
                <w:szCs w:val="24"/>
                <w:highlight w:val="none"/>
              </w:rPr>
              <w:t>。联合体形式投标的，联合体成员存在不良信用记录，视同联合体存在不良信用记录。</w:t>
            </w:r>
          </w:p>
        </w:tc>
        <w:tc>
          <w:tcPr>
            <w:tcW w:w="1012" w:type="pct"/>
            <w:shd w:val="clear" w:color="auto" w:fill="FFFFFF"/>
            <w:vAlign w:val="center"/>
          </w:tcPr>
          <w:p w14:paraId="04888873">
            <w:pPr>
              <w:widowControl/>
              <w:shd w:val="clear"/>
              <w:adjustRightInd w:val="0"/>
              <w:snapToGrid w:val="0"/>
              <w:spacing w:line="240" w:lineRule="auto"/>
              <w:rPr>
                <w:rFonts w:hint="eastAsia" w:cs="宋体"/>
                <w:kern w:val="0"/>
                <w:szCs w:val="24"/>
                <w:highlight w:val="none"/>
                <w:lang w:bidi="ar"/>
              </w:rPr>
            </w:pPr>
            <w:r>
              <w:rPr>
                <w:rFonts w:hint="eastAsia" w:cs="宋体"/>
                <w:kern w:val="0"/>
                <w:szCs w:val="24"/>
                <w:highlight w:val="none"/>
                <w:lang w:bidi="ar"/>
              </w:rPr>
              <w:t>无须投标人提供，由采购人或采购代理机构查询。</w:t>
            </w:r>
          </w:p>
          <w:p w14:paraId="10CA5FE0">
            <w:pPr>
              <w:widowControl/>
              <w:shd w:val="clear"/>
              <w:adjustRightInd w:val="0"/>
              <w:snapToGrid w:val="0"/>
              <w:spacing w:line="240" w:lineRule="auto"/>
              <w:rPr>
                <w:rFonts w:hint="eastAsia" w:cs="宋体"/>
                <w:kern w:val="0"/>
                <w:szCs w:val="24"/>
                <w:highlight w:val="none"/>
              </w:rPr>
            </w:pPr>
          </w:p>
        </w:tc>
      </w:tr>
    </w:tbl>
    <w:p w14:paraId="3C9FE8FE">
      <w:pPr>
        <w:shd w:val="clear"/>
        <w:spacing w:line="420" w:lineRule="exact"/>
        <w:rPr>
          <w:rFonts w:hint="eastAsia" w:cs="宋体"/>
          <w:b/>
          <w:bCs/>
          <w:sz w:val="21"/>
          <w:szCs w:val="21"/>
          <w:highlight w:val="none"/>
        </w:rPr>
      </w:pPr>
    </w:p>
    <w:p w14:paraId="1C79E11B">
      <w:pPr>
        <w:shd w:val="clear"/>
        <w:spacing w:line="420" w:lineRule="exact"/>
        <w:rPr>
          <w:rFonts w:hint="eastAsia" w:cs="宋体"/>
          <w:b/>
          <w:bCs/>
          <w:sz w:val="21"/>
          <w:szCs w:val="21"/>
          <w:highlight w:val="none"/>
        </w:rPr>
      </w:pPr>
      <w:r>
        <w:rPr>
          <w:rFonts w:hint="eastAsia" w:cs="宋体"/>
          <w:b/>
          <w:bCs/>
          <w:sz w:val="21"/>
          <w:szCs w:val="21"/>
          <w:highlight w:val="none"/>
        </w:rPr>
        <w:t>备注：</w:t>
      </w:r>
    </w:p>
    <w:p w14:paraId="509818B3">
      <w:pPr>
        <w:pStyle w:val="59"/>
        <w:shd w:val="clear"/>
        <w:spacing w:line="420" w:lineRule="exact"/>
        <w:rPr>
          <w:rFonts w:hint="eastAsia" w:cs="宋体"/>
          <w:sz w:val="21"/>
          <w:szCs w:val="21"/>
          <w:highlight w:val="none"/>
        </w:rPr>
      </w:pPr>
      <w:r>
        <w:rPr>
          <w:rFonts w:hint="eastAsia" w:cs="宋体"/>
          <w:sz w:val="21"/>
          <w:szCs w:val="21"/>
          <w:highlight w:val="none"/>
        </w:rPr>
        <w:t>1.供应商须按上表格式要求提供相关证明文件，响应文件中须编入清晰的扫描件或网页截图。所有证明材料须清晰可辨认，如因证明材料模糊无法辨认，缺页、漏页导致无法进行评审认定的，责任由供应商承担。</w:t>
      </w:r>
    </w:p>
    <w:p w14:paraId="34298128">
      <w:pPr>
        <w:pStyle w:val="59"/>
        <w:shd w:val="clear"/>
        <w:spacing w:line="420" w:lineRule="exact"/>
        <w:rPr>
          <w:rFonts w:hint="eastAsia" w:cs="宋体"/>
          <w:sz w:val="21"/>
          <w:szCs w:val="21"/>
          <w:highlight w:val="none"/>
        </w:rPr>
      </w:pPr>
      <w:r>
        <w:rPr>
          <w:rFonts w:hint="eastAsia" w:cs="宋体"/>
          <w:sz w:val="21"/>
          <w:szCs w:val="21"/>
          <w:highlight w:val="none"/>
        </w:rPr>
        <w:t>2.</w:t>
      </w:r>
      <w:r>
        <w:rPr>
          <w:rFonts w:hint="eastAsia" w:cs="宋体"/>
          <w:sz w:val="21"/>
          <w:szCs w:val="21"/>
          <w:highlight w:val="none"/>
          <w:lang w:val="zh-CN"/>
        </w:rPr>
        <w:t>信用信息核</w:t>
      </w:r>
      <w:r>
        <w:rPr>
          <w:rFonts w:hint="eastAsia" w:cs="宋体"/>
          <w:sz w:val="21"/>
          <w:szCs w:val="21"/>
          <w:highlight w:val="none"/>
        </w:rPr>
        <w:t>查</w:t>
      </w:r>
    </w:p>
    <w:p w14:paraId="3DA3DB26">
      <w:pPr>
        <w:pStyle w:val="25"/>
        <w:shd w:val="clear"/>
        <w:spacing w:line="420" w:lineRule="exact"/>
        <w:ind w:firstLine="420"/>
        <w:rPr>
          <w:rFonts w:hint="eastAsia" w:cs="宋体"/>
          <w:sz w:val="21"/>
          <w:szCs w:val="21"/>
          <w:highlight w:val="none"/>
        </w:rPr>
      </w:pPr>
      <w:r>
        <w:rPr>
          <w:rFonts w:hint="eastAsia" w:cs="宋体"/>
          <w:sz w:val="21"/>
          <w:szCs w:val="21"/>
          <w:highlight w:val="none"/>
        </w:rPr>
        <w:t>2.1资格审查阶段应当核查供应商信用记录，供应商被列入失信被执行人、重大税收违法失信主体、政府采购严重违法失信行为记录名单的，采购人拒绝其参与政府采购活动。</w:t>
      </w:r>
    </w:p>
    <w:p w14:paraId="46EE3573">
      <w:pPr>
        <w:pStyle w:val="25"/>
        <w:shd w:val="clear"/>
        <w:spacing w:line="420" w:lineRule="exact"/>
        <w:ind w:firstLine="420"/>
        <w:rPr>
          <w:rFonts w:hint="eastAsia" w:cs="宋体"/>
          <w:sz w:val="21"/>
          <w:szCs w:val="21"/>
          <w:highlight w:val="none"/>
        </w:rPr>
      </w:pPr>
      <w:r>
        <w:rPr>
          <w:rFonts w:hint="eastAsia" w:cs="宋体"/>
          <w:sz w:val="21"/>
          <w:szCs w:val="21"/>
          <w:highlight w:val="none"/>
        </w:rPr>
        <w:t>2.2以联合体形式参与磋商的，应当核查联合体所有成员和信用记录，联合体成员存在不良信用记录的，视同联合体存在不良信用信息。</w:t>
      </w:r>
    </w:p>
    <w:p w14:paraId="4CA1DFCD">
      <w:pPr>
        <w:pStyle w:val="59"/>
        <w:shd w:val="clear"/>
        <w:spacing w:line="420" w:lineRule="exact"/>
        <w:rPr>
          <w:rFonts w:hint="eastAsia" w:cs="宋体"/>
          <w:sz w:val="21"/>
          <w:szCs w:val="21"/>
          <w:highlight w:val="none"/>
        </w:rPr>
      </w:pPr>
      <w:r>
        <w:rPr>
          <w:rFonts w:hint="eastAsia" w:cs="宋体"/>
          <w:sz w:val="21"/>
          <w:szCs w:val="21"/>
          <w:highlight w:val="none"/>
        </w:rPr>
        <w:t>3.对于响应文件中有任意一条不满足上表要求的，将导致其</w:t>
      </w:r>
      <w:r>
        <w:rPr>
          <w:rFonts w:hint="eastAsia" w:cs="宋体"/>
          <w:b/>
          <w:bCs/>
          <w:sz w:val="21"/>
          <w:szCs w:val="21"/>
          <w:highlight w:val="none"/>
        </w:rPr>
        <w:t>响应无效</w:t>
      </w:r>
      <w:r>
        <w:rPr>
          <w:rFonts w:hint="eastAsia" w:cs="宋体"/>
          <w:sz w:val="21"/>
          <w:szCs w:val="21"/>
          <w:highlight w:val="none"/>
        </w:rPr>
        <w:t>，不得进入下一项评审。</w:t>
      </w:r>
    </w:p>
    <w:p w14:paraId="55110B7F">
      <w:pPr>
        <w:shd w:val="clear"/>
        <w:rPr>
          <w:rFonts w:hint="eastAsia" w:cs="宋体"/>
          <w:highlight w:val="none"/>
        </w:rPr>
      </w:pPr>
      <w:r>
        <w:rPr>
          <w:rFonts w:hint="eastAsia" w:cs="宋体"/>
          <w:highlight w:val="none"/>
        </w:rPr>
        <w:br w:type="page"/>
      </w:r>
    </w:p>
    <w:p w14:paraId="613615CA">
      <w:pPr>
        <w:pStyle w:val="8"/>
        <w:keepNext w:val="0"/>
        <w:keepLines w:val="0"/>
        <w:shd w:val="clear"/>
        <w:spacing w:before="100" w:after="100" w:line="480" w:lineRule="exact"/>
        <w:ind w:left="420" w:hanging="420"/>
        <w:rPr>
          <w:rFonts w:hint="eastAsia" w:cs="宋体"/>
          <w:sz w:val="24"/>
          <w:szCs w:val="24"/>
          <w:highlight w:val="none"/>
          <w:lang w:val="zh-CN"/>
        </w:rPr>
      </w:pPr>
      <w:bookmarkStart w:id="553" w:name="_Toc9699"/>
      <w:bookmarkStart w:id="554" w:name="_Toc4949"/>
      <w:bookmarkStart w:id="555" w:name="_Toc163493639"/>
      <w:bookmarkStart w:id="556" w:name="_Toc4945"/>
      <w:r>
        <w:rPr>
          <w:rFonts w:hint="eastAsia" w:cs="宋体"/>
          <w:sz w:val="24"/>
          <w:szCs w:val="24"/>
          <w:highlight w:val="none"/>
        </w:rPr>
        <w:t>（二）</w:t>
      </w:r>
      <w:r>
        <w:rPr>
          <w:rFonts w:hint="eastAsia" w:cs="宋体"/>
          <w:sz w:val="24"/>
          <w:szCs w:val="24"/>
          <w:highlight w:val="none"/>
          <w:lang w:val="zh-CN"/>
        </w:rPr>
        <w:t>符合性审查表</w:t>
      </w:r>
      <w:bookmarkEnd w:id="552"/>
      <w:bookmarkEnd w:id="553"/>
      <w:bookmarkEnd w:id="554"/>
      <w:bookmarkEnd w:id="555"/>
      <w:bookmarkEnd w:id="556"/>
    </w:p>
    <w:tbl>
      <w:tblPr>
        <w:tblStyle w:val="19"/>
        <w:tblW w:w="5424" w:type="pct"/>
        <w:tblInd w:w="-34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97"/>
        <w:gridCol w:w="1302"/>
        <w:gridCol w:w="5492"/>
        <w:gridCol w:w="866"/>
        <w:gridCol w:w="1088"/>
      </w:tblGrid>
      <w:tr w14:paraId="6867D0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3" w:hRule="atLeast"/>
        </w:trPr>
        <w:tc>
          <w:tcPr>
            <w:tcW w:w="269" w:type="pct"/>
            <w:vMerge w:val="restart"/>
            <w:shd w:val="clear" w:color="auto" w:fill="D8D8D8" w:themeFill="background1" w:themeFillShade="D9"/>
            <w:vAlign w:val="center"/>
          </w:tcPr>
          <w:p w14:paraId="3B188FC3">
            <w:pPr>
              <w:pStyle w:val="28"/>
              <w:shd w:val="clear"/>
              <w:spacing w:line="440" w:lineRule="exact"/>
              <w:jc w:val="center"/>
              <w:rPr>
                <w:rFonts w:hint="eastAsia" w:cs="宋体"/>
                <w:b/>
                <w:bCs/>
                <w:sz w:val="24"/>
                <w:szCs w:val="24"/>
                <w:highlight w:val="none"/>
                <w:lang w:val="zh-CN"/>
              </w:rPr>
            </w:pPr>
            <w:bookmarkStart w:id="557" w:name="_Toc163493640"/>
            <w:r>
              <w:rPr>
                <w:rFonts w:hint="eastAsia" w:cs="宋体"/>
                <w:b/>
                <w:bCs/>
                <w:sz w:val="24"/>
                <w:szCs w:val="24"/>
                <w:highlight w:val="none"/>
                <w:lang w:val="zh-CN"/>
              </w:rPr>
              <w:t>序号</w:t>
            </w:r>
          </w:p>
        </w:tc>
        <w:tc>
          <w:tcPr>
            <w:tcW w:w="704" w:type="pct"/>
            <w:vMerge w:val="restart"/>
            <w:shd w:val="clear" w:color="auto" w:fill="D8D8D8" w:themeFill="background1" w:themeFillShade="D9"/>
            <w:vAlign w:val="center"/>
          </w:tcPr>
          <w:p w14:paraId="316B5F87">
            <w:pPr>
              <w:pStyle w:val="28"/>
              <w:shd w:val="clear"/>
              <w:spacing w:line="440" w:lineRule="exact"/>
              <w:jc w:val="center"/>
              <w:rPr>
                <w:rFonts w:hint="eastAsia" w:cs="宋体"/>
                <w:b/>
                <w:bCs/>
                <w:sz w:val="24"/>
                <w:szCs w:val="24"/>
                <w:highlight w:val="none"/>
                <w:lang w:val="zh-CN"/>
              </w:rPr>
            </w:pPr>
            <w:r>
              <w:rPr>
                <w:rFonts w:hint="eastAsia" w:cs="宋体"/>
                <w:b/>
                <w:bCs/>
                <w:sz w:val="24"/>
                <w:szCs w:val="24"/>
                <w:highlight w:val="none"/>
                <w:lang w:val="zh-CN"/>
              </w:rPr>
              <w:t>审查项名称</w:t>
            </w:r>
          </w:p>
        </w:tc>
        <w:tc>
          <w:tcPr>
            <w:tcW w:w="2969" w:type="pct"/>
            <w:vMerge w:val="restart"/>
            <w:shd w:val="clear" w:color="auto" w:fill="D8D8D8" w:themeFill="background1" w:themeFillShade="D9"/>
            <w:vAlign w:val="center"/>
          </w:tcPr>
          <w:p w14:paraId="44B32FDC">
            <w:pPr>
              <w:pStyle w:val="28"/>
              <w:shd w:val="clear"/>
              <w:spacing w:line="440" w:lineRule="exact"/>
              <w:jc w:val="center"/>
              <w:rPr>
                <w:rFonts w:hint="eastAsia" w:cs="宋体"/>
                <w:b/>
                <w:bCs/>
                <w:sz w:val="24"/>
                <w:szCs w:val="24"/>
                <w:highlight w:val="none"/>
                <w:lang w:val="zh-CN"/>
              </w:rPr>
            </w:pPr>
            <w:r>
              <w:rPr>
                <w:rFonts w:hint="eastAsia" w:cs="宋体"/>
                <w:b/>
                <w:bCs/>
                <w:sz w:val="24"/>
                <w:szCs w:val="24"/>
                <w:highlight w:val="none"/>
                <w:lang w:val="zh-CN"/>
              </w:rPr>
              <w:t>审查内容</w:t>
            </w:r>
          </w:p>
        </w:tc>
        <w:tc>
          <w:tcPr>
            <w:tcW w:w="1056" w:type="pct"/>
            <w:gridSpan w:val="2"/>
            <w:shd w:val="clear" w:color="auto" w:fill="D8D8D8" w:themeFill="background1" w:themeFillShade="D9"/>
            <w:vAlign w:val="center"/>
          </w:tcPr>
          <w:p w14:paraId="2724C461">
            <w:pPr>
              <w:pStyle w:val="28"/>
              <w:shd w:val="clear"/>
              <w:spacing w:line="440" w:lineRule="exact"/>
              <w:jc w:val="center"/>
              <w:rPr>
                <w:rFonts w:hint="eastAsia" w:cs="宋体"/>
                <w:b/>
                <w:bCs/>
                <w:sz w:val="24"/>
                <w:szCs w:val="24"/>
                <w:highlight w:val="none"/>
              </w:rPr>
            </w:pPr>
            <w:r>
              <w:rPr>
                <w:rFonts w:hint="eastAsia" w:cs="宋体"/>
                <w:b/>
                <w:bCs/>
                <w:sz w:val="24"/>
                <w:szCs w:val="24"/>
                <w:highlight w:val="none"/>
              </w:rPr>
              <w:t>审查结果</w:t>
            </w:r>
          </w:p>
        </w:tc>
      </w:tr>
      <w:tr w14:paraId="6963BE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3" w:hRule="atLeast"/>
        </w:trPr>
        <w:tc>
          <w:tcPr>
            <w:tcW w:w="269" w:type="pct"/>
            <w:vMerge w:val="continue"/>
            <w:shd w:val="clear" w:color="auto" w:fill="D8D8D8" w:themeFill="background1" w:themeFillShade="D9"/>
            <w:vAlign w:val="center"/>
          </w:tcPr>
          <w:p w14:paraId="1859AA86">
            <w:pPr>
              <w:pStyle w:val="28"/>
              <w:shd w:val="clear"/>
              <w:spacing w:line="440" w:lineRule="exact"/>
              <w:jc w:val="center"/>
              <w:rPr>
                <w:rFonts w:hint="eastAsia" w:cs="宋体"/>
                <w:b/>
                <w:bCs/>
                <w:sz w:val="24"/>
                <w:szCs w:val="24"/>
                <w:highlight w:val="none"/>
                <w:lang w:val="zh-CN"/>
              </w:rPr>
            </w:pPr>
          </w:p>
        </w:tc>
        <w:tc>
          <w:tcPr>
            <w:tcW w:w="704" w:type="pct"/>
            <w:vMerge w:val="continue"/>
            <w:shd w:val="clear" w:color="auto" w:fill="D8D8D8" w:themeFill="background1" w:themeFillShade="D9"/>
            <w:vAlign w:val="center"/>
          </w:tcPr>
          <w:p w14:paraId="51EF0565">
            <w:pPr>
              <w:pStyle w:val="28"/>
              <w:shd w:val="clear"/>
              <w:spacing w:line="440" w:lineRule="exact"/>
              <w:jc w:val="center"/>
              <w:rPr>
                <w:rFonts w:hint="eastAsia" w:cs="宋体"/>
                <w:b/>
                <w:bCs/>
                <w:sz w:val="24"/>
                <w:szCs w:val="24"/>
                <w:highlight w:val="none"/>
                <w:lang w:val="zh-CN"/>
              </w:rPr>
            </w:pPr>
          </w:p>
        </w:tc>
        <w:tc>
          <w:tcPr>
            <w:tcW w:w="2969" w:type="pct"/>
            <w:vMerge w:val="continue"/>
            <w:shd w:val="clear" w:color="auto" w:fill="D8D8D8" w:themeFill="background1" w:themeFillShade="D9"/>
            <w:vAlign w:val="center"/>
          </w:tcPr>
          <w:p w14:paraId="2128C077">
            <w:pPr>
              <w:pStyle w:val="28"/>
              <w:shd w:val="clear"/>
              <w:spacing w:line="440" w:lineRule="exact"/>
              <w:jc w:val="center"/>
              <w:rPr>
                <w:rFonts w:hint="eastAsia" w:cs="宋体"/>
                <w:b/>
                <w:bCs/>
                <w:sz w:val="24"/>
                <w:szCs w:val="24"/>
                <w:highlight w:val="none"/>
                <w:lang w:val="zh-CN"/>
              </w:rPr>
            </w:pPr>
          </w:p>
        </w:tc>
        <w:tc>
          <w:tcPr>
            <w:tcW w:w="468" w:type="pct"/>
            <w:shd w:val="clear" w:color="auto" w:fill="D8D8D8" w:themeFill="background1" w:themeFillShade="D9"/>
            <w:vAlign w:val="center"/>
          </w:tcPr>
          <w:p w14:paraId="0CAA21D7">
            <w:pPr>
              <w:pStyle w:val="28"/>
              <w:shd w:val="clear"/>
              <w:spacing w:line="440" w:lineRule="exact"/>
              <w:jc w:val="center"/>
              <w:rPr>
                <w:rFonts w:hint="eastAsia" w:cs="宋体"/>
                <w:b/>
                <w:bCs/>
                <w:sz w:val="24"/>
                <w:szCs w:val="24"/>
                <w:highlight w:val="none"/>
              </w:rPr>
            </w:pPr>
            <w:r>
              <w:rPr>
                <w:rFonts w:hint="eastAsia" w:cs="宋体"/>
                <w:b/>
                <w:bCs/>
                <w:sz w:val="24"/>
                <w:szCs w:val="24"/>
                <w:highlight w:val="none"/>
              </w:rPr>
              <w:t>符合</w:t>
            </w:r>
          </w:p>
        </w:tc>
        <w:tc>
          <w:tcPr>
            <w:tcW w:w="588" w:type="pct"/>
            <w:shd w:val="clear" w:color="auto" w:fill="D8D8D8" w:themeFill="background1" w:themeFillShade="D9"/>
            <w:vAlign w:val="center"/>
          </w:tcPr>
          <w:p w14:paraId="15D1F439">
            <w:pPr>
              <w:pStyle w:val="28"/>
              <w:shd w:val="clear"/>
              <w:spacing w:line="440" w:lineRule="exact"/>
              <w:jc w:val="center"/>
              <w:rPr>
                <w:rFonts w:hint="eastAsia" w:cs="宋体"/>
                <w:b/>
                <w:bCs/>
                <w:sz w:val="24"/>
                <w:szCs w:val="24"/>
                <w:highlight w:val="none"/>
              </w:rPr>
            </w:pPr>
            <w:r>
              <w:rPr>
                <w:rFonts w:hint="eastAsia" w:cs="宋体"/>
                <w:b/>
                <w:bCs/>
                <w:sz w:val="24"/>
                <w:szCs w:val="24"/>
                <w:highlight w:val="none"/>
              </w:rPr>
              <w:t>不符合</w:t>
            </w:r>
          </w:p>
        </w:tc>
      </w:tr>
      <w:tr w14:paraId="233AF5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8" w:hRule="atLeast"/>
        </w:trPr>
        <w:tc>
          <w:tcPr>
            <w:tcW w:w="269" w:type="pct"/>
            <w:vAlign w:val="center"/>
          </w:tcPr>
          <w:p w14:paraId="4A515C07">
            <w:pPr>
              <w:pStyle w:val="28"/>
              <w:shd w:val="clear"/>
              <w:spacing w:line="440" w:lineRule="exact"/>
              <w:jc w:val="center"/>
              <w:rPr>
                <w:rFonts w:hint="eastAsia" w:cs="宋体"/>
                <w:sz w:val="24"/>
                <w:szCs w:val="24"/>
                <w:highlight w:val="none"/>
                <w:lang w:val="zh-CN"/>
              </w:rPr>
            </w:pPr>
            <w:r>
              <w:rPr>
                <w:rFonts w:hint="eastAsia" w:cs="宋体"/>
                <w:sz w:val="24"/>
                <w:szCs w:val="24"/>
                <w:highlight w:val="none"/>
                <w:lang w:val="zh-CN"/>
              </w:rPr>
              <w:t>1</w:t>
            </w:r>
          </w:p>
        </w:tc>
        <w:tc>
          <w:tcPr>
            <w:tcW w:w="704" w:type="pct"/>
            <w:vAlign w:val="center"/>
          </w:tcPr>
          <w:p w14:paraId="5E0E3062">
            <w:pPr>
              <w:pStyle w:val="28"/>
              <w:shd w:val="clear"/>
              <w:spacing w:line="440" w:lineRule="exact"/>
              <w:jc w:val="center"/>
              <w:rPr>
                <w:rFonts w:hint="eastAsia" w:cs="宋体"/>
                <w:sz w:val="24"/>
                <w:szCs w:val="24"/>
                <w:highlight w:val="none"/>
                <w:lang w:val="zh-CN"/>
              </w:rPr>
            </w:pPr>
            <w:r>
              <w:rPr>
                <w:rFonts w:hint="eastAsia" w:cs="宋体"/>
                <w:sz w:val="24"/>
                <w:szCs w:val="24"/>
                <w:highlight w:val="none"/>
                <w:lang w:val="zh-CN"/>
              </w:rPr>
              <w:t>响应文件</w:t>
            </w:r>
            <w:r>
              <w:rPr>
                <w:rFonts w:hint="eastAsia" w:cs="宋体"/>
                <w:sz w:val="24"/>
                <w:szCs w:val="24"/>
                <w:highlight w:val="none"/>
              </w:rPr>
              <w:t>格式及签署</w:t>
            </w:r>
          </w:p>
        </w:tc>
        <w:tc>
          <w:tcPr>
            <w:tcW w:w="2969" w:type="pct"/>
            <w:vAlign w:val="center"/>
          </w:tcPr>
          <w:p w14:paraId="0FA4ED80">
            <w:pPr>
              <w:pStyle w:val="28"/>
              <w:shd w:val="clear"/>
              <w:spacing w:line="440" w:lineRule="exact"/>
              <w:rPr>
                <w:rFonts w:hint="eastAsia" w:cs="宋体"/>
                <w:sz w:val="24"/>
                <w:szCs w:val="24"/>
                <w:highlight w:val="none"/>
                <w:lang w:val="zh-CN"/>
              </w:rPr>
            </w:pPr>
            <w:r>
              <w:rPr>
                <w:rFonts w:hint="eastAsia" w:cs="宋体"/>
                <w:sz w:val="24"/>
                <w:szCs w:val="24"/>
                <w:highlight w:val="none"/>
                <w:lang w:val="zh-CN"/>
              </w:rPr>
              <w:t>响应文件</w:t>
            </w:r>
            <w:r>
              <w:rPr>
                <w:rFonts w:hint="eastAsia" w:cs="宋体"/>
                <w:sz w:val="24"/>
                <w:szCs w:val="24"/>
                <w:highlight w:val="none"/>
              </w:rPr>
              <w:t>按磋商文件要求格式制作并签署、盖章的</w:t>
            </w:r>
          </w:p>
        </w:tc>
        <w:tc>
          <w:tcPr>
            <w:tcW w:w="468" w:type="pct"/>
            <w:vAlign w:val="center"/>
          </w:tcPr>
          <w:p w14:paraId="1E1F1EB1">
            <w:pPr>
              <w:pStyle w:val="28"/>
              <w:shd w:val="clear"/>
              <w:spacing w:line="440" w:lineRule="exact"/>
              <w:rPr>
                <w:rFonts w:hint="eastAsia" w:cs="宋体"/>
                <w:sz w:val="24"/>
                <w:szCs w:val="24"/>
                <w:highlight w:val="none"/>
                <w:lang w:val="zh-CN"/>
              </w:rPr>
            </w:pPr>
          </w:p>
        </w:tc>
        <w:tc>
          <w:tcPr>
            <w:tcW w:w="588" w:type="pct"/>
            <w:vAlign w:val="center"/>
          </w:tcPr>
          <w:p w14:paraId="35325BAA">
            <w:pPr>
              <w:pStyle w:val="28"/>
              <w:shd w:val="clear"/>
              <w:spacing w:line="440" w:lineRule="exact"/>
              <w:rPr>
                <w:rFonts w:hint="eastAsia" w:cs="宋体"/>
                <w:sz w:val="24"/>
                <w:szCs w:val="24"/>
                <w:highlight w:val="none"/>
                <w:lang w:val="zh-CN"/>
              </w:rPr>
            </w:pPr>
          </w:p>
        </w:tc>
      </w:tr>
      <w:tr w14:paraId="6BB86F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7" w:hRule="atLeast"/>
        </w:trPr>
        <w:tc>
          <w:tcPr>
            <w:tcW w:w="269" w:type="pct"/>
            <w:vAlign w:val="center"/>
          </w:tcPr>
          <w:p w14:paraId="70154C2F">
            <w:pPr>
              <w:pStyle w:val="28"/>
              <w:shd w:val="clear"/>
              <w:spacing w:line="440" w:lineRule="exact"/>
              <w:jc w:val="center"/>
              <w:rPr>
                <w:rFonts w:hint="eastAsia" w:cs="宋体"/>
                <w:sz w:val="24"/>
                <w:szCs w:val="24"/>
                <w:highlight w:val="none"/>
                <w:lang w:val="zh-CN"/>
              </w:rPr>
            </w:pPr>
            <w:r>
              <w:rPr>
                <w:rFonts w:hint="eastAsia" w:cs="宋体"/>
                <w:sz w:val="24"/>
                <w:szCs w:val="24"/>
                <w:highlight w:val="none"/>
                <w:lang w:val="zh-CN"/>
              </w:rPr>
              <w:t>2</w:t>
            </w:r>
          </w:p>
        </w:tc>
        <w:tc>
          <w:tcPr>
            <w:tcW w:w="704" w:type="pct"/>
            <w:vAlign w:val="center"/>
          </w:tcPr>
          <w:p w14:paraId="1B390AF0">
            <w:pPr>
              <w:pStyle w:val="28"/>
              <w:shd w:val="clear"/>
              <w:spacing w:line="440" w:lineRule="exact"/>
              <w:jc w:val="center"/>
              <w:rPr>
                <w:rFonts w:hint="eastAsia" w:cs="宋体"/>
                <w:sz w:val="24"/>
                <w:szCs w:val="24"/>
                <w:highlight w:val="none"/>
                <w:lang w:val="zh-CN"/>
              </w:rPr>
            </w:pPr>
            <w:r>
              <w:rPr>
                <w:rFonts w:hint="eastAsia" w:cs="宋体"/>
                <w:sz w:val="24"/>
                <w:szCs w:val="24"/>
                <w:highlight w:val="none"/>
              </w:rPr>
              <w:t>磋商有效期</w:t>
            </w:r>
          </w:p>
        </w:tc>
        <w:tc>
          <w:tcPr>
            <w:tcW w:w="2969" w:type="pct"/>
            <w:vAlign w:val="center"/>
          </w:tcPr>
          <w:p w14:paraId="6D95F485">
            <w:pPr>
              <w:pStyle w:val="28"/>
              <w:shd w:val="clear"/>
              <w:spacing w:line="440" w:lineRule="exact"/>
              <w:rPr>
                <w:rFonts w:hint="eastAsia" w:cs="宋体"/>
                <w:sz w:val="24"/>
                <w:szCs w:val="24"/>
                <w:highlight w:val="none"/>
                <w:lang w:val="zh-CN"/>
              </w:rPr>
            </w:pPr>
            <w:r>
              <w:rPr>
                <w:rFonts w:hint="eastAsia" w:cs="宋体"/>
                <w:sz w:val="24"/>
                <w:szCs w:val="24"/>
                <w:highlight w:val="none"/>
              </w:rPr>
              <w:t>磋商有效期满足招标文件要求的</w:t>
            </w:r>
          </w:p>
        </w:tc>
        <w:tc>
          <w:tcPr>
            <w:tcW w:w="468" w:type="pct"/>
            <w:vAlign w:val="center"/>
          </w:tcPr>
          <w:p w14:paraId="4C63B966">
            <w:pPr>
              <w:pStyle w:val="28"/>
              <w:shd w:val="clear"/>
              <w:spacing w:line="440" w:lineRule="exact"/>
              <w:rPr>
                <w:rFonts w:hint="eastAsia" w:cs="宋体"/>
                <w:sz w:val="24"/>
                <w:szCs w:val="24"/>
                <w:highlight w:val="none"/>
                <w:lang w:val="zh-CN"/>
              </w:rPr>
            </w:pPr>
          </w:p>
        </w:tc>
        <w:tc>
          <w:tcPr>
            <w:tcW w:w="588" w:type="pct"/>
            <w:vAlign w:val="center"/>
          </w:tcPr>
          <w:p w14:paraId="5A615EFE">
            <w:pPr>
              <w:pStyle w:val="28"/>
              <w:shd w:val="clear"/>
              <w:spacing w:line="440" w:lineRule="exact"/>
              <w:rPr>
                <w:rFonts w:hint="eastAsia" w:cs="宋体"/>
                <w:sz w:val="24"/>
                <w:szCs w:val="24"/>
                <w:highlight w:val="none"/>
                <w:lang w:val="zh-CN"/>
              </w:rPr>
            </w:pPr>
          </w:p>
        </w:tc>
      </w:tr>
      <w:tr w14:paraId="222AE9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1" w:hRule="atLeast"/>
        </w:trPr>
        <w:tc>
          <w:tcPr>
            <w:tcW w:w="269" w:type="pct"/>
            <w:vAlign w:val="center"/>
          </w:tcPr>
          <w:p w14:paraId="12940874">
            <w:pPr>
              <w:pStyle w:val="28"/>
              <w:shd w:val="clear"/>
              <w:spacing w:line="440" w:lineRule="exact"/>
              <w:jc w:val="center"/>
              <w:rPr>
                <w:rFonts w:hint="eastAsia" w:cs="宋体"/>
                <w:sz w:val="24"/>
                <w:szCs w:val="24"/>
                <w:highlight w:val="none"/>
                <w:lang w:val="zh-CN"/>
              </w:rPr>
            </w:pPr>
            <w:r>
              <w:rPr>
                <w:rFonts w:hint="eastAsia" w:cs="宋体"/>
                <w:sz w:val="24"/>
                <w:szCs w:val="24"/>
                <w:highlight w:val="none"/>
                <w:lang w:val="zh-CN"/>
              </w:rPr>
              <w:t>3</w:t>
            </w:r>
          </w:p>
        </w:tc>
        <w:tc>
          <w:tcPr>
            <w:tcW w:w="704" w:type="pct"/>
            <w:vAlign w:val="center"/>
          </w:tcPr>
          <w:p w14:paraId="2F0AB0E3">
            <w:pPr>
              <w:pStyle w:val="28"/>
              <w:shd w:val="clear"/>
              <w:spacing w:line="440" w:lineRule="exact"/>
              <w:jc w:val="center"/>
              <w:rPr>
                <w:rFonts w:hint="eastAsia" w:cs="宋体"/>
                <w:sz w:val="24"/>
                <w:szCs w:val="24"/>
                <w:highlight w:val="none"/>
                <w:lang w:val="zh-CN"/>
              </w:rPr>
            </w:pPr>
            <w:r>
              <w:rPr>
                <w:rFonts w:hint="eastAsia" w:cs="宋体"/>
                <w:sz w:val="24"/>
                <w:szCs w:val="24"/>
                <w:highlight w:val="none"/>
                <w:lang w:val="zh-CN"/>
              </w:rPr>
              <w:t>磋商响应性报价</w:t>
            </w:r>
          </w:p>
        </w:tc>
        <w:tc>
          <w:tcPr>
            <w:tcW w:w="2969" w:type="pct"/>
            <w:vAlign w:val="center"/>
          </w:tcPr>
          <w:p w14:paraId="1C067620">
            <w:pPr>
              <w:pStyle w:val="28"/>
              <w:shd w:val="clear"/>
              <w:spacing w:line="440" w:lineRule="exact"/>
              <w:rPr>
                <w:rFonts w:hint="eastAsia" w:cs="宋体"/>
                <w:sz w:val="24"/>
                <w:szCs w:val="24"/>
                <w:highlight w:val="none"/>
                <w:lang w:val="zh-CN"/>
              </w:rPr>
            </w:pPr>
            <w:r>
              <w:rPr>
                <w:rFonts w:hint="eastAsia" w:cs="宋体"/>
                <w:sz w:val="24"/>
                <w:szCs w:val="24"/>
                <w:highlight w:val="none"/>
              </w:rPr>
              <w:t>供应商报价未超过磋商文件中规定的最高限价或者预算金额的</w:t>
            </w:r>
          </w:p>
        </w:tc>
        <w:tc>
          <w:tcPr>
            <w:tcW w:w="468" w:type="pct"/>
            <w:vAlign w:val="center"/>
          </w:tcPr>
          <w:p w14:paraId="45E78B69">
            <w:pPr>
              <w:pStyle w:val="28"/>
              <w:shd w:val="clear"/>
              <w:spacing w:line="440" w:lineRule="exact"/>
              <w:rPr>
                <w:rFonts w:hint="eastAsia" w:cs="宋体"/>
                <w:sz w:val="24"/>
                <w:szCs w:val="24"/>
                <w:highlight w:val="none"/>
                <w:lang w:val="zh-CN"/>
              </w:rPr>
            </w:pPr>
          </w:p>
        </w:tc>
        <w:tc>
          <w:tcPr>
            <w:tcW w:w="588" w:type="pct"/>
            <w:vAlign w:val="center"/>
          </w:tcPr>
          <w:p w14:paraId="339E7D42">
            <w:pPr>
              <w:pStyle w:val="28"/>
              <w:shd w:val="clear"/>
              <w:spacing w:line="440" w:lineRule="exact"/>
              <w:rPr>
                <w:rFonts w:hint="eastAsia" w:cs="宋体"/>
                <w:sz w:val="24"/>
                <w:szCs w:val="24"/>
                <w:highlight w:val="none"/>
                <w:lang w:val="zh-CN"/>
              </w:rPr>
            </w:pPr>
          </w:p>
        </w:tc>
      </w:tr>
      <w:tr w14:paraId="630E7F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0" w:hRule="atLeast"/>
        </w:trPr>
        <w:tc>
          <w:tcPr>
            <w:tcW w:w="269" w:type="pct"/>
            <w:vAlign w:val="center"/>
          </w:tcPr>
          <w:p w14:paraId="10415371">
            <w:pPr>
              <w:pStyle w:val="28"/>
              <w:shd w:val="clear"/>
              <w:spacing w:line="440" w:lineRule="exact"/>
              <w:jc w:val="center"/>
              <w:rPr>
                <w:rFonts w:hint="eastAsia" w:cs="宋体"/>
                <w:sz w:val="24"/>
                <w:szCs w:val="24"/>
                <w:highlight w:val="none"/>
                <w:lang w:val="zh-CN"/>
              </w:rPr>
            </w:pPr>
            <w:r>
              <w:rPr>
                <w:rFonts w:hint="eastAsia" w:cs="宋体"/>
                <w:sz w:val="24"/>
                <w:szCs w:val="24"/>
                <w:highlight w:val="none"/>
                <w:lang w:val="zh-CN"/>
              </w:rPr>
              <w:t>4</w:t>
            </w:r>
          </w:p>
        </w:tc>
        <w:tc>
          <w:tcPr>
            <w:tcW w:w="704" w:type="pct"/>
            <w:vAlign w:val="center"/>
          </w:tcPr>
          <w:p w14:paraId="016A6EA3">
            <w:pPr>
              <w:pStyle w:val="28"/>
              <w:shd w:val="clear"/>
              <w:spacing w:line="440" w:lineRule="exact"/>
              <w:jc w:val="center"/>
              <w:rPr>
                <w:rFonts w:hint="eastAsia" w:cs="宋体"/>
                <w:sz w:val="24"/>
                <w:szCs w:val="24"/>
                <w:highlight w:val="none"/>
              </w:rPr>
            </w:pPr>
            <w:r>
              <w:rPr>
                <w:rFonts w:hint="eastAsia" w:cs="宋体"/>
                <w:bCs/>
                <w:sz w:val="24"/>
                <w:szCs w:val="24"/>
                <w:highlight w:val="none"/>
              </w:rPr>
              <w:t>服务期限</w:t>
            </w:r>
          </w:p>
        </w:tc>
        <w:tc>
          <w:tcPr>
            <w:tcW w:w="2969" w:type="pct"/>
            <w:vAlign w:val="center"/>
          </w:tcPr>
          <w:p w14:paraId="49DD5A13">
            <w:pPr>
              <w:pStyle w:val="28"/>
              <w:shd w:val="clear"/>
              <w:spacing w:line="440" w:lineRule="exact"/>
              <w:rPr>
                <w:rFonts w:hint="eastAsia" w:cs="宋体"/>
                <w:sz w:val="24"/>
                <w:szCs w:val="24"/>
                <w:highlight w:val="none"/>
                <w:lang w:val="zh-CN"/>
              </w:rPr>
            </w:pPr>
            <w:r>
              <w:rPr>
                <w:rFonts w:hint="eastAsia" w:cs="宋体"/>
                <w:bCs/>
                <w:sz w:val="24"/>
                <w:szCs w:val="24"/>
                <w:highlight w:val="none"/>
              </w:rPr>
              <w:t>服务期限满足招标文件第三章采购需求中规定的</w:t>
            </w:r>
          </w:p>
        </w:tc>
        <w:tc>
          <w:tcPr>
            <w:tcW w:w="468" w:type="pct"/>
            <w:vAlign w:val="center"/>
          </w:tcPr>
          <w:p w14:paraId="67C05E86">
            <w:pPr>
              <w:pStyle w:val="28"/>
              <w:shd w:val="clear"/>
              <w:spacing w:line="440" w:lineRule="exact"/>
              <w:rPr>
                <w:rFonts w:hint="eastAsia" w:cs="宋体"/>
                <w:sz w:val="24"/>
                <w:szCs w:val="24"/>
                <w:highlight w:val="none"/>
                <w:lang w:val="zh-CN"/>
              </w:rPr>
            </w:pPr>
          </w:p>
        </w:tc>
        <w:tc>
          <w:tcPr>
            <w:tcW w:w="588" w:type="pct"/>
            <w:vAlign w:val="center"/>
          </w:tcPr>
          <w:p w14:paraId="7888DE35">
            <w:pPr>
              <w:pStyle w:val="28"/>
              <w:shd w:val="clear"/>
              <w:spacing w:line="440" w:lineRule="exact"/>
              <w:rPr>
                <w:rFonts w:hint="eastAsia" w:cs="宋体"/>
                <w:sz w:val="24"/>
                <w:szCs w:val="24"/>
                <w:highlight w:val="none"/>
                <w:lang w:val="zh-CN"/>
              </w:rPr>
            </w:pPr>
          </w:p>
        </w:tc>
      </w:tr>
      <w:tr w14:paraId="591B9B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8" w:hRule="atLeast"/>
        </w:trPr>
        <w:tc>
          <w:tcPr>
            <w:tcW w:w="269" w:type="pct"/>
            <w:vAlign w:val="center"/>
          </w:tcPr>
          <w:p w14:paraId="48860C47">
            <w:pPr>
              <w:pStyle w:val="28"/>
              <w:shd w:val="clear"/>
              <w:spacing w:line="440" w:lineRule="exact"/>
              <w:jc w:val="center"/>
              <w:rPr>
                <w:rFonts w:hint="eastAsia" w:cs="宋体"/>
                <w:sz w:val="24"/>
                <w:szCs w:val="24"/>
                <w:highlight w:val="none"/>
                <w:lang w:val="zh-CN"/>
              </w:rPr>
            </w:pPr>
            <w:r>
              <w:rPr>
                <w:rFonts w:hint="eastAsia" w:cs="宋体"/>
                <w:sz w:val="24"/>
                <w:szCs w:val="24"/>
                <w:highlight w:val="none"/>
                <w:lang w:val="zh-CN"/>
              </w:rPr>
              <w:t>5</w:t>
            </w:r>
          </w:p>
        </w:tc>
        <w:tc>
          <w:tcPr>
            <w:tcW w:w="704" w:type="pct"/>
            <w:vAlign w:val="center"/>
          </w:tcPr>
          <w:p w14:paraId="31EA832C">
            <w:pPr>
              <w:pStyle w:val="28"/>
              <w:shd w:val="clear"/>
              <w:spacing w:line="440" w:lineRule="exact"/>
              <w:jc w:val="center"/>
              <w:rPr>
                <w:rFonts w:hint="eastAsia" w:cs="宋体"/>
                <w:sz w:val="24"/>
                <w:szCs w:val="24"/>
                <w:highlight w:val="none"/>
                <w:lang w:val="zh-CN"/>
              </w:rPr>
            </w:pPr>
            <w:r>
              <w:rPr>
                <w:rFonts w:hint="eastAsia" w:cs="宋体"/>
                <w:sz w:val="24"/>
                <w:szCs w:val="24"/>
                <w:highlight w:val="none"/>
              </w:rPr>
              <w:t>响应文件的澄清、说明、补正</w:t>
            </w:r>
          </w:p>
        </w:tc>
        <w:tc>
          <w:tcPr>
            <w:tcW w:w="2969" w:type="pct"/>
            <w:vAlign w:val="center"/>
          </w:tcPr>
          <w:p w14:paraId="02D97709">
            <w:pPr>
              <w:pStyle w:val="28"/>
              <w:shd w:val="clear"/>
              <w:spacing w:line="440" w:lineRule="exact"/>
              <w:rPr>
                <w:rFonts w:hint="eastAsia" w:cs="宋体"/>
                <w:sz w:val="24"/>
                <w:szCs w:val="24"/>
                <w:highlight w:val="none"/>
              </w:rPr>
            </w:pPr>
            <w:r>
              <w:rPr>
                <w:rFonts w:hint="eastAsia" w:cs="宋体"/>
                <w:sz w:val="24"/>
                <w:szCs w:val="24"/>
                <w:highlight w:val="none"/>
                <w:lang w:val="zh-CN"/>
              </w:rPr>
              <w:t>评审期间,</w:t>
            </w:r>
            <w:r>
              <w:rPr>
                <w:rFonts w:hint="eastAsia" w:cs="宋体"/>
                <w:sz w:val="24"/>
                <w:szCs w:val="24"/>
                <w:highlight w:val="none"/>
              </w:rPr>
              <w:t>供应商</w:t>
            </w:r>
            <w:r>
              <w:rPr>
                <w:rFonts w:hint="eastAsia" w:cs="宋体"/>
                <w:sz w:val="24"/>
                <w:szCs w:val="24"/>
                <w:highlight w:val="none"/>
                <w:lang w:val="zh-CN"/>
              </w:rPr>
              <w:t>按磋商小组的要求提交经授权代表签字的澄清、说明、更正且澄清、说明、更正未超出响应文件范围或</w:t>
            </w:r>
            <w:r>
              <w:rPr>
                <w:rFonts w:hint="eastAsia" w:cs="宋体"/>
                <w:sz w:val="24"/>
                <w:szCs w:val="24"/>
                <w:highlight w:val="none"/>
              </w:rPr>
              <w:t>未</w:t>
            </w:r>
            <w:r>
              <w:rPr>
                <w:rFonts w:hint="eastAsia" w:cs="宋体"/>
                <w:sz w:val="24"/>
                <w:szCs w:val="24"/>
                <w:highlight w:val="none"/>
                <w:lang w:val="zh-CN"/>
              </w:rPr>
              <w:t>改变</w:t>
            </w:r>
            <w:r>
              <w:rPr>
                <w:rFonts w:hint="eastAsia" w:cs="宋体"/>
                <w:sz w:val="24"/>
                <w:szCs w:val="24"/>
                <w:highlight w:val="none"/>
              </w:rPr>
              <w:t>响应</w:t>
            </w:r>
            <w:r>
              <w:rPr>
                <w:rFonts w:hint="eastAsia" w:cs="宋体"/>
                <w:sz w:val="24"/>
                <w:szCs w:val="24"/>
                <w:highlight w:val="none"/>
                <w:lang w:val="zh-CN"/>
              </w:rPr>
              <w:t>文件的实质性内容</w:t>
            </w:r>
          </w:p>
        </w:tc>
        <w:tc>
          <w:tcPr>
            <w:tcW w:w="468" w:type="pct"/>
            <w:vAlign w:val="center"/>
          </w:tcPr>
          <w:p w14:paraId="18835E98">
            <w:pPr>
              <w:pStyle w:val="28"/>
              <w:shd w:val="clear"/>
              <w:spacing w:line="440" w:lineRule="exact"/>
              <w:rPr>
                <w:rFonts w:hint="eastAsia" w:cs="宋体"/>
                <w:sz w:val="24"/>
                <w:szCs w:val="24"/>
                <w:highlight w:val="none"/>
                <w:lang w:val="zh-CN"/>
              </w:rPr>
            </w:pPr>
          </w:p>
        </w:tc>
        <w:tc>
          <w:tcPr>
            <w:tcW w:w="588" w:type="pct"/>
            <w:vAlign w:val="center"/>
          </w:tcPr>
          <w:p w14:paraId="32826E79">
            <w:pPr>
              <w:pStyle w:val="28"/>
              <w:shd w:val="clear"/>
              <w:spacing w:line="440" w:lineRule="exact"/>
              <w:rPr>
                <w:rFonts w:hint="eastAsia" w:cs="宋体"/>
                <w:sz w:val="24"/>
                <w:szCs w:val="24"/>
                <w:highlight w:val="none"/>
                <w:lang w:val="zh-CN"/>
              </w:rPr>
            </w:pPr>
          </w:p>
        </w:tc>
      </w:tr>
      <w:tr w14:paraId="7C777C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269" w:type="pct"/>
            <w:vAlign w:val="center"/>
          </w:tcPr>
          <w:p w14:paraId="0D25BA5B">
            <w:pPr>
              <w:pStyle w:val="28"/>
              <w:shd w:val="clear"/>
              <w:spacing w:line="440" w:lineRule="exact"/>
              <w:jc w:val="center"/>
              <w:rPr>
                <w:rFonts w:hint="eastAsia" w:cs="宋体"/>
                <w:sz w:val="24"/>
                <w:szCs w:val="24"/>
                <w:highlight w:val="none"/>
                <w:lang w:val="zh-CN"/>
              </w:rPr>
            </w:pPr>
            <w:r>
              <w:rPr>
                <w:rFonts w:hint="eastAsia" w:cs="宋体"/>
                <w:sz w:val="24"/>
                <w:szCs w:val="24"/>
                <w:highlight w:val="none"/>
                <w:lang w:val="zh-CN"/>
              </w:rPr>
              <w:t>6</w:t>
            </w:r>
          </w:p>
        </w:tc>
        <w:tc>
          <w:tcPr>
            <w:tcW w:w="704" w:type="pct"/>
            <w:vAlign w:val="center"/>
          </w:tcPr>
          <w:p w14:paraId="6B53D7DD">
            <w:pPr>
              <w:pStyle w:val="28"/>
              <w:shd w:val="clear"/>
              <w:spacing w:line="440" w:lineRule="exact"/>
              <w:jc w:val="center"/>
              <w:rPr>
                <w:rFonts w:hint="eastAsia" w:cs="宋体"/>
                <w:sz w:val="24"/>
                <w:szCs w:val="24"/>
                <w:highlight w:val="none"/>
              </w:rPr>
            </w:pPr>
            <w:r>
              <w:rPr>
                <w:rFonts w:hint="eastAsia" w:cs="宋体"/>
                <w:sz w:val="24"/>
                <w:szCs w:val="24"/>
                <w:highlight w:val="none"/>
              </w:rPr>
              <w:t>供应商影响评审</w:t>
            </w:r>
          </w:p>
        </w:tc>
        <w:tc>
          <w:tcPr>
            <w:tcW w:w="2969" w:type="pct"/>
            <w:vAlign w:val="center"/>
          </w:tcPr>
          <w:p w14:paraId="3C241A91">
            <w:pPr>
              <w:pStyle w:val="28"/>
              <w:shd w:val="clear"/>
              <w:spacing w:line="440" w:lineRule="exact"/>
              <w:rPr>
                <w:rFonts w:hint="eastAsia" w:cs="宋体"/>
                <w:sz w:val="24"/>
                <w:szCs w:val="24"/>
                <w:highlight w:val="none"/>
                <w:lang w:val="zh-CN"/>
              </w:rPr>
            </w:pPr>
            <w:r>
              <w:rPr>
                <w:rFonts w:hint="eastAsia" w:cs="宋体"/>
                <w:sz w:val="24"/>
                <w:szCs w:val="24"/>
                <w:highlight w:val="none"/>
              </w:rPr>
              <w:t>供应商</w:t>
            </w:r>
            <w:r>
              <w:rPr>
                <w:rFonts w:hint="eastAsia" w:cs="宋体"/>
                <w:sz w:val="24"/>
                <w:szCs w:val="24"/>
                <w:highlight w:val="none"/>
                <w:lang w:val="zh-CN"/>
              </w:rPr>
              <w:t>对采购人、采购代理机构、磋商小组及其工作人员</w:t>
            </w:r>
            <w:r>
              <w:rPr>
                <w:rFonts w:hint="eastAsia" w:cs="宋体"/>
                <w:sz w:val="24"/>
                <w:szCs w:val="24"/>
                <w:highlight w:val="none"/>
              </w:rPr>
              <w:t>未</w:t>
            </w:r>
            <w:r>
              <w:rPr>
                <w:rFonts w:hint="eastAsia" w:cs="宋体"/>
                <w:sz w:val="24"/>
                <w:szCs w:val="24"/>
                <w:highlight w:val="none"/>
                <w:lang w:val="zh-CN"/>
              </w:rPr>
              <w:t>施加影响,</w:t>
            </w:r>
            <w:r>
              <w:rPr>
                <w:rFonts w:hint="eastAsia" w:cs="宋体"/>
                <w:sz w:val="24"/>
                <w:szCs w:val="24"/>
                <w:highlight w:val="none"/>
              </w:rPr>
              <w:t>无</w:t>
            </w:r>
            <w:r>
              <w:rPr>
                <w:rFonts w:hint="eastAsia" w:cs="宋体"/>
                <w:sz w:val="24"/>
                <w:szCs w:val="24"/>
                <w:highlight w:val="none"/>
                <w:lang w:val="zh-CN"/>
              </w:rPr>
              <w:t>有碍公平、公正</w:t>
            </w:r>
            <w:r>
              <w:rPr>
                <w:rFonts w:hint="eastAsia" w:cs="宋体"/>
                <w:sz w:val="24"/>
                <w:szCs w:val="24"/>
                <w:highlight w:val="none"/>
              </w:rPr>
              <w:t>行为的</w:t>
            </w:r>
          </w:p>
        </w:tc>
        <w:tc>
          <w:tcPr>
            <w:tcW w:w="468" w:type="pct"/>
            <w:vAlign w:val="center"/>
          </w:tcPr>
          <w:p w14:paraId="4B513014">
            <w:pPr>
              <w:pStyle w:val="28"/>
              <w:shd w:val="clear"/>
              <w:spacing w:line="440" w:lineRule="exact"/>
              <w:rPr>
                <w:rFonts w:hint="eastAsia" w:cs="宋体"/>
                <w:sz w:val="24"/>
                <w:szCs w:val="24"/>
                <w:highlight w:val="none"/>
                <w:lang w:val="zh-CN"/>
              </w:rPr>
            </w:pPr>
          </w:p>
        </w:tc>
        <w:tc>
          <w:tcPr>
            <w:tcW w:w="588" w:type="pct"/>
            <w:vAlign w:val="center"/>
          </w:tcPr>
          <w:p w14:paraId="48AFA180">
            <w:pPr>
              <w:pStyle w:val="28"/>
              <w:shd w:val="clear"/>
              <w:spacing w:line="440" w:lineRule="exact"/>
              <w:rPr>
                <w:rFonts w:hint="eastAsia" w:cs="宋体"/>
                <w:sz w:val="24"/>
                <w:szCs w:val="24"/>
                <w:highlight w:val="none"/>
                <w:lang w:val="zh-CN"/>
              </w:rPr>
            </w:pPr>
          </w:p>
        </w:tc>
      </w:tr>
      <w:tr w14:paraId="2260FF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2" w:hRule="atLeast"/>
        </w:trPr>
        <w:tc>
          <w:tcPr>
            <w:tcW w:w="269" w:type="pct"/>
            <w:vAlign w:val="center"/>
          </w:tcPr>
          <w:p w14:paraId="5772C4C0">
            <w:pPr>
              <w:pStyle w:val="28"/>
              <w:shd w:val="clear"/>
              <w:spacing w:line="440" w:lineRule="exact"/>
              <w:jc w:val="center"/>
              <w:rPr>
                <w:rFonts w:hint="eastAsia" w:cs="宋体"/>
                <w:sz w:val="24"/>
                <w:szCs w:val="24"/>
                <w:highlight w:val="none"/>
                <w:lang w:val="zh-CN"/>
              </w:rPr>
            </w:pPr>
            <w:r>
              <w:rPr>
                <w:rFonts w:hint="eastAsia" w:cs="宋体"/>
                <w:sz w:val="24"/>
                <w:szCs w:val="24"/>
                <w:highlight w:val="none"/>
              </w:rPr>
              <w:t>7</w:t>
            </w:r>
          </w:p>
        </w:tc>
        <w:tc>
          <w:tcPr>
            <w:tcW w:w="704" w:type="pct"/>
            <w:vAlign w:val="center"/>
          </w:tcPr>
          <w:p w14:paraId="1817A2C0">
            <w:pPr>
              <w:pStyle w:val="28"/>
              <w:shd w:val="clear"/>
              <w:spacing w:line="440" w:lineRule="exact"/>
              <w:jc w:val="center"/>
              <w:rPr>
                <w:rFonts w:hint="eastAsia" w:cs="宋体"/>
                <w:sz w:val="24"/>
                <w:szCs w:val="24"/>
                <w:highlight w:val="none"/>
              </w:rPr>
            </w:pPr>
            <w:r>
              <w:rPr>
                <w:rFonts w:hint="eastAsia" w:cs="宋体"/>
                <w:sz w:val="24"/>
                <w:szCs w:val="24"/>
                <w:highlight w:val="none"/>
              </w:rPr>
              <w:t>附加条件</w:t>
            </w:r>
          </w:p>
        </w:tc>
        <w:tc>
          <w:tcPr>
            <w:tcW w:w="2969" w:type="pct"/>
            <w:vAlign w:val="center"/>
          </w:tcPr>
          <w:p w14:paraId="39640874">
            <w:pPr>
              <w:pStyle w:val="28"/>
              <w:shd w:val="clear"/>
              <w:spacing w:line="440" w:lineRule="exact"/>
              <w:rPr>
                <w:rFonts w:hint="eastAsia" w:cs="宋体"/>
                <w:sz w:val="24"/>
                <w:szCs w:val="24"/>
                <w:highlight w:val="none"/>
              </w:rPr>
            </w:pPr>
            <w:r>
              <w:rPr>
                <w:rFonts w:hint="eastAsia" w:cs="宋体"/>
                <w:sz w:val="24"/>
                <w:szCs w:val="24"/>
                <w:highlight w:val="none"/>
              </w:rPr>
              <w:t>响应文件没有采购人不能接受的附加条件的</w:t>
            </w:r>
          </w:p>
        </w:tc>
        <w:tc>
          <w:tcPr>
            <w:tcW w:w="468" w:type="pct"/>
            <w:vAlign w:val="center"/>
          </w:tcPr>
          <w:p w14:paraId="2C782F18">
            <w:pPr>
              <w:pStyle w:val="28"/>
              <w:shd w:val="clear"/>
              <w:spacing w:line="440" w:lineRule="exact"/>
              <w:rPr>
                <w:rFonts w:hint="eastAsia" w:cs="宋体"/>
                <w:sz w:val="24"/>
                <w:szCs w:val="24"/>
                <w:highlight w:val="none"/>
                <w:lang w:val="zh-CN"/>
              </w:rPr>
            </w:pPr>
          </w:p>
        </w:tc>
        <w:tc>
          <w:tcPr>
            <w:tcW w:w="588" w:type="pct"/>
            <w:vAlign w:val="center"/>
          </w:tcPr>
          <w:p w14:paraId="163069B8">
            <w:pPr>
              <w:pStyle w:val="28"/>
              <w:shd w:val="clear"/>
              <w:spacing w:line="440" w:lineRule="exact"/>
              <w:rPr>
                <w:rFonts w:hint="eastAsia" w:cs="宋体"/>
                <w:sz w:val="24"/>
                <w:szCs w:val="24"/>
                <w:highlight w:val="none"/>
                <w:lang w:val="zh-CN"/>
              </w:rPr>
            </w:pPr>
          </w:p>
        </w:tc>
      </w:tr>
      <w:tr w14:paraId="37C419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0" w:hRule="atLeast"/>
        </w:trPr>
        <w:tc>
          <w:tcPr>
            <w:tcW w:w="269" w:type="pct"/>
            <w:vAlign w:val="center"/>
          </w:tcPr>
          <w:p w14:paraId="31C12A1B">
            <w:pPr>
              <w:pStyle w:val="28"/>
              <w:shd w:val="clear"/>
              <w:spacing w:line="440" w:lineRule="exact"/>
              <w:jc w:val="center"/>
              <w:rPr>
                <w:rFonts w:hint="eastAsia" w:cs="宋体"/>
                <w:sz w:val="24"/>
                <w:szCs w:val="24"/>
                <w:highlight w:val="none"/>
                <w:lang w:val="zh-CN"/>
              </w:rPr>
            </w:pPr>
            <w:r>
              <w:rPr>
                <w:rFonts w:hint="eastAsia" w:cs="宋体"/>
                <w:sz w:val="24"/>
                <w:szCs w:val="24"/>
                <w:highlight w:val="none"/>
              </w:rPr>
              <w:t>8</w:t>
            </w:r>
          </w:p>
        </w:tc>
        <w:tc>
          <w:tcPr>
            <w:tcW w:w="704" w:type="pct"/>
            <w:vAlign w:val="center"/>
          </w:tcPr>
          <w:p w14:paraId="55194F4F">
            <w:pPr>
              <w:pStyle w:val="28"/>
              <w:shd w:val="clear"/>
              <w:spacing w:line="440" w:lineRule="exact"/>
              <w:jc w:val="center"/>
              <w:rPr>
                <w:rFonts w:hint="eastAsia" w:cs="宋体"/>
                <w:sz w:val="24"/>
                <w:szCs w:val="24"/>
                <w:highlight w:val="none"/>
              </w:rPr>
            </w:pPr>
            <w:r>
              <w:rPr>
                <w:rFonts w:hint="eastAsia" w:cs="宋体"/>
                <w:sz w:val="24"/>
                <w:szCs w:val="24"/>
                <w:highlight w:val="none"/>
                <w:lang w:val="zh-CN"/>
              </w:rPr>
              <w:t>其他无效情形</w:t>
            </w:r>
          </w:p>
        </w:tc>
        <w:tc>
          <w:tcPr>
            <w:tcW w:w="2969" w:type="pct"/>
            <w:vAlign w:val="center"/>
          </w:tcPr>
          <w:p w14:paraId="4803457A">
            <w:pPr>
              <w:pStyle w:val="28"/>
              <w:shd w:val="clear"/>
              <w:spacing w:line="440" w:lineRule="exact"/>
              <w:rPr>
                <w:rFonts w:hint="eastAsia" w:cs="宋体"/>
                <w:sz w:val="24"/>
                <w:szCs w:val="24"/>
                <w:highlight w:val="none"/>
                <w:lang w:val="zh-CN"/>
              </w:rPr>
            </w:pPr>
            <w:r>
              <w:rPr>
                <w:rFonts w:hint="eastAsia" w:cs="宋体"/>
                <w:sz w:val="24"/>
                <w:szCs w:val="24"/>
                <w:highlight w:val="none"/>
              </w:rPr>
              <w:t>未出现</w:t>
            </w:r>
            <w:r>
              <w:rPr>
                <w:rFonts w:hint="eastAsia" w:cs="宋体"/>
                <w:sz w:val="24"/>
                <w:szCs w:val="24"/>
                <w:highlight w:val="none"/>
                <w:lang w:val="zh-CN"/>
              </w:rPr>
              <w:t>法律、法规、规章以及本磋商文件规定属于</w:t>
            </w:r>
            <w:r>
              <w:rPr>
                <w:rFonts w:hint="eastAsia" w:cs="宋体"/>
                <w:sz w:val="24"/>
                <w:szCs w:val="24"/>
                <w:highlight w:val="none"/>
              </w:rPr>
              <w:t>响应</w:t>
            </w:r>
            <w:r>
              <w:rPr>
                <w:rFonts w:hint="eastAsia" w:cs="宋体"/>
                <w:sz w:val="24"/>
                <w:szCs w:val="24"/>
                <w:highlight w:val="none"/>
                <w:lang w:val="zh-CN"/>
              </w:rPr>
              <w:t>无效的其他情形。</w:t>
            </w:r>
          </w:p>
        </w:tc>
        <w:tc>
          <w:tcPr>
            <w:tcW w:w="468" w:type="pct"/>
            <w:vAlign w:val="center"/>
          </w:tcPr>
          <w:p w14:paraId="194FF3C2">
            <w:pPr>
              <w:pStyle w:val="28"/>
              <w:shd w:val="clear"/>
              <w:spacing w:line="440" w:lineRule="exact"/>
              <w:rPr>
                <w:rFonts w:hint="eastAsia" w:cs="宋体"/>
                <w:sz w:val="24"/>
                <w:szCs w:val="24"/>
                <w:highlight w:val="none"/>
                <w:lang w:val="zh-CN"/>
              </w:rPr>
            </w:pPr>
          </w:p>
        </w:tc>
        <w:tc>
          <w:tcPr>
            <w:tcW w:w="588" w:type="pct"/>
            <w:vAlign w:val="center"/>
          </w:tcPr>
          <w:p w14:paraId="2372B823">
            <w:pPr>
              <w:pStyle w:val="28"/>
              <w:shd w:val="clear"/>
              <w:spacing w:line="440" w:lineRule="exact"/>
              <w:rPr>
                <w:rFonts w:hint="eastAsia" w:cs="宋体"/>
                <w:sz w:val="24"/>
                <w:szCs w:val="24"/>
                <w:highlight w:val="none"/>
                <w:lang w:val="zh-CN"/>
              </w:rPr>
            </w:pPr>
          </w:p>
        </w:tc>
      </w:tr>
    </w:tbl>
    <w:p w14:paraId="6F77AECE">
      <w:pPr>
        <w:shd w:val="clear" w:color="auto"/>
        <w:tabs>
          <w:tab w:val="left" w:pos="3045"/>
        </w:tabs>
        <w:autoSpaceDE w:val="0"/>
        <w:autoSpaceDN w:val="0"/>
        <w:adjustRightInd w:val="0"/>
        <w:snapToGrid w:val="0"/>
        <w:spacing w:line="360" w:lineRule="exact"/>
        <w:rPr>
          <w:rFonts w:hint="eastAsia" w:cs="宋体"/>
          <w:b/>
          <w:highlight w:val="none"/>
        </w:rPr>
      </w:pPr>
    </w:p>
    <w:p w14:paraId="206A0DAE">
      <w:pPr>
        <w:shd w:val="clear" w:color="auto"/>
        <w:tabs>
          <w:tab w:val="left" w:pos="3045"/>
        </w:tabs>
        <w:autoSpaceDE w:val="0"/>
        <w:autoSpaceDN w:val="0"/>
        <w:adjustRightInd w:val="0"/>
        <w:snapToGrid w:val="0"/>
        <w:spacing w:line="360" w:lineRule="exact"/>
        <w:rPr>
          <w:rFonts w:hint="eastAsia" w:cs="宋体"/>
          <w:b/>
          <w:highlight w:val="none"/>
        </w:rPr>
      </w:pPr>
    </w:p>
    <w:p w14:paraId="3E63DDEE">
      <w:pPr>
        <w:shd w:val="clear" w:color="auto"/>
        <w:tabs>
          <w:tab w:val="left" w:pos="3045"/>
        </w:tabs>
        <w:autoSpaceDE w:val="0"/>
        <w:autoSpaceDN w:val="0"/>
        <w:adjustRightInd w:val="0"/>
        <w:snapToGrid w:val="0"/>
        <w:spacing w:line="360" w:lineRule="exact"/>
        <w:rPr>
          <w:rFonts w:hint="eastAsia" w:cs="宋体"/>
          <w:b/>
          <w:highlight w:val="none"/>
        </w:rPr>
      </w:pPr>
    </w:p>
    <w:p w14:paraId="371D96BB">
      <w:pPr>
        <w:shd w:val="clear" w:color="auto"/>
        <w:tabs>
          <w:tab w:val="left" w:pos="3045"/>
        </w:tabs>
        <w:autoSpaceDE w:val="0"/>
        <w:autoSpaceDN w:val="0"/>
        <w:adjustRightInd w:val="0"/>
        <w:snapToGrid w:val="0"/>
        <w:spacing w:line="360" w:lineRule="exact"/>
        <w:rPr>
          <w:rFonts w:hint="eastAsia" w:cs="宋体"/>
          <w:b/>
          <w:highlight w:val="none"/>
        </w:rPr>
      </w:pPr>
    </w:p>
    <w:p w14:paraId="0F3C0C11">
      <w:pPr>
        <w:shd w:val="clear" w:color="auto"/>
        <w:tabs>
          <w:tab w:val="left" w:pos="3045"/>
        </w:tabs>
        <w:autoSpaceDE w:val="0"/>
        <w:autoSpaceDN w:val="0"/>
        <w:adjustRightInd w:val="0"/>
        <w:snapToGrid w:val="0"/>
        <w:spacing w:line="360" w:lineRule="exact"/>
        <w:rPr>
          <w:rFonts w:hint="eastAsia" w:cs="宋体"/>
          <w:b/>
          <w:highlight w:val="none"/>
        </w:rPr>
      </w:pPr>
    </w:p>
    <w:p w14:paraId="5C6D718E">
      <w:pPr>
        <w:shd w:val="clear" w:color="auto"/>
        <w:tabs>
          <w:tab w:val="left" w:pos="3045"/>
        </w:tabs>
        <w:autoSpaceDE w:val="0"/>
        <w:autoSpaceDN w:val="0"/>
        <w:adjustRightInd w:val="0"/>
        <w:snapToGrid w:val="0"/>
        <w:spacing w:line="360" w:lineRule="exact"/>
        <w:rPr>
          <w:rFonts w:hint="eastAsia" w:cs="宋体"/>
          <w:b/>
          <w:highlight w:val="none"/>
        </w:rPr>
      </w:pPr>
    </w:p>
    <w:p w14:paraId="5756B570">
      <w:pPr>
        <w:shd w:val="clear" w:color="auto"/>
        <w:tabs>
          <w:tab w:val="left" w:pos="3045"/>
        </w:tabs>
        <w:autoSpaceDE w:val="0"/>
        <w:autoSpaceDN w:val="0"/>
        <w:adjustRightInd w:val="0"/>
        <w:snapToGrid w:val="0"/>
        <w:spacing w:line="360" w:lineRule="exact"/>
        <w:rPr>
          <w:rFonts w:hint="eastAsia" w:cs="宋体"/>
          <w:b/>
          <w:highlight w:val="none"/>
        </w:rPr>
      </w:pPr>
    </w:p>
    <w:p w14:paraId="78C1A3B6">
      <w:pPr>
        <w:shd w:val="clear" w:color="auto"/>
        <w:tabs>
          <w:tab w:val="left" w:pos="3045"/>
        </w:tabs>
        <w:autoSpaceDE w:val="0"/>
        <w:autoSpaceDN w:val="0"/>
        <w:adjustRightInd w:val="0"/>
        <w:snapToGrid w:val="0"/>
        <w:spacing w:line="360" w:lineRule="exact"/>
        <w:rPr>
          <w:rFonts w:hint="eastAsia" w:cs="宋体"/>
          <w:b/>
          <w:highlight w:val="none"/>
        </w:rPr>
      </w:pPr>
    </w:p>
    <w:p w14:paraId="551E76A4">
      <w:pPr>
        <w:shd w:val="clear" w:color="auto"/>
        <w:tabs>
          <w:tab w:val="left" w:pos="3045"/>
        </w:tabs>
        <w:autoSpaceDE w:val="0"/>
        <w:autoSpaceDN w:val="0"/>
        <w:adjustRightInd w:val="0"/>
        <w:snapToGrid w:val="0"/>
        <w:spacing w:line="360" w:lineRule="exact"/>
        <w:rPr>
          <w:rFonts w:hint="eastAsia" w:cs="宋体"/>
          <w:b/>
          <w:highlight w:val="none"/>
        </w:rPr>
      </w:pPr>
    </w:p>
    <w:p w14:paraId="65CA3257">
      <w:pPr>
        <w:shd w:val="clear" w:color="auto"/>
        <w:tabs>
          <w:tab w:val="left" w:pos="3045"/>
        </w:tabs>
        <w:autoSpaceDE w:val="0"/>
        <w:autoSpaceDN w:val="0"/>
        <w:adjustRightInd w:val="0"/>
        <w:snapToGrid w:val="0"/>
        <w:spacing w:line="360" w:lineRule="exact"/>
        <w:rPr>
          <w:rFonts w:hint="eastAsia" w:cs="宋体"/>
          <w:b/>
          <w:highlight w:val="none"/>
        </w:rPr>
      </w:pPr>
    </w:p>
    <w:p w14:paraId="2619696E">
      <w:pPr>
        <w:shd w:val="clear" w:color="auto"/>
        <w:tabs>
          <w:tab w:val="left" w:pos="3045"/>
        </w:tabs>
        <w:autoSpaceDE w:val="0"/>
        <w:autoSpaceDN w:val="0"/>
        <w:adjustRightInd w:val="0"/>
        <w:snapToGrid w:val="0"/>
        <w:spacing w:line="360" w:lineRule="exact"/>
        <w:rPr>
          <w:rFonts w:hint="eastAsia" w:cs="宋体"/>
          <w:b/>
          <w:highlight w:val="none"/>
        </w:rPr>
      </w:pPr>
    </w:p>
    <w:p w14:paraId="4830C90B">
      <w:pPr>
        <w:pStyle w:val="24"/>
        <w:shd w:val="clear"/>
        <w:rPr>
          <w:rFonts w:hint="eastAsia" w:ascii="宋体" w:hAnsi="宋体" w:eastAsia="宋体" w:cs="宋体"/>
          <w:b/>
          <w:color w:val="auto"/>
          <w:highlight w:val="none"/>
        </w:rPr>
      </w:pPr>
    </w:p>
    <w:p w14:paraId="3D420025">
      <w:pPr>
        <w:pStyle w:val="8"/>
        <w:keepNext w:val="0"/>
        <w:keepLines w:val="0"/>
        <w:shd w:val="clear"/>
        <w:spacing w:before="160" w:after="160" w:line="360" w:lineRule="auto"/>
        <w:ind w:left="420" w:hanging="420"/>
        <w:rPr>
          <w:rFonts w:hint="eastAsia" w:cs="宋体"/>
          <w:sz w:val="24"/>
          <w:szCs w:val="24"/>
          <w:highlight w:val="none"/>
          <w:lang w:val="zh-CN"/>
        </w:rPr>
      </w:pPr>
      <w:bookmarkStart w:id="558" w:name="_Toc18398"/>
      <w:bookmarkStart w:id="559" w:name="_Toc19982"/>
      <w:bookmarkStart w:id="560" w:name="_Toc1015"/>
      <w:r>
        <w:rPr>
          <w:rFonts w:hint="eastAsia" w:cs="宋体"/>
          <w:sz w:val="24"/>
          <w:szCs w:val="24"/>
          <w:highlight w:val="none"/>
        </w:rPr>
        <w:t>（三）</w:t>
      </w:r>
      <w:r>
        <w:rPr>
          <w:rFonts w:hint="eastAsia" w:cs="宋体"/>
          <w:sz w:val="24"/>
          <w:szCs w:val="24"/>
          <w:highlight w:val="none"/>
          <w:lang w:val="zh-CN"/>
        </w:rPr>
        <w:t>评分标准</w:t>
      </w:r>
      <w:bookmarkEnd w:id="557"/>
      <w:bookmarkEnd w:id="558"/>
      <w:bookmarkEnd w:id="559"/>
      <w:bookmarkEnd w:id="560"/>
    </w:p>
    <w:p w14:paraId="06EEC6BD">
      <w:pPr>
        <w:shd w:val="clear"/>
        <w:rPr>
          <w:rFonts w:hint="eastAsia" w:cs="宋体"/>
          <w:sz w:val="21"/>
          <w:szCs w:val="21"/>
          <w:highlight w:val="none"/>
        </w:rPr>
      </w:pPr>
      <w:r>
        <w:rPr>
          <w:rFonts w:hint="eastAsia" w:cs="宋体"/>
          <w:sz w:val="21"/>
          <w:szCs w:val="21"/>
          <w:highlight w:val="none"/>
        </w:rPr>
        <w:t>注：以下评标分项根据项目实际情况可自行设置。</w:t>
      </w:r>
    </w:p>
    <w:tbl>
      <w:tblPr>
        <w:tblStyle w:val="19"/>
        <w:tblW w:w="578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
        <w:gridCol w:w="1101"/>
        <w:gridCol w:w="898"/>
        <w:gridCol w:w="6883"/>
      </w:tblGrid>
      <w:tr w14:paraId="72FBE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499" w:type="pct"/>
            <w:shd w:val="clear" w:color="auto" w:fill="D8D8D8" w:themeFill="background1" w:themeFillShade="D9"/>
            <w:vAlign w:val="center"/>
          </w:tcPr>
          <w:p w14:paraId="6927C1D8">
            <w:pPr>
              <w:pStyle w:val="28"/>
              <w:shd w:val="clear"/>
              <w:spacing w:line="440" w:lineRule="exact"/>
              <w:jc w:val="center"/>
              <w:rPr>
                <w:rFonts w:hint="eastAsia" w:cs="宋体"/>
                <w:sz w:val="24"/>
                <w:szCs w:val="24"/>
                <w:highlight w:val="none"/>
              </w:rPr>
            </w:pPr>
            <w:r>
              <w:rPr>
                <w:rFonts w:hint="eastAsia" w:cs="宋体"/>
                <w:sz w:val="24"/>
                <w:szCs w:val="24"/>
                <w:highlight w:val="none"/>
              </w:rPr>
              <w:t>评标项目</w:t>
            </w:r>
          </w:p>
        </w:tc>
        <w:tc>
          <w:tcPr>
            <w:tcW w:w="557" w:type="pct"/>
            <w:shd w:val="clear" w:color="auto" w:fill="D8D8D8" w:themeFill="background1" w:themeFillShade="D9"/>
            <w:vAlign w:val="center"/>
          </w:tcPr>
          <w:p w14:paraId="2449DF07">
            <w:pPr>
              <w:pStyle w:val="28"/>
              <w:shd w:val="clear"/>
              <w:spacing w:line="440" w:lineRule="exact"/>
              <w:jc w:val="center"/>
              <w:rPr>
                <w:rFonts w:hint="eastAsia" w:cs="宋体"/>
                <w:sz w:val="24"/>
                <w:szCs w:val="24"/>
                <w:highlight w:val="none"/>
              </w:rPr>
            </w:pPr>
            <w:r>
              <w:rPr>
                <w:rFonts w:hint="eastAsia" w:cs="宋体"/>
                <w:sz w:val="24"/>
                <w:szCs w:val="24"/>
                <w:highlight w:val="none"/>
              </w:rPr>
              <w:t>评标分项</w:t>
            </w:r>
          </w:p>
        </w:tc>
        <w:tc>
          <w:tcPr>
            <w:tcW w:w="455" w:type="pct"/>
            <w:shd w:val="clear" w:color="auto" w:fill="D8D8D8" w:themeFill="background1" w:themeFillShade="D9"/>
            <w:vAlign w:val="center"/>
          </w:tcPr>
          <w:p w14:paraId="7110F682">
            <w:pPr>
              <w:pStyle w:val="28"/>
              <w:shd w:val="clear"/>
              <w:spacing w:line="440" w:lineRule="exact"/>
              <w:jc w:val="center"/>
              <w:rPr>
                <w:rFonts w:hint="eastAsia" w:cs="宋体"/>
                <w:sz w:val="24"/>
                <w:szCs w:val="24"/>
                <w:highlight w:val="none"/>
              </w:rPr>
            </w:pPr>
            <w:r>
              <w:rPr>
                <w:rFonts w:hint="eastAsia" w:cs="宋体"/>
                <w:sz w:val="24"/>
                <w:szCs w:val="24"/>
                <w:highlight w:val="none"/>
              </w:rPr>
              <w:t>分值</w:t>
            </w:r>
          </w:p>
        </w:tc>
        <w:tc>
          <w:tcPr>
            <w:tcW w:w="3487" w:type="pct"/>
            <w:shd w:val="clear" w:color="auto" w:fill="D8D8D8" w:themeFill="background1" w:themeFillShade="D9"/>
            <w:vAlign w:val="center"/>
          </w:tcPr>
          <w:p w14:paraId="7BBC49B9">
            <w:pPr>
              <w:pStyle w:val="28"/>
              <w:shd w:val="clear"/>
              <w:spacing w:line="440" w:lineRule="exact"/>
              <w:jc w:val="center"/>
              <w:rPr>
                <w:rFonts w:hint="eastAsia" w:cs="宋体"/>
                <w:sz w:val="24"/>
                <w:szCs w:val="24"/>
                <w:highlight w:val="none"/>
              </w:rPr>
            </w:pPr>
            <w:r>
              <w:rPr>
                <w:rFonts w:hint="eastAsia" w:cs="宋体"/>
                <w:sz w:val="24"/>
                <w:szCs w:val="24"/>
                <w:highlight w:val="none"/>
              </w:rPr>
              <w:t>子项目及分值</w:t>
            </w:r>
          </w:p>
        </w:tc>
      </w:tr>
      <w:tr w14:paraId="37C33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99" w:type="pct"/>
            <w:vAlign w:val="center"/>
          </w:tcPr>
          <w:p w14:paraId="6B08D7B8">
            <w:pPr>
              <w:pStyle w:val="28"/>
              <w:shd w:val="clear"/>
              <w:spacing w:line="440" w:lineRule="exact"/>
              <w:jc w:val="center"/>
              <w:rPr>
                <w:rFonts w:hint="eastAsia" w:cs="宋体"/>
                <w:sz w:val="24"/>
                <w:szCs w:val="24"/>
                <w:highlight w:val="none"/>
              </w:rPr>
            </w:pPr>
            <w:r>
              <w:rPr>
                <w:rFonts w:hint="eastAsia" w:cs="宋体"/>
                <w:sz w:val="24"/>
                <w:szCs w:val="24"/>
                <w:highlight w:val="none"/>
              </w:rPr>
              <w:t>价格部分</w:t>
            </w:r>
          </w:p>
        </w:tc>
        <w:tc>
          <w:tcPr>
            <w:tcW w:w="557" w:type="pct"/>
            <w:tcBorders>
              <w:bottom w:val="single" w:color="auto" w:sz="4" w:space="0"/>
            </w:tcBorders>
            <w:vAlign w:val="center"/>
          </w:tcPr>
          <w:p w14:paraId="61A72C15">
            <w:pPr>
              <w:pStyle w:val="28"/>
              <w:shd w:val="clear"/>
              <w:spacing w:line="440" w:lineRule="exact"/>
              <w:jc w:val="center"/>
              <w:rPr>
                <w:rFonts w:hint="eastAsia" w:cs="宋体"/>
                <w:sz w:val="24"/>
                <w:szCs w:val="24"/>
                <w:highlight w:val="none"/>
              </w:rPr>
            </w:pPr>
            <w:r>
              <w:rPr>
                <w:rFonts w:hint="eastAsia" w:cs="宋体"/>
                <w:sz w:val="24"/>
                <w:szCs w:val="24"/>
                <w:highlight w:val="none"/>
              </w:rPr>
              <w:t>最后报价</w:t>
            </w:r>
          </w:p>
        </w:tc>
        <w:tc>
          <w:tcPr>
            <w:tcW w:w="455" w:type="pct"/>
            <w:vAlign w:val="center"/>
          </w:tcPr>
          <w:p w14:paraId="35BC0D4C">
            <w:pPr>
              <w:pStyle w:val="28"/>
              <w:shd w:val="clear"/>
              <w:spacing w:line="440" w:lineRule="exact"/>
              <w:jc w:val="center"/>
              <w:rPr>
                <w:rFonts w:hint="eastAsia" w:cs="宋体"/>
                <w:sz w:val="24"/>
                <w:szCs w:val="24"/>
                <w:highlight w:val="none"/>
              </w:rPr>
            </w:pPr>
            <w:r>
              <w:rPr>
                <w:rFonts w:hint="eastAsia" w:cs="宋体"/>
                <w:sz w:val="24"/>
                <w:szCs w:val="24"/>
                <w:highlight w:val="none"/>
              </w:rPr>
              <w:t>10</w:t>
            </w:r>
          </w:p>
        </w:tc>
        <w:tc>
          <w:tcPr>
            <w:tcW w:w="3487" w:type="pct"/>
            <w:vAlign w:val="center"/>
          </w:tcPr>
          <w:p w14:paraId="320CA527">
            <w:pPr>
              <w:pStyle w:val="28"/>
              <w:shd w:val="clear"/>
              <w:spacing w:line="440" w:lineRule="exact"/>
              <w:rPr>
                <w:rFonts w:hint="eastAsia" w:cs="宋体"/>
                <w:sz w:val="24"/>
                <w:szCs w:val="24"/>
                <w:highlight w:val="none"/>
              </w:rPr>
            </w:pPr>
            <w:r>
              <w:rPr>
                <w:rFonts w:hint="eastAsia" w:cs="宋体"/>
                <w:sz w:val="24"/>
                <w:szCs w:val="24"/>
                <w:highlight w:val="none"/>
              </w:rPr>
              <w:t>满足竞争性磋商文件要求且最后报价最低的报价为评审基准价，其价格分为满分。其他供应商的价格分统一按照下列公式计算：</w:t>
            </w:r>
          </w:p>
          <w:p w14:paraId="4B545B6F">
            <w:pPr>
              <w:pStyle w:val="28"/>
              <w:shd w:val="clear"/>
              <w:spacing w:line="440" w:lineRule="exact"/>
              <w:rPr>
                <w:rFonts w:hint="eastAsia" w:cs="宋体"/>
                <w:sz w:val="24"/>
                <w:szCs w:val="24"/>
                <w:highlight w:val="none"/>
              </w:rPr>
            </w:pPr>
            <w:r>
              <w:rPr>
                <w:rFonts w:hint="eastAsia" w:cs="宋体"/>
                <w:sz w:val="24"/>
                <w:szCs w:val="24"/>
                <w:highlight w:val="none"/>
              </w:rPr>
              <w:t>报价得分=</w:t>
            </w:r>
            <w:r>
              <w:rPr>
                <w:rFonts w:hint="eastAsia" w:cs="宋体"/>
                <w:sz w:val="24"/>
                <w:szCs w:val="24"/>
                <w:highlight w:val="none"/>
                <w:lang w:val="zh-CN"/>
              </w:rPr>
              <w:t>（磋商基准价/最后磋商报价）</w:t>
            </w:r>
            <w:r>
              <w:rPr>
                <w:rFonts w:hint="eastAsia" w:cs="宋体"/>
                <w:sz w:val="24"/>
                <w:szCs w:val="24"/>
                <w:highlight w:val="none"/>
              </w:rPr>
              <w:t>×价格分值</w:t>
            </w:r>
          </w:p>
          <w:p w14:paraId="0D400651">
            <w:pPr>
              <w:pStyle w:val="28"/>
              <w:shd w:val="clear"/>
              <w:spacing w:line="440" w:lineRule="exact"/>
              <w:rPr>
                <w:rFonts w:hint="eastAsia" w:cs="宋体"/>
                <w:sz w:val="24"/>
                <w:szCs w:val="24"/>
                <w:highlight w:val="none"/>
              </w:rPr>
            </w:pPr>
            <w:r>
              <w:rPr>
                <w:rFonts w:hint="eastAsia" w:cs="宋体"/>
                <w:sz w:val="24"/>
                <w:szCs w:val="24"/>
                <w:highlight w:val="none"/>
              </w:rPr>
              <w:t>备注：符合供应商须知中价格扣除规定的，在评审时予以价格扣除，用扣除后的最后报价参与评审。</w:t>
            </w:r>
          </w:p>
        </w:tc>
      </w:tr>
      <w:tr w14:paraId="06F9E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99" w:type="pct"/>
            <w:vMerge w:val="restart"/>
            <w:vAlign w:val="center"/>
          </w:tcPr>
          <w:p w14:paraId="2AEEF590">
            <w:pPr>
              <w:pStyle w:val="28"/>
              <w:shd w:val="clear"/>
              <w:spacing w:line="440" w:lineRule="exact"/>
              <w:rPr>
                <w:rFonts w:hint="eastAsia" w:cs="宋体"/>
                <w:sz w:val="24"/>
                <w:szCs w:val="24"/>
                <w:highlight w:val="none"/>
              </w:rPr>
            </w:pPr>
            <w:r>
              <w:rPr>
                <w:rFonts w:hint="eastAsia" w:cs="宋体"/>
                <w:sz w:val="24"/>
                <w:szCs w:val="24"/>
                <w:highlight w:val="none"/>
              </w:rPr>
              <w:t>商务技术部分</w:t>
            </w:r>
          </w:p>
          <w:p w14:paraId="193923F9">
            <w:pPr>
              <w:pStyle w:val="28"/>
              <w:shd w:val="clear"/>
              <w:spacing w:line="440" w:lineRule="exact"/>
              <w:jc w:val="center"/>
              <w:rPr>
                <w:rFonts w:hint="eastAsia" w:cs="宋体"/>
                <w:sz w:val="24"/>
                <w:szCs w:val="24"/>
                <w:highlight w:val="none"/>
              </w:rPr>
            </w:pPr>
          </w:p>
        </w:tc>
        <w:tc>
          <w:tcPr>
            <w:tcW w:w="557" w:type="pct"/>
            <w:tcBorders>
              <w:top w:val="single" w:color="auto" w:sz="4" w:space="0"/>
            </w:tcBorders>
            <w:vAlign w:val="center"/>
          </w:tcPr>
          <w:p w14:paraId="2D180037">
            <w:pPr>
              <w:shd w:val="clear"/>
              <w:adjustRightInd w:val="0"/>
              <w:snapToGrid w:val="0"/>
              <w:spacing w:line="440" w:lineRule="exact"/>
              <w:jc w:val="center"/>
              <w:rPr>
                <w:rFonts w:hint="eastAsia" w:cs="宋体"/>
                <w:szCs w:val="24"/>
                <w:highlight w:val="none"/>
              </w:rPr>
            </w:pPr>
            <w:r>
              <w:rPr>
                <w:rFonts w:hint="eastAsia" w:asciiTheme="minorEastAsia" w:hAnsiTheme="minorEastAsia" w:eastAsiaTheme="minorEastAsia" w:cstheme="minorEastAsia"/>
                <w:szCs w:val="24"/>
                <w:highlight w:val="none"/>
              </w:rPr>
              <w:t>业绩情况</w:t>
            </w:r>
          </w:p>
        </w:tc>
        <w:tc>
          <w:tcPr>
            <w:tcW w:w="455" w:type="pct"/>
            <w:vAlign w:val="center"/>
          </w:tcPr>
          <w:p w14:paraId="7C2EE751">
            <w:pPr>
              <w:shd w:val="clear"/>
              <w:adjustRightInd w:val="0"/>
              <w:snapToGrid w:val="0"/>
              <w:spacing w:line="440" w:lineRule="exact"/>
              <w:jc w:val="center"/>
              <w:rPr>
                <w:rFonts w:hint="eastAsia" w:asciiTheme="minorEastAsia" w:hAnsiTheme="minorEastAsia" w:eastAsiaTheme="minorEastAsia" w:cstheme="minorEastAsia"/>
                <w:szCs w:val="24"/>
                <w:highlight w:val="none"/>
              </w:rPr>
            </w:pPr>
            <w:r>
              <w:rPr>
                <w:rFonts w:hint="eastAsia" w:asciiTheme="minorEastAsia" w:hAnsiTheme="minorEastAsia" w:eastAsiaTheme="minorEastAsia" w:cstheme="minorEastAsia"/>
                <w:szCs w:val="24"/>
                <w:highlight w:val="none"/>
              </w:rPr>
              <w:t>12</w:t>
            </w:r>
          </w:p>
        </w:tc>
        <w:tc>
          <w:tcPr>
            <w:tcW w:w="3487" w:type="pct"/>
            <w:vAlign w:val="center"/>
          </w:tcPr>
          <w:p w14:paraId="125F6ED6">
            <w:pPr>
              <w:shd w:val="clear"/>
              <w:adjustRightInd w:val="0"/>
              <w:snapToGrid w:val="0"/>
              <w:spacing w:line="440" w:lineRule="exact"/>
              <w:rPr>
                <w:rFonts w:hint="eastAsia" w:asciiTheme="minorEastAsia" w:hAnsiTheme="minorEastAsia" w:eastAsiaTheme="minorEastAsia" w:cstheme="minorEastAsia"/>
                <w:szCs w:val="24"/>
                <w:highlight w:val="none"/>
              </w:rPr>
            </w:pPr>
            <w:r>
              <w:rPr>
                <w:rFonts w:hint="eastAsia" w:asciiTheme="minorEastAsia" w:hAnsiTheme="minorEastAsia" w:eastAsiaTheme="minorEastAsia" w:cstheme="minorEastAsia"/>
                <w:szCs w:val="24"/>
                <w:highlight w:val="none"/>
              </w:rPr>
              <w:t>提供投标人近三年来（2023年1月至今）完成的类似项目业绩（包括但不限于城市更新规划、城市更新试点申报及服务、财政支持相关领域可行性研究、南疆地区规划建设相关研究等），须提供证明材料，每提供1项得2分，最多得12分。注：须提供中标成交通知书或合同扫描件（合同需提供封面页和盖章页）</w:t>
            </w:r>
          </w:p>
        </w:tc>
      </w:tr>
      <w:tr w14:paraId="07254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99" w:type="pct"/>
            <w:vMerge w:val="continue"/>
            <w:vAlign w:val="center"/>
          </w:tcPr>
          <w:p w14:paraId="6DA96935">
            <w:pPr>
              <w:pStyle w:val="28"/>
              <w:shd w:val="clear"/>
              <w:spacing w:line="440" w:lineRule="exact"/>
              <w:jc w:val="center"/>
              <w:rPr>
                <w:rFonts w:hint="eastAsia" w:cs="宋体"/>
                <w:sz w:val="24"/>
                <w:szCs w:val="24"/>
                <w:highlight w:val="none"/>
              </w:rPr>
            </w:pPr>
          </w:p>
        </w:tc>
        <w:tc>
          <w:tcPr>
            <w:tcW w:w="557" w:type="pct"/>
            <w:vAlign w:val="center"/>
          </w:tcPr>
          <w:p w14:paraId="3317B27B">
            <w:pPr>
              <w:shd w:val="clear"/>
              <w:adjustRightInd w:val="0"/>
              <w:snapToGrid w:val="0"/>
              <w:spacing w:line="440" w:lineRule="exact"/>
              <w:jc w:val="center"/>
              <w:rPr>
                <w:rFonts w:hint="eastAsia" w:cs="宋体"/>
                <w:szCs w:val="24"/>
                <w:highlight w:val="none"/>
              </w:rPr>
            </w:pPr>
            <w:r>
              <w:rPr>
                <w:rFonts w:hint="eastAsia" w:asciiTheme="minorEastAsia" w:hAnsiTheme="minorEastAsia" w:eastAsiaTheme="minorEastAsia" w:cstheme="minorEastAsia"/>
                <w:szCs w:val="24"/>
                <w:highlight w:val="none"/>
              </w:rPr>
              <w:t>项目负责人</w:t>
            </w:r>
          </w:p>
        </w:tc>
        <w:tc>
          <w:tcPr>
            <w:tcW w:w="455" w:type="pct"/>
            <w:vAlign w:val="center"/>
          </w:tcPr>
          <w:p w14:paraId="0F22F975">
            <w:pPr>
              <w:shd w:val="clear"/>
              <w:adjustRightInd w:val="0"/>
              <w:snapToGrid w:val="0"/>
              <w:spacing w:line="440" w:lineRule="exact"/>
              <w:jc w:val="center"/>
              <w:rPr>
                <w:rFonts w:hint="eastAsia" w:asciiTheme="minorEastAsia" w:hAnsiTheme="minorEastAsia" w:eastAsiaTheme="minorEastAsia" w:cstheme="minorEastAsia"/>
                <w:szCs w:val="24"/>
                <w:highlight w:val="none"/>
              </w:rPr>
            </w:pPr>
            <w:r>
              <w:rPr>
                <w:rFonts w:hint="eastAsia" w:asciiTheme="minorEastAsia" w:hAnsiTheme="minorEastAsia" w:eastAsiaTheme="minorEastAsia" w:cstheme="minorEastAsia"/>
                <w:szCs w:val="24"/>
                <w:highlight w:val="none"/>
              </w:rPr>
              <w:t>4</w:t>
            </w:r>
          </w:p>
        </w:tc>
        <w:tc>
          <w:tcPr>
            <w:tcW w:w="3487" w:type="pct"/>
            <w:vAlign w:val="center"/>
          </w:tcPr>
          <w:p w14:paraId="3657D727">
            <w:pPr>
              <w:shd w:val="clear"/>
              <w:adjustRightInd w:val="0"/>
              <w:snapToGrid w:val="0"/>
              <w:spacing w:line="440" w:lineRule="exact"/>
              <w:rPr>
                <w:rFonts w:hint="eastAsia" w:asciiTheme="minorEastAsia" w:hAnsiTheme="minorEastAsia" w:eastAsiaTheme="minorEastAsia" w:cstheme="minorEastAsia"/>
                <w:szCs w:val="24"/>
                <w:highlight w:val="none"/>
              </w:rPr>
            </w:pPr>
            <w:r>
              <w:rPr>
                <w:rFonts w:hint="eastAsia" w:asciiTheme="minorEastAsia" w:hAnsiTheme="minorEastAsia" w:eastAsiaTheme="minorEastAsia" w:cstheme="minorEastAsia"/>
                <w:szCs w:val="24"/>
                <w:highlight w:val="none"/>
              </w:rPr>
              <w:t>拟派项目负责人具有城乡（市）规划专业副高级职称的得2分，同时具备国家注册城乡规划师证和城乡（市）规划专业正高级职称的得4分。注：须提供身份证、近半年内任意三个月的社保缴纳证明材料、相应证书复印件等证明材料加盖公章，未提供不得分。</w:t>
            </w:r>
          </w:p>
        </w:tc>
      </w:tr>
      <w:tr w14:paraId="2997F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99" w:type="pct"/>
            <w:vMerge w:val="continue"/>
            <w:vAlign w:val="center"/>
          </w:tcPr>
          <w:p w14:paraId="49F9454B">
            <w:pPr>
              <w:pStyle w:val="28"/>
              <w:shd w:val="clear"/>
              <w:spacing w:line="440" w:lineRule="exact"/>
              <w:jc w:val="center"/>
              <w:rPr>
                <w:rFonts w:hint="eastAsia" w:cs="宋体"/>
                <w:sz w:val="24"/>
                <w:szCs w:val="24"/>
                <w:highlight w:val="none"/>
              </w:rPr>
            </w:pPr>
          </w:p>
        </w:tc>
        <w:tc>
          <w:tcPr>
            <w:tcW w:w="557" w:type="pct"/>
            <w:vAlign w:val="center"/>
          </w:tcPr>
          <w:p w14:paraId="478475A2">
            <w:pPr>
              <w:shd w:val="clear"/>
              <w:adjustRightInd w:val="0"/>
              <w:snapToGrid w:val="0"/>
              <w:spacing w:line="440" w:lineRule="exact"/>
              <w:jc w:val="center"/>
              <w:rPr>
                <w:rFonts w:hint="eastAsia" w:cs="宋体"/>
                <w:szCs w:val="24"/>
                <w:highlight w:val="none"/>
              </w:rPr>
            </w:pPr>
            <w:r>
              <w:rPr>
                <w:rFonts w:hint="eastAsia" w:asciiTheme="minorEastAsia" w:hAnsiTheme="minorEastAsia" w:eastAsiaTheme="minorEastAsia" w:cstheme="minorEastAsia"/>
                <w:szCs w:val="24"/>
                <w:highlight w:val="none"/>
              </w:rPr>
              <w:t>拟投入本项目的人员情况</w:t>
            </w:r>
          </w:p>
        </w:tc>
        <w:tc>
          <w:tcPr>
            <w:tcW w:w="455" w:type="pct"/>
            <w:vAlign w:val="center"/>
          </w:tcPr>
          <w:p w14:paraId="4E0AE435">
            <w:pPr>
              <w:shd w:val="clear"/>
              <w:adjustRightInd w:val="0"/>
              <w:snapToGrid w:val="0"/>
              <w:spacing w:line="440" w:lineRule="exact"/>
              <w:jc w:val="center"/>
              <w:rPr>
                <w:rFonts w:hint="eastAsia" w:asciiTheme="minorEastAsia" w:hAnsiTheme="minorEastAsia" w:eastAsiaTheme="minorEastAsia" w:cstheme="minorEastAsia"/>
                <w:szCs w:val="24"/>
                <w:highlight w:val="none"/>
              </w:rPr>
            </w:pPr>
            <w:r>
              <w:rPr>
                <w:rFonts w:hint="eastAsia" w:asciiTheme="minorEastAsia" w:hAnsiTheme="minorEastAsia" w:eastAsiaTheme="minorEastAsia" w:cstheme="minorEastAsia"/>
                <w:szCs w:val="24"/>
                <w:highlight w:val="none"/>
              </w:rPr>
              <w:t>6</w:t>
            </w:r>
          </w:p>
        </w:tc>
        <w:tc>
          <w:tcPr>
            <w:tcW w:w="3487" w:type="pct"/>
            <w:vAlign w:val="center"/>
          </w:tcPr>
          <w:p w14:paraId="231CAC54">
            <w:pPr>
              <w:shd w:val="clear"/>
              <w:adjustRightInd w:val="0"/>
              <w:snapToGrid w:val="0"/>
              <w:spacing w:line="440" w:lineRule="exact"/>
              <w:rPr>
                <w:rFonts w:hint="eastAsia"/>
                <w:szCs w:val="24"/>
                <w:highlight w:val="none"/>
              </w:rPr>
            </w:pPr>
            <w:r>
              <w:rPr>
                <w:rFonts w:hint="eastAsia"/>
                <w:szCs w:val="24"/>
                <w:highlight w:val="none"/>
              </w:rPr>
              <w:t>拟派项目技术人员配备情况（不含项目负责人）：</w:t>
            </w:r>
          </w:p>
          <w:p w14:paraId="084BEF6B">
            <w:pPr>
              <w:shd w:val="clear"/>
              <w:adjustRightInd w:val="0"/>
              <w:snapToGrid w:val="0"/>
              <w:spacing w:line="440" w:lineRule="exact"/>
              <w:rPr>
                <w:rFonts w:hint="eastAsia"/>
                <w:szCs w:val="24"/>
                <w:highlight w:val="none"/>
              </w:rPr>
            </w:pPr>
            <w:r>
              <w:rPr>
                <w:rFonts w:hint="eastAsia"/>
                <w:szCs w:val="24"/>
                <w:highlight w:val="none"/>
              </w:rPr>
              <w:t>除项目负责人外的项目组人员包含城市（乡）规划、城市交通、市政给水排水等专业，每提供1名具有相应专业副高级及以上职称证书的人员得1分，最高得6分；每提供1名具有相应专业中级职称证书的人员得0.5分，最高得3分。本项合计最高得6分。</w:t>
            </w:r>
          </w:p>
          <w:p w14:paraId="6022AA78">
            <w:pPr>
              <w:shd w:val="clear"/>
              <w:adjustRightInd w:val="0"/>
              <w:snapToGrid w:val="0"/>
              <w:spacing w:line="440" w:lineRule="exact"/>
              <w:rPr>
                <w:rFonts w:hint="eastAsia" w:asciiTheme="minorEastAsia" w:hAnsiTheme="minorEastAsia" w:eastAsiaTheme="minorEastAsia" w:cstheme="minorEastAsia"/>
                <w:szCs w:val="24"/>
                <w:highlight w:val="none"/>
              </w:rPr>
            </w:pPr>
            <w:r>
              <w:rPr>
                <w:rFonts w:hint="eastAsia" w:asciiTheme="minorEastAsia" w:hAnsiTheme="minorEastAsia" w:eastAsiaTheme="minorEastAsia" w:cstheme="minorEastAsia"/>
                <w:szCs w:val="24"/>
                <w:highlight w:val="none"/>
              </w:rPr>
              <w:t>注：须提供身份证、近半年内任意三个月的社保缴纳证明材料、相应证书复印件等证明材料加盖公章，未提供不得分。</w:t>
            </w:r>
          </w:p>
        </w:tc>
      </w:tr>
      <w:tr w14:paraId="17395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99" w:type="pct"/>
            <w:vMerge w:val="continue"/>
            <w:vAlign w:val="center"/>
          </w:tcPr>
          <w:p w14:paraId="65119683">
            <w:pPr>
              <w:pStyle w:val="28"/>
              <w:shd w:val="clear"/>
              <w:spacing w:line="440" w:lineRule="exact"/>
              <w:jc w:val="center"/>
              <w:rPr>
                <w:rFonts w:hint="eastAsia" w:cs="宋体"/>
                <w:sz w:val="24"/>
                <w:szCs w:val="24"/>
                <w:highlight w:val="none"/>
              </w:rPr>
            </w:pPr>
          </w:p>
        </w:tc>
        <w:tc>
          <w:tcPr>
            <w:tcW w:w="557" w:type="pct"/>
            <w:vAlign w:val="center"/>
          </w:tcPr>
          <w:p w14:paraId="48693EC5">
            <w:pPr>
              <w:shd w:val="clear"/>
              <w:adjustRightInd w:val="0"/>
              <w:snapToGrid w:val="0"/>
              <w:spacing w:line="440" w:lineRule="exact"/>
              <w:jc w:val="center"/>
              <w:rPr>
                <w:rFonts w:hint="eastAsia" w:cs="宋体"/>
                <w:szCs w:val="24"/>
                <w:highlight w:val="none"/>
              </w:rPr>
            </w:pPr>
            <w:r>
              <w:rPr>
                <w:rFonts w:hint="eastAsia" w:asciiTheme="minorEastAsia" w:hAnsiTheme="minorEastAsia" w:eastAsiaTheme="minorEastAsia" w:cstheme="minorEastAsia"/>
                <w:szCs w:val="24"/>
                <w:highlight w:val="none"/>
              </w:rPr>
              <w:t>项目背景与基础研判</w:t>
            </w:r>
          </w:p>
        </w:tc>
        <w:tc>
          <w:tcPr>
            <w:tcW w:w="455" w:type="pct"/>
            <w:vAlign w:val="center"/>
          </w:tcPr>
          <w:p w14:paraId="0B5E64C7">
            <w:pPr>
              <w:shd w:val="clear"/>
              <w:adjustRightInd w:val="0"/>
              <w:snapToGrid w:val="0"/>
              <w:spacing w:line="440" w:lineRule="exact"/>
              <w:jc w:val="center"/>
              <w:rPr>
                <w:rFonts w:hint="eastAsia" w:asciiTheme="minorEastAsia" w:hAnsiTheme="minorEastAsia" w:eastAsiaTheme="minorEastAsia" w:cstheme="minorEastAsia"/>
                <w:szCs w:val="24"/>
                <w:highlight w:val="none"/>
              </w:rPr>
            </w:pPr>
            <w:r>
              <w:rPr>
                <w:rFonts w:hint="eastAsia" w:asciiTheme="minorEastAsia" w:hAnsiTheme="minorEastAsia" w:eastAsiaTheme="minorEastAsia" w:cstheme="minorEastAsia"/>
                <w:szCs w:val="24"/>
                <w:highlight w:val="none"/>
              </w:rPr>
              <w:t>10</w:t>
            </w:r>
          </w:p>
        </w:tc>
        <w:tc>
          <w:tcPr>
            <w:tcW w:w="3487" w:type="pct"/>
            <w:vAlign w:val="center"/>
          </w:tcPr>
          <w:p w14:paraId="5EF68FD6">
            <w:pPr>
              <w:shd w:val="clear"/>
              <w:adjustRightInd w:val="0"/>
              <w:snapToGrid w:val="0"/>
              <w:spacing w:line="440" w:lineRule="exact"/>
              <w:rPr>
                <w:rFonts w:hint="eastAsia"/>
                <w:szCs w:val="24"/>
                <w:highlight w:val="none"/>
              </w:rPr>
            </w:pPr>
            <w:r>
              <w:rPr>
                <w:rFonts w:hint="eastAsia"/>
                <w:szCs w:val="24"/>
                <w:highlight w:val="none"/>
              </w:rPr>
              <w:t>供应商应针对本项目特点分析：①研究背景；②南疆地区现状基础情况。</w:t>
            </w:r>
          </w:p>
          <w:p w14:paraId="750FA8AF">
            <w:pPr>
              <w:shd w:val="clear"/>
              <w:adjustRightInd w:val="0"/>
              <w:snapToGrid w:val="0"/>
              <w:spacing w:line="440" w:lineRule="exact"/>
              <w:rPr>
                <w:rFonts w:hint="eastAsia" w:asciiTheme="minorEastAsia" w:hAnsiTheme="minorEastAsia" w:eastAsiaTheme="minorEastAsia" w:cstheme="minorEastAsia"/>
                <w:szCs w:val="24"/>
                <w:highlight w:val="none"/>
              </w:rPr>
            </w:pPr>
            <w:r>
              <w:rPr>
                <w:rFonts w:hint="eastAsia" w:asciiTheme="minorEastAsia" w:hAnsiTheme="minorEastAsia" w:eastAsiaTheme="minorEastAsia" w:cstheme="minorEastAsia"/>
                <w:szCs w:val="24"/>
                <w:highlight w:val="none"/>
              </w:rPr>
              <w:t>每有一项内容得5分，每小项内容存在一处缺陷的扣2分，扣完为止，未提供不得分。（缺陷是指：与本项目采购标的无关、方案内容前后不一致、前后逻辑错误、涉及的相关规范及标准错误、地点区域错误、内容缺失、规范标准有误、只有简单描述无实质性内容等）</w:t>
            </w:r>
          </w:p>
        </w:tc>
      </w:tr>
      <w:tr w14:paraId="1E60B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99" w:type="pct"/>
            <w:vMerge w:val="continue"/>
            <w:vAlign w:val="center"/>
          </w:tcPr>
          <w:p w14:paraId="26D3D113">
            <w:pPr>
              <w:pStyle w:val="28"/>
              <w:shd w:val="clear"/>
              <w:spacing w:line="440" w:lineRule="exact"/>
              <w:jc w:val="center"/>
              <w:rPr>
                <w:rFonts w:hint="eastAsia" w:cs="宋体"/>
                <w:sz w:val="24"/>
                <w:szCs w:val="24"/>
                <w:highlight w:val="none"/>
              </w:rPr>
            </w:pPr>
          </w:p>
        </w:tc>
        <w:tc>
          <w:tcPr>
            <w:tcW w:w="557" w:type="pct"/>
            <w:vAlign w:val="center"/>
          </w:tcPr>
          <w:p w14:paraId="50A08F52">
            <w:pPr>
              <w:pStyle w:val="28"/>
              <w:shd w:val="clear"/>
              <w:spacing w:line="440" w:lineRule="exact"/>
              <w:jc w:val="center"/>
              <w:rPr>
                <w:rFonts w:hint="eastAsia" w:eastAsia="宋体" w:cs="宋体"/>
                <w:sz w:val="24"/>
                <w:szCs w:val="24"/>
                <w:highlight w:val="none"/>
                <w:lang w:val="en-US" w:eastAsia="zh-CN"/>
              </w:rPr>
            </w:pPr>
            <w:r>
              <w:rPr>
                <w:rFonts w:hint="eastAsia" w:cs="宋体"/>
                <w:sz w:val="24"/>
                <w:szCs w:val="24"/>
                <w:highlight w:val="none"/>
              </w:rPr>
              <w:t>经验做法分析</w:t>
            </w:r>
            <w:r>
              <w:rPr>
                <w:rFonts w:hint="eastAsia" w:cs="宋体"/>
                <w:sz w:val="24"/>
                <w:szCs w:val="24"/>
                <w:highlight w:val="none"/>
                <w:lang w:val="en-US" w:eastAsia="zh-CN"/>
              </w:rPr>
              <w:t>及</w:t>
            </w:r>
            <w:r>
              <w:rPr>
                <w:rFonts w:hint="eastAsia" w:cs="宋体"/>
                <w:sz w:val="24"/>
                <w:szCs w:val="24"/>
                <w:highlight w:val="none"/>
              </w:rPr>
              <w:t>工作与政策建议</w:t>
            </w:r>
          </w:p>
        </w:tc>
        <w:tc>
          <w:tcPr>
            <w:tcW w:w="455" w:type="pct"/>
            <w:vAlign w:val="center"/>
          </w:tcPr>
          <w:p w14:paraId="520CE8AB">
            <w:pPr>
              <w:pStyle w:val="28"/>
              <w:shd w:val="clear"/>
              <w:spacing w:line="440" w:lineRule="exact"/>
              <w:jc w:val="center"/>
              <w:rPr>
                <w:rFonts w:hint="default" w:eastAsia="宋体" w:cs="宋体"/>
                <w:sz w:val="24"/>
                <w:szCs w:val="24"/>
                <w:highlight w:val="none"/>
                <w:lang w:val="en-US" w:eastAsia="zh-CN"/>
              </w:rPr>
            </w:pPr>
            <w:r>
              <w:rPr>
                <w:rFonts w:hint="eastAsia" w:cs="宋体"/>
                <w:sz w:val="24"/>
                <w:szCs w:val="24"/>
                <w:highlight w:val="none"/>
                <w:lang w:val="en-US" w:eastAsia="zh-CN"/>
              </w:rPr>
              <w:t>21</w:t>
            </w:r>
          </w:p>
        </w:tc>
        <w:tc>
          <w:tcPr>
            <w:tcW w:w="3487" w:type="pct"/>
            <w:vAlign w:val="center"/>
          </w:tcPr>
          <w:p w14:paraId="1224D6FA">
            <w:pPr>
              <w:pStyle w:val="28"/>
              <w:shd w:val="clear"/>
              <w:spacing w:line="440" w:lineRule="exact"/>
              <w:rPr>
                <w:rFonts w:hint="eastAsia" w:eastAsia="宋体" w:asciiTheme="minorEastAsia" w:hAnsi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rPr>
              <w:t>供应商应针对本项目分析关于财政支持城市更新试点的经验做法：①国家层面的经验做法；②省级层面的经验做法</w:t>
            </w:r>
            <w:r>
              <w:rPr>
                <w:rFonts w:hint="eastAsia" w:asciiTheme="minorEastAsia" w:hAnsiTheme="minorEastAsia" w:eastAsiaTheme="minorEastAsia" w:cstheme="minorEastAsia"/>
                <w:sz w:val="24"/>
                <w:szCs w:val="24"/>
                <w:highlight w:val="none"/>
                <w:lang w:eastAsia="zh-CN"/>
              </w:rPr>
              <w:t>；</w:t>
            </w:r>
            <w:r>
              <w:rPr>
                <w:rFonts w:hint="eastAsia" w:ascii="微软雅黑" w:hAnsi="微软雅黑" w:eastAsia="微软雅黑" w:cs="微软雅黑"/>
                <w:sz w:val="24"/>
                <w:szCs w:val="24"/>
                <w:highlight w:val="none"/>
                <w:lang w:eastAsia="zh-CN"/>
              </w:rPr>
              <w:t>③</w:t>
            </w:r>
            <w:r>
              <w:rPr>
                <w:rFonts w:hint="eastAsia" w:cs="宋体"/>
                <w:sz w:val="24"/>
                <w:szCs w:val="24"/>
                <w:highlight w:val="none"/>
              </w:rPr>
              <w:t>制定工作与政策建议</w:t>
            </w:r>
            <w:r>
              <w:rPr>
                <w:rFonts w:hint="eastAsia" w:cs="宋体"/>
                <w:sz w:val="24"/>
                <w:szCs w:val="24"/>
                <w:highlight w:val="none"/>
                <w:lang w:eastAsia="zh-CN"/>
              </w:rPr>
              <w:t>。</w:t>
            </w:r>
          </w:p>
          <w:p w14:paraId="1F9DC60A">
            <w:pPr>
              <w:pStyle w:val="28"/>
              <w:shd w:val="clear"/>
              <w:spacing w:line="440" w:lineRule="exact"/>
              <w:rPr>
                <w:rFonts w:hint="eastAsia" w:cs="宋体"/>
                <w:sz w:val="24"/>
                <w:szCs w:val="24"/>
                <w:highlight w:val="none"/>
              </w:rPr>
            </w:pPr>
            <w:r>
              <w:rPr>
                <w:rFonts w:hint="eastAsia" w:cs="宋体"/>
                <w:sz w:val="24"/>
                <w:szCs w:val="24"/>
                <w:highlight w:val="none"/>
                <w:lang w:val="en-US" w:eastAsia="zh-CN"/>
              </w:rPr>
              <w:t>每有一项内容得7分，每小项内容存在一处缺陷的扣2分，扣完为止，未提供不得分。</w:t>
            </w:r>
            <w:r>
              <w:rPr>
                <w:rFonts w:hint="eastAsia" w:cs="宋体"/>
                <w:sz w:val="24"/>
                <w:szCs w:val="24"/>
                <w:highlight w:val="none"/>
                <w:lang w:eastAsia="zh-CN"/>
              </w:rPr>
              <w:t>（缺陷是指：与本项目采购标的无关、方案内容前后不一致、前后逻辑错误、涉及的相关规范及标准错误、地点区域错误、内容缺失、规范标准有误、只有简单描述无实质性内容等）</w:t>
            </w:r>
          </w:p>
        </w:tc>
      </w:tr>
      <w:tr w14:paraId="7E203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99" w:type="pct"/>
            <w:vMerge w:val="continue"/>
            <w:vAlign w:val="center"/>
          </w:tcPr>
          <w:p w14:paraId="3EC0170D">
            <w:pPr>
              <w:pStyle w:val="28"/>
              <w:shd w:val="clear"/>
              <w:spacing w:line="440" w:lineRule="exact"/>
              <w:jc w:val="center"/>
              <w:rPr>
                <w:rFonts w:hint="eastAsia" w:cs="宋体"/>
                <w:sz w:val="24"/>
                <w:szCs w:val="24"/>
                <w:highlight w:val="none"/>
              </w:rPr>
            </w:pPr>
          </w:p>
        </w:tc>
        <w:tc>
          <w:tcPr>
            <w:tcW w:w="557" w:type="pct"/>
            <w:vAlign w:val="center"/>
          </w:tcPr>
          <w:p w14:paraId="3C9AD805">
            <w:pPr>
              <w:pStyle w:val="28"/>
              <w:shd w:val="clear"/>
              <w:spacing w:line="440" w:lineRule="exact"/>
              <w:jc w:val="center"/>
              <w:rPr>
                <w:rFonts w:hint="eastAsia" w:eastAsia="宋体" w:cs="宋体"/>
                <w:sz w:val="24"/>
                <w:szCs w:val="24"/>
                <w:highlight w:val="none"/>
                <w:lang w:val="en-US" w:eastAsia="zh-CN"/>
              </w:rPr>
            </w:pPr>
            <w:r>
              <w:rPr>
                <w:rFonts w:hint="eastAsia" w:cs="宋体"/>
                <w:sz w:val="24"/>
                <w:szCs w:val="24"/>
                <w:highlight w:val="none"/>
              </w:rPr>
              <w:t>项目可行性分析</w:t>
            </w:r>
            <w:r>
              <w:rPr>
                <w:rFonts w:hint="eastAsia" w:cs="宋体"/>
                <w:sz w:val="24"/>
                <w:szCs w:val="24"/>
                <w:highlight w:val="none"/>
                <w:lang w:val="en-US" w:eastAsia="zh-CN"/>
              </w:rPr>
              <w:t>及</w:t>
            </w:r>
            <w:r>
              <w:rPr>
                <w:rFonts w:hint="eastAsia" w:cs="宋体"/>
                <w:sz w:val="24"/>
                <w:szCs w:val="24"/>
                <w:highlight w:val="none"/>
              </w:rPr>
              <w:t>必要性分析</w:t>
            </w:r>
          </w:p>
        </w:tc>
        <w:tc>
          <w:tcPr>
            <w:tcW w:w="455" w:type="pct"/>
            <w:vAlign w:val="center"/>
          </w:tcPr>
          <w:p w14:paraId="469E4522">
            <w:pPr>
              <w:pStyle w:val="28"/>
              <w:shd w:val="clear"/>
              <w:spacing w:line="440" w:lineRule="exact"/>
              <w:jc w:val="center"/>
              <w:rPr>
                <w:rFonts w:hint="default" w:eastAsia="宋体" w:cs="宋体"/>
                <w:sz w:val="24"/>
                <w:szCs w:val="24"/>
                <w:highlight w:val="none"/>
                <w:lang w:val="en-US" w:eastAsia="zh-CN"/>
              </w:rPr>
            </w:pPr>
            <w:r>
              <w:rPr>
                <w:rFonts w:hint="eastAsia" w:cs="宋体"/>
                <w:sz w:val="24"/>
                <w:szCs w:val="24"/>
                <w:highlight w:val="none"/>
                <w:lang w:val="en-US" w:eastAsia="zh-CN"/>
              </w:rPr>
              <w:t>25</w:t>
            </w:r>
          </w:p>
        </w:tc>
        <w:tc>
          <w:tcPr>
            <w:tcW w:w="3487" w:type="pct"/>
            <w:vAlign w:val="center"/>
          </w:tcPr>
          <w:p w14:paraId="14A90225">
            <w:pPr>
              <w:pStyle w:val="28"/>
              <w:shd w:val="clear"/>
              <w:spacing w:line="440" w:lineRule="exact"/>
              <w:rPr>
                <w:rFonts w:hint="eastAsia" w:eastAsia="宋体" w:cs="宋体"/>
                <w:sz w:val="24"/>
                <w:szCs w:val="24"/>
                <w:highlight w:val="none"/>
                <w:lang w:eastAsia="zh-CN"/>
              </w:rPr>
            </w:pPr>
            <w:r>
              <w:rPr>
                <w:rFonts w:hint="eastAsia" w:cs="宋体"/>
                <w:sz w:val="24"/>
                <w:szCs w:val="24"/>
                <w:highlight w:val="none"/>
              </w:rPr>
              <w:t>供应商应针对本项目开展可行性分析</w:t>
            </w:r>
            <w:r>
              <w:rPr>
                <w:rFonts w:hint="eastAsia" w:cs="宋体"/>
                <w:sz w:val="24"/>
                <w:szCs w:val="24"/>
                <w:highlight w:val="none"/>
                <w:lang w:val="en-US" w:eastAsia="zh-CN"/>
              </w:rPr>
              <w:t>及</w:t>
            </w:r>
            <w:r>
              <w:rPr>
                <w:rFonts w:hint="eastAsia" w:cs="宋体"/>
                <w:sz w:val="24"/>
                <w:szCs w:val="24"/>
                <w:highlight w:val="none"/>
              </w:rPr>
              <w:t>必要性分析：①政策可行性分析；②群众可行性分析；</w:t>
            </w:r>
            <w:r>
              <w:rPr>
                <w:sz w:val="24"/>
                <w:szCs w:val="24"/>
                <w:highlight w:val="none"/>
              </w:rPr>
              <w:t>③</w:t>
            </w:r>
            <w:r>
              <w:rPr>
                <w:rFonts w:hint="eastAsia" w:cs="宋体"/>
                <w:sz w:val="24"/>
                <w:szCs w:val="24"/>
                <w:highlight w:val="none"/>
              </w:rPr>
              <w:t>资源可行性分析；</w:t>
            </w:r>
            <w:r>
              <w:rPr>
                <w:sz w:val="24"/>
                <w:szCs w:val="24"/>
                <w:highlight w:val="none"/>
              </w:rPr>
              <w:t>④</w:t>
            </w:r>
            <w:r>
              <w:rPr>
                <w:rFonts w:hint="eastAsia" w:cs="宋体"/>
                <w:sz w:val="24"/>
                <w:szCs w:val="24"/>
                <w:highlight w:val="none"/>
              </w:rPr>
              <w:t>实践可行性分析</w:t>
            </w:r>
            <w:r>
              <w:rPr>
                <w:rFonts w:hint="eastAsia" w:cs="宋体"/>
                <w:sz w:val="24"/>
                <w:szCs w:val="24"/>
                <w:highlight w:val="none"/>
                <w:lang w:eastAsia="zh-CN"/>
              </w:rPr>
              <w:t>；</w:t>
            </w:r>
            <w:r>
              <w:rPr>
                <w:rFonts w:hint="eastAsia" w:ascii="微软雅黑" w:hAnsi="微软雅黑" w:eastAsia="微软雅黑" w:cs="微软雅黑"/>
                <w:sz w:val="24"/>
                <w:szCs w:val="24"/>
                <w:highlight w:val="none"/>
              </w:rPr>
              <w:t>⑤</w:t>
            </w:r>
            <w:r>
              <w:rPr>
                <w:rFonts w:hint="eastAsia" w:cs="宋体"/>
                <w:sz w:val="24"/>
                <w:szCs w:val="24"/>
                <w:highlight w:val="none"/>
              </w:rPr>
              <w:t>必要性分析</w:t>
            </w:r>
            <w:r>
              <w:rPr>
                <w:rFonts w:hint="eastAsia" w:cs="宋体"/>
                <w:sz w:val="24"/>
                <w:szCs w:val="24"/>
                <w:highlight w:val="none"/>
                <w:lang w:eastAsia="zh-CN"/>
              </w:rPr>
              <w:t>。</w:t>
            </w:r>
          </w:p>
          <w:p w14:paraId="2790B904">
            <w:pPr>
              <w:pStyle w:val="28"/>
              <w:shd w:val="clear"/>
              <w:spacing w:line="440" w:lineRule="exact"/>
              <w:rPr>
                <w:rFonts w:hint="eastAsia" w:cs="宋体"/>
                <w:sz w:val="24"/>
                <w:szCs w:val="24"/>
                <w:highlight w:val="none"/>
              </w:rPr>
            </w:pPr>
            <w:r>
              <w:rPr>
                <w:rFonts w:hint="eastAsia" w:cs="宋体"/>
                <w:sz w:val="24"/>
                <w:szCs w:val="24"/>
                <w:highlight w:val="none"/>
                <w:lang w:val="en-US" w:eastAsia="zh-CN"/>
              </w:rPr>
              <w:t>每有一项内容得5分，每小项内容存在一处缺陷的扣2分，扣完为止，未提供不得分。</w:t>
            </w:r>
            <w:r>
              <w:rPr>
                <w:rFonts w:hint="eastAsia" w:cs="宋体"/>
                <w:sz w:val="24"/>
                <w:szCs w:val="24"/>
                <w:highlight w:val="none"/>
                <w:lang w:eastAsia="zh-CN"/>
              </w:rPr>
              <w:t>（缺陷是指：与本项目采购标的无关、方案内容前后不一致、前后逻辑错误、涉及的相关规范及标准错误、地点区域错误、内容缺失、规范标准有误、只有简单描述无实质性内容等）</w:t>
            </w:r>
          </w:p>
        </w:tc>
      </w:tr>
      <w:tr w14:paraId="3D38F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99" w:type="pct"/>
            <w:vMerge w:val="continue"/>
            <w:vAlign w:val="center"/>
          </w:tcPr>
          <w:p w14:paraId="7A7E45D6">
            <w:pPr>
              <w:pStyle w:val="28"/>
              <w:shd w:val="clear"/>
              <w:spacing w:line="440" w:lineRule="exact"/>
              <w:jc w:val="center"/>
              <w:rPr>
                <w:rFonts w:hint="eastAsia" w:cs="宋体"/>
                <w:sz w:val="24"/>
                <w:szCs w:val="24"/>
                <w:highlight w:val="none"/>
              </w:rPr>
            </w:pPr>
          </w:p>
        </w:tc>
        <w:tc>
          <w:tcPr>
            <w:tcW w:w="557" w:type="pct"/>
            <w:tcBorders>
              <w:top w:val="single" w:color="auto" w:sz="4" w:space="0"/>
            </w:tcBorders>
            <w:vAlign w:val="center"/>
          </w:tcPr>
          <w:p w14:paraId="657E148B">
            <w:pPr>
              <w:shd w:val="clear"/>
              <w:spacing w:line="440" w:lineRule="exact"/>
              <w:jc w:val="center"/>
              <w:rPr>
                <w:rFonts w:hint="eastAsia" w:cs="宋体"/>
                <w:szCs w:val="24"/>
                <w:highlight w:val="none"/>
              </w:rPr>
            </w:pPr>
            <w:r>
              <w:rPr>
                <w:rFonts w:hint="eastAsia" w:cs="宋体"/>
                <w:szCs w:val="24"/>
                <w:highlight w:val="none"/>
              </w:rPr>
              <w:t>服务保证措施</w:t>
            </w:r>
          </w:p>
        </w:tc>
        <w:tc>
          <w:tcPr>
            <w:tcW w:w="455" w:type="pct"/>
            <w:vAlign w:val="center"/>
          </w:tcPr>
          <w:p w14:paraId="78737FCE">
            <w:pPr>
              <w:pStyle w:val="28"/>
              <w:shd w:val="clear"/>
              <w:spacing w:line="440" w:lineRule="exact"/>
              <w:jc w:val="center"/>
              <w:rPr>
                <w:rFonts w:hint="default" w:eastAsia="宋体" w:cs="宋体"/>
                <w:sz w:val="24"/>
                <w:szCs w:val="24"/>
                <w:highlight w:val="none"/>
                <w:lang w:val="en-US" w:eastAsia="zh-CN"/>
              </w:rPr>
            </w:pPr>
            <w:r>
              <w:rPr>
                <w:rFonts w:hint="eastAsia" w:cs="宋体"/>
                <w:sz w:val="24"/>
                <w:szCs w:val="24"/>
                <w:highlight w:val="none"/>
                <w:lang w:val="en-US" w:eastAsia="zh-CN"/>
              </w:rPr>
              <w:t>12</w:t>
            </w:r>
          </w:p>
        </w:tc>
        <w:tc>
          <w:tcPr>
            <w:tcW w:w="3487" w:type="pct"/>
            <w:vAlign w:val="center"/>
          </w:tcPr>
          <w:p w14:paraId="34BB8AF7">
            <w:pPr>
              <w:pStyle w:val="28"/>
              <w:shd w:val="clear"/>
              <w:spacing w:line="440" w:lineRule="exact"/>
              <w:rPr>
                <w:rFonts w:hint="eastAsia" w:cs="宋体"/>
                <w:sz w:val="24"/>
                <w:szCs w:val="24"/>
                <w:highlight w:val="none"/>
              </w:rPr>
            </w:pPr>
            <w:r>
              <w:rPr>
                <w:rFonts w:hint="eastAsia" w:cs="宋体"/>
                <w:sz w:val="24"/>
                <w:szCs w:val="24"/>
                <w:highlight w:val="none"/>
              </w:rPr>
              <w:t>供应商应针对本项目提供详细的服务保证措施，服务保证措施需包含但不限于以下内容：①工作进度安排；②质量保证措施；③保密措施；④后续服务措施。</w:t>
            </w:r>
          </w:p>
          <w:p w14:paraId="634F960D">
            <w:pPr>
              <w:pStyle w:val="28"/>
              <w:shd w:val="clear"/>
              <w:spacing w:line="440" w:lineRule="exact"/>
              <w:rPr>
                <w:rFonts w:hint="eastAsia" w:cs="宋体"/>
                <w:sz w:val="24"/>
                <w:szCs w:val="24"/>
                <w:highlight w:val="none"/>
              </w:rPr>
            </w:pPr>
            <w:r>
              <w:rPr>
                <w:rFonts w:hint="eastAsia" w:cs="宋体"/>
                <w:sz w:val="24"/>
                <w:szCs w:val="24"/>
                <w:highlight w:val="none"/>
              </w:rPr>
              <w:t>每有一项内容得</w:t>
            </w:r>
            <w:r>
              <w:rPr>
                <w:rFonts w:hint="eastAsia" w:cs="宋体"/>
                <w:sz w:val="24"/>
                <w:szCs w:val="24"/>
                <w:highlight w:val="none"/>
                <w:lang w:val="en-US" w:eastAsia="zh-CN"/>
              </w:rPr>
              <w:t>3</w:t>
            </w:r>
            <w:r>
              <w:rPr>
                <w:rFonts w:hint="eastAsia" w:cs="宋体"/>
                <w:sz w:val="24"/>
                <w:szCs w:val="24"/>
                <w:highlight w:val="none"/>
              </w:rPr>
              <w:t>分，每小项内容存在一处缺陷的扣</w:t>
            </w:r>
            <w:r>
              <w:rPr>
                <w:rFonts w:hint="eastAsia" w:cs="宋体"/>
                <w:sz w:val="24"/>
                <w:szCs w:val="24"/>
                <w:highlight w:val="none"/>
                <w:lang w:val="en-US" w:eastAsia="zh-CN"/>
              </w:rPr>
              <w:t>1</w:t>
            </w:r>
            <w:r>
              <w:rPr>
                <w:rFonts w:hint="eastAsia" w:cs="宋体"/>
                <w:sz w:val="24"/>
                <w:szCs w:val="24"/>
                <w:highlight w:val="none"/>
              </w:rPr>
              <w:t>分，扣完为止，未提供不得分。（缺陷是指：与本项目采购标的无关、方案内容前后不一致、前后逻辑错误、涉及的相关规范及标准错误、地点区域错误、内容缺失、规范标准有误、只有简单描述无实质性内容等）</w:t>
            </w:r>
          </w:p>
        </w:tc>
      </w:tr>
      <w:tr w14:paraId="40C5F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57" w:type="pct"/>
            <w:gridSpan w:val="2"/>
            <w:vAlign w:val="center"/>
          </w:tcPr>
          <w:p w14:paraId="5C2FA484">
            <w:pPr>
              <w:pStyle w:val="28"/>
              <w:shd w:val="clear"/>
              <w:spacing w:line="440" w:lineRule="exact"/>
              <w:jc w:val="center"/>
              <w:rPr>
                <w:rFonts w:hint="eastAsia" w:cs="宋体"/>
                <w:sz w:val="24"/>
                <w:szCs w:val="24"/>
                <w:highlight w:val="none"/>
              </w:rPr>
            </w:pPr>
            <w:r>
              <w:rPr>
                <w:rFonts w:hint="eastAsia" w:cs="宋体"/>
                <w:sz w:val="24"/>
                <w:szCs w:val="24"/>
                <w:highlight w:val="none"/>
              </w:rPr>
              <w:t>合计</w:t>
            </w:r>
          </w:p>
        </w:tc>
        <w:tc>
          <w:tcPr>
            <w:tcW w:w="455" w:type="pct"/>
            <w:tcBorders>
              <w:bottom w:val="single" w:color="auto" w:sz="4" w:space="0"/>
            </w:tcBorders>
            <w:vAlign w:val="center"/>
          </w:tcPr>
          <w:p w14:paraId="3CBC113D">
            <w:pPr>
              <w:pStyle w:val="28"/>
              <w:shd w:val="clear"/>
              <w:spacing w:line="440" w:lineRule="exact"/>
              <w:jc w:val="center"/>
              <w:rPr>
                <w:rFonts w:hint="eastAsia" w:cs="宋体"/>
                <w:sz w:val="24"/>
                <w:szCs w:val="24"/>
                <w:highlight w:val="none"/>
              </w:rPr>
            </w:pPr>
            <w:r>
              <w:rPr>
                <w:rFonts w:hint="eastAsia" w:cs="宋体"/>
                <w:sz w:val="24"/>
                <w:szCs w:val="24"/>
                <w:highlight w:val="none"/>
              </w:rPr>
              <w:fldChar w:fldCharType="begin"/>
            </w:r>
            <w:r>
              <w:rPr>
                <w:rFonts w:hint="eastAsia" w:cs="宋体"/>
                <w:sz w:val="24"/>
                <w:szCs w:val="24"/>
                <w:highlight w:val="none"/>
              </w:rPr>
              <w:instrText xml:space="preserve"> =SUM(ABOVE) </w:instrText>
            </w:r>
            <w:r>
              <w:rPr>
                <w:rFonts w:hint="eastAsia" w:cs="宋体"/>
                <w:sz w:val="24"/>
                <w:szCs w:val="24"/>
                <w:highlight w:val="none"/>
              </w:rPr>
              <w:fldChar w:fldCharType="separate"/>
            </w:r>
            <w:r>
              <w:rPr>
                <w:rFonts w:hint="eastAsia" w:cs="宋体"/>
                <w:sz w:val="24"/>
                <w:szCs w:val="24"/>
                <w:highlight w:val="none"/>
              </w:rPr>
              <w:t>100</w:t>
            </w:r>
            <w:r>
              <w:rPr>
                <w:rFonts w:hint="eastAsia" w:cs="宋体"/>
                <w:sz w:val="24"/>
                <w:szCs w:val="24"/>
                <w:highlight w:val="none"/>
              </w:rPr>
              <w:fldChar w:fldCharType="end"/>
            </w:r>
            <w:r>
              <w:rPr>
                <w:rFonts w:hint="eastAsia" w:cs="宋体"/>
                <w:sz w:val="24"/>
                <w:szCs w:val="24"/>
                <w:highlight w:val="none"/>
              </w:rPr>
              <w:t>分</w:t>
            </w:r>
          </w:p>
        </w:tc>
        <w:tc>
          <w:tcPr>
            <w:tcW w:w="3487" w:type="pct"/>
            <w:tcBorders>
              <w:bottom w:val="single" w:color="auto" w:sz="4" w:space="0"/>
            </w:tcBorders>
            <w:vAlign w:val="center"/>
          </w:tcPr>
          <w:p w14:paraId="6225A788">
            <w:pPr>
              <w:pStyle w:val="28"/>
              <w:shd w:val="clear"/>
              <w:spacing w:line="440" w:lineRule="exact"/>
              <w:rPr>
                <w:rFonts w:hint="eastAsia" w:cs="宋体"/>
                <w:sz w:val="24"/>
                <w:szCs w:val="24"/>
                <w:highlight w:val="none"/>
              </w:rPr>
            </w:pPr>
          </w:p>
        </w:tc>
      </w:tr>
    </w:tbl>
    <w:p w14:paraId="79C43EC8">
      <w:pPr>
        <w:pStyle w:val="2"/>
        <w:shd w:val="clear"/>
        <w:ind w:left="0" w:leftChars="0" w:firstLine="0" w:firstLineChars="0"/>
        <w:rPr>
          <w:rFonts w:hint="eastAsia" w:ascii="宋体" w:cs="宋体"/>
          <w:highlight w:val="none"/>
          <w:lang w:val="zh-CN"/>
        </w:rPr>
      </w:pPr>
    </w:p>
    <w:p w14:paraId="1D25E890">
      <w:pPr>
        <w:shd w:val="clear"/>
        <w:rPr>
          <w:rFonts w:hint="eastAsia" w:cs="宋体"/>
          <w:highlight w:val="none"/>
          <w:lang w:val="zh-CN"/>
        </w:rPr>
      </w:pPr>
    </w:p>
    <w:p w14:paraId="4965E3D0">
      <w:pPr>
        <w:pStyle w:val="6"/>
        <w:shd w:val="clear"/>
        <w:spacing w:before="220" w:after="220" w:line="480" w:lineRule="auto"/>
        <w:ind w:left="420" w:hanging="420"/>
        <w:rPr>
          <w:rFonts w:hint="eastAsia" w:eastAsia="宋体" w:cs="宋体"/>
          <w:sz w:val="36"/>
          <w:szCs w:val="36"/>
          <w:lang w:val="zh-CN"/>
        </w:rPr>
      </w:pPr>
      <w:bookmarkStart w:id="561" w:name="_Toc17664"/>
      <w:r>
        <w:rPr>
          <w:rFonts w:hint="eastAsia" w:eastAsia="宋体" w:cs="宋体"/>
          <w:sz w:val="36"/>
          <w:szCs w:val="36"/>
          <w:highlight w:val="none"/>
        </w:rPr>
        <w:t xml:space="preserve">第五章 </w:t>
      </w:r>
      <w:r>
        <w:rPr>
          <w:rFonts w:hint="eastAsia" w:eastAsia="宋体" w:cs="宋体"/>
          <w:sz w:val="36"/>
          <w:szCs w:val="36"/>
          <w:highlight w:val="none"/>
          <w:lang w:val="zh-CN"/>
        </w:rPr>
        <w:t>合同草案</w:t>
      </w:r>
      <w:bookmarkEnd w:id="561"/>
    </w:p>
    <w:p w14:paraId="71DE93B7">
      <w:pPr>
        <w:wordWrap w:val="0"/>
        <w:jc w:val="center"/>
        <w:rPr>
          <w:rFonts w:hint="eastAsia" w:cs="宋体"/>
          <w:bCs/>
          <w:szCs w:val="24"/>
        </w:rPr>
      </w:pPr>
      <w:r>
        <w:rPr>
          <w:rFonts w:hint="eastAsia" w:cs="宋体"/>
          <w:szCs w:val="24"/>
        </w:rPr>
        <w:t>【此合同书仅作为签订正式合同时的参考，正式合同书应包括本参考格式的内容】</w:t>
      </w:r>
    </w:p>
    <w:p w14:paraId="1FE909E4">
      <w:pPr>
        <w:wordWrap w:val="0"/>
        <w:rPr>
          <w:rFonts w:hint="eastAsia" w:cs="宋体"/>
          <w:bCs/>
          <w:sz w:val="28"/>
          <w:szCs w:val="28"/>
        </w:rPr>
      </w:pPr>
      <w:r>
        <w:rPr>
          <w:rFonts w:hint="eastAsia" w:cs="宋体"/>
          <w:bCs/>
          <w:szCs w:val="24"/>
          <w:lang w:val="zh-CN"/>
        </w:rPr>
        <w:t>合同编号：</w:t>
      </w:r>
      <w:r>
        <w:rPr>
          <w:rFonts w:hint="eastAsia" w:cs="宋体"/>
          <w:bCs/>
          <w:szCs w:val="24"/>
          <w:u w:val="single"/>
        </w:rPr>
        <w:t xml:space="preserve">              </w:t>
      </w:r>
    </w:p>
    <w:p w14:paraId="453FD5DE">
      <w:pPr>
        <w:pStyle w:val="5"/>
        <w:spacing w:after="0"/>
        <w:jc w:val="center"/>
        <w:rPr>
          <w:rFonts w:hint="eastAsia" w:ascii="宋体" w:hAnsi="宋体" w:cs="宋体"/>
          <w:b/>
          <w:bCs/>
          <w:spacing w:val="-20"/>
          <w:kern w:val="44"/>
          <w:sz w:val="48"/>
          <w:szCs w:val="48"/>
        </w:rPr>
      </w:pPr>
      <w:bookmarkStart w:id="562" w:name="_Toc3995"/>
    </w:p>
    <w:p w14:paraId="6FBA184A">
      <w:pPr>
        <w:pStyle w:val="5"/>
        <w:spacing w:after="0"/>
        <w:jc w:val="center"/>
        <w:rPr>
          <w:rFonts w:hint="eastAsia" w:ascii="宋体" w:hAnsi="宋体" w:cs="宋体"/>
          <w:b/>
          <w:bCs/>
          <w:spacing w:val="-20"/>
          <w:kern w:val="44"/>
          <w:sz w:val="48"/>
          <w:szCs w:val="48"/>
        </w:rPr>
      </w:pPr>
    </w:p>
    <w:p w14:paraId="1EAD278A">
      <w:pPr>
        <w:spacing w:line="480" w:lineRule="auto"/>
        <w:jc w:val="center"/>
        <w:outlineLvl w:val="1"/>
        <w:rPr>
          <w:rFonts w:hint="eastAsia" w:cs="宋体"/>
          <w:b/>
          <w:bCs/>
          <w:spacing w:val="-20"/>
          <w:kern w:val="44"/>
          <w:sz w:val="44"/>
          <w:szCs w:val="44"/>
        </w:rPr>
      </w:pPr>
      <w:bookmarkStart w:id="563" w:name="_Toc3714"/>
      <w:bookmarkStart w:id="564" w:name="_Toc18119"/>
      <w:bookmarkStart w:id="565" w:name="_Toc1189"/>
      <w:r>
        <w:rPr>
          <w:rFonts w:hint="eastAsia" w:cs="宋体"/>
          <w:b/>
          <w:bCs/>
          <w:spacing w:val="-20"/>
          <w:kern w:val="44"/>
          <w:sz w:val="44"/>
          <w:szCs w:val="44"/>
        </w:rPr>
        <w:t>政府采购合同参考范本</w:t>
      </w:r>
      <w:bookmarkEnd w:id="563"/>
      <w:bookmarkEnd w:id="564"/>
      <w:bookmarkEnd w:id="565"/>
    </w:p>
    <w:p w14:paraId="4571CDB1">
      <w:pPr>
        <w:spacing w:line="480" w:lineRule="auto"/>
        <w:jc w:val="center"/>
        <w:outlineLvl w:val="1"/>
        <w:rPr>
          <w:rFonts w:hint="eastAsia" w:cs="宋体"/>
          <w:b/>
          <w:sz w:val="28"/>
          <w:szCs w:val="28"/>
        </w:rPr>
      </w:pPr>
      <w:bookmarkStart w:id="566" w:name="_Toc19049"/>
      <w:bookmarkStart w:id="567" w:name="_Toc8560"/>
      <w:bookmarkStart w:id="568" w:name="_Toc14752"/>
      <w:r>
        <w:rPr>
          <w:rFonts w:hint="eastAsia" w:cs="宋体"/>
          <w:b/>
          <w:bCs/>
          <w:spacing w:val="-20"/>
          <w:kern w:val="44"/>
          <w:sz w:val="44"/>
          <w:szCs w:val="44"/>
        </w:rPr>
        <w:t>（服务类）</w:t>
      </w:r>
      <w:bookmarkEnd w:id="566"/>
      <w:bookmarkEnd w:id="567"/>
      <w:bookmarkEnd w:id="568"/>
    </w:p>
    <w:p w14:paraId="78DDAE5C">
      <w:pPr>
        <w:spacing w:line="480" w:lineRule="auto"/>
        <w:jc w:val="center"/>
        <w:rPr>
          <w:rFonts w:hint="eastAsia" w:cs="宋体"/>
          <w:b/>
          <w:szCs w:val="24"/>
        </w:rPr>
      </w:pPr>
    </w:p>
    <w:p w14:paraId="317A7DEF">
      <w:pPr>
        <w:spacing w:line="480" w:lineRule="auto"/>
        <w:jc w:val="center"/>
        <w:rPr>
          <w:rFonts w:hint="eastAsia" w:cs="宋体"/>
          <w:b/>
          <w:szCs w:val="24"/>
        </w:rPr>
      </w:pPr>
    </w:p>
    <w:p w14:paraId="55C3B597">
      <w:pPr>
        <w:jc w:val="center"/>
        <w:outlineLvl w:val="1"/>
        <w:rPr>
          <w:rFonts w:hint="eastAsia" w:cs="宋体"/>
          <w:b/>
          <w:sz w:val="32"/>
          <w:szCs w:val="32"/>
        </w:rPr>
      </w:pPr>
      <w:bookmarkStart w:id="569" w:name="_Toc3451"/>
      <w:bookmarkStart w:id="570" w:name="_Toc1073"/>
      <w:bookmarkStart w:id="571" w:name="_Toc2449"/>
      <w:bookmarkStart w:id="572" w:name="_Toc22800"/>
      <w:r>
        <w:rPr>
          <w:rFonts w:hint="eastAsia" w:cs="宋体"/>
          <w:b/>
          <w:sz w:val="36"/>
          <w:szCs w:val="36"/>
        </w:rPr>
        <w:t>第一部分 合同书</w:t>
      </w:r>
      <w:bookmarkEnd w:id="569"/>
      <w:bookmarkEnd w:id="570"/>
      <w:bookmarkEnd w:id="571"/>
      <w:bookmarkEnd w:id="572"/>
    </w:p>
    <w:p w14:paraId="4BA01776">
      <w:pPr>
        <w:spacing w:line="480" w:lineRule="auto"/>
        <w:jc w:val="center"/>
        <w:rPr>
          <w:rFonts w:hint="eastAsia" w:cs="宋体"/>
          <w:b/>
          <w:szCs w:val="24"/>
        </w:rPr>
      </w:pPr>
    </w:p>
    <w:p w14:paraId="5F204112">
      <w:pPr>
        <w:pStyle w:val="5"/>
        <w:rPr>
          <w:rFonts w:hint="eastAsia" w:ascii="宋体" w:hAnsi="宋体" w:cs="宋体"/>
        </w:rPr>
      </w:pPr>
    </w:p>
    <w:p w14:paraId="69570DA0">
      <w:pPr>
        <w:pStyle w:val="5"/>
        <w:rPr>
          <w:rFonts w:hint="eastAsia" w:ascii="宋体" w:hAnsi="宋体" w:cs="宋体"/>
        </w:rPr>
      </w:pPr>
    </w:p>
    <w:p w14:paraId="77910ED1">
      <w:pPr>
        <w:spacing w:before="120" w:line="480" w:lineRule="auto"/>
        <w:ind w:left="960"/>
        <w:rPr>
          <w:rFonts w:hint="eastAsia" w:cs="宋体"/>
          <w:szCs w:val="24"/>
          <w:u w:val="single"/>
        </w:rPr>
      </w:pPr>
      <w:r>
        <w:rPr>
          <w:rFonts w:hint="eastAsia" w:cs="宋体"/>
          <w:szCs w:val="24"/>
        </w:rPr>
        <w:t>项目名称：</w:t>
      </w:r>
      <w:r>
        <w:rPr>
          <w:rFonts w:hint="eastAsia" w:cs="宋体"/>
          <w:szCs w:val="24"/>
          <w:u w:val="single"/>
        </w:rPr>
        <w:t xml:space="preserve">        </w:t>
      </w:r>
      <w:r>
        <w:rPr>
          <w:rFonts w:hint="eastAsia" w:cs="宋体"/>
          <w:szCs w:val="24"/>
        </w:rPr>
        <w:t>（分包项目须填写完整的分包号及分包名称）</w:t>
      </w:r>
    </w:p>
    <w:p w14:paraId="730F4465">
      <w:pPr>
        <w:spacing w:before="120" w:line="480" w:lineRule="auto"/>
        <w:ind w:left="960"/>
        <w:rPr>
          <w:rFonts w:hint="eastAsia" w:cs="宋体"/>
          <w:szCs w:val="24"/>
        </w:rPr>
      </w:pPr>
      <w:r>
        <w:rPr>
          <w:rFonts w:hint="eastAsia" w:cs="宋体"/>
          <w:szCs w:val="24"/>
        </w:rPr>
        <w:t>项目编号/包号：</w:t>
      </w:r>
      <w:r>
        <w:rPr>
          <w:rFonts w:hint="eastAsia" w:cs="宋体"/>
          <w:szCs w:val="24"/>
          <w:u w:val="single"/>
        </w:rPr>
        <w:t xml:space="preserve">        </w:t>
      </w:r>
    </w:p>
    <w:p w14:paraId="66872538">
      <w:pPr>
        <w:spacing w:before="120" w:line="480" w:lineRule="auto"/>
        <w:ind w:left="960"/>
        <w:rPr>
          <w:rFonts w:hint="eastAsia" w:cs="宋体"/>
          <w:szCs w:val="24"/>
          <w:u w:val="single"/>
        </w:rPr>
      </w:pPr>
      <w:r>
        <w:rPr>
          <w:rFonts w:hint="eastAsia" w:cs="宋体"/>
          <w:szCs w:val="24"/>
        </w:rPr>
        <w:t>甲方（采购人）：</w:t>
      </w:r>
      <w:r>
        <w:rPr>
          <w:rFonts w:hint="eastAsia" w:cs="宋体"/>
          <w:szCs w:val="24"/>
          <w:u w:val="single"/>
        </w:rPr>
        <w:t xml:space="preserve">                              </w:t>
      </w:r>
    </w:p>
    <w:p w14:paraId="557645D2">
      <w:pPr>
        <w:spacing w:before="120" w:line="480" w:lineRule="auto"/>
        <w:ind w:left="960"/>
        <w:rPr>
          <w:rFonts w:hint="eastAsia" w:cs="宋体"/>
          <w:szCs w:val="24"/>
          <w:u w:val="single"/>
        </w:rPr>
      </w:pPr>
      <w:r>
        <w:rPr>
          <w:rFonts w:hint="eastAsia" w:cs="宋体"/>
          <w:szCs w:val="24"/>
        </w:rPr>
        <w:t>乙方（成交人）：</w:t>
      </w:r>
      <w:r>
        <w:rPr>
          <w:rFonts w:hint="eastAsia" w:cs="宋体"/>
          <w:szCs w:val="24"/>
          <w:u w:val="single"/>
        </w:rPr>
        <w:t xml:space="preserve">                              </w:t>
      </w:r>
    </w:p>
    <w:p w14:paraId="263D5C0B">
      <w:pPr>
        <w:spacing w:before="120" w:line="480" w:lineRule="auto"/>
        <w:ind w:firstLine="960" w:firstLineChars="400"/>
        <w:rPr>
          <w:rFonts w:hint="eastAsia" w:cs="宋体"/>
          <w:szCs w:val="24"/>
          <w:u w:val="single"/>
        </w:rPr>
      </w:pPr>
      <w:r>
        <w:rPr>
          <w:rFonts w:hint="eastAsia" w:cs="宋体"/>
          <w:szCs w:val="24"/>
        </w:rPr>
        <w:t>签订地：</w:t>
      </w:r>
      <w:r>
        <w:rPr>
          <w:rFonts w:hint="eastAsia" w:cs="宋体"/>
          <w:szCs w:val="24"/>
          <w:u w:val="single"/>
        </w:rPr>
        <w:t xml:space="preserve">                                     </w:t>
      </w:r>
    </w:p>
    <w:p w14:paraId="28A94FB3">
      <w:pPr>
        <w:spacing w:before="120" w:line="480" w:lineRule="auto"/>
        <w:ind w:firstLine="960" w:firstLineChars="400"/>
        <w:rPr>
          <w:rFonts w:hint="eastAsia" w:cs="宋体"/>
          <w:szCs w:val="24"/>
        </w:rPr>
      </w:pPr>
      <w:r>
        <w:rPr>
          <w:rFonts w:hint="eastAsia" w:cs="宋体"/>
          <w:szCs w:val="24"/>
        </w:rPr>
        <w:t>签订日期：</w:t>
      </w:r>
      <w:r>
        <w:rPr>
          <w:rFonts w:hint="eastAsia" w:cs="宋体"/>
          <w:szCs w:val="24"/>
          <w:u w:val="single"/>
        </w:rPr>
        <w:t xml:space="preserve">               </w:t>
      </w:r>
      <w:r>
        <w:rPr>
          <w:rFonts w:hint="eastAsia" w:cs="宋体"/>
          <w:szCs w:val="24"/>
        </w:rPr>
        <w:t>年</w:t>
      </w:r>
      <w:r>
        <w:rPr>
          <w:rFonts w:hint="eastAsia" w:cs="宋体"/>
          <w:szCs w:val="24"/>
          <w:u w:val="single"/>
        </w:rPr>
        <w:t xml:space="preserve">       </w:t>
      </w:r>
      <w:r>
        <w:rPr>
          <w:rFonts w:hint="eastAsia" w:cs="宋体"/>
          <w:szCs w:val="24"/>
        </w:rPr>
        <w:t>月</w:t>
      </w:r>
      <w:r>
        <w:rPr>
          <w:rFonts w:hint="eastAsia" w:cs="宋体"/>
          <w:szCs w:val="24"/>
          <w:u w:val="single"/>
        </w:rPr>
        <w:t xml:space="preserve">       </w:t>
      </w:r>
      <w:r>
        <w:rPr>
          <w:rFonts w:hint="eastAsia" w:cs="宋体"/>
          <w:szCs w:val="24"/>
        </w:rPr>
        <w:t>日</w:t>
      </w:r>
    </w:p>
    <w:p w14:paraId="34F4996A">
      <w:pPr>
        <w:widowControl/>
        <w:rPr>
          <w:rFonts w:hint="eastAsia" w:cs="宋体"/>
          <w:szCs w:val="24"/>
        </w:rPr>
      </w:pPr>
      <w:r>
        <w:rPr>
          <w:rFonts w:hint="eastAsia" w:cs="宋体"/>
          <w:szCs w:val="24"/>
        </w:rPr>
        <w:br w:type="page"/>
      </w:r>
    </w:p>
    <w:p w14:paraId="5343AEB4">
      <w:pPr>
        <w:ind w:firstLine="435"/>
        <w:rPr>
          <w:rFonts w:hint="eastAsia" w:cs="宋体"/>
        </w:rPr>
      </w:pPr>
      <w:r>
        <w:rPr>
          <w:rFonts w:hint="eastAsia" w:cs="宋体"/>
          <w:u w:val="single"/>
        </w:rPr>
        <w:t xml:space="preserve">          </w:t>
      </w:r>
      <w:r>
        <w:rPr>
          <w:rFonts w:hint="eastAsia" w:cs="宋体"/>
        </w:rPr>
        <w:t>（</w:t>
      </w:r>
      <w:r>
        <w:rPr>
          <w:rFonts w:hint="eastAsia" w:cs="宋体"/>
          <w:szCs w:val="24"/>
          <w:lang w:val="zh-CN"/>
        </w:rPr>
        <w:t>以下简称：甲方</w:t>
      </w:r>
      <w:r>
        <w:rPr>
          <w:rFonts w:hint="eastAsia" w:cs="宋体"/>
        </w:rPr>
        <w:t>）通过</w:t>
      </w:r>
      <w:r>
        <w:rPr>
          <w:rFonts w:hint="eastAsia" w:cs="宋体"/>
          <w:u w:val="single"/>
        </w:rPr>
        <w:t xml:space="preserve">          </w:t>
      </w:r>
      <w:r>
        <w:rPr>
          <w:rFonts w:hint="eastAsia" w:cs="宋体"/>
        </w:rPr>
        <w:t>组织的</w:t>
      </w:r>
      <w:r>
        <w:rPr>
          <w:rFonts w:hint="eastAsia" w:cs="宋体"/>
          <w:u w:val="single"/>
        </w:rPr>
        <w:t>竞争性磋商</w:t>
      </w:r>
      <w:r>
        <w:rPr>
          <w:rFonts w:hint="eastAsia" w:cs="宋体"/>
        </w:rPr>
        <w:t>方式采购活动，经</w:t>
      </w:r>
      <w:r>
        <w:rPr>
          <w:rFonts w:hint="eastAsia" w:cs="宋体"/>
          <w:u w:val="single"/>
        </w:rPr>
        <w:t xml:space="preserve"> 评审小组  </w:t>
      </w:r>
      <w:r>
        <w:rPr>
          <w:rFonts w:hint="eastAsia" w:cs="宋体"/>
        </w:rPr>
        <w:t>评定，</w:t>
      </w:r>
      <w:r>
        <w:rPr>
          <w:rFonts w:hint="eastAsia" w:cs="宋体"/>
          <w:u w:val="single"/>
        </w:rPr>
        <w:t xml:space="preserve">          </w:t>
      </w:r>
      <w:r>
        <w:rPr>
          <w:rFonts w:hint="eastAsia" w:cs="宋体"/>
        </w:rPr>
        <w:t>（</w:t>
      </w:r>
      <w:r>
        <w:rPr>
          <w:rFonts w:hint="eastAsia" w:cs="宋体"/>
          <w:szCs w:val="24"/>
          <w:lang w:val="zh-CN"/>
        </w:rPr>
        <w:t>以下简称：乙方</w:t>
      </w:r>
      <w:r>
        <w:rPr>
          <w:rFonts w:hint="eastAsia" w:cs="宋体"/>
        </w:rPr>
        <w:t>）为本项目成交人，现</w:t>
      </w:r>
      <w:r>
        <w:rPr>
          <w:rFonts w:hint="eastAsia" w:cs="宋体"/>
          <w:szCs w:val="24"/>
        </w:rPr>
        <w:t>按照采购文件确定的事项签订本合同。</w:t>
      </w:r>
    </w:p>
    <w:p w14:paraId="1A7D6614">
      <w:pPr>
        <w:ind w:firstLine="435"/>
        <w:rPr>
          <w:rFonts w:hint="eastAsia" w:cs="宋体"/>
          <w:szCs w:val="24"/>
          <w:lang w:val="zh-CN"/>
        </w:rPr>
      </w:pPr>
      <w:r>
        <w:rPr>
          <w:rFonts w:hint="eastAsia" w:cs="宋体"/>
        </w:rPr>
        <w:t>根据《中华人民共和国民法典》、《中华人民共和国政府采购法》等相关法律法规之规定，按照平等、自愿、公平和诚实信用的原则，经甲方和乙方协商一致，约定以下合同条款，以兹共同遵守、全面履行。</w:t>
      </w:r>
    </w:p>
    <w:p w14:paraId="081298ED">
      <w:pPr>
        <w:ind w:firstLine="437"/>
        <w:outlineLvl w:val="2"/>
        <w:rPr>
          <w:rFonts w:hint="eastAsia" w:cs="宋体"/>
          <w:b/>
          <w:bCs/>
          <w:szCs w:val="24"/>
          <w:lang w:val="zh-CN"/>
        </w:rPr>
      </w:pPr>
      <w:bookmarkStart w:id="573" w:name="_Toc8743"/>
      <w:bookmarkStart w:id="574" w:name="_Toc24059"/>
      <w:bookmarkStart w:id="575" w:name="_Toc2232"/>
      <w:bookmarkStart w:id="576" w:name="_Toc10770"/>
      <w:bookmarkStart w:id="577" w:name="_Toc9411"/>
      <w:bookmarkStart w:id="578" w:name="_Toc3029"/>
      <w:r>
        <w:rPr>
          <w:rFonts w:hint="eastAsia" w:cs="宋体"/>
          <w:b/>
          <w:bCs/>
          <w:szCs w:val="24"/>
          <w:lang w:val="zh-CN"/>
        </w:rPr>
        <w:t>1.1 合同组成部分</w:t>
      </w:r>
      <w:bookmarkEnd w:id="573"/>
      <w:bookmarkEnd w:id="574"/>
      <w:bookmarkEnd w:id="575"/>
      <w:bookmarkEnd w:id="576"/>
      <w:bookmarkEnd w:id="577"/>
      <w:bookmarkEnd w:id="578"/>
    </w:p>
    <w:p w14:paraId="024A42B6">
      <w:pPr>
        <w:ind w:firstLine="435"/>
        <w:rPr>
          <w:rFonts w:hint="eastAsia" w:cs="宋体"/>
          <w:szCs w:val="24"/>
          <w:lang w:val="zh-CN"/>
        </w:rPr>
      </w:pPr>
      <w:r>
        <w:rPr>
          <w:rFonts w:hint="eastAsia" w:cs="宋体"/>
          <w:szCs w:val="24"/>
          <w:lang w:val="zh-CN"/>
        </w:rPr>
        <w:t>下列文件为本合同的组成部分，并构成一个整体，需综合解释、相互补充。如果下列文件内容出现不一致的情形，那么在保证按照采购文件确定的事项前提下，组成本合同的多个文件的优先适用顺序如下：</w:t>
      </w:r>
    </w:p>
    <w:p w14:paraId="62BC58A8">
      <w:pPr>
        <w:ind w:firstLine="435"/>
        <w:rPr>
          <w:rFonts w:hint="eastAsia" w:cs="宋体"/>
          <w:szCs w:val="24"/>
          <w:lang w:val="zh-CN"/>
        </w:rPr>
      </w:pPr>
      <w:r>
        <w:rPr>
          <w:rFonts w:hint="eastAsia" w:cs="宋体"/>
          <w:szCs w:val="24"/>
          <w:lang w:val="zh-CN"/>
        </w:rPr>
        <w:t>1.1.1本合同及其补充合同、变更协议；</w:t>
      </w:r>
    </w:p>
    <w:p w14:paraId="037DCF58">
      <w:pPr>
        <w:ind w:firstLine="435"/>
        <w:rPr>
          <w:rFonts w:hint="eastAsia" w:cs="宋体"/>
          <w:szCs w:val="24"/>
          <w:lang w:val="zh-CN"/>
        </w:rPr>
      </w:pPr>
      <w:r>
        <w:rPr>
          <w:rFonts w:hint="eastAsia" w:cs="宋体"/>
          <w:szCs w:val="24"/>
          <w:lang w:val="zh-CN"/>
        </w:rPr>
        <w:t>1.1.2</w:t>
      </w:r>
      <w:r>
        <w:rPr>
          <w:rFonts w:hint="eastAsia" w:cs="宋体"/>
          <w:szCs w:val="24"/>
        </w:rPr>
        <w:t>成交</w:t>
      </w:r>
      <w:r>
        <w:rPr>
          <w:rFonts w:hint="eastAsia" w:cs="宋体"/>
          <w:szCs w:val="24"/>
          <w:lang w:val="zh-CN"/>
        </w:rPr>
        <w:t>通知书；</w:t>
      </w:r>
    </w:p>
    <w:p w14:paraId="20FA8DCC">
      <w:pPr>
        <w:ind w:firstLine="435"/>
        <w:rPr>
          <w:rFonts w:hint="eastAsia" w:cs="宋体"/>
          <w:szCs w:val="24"/>
          <w:lang w:val="zh-CN"/>
        </w:rPr>
      </w:pPr>
      <w:r>
        <w:rPr>
          <w:rFonts w:hint="eastAsia" w:cs="宋体"/>
          <w:szCs w:val="24"/>
          <w:lang w:val="zh-CN"/>
        </w:rPr>
        <w:t>1.1.3</w:t>
      </w:r>
      <w:r>
        <w:rPr>
          <w:rFonts w:hint="eastAsia" w:cs="宋体"/>
          <w:szCs w:val="24"/>
        </w:rPr>
        <w:t>响应</w:t>
      </w:r>
      <w:r>
        <w:rPr>
          <w:rFonts w:hint="eastAsia" w:cs="宋体"/>
          <w:szCs w:val="24"/>
          <w:lang w:val="zh-CN"/>
        </w:rPr>
        <w:t>文件（含澄清或者说明文件）；</w:t>
      </w:r>
    </w:p>
    <w:p w14:paraId="01E3C1EE">
      <w:pPr>
        <w:ind w:firstLine="435"/>
        <w:rPr>
          <w:rFonts w:hint="eastAsia" w:cs="宋体"/>
          <w:szCs w:val="24"/>
          <w:lang w:val="zh-CN"/>
        </w:rPr>
      </w:pPr>
      <w:r>
        <w:rPr>
          <w:rFonts w:hint="eastAsia" w:cs="宋体"/>
          <w:szCs w:val="24"/>
          <w:lang w:val="zh-CN"/>
        </w:rPr>
        <w:t>1.1.4</w:t>
      </w:r>
      <w:r>
        <w:rPr>
          <w:rFonts w:hint="eastAsia" w:cs="宋体"/>
          <w:szCs w:val="24"/>
        </w:rPr>
        <w:t>竞争性磋商</w:t>
      </w:r>
      <w:r>
        <w:rPr>
          <w:rFonts w:hint="eastAsia" w:cs="宋体"/>
          <w:szCs w:val="24"/>
          <w:lang w:val="zh-CN"/>
        </w:rPr>
        <w:t>文件（含澄清或者修改文件）；</w:t>
      </w:r>
    </w:p>
    <w:p w14:paraId="7BCC15DE">
      <w:pPr>
        <w:ind w:firstLine="435"/>
        <w:rPr>
          <w:rFonts w:hint="eastAsia" w:cs="宋体"/>
          <w:szCs w:val="24"/>
          <w:lang w:val="zh-CN"/>
        </w:rPr>
      </w:pPr>
      <w:r>
        <w:rPr>
          <w:rFonts w:hint="eastAsia" w:cs="宋体"/>
          <w:szCs w:val="24"/>
          <w:lang w:val="zh-CN"/>
        </w:rPr>
        <w:t>1.1.5其他相关采购文件。</w:t>
      </w:r>
    </w:p>
    <w:p w14:paraId="283E7943">
      <w:pPr>
        <w:ind w:firstLine="437"/>
        <w:outlineLvl w:val="2"/>
        <w:rPr>
          <w:rFonts w:hint="eastAsia" w:cs="宋体"/>
          <w:b/>
          <w:bCs/>
          <w:szCs w:val="24"/>
          <w:lang w:val="zh-CN"/>
        </w:rPr>
      </w:pPr>
      <w:bookmarkStart w:id="579" w:name="_Toc6773"/>
      <w:bookmarkStart w:id="580" w:name="_Toc2918"/>
      <w:bookmarkStart w:id="581" w:name="_Toc6311"/>
      <w:bookmarkStart w:id="582" w:name="_Toc18585"/>
      <w:bookmarkStart w:id="583" w:name="_Toc22185"/>
      <w:bookmarkStart w:id="584" w:name="_Toc8563"/>
      <w:bookmarkStart w:id="585" w:name="_Toc3392"/>
      <w:bookmarkStart w:id="586" w:name="_Toc13086"/>
      <w:r>
        <w:rPr>
          <w:rFonts w:hint="eastAsia" w:cs="宋体"/>
          <w:b/>
          <w:bCs/>
          <w:szCs w:val="24"/>
          <w:lang w:val="zh-CN"/>
        </w:rPr>
        <w:t xml:space="preserve">1.2 </w:t>
      </w:r>
      <w:bookmarkEnd w:id="579"/>
      <w:bookmarkEnd w:id="580"/>
      <w:bookmarkEnd w:id="581"/>
      <w:bookmarkEnd w:id="582"/>
      <w:bookmarkEnd w:id="583"/>
      <w:r>
        <w:rPr>
          <w:rFonts w:hint="eastAsia" w:cs="宋体"/>
          <w:b/>
          <w:bCs/>
          <w:szCs w:val="24"/>
          <w:lang w:val="zh-CN"/>
        </w:rPr>
        <w:t>服务</w:t>
      </w:r>
      <w:bookmarkEnd w:id="584"/>
      <w:bookmarkEnd w:id="585"/>
      <w:bookmarkEnd w:id="586"/>
    </w:p>
    <w:p w14:paraId="2A8C8081">
      <w:pPr>
        <w:ind w:firstLine="435"/>
        <w:rPr>
          <w:rFonts w:hint="eastAsia" w:cs="宋体"/>
          <w:szCs w:val="24"/>
          <w:u w:val="single"/>
        </w:rPr>
      </w:pPr>
      <w:r>
        <w:rPr>
          <w:rFonts w:hint="eastAsia" w:cs="宋体"/>
          <w:szCs w:val="24"/>
        </w:rPr>
        <w:t>1.2.1服务名称：</w:t>
      </w:r>
      <w:r>
        <w:rPr>
          <w:rFonts w:hint="eastAsia" w:cs="宋体"/>
          <w:szCs w:val="24"/>
          <w:u w:val="single"/>
        </w:rPr>
        <w:t xml:space="preserve">                                                </w:t>
      </w:r>
      <w:r>
        <w:rPr>
          <w:rFonts w:hint="eastAsia" w:cs="宋体"/>
          <w:szCs w:val="24"/>
        </w:rPr>
        <w:t>；</w:t>
      </w:r>
    </w:p>
    <w:p w14:paraId="7D507EFA">
      <w:pPr>
        <w:ind w:firstLine="435"/>
        <w:rPr>
          <w:rFonts w:hint="eastAsia" w:cs="宋体"/>
          <w:szCs w:val="24"/>
          <w:u w:val="single"/>
        </w:rPr>
      </w:pPr>
      <w:r>
        <w:rPr>
          <w:rFonts w:hint="eastAsia" w:cs="宋体"/>
          <w:szCs w:val="24"/>
        </w:rPr>
        <w:t>1.2.2服务内容：</w:t>
      </w:r>
      <w:r>
        <w:rPr>
          <w:rFonts w:hint="eastAsia" w:cs="宋体"/>
          <w:szCs w:val="24"/>
          <w:u w:val="single"/>
        </w:rPr>
        <w:t xml:space="preserve">                                                </w:t>
      </w:r>
      <w:r>
        <w:rPr>
          <w:rFonts w:hint="eastAsia" w:cs="宋体"/>
          <w:szCs w:val="24"/>
        </w:rPr>
        <w:t>；</w:t>
      </w:r>
    </w:p>
    <w:p w14:paraId="47170C53">
      <w:pPr>
        <w:ind w:firstLine="435"/>
        <w:rPr>
          <w:rFonts w:hint="eastAsia" w:cs="宋体"/>
          <w:szCs w:val="24"/>
        </w:rPr>
      </w:pPr>
      <w:r>
        <w:rPr>
          <w:rFonts w:hint="eastAsia" w:cs="宋体"/>
          <w:szCs w:val="24"/>
        </w:rPr>
        <w:t>1.2.3服务质量：</w:t>
      </w:r>
      <w:r>
        <w:rPr>
          <w:rFonts w:hint="eastAsia" w:cs="宋体"/>
          <w:szCs w:val="24"/>
          <w:u w:val="single"/>
        </w:rPr>
        <w:t xml:space="preserve">                                                </w:t>
      </w:r>
      <w:r>
        <w:rPr>
          <w:rFonts w:hint="eastAsia" w:cs="宋体"/>
          <w:szCs w:val="24"/>
        </w:rPr>
        <w:t>。</w:t>
      </w:r>
    </w:p>
    <w:p w14:paraId="72949008">
      <w:pPr>
        <w:ind w:firstLine="437"/>
        <w:outlineLvl w:val="2"/>
        <w:rPr>
          <w:rFonts w:hint="eastAsia" w:cs="宋体"/>
          <w:b/>
          <w:bCs/>
          <w:szCs w:val="24"/>
          <w:lang w:val="zh-CN"/>
        </w:rPr>
      </w:pPr>
      <w:bookmarkStart w:id="587" w:name="_Toc6194"/>
      <w:bookmarkStart w:id="588" w:name="_Toc10679"/>
      <w:bookmarkStart w:id="589" w:name="_Toc21551"/>
      <w:bookmarkStart w:id="590" w:name="_Toc21559"/>
      <w:bookmarkStart w:id="591" w:name="_Toc23292"/>
      <w:bookmarkStart w:id="592" w:name="_Toc21631"/>
      <w:r>
        <w:rPr>
          <w:rFonts w:hint="eastAsia" w:cs="宋体"/>
          <w:b/>
          <w:bCs/>
          <w:szCs w:val="24"/>
          <w:lang w:val="zh-CN"/>
        </w:rPr>
        <w:t>1.3 价款</w:t>
      </w:r>
      <w:bookmarkEnd w:id="587"/>
      <w:bookmarkEnd w:id="588"/>
      <w:bookmarkEnd w:id="589"/>
      <w:bookmarkEnd w:id="590"/>
      <w:bookmarkEnd w:id="591"/>
      <w:bookmarkEnd w:id="592"/>
    </w:p>
    <w:p w14:paraId="0E6E2DB0">
      <w:pPr>
        <w:ind w:firstLine="435"/>
        <w:rPr>
          <w:rFonts w:hint="eastAsia" w:cs="宋体"/>
          <w:szCs w:val="24"/>
        </w:rPr>
      </w:pPr>
      <w:r>
        <w:rPr>
          <w:rFonts w:hint="eastAsia" w:cs="宋体"/>
          <w:szCs w:val="24"/>
        </w:rPr>
        <w:t>本合同总价为：￥</w:t>
      </w:r>
      <w:r>
        <w:rPr>
          <w:rFonts w:hint="eastAsia" w:cs="宋体"/>
          <w:szCs w:val="24"/>
          <w:u w:val="single"/>
        </w:rPr>
        <w:t xml:space="preserve">           </w:t>
      </w:r>
      <w:r>
        <w:rPr>
          <w:rFonts w:hint="eastAsia" w:cs="宋体"/>
          <w:szCs w:val="24"/>
        </w:rPr>
        <w:t>元（大写：人民币</w:t>
      </w:r>
      <w:r>
        <w:rPr>
          <w:rFonts w:hint="eastAsia" w:cs="宋体"/>
          <w:szCs w:val="24"/>
          <w:u w:val="single"/>
        </w:rPr>
        <w:t xml:space="preserve">                 </w:t>
      </w:r>
      <w:r>
        <w:rPr>
          <w:rFonts w:hint="eastAsia" w:cs="宋体"/>
          <w:szCs w:val="24"/>
        </w:rPr>
        <w:t>元）。</w:t>
      </w:r>
    </w:p>
    <w:p w14:paraId="585CBE51">
      <w:pPr>
        <w:ind w:firstLine="435"/>
        <w:rPr>
          <w:rFonts w:hint="eastAsia" w:cs="宋体"/>
          <w:szCs w:val="24"/>
          <w:u w:val="single"/>
        </w:rPr>
      </w:pPr>
      <w:r>
        <w:rPr>
          <w:rFonts w:hint="eastAsia" w:cs="宋体"/>
          <w:szCs w:val="24"/>
        </w:rPr>
        <w:t>分项价格：</w:t>
      </w:r>
    </w:p>
    <w:tbl>
      <w:tblPr>
        <w:tblStyle w:val="19"/>
        <w:tblW w:w="82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7"/>
        <w:gridCol w:w="4316"/>
        <w:gridCol w:w="3000"/>
      </w:tblGrid>
      <w:tr w14:paraId="7AF9B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957" w:type="dxa"/>
            <w:vAlign w:val="center"/>
          </w:tcPr>
          <w:p w14:paraId="0CD18D7F">
            <w:pPr>
              <w:jc w:val="center"/>
              <w:rPr>
                <w:rFonts w:hint="eastAsia" w:cs="宋体"/>
                <w:szCs w:val="24"/>
                <w:lang w:val="zh-CN"/>
              </w:rPr>
            </w:pPr>
            <w:r>
              <w:rPr>
                <w:rFonts w:hint="eastAsia" w:cs="宋体"/>
                <w:szCs w:val="24"/>
                <w:lang w:val="zh-CN"/>
              </w:rPr>
              <w:t>序号</w:t>
            </w:r>
          </w:p>
        </w:tc>
        <w:tc>
          <w:tcPr>
            <w:tcW w:w="4316" w:type="dxa"/>
            <w:vAlign w:val="center"/>
          </w:tcPr>
          <w:p w14:paraId="4F68A816">
            <w:pPr>
              <w:ind w:firstLine="200"/>
              <w:jc w:val="center"/>
              <w:rPr>
                <w:rFonts w:hint="eastAsia" w:cs="宋体"/>
                <w:szCs w:val="24"/>
              </w:rPr>
            </w:pPr>
            <w:r>
              <w:rPr>
                <w:rFonts w:hint="eastAsia" w:cs="宋体"/>
                <w:szCs w:val="24"/>
              </w:rPr>
              <w:t>分项名称</w:t>
            </w:r>
          </w:p>
        </w:tc>
        <w:tc>
          <w:tcPr>
            <w:tcW w:w="3000" w:type="dxa"/>
            <w:vAlign w:val="center"/>
          </w:tcPr>
          <w:p w14:paraId="4C7FFB26">
            <w:pPr>
              <w:jc w:val="center"/>
              <w:rPr>
                <w:rFonts w:hint="eastAsia" w:cs="宋体"/>
                <w:szCs w:val="24"/>
              </w:rPr>
            </w:pPr>
            <w:r>
              <w:rPr>
                <w:rFonts w:hint="eastAsia" w:cs="宋体"/>
                <w:szCs w:val="24"/>
              </w:rPr>
              <w:t>分项价格</w:t>
            </w:r>
          </w:p>
        </w:tc>
      </w:tr>
      <w:tr w14:paraId="6B926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957" w:type="dxa"/>
          </w:tcPr>
          <w:p w14:paraId="0F360428">
            <w:pPr>
              <w:jc w:val="center"/>
              <w:rPr>
                <w:rFonts w:hint="eastAsia" w:cs="宋体"/>
                <w:szCs w:val="24"/>
                <w:lang w:val="zh-CN"/>
              </w:rPr>
            </w:pPr>
            <w:r>
              <w:rPr>
                <w:rFonts w:hint="eastAsia" w:cs="宋体"/>
                <w:szCs w:val="24"/>
                <w:lang w:val="zh-CN"/>
              </w:rPr>
              <w:t>1</w:t>
            </w:r>
          </w:p>
        </w:tc>
        <w:tc>
          <w:tcPr>
            <w:tcW w:w="4316" w:type="dxa"/>
            <w:vAlign w:val="center"/>
          </w:tcPr>
          <w:p w14:paraId="2461E5E0">
            <w:pPr>
              <w:ind w:firstLine="200"/>
              <w:jc w:val="center"/>
              <w:rPr>
                <w:rFonts w:hint="eastAsia" w:cs="宋体"/>
                <w:szCs w:val="24"/>
              </w:rPr>
            </w:pPr>
          </w:p>
        </w:tc>
        <w:tc>
          <w:tcPr>
            <w:tcW w:w="3000" w:type="dxa"/>
            <w:vAlign w:val="center"/>
          </w:tcPr>
          <w:p w14:paraId="0E415F66">
            <w:pPr>
              <w:ind w:firstLine="200"/>
              <w:jc w:val="center"/>
              <w:rPr>
                <w:rFonts w:hint="eastAsia" w:cs="宋体"/>
                <w:szCs w:val="24"/>
              </w:rPr>
            </w:pPr>
          </w:p>
        </w:tc>
      </w:tr>
      <w:tr w14:paraId="0D861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957" w:type="dxa"/>
          </w:tcPr>
          <w:p w14:paraId="424CE31A">
            <w:pPr>
              <w:jc w:val="center"/>
              <w:rPr>
                <w:rFonts w:hint="eastAsia" w:cs="宋体"/>
                <w:szCs w:val="24"/>
                <w:lang w:val="zh-CN"/>
              </w:rPr>
            </w:pPr>
            <w:r>
              <w:rPr>
                <w:rFonts w:hint="eastAsia" w:cs="宋体"/>
                <w:szCs w:val="24"/>
                <w:lang w:val="zh-CN"/>
              </w:rPr>
              <w:t>2</w:t>
            </w:r>
          </w:p>
        </w:tc>
        <w:tc>
          <w:tcPr>
            <w:tcW w:w="4316" w:type="dxa"/>
            <w:vAlign w:val="center"/>
          </w:tcPr>
          <w:p w14:paraId="345F5B41">
            <w:pPr>
              <w:ind w:firstLine="200"/>
              <w:jc w:val="center"/>
              <w:rPr>
                <w:rFonts w:hint="eastAsia" w:cs="宋体"/>
                <w:szCs w:val="24"/>
              </w:rPr>
            </w:pPr>
          </w:p>
        </w:tc>
        <w:tc>
          <w:tcPr>
            <w:tcW w:w="3000" w:type="dxa"/>
            <w:vAlign w:val="center"/>
          </w:tcPr>
          <w:p w14:paraId="3722A032">
            <w:pPr>
              <w:ind w:firstLine="200"/>
              <w:jc w:val="center"/>
              <w:rPr>
                <w:rFonts w:hint="eastAsia" w:cs="宋体"/>
                <w:szCs w:val="24"/>
              </w:rPr>
            </w:pPr>
          </w:p>
        </w:tc>
      </w:tr>
      <w:tr w14:paraId="6F079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957" w:type="dxa"/>
          </w:tcPr>
          <w:p w14:paraId="512C37D0">
            <w:pPr>
              <w:jc w:val="center"/>
              <w:rPr>
                <w:rFonts w:hint="eastAsia" w:cs="宋体"/>
                <w:szCs w:val="24"/>
                <w:lang w:val="zh-CN"/>
              </w:rPr>
            </w:pPr>
            <w:r>
              <w:rPr>
                <w:rFonts w:hint="eastAsia" w:cs="宋体"/>
                <w:szCs w:val="24"/>
                <w:lang w:val="zh-CN"/>
              </w:rPr>
              <w:t>3</w:t>
            </w:r>
          </w:p>
        </w:tc>
        <w:tc>
          <w:tcPr>
            <w:tcW w:w="4316" w:type="dxa"/>
            <w:vAlign w:val="center"/>
          </w:tcPr>
          <w:p w14:paraId="498FC842">
            <w:pPr>
              <w:ind w:firstLine="200"/>
              <w:jc w:val="center"/>
              <w:rPr>
                <w:rFonts w:hint="eastAsia" w:cs="宋体"/>
                <w:szCs w:val="24"/>
              </w:rPr>
            </w:pPr>
          </w:p>
        </w:tc>
        <w:tc>
          <w:tcPr>
            <w:tcW w:w="3000" w:type="dxa"/>
            <w:vAlign w:val="center"/>
          </w:tcPr>
          <w:p w14:paraId="4CAABBD7">
            <w:pPr>
              <w:ind w:firstLine="200"/>
              <w:jc w:val="center"/>
              <w:rPr>
                <w:rFonts w:hint="eastAsia" w:cs="宋体"/>
                <w:szCs w:val="24"/>
              </w:rPr>
            </w:pPr>
          </w:p>
        </w:tc>
      </w:tr>
      <w:tr w14:paraId="7BB67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957" w:type="dxa"/>
          </w:tcPr>
          <w:p w14:paraId="1019B673">
            <w:pPr>
              <w:jc w:val="center"/>
              <w:rPr>
                <w:rFonts w:hint="eastAsia" w:cs="宋体"/>
                <w:szCs w:val="24"/>
                <w:lang w:val="zh-CN"/>
              </w:rPr>
            </w:pPr>
            <w:r>
              <w:rPr>
                <w:rFonts w:hint="eastAsia" w:cs="宋体"/>
                <w:szCs w:val="24"/>
                <w:lang w:val="zh-CN"/>
              </w:rPr>
              <w:t>……</w:t>
            </w:r>
          </w:p>
        </w:tc>
        <w:tc>
          <w:tcPr>
            <w:tcW w:w="4316" w:type="dxa"/>
            <w:vAlign w:val="center"/>
          </w:tcPr>
          <w:p w14:paraId="1668CCE7">
            <w:pPr>
              <w:ind w:firstLine="200"/>
              <w:jc w:val="center"/>
              <w:rPr>
                <w:rFonts w:hint="eastAsia" w:cs="宋体"/>
                <w:szCs w:val="24"/>
              </w:rPr>
            </w:pPr>
          </w:p>
        </w:tc>
        <w:tc>
          <w:tcPr>
            <w:tcW w:w="3000" w:type="dxa"/>
            <w:vAlign w:val="center"/>
          </w:tcPr>
          <w:p w14:paraId="14647217">
            <w:pPr>
              <w:ind w:firstLine="200"/>
              <w:jc w:val="center"/>
              <w:rPr>
                <w:rFonts w:hint="eastAsia" w:cs="宋体"/>
                <w:szCs w:val="24"/>
              </w:rPr>
            </w:pPr>
          </w:p>
        </w:tc>
      </w:tr>
      <w:tr w14:paraId="7B385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273" w:type="dxa"/>
            <w:gridSpan w:val="2"/>
            <w:vAlign w:val="center"/>
          </w:tcPr>
          <w:p w14:paraId="445538F7">
            <w:pPr>
              <w:ind w:firstLine="200"/>
              <w:jc w:val="center"/>
              <w:rPr>
                <w:rFonts w:hint="eastAsia" w:cs="宋体"/>
                <w:szCs w:val="24"/>
              </w:rPr>
            </w:pPr>
            <w:r>
              <w:rPr>
                <w:rFonts w:hint="eastAsia" w:cs="宋体"/>
                <w:szCs w:val="24"/>
              </w:rPr>
              <w:t>总价</w:t>
            </w:r>
          </w:p>
        </w:tc>
        <w:tc>
          <w:tcPr>
            <w:tcW w:w="3000" w:type="dxa"/>
            <w:vAlign w:val="center"/>
          </w:tcPr>
          <w:p w14:paraId="155BB530">
            <w:pPr>
              <w:ind w:firstLine="200"/>
              <w:jc w:val="center"/>
              <w:rPr>
                <w:rFonts w:hint="eastAsia" w:cs="宋体"/>
                <w:szCs w:val="24"/>
              </w:rPr>
            </w:pPr>
          </w:p>
        </w:tc>
      </w:tr>
    </w:tbl>
    <w:p w14:paraId="17E2FC9E">
      <w:pPr>
        <w:ind w:firstLine="437"/>
        <w:outlineLvl w:val="2"/>
        <w:rPr>
          <w:rFonts w:hint="eastAsia" w:cs="宋体"/>
          <w:b/>
          <w:bCs/>
          <w:szCs w:val="24"/>
          <w:lang w:val="zh-CN"/>
        </w:rPr>
      </w:pPr>
      <w:bookmarkStart w:id="593" w:name="_Toc26749"/>
      <w:bookmarkStart w:id="594" w:name="_Toc1814"/>
      <w:bookmarkStart w:id="595" w:name="_Toc22618"/>
      <w:bookmarkStart w:id="596" w:name="_Toc10340"/>
      <w:bookmarkStart w:id="597" w:name="_Toc5507"/>
      <w:bookmarkStart w:id="598" w:name="_Toc29220"/>
      <w:r>
        <w:rPr>
          <w:rFonts w:hint="eastAsia" w:cs="宋体"/>
          <w:b/>
          <w:bCs/>
          <w:szCs w:val="24"/>
          <w:lang w:val="zh-CN"/>
        </w:rPr>
        <w:t>1.4 付款方式和发票开具方式</w:t>
      </w:r>
      <w:bookmarkEnd w:id="593"/>
      <w:bookmarkEnd w:id="594"/>
      <w:bookmarkEnd w:id="595"/>
      <w:bookmarkEnd w:id="596"/>
      <w:bookmarkEnd w:id="597"/>
      <w:bookmarkEnd w:id="598"/>
    </w:p>
    <w:p w14:paraId="0D15CC02">
      <w:pPr>
        <w:ind w:firstLine="435"/>
        <w:rPr>
          <w:rFonts w:hint="eastAsia" w:cs="宋体"/>
          <w:szCs w:val="24"/>
        </w:rPr>
      </w:pPr>
      <w:r>
        <w:rPr>
          <w:rFonts w:hint="eastAsia" w:cs="宋体"/>
          <w:szCs w:val="24"/>
        </w:rPr>
        <w:t>1.4.1付款方式：</w:t>
      </w:r>
      <w:r>
        <w:rPr>
          <w:rFonts w:hint="eastAsia" w:cs="宋体"/>
          <w:szCs w:val="24"/>
          <w:u w:val="single"/>
        </w:rPr>
        <w:t xml:space="preserve">                                                </w:t>
      </w:r>
      <w:r>
        <w:rPr>
          <w:rFonts w:hint="eastAsia" w:cs="宋体"/>
          <w:szCs w:val="24"/>
        </w:rPr>
        <w:t>；</w:t>
      </w:r>
    </w:p>
    <w:p w14:paraId="2591FB6B">
      <w:pPr>
        <w:ind w:firstLine="435"/>
        <w:rPr>
          <w:rFonts w:hint="eastAsia" w:cs="宋体"/>
          <w:szCs w:val="24"/>
        </w:rPr>
      </w:pPr>
      <w:r>
        <w:rPr>
          <w:rFonts w:hint="eastAsia" w:cs="宋体"/>
          <w:szCs w:val="24"/>
        </w:rPr>
        <w:t>1.4.2发票开具方式：</w:t>
      </w:r>
      <w:r>
        <w:rPr>
          <w:rFonts w:hint="eastAsia" w:cs="宋体"/>
          <w:szCs w:val="24"/>
          <w:u w:val="single"/>
        </w:rPr>
        <w:t xml:space="preserve">                                            </w:t>
      </w:r>
      <w:r>
        <w:rPr>
          <w:rFonts w:hint="eastAsia" w:cs="宋体"/>
          <w:szCs w:val="24"/>
        </w:rPr>
        <w:t>。</w:t>
      </w:r>
    </w:p>
    <w:p w14:paraId="02035217">
      <w:pPr>
        <w:ind w:firstLine="437"/>
        <w:outlineLvl w:val="2"/>
        <w:rPr>
          <w:rFonts w:hint="eastAsia" w:cs="宋体"/>
          <w:b/>
          <w:bCs/>
          <w:szCs w:val="24"/>
          <w:lang w:val="zh-CN"/>
        </w:rPr>
      </w:pPr>
      <w:bookmarkStart w:id="599" w:name="_Toc28125"/>
      <w:bookmarkStart w:id="600" w:name="_Toc19304"/>
      <w:bookmarkStart w:id="601" w:name="_Toc23847"/>
      <w:bookmarkStart w:id="602" w:name="_Toc2846"/>
      <w:bookmarkStart w:id="603" w:name="_Toc32071"/>
      <w:bookmarkStart w:id="604" w:name="_Toc20564"/>
      <w:r>
        <w:rPr>
          <w:rFonts w:hint="eastAsia" w:cs="宋体"/>
          <w:b/>
          <w:bCs/>
          <w:szCs w:val="24"/>
          <w:lang w:val="zh-CN"/>
        </w:rPr>
        <w:t>1.5 服务期限、地点和方式</w:t>
      </w:r>
      <w:bookmarkEnd w:id="599"/>
      <w:bookmarkEnd w:id="600"/>
      <w:bookmarkEnd w:id="601"/>
      <w:bookmarkEnd w:id="602"/>
      <w:bookmarkEnd w:id="603"/>
      <w:bookmarkEnd w:id="604"/>
    </w:p>
    <w:p w14:paraId="5A2C5E65">
      <w:pPr>
        <w:ind w:firstLine="435"/>
        <w:rPr>
          <w:rFonts w:hint="eastAsia" w:cs="宋体"/>
          <w:szCs w:val="24"/>
          <w:u w:val="single"/>
        </w:rPr>
      </w:pPr>
      <w:r>
        <w:rPr>
          <w:rFonts w:hint="eastAsia" w:cs="宋体"/>
          <w:szCs w:val="24"/>
        </w:rPr>
        <w:t>1.5.1服务期限：</w:t>
      </w:r>
      <w:r>
        <w:rPr>
          <w:rFonts w:hint="eastAsia" w:cs="宋体"/>
          <w:szCs w:val="24"/>
          <w:u w:val="single"/>
        </w:rPr>
        <w:t xml:space="preserve">                                                </w:t>
      </w:r>
      <w:r>
        <w:rPr>
          <w:rFonts w:hint="eastAsia" w:cs="宋体"/>
          <w:szCs w:val="24"/>
        </w:rPr>
        <w:t>；</w:t>
      </w:r>
    </w:p>
    <w:p w14:paraId="73FF6520">
      <w:pPr>
        <w:ind w:firstLine="435"/>
        <w:rPr>
          <w:rFonts w:hint="eastAsia" w:cs="宋体"/>
          <w:szCs w:val="24"/>
        </w:rPr>
      </w:pPr>
      <w:r>
        <w:rPr>
          <w:rFonts w:hint="eastAsia" w:cs="宋体"/>
          <w:szCs w:val="24"/>
        </w:rPr>
        <w:t>1.5.2服务地点：</w:t>
      </w:r>
      <w:r>
        <w:rPr>
          <w:rFonts w:hint="eastAsia" w:cs="宋体"/>
          <w:szCs w:val="24"/>
          <w:u w:val="single"/>
        </w:rPr>
        <w:t xml:space="preserve">                                                </w:t>
      </w:r>
      <w:r>
        <w:rPr>
          <w:rFonts w:hint="eastAsia" w:cs="宋体"/>
          <w:szCs w:val="24"/>
        </w:rPr>
        <w:t>；</w:t>
      </w:r>
    </w:p>
    <w:p w14:paraId="7CE4FC75">
      <w:pPr>
        <w:ind w:firstLine="435"/>
        <w:rPr>
          <w:rFonts w:hint="eastAsia" w:cs="宋体"/>
          <w:szCs w:val="24"/>
        </w:rPr>
      </w:pPr>
      <w:r>
        <w:rPr>
          <w:rFonts w:hint="eastAsia" w:cs="宋体"/>
          <w:szCs w:val="24"/>
        </w:rPr>
        <w:t>1.5.3服务方式：</w:t>
      </w:r>
      <w:r>
        <w:rPr>
          <w:rFonts w:hint="eastAsia" w:cs="宋体"/>
          <w:szCs w:val="24"/>
          <w:u w:val="single"/>
        </w:rPr>
        <w:t xml:space="preserve">                                                </w:t>
      </w:r>
      <w:r>
        <w:rPr>
          <w:rFonts w:hint="eastAsia" w:cs="宋体"/>
          <w:szCs w:val="24"/>
        </w:rPr>
        <w:t>。</w:t>
      </w:r>
    </w:p>
    <w:p w14:paraId="3B2ED679">
      <w:pPr>
        <w:ind w:firstLine="437"/>
        <w:outlineLvl w:val="2"/>
        <w:rPr>
          <w:rFonts w:hint="eastAsia" w:cs="宋体"/>
          <w:b/>
          <w:bCs/>
          <w:szCs w:val="24"/>
          <w:lang w:val="zh-CN"/>
        </w:rPr>
      </w:pPr>
      <w:bookmarkStart w:id="605" w:name="_Toc19554"/>
      <w:bookmarkStart w:id="606" w:name="_Toc24085"/>
      <w:bookmarkStart w:id="607" w:name="_Toc13424"/>
      <w:bookmarkStart w:id="608" w:name="_Toc16713"/>
      <w:bookmarkStart w:id="609" w:name="_Toc27250"/>
      <w:bookmarkStart w:id="610" w:name="_Toc21423"/>
      <w:r>
        <w:rPr>
          <w:rFonts w:hint="eastAsia" w:cs="宋体"/>
          <w:b/>
          <w:bCs/>
          <w:szCs w:val="24"/>
          <w:lang w:val="zh-CN"/>
        </w:rPr>
        <w:t>1.6 违约责任</w:t>
      </w:r>
      <w:bookmarkEnd w:id="605"/>
      <w:bookmarkEnd w:id="606"/>
      <w:bookmarkEnd w:id="607"/>
      <w:bookmarkEnd w:id="608"/>
      <w:bookmarkEnd w:id="609"/>
      <w:bookmarkEnd w:id="610"/>
    </w:p>
    <w:p w14:paraId="5DD1292A">
      <w:pPr>
        <w:ind w:firstLine="435"/>
        <w:rPr>
          <w:rFonts w:hint="eastAsia" w:cs="宋体"/>
          <w:szCs w:val="24"/>
        </w:rPr>
      </w:pPr>
      <w:r>
        <w:rPr>
          <w:rFonts w:hint="eastAsia" w:cs="宋体"/>
          <w:szCs w:val="24"/>
        </w:rPr>
        <w:t>1.6.1除不可抗力外，如果乙方没有按照本合同约定的期限、地点和方式履行，那么甲方可要求乙方支付违约金，违约金按每迟延履行一日的应提供而未提供服务价格的</w:t>
      </w:r>
      <w:r>
        <w:rPr>
          <w:rFonts w:hint="eastAsia" w:cs="宋体"/>
          <w:szCs w:val="24"/>
          <w:u w:val="single"/>
        </w:rPr>
        <w:t xml:space="preserve">    </w:t>
      </w:r>
      <w:r>
        <w:rPr>
          <w:rFonts w:hint="eastAsia" w:cs="宋体"/>
          <w:szCs w:val="24"/>
        </w:rPr>
        <w:t>%计算，最高限额为本合同总价的</w:t>
      </w:r>
      <w:r>
        <w:rPr>
          <w:rFonts w:hint="eastAsia" w:cs="宋体"/>
          <w:szCs w:val="24"/>
          <w:u w:val="single"/>
        </w:rPr>
        <w:t xml:space="preserve">     </w:t>
      </w:r>
      <w:r>
        <w:rPr>
          <w:rFonts w:hint="eastAsia" w:cs="宋体"/>
          <w:szCs w:val="24"/>
        </w:rPr>
        <w:t>%；迟延履行的违约金计算数额达到前述最高限额之日起，甲方有权在要求乙方支付违约金的同时，书面通知乙方解除本合同；</w:t>
      </w:r>
    </w:p>
    <w:p w14:paraId="7B8B7DEE">
      <w:pPr>
        <w:ind w:firstLine="435"/>
        <w:rPr>
          <w:rFonts w:hint="eastAsia" w:cs="宋体"/>
          <w:szCs w:val="24"/>
        </w:rPr>
      </w:pPr>
      <w:r>
        <w:rPr>
          <w:rFonts w:hint="eastAsia" w:cs="宋体"/>
          <w:szCs w:val="24"/>
        </w:rPr>
        <w:t>1.6.2除不可抗力外，如果甲方没有按照本合同约定的付款方式付款，那么乙方可要求甲方支付违约金，违约金按每迟延付款一日的应付而未付款的</w:t>
      </w:r>
      <w:r>
        <w:rPr>
          <w:rFonts w:hint="eastAsia" w:cs="宋体"/>
          <w:szCs w:val="24"/>
          <w:u w:val="single"/>
        </w:rPr>
        <w:t xml:space="preserve">    </w:t>
      </w:r>
      <w:r>
        <w:rPr>
          <w:rFonts w:hint="eastAsia" w:cs="宋体"/>
          <w:szCs w:val="24"/>
        </w:rPr>
        <w:t>%计算，最高限额为本合同总价的</w:t>
      </w:r>
      <w:r>
        <w:rPr>
          <w:rFonts w:hint="eastAsia" w:cs="宋体"/>
          <w:szCs w:val="24"/>
          <w:u w:val="single"/>
        </w:rPr>
        <w:t xml:space="preserve">     </w:t>
      </w:r>
      <w:r>
        <w:rPr>
          <w:rFonts w:hint="eastAsia" w:cs="宋体"/>
          <w:szCs w:val="24"/>
        </w:rPr>
        <w:t>%；迟延付款的违约金计算数额达到前述最高限额之日起，乙方有权在要求甲方支付违约金的同时，书面通知甲方解除本合同；</w:t>
      </w:r>
    </w:p>
    <w:p w14:paraId="1A4EF162">
      <w:pPr>
        <w:ind w:firstLine="435"/>
        <w:rPr>
          <w:rFonts w:hint="eastAsia" w:cs="宋体"/>
          <w:szCs w:val="24"/>
        </w:rPr>
      </w:pPr>
      <w:r>
        <w:rPr>
          <w:rFonts w:hint="eastAsia" w:cs="宋体"/>
          <w:szCs w:val="24"/>
        </w:rPr>
        <w:t>1.6.3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49112113">
      <w:pPr>
        <w:ind w:firstLine="435"/>
        <w:rPr>
          <w:rFonts w:hint="eastAsia" w:cs="宋体"/>
          <w:szCs w:val="24"/>
        </w:rPr>
      </w:pPr>
      <w:r>
        <w:rPr>
          <w:rFonts w:hint="eastAsia" w:cs="宋体"/>
          <w:szCs w:val="24"/>
        </w:rPr>
        <w:t>1.6.4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39201045">
      <w:pPr>
        <w:ind w:firstLine="437"/>
        <w:rPr>
          <w:rFonts w:hint="eastAsia" w:cs="宋体"/>
          <w:szCs w:val="24"/>
        </w:rPr>
      </w:pPr>
      <w:r>
        <w:rPr>
          <w:rFonts w:hint="eastAsia" w:cs="宋体"/>
          <w:szCs w:val="24"/>
        </w:rPr>
        <w:t>1.6.5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2F44C03A">
      <w:pPr>
        <w:ind w:firstLine="437"/>
        <w:rPr>
          <w:rFonts w:hint="eastAsia" w:cs="宋体"/>
          <w:szCs w:val="24"/>
        </w:rPr>
      </w:pPr>
      <w:r>
        <w:rPr>
          <w:rFonts w:hint="eastAsia" w:cs="宋体"/>
          <w:szCs w:val="24"/>
        </w:rPr>
        <w:t>1.6.6如果出现政府采购监督管理部门在处理投诉事项期间，书面通知甲方暂停采购活动的情形，或者询问或质疑事项可能影响中标结果的，导致甲方中止履行合同的情形，均不视为甲方违约。</w:t>
      </w:r>
    </w:p>
    <w:p w14:paraId="6DDBD423">
      <w:pPr>
        <w:ind w:firstLine="437"/>
        <w:rPr>
          <w:rFonts w:hint="eastAsia" w:cs="宋体"/>
          <w:szCs w:val="24"/>
        </w:rPr>
      </w:pPr>
      <w:r>
        <w:rPr>
          <w:rFonts w:hint="eastAsia" w:cs="宋体"/>
          <w:szCs w:val="24"/>
        </w:rPr>
        <w:t>1.6.7因甲方未按合同约定支付价款、未按合同约定受领标的物、擅自解除合同、逾期退还履约保证金导致乙方遭受的直接损失，乙方可向甲方申请赔偿，赔偿金额由双方协商一致；针对因政策变化等原因不能签订合同或解除合同时，造成乙方合法利益受损的情形，可以给予乙方合理补偿，补偿金额不得超过乙方的直接损失。</w:t>
      </w:r>
    </w:p>
    <w:p w14:paraId="1D4B476D">
      <w:pPr>
        <w:ind w:firstLine="437"/>
        <w:outlineLvl w:val="2"/>
        <w:rPr>
          <w:rFonts w:hint="eastAsia" w:cs="宋体"/>
          <w:b/>
          <w:bCs/>
          <w:szCs w:val="24"/>
          <w:lang w:val="zh-CN"/>
        </w:rPr>
      </w:pPr>
      <w:bookmarkStart w:id="611" w:name="_Toc28375"/>
      <w:bookmarkStart w:id="612" w:name="_Toc7457"/>
      <w:bookmarkStart w:id="613" w:name="_Toc31764"/>
      <w:bookmarkStart w:id="614" w:name="_Toc29070"/>
      <w:bookmarkStart w:id="615" w:name="_Toc16021"/>
      <w:bookmarkStart w:id="616" w:name="_Toc15583"/>
      <w:r>
        <w:rPr>
          <w:rFonts w:hint="eastAsia" w:cs="宋体"/>
          <w:b/>
          <w:bCs/>
          <w:szCs w:val="24"/>
          <w:lang w:val="zh-CN"/>
        </w:rPr>
        <w:t>1.7 合同争议的解决</w:t>
      </w:r>
      <w:bookmarkEnd w:id="611"/>
      <w:bookmarkEnd w:id="612"/>
      <w:bookmarkEnd w:id="613"/>
      <w:bookmarkEnd w:id="614"/>
      <w:bookmarkEnd w:id="615"/>
      <w:bookmarkEnd w:id="616"/>
    </w:p>
    <w:p w14:paraId="7C025FBF">
      <w:pPr>
        <w:ind w:firstLine="435"/>
        <w:rPr>
          <w:rFonts w:hint="eastAsia" w:cs="宋体"/>
          <w:szCs w:val="24"/>
        </w:rPr>
      </w:pPr>
      <w:r>
        <w:rPr>
          <w:rFonts w:hint="eastAsia" w:cs="宋体"/>
          <w:szCs w:val="24"/>
        </w:rPr>
        <w:t>本合同履行过程中发生的任何争议，双方当事人均可通过和解或者调解解决；不愿和解、调解或者和解、调解不成的，可以选择下列第</w:t>
      </w:r>
      <w:r>
        <w:rPr>
          <w:rFonts w:hint="eastAsia" w:cs="宋体"/>
          <w:szCs w:val="24"/>
          <w:u w:val="single"/>
        </w:rPr>
        <w:t xml:space="preserve">    </w:t>
      </w:r>
      <w:r>
        <w:rPr>
          <w:rFonts w:hint="eastAsia" w:cs="宋体"/>
          <w:szCs w:val="24"/>
        </w:rPr>
        <w:t>种方式解决：</w:t>
      </w:r>
    </w:p>
    <w:p w14:paraId="7856D441">
      <w:pPr>
        <w:ind w:firstLine="435"/>
        <w:rPr>
          <w:rFonts w:hint="eastAsia" w:cs="宋体"/>
          <w:szCs w:val="24"/>
        </w:rPr>
      </w:pPr>
      <w:r>
        <w:rPr>
          <w:rFonts w:hint="eastAsia" w:cs="宋体"/>
          <w:szCs w:val="24"/>
        </w:rPr>
        <w:t>1.7.1将争议提交</w:t>
      </w:r>
      <w:r>
        <w:rPr>
          <w:rFonts w:hint="eastAsia" w:cs="宋体"/>
          <w:szCs w:val="24"/>
          <w:u w:val="single"/>
        </w:rPr>
        <w:t xml:space="preserve">              </w:t>
      </w:r>
      <w:r>
        <w:rPr>
          <w:rFonts w:hint="eastAsia" w:cs="宋体"/>
          <w:szCs w:val="24"/>
        </w:rPr>
        <w:t>仲裁委员会依申请仲裁时其现行有效的仲裁规则裁决；</w:t>
      </w:r>
    </w:p>
    <w:p w14:paraId="525321B9">
      <w:pPr>
        <w:ind w:firstLine="435"/>
        <w:rPr>
          <w:rFonts w:hint="eastAsia" w:cs="宋体"/>
          <w:szCs w:val="24"/>
        </w:rPr>
      </w:pPr>
      <w:r>
        <w:rPr>
          <w:rFonts w:hint="eastAsia" w:cs="宋体"/>
          <w:szCs w:val="24"/>
        </w:rPr>
        <w:t>1.7.2向</w:t>
      </w:r>
      <w:r>
        <w:rPr>
          <w:rFonts w:hint="eastAsia" w:cs="宋体"/>
          <w:szCs w:val="24"/>
          <w:u w:val="single"/>
        </w:rPr>
        <w:t xml:space="preserve">                        </w:t>
      </w:r>
      <w:r>
        <w:rPr>
          <w:rFonts w:hint="eastAsia" w:cs="宋体"/>
          <w:szCs w:val="24"/>
        </w:rPr>
        <w:t>人民法院起诉。</w:t>
      </w:r>
    </w:p>
    <w:p w14:paraId="21D8E3B4">
      <w:pPr>
        <w:ind w:firstLine="437"/>
        <w:outlineLvl w:val="2"/>
        <w:rPr>
          <w:rFonts w:hint="eastAsia" w:cs="宋体"/>
          <w:b/>
          <w:bCs/>
          <w:szCs w:val="24"/>
          <w:lang w:val="zh-CN"/>
        </w:rPr>
      </w:pPr>
      <w:bookmarkStart w:id="617" w:name="_Toc1185"/>
      <w:bookmarkStart w:id="618" w:name="_Toc11173"/>
      <w:bookmarkStart w:id="619" w:name="_Toc15322"/>
      <w:bookmarkStart w:id="620" w:name="_Toc18193"/>
      <w:bookmarkStart w:id="621" w:name="_Toc3447"/>
      <w:bookmarkStart w:id="622" w:name="_Toc7245"/>
      <w:r>
        <w:rPr>
          <w:rFonts w:hint="eastAsia" w:cs="宋体"/>
          <w:b/>
          <w:bCs/>
          <w:szCs w:val="24"/>
          <w:lang w:val="zh-CN"/>
        </w:rPr>
        <w:t>1.8 合同生效</w:t>
      </w:r>
      <w:bookmarkEnd w:id="617"/>
      <w:bookmarkEnd w:id="618"/>
      <w:bookmarkEnd w:id="619"/>
      <w:bookmarkEnd w:id="620"/>
      <w:bookmarkEnd w:id="621"/>
      <w:bookmarkEnd w:id="622"/>
    </w:p>
    <w:p w14:paraId="5961B88C">
      <w:pPr>
        <w:ind w:firstLine="435"/>
        <w:rPr>
          <w:rFonts w:hint="eastAsia" w:cs="宋体"/>
          <w:szCs w:val="24"/>
        </w:rPr>
      </w:pPr>
      <w:r>
        <w:rPr>
          <w:rFonts w:hint="eastAsia" w:cs="宋体"/>
          <w:szCs w:val="24"/>
        </w:rPr>
        <w:t>本合同自双方当事人盖章时生效。</w:t>
      </w:r>
    </w:p>
    <w:p w14:paraId="2F65E252">
      <w:pPr>
        <w:autoSpaceDE w:val="0"/>
        <w:autoSpaceDN w:val="0"/>
        <w:adjustRightInd w:val="0"/>
        <w:spacing w:line="560" w:lineRule="exact"/>
        <w:rPr>
          <w:rFonts w:hint="eastAsia" w:cs="宋体"/>
          <w:szCs w:val="24"/>
          <w:lang w:val="zh-CN"/>
        </w:rPr>
      </w:pPr>
    </w:p>
    <w:p w14:paraId="6DB0DE5E">
      <w:pPr>
        <w:autoSpaceDE w:val="0"/>
        <w:autoSpaceDN w:val="0"/>
        <w:adjustRightInd w:val="0"/>
        <w:spacing w:line="500" w:lineRule="exact"/>
        <w:rPr>
          <w:rFonts w:hint="eastAsia" w:cs="宋体"/>
          <w:bCs/>
          <w:szCs w:val="24"/>
          <w:lang w:val="zh-CN"/>
        </w:rPr>
      </w:pPr>
      <w:r>
        <w:rPr>
          <w:rFonts w:hint="eastAsia" w:cs="宋体"/>
          <w:bCs/>
          <w:szCs w:val="24"/>
          <w:lang w:val="zh-CN"/>
        </w:rPr>
        <w:t>甲    方：</w:t>
      </w:r>
      <w:r>
        <w:rPr>
          <w:rFonts w:hint="eastAsia" w:cs="宋体"/>
          <w:bCs/>
          <w:szCs w:val="24"/>
          <w:u w:val="single"/>
          <w:lang w:val="zh-CN"/>
        </w:rPr>
        <w:t xml:space="preserve">    （单位盖章）     </w:t>
      </w:r>
      <w:r>
        <w:rPr>
          <w:rFonts w:hint="eastAsia" w:cs="宋体"/>
          <w:bCs/>
          <w:szCs w:val="24"/>
          <w:lang w:val="zh-CN"/>
        </w:rPr>
        <w:t xml:space="preserve">          乙方：</w:t>
      </w:r>
      <w:r>
        <w:rPr>
          <w:rFonts w:hint="eastAsia" w:cs="宋体"/>
          <w:bCs/>
          <w:szCs w:val="24"/>
          <w:u w:val="single"/>
          <w:lang w:val="zh-CN"/>
        </w:rPr>
        <w:t xml:space="preserve">    （单位盖章）     </w:t>
      </w:r>
    </w:p>
    <w:p w14:paraId="1B900B99">
      <w:pPr>
        <w:autoSpaceDE w:val="0"/>
        <w:autoSpaceDN w:val="0"/>
        <w:adjustRightInd w:val="0"/>
        <w:spacing w:line="500" w:lineRule="exact"/>
        <w:rPr>
          <w:rFonts w:hint="eastAsia" w:cs="宋体"/>
          <w:szCs w:val="24"/>
          <w:lang w:val="zh-CN"/>
        </w:rPr>
      </w:pPr>
      <w:r>
        <w:rPr>
          <w:rFonts w:hint="eastAsia" w:cs="宋体"/>
          <w:szCs w:val="24"/>
          <w:lang w:val="zh-CN"/>
        </w:rPr>
        <w:t>法定代表人                               法定代表人</w:t>
      </w:r>
    </w:p>
    <w:p w14:paraId="009FFBBE">
      <w:pPr>
        <w:autoSpaceDE w:val="0"/>
        <w:autoSpaceDN w:val="0"/>
        <w:adjustRightInd w:val="0"/>
        <w:spacing w:line="500" w:lineRule="exact"/>
        <w:rPr>
          <w:rFonts w:hint="eastAsia" w:cs="宋体"/>
          <w:szCs w:val="24"/>
          <w:lang w:val="zh-CN"/>
        </w:rPr>
      </w:pPr>
      <w:r>
        <w:rPr>
          <w:rFonts w:hint="eastAsia" w:cs="宋体"/>
          <w:szCs w:val="24"/>
          <w:lang w:val="zh-CN"/>
        </w:rPr>
        <w:t>或授权代表（签字）：                      或授权代表（签字）：</w:t>
      </w:r>
    </w:p>
    <w:p w14:paraId="5226F044">
      <w:pPr>
        <w:widowControl/>
        <w:spacing w:line="500" w:lineRule="exact"/>
        <w:rPr>
          <w:rFonts w:hint="eastAsia" w:cs="宋体"/>
          <w:bCs/>
          <w:szCs w:val="24"/>
        </w:rPr>
      </w:pPr>
      <w:bookmarkStart w:id="623" w:name="_Toc331685783"/>
      <w:r>
        <w:rPr>
          <w:rFonts w:hint="eastAsia" w:cs="宋体"/>
          <w:bCs/>
          <w:szCs w:val="24"/>
        </w:rPr>
        <w:t>时间：</w:t>
      </w:r>
      <w:r>
        <w:rPr>
          <w:rFonts w:hint="eastAsia" w:cs="宋体"/>
          <w:bCs/>
          <w:szCs w:val="24"/>
          <w:u w:val="single"/>
        </w:rPr>
        <w:t xml:space="preserve">      </w:t>
      </w:r>
      <w:r>
        <w:rPr>
          <w:rFonts w:hint="eastAsia" w:cs="宋体"/>
          <w:bCs/>
          <w:szCs w:val="24"/>
        </w:rPr>
        <w:t>年</w:t>
      </w:r>
      <w:r>
        <w:rPr>
          <w:rFonts w:hint="eastAsia" w:cs="宋体"/>
          <w:bCs/>
          <w:szCs w:val="24"/>
          <w:u w:val="single"/>
        </w:rPr>
        <w:t xml:space="preserve">    </w:t>
      </w:r>
      <w:r>
        <w:rPr>
          <w:rFonts w:hint="eastAsia" w:cs="宋体"/>
          <w:bCs/>
          <w:szCs w:val="24"/>
        </w:rPr>
        <w:t>月</w:t>
      </w:r>
      <w:r>
        <w:rPr>
          <w:rFonts w:hint="eastAsia" w:cs="宋体"/>
          <w:bCs/>
          <w:szCs w:val="24"/>
          <w:u w:val="single"/>
        </w:rPr>
        <w:t xml:space="preserve">    </w:t>
      </w:r>
      <w:r>
        <w:rPr>
          <w:rFonts w:hint="eastAsia" w:cs="宋体"/>
          <w:bCs/>
          <w:szCs w:val="24"/>
        </w:rPr>
        <w:t>日               时间：</w:t>
      </w:r>
      <w:r>
        <w:rPr>
          <w:rFonts w:hint="eastAsia" w:cs="宋体"/>
          <w:bCs/>
          <w:szCs w:val="24"/>
          <w:u w:val="single"/>
        </w:rPr>
        <w:t xml:space="preserve">      </w:t>
      </w:r>
      <w:r>
        <w:rPr>
          <w:rFonts w:hint="eastAsia" w:cs="宋体"/>
          <w:bCs/>
          <w:szCs w:val="24"/>
        </w:rPr>
        <w:t>年</w:t>
      </w:r>
      <w:r>
        <w:rPr>
          <w:rFonts w:hint="eastAsia" w:cs="宋体"/>
          <w:bCs/>
          <w:szCs w:val="24"/>
          <w:u w:val="single"/>
        </w:rPr>
        <w:t xml:space="preserve">    </w:t>
      </w:r>
      <w:r>
        <w:rPr>
          <w:rFonts w:hint="eastAsia" w:cs="宋体"/>
          <w:bCs/>
          <w:szCs w:val="24"/>
        </w:rPr>
        <w:t>月</w:t>
      </w:r>
      <w:r>
        <w:rPr>
          <w:rFonts w:hint="eastAsia" w:cs="宋体"/>
          <w:bCs/>
          <w:szCs w:val="24"/>
          <w:u w:val="single"/>
        </w:rPr>
        <w:t xml:space="preserve">    </w:t>
      </w:r>
      <w:r>
        <w:rPr>
          <w:rFonts w:hint="eastAsia" w:cs="宋体"/>
          <w:bCs/>
          <w:szCs w:val="24"/>
        </w:rPr>
        <w:t>日</w:t>
      </w:r>
    </w:p>
    <w:p w14:paraId="0FB8187C">
      <w:pPr>
        <w:spacing w:line="500" w:lineRule="exact"/>
        <w:rPr>
          <w:rFonts w:hint="eastAsia" w:cs="宋体"/>
          <w:szCs w:val="24"/>
        </w:rPr>
      </w:pPr>
      <w:r>
        <w:rPr>
          <w:rFonts w:hint="eastAsia" w:cs="宋体"/>
          <w:szCs w:val="24"/>
        </w:rPr>
        <w:t xml:space="preserve">                                         </w:t>
      </w:r>
      <w:bookmarkStart w:id="624" w:name="_Hlk110099149"/>
      <w:r>
        <w:rPr>
          <w:rFonts w:hint="eastAsia" w:cs="宋体"/>
          <w:szCs w:val="24"/>
        </w:rPr>
        <w:t>乙方账户信息</w:t>
      </w:r>
    </w:p>
    <w:p w14:paraId="58A2B11B">
      <w:pPr>
        <w:spacing w:line="500" w:lineRule="exact"/>
        <w:rPr>
          <w:rFonts w:hint="eastAsia" w:cs="宋体"/>
          <w:szCs w:val="24"/>
        </w:rPr>
      </w:pPr>
      <w:r>
        <w:rPr>
          <w:rFonts w:hint="eastAsia" w:cs="宋体"/>
          <w:szCs w:val="24"/>
        </w:rPr>
        <w:t xml:space="preserve">                                         户名：</w:t>
      </w:r>
      <w:r>
        <w:rPr>
          <w:rFonts w:hint="eastAsia" w:cs="宋体"/>
          <w:szCs w:val="24"/>
          <w:u w:val="single"/>
        </w:rPr>
        <w:t xml:space="preserve">            </w:t>
      </w:r>
    </w:p>
    <w:p w14:paraId="0D697104">
      <w:pPr>
        <w:spacing w:line="500" w:lineRule="exact"/>
        <w:rPr>
          <w:rFonts w:hint="eastAsia" w:cs="宋体"/>
          <w:szCs w:val="24"/>
        </w:rPr>
      </w:pPr>
      <w:r>
        <w:rPr>
          <w:rFonts w:hint="eastAsia" w:cs="宋体"/>
          <w:szCs w:val="24"/>
        </w:rPr>
        <w:t xml:space="preserve">                                         账号：</w:t>
      </w:r>
      <w:r>
        <w:rPr>
          <w:rFonts w:hint="eastAsia" w:cs="宋体"/>
          <w:szCs w:val="24"/>
          <w:u w:val="single"/>
        </w:rPr>
        <w:t xml:space="preserve">            </w:t>
      </w:r>
    </w:p>
    <w:p w14:paraId="7309CDF0">
      <w:pPr>
        <w:spacing w:line="500" w:lineRule="exact"/>
        <w:rPr>
          <w:rFonts w:hint="eastAsia" w:cs="宋体"/>
          <w:szCs w:val="24"/>
        </w:rPr>
      </w:pPr>
      <w:r>
        <w:rPr>
          <w:rFonts w:hint="eastAsia" w:cs="宋体"/>
          <w:szCs w:val="24"/>
        </w:rPr>
        <w:t xml:space="preserve">                                         开户银行：</w:t>
      </w:r>
      <w:r>
        <w:rPr>
          <w:rFonts w:hint="eastAsia" w:cs="宋体"/>
          <w:szCs w:val="24"/>
          <w:u w:val="single"/>
        </w:rPr>
        <w:t xml:space="preserve">        </w:t>
      </w:r>
    </w:p>
    <w:bookmarkEnd w:id="624"/>
    <w:p w14:paraId="4D631BBC">
      <w:pPr>
        <w:widowControl/>
        <w:rPr>
          <w:rFonts w:hint="eastAsia" w:cs="宋体"/>
          <w:b/>
          <w:szCs w:val="24"/>
        </w:rPr>
      </w:pPr>
      <w:r>
        <w:rPr>
          <w:rFonts w:hint="eastAsia" w:cs="宋体"/>
          <w:b/>
          <w:szCs w:val="24"/>
        </w:rPr>
        <w:br w:type="page"/>
      </w:r>
    </w:p>
    <w:p w14:paraId="37D2F896">
      <w:pPr>
        <w:jc w:val="center"/>
        <w:outlineLvl w:val="1"/>
        <w:rPr>
          <w:rFonts w:hint="eastAsia" w:cs="宋体"/>
          <w:b/>
          <w:sz w:val="36"/>
          <w:szCs w:val="36"/>
        </w:rPr>
      </w:pPr>
      <w:bookmarkStart w:id="625" w:name="_Toc1914"/>
      <w:bookmarkStart w:id="626" w:name="_Toc415"/>
      <w:bookmarkStart w:id="627" w:name="_Toc11104"/>
      <w:bookmarkStart w:id="628" w:name="_Toc25694"/>
      <w:r>
        <w:rPr>
          <w:rFonts w:hint="eastAsia" w:cs="宋体"/>
          <w:b/>
          <w:sz w:val="36"/>
          <w:szCs w:val="36"/>
        </w:rPr>
        <w:t>第二部分 合同一般条款</w:t>
      </w:r>
      <w:bookmarkEnd w:id="623"/>
      <w:bookmarkEnd w:id="625"/>
      <w:bookmarkEnd w:id="626"/>
      <w:bookmarkEnd w:id="627"/>
      <w:bookmarkEnd w:id="628"/>
    </w:p>
    <w:p w14:paraId="232A2B3D">
      <w:pPr>
        <w:ind w:firstLine="437"/>
        <w:outlineLvl w:val="2"/>
        <w:rPr>
          <w:rFonts w:hint="eastAsia" w:cs="宋体"/>
          <w:b/>
          <w:bCs/>
          <w:szCs w:val="24"/>
          <w:lang w:val="zh-CN"/>
        </w:rPr>
      </w:pPr>
      <w:bookmarkStart w:id="629" w:name="_Ref467379094"/>
      <w:bookmarkStart w:id="630" w:name="_Ref467378404"/>
      <w:bookmarkStart w:id="631" w:name="_Toc5013"/>
      <w:bookmarkStart w:id="632" w:name="_Toc19614"/>
      <w:bookmarkStart w:id="633" w:name="_Toc487900349"/>
      <w:bookmarkStart w:id="634" w:name="_Toc16917"/>
      <w:bookmarkStart w:id="635" w:name="_Ref467379225"/>
      <w:bookmarkStart w:id="636" w:name="_Ref467378499"/>
      <w:bookmarkStart w:id="637" w:name="_Ref467379205"/>
      <w:bookmarkStart w:id="638" w:name="_Ref467379101"/>
      <w:bookmarkStart w:id="639" w:name="_Toc28763"/>
      <w:bookmarkStart w:id="640" w:name="_Ref467379214"/>
      <w:bookmarkStart w:id="641" w:name="_Toc279701240"/>
      <w:bookmarkStart w:id="642" w:name="_Ref467378463"/>
      <w:bookmarkStart w:id="643" w:name="_Toc31338"/>
      <w:bookmarkStart w:id="644" w:name="_Ref467379195"/>
      <w:bookmarkStart w:id="645" w:name="_Toc259093669"/>
      <w:bookmarkStart w:id="646" w:name="_Toc2588"/>
      <w:bookmarkStart w:id="647" w:name="_Ref467379109"/>
      <w:r>
        <w:rPr>
          <w:rFonts w:hint="eastAsia" w:cs="宋体"/>
          <w:b/>
          <w:bCs/>
          <w:szCs w:val="24"/>
          <w:lang w:val="zh-CN"/>
        </w:rPr>
        <w:t>2.1 定义</w:t>
      </w:r>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p>
    <w:p w14:paraId="3DABC3C2">
      <w:pPr>
        <w:ind w:firstLine="435"/>
        <w:rPr>
          <w:rFonts w:hint="eastAsia" w:cs="宋体"/>
          <w:szCs w:val="24"/>
        </w:rPr>
      </w:pPr>
      <w:r>
        <w:rPr>
          <w:rFonts w:hint="eastAsia" w:cs="宋体"/>
          <w:szCs w:val="24"/>
        </w:rPr>
        <w:t>本合同中的下列词语应按以下内容进行解释：</w:t>
      </w:r>
    </w:p>
    <w:p w14:paraId="029314FD">
      <w:pPr>
        <w:ind w:firstLine="435"/>
        <w:rPr>
          <w:rFonts w:hint="eastAsia" w:cs="宋体"/>
          <w:szCs w:val="24"/>
        </w:rPr>
      </w:pPr>
      <w:r>
        <w:rPr>
          <w:rFonts w:hint="eastAsia" w:cs="宋体"/>
          <w:szCs w:val="24"/>
        </w:rPr>
        <w:t>2.1.1“合同”系指采购人和中标人签订的载明双方当事人所达成的协议，并包括所有的附件、附录和构成合同的其他文件。</w:t>
      </w:r>
    </w:p>
    <w:p w14:paraId="2F4EDFDB">
      <w:pPr>
        <w:ind w:firstLine="435"/>
        <w:rPr>
          <w:rFonts w:hint="eastAsia" w:cs="宋体"/>
          <w:szCs w:val="24"/>
        </w:rPr>
      </w:pPr>
      <w:r>
        <w:rPr>
          <w:rFonts w:hint="eastAsia" w:cs="宋体"/>
          <w:szCs w:val="24"/>
        </w:rPr>
        <w:t>2.1.2“合同价”系指根据合同约定，中标人在完全履行合同义务后，采购人应支付给中标人的价格。</w:t>
      </w:r>
    </w:p>
    <w:p w14:paraId="5824C107">
      <w:pPr>
        <w:ind w:firstLine="435"/>
        <w:rPr>
          <w:rFonts w:hint="eastAsia" w:cs="宋体"/>
          <w:szCs w:val="24"/>
        </w:rPr>
      </w:pPr>
      <w:r>
        <w:rPr>
          <w:rFonts w:hint="eastAsia" w:cs="宋体"/>
          <w:szCs w:val="24"/>
        </w:rPr>
        <w:t>2.1.3“服务”系指中标人根据合同约定应向采购人履行的除货物和工程以外的其他政府采购对象，包括采购人自身需要的服务和向社会公众提供的公共服务。</w:t>
      </w:r>
    </w:p>
    <w:p w14:paraId="1802AAD8">
      <w:pPr>
        <w:ind w:firstLine="435"/>
        <w:rPr>
          <w:rFonts w:hint="eastAsia" w:cs="宋体"/>
          <w:szCs w:val="24"/>
        </w:rPr>
      </w:pPr>
      <w:bookmarkStart w:id="648" w:name="_Ref467378840"/>
      <w:r>
        <w:rPr>
          <w:rFonts w:hint="eastAsia" w:cs="宋体"/>
          <w:szCs w:val="24"/>
        </w:rPr>
        <w:t>2.1.4“甲方”系指与中标人签署合同的采购人</w:t>
      </w:r>
      <w:bookmarkEnd w:id="648"/>
      <w:r>
        <w:rPr>
          <w:rFonts w:hint="eastAsia" w:cs="宋体"/>
          <w:szCs w:val="24"/>
        </w:rPr>
        <w:t>；采购人委托采购代理机构代表其与乙方签订合同的，采购人的授权委托书作为合同附件。</w:t>
      </w:r>
    </w:p>
    <w:p w14:paraId="1106E655">
      <w:pPr>
        <w:ind w:firstLine="435"/>
        <w:rPr>
          <w:rFonts w:hint="eastAsia" w:cs="宋体"/>
          <w:szCs w:val="24"/>
        </w:rPr>
      </w:pPr>
      <w:bookmarkStart w:id="649" w:name="_Ref467379400"/>
      <w:r>
        <w:rPr>
          <w:rFonts w:hint="eastAsia" w:cs="宋体"/>
          <w:szCs w:val="24"/>
        </w:rPr>
        <w:t>2.1.5“乙方”系指根据合同约定提供服务的中标人</w:t>
      </w:r>
      <w:bookmarkEnd w:id="649"/>
      <w:r>
        <w:rPr>
          <w:rFonts w:hint="eastAsia" w:cs="宋体"/>
          <w:szCs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368FF11B">
      <w:pPr>
        <w:ind w:firstLine="435"/>
        <w:rPr>
          <w:rFonts w:hint="eastAsia" w:cs="宋体"/>
          <w:szCs w:val="24"/>
        </w:rPr>
      </w:pPr>
      <w:bookmarkStart w:id="650" w:name="_Ref467379436"/>
      <w:r>
        <w:rPr>
          <w:rFonts w:hint="eastAsia" w:cs="宋体"/>
          <w:szCs w:val="24"/>
        </w:rPr>
        <w:t>2.1.6“现场”系指合同约定提供服务的地点。</w:t>
      </w:r>
      <w:bookmarkEnd w:id="650"/>
    </w:p>
    <w:p w14:paraId="6E2582CC">
      <w:pPr>
        <w:ind w:firstLine="437"/>
        <w:outlineLvl w:val="2"/>
        <w:rPr>
          <w:rFonts w:hint="eastAsia" w:cs="宋体"/>
          <w:b/>
          <w:bCs/>
          <w:szCs w:val="24"/>
          <w:lang w:val="zh-CN"/>
        </w:rPr>
      </w:pPr>
      <w:bookmarkStart w:id="651" w:name="_Toc30369"/>
      <w:bookmarkStart w:id="652" w:name="_Toc12095"/>
      <w:bookmarkStart w:id="653" w:name="_Toc23022"/>
      <w:bookmarkStart w:id="654" w:name="_Toc32504"/>
      <w:bookmarkStart w:id="655" w:name="_Toc259093670"/>
      <w:bookmarkStart w:id="656" w:name="_Toc279701241"/>
      <w:bookmarkStart w:id="657" w:name="_Toc487900350"/>
      <w:bookmarkStart w:id="658" w:name="_Toc27635"/>
      <w:bookmarkStart w:id="659" w:name="_Toc13336"/>
      <w:r>
        <w:rPr>
          <w:rFonts w:hint="eastAsia" w:cs="宋体"/>
          <w:b/>
          <w:bCs/>
          <w:szCs w:val="24"/>
          <w:lang w:val="zh-CN"/>
        </w:rPr>
        <w:t>2.2 技术规范</w:t>
      </w:r>
      <w:bookmarkEnd w:id="651"/>
      <w:bookmarkEnd w:id="652"/>
      <w:bookmarkEnd w:id="653"/>
      <w:bookmarkEnd w:id="654"/>
      <w:bookmarkEnd w:id="655"/>
      <w:bookmarkEnd w:id="656"/>
      <w:bookmarkEnd w:id="657"/>
      <w:bookmarkEnd w:id="658"/>
      <w:bookmarkEnd w:id="659"/>
    </w:p>
    <w:p w14:paraId="69A21D85">
      <w:pPr>
        <w:ind w:firstLine="435"/>
        <w:rPr>
          <w:rFonts w:hint="eastAsia" w:cs="宋体"/>
          <w:szCs w:val="24"/>
        </w:rPr>
      </w:pPr>
      <w:r>
        <w:rPr>
          <w:rFonts w:hint="eastAsia" w:cs="宋体"/>
          <w:szCs w:val="24"/>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14:paraId="59340A77">
      <w:pPr>
        <w:ind w:firstLine="437"/>
        <w:outlineLvl w:val="2"/>
        <w:rPr>
          <w:rFonts w:hint="eastAsia" w:cs="宋体"/>
          <w:b/>
          <w:bCs/>
          <w:szCs w:val="24"/>
          <w:lang w:val="zh-CN"/>
        </w:rPr>
      </w:pPr>
      <w:bookmarkStart w:id="660" w:name="_Toc21446"/>
      <w:bookmarkStart w:id="661" w:name="_Toc25214"/>
      <w:bookmarkStart w:id="662" w:name="_Toc487900351"/>
      <w:bookmarkStart w:id="663" w:name="_Toc279701242"/>
      <w:bookmarkStart w:id="664" w:name="_Toc16559"/>
      <w:bookmarkStart w:id="665" w:name="_Toc9829"/>
      <w:bookmarkStart w:id="666" w:name="_Toc27853"/>
      <w:bookmarkStart w:id="667" w:name="_Toc31634"/>
      <w:bookmarkStart w:id="668" w:name="_Toc259093671"/>
      <w:r>
        <w:rPr>
          <w:rFonts w:hint="eastAsia" w:cs="宋体"/>
          <w:b/>
          <w:bCs/>
          <w:szCs w:val="24"/>
          <w:lang w:val="zh-CN"/>
        </w:rPr>
        <w:t>2.3 知识产权</w:t>
      </w:r>
      <w:bookmarkEnd w:id="660"/>
      <w:bookmarkEnd w:id="661"/>
      <w:bookmarkEnd w:id="662"/>
      <w:bookmarkEnd w:id="663"/>
      <w:bookmarkEnd w:id="664"/>
      <w:bookmarkEnd w:id="665"/>
      <w:bookmarkEnd w:id="666"/>
      <w:bookmarkEnd w:id="667"/>
      <w:bookmarkEnd w:id="668"/>
    </w:p>
    <w:p w14:paraId="0051651D">
      <w:pPr>
        <w:ind w:firstLine="435"/>
        <w:rPr>
          <w:rFonts w:hint="eastAsia" w:cs="宋体"/>
          <w:szCs w:val="24"/>
        </w:rPr>
      </w:pPr>
      <w:r>
        <w:rPr>
          <w:rFonts w:hint="eastAsia" w:cs="宋体"/>
          <w:szCs w:val="24"/>
        </w:rPr>
        <w:t>2.3.1乙方应保证其提供的服务不受任何第三方提出的侵犯其著作权、商标权、专利权等知识产权方面的起诉；如果任何第三方提出侵权指控，那么乙方须与该第三方交涉并承担由此发生的一切责任、费用和赔偿；</w:t>
      </w:r>
    </w:p>
    <w:p w14:paraId="1B5AB00A">
      <w:pPr>
        <w:ind w:firstLine="435"/>
        <w:rPr>
          <w:rFonts w:hint="eastAsia" w:cs="宋体"/>
          <w:szCs w:val="24"/>
        </w:rPr>
      </w:pPr>
      <w:r>
        <w:rPr>
          <w:rFonts w:hint="eastAsia" w:cs="宋体"/>
          <w:szCs w:val="24"/>
        </w:rPr>
        <w:t>2.3.2具有知识产权的计算机软件等货物的知识产权归属，详见</w:t>
      </w:r>
      <w:r>
        <w:rPr>
          <w:rFonts w:hint="eastAsia" w:cs="宋体"/>
          <w:b/>
          <w:szCs w:val="24"/>
          <w:u w:val="single"/>
        </w:rPr>
        <w:t>合同专用条款</w:t>
      </w:r>
      <w:r>
        <w:rPr>
          <w:rFonts w:hint="eastAsia" w:cs="宋体"/>
          <w:szCs w:val="24"/>
        </w:rPr>
        <w:t>。</w:t>
      </w:r>
    </w:p>
    <w:p w14:paraId="7FDDB45A">
      <w:pPr>
        <w:ind w:firstLine="437"/>
        <w:outlineLvl w:val="2"/>
        <w:rPr>
          <w:rFonts w:hint="eastAsia" w:cs="宋体"/>
          <w:b/>
          <w:bCs/>
          <w:szCs w:val="24"/>
          <w:lang w:val="zh-CN"/>
        </w:rPr>
      </w:pPr>
      <w:bookmarkStart w:id="669" w:name="_Toc259093674"/>
      <w:bookmarkStart w:id="670" w:name="_Ref467379527"/>
      <w:bookmarkStart w:id="671" w:name="_Toc487900354"/>
      <w:bookmarkStart w:id="672" w:name="_Toc279701245"/>
      <w:bookmarkStart w:id="673" w:name="_Ref467379542"/>
      <w:bookmarkStart w:id="674" w:name="_Ref467379536"/>
      <w:bookmarkStart w:id="675" w:name="_Ref467378541"/>
      <w:bookmarkStart w:id="676" w:name="_Ref467378591"/>
      <w:bookmarkStart w:id="677" w:name="_Toc9083"/>
      <w:bookmarkStart w:id="678" w:name="_Toc30272"/>
      <w:bookmarkStart w:id="679" w:name="_Toc31476"/>
      <w:bookmarkStart w:id="680" w:name="_Toc24681"/>
      <w:bookmarkStart w:id="681" w:name="_Toc19074"/>
      <w:bookmarkStart w:id="682" w:name="_Toc26182"/>
      <w:r>
        <w:rPr>
          <w:rFonts w:hint="eastAsia" w:cs="宋体"/>
          <w:b/>
          <w:bCs/>
          <w:szCs w:val="24"/>
          <w:lang w:val="zh-CN"/>
        </w:rPr>
        <w:t>2.</w:t>
      </w:r>
      <w:bookmarkEnd w:id="669"/>
      <w:bookmarkEnd w:id="670"/>
      <w:bookmarkEnd w:id="671"/>
      <w:bookmarkEnd w:id="672"/>
      <w:bookmarkEnd w:id="673"/>
      <w:bookmarkEnd w:id="674"/>
      <w:bookmarkEnd w:id="675"/>
      <w:bookmarkEnd w:id="676"/>
      <w:r>
        <w:rPr>
          <w:rFonts w:hint="eastAsia" w:cs="宋体"/>
          <w:b/>
          <w:bCs/>
          <w:szCs w:val="24"/>
          <w:lang w:val="zh-CN"/>
        </w:rPr>
        <w:t>4 履约检查和问题反馈</w:t>
      </w:r>
      <w:bookmarkEnd w:id="677"/>
      <w:bookmarkEnd w:id="678"/>
      <w:bookmarkEnd w:id="679"/>
      <w:bookmarkEnd w:id="680"/>
      <w:bookmarkEnd w:id="681"/>
      <w:bookmarkEnd w:id="682"/>
    </w:p>
    <w:p w14:paraId="1F572855">
      <w:pPr>
        <w:ind w:firstLine="435"/>
        <w:rPr>
          <w:rFonts w:hint="eastAsia" w:cs="宋体"/>
          <w:szCs w:val="24"/>
        </w:rPr>
      </w:pPr>
      <w:bookmarkStart w:id="683" w:name="_Toc186431854"/>
      <w:bookmarkStart w:id="684" w:name="_Ref467379807"/>
      <w:bookmarkStart w:id="685" w:name="_Toc259093676"/>
      <w:bookmarkStart w:id="686" w:name="_Ref467379793"/>
      <w:bookmarkStart w:id="687" w:name="_Toc487900357"/>
      <w:bookmarkStart w:id="688" w:name="_Toc279701247"/>
      <w:r>
        <w:rPr>
          <w:rFonts w:hint="eastAsia" w:cs="宋体"/>
          <w:szCs w:val="24"/>
        </w:rPr>
        <w:t>2.4.1甲方有权在其认为必要时，对乙方是否能够按照合同约定提供服务进行履约检查，以确保乙方所提供的服务能够依约满足甲方项目需求，但不得因履约检查妨碍乙方的正常工作，乙方应予积极配合；</w:t>
      </w:r>
    </w:p>
    <w:p w14:paraId="46A90DE8">
      <w:pPr>
        <w:ind w:firstLine="435"/>
        <w:rPr>
          <w:rFonts w:hint="eastAsia" w:cs="宋体"/>
          <w:szCs w:val="24"/>
        </w:rPr>
      </w:pPr>
      <w:r>
        <w:rPr>
          <w:rFonts w:hint="eastAsia" w:cs="宋体"/>
          <w:szCs w:val="24"/>
        </w:rPr>
        <w:t>2.4.2合同履行期间，甲方有权将履行过程中出现的问题反馈给乙方，双方当事人应以书面形式约定需要完善和改进的内容</w:t>
      </w:r>
      <w:bookmarkEnd w:id="683"/>
      <w:bookmarkStart w:id="689" w:name="_Toc186431855"/>
      <w:r>
        <w:rPr>
          <w:rFonts w:hint="eastAsia" w:cs="宋体"/>
          <w:szCs w:val="24"/>
        </w:rPr>
        <w:t>。</w:t>
      </w:r>
    </w:p>
    <w:bookmarkEnd w:id="689"/>
    <w:p w14:paraId="37DDF5E5">
      <w:pPr>
        <w:ind w:firstLine="437"/>
        <w:outlineLvl w:val="2"/>
        <w:rPr>
          <w:rFonts w:hint="eastAsia" w:cs="宋体"/>
          <w:b/>
          <w:bCs/>
          <w:szCs w:val="24"/>
          <w:lang w:val="zh-CN"/>
        </w:rPr>
      </w:pPr>
      <w:bookmarkStart w:id="690" w:name="_Toc7836"/>
      <w:bookmarkStart w:id="691" w:name="_Toc19219"/>
      <w:bookmarkStart w:id="692" w:name="_Toc18438"/>
      <w:bookmarkStart w:id="693" w:name="_Toc28451"/>
      <w:bookmarkStart w:id="694" w:name="_Toc17720"/>
      <w:bookmarkStart w:id="695" w:name="_Toc27070"/>
      <w:r>
        <w:rPr>
          <w:rFonts w:hint="eastAsia" w:cs="宋体"/>
          <w:b/>
          <w:bCs/>
          <w:szCs w:val="24"/>
          <w:lang w:val="zh-CN"/>
        </w:rPr>
        <w:t>2.5 结算方式和付款条件</w:t>
      </w:r>
      <w:bookmarkEnd w:id="684"/>
      <w:bookmarkEnd w:id="685"/>
      <w:bookmarkEnd w:id="686"/>
      <w:bookmarkEnd w:id="687"/>
      <w:bookmarkEnd w:id="688"/>
      <w:bookmarkEnd w:id="690"/>
      <w:bookmarkEnd w:id="691"/>
      <w:bookmarkEnd w:id="692"/>
      <w:bookmarkEnd w:id="693"/>
      <w:bookmarkEnd w:id="694"/>
      <w:bookmarkEnd w:id="695"/>
    </w:p>
    <w:p w14:paraId="350F9F19">
      <w:pPr>
        <w:ind w:firstLine="435"/>
        <w:rPr>
          <w:rFonts w:hint="eastAsia" w:cs="宋体"/>
          <w:szCs w:val="24"/>
        </w:rPr>
      </w:pPr>
      <w:r>
        <w:rPr>
          <w:rFonts w:hint="eastAsia" w:cs="宋体"/>
          <w:szCs w:val="24"/>
        </w:rPr>
        <w:t>详见</w:t>
      </w:r>
      <w:r>
        <w:rPr>
          <w:rFonts w:hint="eastAsia" w:cs="宋体"/>
          <w:b/>
          <w:szCs w:val="24"/>
          <w:u w:val="single"/>
        </w:rPr>
        <w:t>合同专用条款</w:t>
      </w:r>
      <w:r>
        <w:rPr>
          <w:rFonts w:hint="eastAsia" w:cs="宋体"/>
          <w:szCs w:val="24"/>
        </w:rPr>
        <w:t>。</w:t>
      </w:r>
    </w:p>
    <w:p w14:paraId="0E66E798">
      <w:pPr>
        <w:ind w:firstLine="437"/>
        <w:outlineLvl w:val="2"/>
        <w:rPr>
          <w:rFonts w:hint="eastAsia" w:cs="宋体"/>
          <w:b/>
          <w:bCs/>
          <w:szCs w:val="24"/>
          <w:lang w:val="zh-CN"/>
        </w:rPr>
      </w:pPr>
      <w:bookmarkStart w:id="696" w:name="_Ref467379923"/>
      <w:bookmarkStart w:id="697" w:name="_Toc279701248"/>
      <w:bookmarkStart w:id="698" w:name="_Ref467379863"/>
      <w:bookmarkStart w:id="699" w:name="_Toc487900358"/>
      <w:bookmarkStart w:id="700" w:name="_Toc259093677"/>
      <w:bookmarkStart w:id="701" w:name="_Ref467379852"/>
      <w:bookmarkStart w:id="702" w:name="_Toc774"/>
      <w:bookmarkStart w:id="703" w:name="_Toc31951"/>
      <w:bookmarkStart w:id="704" w:name="_Toc16110"/>
      <w:bookmarkStart w:id="705" w:name="_Toc3225"/>
      <w:bookmarkStart w:id="706" w:name="_Toc11696"/>
      <w:bookmarkStart w:id="707" w:name="_Toc27938"/>
      <w:r>
        <w:rPr>
          <w:rFonts w:hint="eastAsia" w:cs="宋体"/>
          <w:b/>
          <w:bCs/>
          <w:szCs w:val="24"/>
          <w:lang w:val="zh-CN"/>
        </w:rPr>
        <w:t>2.6 技术资料</w:t>
      </w:r>
      <w:bookmarkEnd w:id="696"/>
      <w:bookmarkEnd w:id="697"/>
      <w:bookmarkEnd w:id="698"/>
      <w:bookmarkEnd w:id="699"/>
      <w:bookmarkEnd w:id="700"/>
      <w:bookmarkEnd w:id="701"/>
      <w:r>
        <w:rPr>
          <w:rFonts w:hint="eastAsia" w:cs="宋体"/>
          <w:b/>
          <w:bCs/>
          <w:szCs w:val="24"/>
          <w:lang w:val="zh-CN"/>
        </w:rPr>
        <w:t>和保密义务</w:t>
      </w:r>
      <w:bookmarkEnd w:id="702"/>
      <w:bookmarkEnd w:id="703"/>
      <w:bookmarkEnd w:id="704"/>
      <w:bookmarkEnd w:id="705"/>
      <w:bookmarkEnd w:id="706"/>
      <w:bookmarkEnd w:id="707"/>
    </w:p>
    <w:p w14:paraId="043E0FD0">
      <w:pPr>
        <w:ind w:firstLine="435"/>
        <w:rPr>
          <w:rFonts w:hint="eastAsia" w:cs="宋体"/>
          <w:szCs w:val="24"/>
        </w:rPr>
      </w:pPr>
      <w:r>
        <w:rPr>
          <w:rFonts w:hint="eastAsia" w:cs="宋体"/>
          <w:szCs w:val="24"/>
        </w:rPr>
        <w:t>2.6.1乙方有权依据合同约定和项目需要，向甲方了解有关情况，调阅有关资料等，甲方应予积极配合；</w:t>
      </w:r>
    </w:p>
    <w:p w14:paraId="12D7ADE8">
      <w:pPr>
        <w:ind w:firstLine="435"/>
        <w:rPr>
          <w:rFonts w:hint="eastAsia" w:cs="宋体"/>
          <w:szCs w:val="24"/>
        </w:rPr>
      </w:pPr>
      <w:r>
        <w:rPr>
          <w:rFonts w:hint="eastAsia" w:cs="宋体"/>
          <w:szCs w:val="24"/>
        </w:rPr>
        <w:t>2.6.2乙方有义务妥善保管和保护由甲方提供的前款信息和资料等；</w:t>
      </w:r>
    </w:p>
    <w:p w14:paraId="1BFAE2B4">
      <w:pPr>
        <w:ind w:firstLine="435"/>
        <w:rPr>
          <w:rFonts w:hint="eastAsia" w:cs="宋体"/>
          <w:szCs w:val="24"/>
        </w:rPr>
      </w:pPr>
      <w:r>
        <w:rPr>
          <w:rFonts w:hint="eastAsia" w:cs="宋体"/>
          <w:szCs w:val="24"/>
        </w:rPr>
        <w:t>2.6.3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3D716C7F">
      <w:pPr>
        <w:ind w:firstLine="437"/>
        <w:outlineLvl w:val="2"/>
        <w:rPr>
          <w:rFonts w:hint="eastAsia" w:cs="宋体"/>
          <w:b/>
          <w:bCs/>
          <w:szCs w:val="24"/>
          <w:lang w:val="zh-CN"/>
        </w:rPr>
      </w:pPr>
      <w:bookmarkStart w:id="708" w:name="_Toc19318"/>
      <w:bookmarkStart w:id="709" w:name="_Toc11363"/>
      <w:bookmarkStart w:id="710" w:name="_Toc7860"/>
      <w:bookmarkStart w:id="711" w:name="_Toc14583"/>
      <w:r>
        <w:rPr>
          <w:rFonts w:hint="eastAsia" w:cs="宋体"/>
          <w:b/>
          <w:bCs/>
          <w:szCs w:val="24"/>
          <w:lang w:val="zh-CN"/>
        </w:rPr>
        <w:t>2.7 质量保证</w:t>
      </w:r>
      <w:bookmarkEnd w:id="708"/>
      <w:bookmarkEnd w:id="709"/>
      <w:bookmarkEnd w:id="710"/>
      <w:bookmarkEnd w:id="711"/>
    </w:p>
    <w:p w14:paraId="06F68E3D">
      <w:pPr>
        <w:ind w:firstLine="435"/>
        <w:rPr>
          <w:rFonts w:hint="eastAsia" w:cs="宋体"/>
          <w:szCs w:val="24"/>
        </w:rPr>
      </w:pPr>
      <w:r>
        <w:rPr>
          <w:rFonts w:hint="eastAsia" w:cs="宋体"/>
          <w:szCs w:val="24"/>
        </w:rPr>
        <w:t>2.7.1乙方应建立和完善履行合同的内部质量保证体系，并提供相关内部规章制度给甲方，以便甲方进行监督检查；</w:t>
      </w:r>
    </w:p>
    <w:p w14:paraId="37CEC890">
      <w:pPr>
        <w:ind w:firstLine="435"/>
        <w:rPr>
          <w:rFonts w:hint="eastAsia" w:cs="宋体"/>
          <w:szCs w:val="24"/>
        </w:rPr>
      </w:pPr>
      <w:r>
        <w:rPr>
          <w:rFonts w:hint="eastAsia" w:cs="宋体"/>
          <w:szCs w:val="24"/>
        </w:rPr>
        <w:t>2.7.2乙方应保证履行合同的人员数量和素质、软件和硬件设备的配置、场地、环境和设施等满足全面履行合同的要求，并应接受甲方的监督检查。</w:t>
      </w:r>
    </w:p>
    <w:p w14:paraId="6EE54FD6">
      <w:pPr>
        <w:ind w:firstLine="437"/>
        <w:outlineLvl w:val="2"/>
        <w:rPr>
          <w:rFonts w:hint="eastAsia" w:cs="宋体"/>
          <w:b/>
          <w:szCs w:val="24"/>
        </w:rPr>
      </w:pPr>
      <w:bookmarkStart w:id="712" w:name="_Toc27900"/>
      <w:bookmarkStart w:id="713" w:name="_Toc21583"/>
      <w:bookmarkStart w:id="714" w:name="_Toc12212"/>
      <w:bookmarkStart w:id="715" w:name="_Toc22267"/>
      <w:r>
        <w:rPr>
          <w:rFonts w:hint="eastAsia" w:cs="宋体"/>
          <w:b/>
          <w:szCs w:val="24"/>
        </w:rPr>
        <w:t>2.8 延迟履行</w:t>
      </w:r>
      <w:bookmarkEnd w:id="712"/>
      <w:bookmarkEnd w:id="713"/>
      <w:bookmarkEnd w:id="714"/>
      <w:bookmarkEnd w:id="715"/>
    </w:p>
    <w:p w14:paraId="39241BB2">
      <w:pPr>
        <w:ind w:firstLine="435"/>
        <w:rPr>
          <w:rFonts w:hint="eastAsia" w:cs="宋体"/>
          <w:szCs w:val="24"/>
        </w:rPr>
      </w:pPr>
      <w:r>
        <w:rPr>
          <w:rFonts w:hint="eastAsia" w:cs="宋体"/>
          <w:szCs w:val="24"/>
        </w:rPr>
        <w:t>在合同履行过程中，如果乙方遇到不能按时提供服务的情况，应及时以书面形式将不能按时提供服务的理由、预期延误时间通知甲方；甲方收到乙方通知后，认为其理由正当的，可以书面形式酌情同意乙方可以延长履行的具体时间。</w:t>
      </w:r>
    </w:p>
    <w:p w14:paraId="546551B4">
      <w:pPr>
        <w:ind w:firstLine="437"/>
        <w:outlineLvl w:val="2"/>
        <w:rPr>
          <w:rFonts w:hint="eastAsia" w:cs="宋体"/>
          <w:b/>
          <w:bCs/>
          <w:szCs w:val="24"/>
          <w:lang w:val="zh-CN"/>
        </w:rPr>
      </w:pPr>
      <w:bookmarkStart w:id="716" w:name="_Toc7502"/>
      <w:bookmarkStart w:id="717" w:name="_Toc16632"/>
      <w:bookmarkStart w:id="718" w:name="_Toc32210"/>
      <w:bookmarkStart w:id="719" w:name="_Toc5954"/>
      <w:bookmarkStart w:id="720" w:name="_Toc279701254"/>
      <w:bookmarkStart w:id="721" w:name="_Toc487900364"/>
      <w:bookmarkStart w:id="722" w:name="_Toc259093683"/>
      <w:bookmarkStart w:id="723" w:name="_Ref467378121"/>
      <w:r>
        <w:rPr>
          <w:rFonts w:hint="eastAsia" w:cs="宋体"/>
          <w:b/>
          <w:bCs/>
          <w:szCs w:val="24"/>
          <w:lang w:val="zh-CN"/>
        </w:rPr>
        <w:t>2.9 合同变更</w:t>
      </w:r>
      <w:bookmarkEnd w:id="716"/>
      <w:bookmarkEnd w:id="717"/>
      <w:bookmarkEnd w:id="718"/>
      <w:bookmarkEnd w:id="719"/>
    </w:p>
    <w:p w14:paraId="60F58CC5">
      <w:pPr>
        <w:ind w:firstLine="435"/>
        <w:rPr>
          <w:rFonts w:hint="eastAsia" w:cs="宋体"/>
          <w:szCs w:val="24"/>
        </w:rPr>
      </w:pPr>
      <w:r>
        <w:rPr>
          <w:rFonts w:hint="eastAsia" w:cs="宋体"/>
          <w:szCs w:val="24"/>
        </w:rPr>
        <w:t>2.9.1双方当事人协商一致，可以签订书面补充合同的形式变更合同，但不得违背采购文件确定的事项；</w:t>
      </w:r>
    </w:p>
    <w:p w14:paraId="42F7E758">
      <w:pPr>
        <w:ind w:firstLine="435"/>
        <w:rPr>
          <w:rFonts w:hint="eastAsia" w:cs="宋体"/>
          <w:szCs w:val="24"/>
        </w:rPr>
      </w:pPr>
      <w:r>
        <w:rPr>
          <w:rFonts w:hint="eastAsia" w:cs="宋体"/>
          <w:szCs w:val="24"/>
        </w:rPr>
        <w:t>2.9.2合同继续履行将损害国家利益和社会公共利益的，双方当事人应当以书面形式变更合同。有过错的一方应当承担赔偿责任，双方当事人都有过错的，各自承担相应的责任。</w:t>
      </w:r>
      <w:bookmarkStart w:id="724" w:name="_Toc487900369"/>
      <w:bookmarkStart w:id="725" w:name="_Toc259093688"/>
      <w:bookmarkStart w:id="726" w:name="_Toc279701259"/>
    </w:p>
    <w:p w14:paraId="742F9E7E">
      <w:pPr>
        <w:ind w:firstLine="437"/>
        <w:outlineLvl w:val="2"/>
        <w:rPr>
          <w:rFonts w:hint="eastAsia" w:cs="宋体"/>
          <w:b/>
          <w:bCs/>
          <w:szCs w:val="24"/>
          <w:lang w:val="zh-CN"/>
        </w:rPr>
      </w:pPr>
      <w:bookmarkStart w:id="727" w:name="_Toc31057"/>
      <w:bookmarkStart w:id="728" w:name="_Toc16945"/>
      <w:bookmarkStart w:id="729" w:name="_Toc10366"/>
      <w:bookmarkStart w:id="730" w:name="_Toc15237"/>
      <w:bookmarkStart w:id="731" w:name="_Toc24608"/>
      <w:bookmarkStart w:id="732" w:name="_Toc22955"/>
      <w:r>
        <w:rPr>
          <w:rFonts w:hint="eastAsia" w:cs="宋体"/>
          <w:b/>
          <w:bCs/>
          <w:szCs w:val="24"/>
          <w:lang w:val="zh-CN"/>
        </w:rPr>
        <w:t>2.10 合同转让</w:t>
      </w:r>
      <w:bookmarkEnd w:id="724"/>
      <w:bookmarkEnd w:id="725"/>
      <w:bookmarkEnd w:id="726"/>
      <w:r>
        <w:rPr>
          <w:rFonts w:hint="eastAsia" w:cs="宋体"/>
          <w:b/>
          <w:bCs/>
          <w:szCs w:val="24"/>
          <w:lang w:val="zh-CN"/>
        </w:rPr>
        <w:t>和分包</w:t>
      </w:r>
      <w:bookmarkEnd w:id="727"/>
      <w:bookmarkEnd w:id="728"/>
      <w:bookmarkEnd w:id="729"/>
      <w:bookmarkEnd w:id="730"/>
      <w:bookmarkEnd w:id="731"/>
      <w:bookmarkEnd w:id="732"/>
    </w:p>
    <w:p w14:paraId="26ADD7CF">
      <w:pPr>
        <w:ind w:firstLine="435"/>
        <w:rPr>
          <w:rFonts w:hint="eastAsia" w:cs="宋体"/>
          <w:szCs w:val="24"/>
        </w:rPr>
      </w:pPr>
      <w:r>
        <w:rPr>
          <w:rFonts w:hint="eastAsia" w:cs="宋体"/>
          <w:szCs w:val="24"/>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14:paraId="54061B35">
      <w:pPr>
        <w:ind w:firstLine="437"/>
        <w:outlineLvl w:val="2"/>
        <w:rPr>
          <w:rFonts w:hint="eastAsia" w:cs="宋体"/>
          <w:b/>
          <w:bCs/>
          <w:szCs w:val="24"/>
          <w:lang w:val="zh-CN"/>
        </w:rPr>
      </w:pPr>
      <w:bookmarkStart w:id="733" w:name="_Toc13566"/>
      <w:bookmarkStart w:id="734" w:name="_Toc7877"/>
      <w:bookmarkStart w:id="735" w:name="_Toc8955"/>
      <w:bookmarkStart w:id="736" w:name="_Toc16508"/>
      <w:bookmarkStart w:id="737" w:name="_Toc14066"/>
      <w:bookmarkStart w:id="738" w:name="_Toc14911"/>
      <w:r>
        <w:rPr>
          <w:rFonts w:hint="eastAsia" w:cs="宋体"/>
          <w:b/>
          <w:bCs/>
          <w:szCs w:val="24"/>
          <w:lang w:val="zh-CN"/>
        </w:rPr>
        <w:t>2.11 不可抗力</w:t>
      </w:r>
      <w:bookmarkEnd w:id="733"/>
      <w:bookmarkEnd w:id="734"/>
      <w:bookmarkEnd w:id="735"/>
      <w:bookmarkEnd w:id="736"/>
      <w:bookmarkEnd w:id="737"/>
      <w:bookmarkEnd w:id="738"/>
    </w:p>
    <w:p w14:paraId="2E7E6126">
      <w:pPr>
        <w:ind w:firstLine="435"/>
        <w:rPr>
          <w:rFonts w:hint="eastAsia" w:cs="宋体"/>
          <w:szCs w:val="24"/>
        </w:rPr>
      </w:pPr>
      <w:r>
        <w:rPr>
          <w:rFonts w:hint="eastAsia" w:cs="宋体"/>
          <w:szCs w:val="24"/>
        </w:rPr>
        <w:t>2.11.1如果任何一方遭遇法律规定的不可抗力，致使合同履行受阻时，履行合同的期限应予延长，延长的期限应相当于不可抗力所影响的时间；</w:t>
      </w:r>
    </w:p>
    <w:p w14:paraId="584AA569">
      <w:pPr>
        <w:ind w:firstLine="435"/>
        <w:rPr>
          <w:rFonts w:hint="eastAsia" w:cs="宋体"/>
          <w:szCs w:val="24"/>
        </w:rPr>
      </w:pPr>
      <w:r>
        <w:rPr>
          <w:rFonts w:hint="eastAsia" w:cs="宋体"/>
          <w:szCs w:val="24"/>
        </w:rPr>
        <w:t>2.11.2因不可抗力致使不能实现合同目的的，当事人可以解除合同；</w:t>
      </w:r>
    </w:p>
    <w:p w14:paraId="7EC56964">
      <w:pPr>
        <w:ind w:firstLine="435"/>
        <w:rPr>
          <w:rFonts w:hint="eastAsia" w:cs="宋体"/>
          <w:szCs w:val="24"/>
        </w:rPr>
      </w:pPr>
      <w:r>
        <w:rPr>
          <w:rFonts w:hint="eastAsia" w:cs="宋体"/>
          <w:szCs w:val="24"/>
        </w:rPr>
        <w:t>2.11.3因不可抗力致使合同有变更必要的，双方当事人应在</w:t>
      </w:r>
      <w:r>
        <w:rPr>
          <w:rFonts w:hint="eastAsia" w:cs="宋体"/>
          <w:b/>
          <w:szCs w:val="24"/>
          <w:u w:val="single"/>
        </w:rPr>
        <w:t>合同专用条款</w:t>
      </w:r>
      <w:r>
        <w:rPr>
          <w:rFonts w:hint="eastAsia" w:cs="宋体"/>
          <w:szCs w:val="24"/>
        </w:rPr>
        <w:t>约定时间内以书面形式变更合同；</w:t>
      </w:r>
    </w:p>
    <w:p w14:paraId="64C45C6C">
      <w:pPr>
        <w:ind w:firstLine="435"/>
        <w:rPr>
          <w:rFonts w:hint="eastAsia" w:cs="宋体"/>
          <w:szCs w:val="24"/>
        </w:rPr>
      </w:pPr>
      <w:r>
        <w:rPr>
          <w:rFonts w:hint="eastAsia" w:cs="宋体"/>
          <w:szCs w:val="24"/>
        </w:rPr>
        <w:t>2.11.4受不可抗力影响的一方在不可抗力发生后，应在</w:t>
      </w:r>
      <w:r>
        <w:rPr>
          <w:rFonts w:hint="eastAsia" w:cs="宋体"/>
          <w:b/>
          <w:szCs w:val="24"/>
          <w:u w:val="single"/>
        </w:rPr>
        <w:t>合同专用条款</w:t>
      </w:r>
      <w:r>
        <w:rPr>
          <w:rFonts w:hint="eastAsia" w:cs="宋体"/>
          <w:szCs w:val="24"/>
        </w:rPr>
        <w:t>约定时间内以书面形式通知对方当事人，并在</w:t>
      </w:r>
      <w:r>
        <w:rPr>
          <w:rFonts w:hint="eastAsia" w:cs="宋体"/>
          <w:b/>
          <w:szCs w:val="24"/>
          <w:u w:val="single"/>
        </w:rPr>
        <w:t>合同专用条款</w:t>
      </w:r>
      <w:r>
        <w:rPr>
          <w:rFonts w:hint="eastAsia" w:cs="宋体"/>
          <w:szCs w:val="24"/>
        </w:rPr>
        <w:t>约定时间内，将有关部门出具的证明文件送达对方当事人。</w:t>
      </w:r>
    </w:p>
    <w:p w14:paraId="07379467">
      <w:pPr>
        <w:ind w:firstLine="437"/>
        <w:outlineLvl w:val="2"/>
        <w:rPr>
          <w:rFonts w:hint="eastAsia" w:cs="宋体"/>
          <w:b/>
          <w:bCs/>
          <w:szCs w:val="24"/>
          <w:lang w:val="zh-CN"/>
        </w:rPr>
      </w:pPr>
      <w:bookmarkStart w:id="739" w:name="_Toc279701255"/>
      <w:bookmarkStart w:id="740" w:name="_Toc30676"/>
      <w:bookmarkStart w:id="741" w:name="_Toc28131"/>
      <w:bookmarkStart w:id="742" w:name="_Toc487900365"/>
      <w:bookmarkStart w:id="743" w:name="_Toc6969"/>
      <w:bookmarkStart w:id="744" w:name="_Toc689"/>
      <w:bookmarkStart w:id="745" w:name="_Toc16581"/>
      <w:bookmarkStart w:id="746" w:name="_Toc259093684"/>
      <w:bookmarkStart w:id="747" w:name="_Toc10999"/>
      <w:r>
        <w:rPr>
          <w:rFonts w:hint="eastAsia" w:cs="宋体"/>
          <w:b/>
          <w:bCs/>
          <w:szCs w:val="24"/>
          <w:lang w:val="zh-CN"/>
        </w:rPr>
        <w:t>2.12 税费</w:t>
      </w:r>
      <w:bookmarkEnd w:id="739"/>
      <w:bookmarkEnd w:id="740"/>
      <w:bookmarkEnd w:id="741"/>
      <w:bookmarkEnd w:id="742"/>
      <w:bookmarkEnd w:id="743"/>
      <w:bookmarkEnd w:id="744"/>
      <w:bookmarkEnd w:id="745"/>
      <w:bookmarkEnd w:id="746"/>
      <w:bookmarkEnd w:id="747"/>
    </w:p>
    <w:p w14:paraId="7FDC3728">
      <w:pPr>
        <w:ind w:firstLine="435"/>
        <w:rPr>
          <w:rFonts w:hint="eastAsia" w:cs="宋体"/>
          <w:szCs w:val="24"/>
        </w:rPr>
      </w:pPr>
      <w:r>
        <w:rPr>
          <w:rFonts w:hint="eastAsia" w:cs="宋体"/>
          <w:szCs w:val="24"/>
        </w:rPr>
        <w:t>与合同有关的一切税费，均按照中华人民共和国法律的相关规定缴纳。</w:t>
      </w:r>
    </w:p>
    <w:p w14:paraId="485EEA44">
      <w:pPr>
        <w:ind w:firstLine="437"/>
        <w:outlineLvl w:val="2"/>
        <w:rPr>
          <w:rFonts w:hint="eastAsia" w:cs="宋体"/>
          <w:b/>
          <w:bCs/>
          <w:szCs w:val="24"/>
          <w:lang w:val="zh-CN"/>
        </w:rPr>
      </w:pPr>
      <w:bookmarkStart w:id="748" w:name="_Toc16959"/>
      <w:bookmarkStart w:id="749" w:name="_Toc259093687"/>
      <w:bookmarkStart w:id="750" w:name="_Toc8298"/>
      <w:bookmarkStart w:id="751" w:name="_Toc7102"/>
      <w:bookmarkStart w:id="752" w:name="_Toc487900368"/>
      <w:bookmarkStart w:id="753" w:name="_Toc279701258"/>
      <w:bookmarkStart w:id="754" w:name="_Toc21787"/>
      <w:bookmarkStart w:id="755" w:name="_Toc17368"/>
      <w:bookmarkStart w:id="756" w:name="_Toc13679"/>
      <w:r>
        <w:rPr>
          <w:rFonts w:hint="eastAsia" w:cs="宋体"/>
          <w:b/>
          <w:bCs/>
          <w:szCs w:val="24"/>
          <w:lang w:val="zh-CN"/>
        </w:rPr>
        <w:t>2.13 乙方破产</w:t>
      </w:r>
      <w:bookmarkEnd w:id="748"/>
      <w:bookmarkEnd w:id="749"/>
      <w:bookmarkEnd w:id="750"/>
      <w:bookmarkEnd w:id="751"/>
      <w:bookmarkEnd w:id="752"/>
      <w:bookmarkEnd w:id="753"/>
      <w:bookmarkEnd w:id="754"/>
      <w:bookmarkEnd w:id="755"/>
      <w:bookmarkEnd w:id="756"/>
    </w:p>
    <w:p w14:paraId="4706273A">
      <w:pPr>
        <w:ind w:firstLine="435"/>
        <w:rPr>
          <w:rFonts w:hint="eastAsia" w:cs="宋体"/>
          <w:szCs w:val="24"/>
        </w:rPr>
      </w:pPr>
      <w:r>
        <w:rPr>
          <w:rFonts w:hint="eastAsia" w:cs="宋体"/>
          <w:szCs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4E79A5F8">
      <w:pPr>
        <w:ind w:firstLine="437"/>
        <w:outlineLvl w:val="2"/>
        <w:rPr>
          <w:rFonts w:hint="eastAsia" w:cs="宋体"/>
          <w:b/>
          <w:szCs w:val="24"/>
        </w:rPr>
      </w:pPr>
      <w:bookmarkStart w:id="757" w:name="_Toc29333"/>
      <w:bookmarkStart w:id="758" w:name="_Toc6134"/>
      <w:bookmarkStart w:id="759" w:name="_Toc21700"/>
      <w:bookmarkStart w:id="760" w:name="_Toc15387"/>
      <w:bookmarkStart w:id="761" w:name="_Toc32236"/>
      <w:bookmarkStart w:id="762" w:name="_Toc5894"/>
      <w:r>
        <w:rPr>
          <w:rFonts w:hint="eastAsia" w:cs="宋体"/>
          <w:b/>
          <w:bCs/>
          <w:szCs w:val="24"/>
          <w:lang w:val="zh-CN"/>
        </w:rPr>
        <w:t>2.14 合同中止、终止</w:t>
      </w:r>
      <w:bookmarkEnd w:id="757"/>
      <w:bookmarkEnd w:id="758"/>
      <w:bookmarkEnd w:id="759"/>
      <w:bookmarkEnd w:id="760"/>
      <w:bookmarkEnd w:id="761"/>
      <w:bookmarkEnd w:id="762"/>
    </w:p>
    <w:p w14:paraId="6151CDA0">
      <w:pPr>
        <w:ind w:firstLine="435"/>
        <w:rPr>
          <w:rFonts w:hint="eastAsia" w:cs="宋体"/>
          <w:szCs w:val="24"/>
        </w:rPr>
      </w:pPr>
      <w:r>
        <w:rPr>
          <w:rFonts w:hint="eastAsia" w:cs="宋体"/>
          <w:szCs w:val="24"/>
        </w:rPr>
        <w:t>2.14.1双方当事人不得擅自中止或者终止合同；</w:t>
      </w:r>
    </w:p>
    <w:p w14:paraId="0A33DBB1">
      <w:pPr>
        <w:ind w:firstLine="435"/>
        <w:rPr>
          <w:rFonts w:hint="eastAsia" w:cs="宋体"/>
          <w:szCs w:val="24"/>
        </w:rPr>
      </w:pPr>
      <w:r>
        <w:rPr>
          <w:rFonts w:hint="eastAsia" w:cs="宋体"/>
          <w:szCs w:val="24"/>
        </w:rPr>
        <w:t>2.14.2合同继续履行将损害国家利益和社会公共利益的，双方当事人应当中止或者终止合同。有过错的一方应当承担赔偿责任，双方当事人都有过错的，各自承担相应的责任。</w:t>
      </w:r>
    </w:p>
    <w:p w14:paraId="51ADDB27">
      <w:pPr>
        <w:ind w:firstLine="437"/>
        <w:outlineLvl w:val="2"/>
        <w:rPr>
          <w:rFonts w:hint="eastAsia" w:cs="宋体"/>
          <w:b/>
          <w:bCs/>
          <w:szCs w:val="24"/>
          <w:lang w:val="zh-CN"/>
        </w:rPr>
      </w:pPr>
      <w:bookmarkStart w:id="763" w:name="_Toc14563"/>
      <w:bookmarkStart w:id="764" w:name="_Toc6596"/>
      <w:bookmarkStart w:id="765" w:name="_Toc23738"/>
      <w:bookmarkStart w:id="766" w:name="_Toc16197"/>
      <w:bookmarkStart w:id="767" w:name="_Toc1125"/>
      <w:bookmarkStart w:id="768" w:name="_Toc26430"/>
      <w:r>
        <w:rPr>
          <w:rFonts w:hint="eastAsia" w:cs="宋体"/>
          <w:b/>
          <w:bCs/>
          <w:szCs w:val="24"/>
          <w:lang w:val="zh-CN"/>
        </w:rPr>
        <w:t>2.15 检验和验收</w:t>
      </w:r>
      <w:bookmarkEnd w:id="763"/>
      <w:bookmarkEnd w:id="764"/>
      <w:bookmarkEnd w:id="765"/>
      <w:bookmarkEnd w:id="766"/>
      <w:bookmarkEnd w:id="767"/>
      <w:bookmarkEnd w:id="768"/>
    </w:p>
    <w:p w14:paraId="4B523E11">
      <w:pPr>
        <w:ind w:firstLine="435"/>
        <w:rPr>
          <w:rFonts w:hint="eastAsia" w:cs="宋体"/>
          <w:szCs w:val="24"/>
        </w:rPr>
      </w:pPr>
      <w:r>
        <w:rPr>
          <w:rFonts w:hint="eastAsia" w:cs="宋体"/>
          <w:szCs w:val="24"/>
        </w:rPr>
        <w:t>2.15.1乙方按照</w:t>
      </w:r>
      <w:r>
        <w:rPr>
          <w:rFonts w:hint="eastAsia" w:cs="宋体"/>
          <w:b/>
          <w:szCs w:val="24"/>
          <w:u w:val="single"/>
        </w:rPr>
        <w:t>合同专用条款</w:t>
      </w:r>
      <w:r>
        <w:rPr>
          <w:rFonts w:hint="eastAsia" w:cs="宋体"/>
          <w:szCs w:val="24"/>
        </w:rPr>
        <w:t>的约定，定期提交服务报告，甲方按照</w:t>
      </w:r>
      <w:r>
        <w:rPr>
          <w:rFonts w:hint="eastAsia" w:cs="宋体"/>
          <w:b/>
          <w:szCs w:val="24"/>
          <w:u w:val="single"/>
        </w:rPr>
        <w:t>合同专用条款</w:t>
      </w:r>
      <w:r>
        <w:rPr>
          <w:rFonts w:hint="eastAsia" w:cs="宋体"/>
          <w:szCs w:val="24"/>
        </w:rPr>
        <w:t>的约定进行定期验收；</w:t>
      </w:r>
    </w:p>
    <w:p w14:paraId="2691C969">
      <w:pPr>
        <w:ind w:firstLine="435"/>
        <w:rPr>
          <w:rFonts w:hint="eastAsia" w:cs="宋体"/>
          <w:szCs w:val="24"/>
        </w:rPr>
      </w:pPr>
      <w:r>
        <w:rPr>
          <w:rFonts w:hint="eastAsia" w:cs="宋体"/>
          <w:szCs w:val="24"/>
        </w:rPr>
        <w:t>2.15.2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14:paraId="35630CD7">
      <w:pPr>
        <w:ind w:firstLine="435"/>
        <w:rPr>
          <w:rFonts w:hint="eastAsia" w:cs="宋体"/>
          <w:szCs w:val="24"/>
        </w:rPr>
      </w:pPr>
      <w:r>
        <w:rPr>
          <w:rFonts w:hint="eastAsia" w:cs="宋体"/>
          <w:szCs w:val="24"/>
        </w:rPr>
        <w:t>2.15.3检验和验收标准、程序等具体内容以及前述验收书的效力详见</w:t>
      </w:r>
      <w:r>
        <w:rPr>
          <w:rFonts w:hint="eastAsia" w:cs="宋体"/>
          <w:b/>
          <w:szCs w:val="24"/>
          <w:u w:val="single"/>
        </w:rPr>
        <w:t>合同专用条款</w:t>
      </w:r>
      <w:r>
        <w:rPr>
          <w:rFonts w:hint="eastAsia" w:cs="宋体"/>
          <w:szCs w:val="24"/>
        </w:rPr>
        <w:t>。</w:t>
      </w:r>
    </w:p>
    <w:bookmarkEnd w:id="720"/>
    <w:bookmarkEnd w:id="721"/>
    <w:bookmarkEnd w:id="722"/>
    <w:bookmarkEnd w:id="723"/>
    <w:p w14:paraId="73AF77C8">
      <w:pPr>
        <w:ind w:firstLine="437"/>
        <w:outlineLvl w:val="2"/>
        <w:rPr>
          <w:rFonts w:hint="eastAsia" w:cs="宋体"/>
          <w:b/>
          <w:bCs/>
          <w:szCs w:val="24"/>
        </w:rPr>
      </w:pPr>
      <w:bookmarkStart w:id="769" w:name="_Toc279701263"/>
      <w:bookmarkStart w:id="770" w:name="_Toc259093692"/>
      <w:bookmarkStart w:id="771" w:name="_Toc18567"/>
      <w:bookmarkStart w:id="772" w:name="_Toc487900373"/>
      <w:bookmarkStart w:id="773" w:name="_Toc573"/>
      <w:bookmarkStart w:id="774" w:name="_Toc10330"/>
      <w:bookmarkStart w:id="775" w:name="_Toc12773"/>
      <w:bookmarkStart w:id="776" w:name="_Toc28607"/>
      <w:bookmarkStart w:id="777" w:name="_Toc14648"/>
      <w:r>
        <w:rPr>
          <w:rFonts w:hint="eastAsia" w:cs="宋体"/>
          <w:b/>
          <w:bCs/>
          <w:szCs w:val="24"/>
        </w:rPr>
        <w:t xml:space="preserve">2.16 </w:t>
      </w:r>
      <w:r>
        <w:rPr>
          <w:rFonts w:hint="eastAsia" w:cs="宋体"/>
          <w:b/>
          <w:bCs/>
          <w:szCs w:val="24"/>
          <w:lang w:val="zh-CN"/>
        </w:rPr>
        <w:t>合同使用的文字和适用的法律</w:t>
      </w:r>
      <w:bookmarkEnd w:id="769"/>
      <w:bookmarkEnd w:id="770"/>
      <w:bookmarkEnd w:id="771"/>
      <w:bookmarkEnd w:id="772"/>
      <w:bookmarkEnd w:id="773"/>
      <w:bookmarkEnd w:id="774"/>
      <w:bookmarkEnd w:id="775"/>
      <w:bookmarkEnd w:id="776"/>
      <w:bookmarkEnd w:id="777"/>
    </w:p>
    <w:p w14:paraId="584303E2">
      <w:pPr>
        <w:ind w:firstLine="435"/>
        <w:rPr>
          <w:rFonts w:hint="eastAsia" w:cs="宋体"/>
          <w:szCs w:val="24"/>
        </w:rPr>
      </w:pPr>
      <w:r>
        <w:rPr>
          <w:rFonts w:hint="eastAsia" w:cs="宋体"/>
          <w:szCs w:val="24"/>
        </w:rPr>
        <w:t>2.16.1合同使用汉语书就、变更和解释；</w:t>
      </w:r>
    </w:p>
    <w:p w14:paraId="6120D4C0">
      <w:pPr>
        <w:ind w:firstLine="435"/>
        <w:rPr>
          <w:rFonts w:hint="eastAsia" w:cs="宋体"/>
          <w:szCs w:val="24"/>
        </w:rPr>
      </w:pPr>
      <w:r>
        <w:rPr>
          <w:rFonts w:hint="eastAsia" w:cs="宋体"/>
          <w:szCs w:val="24"/>
        </w:rPr>
        <w:t>2.16.2合同适用中华人民共和国法律。</w:t>
      </w:r>
    </w:p>
    <w:p w14:paraId="6DD35A5C">
      <w:pPr>
        <w:ind w:firstLine="437"/>
        <w:outlineLvl w:val="2"/>
        <w:rPr>
          <w:rFonts w:hint="eastAsia" w:cs="宋体"/>
          <w:b/>
          <w:szCs w:val="24"/>
        </w:rPr>
      </w:pPr>
      <w:bookmarkStart w:id="778" w:name="_Toc12004"/>
      <w:bookmarkStart w:id="779" w:name="_Toc10101"/>
      <w:bookmarkStart w:id="780" w:name="_Toc16673"/>
      <w:bookmarkStart w:id="781" w:name="_Toc28602"/>
      <w:bookmarkStart w:id="782" w:name="_Toc279701264"/>
      <w:bookmarkStart w:id="783" w:name="_Toc3148"/>
      <w:bookmarkStart w:id="784" w:name="_Toc259093693"/>
      <w:bookmarkStart w:id="785" w:name="_Toc27410"/>
      <w:bookmarkStart w:id="786" w:name="_Toc487900374"/>
      <w:r>
        <w:rPr>
          <w:rFonts w:hint="eastAsia" w:cs="宋体"/>
          <w:b/>
          <w:bCs/>
          <w:szCs w:val="24"/>
          <w:lang w:val="zh-CN"/>
        </w:rPr>
        <w:t>2.17 履约保证金</w:t>
      </w:r>
      <w:bookmarkEnd w:id="778"/>
      <w:bookmarkEnd w:id="779"/>
      <w:bookmarkEnd w:id="780"/>
      <w:bookmarkEnd w:id="781"/>
      <w:bookmarkEnd w:id="782"/>
      <w:bookmarkEnd w:id="783"/>
      <w:bookmarkEnd w:id="784"/>
      <w:bookmarkEnd w:id="785"/>
    </w:p>
    <w:p w14:paraId="1C42A5BF">
      <w:pPr>
        <w:ind w:firstLine="435"/>
        <w:rPr>
          <w:rFonts w:hint="eastAsia" w:cs="宋体"/>
          <w:szCs w:val="24"/>
        </w:rPr>
      </w:pPr>
      <w:r>
        <w:rPr>
          <w:rFonts w:hint="eastAsia" w:cs="宋体"/>
          <w:szCs w:val="24"/>
        </w:rPr>
        <w:t>2.17.1采购文件要求乙方提交履约保证金的，乙方应按</w:t>
      </w:r>
      <w:r>
        <w:rPr>
          <w:rFonts w:hint="eastAsia" w:cs="宋体"/>
          <w:b/>
          <w:szCs w:val="24"/>
          <w:u w:val="single"/>
        </w:rPr>
        <w:t>合同专用条款</w:t>
      </w:r>
      <w:r>
        <w:rPr>
          <w:rFonts w:hint="eastAsia" w:cs="宋体"/>
          <w:szCs w:val="24"/>
        </w:rPr>
        <w:t>约定的方式，以支票、汇票、本票或者金融机构、担保机构出具的保函等非现金形式提交；</w:t>
      </w:r>
    </w:p>
    <w:p w14:paraId="4D9AC60E">
      <w:pPr>
        <w:ind w:firstLine="435"/>
        <w:rPr>
          <w:rFonts w:hint="eastAsia" w:cs="宋体"/>
          <w:szCs w:val="24"/>
        </w:rPr>
      </w:pPr>
      <w:r>
        <w:rPr>
          <w:rFonts w:hint="eastAsia" w:cs="宋体"/>
          <w:szCs w:val="24"/>
        </w:rPr>
        <w:t>2.17.2履约保证金在</w:t>
      </w:r>
      <w:r>
        <w:rPr>
          <w:rFonts w:hint="eastAsia" w:cs="宋体"/>
          <w:b/>
          <w:szCs w:val="24"/>
          <w:u w:val="single"/>
        </w:rPr>
        <w:t>合同专用条款</w:t>
      </w:r>
      <w:r>
        <w:rPr>
          <w:rFonts w:hint="eastAsia" w:cs="宋体"/>
          <w:szCs w:val="24"/>
        </w:rPr>
        <w:t>约定期间内不予退还或者应完全有效，前述约定期间届满之日起</w:t>
      </w:r>
      <w:r>
        <w:rPr>
          <w:rFonts w:hint="eastAsia" w:cs="宋体"/>
          <w:szCs w:val="24"/>
          <w:u w:val="single"/>
        </w:rPr>
        <w:t xml:space="preserve">   </w:t>
      </w:r>
      <w:r>
        <w:rPr>
          <w:rFonts w:hint="eastAsia" w:cs="宋体"/>
          <w:szCs w:val="24"/>
        </w:rPr>
        <w:t>个工作日内，甲方应将履约保证金退还乙方，甲方逾期退还履约保证金应承担违约责任。</w:t>
      </w:r>
    </w:p>
    <w:p w14:paraId="5DC1A76F">
      <w:pPr>
        <w:ind w:firstLine="435"/>
        <w:rPr>
          <w:rFonts w:hint="eastAsia" w:cs="宋体"/>
          <w:szCs w:val="24"/>
        </w:rPr>
      </w:pPr>
      <w:r>
        <w:rPr>
          <w:rFonts w:hint="eastAsia" w:cs="宋体"/>
          <w:szCs w:val="24"/>
        </w:rPr>
        <w:t>2.17.3如果乙方不履行合同，履约保证金不予退还；如果乙方未能按合同约定全面履行义务，那么甲方有权从履约保证金中取得补偿或赔偿，同时不影响甲方要求乙方承担合同约定的超过履约保证金的违约责任的权利。</w:t>
      </w:r>
    </w:p>
    <w:bookmarkEnd w:id="786"/>
    <w:p w14:paraId="1186696B">
      <w:pPr>
        <w:ind w:firstLine="437"/>
        <w:outlineLvl w:val="2"/>
        <w:rPr>
          <w:rFonts w:hint="eastAsia" w:cs="宋体"/>
          <w:b/>
          <w:szCs w:val="24"/>
        </w:rPr>
      </w:pPr>
      <w:bookmarkStart w:id="787" w:name="_Toc5781"/>
      <w:bookmarkStart w:id="788" w:name="_Toc21191"/>
      <w:bookmarkStart w:id="789" w:name="_Toc21044"/>
      <w:bookmarkStart w:id="790" w:name="_Toc6885"/>
      <w:bookmarkStart w:id="791" w:name="_Toc14001"/>
      <w:bookmarkStart w:id="792" w:name="_Toc19890"/>
      <w:r>
        <w:rPr>
          <w:rFonts w:hint="eastAsia" w:cs="宋体"/>
          <w:b/>
          <w:bCs/>
          <w:szCs w:val="24"/>
          <w:lang w:val="zh-CN"/>
        </w:rPr>
        <w:t>2.18 合同份数</w:t>
      </w:r>
      <w:bookmarkEnd w:id="787"/>
      <w:bookmarkEnd w:id="788"/>
      <w:bookmarkEnd w:id="789"/>
      <w:bookmarkEnd w:id="790"/>
      <w:bookmarkEnd w:id="791"/>
      <w:bookmarkEnd w:id="792"/>
    </w:p>
    <w:p w14:paraId="1E34590B">
      <w:pPr>
        <w:ind w:firstLine="435"/>
        <w:rPr>
          <w:rFonts w:hint="eastAsia" w:cs="宋体"/>
          <w:szCs w:val="24"/>
        </w:rPr>
      </w:pPr>
      <w:r>
        <w:rPr>
          <w:rFonts w:hint="eastAsia" w:cs="宋体"/>
          <w:szCs w:val="24"/>
        </w:rPr>
        <w:t>合同份数按</w:t>
      </w:r>
      <w:r>
        <w:rPr>
          <w:rFonts w:hint="eastAsia" w:cs="宋体"/>
          <w:b/>
          <w:szCs w:val="24"/>
          <w:u w:val="single"/>
        </w:rPr>
        <w:t>合同专用条款</w:t>
      </w:r>
      <w:r>
        <w:rPr>
          <w:rFonts w:hint="eastAsia" w:cs="宋体"/>
          <w:szCs w:val="24"/>
        </w:rPr>
        <w:t>规定，每份均具有同等法律效力。</w:t>
      </w:r>
    </w:p>
    <w:p w14:paraId="53F3690C">
      <w:pPr>
        <w:jc w:val="center"/>
        <w:outlineLvl w:val="1"/>
        <w:rPr>
          <w:rFonts w:hint="eastAsia" w:cs="宋体"/>
          <w:b/>
          <w:sz w:val="36"/>
          <w:szCs w:val="36"/>
        </w:rPr>
      </w:pPr>
      <w:r>
        <w:rPr>
          <w:rFonts w:hint="eastAsia" w:cs="宋体"/>
          <w:szCs w:val="24"/>
        </w:rPr>
        <w:br w:type="page"/>
      </w:r>
      <w:bookmarkStart w:id="793" w:name="_Toc3736"/>
      <w:bookmarkStart w:id="794" w:name="_Toc2872"/>
      <w:bookmarkStart w:id="795" w:name="_Toc10396"/>
      <w:bookmarkStart w:id="796" w:name="_Toc28332"/>
      <w:r>
        <w:rPr>
          <w:rFonts w:hint="eastAsia" w:cs="宋体"/>
          <w:b/>
          <w:sz w:val="36"/>
          <w:szCs w:val="36"/>
        </w:rPr>
        <w:t>第三部分 合同专用条款</w:t>
      </w:r>
      <w:bookmarkEnd w:id="793"/>
      <w:bookmarkEnd w:id="794"/>
      <w:bookmarkEnd w:id="795"/>
      <w:bookmarkEnd w:id="796"/>
    </w:p>
    <w:p w14:paraId="3D7C59F3">
      <w:pPr>
        <w:ind w:firstLine="435"/>
        <w:rPr>
          <w:rFonts w:hint="eastAsia" w:cs="宋体"/>
          <w:szCs w:val="24"/>
        </w:rPr>
      </w:pPr>
      <w:r>
        <w:rPr>
          <w:rFonts w:hint="eastAsia" w:cs="宋体"/>
          <w:szCs w:val="24"/>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19"/>
        <w:tblW w:w="8362"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794"/>
        <w:gridCol w:w="7568"/>
      </w:tblGrid>
      <w:tr w14:paraId="024E01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jc w:val="center"/>
        </w:trPr>
        <w:tc>
          <w:tcPr>
            <w:tcW w:w="794" w:type="dxa"/>
            <w:tcBorders>
              <w:left w:val="single" w:color="auto" w:sz="4" w:space="0"/>
            </w:tcBorders>
            <w:vAlign w:val="center"/>
          </w:tcPr>
          <w:p w14:paraId="30CAE034">
            <w:pPr>
              <w:jc w:val="center"/>
              <w:rPr>
                <w:rFonts w:hint="eastAsia" w:cs="宋体"/>
                <w:b/>
                <w:szCs w:val="24"/>
              </w:rPr>
            </w:pPr>
            <w:r>
              <w:rPr>
                <w:rFonts w:hint="eastAsia" w:cs="宋体"/>
                <w:b/>
                <w:szCs w:val="24"/>
              </w:rPr>
              <w:t>条款号</w:t>
            </w:r>
          </w:p>
        </w:tc>
        <w:tc>
          <w:tcPr>
            <w:tcW w:w="7568" w:type="dxa"/>
            <w:vAlign w:val="center"/>
          </w:tcPr>
          <w:p w14:paraId="5E297E2A">
            <w:pPr>
              <w:jc w:val="center"/>
              <w:rPr>
                <w:rFonts w:hint="eastAsia" w:cs="宋体"/>
                <w:b/>
                <w:szCs w:val="24"/>
              </w:rPr>
            </w:pPr>
            <w:r>
              <w:rPr>
                <w:rFonts w:hint="eastAsia" w:cs="宋体"/>
                <w:b/>
                <w:szCs w:val="24"/>
              </w:rPr>
              <w:t>约定内容</w:t>
            </w:r>
          </w:p>
        </w:tc>
      </w:tr>
      <w:tr w14:paraId="47A1DC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jc w:val="center"/>
        </w:trPr>
        <w:tc>
          <w:tcPr>
            <w:tcW w:w="794" w:type="dxa"/>
            <w:tcBorders>
              <w:left w:val="single" w:color="auto" w:sz="4" w:space="0"/>
            </w:tcBorders>
            <w:vAlign w:val="center"/>
          </w:tcPr>
          <w:p w14:paraId="3B4B21CE">
            <w:pPr>
              <w:spacing w:line="560" w:lineRule="exact"/>
              <w:rPr>
                <w:rFonts w:hint="eastAsia" w:cs="宋体"/>
                <w:szCs w:val="24"/>
              </w:rPr>
            </w:pPr>
          </w:p>
        </w:tc>
        <w:tc>
          <w:tcPr>
            <w:tcW w:w="7568" w:type="dxa"/>
            <w:vAlign w:val="center"/>
          </w:tcPr>
          <w:p w14:paraId="40655C46">
            <w:pPr>
              <w:spacing w:line="560" w:lineRule="exact"/>
              <w:rPr>
                <w:rFonts w:hint="eastAsia" w:cs="宋体"/>
                <w:szCs w:val="24"/>
              </w:rPr>
            </w:pPr>
          </w:p>
        </w:tc>
      </w:tr>
      <w:tr w14:paraId="0B040D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vAlign w:val="center"/>
          </w:tcPr>
          <w:p w14:paraId="0F3CD612">
            <w:pPr>
              <w:spacing w:line="560" w:lineRule="exact"/>
              <w:rPr>
                <w:rFonts w:hint="eastAsia" w:cs="宋体"/>
                <w:szCs w:val="24"/>
              </w:rPr>
            </w:pPr>
          </w:p>
        </w:tc>
        <w:tc>
          <w:tcPr>
            <w:tcW w:w="7568" w:type="dxa"/>
            <w:vAlign w:val="center"/>
          </w:tcPr>
          <w:p w14:paraId="32E7ECB0">
            <w:pPr>
              <w:spacing w:line="560" w:lineRule="exact"/>
              <w:rPr>
                <w:rFonts w:hint="eastAsia" w:cs="宋体"/>
                <w:szCs w:val="24"/>
              </w:rPr>
            </w:pPr>
          </w:p>
        </w:tc>
      </w:tr>
      <w:tr w14:paraId="1FC913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vAlign w:val="center"/>
          </w:tcPr>
          <w:p w14:paraId="79AF35CA">
            <w:pPr>
              <w:spacing w:line="560" w:lineRule="exact"/>
              <w:rPr>
                <w:rFonts w:hint="eastAsia" w:cs="宋体"/>
                <w:szCs w:val="24"/>
              </w:rPr>
            </w:pPr>
          </w:p>
        </w:tc>
        <w:tc>
          <w:tcPr>
            <w:tcW w:w="7568" w:type="dxa"/>
            <w:vAlign w:val="center"/>
          </w:tcPr>
          <w:p w14:paraId="611385EA">
            <w:pPr>
              <w:spacing w:line="560" w:lineRule="exact"/>
              <w:rPr>
                <w:rFonts w:hint="eastAsia" w:cs="宋体"/>
                <w:szCs w:val="24"/>
              </w:rPr>
            </w:pPr>
          </w:p>
        </w:tc>
      </w:tr>
      <w:tr w14:paraId="4AA115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vAlign w:val="center"/>
          </w:tcPr>
          <w:p w14:paraId="08C18170">
            <w:pPr>
              <w:spacing w:line="560" w:lineRule="exact"/>
              <w:rPr>
                <w:rFonts w:hint="eastAsia" w:cs="宋体"/>
                <w:szCs w:val="24"/>
              </w:rPr>
            </w:pPr>
          </w:p>
        </w:tc>
        <w:tc>
          <w:tcPr>
            <w:tcW w:w="7568" w:type="dxa"/>
            <w:vAlign w:val="center"/>
          </w:tcPr>
          <w:p w14:paraId="728B2346">
            <w:pPr>
              <w:spacing w:line="560" w:lineRule="exact"/>
              <w:rPr>
                <w:rFonts w:hint="eastAsia" w:cs="宋体"/>
                <w:szCs w:val="24"/>
              </w:rPr>
            </w:pPr>
          </w:p>
        </w:tc>
      </w:tr>
      <w:tr w14:paraId="2F6F83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64A51C9F">
            <w:pPr>
              <w:spacing w:line="560" w:lineRule="exact"/>
              <w:rPr>
                <w:rFonts w:hint="eastAsia" w:cs="宋体"/>
                <w:szCs w:val="24"/>
              </w:rPr>
            </w:pPr>
          </w:p>
        </w:tc>
        <w:tc>
          <w:tcPr>
            <w:tcW w:w="7568" w:type="dxa"/>
            <w:vAlign w:val="center"/>
          </w:tcPr>
          <w:p w14:paraId="41CA5680">
            <w:pPr>
              <w:spacing w:line="560" w:lineRule="exact"/>
              <w:rPr>
                <w:rFonts w:hint="eastAsia" w:cs="宋体"/>
                <w:szCs w:val="24"/>
                <w:u w:val="single"/>
              </w:rPr>
            </w:pPr>
          </w:p>
        </w:tc>
      </w:tr>
      <w:tr w14:paraId="3E013D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09316856">
            <w:pPr>
              <w:spacing w:line="560" w:lineRule="exact"/>
              <w:rPr>
                <w:rFonts w:hint="eastAsia" w:cs="宋体"/>
                <w:szCs w:val="24"/>
              </w:rPr>
            </w:pPr>
          </w:p>
        </w:tc>
        <w:tc>
          <w:tcPr>
            <w:tcW w:w="7568" w:type="dxa"/>
            <w:vAlign w:val="center"/>
          </w:tcPr>
          <w:p w14:paraId="5CD2BDDA">
            <w:pPr>
              <w:spacing w:line="560" w:lineRule="exact"/>
              <w:rPr>
                <w:rFonts w:hint="eastAsia" w:cs="宋体"/>
                <w:szCs w:val="24"/>
              </w:rPr>
            </w:pPr>
          </w:p>
        </w:tc>
      </w:tr>
      <w:tr w14:paraId="3FED07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vAlign w:val="center"/>
          </w:tcPr>
          <w:p w14:paraId="345B688D">
            <w:pPr>
              <w:spacing w:line="560" w:lineRule="exact"/>
              <w:rPr>
                <w:rFonts w:hint="eastAsia" w:cs="宋体"/>
                <w:szCs w:val="24"/>
              </w:rPr>
            </w:pPr>
          </w:p>
        </w:tc>
        <w:tc>
          <w:tcPr>
            <w:tcW w:w="7568" w:type="dxa"/>
            <w:vAlign w:val="center"/>
          </w:tcPr>
          <w:p w14:paraId="7E92421C">
            <w:pPr>
              <w:spacing w:line="560" w:lineRule="exact"/>
              <w:rPr>
                <w:rFonts w:hint="eastAsia" w:cs="宋体"/>
                <w:szCs w:val="24"/>
                <w:u w:val="single"/>
              </w:rPr>
            </w:pPr>
          </w:p>
        </w:tc>
      </w:tr>
      <w:tr w14:paraId="7AA8F8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43B5D46E">
            <w:pPr>
              <w:spacing w:line="560" w:lineRule="exact"/>
              <w:rPr>
                <w:rFonts w:hint="eastAsia" w:cs="宋体"/>
                <w:szCs w:val="24"/>
              </w:rPr>
            </w:pPr>
          </w:p>
        </w:tc>
        <w:tc>
          <w:tcPr>
            <w:tcW w:w="7568" w:type="dxa"/>
            <w:vAlign w:val="center"/>
          </w:tcPr>
          <w:p w14:paraId="4A52371D">
            <w:pPr>
              <w:spacing w:line="560" w:lineRule="exact"/>
              <w:rPr>
                <w:rFonts w:hint="eastAsia" w:cs="宋体"/>
                <w:szCs w:val="24"/>
              </w:rPr>
            </w:pPr>
          </w:p>
        </w:tc>
      </w:tr>
      <w:tr w14:paraId="220B96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6CD534FB">
            <w:pPr>
              <w:spacing w:line="560" w:lineRule="exact"/>
              <w:rPr>
                <w:rFonts w:hint="eastAsia" w:cs="宋体"/>
                <w:szCs w:val="24"/>
              </w:rPr>
            </w:pPr>
          </w:p>
        </w:tc>
        <w:tc>
          <w:tcPr>
            <w:tcW w:w="7568" w:type="dxa"/>
            <w:vAlign w:val="center"/>
          </w:tcPr>
          <w:p w14:paraId="6035952A">
            <w:pPr>
              <w:spacing w:line="560" w:lineRule="exact"/>
              <w:rPr>
                <w:rFonts w:hint="eastAsia" w:cs="宋体"/>
                <w:szCs w:val="24"/>
              </w:rPr>
            </w:pPr>
          </w:p>
        </w:tc>
      </w:tr>
      <w:tr w14:paraId="00AFCF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45C13F9E">
            <w:pPr>
              <w:spacing w:line="560" w:lineRule="exact"/>
              <w:rPr>
                <w:rFonts w:hint="eastAsia" w:cs="宋体"/>
                <w:szCs w:val="24"/>
              </w:rPr>
            </w:pPr>
          </w:p>
        </w:tc>
        <w:tc>
          <w:tcPr>
            <w:tcW w:w="7568" w:type="dxa"/>
            <w:vAlign w:val="center"/>
          </w:tcPr>
          <w:p w14:paraId="3AE9AB17">
            <w:pPr>
              <w:spacing w:line="560" w:lineRule="exact"/>
              <w:rPr>
                <w:rFonts w:hint="eastAsia" w:cs="宋体"/>
                <w:szCs w:val="24"/>
              </w:rPr>
            </w:pPr>
          </w:p>
        </w:tc>
      </w:tr>
      <w:tr w14:paraId="3EE9C8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top w:val="single" w:color="auto" w:sz="6" w:space="0"/>
              <w:left w:val="single" w:color="auto" w:sz="4" w:space="0"/>
              <w:bottom w:val="single" w:color="auto" w:sz="6" w:space="0"/>
              <w:right w:val="single" w:color="auto" w:sz="6" w:space="0"/>
            </w:tcBorders>
            <w:vAlign w:val="center"/>
          </w:tcPr>
          <w:p w14:paraId="62A2E4F5">
            <w:pPr>
              <w:spacing w:line="560" w:lineRule="exact"/>
              <w:rPr>
                <w:rFonts w:hint="eastAsia" w:cs="宋体"/>
                <w:szCs w:val="24"/>
              </w:rPr>
            </w:pPr>
          </w:p>
        </w:tc>
        <w:tc>
          <w:tcPr>
            <w:tcW w:w="7568" w:type="dxa"/>
            <w:tcBorders>
              <w:top w:val="single" w:color="auto" w:sz="6" w:space="0"/>
              <w:left w:val="single" w:color="auto" w:sz="6" w:space="0"/>
              <w:bottom w:val="single" w:color="auto" w:sz="6" w:space="0"/>
              <w:right w:val="single" w:color="auto" w:sz="6" w:space="0"/>
            </w:tcBorders>
            <w:vAlign w:val="center"/>
          </w:tcPr>
          <w:p w14:paraId="0966F80C">
            <w:pPr>
              <w:spacing w:line="560" w:lineRule="exact"/>
              <w:rPr>
                <w:rFonts w:hint="eastAsia" w:cs="宋体"/>
                <w:szCs w:val="24"/>
              </w:rPr>
            </w:pPr>
          </w:p>
        </w:tc>
      </w:tr>
      <w:tr w14:paraId="504B17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top w:val="single" w:color="auto" w:sz="6" w:space="0"/>
              <w:left w:val="single" w:color="auto" w:sz="4" w:space="0"/>
              <w:bottom w:val="single" w:color="auto" w:sz="6" w:space="0"/>
              <w:right w:val="single" w:color="auto" w:sz="6" w:space="0"/>
            </w:tcBorders>
            <w:vAlign w:val="center"/>
          </w:tcPr>
          <w:p w14:paraId="0E06642C">
            <w:pPr>
              <w:spacing w:line="560" w:lineRule="exact"/>
              <w:rPr>
                <w:rFonts w:hint="eastAsia" w:cs="宋体"/>
                <w:szCs w:val="24"/>
              </w:rPr>
            </w:pPr>
          </w:p>
        </w:tc>
        <w:tc>
          <w:tcPr>
            <w:tcW w:w="7568" w:type="dxa"/>
            <w:tcBorders>
              <w:top w:val="single" w:color="auto" w:sz="6" w:space="0"/>
              <w:left w:val="single" w:color="auto" w:sz="6" w:space="0"/>
              <w:bottom w:val="single" w:color="auto" w:sz="6" w:space="0"/>
              <w:right w:val="single" w:color="auto" w:sz="6" w:space="0"/>
            </w:tcBorders>
            <w:vAlign w:val="center"/>
          </w:tcPr>
          <w:p w14:paraId="48D2113A">
            <w:pPr>
              <w:spacing w:line="560" w:lineRule="exact"/>
              <w:rPr>
                <w:rFonts w:hint="eastAsia" w:cs="宋体"/>
                <w:szCs w:val="24"/>
              </w:rPr>
            </w:pPr>
          </w:p>
        </w:tc>
      </w:tr>
    </w:tbl>
    <w:p w14:paraId="1FAB85DE">
      <w:pPr>
        <w:rPr>
          <w:rFonts w:hint="eastAsia" w:cs="宋体"/>
        </w:rPr>
      </w:pPr>
    </w:p>
    <w:bookmarkEnd w:id="562"/>
    <w:p w14:paraId="12E53718">
      <w:pPr>
        <w:ind w:left="550" w:firstLine="420" w:firstLineChars="175"/>
        <w:rPr>
          <w:rFonts w:hint="eastAsia" w:cs="宋体"/>
        </w:rPr>
      </w:pPr>
    </w:p>
    <w:p w14:paraId="477207CB">
      <w:pPr>
        <w:rPr>
          <w:rFonts w:hint="eastAsia" w:cs="宋体"/>
        </w:rPr>
        <w:sectPr>
          <w:headerReference r:id="rId7" w:type="default"/>
          <w:footerReference r:id="rId8" w:type="default"/>
          <w:pgSz w:w="11906" w:h="16838"/>
          <w:pgMar w:top="1440" w:right="1800" w:bottom="1440" w:left="1800" w:header="851" w:footer="992" w:gutter="0"/>
          <w:pgNumType w:fmt="numberInDash"/>
          <w:cols w:space="425" w:num="1"/>
          <w:docGrid w:type="lines" w:linePitch="312" w:charSpace="0"/>
        </w:sectPr>
      </w:pPr>
    </w:p>
    <w:p w14:paraId="6EA0DF60">
      <w:pPr>
        <w:pStyle w:val="6"/>
        <w:ind w:left="420" w:hanging="420"/>
        <w:rPr>
          <w:rFonts w:hint="eastAsia" w:eastAsia="宋体" w:cs="宋体"/>
          <w:lang w:val="zh-CN"/>
        </w:rPr>
      </w:pPr>
      <w:bookmarkStart w:id="797" w:name="_Toc11712"/>
      <w:r>
        <w:rPr>
          <w:rFonts w:hint="eastAsia" w:eastAsia="宋体" w:cs="宋体"/>
          <w:sz w:val="36"/>
          <w:szCs w:val="36"/>
        </w:rPr>
        <w:t>第六章 响应文件的格式</w:t>
      </w:r>
      <w:bookmarkEnd w:id="797"/>
    </w:p>
    <w:p w14:paraId="3D40132F">
      <w:pPr>
        <w:ind w:firstLine="480" w:firstLineChars="200"/>
        <w:rPr>
          <w:rFonts w:hint="eastAsia" w:cs="宋体"/>
          <w:szCs w:val="24"/>
          <w:lang w:val="zh-CN"/>
        </w:rPr>
      </w:pPr>
    </w:p>
    <w:p w14:paraId="6DC90E3C">
      <w:pPr>
        <w:ind w:firstLine="480" w:firstLineChars="200"/>
        <w:rPr>
          <w:rFonts w:hint="eastAsia" w:cs="宋体"/>
          <w:szCs w:val="24"/>
          <w:lang w:val="zh-CN"/>
        </w:rPr>
      </w:pPr>
      <w:r>
        <w:rPr>
          <w:rFonts w:hint="eastAsia" w:cs="宋体"/>
          <w:szCs w:val="24"/>
          <w:lang w:val="zh-CN"/>
        </w:rPr>
        <w:t>封面：</w:t>
      </w:r>
    </w:p>
    <w:p w14:paraId="202803F7">
      <w:pPr>
        <w:autoSpaceDE w:val="0"/>
        <w:autoSpaceDN w:val="0"/>
        <w:adjustRightInd w:val="0"/>
        <w:rPr>
          <w:rFonts w:hint="eastAsia" w:cs="宋体"/>
          <w:sz w:val="21"/>
          <w:szCs w:val="24"/>
        </w:rPr>
      </w:pPr>
    </w:p>
    <w:p w14:paraId="73B11C8A">
      <w:pPr>
        <w:autoSpaceDE w:val="0"/>
        <w:autoSpaceDN w:val="0"/>
        <w:adjustRightInd w:val="0"/>
        <w:rPr>
          <w:rFonts w:hint="eastAsia" w:cs="宋体"/>
          <w:sz w:val="21"/>
          <w:szCs w:val="24"/>
        </w:rPr>
      </w:pPr>
    </w:p>
    <w:p w14:paraId="36DF3F4E">
      <w:pPr>
        <w:autoSpaceDE w:val="0"/>
        <w:autoSpaceDN w:val="0"/>
        <w:adjustRightInd w:val="0"/>
        <w:jc w:val="center"/>
        <w:rPr>
          <w:rFonts w:hint="eastAsia" w:cs="宋体"/>
          <w:sz w:val="21"/>
          <w:szCs w:val="24"/>
        </w:rPr>
      </w:pPr>
    </w:p>
    <w:p w14:paraId="336E03FA">
      <w:pPr>
        <w:pStyle w:val="7"/>
        <w:jc w:val="center"/>
        <w:rPr>
          <w:rFonts w:hint="eastAsia" w:ascii="宋体" w:hAnsi="宋体" w:cs="宋体"/>
          <w:sz w:val="84"/>
          <w:szCs w:val="84"/>
        </w:rPr>
      </w:pPr>
      <w:bookmarkStart w:id="798" w:name="_Toc8282"/>
      <w:r>
        <w:rPr>
          <w:rFonts w:hint="eastAsia" w:ascii="宋体" w:hAnsi="宋体" w:cs="宋体"/>
          <w:sz w:val="84"/>
          <w:szCs w:val="84"/>
        </w:rPr>
        <w:t>响 应 文 件</w:t>
      </w:r>
      <w:bookmarkEnd w:id="798"/>
    </w:p>
    <w:p w14:paraId="11B2218D">
      <w:pPr>
        <w:autoSpaceDE w:val="0"/>
        <w:autoSpaceDN w:val="0"/>
        <w:adjustRightInd w:val="0"/>
        <w:rPr>
          <w:rFonts w:hint="eastAsia" w:cs="宋体"/>
          <w:b/>
          <w:bCs/>
          <w:sz w:val="22"/>
        </w:rPr>
      </w:pPr>
    </w:p>
    <w:p w14:paraId="545CC483">
      <w:pPr>
        <w:pStyle w:val="24"/>
        <w:rPr>
          <w:rFonts w:hint="eastAsia" w:ascii="宋体" w:hAnsi="宋体" w:eastAsia="宋体" w:cs="宋体"/>
          <w:b/>
          <w:bCs/>
          <w:color w:val="auto"/>
          <w:sz w:val="22"/>
        </w:rPr>
      </w:pPr>
    </w:p>
    <w:p w14:paraId="112CE9E4">
      <w:pPr>
        <w:pStyle w:val="24"/>
        <w:rPr>
          <w:rFonts w:hint="eastAsia" w:ascii="宋体" w:hAnsi="宋体" w:eastAsia="宋体" w:cs="宋体"/>
          <w:b/>
          <w:bCs/>
          <w:color w:val="auto"/>
          <w:sz w:val="22"/>
        </w:rPr>
      </w:pPr>
    </w:p>
    <w:p w14:paraId="7EDE7CD9">
      <w:pPr>
        <w:autoSpaceDE w:val="0"/>
        <w:autoSpaceDN w:val="0"/>
        <w:adjustRightInd w:val="0"/>
        <w:rPr>
          <w:rFonts w:hint="eastAsia" w:cs="宋体"/>
          <w:sz w:val="21"/>
          <w:szCs w:val="21"/>
        </w:rPr>
      </w:pPr>
    </w:p>
    <w:p w14:paraId="30EB22E6">
      <w:pPr>
        <w:autoSpaceDE w:val="0"/>
        <w:autoSpaceDN w:val="0"/>
        <w:adjustRightInd w:val="0"/>
        <w:rPr>
          <w:rFonts w:hint="eastAsia" w:cs="宋体"/>
          <w:sz w:val="21"/>
          <w:szCs w:val="21"/>
        </w:rPr>
      </w:pPr>
    </w:p>
    <w:p w14:paraId="0D158554">
      <w:pPr>
        <w:autoSpaceDE w:val="0"/>
        <w:autoSpaceDN w:val="0"/>
        <w:adjustRightInd w:val="0"/>
        <w:rPr>
          <w:rFonts w:hint="eastAsia" w:cs="宋体"/>
          <w:sz w:val="21"/>
          <w:szCs w:val="21"/>
        </w:rPr>
      </w:pPr>
    </w:p>
    <w:p w14:paraId="01B855BF">
      <w:pPr>
        <w:ind w:left="420" w:leftChars="175"/>
        <w:rPr>
          <w:rFonts w:hint="eastAsia" w:cs="宋体"/>
          <w:sz w:val="36"/>
          <w:szCs w:val="36"/>
        </w:rPr>
      </w:pPr>
      <w:r>
        <w:rPr>
          <w:rFonts w:hint="eastAsia" w:cs="宋体"/>
          <w:sz w:val="36"/>
          <w:szCs w:val="36"/>
        </w:rPr>
        <w:t>项目编号：</w:t>
      </w:r>
      <w:r>
        <w:rPr>
          <w:rFonts w:hint="eastAsia" w:cs="宋体"/>
          <w:sz w:val="36"/>
          <w:szCs w:val="36"/>
          <w:u w:val="single"/>
        </w:rPr>
        <w:t xml:space="preserve">                           </w:t>
      </w:r>
    </w:p>
    <w:p w14:paraId="7E0530D8">
      <w:pPr>
        <w:ind w:left="420" w:leftChars="175"/>
        <w:rPr>
          <w:rFonts w:hint="eastAsia" w:cs="宋体"/>
          <w:sz w:val="36"/>
          <w:szCs w:val="36"/>
        </w:rPr>
      </w:pPr>
      <w:r>
        <w:rPr>
          <w:rFonts w:hint="eastAsia" w:cs="宋体"/>
          <w:sz w:val="36"/>
          <w:szCs w:val="36"/>
        </w:rPr>
        <w:t>项目名称：</w:t>
      </w:r>
      <w:r>
        <w:rPr>
          <w:rFonts w:hint="eastAsia" w:cs="宋体"/>
          <w:sz w:val="36"/>
          <w:szCs w:val="36"/>
          <w:u w:val="single"/>
        </w:rPr>
        <w:t xml:space="preserve">                                </w:t>
      </w:r>
    </w:p>
    <w:p w14:paraId="4281C2EA">
      <w:pPr>
        <w:ind w:left="420" w:leftChars="175"/>
        <w:rPr>
          <w:rFonts w:hint="eastAsia" w:cs="宋体"/>
          <w:sz w:val="36"/>
          <w:szCs w:val="36"/>
        </w:rPr>
      </w:pPr>
      <w:r>
        <w:rPr>
          <w:rFonts w:hint="eastAsia" w:cs="宋体"/>
          <w:sz w:val="36"/>
          <w:szCs w:val="36"/>
        </w:rPr>
        <w:t>供 应 商：</w:t>
      </w:r>
      <w:r>
        <w:rPr>
          <w:rFonts w:hint="eastAsia" w:cs="宋体"/>
          <w:sz w:val="36"/>
          <w:szCs w:val="36"/>
          <w:u w:val="single"/>
        </w:rPr>
        <w:t xml:space="preserve">                                </w:t>
      </w:r>
    </w:p>
    <w:p w14:paraId="67DB2DE4">
      <w:pPr>
        <w:ind w:left="840" w:firstLine="420"/>
        <w:rPr>
          <w:rFonts w:hint="eastAsia" w:cs="宋体"/>
          <w:b/>
          <w:bCs/>
          <w:sz w:val="28"/>
          <w:szCs w:val="28"/>
        </w:rPr>
      </w:pPr>
    </w:p>
    <w:p w14:paraId="1D6D546F">
      <w:pPr>
        <w:ind w:left="840" w:firstLine="420"/>
        <w:rPr>
          <w:rFonts w:hint="eastAsia" w:cs="宋体"/>
          <w:b/>
          <w:bCs/>
          <w:sz w:val="28"/>
          <w:szCs w:val="28"/>
        </w:rPr>
      </w:pPr>
    </w:p>
    <w:p w14:paraId="167EF277">
      <w:pPr>
        <w:ind w:left="840" w:firstLine="420"/>
        <w:rPr>
          <w:rFonts w:hint="eastAsia" w:cs="宋体"/>
          <w:b/>
          <w:bCs/>
          <w:sz w:val="28"/>
          <w:szCs w:val="28"/>
        </w:rPr>
      </w:pPr>
    </w:p>
    <w:p w14:paraId="74C476B2">
      <w:pPr>
        <w:jc w:val="center"/>
        <w:rPr>
          <w:rFonts w:hint="eastAsia" w:cs="宋体"/>
          <w:sz w:val="32"/>
          <w:szCs w:val="32"/>
        </w:rPr>
      </w:pPr>
      <w:r>
        <w:rPr>
          <w:rFonts w:hint="eastAsia" w:cs="宋体"/>
          <w:sz w:val="32"/>
          <w:szCs w:val="32"/>
        </w:rPr>
        <w:t>年   月    日</w:t>
      </w:r>
    </w:p>
    <w:p w14:paraId="6DBE2CDA">
      <w:pPr>
        <w:jc w:val="center"/>
        <w:rPr>
          <w:rFonts w:hint="eastAsia" w:cs="宋体"/>
          <w:lang w:val="zh-CN"/>
        </w:rPr>
      </w:pPr>
      <w:r>
        <w:rPr>
          <w:rFonts w:hint="eastAsia" w:cs="宋体"/>
          <w:b/>
          <w:bCs/>
          <w:sz w:val="28"/>
          <w:szCs w:val="28"/>
        </w:rPr>
        <w:br w:type="page"/>
      </w:r>
      <w:bookmarkStart w:id="799" w:name="_Toc163492922"/>
      <w:bookmarkStart w:id="800" w:name="_Toc155185928"/>
      <w:bookmarkStart w:id="801" w:name="_Toc163493643"/>
    </w:p>
    <w:bookmarkEnd w:id="799"/>
    <w:bookmarkEnd w:id="800"/>
    <w:p w14:paraId="37FC8E72">
      <w:pPr>
        <w:pStyle w:val="7"/>
      </w:pPr>
      <w:bookmarkStart w:id="802" w:name="_Toc26478"/>
      <w:bookmarkStart w:id="803" w:name="_Toc155185927"/>
      <w:r>
        <w:rPr>
          <w:rFonts w:hint="eastAsia"/>
        </w:rPr>
        <w:t>一、资格审查文件</w:t>
      </w:r>
      <w:bookmarkEnd w:id="802"/>
    </w:p>
    <w:bookmarkEnd w:id="803"/>
    <w:p w14:paraId="0AD49976">
      <w:pPr>
        <w:pStyle w:val="8"/>
        <w:rPr>
          <w:rFonts w:hint="eastAsia"/>
        </w:rPr>
      </w:pPr>
      <w:bookmarkStart w:id="804" w:name="_Toc1724"/>
      <w:bookmarkStart w:id="805" w:name="_Toc28741"/>
      <w:r>
        <w:rPr>
          <w:rFonts w:hint="eastAsia"/>
        </w:rPr>
        <w:t>1、《中华人民共和国政府采购法》第二十二条应当具备的条件；</w:t>
      </w:r>
      <w:bookmarkEnd w:id="804"/>
      <w:bookmarkEnd w:id="805"/>
    </w:p>
    <w:p w14:paraId="14C1488D">
      <w:pPr>
        <w:pStyle w:val="61"/>
        <w:spacing w:line="360" w:lineRule="auto"/>
        <w:rPr>
          <w:rStyle w:val="56"/>
          <w:rFonts w:hint="eastAsia" w:ascii="宋体" w:hAnsi="宋体" w:eastAsia="宋体" w:cs="宋体"/>
          <w:b w:val="0"/>
          <w:kern w:val="0"/>
          <w:sz w:val="24"/>
          <w:szCs w:val="24"/>
        </w:rPr>
      </w:pPr>
      <w:r>
        <w:rPr>
          <w:rStyle w:val="56"/>
          <w:rFonts w:hint="eastAsia" w:ascii="宋体" w:hAnsi="宋体" w:eastAsia="宋体" w:cs="宋体"/>
          <w:b w:val="0"/>
          <w:kern w:val="0"/>
          <w:sz w:val="24"/>
          <w:szCs w:val="24"/>
        </w:rPr>
        <w:t>①具有独立承担民事责任的能力；</w:t>
      </w:r>
    </w:p>
    <w:p w14:paraId="574433E7">
      <w:pPr>
        <w:pStyle w:val="61"/>
        <w:spacing w:line="360" w:lineRule="auto"/>
        <w:rPr>
          <w:rStyle w:val="56"/>
          <w:rFonts w:hint="eastAsia" w:ascii="宋体" w:hAnsi="宋体" w:eastAsia="宋体" w:cs="宋体"/>
          <w:b w:val="0"/>
          <w:kern w:val="0"/>
          <w:sz w:val="24"/>
          <w:szCs w:val="24"/>
        </w:rPr>
      </w:pPr>
      <w:r>
        <w:rPr>
          <w:rStyle w:val="56"/>
          <w:rFonts w:hint="eastAsia" w:ascii="宋体" w:hAnsi="宋体" w:eastAsia="宋体" w:cs="宋体"/>
          <w:b w:val="0"/>
          <w:kern w:val="0"/>
          <w:sz w:val="24"/>
          <w:szCs w:val="24"/>
        </w:rPr>
        <w:t>②具有良好的商业信誉和健全的财务会计制度；</w:t>
      </w:r>
    </w:p>
    <w:p w14:paraId="0208A3CD">
      <w:pPr>
        <w:pStyle w:val="61"/>
        <w:spacing w:line="360" w:lineRule="auto"/>
        <w:rPr>
          <w:rStyle w:val="56"/>
          <w:rFonts w:hint="eastAsia" w:ascii="宋体" w:hAnsi="宋体" w:eastAsia="宋体" w:cs="宋体"/>
          <w:b w:val="0"/>
          <w:kern w:val="0"/>
          <w:sz w:val="24"/>
          <w:szCs w:val="24"/>
        </w:rPr>
      </w:pPr>
      <w:r>
        <w:rPr>
          <w:rStyle w:val="56"/>
          <w:rFonts w:hint="eastAsia" w:ascii="宋体" w:hAnsi="宋体" w:eastAsia="宋体" w:cs="宋体"/>
          <w:b w:val="0"/>
          <w:kern w:val="0"/>
          <w:sz w:val="24"/>
          <w:szCs w:val="24"/>
        </w:rPr>
        <w:t>③具有履行合同所必需的设备和专业技术能力；</w:t>
      </w:r>
    </w:p>
    <w:p w14:paraId="2E0E3EDD">
      <w:pPr>
        <w:pStyle w:val="61"/>
        <w:spacing w:line="360" w:lineRule="auto"/>
        <w:rPr>
          <w:rStyle w:val="56"/>
          <w:rFonts w:hint="eastAsia" w:ascii="宋体" w:hAnsi="宋体" w:eastAsia="宋体" w:cs="宋体"/>
          <w:b w:val="0"/>
          <w:kern w:val="0"/>
          <w:sz w:val="24"/>
          <w:szCs w:val="24"/>
        </w:rPr>
      </w:pPr>
      <w:r>
        <w:rPr>
          <w:rStyle w:val="56"/>
          <w:rFonts w:hint="eastAsia" w:ascii="宋体" w:hAnsi="宋体" w:eastAsia="宋体" w:cs="宋体"/>
          <w:b w:val="0"/>
          <w:kern w:val="0"/>
          <w:sz w:val="24"/>
          <w:szCs w:val="24"/>
        </w:rPr>
        <w:t>④有依法缴纳税收和社会保障资金的良好记录；</w:t>
      </w:r>
    </w:p>
    <w:p w14:paraId="7F94B585">
      <w:pPr>
        <w:pStyle w:val="61"/>
        <w:spacing w:line="360" w:lineRule="auto"/>
        <w:rPr>
          <w:rStyle w:val="56"/>
          <w:rFonts w:hint="eastAsia" w:ascii="宋体" w:hAnsi="宋体" w:eastAsia="宋体" w:cs="宋体"/>
          <w:b w:val="0"/>
          <w:kern w:val="0"/>
          <w:sz w:val="24"/>
          <w:szCs w:val="24"/>
        </w:rPr>
      </w:pPr>
      <w:r>
        <w:rPr>
          <w:rStyle w:val="56"/>
          <w:rFonts w:hint="eastAsia" w:ascii="宋体" w:hAnsi="宋体" w:eastAsia="宋体" w:cs="宋体"/>
          <w:b w:val="0"/>
          <w:kern w:val="0"/>
          <w:sz w:val="24"/>
          <w:szCs w:val="24"/>
        </w:rPr>
        <w:t>⑤参加政府采购活动前三年内，在经营活动中没有重大违法记录；</w:t>
      </w:r>
    </w:p>
    <w:p w14:paraId="39557359">
      <w:pPr>
        <w:pStyle w:val="61"/>
        <w:spacing w:line="360" w:lineRule="auto"/>
        <w:rPr>
          <w:rStyle w:val="56"/>
          <w:rFonts w:hint="eastAsia" w:ascii="宋体" w:hAnsi="宋体" w:eastAsia="宋体" w:cs="宋体"/>
          <w:b w:val="0"/>
          <w:kern w:val="0"/>
          <w:sz w:val="24"/>
          <w:szCs w:val="24"/>
        </w:rPr>
      </w:pPr>
      <w:r>
        <w:rPr>
          <w:rStyle w:val="56"/>
          <w:rFonts w:hint="eastAsia" w:ascii="宋体" w:hAnsi="宋体" w:eastAsia="宋体" w:cs="宋体"/>
          <w:b w:val="0"/>
          <w:kern w:val="0"/>
          <w:sz w:val="24"/>
          <w:szCs w:val="24"/>
        </w:rPr>
        <w:t>⑥</w:t>
      </w:r>
      <w:r>
        <w:rPr>
          <w:rStyle w:val="56"/>
          <w:rFonts w:hint="eastAsia" w:ascii="宋体" w:hAnsi="宋体" w:eastAsia="宋体" w:cs="宋体"/>
          <w:b w:val="0"/>
          <w:sz w:val="24"/>
          <w:szCs w:val="24"/>
        </w:rPr>
        <w:t>法律、行政法规规定的其他条件;</w:t>
      </w:r>
    </w:p>
    <w:p w14:paraId="53853F09">
      <w:pPr>
        <w:pStyle w:val="63"/>
        <w:rPr>
          <w:rStyle w:val="56"/>
          <w:rFonts w:hint="eastAsia" w:ascii="宋体" w:hAnsi="宋体" w:eastAsia="宋体" w:cs="宋体"/>
          <w:b/>
          <w:sz w:val="24"/>
          <w:szCs w:val="24"/>
        </w:rPr>
      </w:pPr>
      <w:r>
        <w:rPr>
          <w:rStyle w:val="56"/>
          <w:rFonts w:hint="eastAsia" w:ascii="宋体" w:hAnsi="宋体" w:eastAsia="宋体" w:cs="宋体"/>
          <w:b/>
          <w:sz w:val="24"/>
          <w:szCs w:val="24"/>
        </w:rPr>
        <w:t>须提供以下资料：</w:t>
      </w:r>
    </w:p>
    <w:p w14:paraId="22B75BF0">
      <w:pPr>
        <w:pStyle w:val="64"/>
        <w:spacing w:line="440" w:lineRule="exact"/>
        <w:rPr>
          <w:rStyle w:val="56"/>
          <w:rFonts w:hint="eastAsia" w:ascii="宋体" w:hAnsi="宋体" w:eastAsia="宋体" w:cs="宋体"/>
          <w:bCs/>
          <w:sz w:val="24"/>
          <w:szCs w:val="24"/>
        </w:rPr>
      </w:pPr>
      <w:r>
        <w:rPr>
          <w:rStyle w:val="56"/>
          <w:rFonts w:hint="eastAsia" w:ascii="宋体" w:hAnsi="宋体" w:eastAsia="宋体" w:cs="宋体"/>
          <w:bCs/>
          <w:sz w:val="24"/>
          <w:szCs w:val="24"/>
        </w:rPr>
        <w:t>1.1、具有独立承担民事责任的能力；须提供相关证明材料，其中：</w:t>
      </w:r>
    </w:p>
    <w:p w14:paraId="0312A5E6">
      <w:pPr>
        <w:pStyle w:val="65"/>
        <w:spacing w:line="440" w:lineRule="exact"/>
        <w:rPr>
          <w:rStyle w:val="56"/>
          <w:rFonts w:hint="eastAsia" w:ascii="宋体" w:hAnsi="宋体" w:eastAsia="宋体" w:cs="宋体"/>
          <w:b w:val="0"/>
          <w:sz w:val="24"/>
          <w:szCs w:val="24"/>
        </w:rPr>
      </w:pPr>
      <w:r>
        <w:rPr>
          <w:rStyle w:val="56"/>
          <w:rFonts w:hint="eastAsia" w:ascii="宋体" w:hAnsi="宋体" w:eastAsia="宋体" w:cs="宋体"/>
          <w:bCs/>
          <w:sz w:val="24"/>
          <w:szCs w:val="24"/>
        </w:rPr>
        <w:t>供应商是企业（包括合伙企业）的，</w:t>
      </w:r>
      <w:r>
        <w:rPr>
          <w:rStyle w:val="56"/>
          <w:rFonts w:hint="eastAsia" w:ascii="宋体" w:hAnsi="宋体" w:eastAsia="宋体" w:cs="宋体"/>
          <w:b w:val="0"/>
          <w:sz w:val="24"/>
          <w:szCs w:val="24"/>
        </w:rPr>
        <w:t>须提供其在工商部门注册的有效“营业执照”的复印件（如 “三证合一”须提供工商行政管理部门核发加载统一社会信用代码的营业执照；如未“三证合一”则须提供供应商的营业执照、税务登记证书及组织机构代码证）；</w:t>
      </w:r>
    </w:p>
    <w:p w14:paraId="5140B496">
      <w:pPr>
        <w:pStyle w:val="65"/>
        <w:spacing w:line="440" w:lineRule="exact"/>
        <w:rPr>
          <w:rStyle w:val="56"/>
          <w:rFonts w:hint="eastAsia" w:ascii="宋体" w:hAnsi="宋体" w:eastAsia="宋体" w:cs="宋体"/>
          <w:b w:val="0"/>
          <w:sz w:val="24"/>
          <w:szCs w:val="24"/>
        </w:rPr>
      </w:pPr>
      <w:r>
        <w:rPr>
          <w:rStyle w:val="56"/>
          <w:rFonts w:hint="eastAsia" w:ascii="宋体" w:hAnsi="宋体" w:eastAsia="宋体" w:cs="宋体"/>
          <w:bCs/>
          <w:sz w:val="24"/>
          <w:szCs w:val="24"/>
        </w:rPr>
        <w:t>供应商是事业单位的</w:t>
      </w:r>
      <w:r>
        <w:rPr>
          <w:rStyle w:val="56"/>
          <w:rFonts w:hint="eastAsia" w:ascii="宋体" w:hAnsi="宋体" w:eastAsia="宋体" w:cs="宋体"/>
          <w:b w:val="0"/>
          <w:sz w:val="24"/>
          <w:szCs w:val="24"/>
        </w:rPr>
        <w:t>，须提供其有效的“事业单位法人证书”复印件；</w:t>
      </w:r>
    </w:p>
    <w:p w14:paraId="1A17C358">
      <w:pPr>
        <w:pStyle w:val="65"/>
        <w:spacing w:line="440" w:lineRule="exact"/>
        <w:rPr>
          <w:rStyle w:val="56"/>
          <w:rFonts w:hint="eastAsia" w:ascii="宋体" w:hAnsi="宋体" w:eastAsia="宋体" w:cs="宋体"/>
          <w:b w:val="0"/>
          <w:sz w:val="24"/>
          <w:szCs w:val="24"/>
        </w:rPr>
      </w:pPr>
      <w:r>
        <w:rPr>
          <w:rStyle w:val="56"/>
          <w:rFonts w:hint="eastAsia" w:ascii="宋体" w:hAnsi="宋体" w:eastAsia="宋体" w:cs="宋体"/>
          <w:bCs/>
          <w:sz w:val="24"/>
          <w:szCs w:val="24"/>
        </w:rPr>
        <w:t>供应商是非企业专业服务机构的，</w:t>
      </w:r>
      <w:r>
        <w:rPr>
          <w:rStyle w:val="56"/>
          <w:rFonts w:hint="eastAsia" w:ascii="宋体" w:hAnsi="宋体" w:eastAsia="宋体" w:cs="宋体"/>
          <w:b w:val="0"/>
          <w:sz w:val="24"/>
          <w:szCs w:val="24"/>
        </w:rPr>
        <w:t>须提供其有效的执业许可证复印件；</w:t>
      </w:r>
    </w:p>
    <w:p w14:paraId="3767EF26">
      <w:pPr>
        <w:pStyle w:val="65"/>
        <w:spacing w:line="440" w:lineRule="exact"/>
        <w:rPr>
          <w:rStyle w:val="56"/>
          <w:rFonts w:hint="eastAsia" w:ascii="宋体" w:hAnsi="宋体" w:eastAsia="宋体" w:cs="宋体"/>
          <w:b w:val="0"/>
          <w:sz w:val="24"/>
          <w:szCs w:val="24"/>
        </w:rPr>
      </w:pPr>
      <w:r>
        <w:rPr>
          <w:rStyle w:val="56"/>
          <w:rFonts w:hint="eastAsia" w:ascii="宋体" w:hAnsi="宋体" w:eastAsia="宋体" w:cs="宋体"/>
          <w:bCs/>
          <w:sz w:val="24"/>
          <w:szCs w:val="24"/>
        </w:rPr>
        <w:t>供应商是个体工商户的，</w:t>
      </w:r>
      <w:r>
        <w:rPr>
          <w:rStyle w:val="56"/>
          <w:rFonts w:hint="eastAsia" w:ascii="宋体" w:hAnsi="宋体" w:eastAsia="宋体" w:cs="宋体"/>
          <w:b w:val="0"/>
          <w:sz w:val="24"/>
          <w:szCs w:val="24"/>
        </w:rPr>
        <w:t>须提供其有效的“个体工商户营业执照” 复印件；</w:t>
      </w:r>
    </w:p>
    <w:p w14:paraId="14FDE3DC">
      <w:pPr>
        <w:pStyle w:val="65"/>
        <w:spacing w:line="440" w:lineRule="exact"/>
        <w:rPr>
          <w:rStyle w:val="56"/>
          <w:rFonts w:hint="eastAsia" w:ascii="宋体" w:hAnsi="宋体" w:eastAsia="宋体" w:cs="宋体"/>
          <w:b w:val="0"/>
          <w:sz w:val="24"/>
          <w:szCs w:val="24"/>
        </w:rPr>
      </w:pPr>
      <w:r>
        <w:rPr>
          <w:rStyle w:val="56"/>
          <w:rFonts w:hint="eastAsia" w:ascii="宋体" w:hAnsi="宋体" w:eastAsia="宋体" w:cs="宋体"/>
          <w:b w:val="0"/>
          <w:sz w:val="24"/>
          <w:szCs w:val="24"/>
        </w:rPr>
        <w:t>以上复印件须加盖供应商公章。</w:t>
      </w:r>
    </w:p>
    <w:p w14:paraId="5D7E624E">
      <w:pPr>
        <w:pStyle w:val="65"/>
        <w:spacing w:line="440" w:lineRule="exact"/>
        <w:rPr>
          <w:rStyle w:val="56"/>
          <w:rFonts w:hint="eastAsia" w:ascii="宋体" w:hAnsi="宋体" w:eastAsia="宋体" w:cs="宋体"/>
          <w:b w:val="0"/>
          <w:sz w:val="24"/>
          <w:szCs w:val="24"/>
        </w:rPr>
      </w:pPr>
      <w:r>
        <w:rPr>
          <w:rStyle w:val="56"/>
          <w:rFonts w:hint="eastAsia" w:ascii="宋体" w:hAnsi="宋体" w:eastAsia="宋体" w:cs="宋体"/>
          <w:bCs/>
          <w:sz w:val="24"/>
          <w:szCs w:val="24"/>
        </w:rPr>
        <w:t>供应商是自然人的，</w:t>
      </w:r>
      <w:r>
        <w:rPr>
          <w:rStyle w:val="56"/>
          <w:rFonts w:hint="eastAsia" w:ascii="宋体" w:hAnsi="宋体" w:eastAsia="宋体" w:cs="宋体"/>
          <w:b w:val="0"/>
          <w:sz w:val="24"/>
          <w:szCs w:val="24"/>
        </w:rPr>
        <w:t>应提供其有效的自然人身份证明；</w:t>
      </w:r>
    </w:p>
    <w:p w14:paraId="10446ADB">
      <w:pPr>
        <w:pStyle w:val="65"/>
        <w:adjustRightInd w:val="0"/>
        <w:spacing w:line="360" w:lineRule="auto"/>
        <w:rPr>
          <w:rStyle w:val="56"/>
          <w:rFonts w:hint="eastAsia" w:ascii="宋体" w:hAnsi="宋体" w:eastAsia="宋体" w:cs="宋体"/>
          <w:bCs/>
          <w:sz w:val="28"/>
          <w:szCs w:val="28"/>
        </w:rPr>
      </w:pPr>
    </w:p>
    <w:p w14:paraId="6AD78050">
      <w:pPr>
        <w:pStyle w:val="65"/>
        <w:adjustRightInd w:val="0"/>
        <w:spacing w:line="360" w:lineRule="auto"/>
        <w:rPr>
          <w:rStyle w:val="56"/>
          <w:rFonts w:hint="eastAsia" w:ascii="宋体" w:hAnsi="宋体" w:eastAsia="宋体" w:cs="宋体"/>
          <w:bCs/>
          <w:sz w:val="24"/>
          <w:szCs w:val="24"/>
        </w:rPr>
      </w:pPr>
      <w:r>
        <w:rPr>
          <w:rStyle w:val="56"/>
          <w:rFonts w:hint="eastAsia" w:ascii="宋体" w:hAnsi="宋体" w:eastAsia="宋体" w:cs="宋体"/>
          <w:bCs/>
          <w:sz w:val="24"/>
          <w:szCs w:val="24"/>
        </w:rPr>
        <w:t>1.2、具有良好的商业信誉和健全的财务会计制度；提供政府采购供应商信用承诺函即可（见附件）；</w:t>
      </w:r>
    </w:p>
    <w:p w14:paraId="76A1D3C7">
      <w:pPr>
        <w:pStyle w:val="65"/>
        <w:adjustRightInd w:val="0"/>
        <w:spacing w:line="360" w:lineRule="auto"/>
        <w:rPr>
          <w:rStyle w:val="56"/>
          <w:rFonts w:hint="eastAsia" w:ascii="宋体" w:hAnsi="宋体" w:eastAsia="宋体" w:cs="宋体"/>
          <w:bCs/>
          <w:sz w:val="24"/>
          <w:szCs w:val="24"/>
        </w:rPr>
      </w:pPr>
      <w:r>
        <w:rPr>
          <w:rStyle w:val="56"/>
          <w:rFonts w:hint="eastAsia" w:ascii="宋体" w:hAnsi="宋体" w:eastAsia="宋体" w:cs="宋体"/>
          <w:bCs/>
          <w:sz w:val="24"/>
          <w:szCs w:val="24"/>
        </w:rPr>
        <w:t>1.3、具有履行合同所必需的设备和专业技术能力；提供政府采购供应商信用承诺函即可（见附件）；</w:t>
      </w:r>
    </w:p>
    <w:p w14:paraId="06E2AA30">
      <w:pPr>
        <w:pStyle w:val="65"/>
        <w:adjustRightInd w:val="0"/>
        <w:spacing w:line="360" w:lineRule="auto"/>
        <w:rPr>
          <w:rStyle w:val="56"/>
          <w:rFonts w:hint="eastAsia" w:ascii="宋体" w:hAnsi="宋体" w:eastAsia="宋体" w:cs="宋体"/>
          <w:bCs/>
          <w:sz w:val="24"/>
          <w:szCs w:val="24"/>
        </w:rPr>
      </w:pPr>
      <w:r>
        <w:rPr>
          <w:rStyle w:val="56"/>
          <w:rFonts w:hint="eastAsia" w:ascii="宋体" w:hAnsi="宋体" w:eastAsia="宋体" w:cs="宋体"/>
          <w:bCs/>
          <w:sz w:val="24"/>
          <w:szCs w:val="24"/>
        </w:rPr>
        <w:t>1.4、有依法缴纳税收和社会保障资金的良好记录；提供政府采购供应商信用承诺函即可（见附件）；</w:t>
      </w:r>
    </w:p>
    <w:p w14:paraId="56DFC6F5">
      <w:pPr>
        <w:pStyle w:val="65"/>
        <w:adjustRightInd w:val="0"/>
        <w:spacing w:line="360" w:lineRule="auto"/>
        <w:rPr>
          <w:rStyle w:val="56"/>
          <w:rFonts w:hint="eastAsia" w:ascii="宋体" w:hAnsi="宋体" w:eastAsia="宋体" w:cs="宋体"/>
          <w:bCs/>
          <w:sz w:val="24"/>
          <w:szCs w:val="24"/>
        </w:rPr>
      </w:pPr>
      <w:r>
        <w:rPr>
          <w:rStyle w:val="56"/>
          <w:rFonts w:hint="eastAsia" w:ascii="宋体" w:hAnsi="宋体" w:eastAsia="宋体" w:cs="宋体"/>
          <w:bCs/>
          <w:sz w:val="24"/>
          <w:szCs w:val="24"/>
        </w:rPr>
        <w:t>1.5、参加政府采购活动前三年内，在经营活动中没有重大违法记录；提供政府采购供应商信用承诺函即可（见附件）；</w:t>
      </w:r>
    </w:p>
    <w:p w14:paraId="23F2C3EE">
      <w:pPr>
        <w:pStyle w:val="65"/>
        <w:adjustRightInd w:val="0"/>
        <w:spacing w:line="360" w:lineRule="auto"/>
        <w:rPr>
          <w:rStyle w:val="56"/>
          <w:rFonts w:hint="eastAsia" w:ascii="宋体" w:hAnsi="宋体" w:eastAsia="宋体" w:cs="宋体"/>
          <w:bCs/>
          <w:sz w:val="24"/>
          <w:szCs w:val="24"/>
        </w:rPr>
      </w:pPr>
    </w:p>
    <w:p w14:paraId="4534F1CD">
      <w:pPr>
        <w:pStyle w:val="65"/>
        <w:adjustRightInd w:val="0"/>
        <w:spacing w:line="360" w:lineRule="auto"/>
        <w:rPr>
          <w:rStyle w:val="56"/>
          <w:rFonts w:hint="eastAsia" w:ascii="宋体" w:hAnsi="宋体" w:eastAsia="宋体" w:cs="宋体"/>
          <w:bCs/>
          <w:sz w:val="24"/>
          <w:szCs w:val="24"/>
        </w:rPr>
      </w:pPr>
    </w:p>
    <w:p w14:paraId="2E2AD09F">
      <w:pPr>
        <w:pStyle w:val="65"/>
        <w:adjustRightInd w:val="0"/>
        <w:spacing w:line="360" w:lineRule="auto"/>
        <w:rPr>
          <w:rStyle w:val="56"/>
          <w:rFonts w:hint="eastAsia" w:ascii="宋体" w:hAnsi="宋体" w:eastAsia="宋体" w:cs="宋体"/>
          <w:bCs/>
          <w:kern w:val="0"/>
          <w:sz w:val="24"/>
          <w:szCs w:val="24"/>
        </w:rPr>
      </w:pPr>
      <w:r>
        <w:rPr>
          <w:rStyle w:val="56"/>
          <w:rFonts w:hint="eastAsia" w:ascii="宋体" w:hAnsi="宋体" w:eastAsia="宋体" w:cs="宋体"/>
          <w:bCs/>
          <w:sz w:val="24"/>
          <w:szCs w:val="24"/>
        </w:rPr>
        <w:t>1.</w:t>
      </w:r>
      <w:r>
        <w:rPr>
          <w:rStyle w:val="56"/>
          <w:rFonts w:hint="eastAsia" w:ascii="宋体" w:hAnsi="宋体" w:eastAsia="宋体" w:cs="宋体"/>
          <w:bCs/>
          <w:kern w:val="0"/>
          <w:sz w:val="24"/>
          <w:szCs w:val="24"/>
        </w:rPr>
        <w:t>6、法律、行政法规规定的其他条件：/</w:t>
      </w:r>
    </w:p>
    <w:p w14:paraId="61F3F689">
      <w:pPr>
        <w:pStyle w:val="65"/>
        <w:adjustRightInd w:val="0"/>
        <w:spacing w:line="360" w:lineRule="auto"/>
        <w:rPr>
          <w:rStyle w:val="56"/>
          <w:rFonts w:hint="eastAsia" w:ascii="宋体" w:hAnsi="宋体" w:eastAsia="宋体" w:cs="宋体"/>
          <w:bCs/>
          <w:kern w:val="0"/>
          <w:sz w:val="24"/>
          <w:szCs w:val="24"/>
        </w:rPr>
      </w:pPr>
    </w:p>
    <w:p w14:paraId="03041E0C">
      <w:pPr>
        <w:pStyle w:val="65"/>
        <w:adjustRightInd w:val="0"/>
        <w:spacing w:line="360" w:lineRule="auto"/>
        <w:rPr>
          <w:rStyle w:val="56"/>
          <w:rFonts w:hint="eastAsia" w:ascii="宋体" w:hAnsi="宋体" w:eastAsia="宋体" w:cs="宋体"/>
          <w:bCs/>
          <w:kern w:val="0"/>
          <w:sz w:val="24"/>
          <w:szCs w:val="24"/>
        </w:rPr>
      </w:pPr>
    </w:p>
    <w:p w14:paraId="4B190153">
      <w:pPr>
        <w:pStyle w:val="65"/>
        <w:adjustRightInd w:val="0"/>
        <w:spacing w:line="360" w:lineRule="auto"/>
        <w:rPr>
          <w:rStyle w:val="56"/>
          <w:rFonts w:hint="eastAsia" w:ascii="宋体" w:hAnsi="宋体" w:eastAsia="宋体" w:cs="宋体"/>
          <w:bCs/>
          <w:kern w:val="0"/>
          <w:sz w:val="24"/>
          <w:szCs w:val="24"/>
        </w:rPr>
      </w:pPr>
    </w:p>
    <w:p w14:paraId="468AAA36">
      <w:pPr>
        <w:pStyle w:val="65"/>
        <w:adjustRightInd w:val="0"/>
        <w:spacing w:line="360" w:lineRule="auto"/>
        <w:rPr>
          <w:rStyle w:val="56"/>
          <w:rFonts w:hint="eastAsia" w:ascii="宋体" w:hAnsi="宋体" w:eastAsia="宋体" w:cs="宋体"/>
          <w:bCs/>
          <w:kern w:val="0"/>
          <w:sz w:val="24"/>
          <w:szCs w:val="24"/>
        </w:rPr>
      </w:pPr>
    </w:p>
    <w:p w14:paraId="2045808A">
      <w:pPr>
        <w:pStyle w:val="65"/>
        <w:adjustRightInd w:val="0"/>
        <w:spacing w:line="360" w:lineRule="auto"/>
        <w:rPr>
          <w:rStyle w:val="56"/>
          <w:rFonts w:hint="eastAsia" w:ascii="宋体" w:hAnsi="宋体" w:eastAsia="宋体" w:cs="宋体"/>
          <w:bCs/>
          <w:kern w:val="0"/>
          <w:sz w:val="24"/>
          <w:szCs w:val="24"/>
        </w:rPr>
      </w:pPr>
    </w:p>
    <w:p w14:paraId="2EE07010">
      <w:pPr>
        <w:pStyle w:val="65"/>
        <w:adjustRightInd w:val="0"/>
        <w:spacing w:line="360" w:lineRule="auto"/>
        <w:rPr>
          <w:rStyle w:val="56"/>
          <w:rFonts w:hint="eastAsia" w:ascii="宋体" w:hAnsi="宋体" w:eastAsia="宋体" w:cs="宋体"/>
          <w:bCs/>
          <w:kern w:val="0"/>
          <w:sz w:val="24"/>
          <w:szCs w:val="24"/>
        </w:rPr>
      </w:pPr>
    </w:p>
    <w:p w14:paraId="2DA2EA81">
      <w:pPr>
        <w:pStyle w:val="65"/>
        <w:adjustRightInd w:val="0"/>
        <w:spacing w:line="360" w:lineRule="auto"/>
        <w:rPr>
          <w:rStyle w:val="56"/>
          <w:rFonts w:hint="eastAsia" w:ascii="宋体" w:hAnsi="宋体" w:eastAsia="宋体" w:cs="宋体"/>
          <w:bCs/>
          <w:kern w:val="0"/>
          <w:sz w:val="24"/>
          <w:szCs w:val="24"/>
        </w:rPr>
      </w:pPr>
    </w:p>
    <w:p w14:paraId="3F8FF0A0">
      <w:pPr>
        <w:pStyle w:val="65"/>
        <w:adjustRightInd w:val="0"/>
        <w:spacing w:line="360" w:lineRule="auto"/>
        <w:rPr>
          <w:rStyle w:val="56"/>
          <w:rFonts w:hint="eastAsia" w:ascii="宋体" w:hAnsi="宋体" w:eastAsia="宋体" w:cs="宋体"/>
          <w:bCs/>
          <w:kern w:val="0"/>
          <w:sz w:val="24"/>
          <w:szCs w:val="24"/>
        </w:rPr>
      </w:pPr>
    </w:p>
    <w:p w14:paraId="21175CE2">
      <w:pPr>
        <w:pStyle w:val="65"/>
        <w:adjustRightInd w:val="0"/>
        <w:spacing w:line="360" w:lineRule="auto"/>
        <w:rPr>
          <w:rStyle w:val="56"/>
          <w:rFonts w:hint="eastAsia" w:ascii="宋体" w:hAnsi="宋体" w:eastAsia="宋体" w:cs="宋体"/>
          <w:bCs/>
          <w:kern w:val="0"/>
          <w:sz w:val="24"/>
          <w:szCs w:val="24"/>
        </w:rPr>
      </w:pPr>
    </w:p>
    <w:p w14:paraId="4A20D6FB">
      <w:pPr>
        <w:pStyle w:val="65"/>
        <w:adjustRightInd w:val="0"/>
        <w:spacing w:line="360" w:lineRule="auto"/>
        <w:rPr>
          <w:rStyle w:val="56"/>
          <w:rFonts w:hint="eastAsia" w:ascii="宋体" w:hAnsi="宋体" w:eastAsia="宋体" w:cs="宋体"/>
          <w:bCs/>
          <w:kern w:val="0"/>
          <w:sz w:val="24"/>
          <w:szCs w:val="24"/>
        </w:rPr>
      </w:pPr>
    </w:p>
    <w:p w14:paraId="35D1B3FC">
      <w:pPr>
        <w:pStyle w:val="65"/>
        <w:adjustRightInd w:val="0"/>
        <w:spacing w:line="360" w:lineRule="auto"/>
        <w:rPr>
          <w:rStyle w:val="56"/>
          <w:rFonts w:hint="eastAsia" w:ascii="宋体" w:hAnsi="宋体" w:eastAsia="宋体" w:cs="宋体"/>
          <w:bCs/>
          <w:kern w:val="0"/>
          <w:sz w:val="24"/>
          <w:szCs w:val="24"/>
        </w:rPr>
      </w:pPr>
    </w:p>
    <w:p w14:paraId="48D3F90A">
      <w:pPr>
        <w:pStyle w:val="65"/>
        <w:adjustRightInd w:val="0"/>
        <w:spacing w:line="360" w:lineRule="auto"/>
        <w:rPr>
          <w:rStyle w:val="56"/>
          <w:rFonts w:hint="eastAsia" w:ascii="宋体" w:hAnsi="宋体" w:eastAsia="宋体" w:cs="宋体"/>
          <w:bCs/>
          <w:kern w:val="0"/>
          <w:sz w:val="24"/>
          <w:szCs w:val="24"/>
        </w:rPr>
      </w:pPr>
    </w:p>
    <w:p w14:paraId="4C4B76CE">
      <w:pPr>
        <w:pStyle w:val="65"/>
        <w:adjustRightInd w:val="0"/>
        <w:spacing w:line="360" w:lineRule="auto"/>
        <w:rPr>
          <w:rStyle w:val="56"/>
          <w:rFonts w:hint="eastAsia" w:ascii="宋体" w:hAnsi="宋体" w:eastAsia="宋体" w:cs="宋体"/>
          <w:bCs/>
          <w:kern w:val="0"/>
          <w:sz w:val="24"/>
          <w:szCs w:val="24"/>
        </w:rPr>
      </w:pPr>
    </w:p>
    <w:p w14:paraId="1E702532">
      <w:pPr>
        <w:pStyle w:val="65"/>
        <w:adjustRightInd w:val="0"/>
        <w:spacing w:line="360" w:lineRule="auto"/>
        <w:rPr>
          <w:rStyle w:val="56"/>
          <w:rFonts w:hint="eastAsia" w:ascii="宋体" w:hAnsi="宋体" w:eastAsia="宋体" w:cs="宋体"/>
          <w:bCs/>
          <w:kern w:val="0"/>
          <w:sz w:val="24"/>
          <w:szCs w:val="24"/>
        </w:rPr>
      </w:pPr>
    </w:p>
    <w:p w14:paraId="324AE4C3">
      <w:pPr>
        <w:pStyle w:val="65"/>
        <w:adjustRightInd w:val="0"/>
        <w:spacing w:line="360" w:lineRule="auto"/>
        <w:rPr>
          <w:rStyle w:val="56"/>
          <w:rFonts w:hint="eastAsia" w:ascii="宋体" w:hAnsi="宋体" w:eastAsia="宋体" w:cs="宋体"/>
          <w:bCs/>
          <w:kern w:val="0"/>
          <w:sz w:val="24"/>
          <w:szCs w:val="24"/>
        </w:rPr>
      </w:pPr>
    </w:p>
    <w:p w14:paraId="4525B841">
      <w:pPr>
        <w:pStyle w:val="65"/>
        <w:adjustRightInd w:val="0"/>
        <w:spacing w:line="360" w:lineRule="auto"/>
        <w:rPr>
          <w:rStyle w:val="56"/>
          <w:rFonts w:hint="eastAsia" w:ascii="宋体" w:hAnsi="宋体" w:eastAsia="宋体" w:cs="宋体"/>
          <w:bCs/>
          <w:kern w:val="0"/>
          <w:sz w:val="24"/>
          <w:szCs w:val="24"/>
        </w:rPr>
      </w:pPr>
    </w:p>
    <w:p w14:paraId="7ECA65FD">
      <w:pPr>
        <w:pStyle w:val="65"/>
        <w:adjustRightInd w:val="0"/>
        <w:spacing w:line="360" w:lineRule="auto"/>
        <w:rPr>
          <w:rStyle w:val="56"/>
          <w:rFonts w:hint="eastAsia" w:ascii="宋体" w:hAnsi="宋体" w:eastAsia="宋体" w:cs="宋体"/>
          <w:bCs/>
          <w:kern w:val="0"/>
          <w:sz w:val="24"/>
          <w:szCs w:val="24"/>
        </w:rPr>
      </w:pPr>
    </w:p>
    <w:p w14:paraId="215C1396">
      <w:pPr>
        <w:pStyle w:val="65"/>
        <w:adjustRightInd w:val="0"/>
        <w:spacing w:line="360" w:lineRule="auto"/>
        <w:rPr>
          <w:rStyle w:val="56"/>
          <w:rFonts w:hint="eastAsia" w:ascii="宋体" w:hAnsi="宋体" w:eastAsia="宋体" w:cs="宋体"/>
          <w:bCs/>
          <w:kern w:val="0"/>
          <w:sz w:val="24"/>
          <w:szCs w:val="24"/>
        </w:rPr>
      </w:pPr>
    </w:p>
    <w:p w14:paraId="3D9B8A2E">
      <w:pPr>
        <w:pStyle w:val="65"/>
        <w:adjustRightInd w:val="0"/>
        <w:spacing w:line="360" w:lineRule="auto"/>
        <w:rPr>
          <w:rStyle w:val="56"/>
          <w:rFonts w:hint="eastAsia" w:ascii="宋体" w:hAnsi="宋体" w:eastAsia="宋体" w:cs="宋体"/>
          <w:bCs/>
          <w:kern w:val="0"/>
          <w:sz w:val="24"/>
          <w:szCs w:val="24"/>
        </w:rPr>
      </w:pPr>
    </w:p>
    <w:p w14:paraId="222BD33B">
      <w:pPr>
        <w:pStyle w:val="65"/>
        <w:adjustRightInd w:val="0"/>
        <w:spacing w:line="360" w:lineRule="auto"/>
        <w:rPr>
          <w:rStyle w:val="56"/>
          <w:rFonts w:hint="eastAsia" w:ascii="宋体" w:hAnsi="宋体" w:eastAsia="宋体" w:cs="宋体"/>
          <w:bCs/>
          <w:kern w:val="0"/>
          <w:sz w:val="24"/>
          <w:szCs w:val="24"/>
        </w:rPr>
      </w:pPr>
    </w:p>
    <w:p w14:paraId="77B84103">
      <w:pPr>
        <w:pStyle w:val="65"/>
        <w:adjustRightInd w:val="0"/>
        <w:spacing w:line="360" w:lineRule="auto"/>
        <w:rPr>
          <w:rStyle w:val="56"/>
          <w:rFonts w:hint="eastAsia" w:ascii="宋体" w:hAnsi="宋体" w:eastAsia="宋体" w:cs="宋体"/>
          <w:bCs/>
          <w:kern w:val="0"/>
          <w:sz w:val="24"/>
          <w:szCs w:val="24"/>
        </w:rPr>
      </w:pPr>
    </w:p>
    <w:p w14:paraId="271E1F70">
      <w:pPr>
        <w:pStyle w:val="65"/>
        <w:adjustRightInd w:val="0"/>
        <w:spacing w:line="360" w:lineRule="auto"/>
        <w:rPr>
          <w:rStyle w:val="56"/>
          <w:rFonts w:hint="eastAsia" w:ascii="宋体" w:hAnsi="宋体" w:eastAsia="宋体" w:cs="宋体"/>
          <w:bCs/>
          <w:kern w:val="0"/>
          <w:sz w:val="24"/>
          <w:szCs w:val="24"/>
        </w:rPr>
      </w:pPr>
    </w:p>
    <w:p w14:paraId="2C01B209">
      <w:pPr>
        <w:pStyle w:val="65"/>
        <w:adjustRightInd w:val="0"/>
        <w:spacing w:line="360" w:lineRule="auto"/>
        <w:rPr>
          <w:rStyle w:val="56"/>
          <w:rFonts w:hint="eastAsia" w:ascii="宋体" w:hAnsi="宋体" w:eastAsia="宋体" w:cs="宋体"/>
          <w:bCs/>
          <w:kern w:val="0"/>
          <w:sz w:val="24"/>
          <w:szCs w:val="24"/>
        </w:rPr>
      </w:pPr>
    </w:p>
    <w:p w14:paraId="627BA4F3">
      <w:pPr>
        <w:pStyle w:val="65"/>
        <w:adjustRightInd w:val="0"/>
        <w:spacing w:line="360" w:lineRule="auto"/>
        <w:rPr>
          <w:rStyle w:val="56"/>
          <w:rFonts w:hint="eastAsia" w:ascii="宋体" w:hAnsi="宋体" w:eastAsia="宋体" w:cs="宋体"/>
          <w:bCs/>
          <w:kern w:val="0"/>
          <w:sz w:val="24"/>
          <w:szCs w:val="24"/>
        </w:rPr>
      </w:pPr>
    </w:p>
    <w:p w14:paraId="78467B28">
      <w:pPr>
        <w:pStyle w:val="65"/>
        <w:adjustRightInd w:val="0"/>
        <w:spacing w:line="360" w:lineRule="auto"/>
        <w:rPr>
          <w:rStyle w:val="56"/>
          <w:rFonts w:hint="eastAsia" w:ascii="宋体" w:hAnsi="宋体" w:eastAsia="宋体" w:cs="宋体"/>
          <w:bCs/>
          <w:kern w:val="0"/>
          <w:sz w:val="24"/>
          <w:szCs w:val="24"/>
        </w:rPr>
      </w:pPr>
    </w:p>
    <w:p w14:paraId="45B27A75">
      <w:pPr>
        <w:rPr>
          <w:rStyle w:val="60"/>
          <w:rFonts w:hint="eastAsia" w:cs="宋体"/>
        </w:rPr>
      </w:pPr>
      <w:r>
        <w:rPr>
          <w:rStyle w:val="60"/>
          <w:rFonts w:hint="eastAsia" w:cs="宋体"/>
        </w:rPr>
        <w:t>附件：</w:t>
      </w:r>
    </w:p>
    <w:p w14:paraId="6258C53C">
      <w:pPr>
        <w:jc w:val="center"/>
        <w:rPr>
          <w:rFonts w:hint="eastAsia" w:cs="宋体"/>
        </w:rPr>
      </w:pPr>
      <w:r>
        <w:rPr>
          <w:rStyle w:val="60"/>
          <w:rFonts w:hint="eastAsia" w:cs="宋体"/>
        </w:rPr>
        <w:t>政府采购供应商信用承诺函</w:t>
      </w:r>
    </w:p>
    <w:p w14:paraId="64A5605F">
      <w:pPr>
        <w:spacing w:line="560" w:lineRule="exact"/>
        <w:rPr>
          <w:rFonts w:hint="eastAsia" w:cs="宋体"/>
          <w:kern w:val="0"/>
          <w:szCs w:val="24"/>
        </w:rPr>
      </w:pPr>
      <w:r>
        <w:rPr>
          <w:rFonts w:hint="eastAsia" w:cs="宋体"/>
          <w:kern w:val="0"/>
          <w:szCs w:val="24"/>
        </w:rPr>
        <w:t>单位名称（自然人姓名）：</w:t>
      </w:r>
    </w:p>
    <w:p w14:paraId="490DB2AB">
      <w:pPr>
        <w:spacing w:line="560" w:lineRule="exact"/>
        <w:rPr>
          <w:rFonts w:hint="eastAsia" w:cs="宋体"/>
          <w:kern w:val="0"/>
          <w:szCs w:val="24"/>
        </w:rPr>
      </w:pPr>
      <w:r>
        <w:rPr>
          <w:rFonts w:hint="eastAsia" w:cs="宋体"/>
          <w:kern w:val="0"/>
          <w:szCs w:val="24"/>
        </w:rPr>
        <w:t>统一社会信用代码（身份证号码）：</w:t>
      </w:r>
    </w:p>
    <w:p w14:paraId="27B6FD24">
      <w:pPr>
        <w:spacing w:line="560" w:lineRule="exact"/>
        <w:rPr>
          <w:rFonts w:hint="eastAsia" w:cs="宋体"/>
          <w:kern w:val="0"/>
          <w:szCs w:val="24"/>
        </w:rPr>
      </w:pPr>
      <w:r>
        <w:rPr>
          <w:rFonts w:hint="eastAsia" w:cs="宋体"/>
          <w:kern w:val="0"/>
          <w:szCs w:val="24"/>
        </w:rPr>
        <w:t>法定代表人（负责人）：</w:t>
      </w:r>
    </w:p>
    <w:p w14:paraId="283AAD93">
      <w:pPr>
        <w:spacing w:line="560" w:lineRule="exact"/>
        <w:ind w:firstLine="480" w:firstLineChars="200"/>
        <w:rPr>
          <w:rFonts w:hint="eastAsia" w:cs="宋体"/>
          <w:kern w:val="0"/>
          <w:szCs w:val="24"/>
        </w:rPr>
      </w:pPr>
    </w:p>
    <w:p w14:paraId="2AD8912A">
      <w:pPr>
        <w:spacing w:line="560" w:lineRule="exact"/>
        <w:ind w:firstLine="480" w:firstLineChars="200"/>
        <w:rPr>
          <w:rFonts w:hint="eastAsia" w:cs="宋体"/>
          <w:kern w:val="0"/>
          <w:szCs w:val="24"/>
        </w:rPr>
      </w:pPr>
      <w:r>
        <w:rPr>
          <w:rFonts w:hint="eastAsia" w:cs="宋体"/>
          <w:kern w:val="0"/>
          <w:szCs w:val="24"/>
        </w:rPr>
        <w:t xml:space="preserve">我单位（本人）自愿参加本次政府采购活动，严格遵守《中华人民共和国政府采购法》及相关法律法规，坚守公开、公平、公正和诚实信用等原则，依法诚信经营，并郑重承诺：    </w:t>
      </w:r>
    </w:p>
    <w:p w14:paraId="7A77B0AF">
      <w:pPr>
        <w:spacing w:line="560" w:lineRule="exact"/>
        <w:ind w:firstLine="480" w:firstLineChars="200"/>
        <w:rPr>
          <w:rFonts w:hint="eastAsia" w:cs="宋体"/>
          <w:kern w:val="0"/>
          <w:szCs w:val="24"/>
        </w:rPr>
      </w:pPr>
      <w:r>
        <w:rPr>
          <w:rFonts w:hint="eastAsia" w:cs="宋体"/>
          <w:kern w:val="0"/>
          <w:szCs w:val="24"/>
        </w:rPr>
        <w:t>一、我单位（本人）符合《中华人民共和国政府采购法》第二十二条规定：</w:t>
      </w:r>
    </w:p>
    <w:p w14:paraId="6E314EAB">
      <w:pPr>
        <w:spacing w:line="560" w:lineRule="exact"/>
        <w:ind w:firstLine="480" w:firstLineChars="200"/>
        <w:rPr>
          <w:rFonts w:hint="eastAsia" w:cs="宋体"/>
          <w:kern w:val="0"/>
          <w:szCs w:val="24"/>
        </w:rPr>
      </w:pPr>
      <w:r>
        <w:rPr>
          <w:rFonts w:hint="eastAsia" w:cs="宋体"/>
          <w:kern w:val="0"/>
          <w:szCs w:val="24"/>
        </w:rPr>
        <w:t>（一）具有独立承担民事责任的能力;</w:t>
      </w:r>
    </w:p>
    <w:p w14:paraId="19EF271D">
      <w:pPr>
        <w:spacing w:line="560" w:lineRule="exact"/>
        <w:ind w:firstLine="480" w:firstLineChars="200"/>
        <w:rPr>
          <w:rFonts w:hint="eastAsia" w:cs="宋体"/>
          <w:kern w:val="0"/>
          <w:szCs w:val="24"/>
        </w:rPr>
      </w:pPr>
      <w:r>
        <w:rPr>
          <w:rFonts w:hint="eastAsia" w:cs="宋体"/>
          <w:kern w:val="0"/>
          <w:szCs w:val="24"/>
        </w:rPr>
        <w:t>（二）具有良好的商业信誉和健全的财务会计制度;</w:t>
      </w:r>
    </w:p>
    <w:p w14:paraId="21F372FE">
      <w:pPr>
        <w:spacing w:line="560" w:lineRule="exact"/>
        <w:ind w:firstLine="480" w:firstLineChars="200"/>
        <w:rPr>
          <w:rFonts w:hint="eastAsia" w:cs="宋体"/>
          <w:kern w:val="0"/>
          <w:szCs w:val="24"/>
        </w:rPr>
      </w:pPr>
      <w:r>
        <w:rPr>
          <w:rFonts w:hint="eastAsia" w:cs="宋体"/>
          <w:kern w:val="0"/>
          <w:szCs w:val="24"/>
        </w:rPr>
        <w:t>（三）具有履行合同所必需的设备和专业技术能力;</w:t>
      </w:r>
    </w:p>
    <w:p w14:paraId="32A0E7D3">
      <w:pPr>
        <w:spacing w:line="560" w:lineRule="exact"/>
        <w:ind w:firstLine="480" w:firstLineChars="200"/>
        <w:rPr>
          <w:rFonts w:hint="eastAsia" w:cs="宋体"/>
          <w:kern w:val="0"/>
          <w:szCs w:val="24"/>
        </w:rPr>
      </w:pPr>
      <w:r>
        <w:rPr>
          <w:rFonts w:hint="eastAsia" w:cs="宋体"/>
          <w:kern w:val="0"/>
          <w:szCs w:val="24"/>
        </w:rPr>
        <w:t>（四）有依法缴纳税收和社会保障资金的良好记录;</w:t>
      </w:r>
    </w:p>
    <w:p w14:paraId="7DB45186">
      <w:pPr>
        <w:spacing w:line="560" w:lineRule="exact"/>
        <w:ind w:firstLine="480" w:firstLineChars="200"/>
        <w:rPr>
          <w:rFonts w:hint="eastAsia" w:cs="宋体"/>
          <w:kern w:val="0"/>
          <w:szCs w:val="24"/>
        </w:rPr>
      </w:pPr>
      <w:r>
        <w:rPr>
          <w:rFonts w:hint="eastAsia" w:cs="宋体"/>
          <w:kern w:val="0"/>
          <w:szCs w:val="24"/>
        </w:rPr>
        <w:t>（五）参加政府采购活动前三年内，在经营活动中没有重大违法记录;</w:t>
      </w:r>
    </w:p>
    <w:p w14:paraId="1D587C25">
      <w:pPr>
        <w:spacing w:line="560" w:lineRule="exact"/>
        <w:ind w:firstLine="480" w:firstLineChars="200"/>
        <w:rPr>
          <w:rFonts w:hint="eastAsia" w:cs="宋体"/>
          <w:kern w:val="0"/>
          <w:szCs w:val="24"/>
        </w:rPr>
      </w:pPr>
      <w:r>
        <w:rPr>
          <w:rFonts w:hint="eastAsia" w:cs="宋体"/>
          <w:kern w:val="0"/>
          <w:szCs w:val="24"/>
        </w:rPr>
        <w:t>（六）符合法律、行政法规规定的其他条件。</w:t>
      </w:r>
    </w:p>
    <w:p w14:paraId="4120E93A">
      <w:pPr>
        <w:spacing w:line="560" w:lineRule="exact"/>
        <w:ind w:firstLine="480" w:firstLineChars="200"/>
        <w:rPr>
          <w:rFonts w:hint="eastAsia" w:cs="宋体"/>
          <w:kern w:val="0"/>
          <w:szCs w:val="24"/>
        </w:rPr>
      </w:pPr>
      <w:r>
        <w:rPr>
          <w:rFonts w:hint="eastAsia" w:cs="宋体"/>
          <w:kern w:val="0"/>
          <w:szCs w:val="24"/>
        </w:rPr>
        <w:t>二、我单位（本人）未被列入严重违法失信名单、失信被执行人名单、重大税收违法失信主体、政府采购严重违法失信行为记录名单。</w:t>
      </w:r>
    </w:p>
    <w:p w14:paraId="4C7C33FE">
      <w:pPr>
        <w:spacing w:line="560" w:lineRule="exact"/>
        <w:ind w:firstLine="480" w:firstLineChars="200"/>
        <w:rPr>
          <w:rFonts w:hint="eastAsia" w:cs="宋体"/>
          <w:kern w:val="0"/>
          <w:szCs w:val="24"/>
        </w:rPr>
      </w:pPr>
      <w:r>
        <w:rPr>
          <w:rFonts w:hint="eastAsia" w:cs="宋体"/>
          <w:kern w:val="0"/>
          <w:szCs w:val="24"/>
        </w:rPr>
        <w:t>三、如果本公司（本人）有幸中标（成交），在合同签订之前，采购单位有权要求本公司（本人）提供资格证明材料原件进行核验。</w:t>
      </w:r>
    </w:p>
    <w:p w14:paraId="6B96CA92">
      <w:pPr>
        <w:spacing w:line="560" w:lineRule="exact"/>
        <w:ind w:firstLine="480" w:firstLineChars="200"/>
        <w:rPr>
          <w:rFonts w:hint="eastAsia" w:cs="宋体"/>
          <w:kern w:val="0"/>
          <w:szCs w:val="24"/>
        </w:rPr>
      </w:pPr>
      <w:r>
        <w:rPr>
          <w:rFonts w:hint="eastAsia" w:cs="宋体"/>
          <w:kern w:val="0"/>
          <w:szCs w:val="24"/>
        </w:rPr>
        <w:t>四、我单位（本人）保证上述承诺事项的真实性。如有弄虚作假或其他违法违规行为，自愿按照规定将违背承诺行为作为失信行为记录到社会信用信息平台，并视同为“提供虚假材料谋取中标、成交”按照</w:t>
      </w:r>
      <w:r>
        <w:rPr>
          <w:rFonts w:hint="eastAsia" w:cs="宋体"/>
        </w:rPr>
        <w:t>《中华人民共和国政府采购法》</w:t>
      </w:r>
      <w:r>
        <w:rPr>
          <w:rFonts w:hint="eastAsia" w:cs="宋体"/>
          <w:kern w:val="0"/>
          <w:szCs w:val="24"/>
        </w:rPr>
        <w:t>第七十七、七十九条规定，处以采购金额千分之五以上千分之十以下的罚款，列入不良行为记录名单，在一至三年内禁止参加政府采购活动，有违法所得的，并处没收违法所得，情节严重的，由市场监管部门吊销营业执照；构成犯罪的，依法追究刑事责任；给他人造成损失的，并应依照有关民事法律规定承担民事责任。</w:t>
      </w:r>
    </w:p>
    <w:p w14:paraId="261761B5">
      <w:pPr>
        <w:spacing w:line="560" w:lineRule="exact"/>
        <w:rPr>
          <w:rFonts w:hint="eastAsia" w:cs="宋体"/>
          <w:kern w:val="0"/>
          <w:szCs w:val="24"/>
        </w:rPr>
      </w:pPr>
    </w:p>
    <w:p w14:paraId="516D03A8">
      <w:pPr>
        <w:spacing w:line="560" w:lineRule="exact"/>
        <w:rPr>
          <w:rFonts w:hint="eastAsia" w:cs="宋体"/>
          <w:kern w:val="0"/>
          <w:szCs w:val="24"/>
        </w:rPr>
      </w:pPr>
    </w:p>
    <w:p w14:paraId="498A3425">
      <w:pPr>
        <w:spacing w:line="560" w:lineRule="exact"/>
        <w:rPr>
          <w:rFonts w:hint="eastAsia" w:cs="宋体"/>
          <w:kern w:val="0"/>
          <w:szCs w:val="24"/>
        </w:rPr>
      </w:pPr>
      <w:r>
        <w:rPr>
          <w:rFonts w:hint="eastAsia" w:cs="宋体"/>
          <w:kern w:val="0"/>
          <w:szCs w:val="24"/>
        </w:rPr>
        <w:t>供应商名称（公章）：</w:t>
      </w:r>
    </w:p>
    <w:p w14:paraId="1B075236">
      <w:pPr>
        <w:spacing w:line="560" w:lineRule="exact"/>
        <w:rPr>
          <w:rFonts w:hint="eastAsia" w:cs="宋体"/>
          <w:kern w:val="0"/>
          <w:szCs w:val="24"/>
        </w:rPr>
      </w:pPr>
      <w:r>
        <w:rPr>
          <w:rFonts w:hint="eastAsia" w:cs="宋体"/>
          <w:kern w:val="0"/>
          <w:szCs w:val="24"/>
        </w:rPr>
        <w:t>法定代表人、负责人、本人、或授权代表（签字或盖章）：</w:t>
      </w:r>
    </w:p>
    <w:p w14:paraId="40CDB881">
      <w:pPr>
        <w:spacing w:line="560" w:lineRule="exact"/>
        <w:rPr>
          <w:rFonts w:hint="eastAsia" w:cs="宋体"/>
          <w:kern w:val="0"/>
          <w:szCs w:val="24"/>
        </w:rPr>
      </w:pPr>
      <w:r>
        <w:rPr>
          <w:rFonts w:hint="eastAsia" w:cs="宋体"/>
          <w:kern w:val="0"/>
          <w:szCs w:val="24"/>
        </w:rPr>
        <w:t>日期： 年 月 日</w:t>
      </w:r>
    </w:p>
    <w:p w14:paraId="25DF1C45">
      <w:pPr>
        <w:spacing w:line="560" w:lineRule="exact"/>
        <w:rPr>
          <w:rFonts w:hint="eastAsia" w:cs="宋体"/>
          <w:b/>
          <w:bCs/>
          <w:szCs w:val="24"/>
        </w:rPr>
      </w:pPr>
    </w:p>
    <w:p w14:paraId="610609BF">
      <w:pPr>
        <w:spacing w:line="560" w:lineRule="exact"/>
        <w:rPr>
          <w:rFonts w:hint="eastAsia" w:cs="宋体"/>
          <w:b/>
          <w:bCs/>
          <w:szCs w:val="24"/>
        </w:rPr>
      </w:pPr>
    </w:p>
    <w:p w14:paraId="5B2137FB">
      <w:pPr>
        <w:spacing w:line="560" w:lineRule="exact"/>
        <w:rPr>
          <w:rFonts w:hint="eastAsia" w:cs="宋体"/>
          <w:b/>
          <w:bCs/>
          <w:szCs w:val="24"/>
        </w:rPr>
      </w:pPr>
    </w:p>
    <w:p w14:paraId="4FE5F05A">
      <w:pPr>
        <w:spacing w:line="560" w:lineRule="exact"/>
        <w:rPr>
          <w:rFonts w:hint="eastAsia" w:cs="宋体"/>
          <w:b/>
          <w:bCs/>
          <w:szCs w:val="24"/>
        </w:rPr>
      </w:pPr>
    </w:p>
    <w:p w14:paraId="0633F9FC">
      <w:pPr>
        <w:pStyle w:val="2"/>
        <w:ind w:left="0" w:leftChars="0" w:firstLine="0" w:firstLineChars="0"/>
        <w:rPr>
          <w:rFonts w:hint="eastAsia" w:ascii="宋体" w:cs="宋体"/>
        </w:rPr>
      </w:pPr>
    </w:p>
    <w:p w14:paraId="5F3C0A2C">
      <w:pPr>
        <w:pStyle w:val="8"/>
        <w:rPr>
          <w:rFonts w:hint="eastAsia"/>
        </w:rPr>
      </w:pPr>
      <w:bookmarkStart w:id="806" w:name="_Toc6056"/>
      <w:bookmarkStart w:id="807" w:name="_Toc2565"/>
      <w:r>
        <w:rPr>
          <w:rFonts w:hint="eastAsia"/>
        </w:rPr>
        <w:t>2、本项目特定资格要求</w:t>
      </w:r>
      <w:bookmarkEnd w:id="806"/>
      <w:bookmarkEnd w:id="807"/>
    </w:p>
    <w:p w14:paraId="4101545C">
      <w:pPr>
        <w:spacing w:line="560" w:lineRule="exact"/>
        <w:ind w:firstLine="482" w:firstLineChars="200"/>
        <w:rPr>
          <w:rFonts w:hint="eastAsia" w:cs="宋体"/>
          <w:b/>
          <w:bCs/>
          <w:szCs w:val="24"/>
        </w:rPr>
      </w:pPr>
      <w:r>
        <w:rPr>
          <w:rFonts w:hint="eastAsia" w:cs="宋体"/>
          <w:b/>
          <w:bCs/>
          <w:szCs w:val="24"/>
        </w:rPr>
        <w:t>/</w:t>
      </w:r>
    </w:p>
    <w:p w14:paraId="1A6BA0E8">
      <w:pPr>
        <w:pStyle w:val="24"/>
        <w:rPr>
          <w:rFonts w:hint="eastAsia" w:ascii="宋体" w:hAnsi="宋体" w:eastAsia="宋体" w:cs="宋体"/>
          <w:color w:val="auto"/>
        </w:rPr>
      </w:pPr>
    </w:p>
    <w:p w14:paraId="0EF4A61A">
      <w:pPr>
        <w:rPr>
          <w:rFonts w:hint="eastAsia" w:cs="宋体"/>
        </w:rPr>
      </w:pPr>
    </w:p>
    <w:p w14:paraId="0A3905A3">
      <w:pPr>
        <w:pStyle w:val="2"/>
        <w:ind w:left="480"/>
        <w:rPr>
          <w:rFonts w:hint="eastAsia" w:ascii="宋体" w:cs="宋体"/>
        </w:rPr>
      </w:pPr>
    </w:p>
    <w:p w14:paraId="3964EA8F">
      <w:pPr>
        <w:pStyle w:val="2"/>
        <w:ind w:left="480"/>
        <w:rPr>
          <w:rFonts w:hint="eastAsia" w:ascii="宋体" w:cs="宋体"/>
        </w:rPr>
      </w:pPr>
    </w:p>
    <w:p w14:paraId="5A98FF50">
      <w:pPr>
        <w:pStyle w:val="2"/>
        <w:ind w:left="480"/>
        <w:rPr>
          <w:rFonts w:hint="eastAsia" w:ascii="宋体" w:cs="宋体"/>
        </w:rPr>
      </w:pPr>
    </w:p>
    <w:p w14:paraId="40B890F8">
      <w:pPr>
        <w:pStyle w:val="2"/>
        <w:ind w:left="480"/>
        <w:rPr>
          <w:rFonts w:hint="eastAsia" w:ascii="宋体" w:cs="宋体"/>
        </w:rPr>
      </w:pPr>
    </w:p>
    <w:p w14:paraId="6DACA91A">
      <w:pPr>
        <w:pStyle w:val="2"/>
        <w:ind w:left="480"/>
        <w:rPr>
          <w:rFonts w:hint="eastAsia" w:ascii="宋体" w:cs="宋体"/>
        </w:rPr>
      </w:pPr>
    </w:p>
    <w:p w14:paraId="278A257F">
      <w:pPr>
        <w:pStyle w:val="2"/>
        <w:ind w:left="0" w:leftChars="0" w:firstLine="0" w:firstLineChars="0"/>
        <w:rPr>
          <w:rFonts w:hint="eastAsia" w:ascii="宋体" w:cs="宋体"/>
        </w:rPr>
      </w:pPr>
    </w:p>
    <w:p w14:paraId="253AD355">
      <w:pPr>
        <w:rPr>
          <w:rFonts w:hint="eastAsia" w:cs="宋体"/>
        </w:rPr>
      </w:pPr>
      <w:bookmarkStart w:id="808" w:name="_Toc29775"/>
      <w:bookmarkStart w:id="809" w:name="_Toc25402"/>
      <w:bookmarkStart w:id="810" w:name="_Toc155185921"/>
      <w:bookmarkStart w:id="811" w:name="_Toc140132831"/>
      <w:bookmarkStart w:id="812" w:name="_Toc109899489"/>
      <w:bookmarkStart w:id="813" w:name="_Toc109899908"/>
      <w:bookmarkStart w:id="814" w:name="_Toc3577"/>
      <w:bookmarkStart w:id="815" w:name="_Toc109900327"/>
    </w:p>
    <w:p w14:paraId="643EE032">
      <w:pPr>
        <w:pStyle w:val="7"/>
      </w:pPr>
      <w:r>
        <w:rPr>
          <w:rFonts w:hint="eastAsia"/>
        </w:rPr>
        <w:t>二、报价文件</w:t>
      </w:r>
      <w:bookmarkEnd w:id="808"/>
    </w:p>
    <w:p w14:paraId="692FFDE1">
      <w:pPr>
        <w:pStyle w:val="8"/>
        <w:jc w:val="center"/>
        <w:rPr>
          <w:rFonts w:hint="eastAsia"/>
        </w:rPr>
      </w:pPr>
      <w:bookmarkStart w:id="816" w:name="_Toc30784"/>
      <w:r>
        <w:rPr>
          <w:rFonts w:hint="eastAsia"/>
        </w:rPr>
        <w:t>1、报价一览表</w:t>
      </w:r>
      <w:bookmarkEnd w:id="816"/>
    </w:p>
    <w:p w14:paraId="5FF5DBBF">
      <w:pPr>
        <w:spacing w:line="300" w:lineRule="auto"/>
        <w:rPr>
          <w:rFonts w:hint="eastAsia" w:cs="宋体"/>
          <w:szCs w:val="24"/>
        </w:rPr>
      </w:pPr>
    </w:p>
    <w:p w14:paraId="3D399B0B">
      <w:pPr>
        <w:rPr>
          <w:rFonts w:hint="eastAsia" w:cs="宋体"/>
          <w:bCs/>
          <w:szCs w:val="21"/>
          <w:lang w:val="zh-CN"/>
        </w:rPr>
      </w:pPr>
      <w:r>
        <w:rPr>
          <w:rFonts w:hint="eastAsia" w:cs="宋体"/>
          <w:bCs/>
          <w:szCs w:val="21"/>
          <w:lang w:val="zh-CN"/>
        </w:rPr>
        <w:t>项目名称：</w:t>
      </w:r>
      <w:r>
        <w:rPr>
          <w:rFonts w:hint="eastAsia" w:cs="宋体"/>
          <w:bCs/>
          <w:szCs w:val="21"/>
          <w:u w:val="single"/>
          <w:lang w:val="zh-CN"/>
        </w:rPr>
        <w:t xml:space="preserve">                     </w:t>
      </w:r>
    </w:p>
    <w:p w14:paraId="6AA1FF89">
      <w:pPr>
        <w:rPr>
          <w:rFonts w:hint="eastAsia" w:cs="宋体"/>
          <w:bCs/>
          <w:szCs w:val="21"/>
          <w:u w:val="single"/>
          <w:lang w:val="zh-CN"/>
        </w:rPr>
      </w:pPr>
      <w:r>
        <w:rPr>
          <w:rFonts w:hint="eastAsia" w:cs="宋体"/>
          <w:bCs/>
          <w:szCs w:val="21"/>
          <w:lang w:val="zh-CN"/>
        </w:rPr>
        <w:t>项目编号</w:t>
      </w:r>
      <w:r>
        <w:rPr>
          <w:rFonts w:hint="eastAsia" w:cs="宋体"/>
          <w:bCs/>
          <w:szCs w:val="21"/>
        </w:rPr>
        <w:t>/</w:t>
      </w:r>
      <w:r>
        <w:rPr>
          <w:rFonts w:hint="eastAsia" w:cs="宋体"/>
          <w:bCs/>
          <w:szCs w:val="21"/>
          <w:lang w:val="zh-CN"/>
        </w:rPr>
        <w:t>包号：</w:t>
      </w:r>
      <w:r>
        <w:rPr>
          <w:rFonts w:hint="eastAsia" w:cs="宋体"/>
          <w:bCs/>
          <w:szCs w:val="21"/>
          <w:u w:val="single"/>
          <w:lang w:val="zh-CN"/>
        </w:rPr>
        <w:t xml:space="preserve">                </w:t>
      </w:r>
    </w:p>
    <w:tbl>
      <w:tblPr>
        <w:tblStyle w:val="19"/>
        <w:tblW w:w="85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3"/>
        <w:gridCol w:w="2352"/>
        <w:gridCol w:w="2161"/>
        <w:gridCol w:w="2611"/>
      </w:tblGrid>
      <w:tr w14:paraId="297A0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trPr>
        <w:tc>
          <w:tcPr>
            <w:tcW w:w="1403" w:type="dxa"/>
            <w:vAlign w:val="center"/>
          </w:tcPr>
          <w:p w14:paraId="5C99BDB1">
            <w:pPr>
              <w:widowControl/>
              <w:autoSpaceDE w:val="0"/>
              <w:autoSpaceDN w:val="0"/>
              <w:jc w:val="center"/>
              <w:textAlignment w:val="bottom"/>
              <w:rPr>
                <w:rFonts w:hint="eastAsia" w:cs="宋体"/>
                <w:szCs w:val="21"/>
              </w:rPr>
            </w:pPr>
            <w:r>
              <w:rPr>
                <w:rFonts w:hint="eastAsia" w:cs="宋体"/>
                <w:szCs w:val="21"/>
              </w:rPr>
              <w:t>序号</w:t>
            </w:r>
          </w:p>
        </w:tc>
        <w:tc>
          <w:tcPr>
            <w:tcW w:w="2352" w:type="dxa"/>
            <w:vAlign w:val="center"/>
          </w:tcPr>
          <w:p w14:paraId="4A8B3C33">
            <w:pPr>
              <w:widowControl/>
              <w:autoSpaceDE w:val="0"/>
              <w:autoSpaceDN w:val="0"/>
              <w:ind w:left="851" w:hanging="851"/>
              <w:jc w:val="center"/>
              <w:textAlignment w:val="bottom"/>
              <w:rPr>
                <w:rFonts w:hint="eastAsia" w:cs="宋体"/>
                <w:szCs w:val="21"/>
              </w:rPr>
            </w:pPr>
            <w:r>
              <w:rPr>
                <w:rFonts w:hint="eastAsia" w:cs="宋体"/>
                <w:szCs w:val="21"/>
              </w:rPr>
              <w:t>磋商报价（元）</w:t>
            </w:r>
          </w:p>
        </w:tc>
        <w:tc>
          <w:tcPr>
            <w:tcW w:w="2161" w:type="dxa"/>
            <w:vAlign w:val="center"/>
          </w:tcPr>
          <w:p w14:paraId="4E8D5FE1">
            <w:pPr>
              <w:widowControl/>
              <w:autoSpaceDE w:val="0"/>
              <w:autoSpaceDN w:val="0"/>
              <w:ind w:left="851" w:hanging="851"/>
              <w:jc w:val="center"/>
              <w:textAlignment w:val="bottom"/>
              <w:rPr>
                <w:rFonts w:hint="eastAsia" w:cs="宋体"/>
                <w:szCs w:val="21"/>
              </w:rPr>
            </w:pPr>
            <w:r>
              <w:rPr>
                <w:rFonts w:hint="eastAsia" w:cs="宋体"/>
                <w:szCs w:val="21"/>
              </w:rPr>
              <w:t>服务期限</w:t>
            </w:r>
          </w:p>
        </w:tc>
        <w:tc>
          <w:tcPr>
            <w:tcW w:w="2611" w:type="dxa"/>
            <w:vAlign w:val="center"/>
          </w:tcPr>
          <w:p w14:paraId="60B30FD5">
            <w:pPr>
              <w:widowControl/>
              <w:autoSpaceDE w:val="0"/>
              <w:autoSpaceDN w:val="0"/>
              <w:jc w:val="center"/>
              <w:textAlignment w:val="bottom"/>
              <w:rPr>
                <w:rFonts w:hint="eastAsia" w:cs="宋体"/>
                <w:szCs w:val="21"/>
              </w:rPr>
            </w:pPr>
            <w:r>
              <w:rPr>
                <w:rFonts w:hint="eastAsia" w:cs="宋体"/>
                <w:szCs w:val="21"/>
              </w:rPr>
              <w:t>备注（如有）</w:t>
            </w:r>
          </w:p>
        </w:tc>
      </w:tr>
      <w:tr w14:paraId="2E084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trPr>
        <w:tc>
          <w:tcPr>
            <w:tcW w:w="1403" w:type="dxa"/>
            <w:vAlign w:val="center"/>
          </w:tcPr>
          <w:p w14:paraId="37DAE47D">
            <w:pPr>
              <w:jc w:val="center"/>
              <w:rPr>
                <w:rFonts w:hint="eastAsia" w:cs="宋体"/>
                <w:sz w:val="28"/>
              </w:rPr>
            </w:pPr>
          </w:p>
        </w:tc>
        <w:tc>
          <w:tcPr>
            <w:tcW w:w="2352" w:type="dxa"/>
            <w:vAlign w:val="center"/>
          </w:tcPr>
          <w:p w14:paraId="4844C360">
            <w:pPr>
              <w:widowControl/>
              <w:autoSpaceDE w:val="0"/>
              <w:autoSpaceDN w:val="0"/>
              <w:spacing w:line="240" w:lineRule="auto"/>
              <w:ind w:left="851" w:hanging="851"/>
              <w:textAlignment w:val="bottom"/>
              <w:rPr>
                <w:rFonts w:hint="eastAsia" w:cs="宋体"/>
                <w:szCs w:val="21"/>
              </w:rPr>
            </w:pPr>
            <w:r>
              <w:rPr>
                <w:rFonts w:hint="eastAsia" w:cs="宋体"/>
                <w:szCs w:val="21"/>
              </w:rPr>
              <w:t>小写：</w:t>
            </w:r>
          </w:p>
          <w:p w14:paraId="4DB7A656">
            <w:pPr>
              <w:rPr>
                <w:rFonts w:hint="eastAsia" w:cs="宋体"/>
                <w:sz w:val="28"/>
              </w:rPr>
            </w:pPr>
            <w:r>
              <w:rPr>
                <w:rFonts w:hint="eastAsia" w:cs="宋体"/>
                <w:szCs w:val="21"/>
              </w:rPr>
              <w:t>大写：</w:t>
            </w:r>
          </w:p>
        </w:tc>
        <w:tc>
          <w:tcPr>
            <w:tcW w:w="2161" w:type="dxa"/>
            <w:vAlign w:val="center"/>
          </w:tcPr>
          <w:p w14:paraId="41560D19">
            <w:pPr>
              <w:jc w:val="center"/>
              <w:rPr>
                <w:rFonts w:hint="eastAsia" w:cs="宋体"/>
                <w:sz w:val="28"/>
              </w:rPr>
            </w:pPr>
          </w:p>
        </w:tc>
        <w:tc>
          <w:tcPr>
            <w:tcW w:w="2611" w:type="dxa"/>
            <w:vAlign w:val="center"/>
          </w:tcPr>
          <w:p w14:paraId="675130FD">
            <w:pPr>
              <w:jc w:val="center"/>
              <w:rPr>
                <w:rFonts w:hint="eastAsia" w:cs="宋体"/>
                <w:sz w:val="28"/>
              </w:rPr>
            </w:pPr>
          </w:p>
        </w:tc>
      </w:tr>
    </w:tbl>
    <w:p w14:paraId="7E6D24F9">
      <w:pPr>
        <w:spacing w:line="300" w:lineRule="auto"/>
        <w:rPr>
          <w:rFonts w:hint="eastAsia" w:cs="宋体"/>
          <w:szCs w:val="21"/>
          <w:u w:val="single"/>
        </w:rPr>
      </w:pPr>
    </w:p>
    <w:p w14:paraId="722583F5">
      <w:pPr>
        <w:ind w:right="1008" w:firstLine="4284" w:firstLineChars="1700"/>
        <w:rPr>
          <w:rFonts w:hint="eastAsia" w:cs="宋体"/>
          <w:spacing w:val="6"/>
          <w:szCs w:val="24"/>
        </w:rPr>
      </w:pPr>
      <w:r>
        <w:rPr>
          <w:rFonts w:hint="eastAsia" w:cs="宋体"/>
          <w:spacing w:val="6"/>
          <w:szCs w:val="24"/>
        </w:rPr>
        <w:t>供应商名称（公章）：</w:t>
      </w:r>
    </w:p>
    <w:p w14:paraId="3E12E4B6">
      <w:pPr>
        <w:ind w:right="1008" w:firstLine="4284" w:firstLineChars="1700"/>
        <w:rPr>
          <w:rFonts w:hint="eastAsia" w:cs="宋体"/>
          <w:spacing w:val="6"/>
          <w:szCs w:val="24"/>
        </w:rPr>
      </w:pPr>
      <w:r>
        <w:rPr>
          <w:rFonts w:hint="eastAsia" w:cs="宋体"/>
          <w:spacing w:val="6"/>
          <w:szCs w:val="24"/>
        </w:rPr>
        <w:t>日期：   年  月  日</w:t>
      </w:r>
    </w:p>
    <w:p w14:paraId="7F06D8BF">
      <w:pPr>
        <w:rPr>
          <w:rFonts w:hint="eastAsia" w:cs="宋体"/>
          <w:szCs w:val="24"/>
        </w:rPr>
      </w:pPr>
    </w:p>
    <w:p w14:paraId="32EAA7DC">
      <w:pPr>
        <w:pStyle w:val="5"/>
        <w:rPr>
          <w:rFonts w:hint="eastAsia" w:ascii="宋体" w:hAnsi="宋体" w:cs="宋体"/>
          <w:szCs w:val="24"/>
        </w:rPr>
      </w:pPr>
    </w:p>
    <w:p w14:paraId="72E820C3">
      <w:pPr>
        <w:pStyle w:val="5"/>
        <w:rPr>
          <w:rFonts w:hint="eastAsia" w:ascii="宋体" w:hAnsi="宋体" w:cs="宋体"/>
          <w:szCs w:val="24"/>
        </w:rPr>
      </w:pPr>
    </w:p>
    <w:p w14:paraId="5F6A10D8">
      <w:pPr>
        <w:pStyle w:val="5"/>
        <w:rPr>
          <w:rFonts w:hint="eastAsia" w:ascii="宋体" w:hAnsi="宋体" w:cs="宋体"/>
          <w:szCs w:val="24"/>
        </w:rPr>
      </w:pPr>
    </w:p>
    <w:p w14:paraId="0C7F0235">
      <w:pPr>
        <w:pStyle w:val="5"/>
        <w:rPr>
          <w:rFonts w:hint="eastAsia" w:ascii="宋体" w:hAnsi="宋体" w:cs="宋体"/>
          <w:szCs w:val="24"/>
        </w:rPr>
      </w:pPr>
    </w:p>
    <w:p w14:paraId="0D1913F7">
      <w:pPr>
        <w:rPr>
          <w:rFonts w:hint="eastAsia" w:cs="宋体"/>
          <w:b/>
          <w:sz w:val="21"/>
          <w:szCs w:val="21"/>
        </w:rPr>
      </w:pPr>
      <w:r>
        <w:rPr>
          <w:rFonts w:hint="eastAsia" w:cs="宋体"/>
          <w:b/>
          <w:sz w:val="21"/>
          <w:szCs w:val="21"/>
        </w:rPr>
        <w:t>注：</w:t>
      </w:r>
    </w:p>
    <w:p w14:paraId="00CD98A3">
      <w:pPr>
        <w:pStyle w:val="5"/>
        <w:ind w:firstLine="420" w:firstLineChars="200"/>
        <w:rPr>
          <w:rFonts w:hint="eastAsia" w:ascii="宋体" w:hAnsi="宋体" w:cs="宋体"/>
          <w:sz w:val="21"/>
          <w:szCs w:val="21"/>
        </w:rPr>
      </w:pPr>
      <w:r>
        <w:rPr>
          <w:rFonts w:hint="eastAsia" w:ascii="宋体" w:hAnsi="宋体" w:cs="宋体"/>
          <w:sz w:val="21"/>
          <w:szCs w:val="21"/>
        </w:rPr>
        <w:t>1.表中磋商报价即为分项报价表中的报价合计。</w:t>
      </w:r>
    </w:p>
    <w:p w14:paraId="21430006">
      <w:pPr>
        <w:pStyle w:val="5"/>
        <w:ind w:firstLine="420" w:firstLineChars="200"/>
        <w:rPr>
          <w:rFonts w:hint="eastAsia" w:ascii="宋体" w:hAnsi="宋体" w:cs="宋体"/>
          <w:sz w:val="21"/>
          <w:szCs w:val="21"/>
        </w:rPr>
      </w:pPr>
      <w:r>
        <w:rPr>
          <w:rFonts w:hint="eastAsia" w:ascii="宋体" w:hAnsi="宋体" w:cs="宋体"/>
          <w:sz w:val="21"/>
          <w:szCs w:val="21"/>
        </w:rPr>
        <w:t>2.特殊事项在备注中注明。</w:t>
      </w:r>
    </w:p>
    <w:p w14:paraId="72D116AE">
      <w:pPr>
        <w:pStyle w:val="5"/>
        <w:ind w:firstLine="420" w:firstLineChars="200"/>
        <w:rPr>
          <w:rFonts w:hint="eastAsia" w:ascii="宋体" w:hAnsi="宋体" w:cs="宋体"/>
          <w:sz w:val="21"/>
          <w:szCs w:val="21"/>
        </w:rPr>
        <w:sectPr>
          <w:pgSz w:w="11905" w:h="16840"/>
          <w:pgMar w:top="1440" w:right="1797" w:bottom="1440" w:left="1797" w:header="851" w:footer="850" w:gutter="0"/>
          <w:pgNumType w:fmt="numberInDash"/>
          <w:cols w:space="720" w:num="1"/>
        </w:sectPr>
      </w:pPr>
      <w:r>
        <w:rPr>
          <w:rFonts w:hint="eastAsia" w:ascii="宋体" w:hAnsi="宋体" w:cs="宋体"/>
          <w:sz w:val="21"/>
          <w:szCs w:val="21"/>
        </w:rPr>
        <w:t>3.表中大写与小写不一致的，以大写为准。</w:t>
      </w:r>
    </w:p>
    <w:p w14:paraId="204D3790">
      <w:pPr>
        <w:pStyle w:val="8"/>
        <w:jc w:val="center"/>
        <w:rPr>
          <w:rFonts w:hint="eastAsia"/>
        </w:rPr>
      </w:pPr>
      <w:bookmarkStart w:id="817" w:name="_Toc171"/>
      <w:r>
        <w:rPr>
          <w:rFonts w:hint="eastAsia"/>
        </w:rPr>
        <w:t>2、分项报价表</w:t>
      </w:r>
      <w:bookmarkEnd w:id="817"/>
    </w:p>
    <w:p w14:paraId="29026867">
      <w:pPr>
        <w:rPr>
          <w:rFonts w:hint="eastAsia" w:cs="宋体"/>
          <w:bCs/>
          <w:szCs w:val="21"/>
          <w:lang w:val="zh-CN"/>
        </w:rPr>
      </w:pPr>
      <w:r>
        <w:rPr>
          <w:rFonts w:hint="eastAsia" w:cs="宋体"/>
          <w:bCs/>
          <w:szCs w:val="21"/>
          <w:lang w:val="zh-CN"/>
        </w:rPr>
        <w:t>项目名称：</w:t>
      </w:r>
      <w:r>
        <w:rPr>
          <w:rFonts w:hint="eastAsia" w:cs="宋体"/>
          <w:bCs/>
          <w:szCs w:val="21"/>
          <w:u w:val="single"/>
          <w:lang w:val="zh-CN"/>
        </w:rPr>
        <w:t xml:space="preserve">                  </w:t>
      </w:r>
      <w:r>
        <w:rPr>
          <w:rFonts w:hint="eastAsia" w:cs="宋体"/>
          <w:bCs/>
          <w:szCs w:val="21"/>
          <w:u w:val="single"/>
        </w:rPr>
        <w:t xml:space="preserve">     </w:t>
      </w:r>
      <w:r>
        <w:rPr>
          <w:rFonts w:hint="eastAsia" w:cs="宋体"/>
          <w:bCs/>
          <w:szCs w:val="21"/>
          <w:u w:val="single"/>
          <w:lang w:val="zh-CN"/>
        </w:rPr>
        <w:t xml:space="preserve">   </w:t>
      </w:r>
    </w:p>
    <w:p w14:paraId="10625DE0">
      <w:pPr>
        <w:rPr>
          <w:rFonts w:hint="eastAsia" w:cs="宋体"/>
          <w:bCs/>
          <w:szCs w:val="21"/>
          <w:u w:val="single"/>
          <w:lang w:val="zh-CN"/>
        </w:rPr>
      </w:pPr>
      <w:r>
        <w:rPr>
          <w:rFonts w:hint="eastAsia" w:cs="宋体"/>
          <w:bCs/>
          <w:szCs w:val="21"/>
          <w:lang w:val="zh-CN"/>
        </w:rPr>
        <w:t>项目编号</w:t>
      </w:r>
      <w:r>
        <w:rPr>
          <w:rFonts w:hint="eastAsia" w:cs="宋体"/>
          <w:bCs/>
          <w:szCs w:val="21"/>
        </w:rPr>
        <w:t>/</w:t>
      </w:r>
      <w:r>
        <w:rPr>
          <w:rFonts w:hint="eastAsia" w:cs="宋体"/>
          <w:bCs/>
          <w:szCs w:val="21"/>
          <w:lang w:val="zh-CN"/>
        </w:rPr>
        <w:t>包号：</w:t>
      </w:r>
      <w:r>
        <w:rPr>
          <w:rFonts w:hint="eastAsia" w:cs="宋体"/>
          <w:bCs/>
          <w:szCs w:val="21"/>
          <w:u w:val="single"/>
          <w:lang w:val="zh-CN"/>
        </w:rPr>
        <w:t xml:space="preserve">                     </w:t>
      </w:r>
    </w:p>
    <w:tbl>
      <w:tblPr>
        <w:tblStyle w:val="19"/>
        <w:tblW w:w="89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5"/>
        <w:gridCol w:w="3720"/>
        <w:gridCol w:w="1065"/>
        <w:gridCol w:w="1065"/>
        <w:gridCol w:w="1066"/>
        <w:gridCol w:w="947"/>
      </w:tblGrid>
      <w:tr w14:paraId="3C164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vAlign w:val="center"/>
          </w:tcPr>
          <w:p w14:paraId="73E32B45">
            <w:pPr>
              <w:adjustRightInd w:val="0"/>
              <w:snapToGrid w:val="0"/>
              <w:spacing w:line="240" w:lineRule="auto"/>
              <w:jc w:val="center"/>
              <w:rPr>
                <w:rFonts w:hint="eastAsia" w:cs="宋体"/>
                <w:szCs w:val="21"/>
              </w:rPr>
            </w:pPr>
            <w:r>
              <w:rPr>
                <w:rFonts w:hint="eastAsia" w:cs="宋体"/>
                <w:szCs w:val="21"/>
              </w:rPr>
              <w:t>序号</w:t>
            </w:r>
          </w:p>
        </w:tc>
        <w:tc>
          <w:tcPr>
            <w:tcW w:w="3720" w:type="dxa"/>
            <w:vAlign w:val="center"/>
          </w:tcPr>
          <w:p w14:paraId="7DFEAF8B">
            <w:pPr>
              <w:adjustRightInd w:val="0"/>
              <w:snapToGrid w:val="0"/>
              <w:spacing w:line="240" w:lineRule="auto"/>
              <w:jc w:val="center"/>
              <w:rPr>
                <w:rFonts w:hint="eastAsia" w:cs="宋体"/>
                <w:szCs w:val="21"/>
              </w:rPr>
            </w:pPr>
            <w:r>
              <w:rPr>
                <w:rFonts w:hint="eastAsia" w:cs="宋体"/>
                <w:szCs w:val="21"/>
              </w:rPr>
              <w:t>名称</w:t>
            </w:r>
          </w:p>
        </w:tc>
        <w:tc>
          <w:tcPr>
            <w:tcW w:w="1065" w:type="dxa"/>
            <w:vAlign w:val="center"/>
          </w:tcPr>
          <w:p w14:paraId="27450FD1">
            <w:pPr>
              <w:adjustRightInd w:val="0"/>
              <w:snapToGrid w:val="0"/>
              <w:spacing w:line="240" w:lineRule="auto"/>
              <w:jc w:val="center"/>
              <w:rPr>
                <w:rFonts w:hint="eastAsia" w:cs="宋体"/>
                <w:szCs w:val="21"/>
              </w:rPr>
            </w:pPr>
            <w:r>
              <w:rPr>
                <w:rFonts w:hint="eastAsia" w:cs="宋体"/>
                <w:szCs w:val="21"/>
              </w:rPr>
              <w:t>数量</w:t>
            </w:r>
          </w:p>
        </w:tc>
        <w:tc>
          <w:tcPr>
            <w:tcW w:w="1065" w:type="dxa"/>
            <w:vAlign w:val="center"/>
          </w:tcPr>
          <w:p w14:paraId="164E46E3">
            <w:pPr>
              <w:adjustRightInd w:val="0"/>
              <w:snapToGrid w:val="0"/>
              <w:spacing w:line="240" w:lineRule="auto"/>
              <w:jc w:val="center"/>
              <w:rPr>
                <w:rFonts w:hint="eastAsia" w:cs="宋体"/>
                <w:szCs w:val="21"/>
              </w:rPr>
            </w:pPr>
            <w:r>
              <w:rPr>
                <w:rFonts w:hint="eastAsia" w:cs="宋体"/>
                <w:szCs w:val="21"/>
              </w:rPr>
              <w:t>单价（元）</w:t>
            </w:r>
          </w:p>
        </w:tc>
        <w:tc>
          <w:tcPr>
            <w:tcW w:w="1066" w:type="dxa"/>
            <w:vAlign w:val="center"/>
          </w:tcPr>
          <w:p w14:paraId="66554913">
            <w:pPr>
              <w:adjustRightInd w:val="0"/>
              <w:snapToGrid w:val="0"/>
              <w:spacing w:line="240" w:lineRule="auto"/>
              <w:jc w:val="center"/>
              <w:rPr>
                <w:rFonts w:hint="eastAsia" w:cs="宋体"/>
                <w:szCs w:val="21"/>
              </w:rPr>
            </w:pPr>
            <w:r>
              <w:rPr>
                <w:rFonts w:hint="eastAsia" w:cs="宋体"/>
                <w:szCs w:val="21"/>
              </w:rPr>
              <w:t>总价</w:t>
            </w:r>
          </w:p>
        </w:tc>
        <w:tc>
          <w:tcPr>
            <w:tcW w:w="947" w:type="dxa"/>
            <w:vAlign w:val="center"/>
          </w:tcPr>
          <w:p w14:paraId="0844CD84">
            <w:pPr>
              <w:adjustRightInd w:val="0"/>
              <w:snapToGrid w:val="0"/>
              <w:spacing w:line="240" w:lineRule="auto"/>
              <w:jc w:val="center"/>
              <w:rPr>
                <w:rFonts w:hint="eastAsia" w:cs="宋体"/>
                <w:szCs w:val="21"/>
              </w:rPr>
            </w:pPr>
            <w:r>
              <w:rPr>
                <w:rFonts w:hint="eastAsia" w:cs="宋体"/>
                <w:szCs w:val="21"/>
              </w:rPr>
              <w:t>备注</w:t>
            </w:r>
          </w:p>
        </w:tc>
      </w:tr>
      <w:tr w14:paraId="3EE0B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vAlign w:val="center"/>
          </w:tcPr>
          <w:p w14:paraId="2A019F2B">
            <w:pPr>
              <w:adjustRightInd w:val="0"/>
              <w:snapToGrid w:val="0"/>
              <w:spacing w:line="240" w:lineRule="auto"/>
              <w:jc w:val="center"/>
              <w:rPr>
                <w:rFonts w:hint="eastAsia" w:cs="宋体"/>
                <w:szCs w:val="21"/>
              </w:rPr>
            </w:pPr>
            <w:r>
              <w:rPr>
                <w:rFonts w:hint="eastAsia" w:cs="宋体"/>
                <w:szCs w:val="21"/>
              </w:rPr>
              <w:t>1</w:t>
            </w:r>
          </w:p>
        </w:tc>
        <w:tc>
          <w:tcPr>
            <w:tcW w:w="3720" w:type="dxa"/>
            <w:vAlign w:val="center"/>
          </w:tcPr>
          <w:p w14:paraId="742DBB39">
            <w:pPr>
              <w:adjustRightInd w:val="0"/>
              <w:snapToGrid w:val="0"/>
              <w:spacing w:line="240" w:lineRule="auto"/>
              <w:jc w:val="center"/>
              <w:rPr>
                <w:rFonts w:hint="eastAsia" w:cs="宋体"/>
                <w:szCs w:val="21"/>
              </w:rPr>
            </w:pPr>
          </w:p>
        </w:tc>
        <w:tc>
          <w:tcPr>
            <w:tcW w:w="1065" w:type="dxa"/>
            <w:vAlign w:val="center"/>
          </w:tcPr>
          <w:p w14:paraId="6782E57C">
            <w:pPr>
              <w:adjustRightInd w:val="0"/>
              <w:snapToGrid w:val="0"/>
              <w:spacing w:line="240" w:lineRule="auto"/>
              <w:jc w:val="center"/>
              <w:rPr>
                <w:rFonts w:hint="eastAsia" w:cs="宋体"/>
                <w:szCs w:val="21"/>
              </w:rPr>
            </w:pPr>
          </w:p>
        </w:tc>
        <w:tc>
          <w:tcPr>
            <w:tcW w:w="1065" w:type="dxa"/>
            <w:vAlign w:val="center"/>
          </w:tcPr>
          <w:p w14:paraId="2DF1B958">
            <w:pPr>
              <w:adjustRightInd w:val="0"/>
              <w:snapToGrid w:val="0"/>
              <w:spacing w:line="240" w:lineRule="auto"/>
              <w:jc w:val="center"/>
              <w:rPr>
                <w:rFonts w:hint="eastAsia" w:cs="宋体"/>
                <w:szCs w:val="21"/>
              </w:rPr>
            </w:pPr>
          </w:p>
        </w:tc>
        <w:tc>
          <w:tcPr>
            <w:tcW w:w="1066" w:type="dxa"/>
            <w:vAlign w:val="center"/>
          </w:tcPr>
          <w:p w14:paraId="443E95BF">
            <w:pPr>
              <w:adjustRightInd w:val="0"/>
              <w:snapToGrid w:val="0"/>
              <w:spacing w:line="240" w:lineRule="auto"/>
              <w:jc w:val="center"/>
              <w:rPr>
                <w:rFonts w:hint="eastAsia" w:cs="宋体"/>
                <w:szCs w:val="21"/>
              </w:rPr>
            </w:pPr>
          </w:p>
        </w:tc>
        <w:tc>
          <w:tcPr>
            <w:tcW w:w="947" w:type="dxa"/>
            <w:vAlign w:val="center"/>
          </w:tcPr>
          <w:p w14:paraId="7BB2A75B">
            <w:pPr>
              <w:adjustRightInd w:val="0"/>
              <w:snapToGrid w:val="0"/>
              <w:spacing w:line="240" w:lineRule="auto"/>
              <w:jc w:val="center"/>
              <w:rPr>
                <w:rFonts w:hint="eastAsia" w:cs="宋体"/>
                <w:szCs w:val="21"/>
              </w:rPr>
            </w:pPr>
          </w:p>
        </w:tc>
      </w:tr>
      <w:tr w14:paraId="4DE98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trPr>
        <w:tc>
          <w:tcPr>
            <w:tcW w:w="1065" w:type="dxa"/>
            <w:vAlign w:val="center"/>
          </w:tcPr>
          <w:p w14:paraId="0EA60172">
            <w:pPr>
              <w:adjustRightInd w:val="0"/>
              <w:snapToGrid w:val="0"/>
              <w:spacing w:line="240" w:lineRule="auto"/>
              <w:jc w:val="center"/>
              <w:rPr>
                <w:rFonts w:hint="eastAsia" w:cs="宋体"/>
                <w:szCs w:val="21"/>
              </w:rPr>
            </w:pPr>
            <w:r>
              <w:rPr>
                <w:rFonts w:hint="eastAsia" w:cs="宋体"/>
                <w:szCs w:val="21"/>
              </w:rPr>
              <w:t>2</w:t>
            </w:r>
          </w:p>
        </w:tc>
        <w:tc>
          <w:tcPr>
            <w:tcW w:w="3720" w:type="dxa"/>
            <w:vAlign w:val="center"/>
          </w:tcPr>
          <w:p w14:paraId="3AD5A332">
            <w:pPr>
              <w:adjustRightInd w:val="0"/>
              <w:snapToGrid w:val="0"/>
              <w:spacing w:line="240" w:lineRule="auto"/>
              <w:jc w:val="center"/>
              <w:rPr>
                <w:rFonts w:hint="eastAsia" w:cs="宋体"/>
                <w:szCs w:val="21"/>
              </w:rPr>
            </w:pPr>
          </w:p>
        </w:tc>
        <w:tc>
          <w:tcPr>
            <w:tcW w:w="1065" w:type="dxa"/>
            <w:vAlign w:val="center"/>
          </w:tcPr>
          <w:p w14:paraId="00FD4A93">
            <w:pPr>
              <w:adjustRightInd w:val="0"/>
              <w:snapToGrid w:val="0"/>
              <w:spacing w:line="240" w:lineRule="auto"/>
              <w:jc w:val="center"/>
              <w:rPr>
                <w:rFonts w:hint="eastAsia" w:cs="宋体"/>
                <w:szCs w:val="21"/>
              </w:rPr>
            </w:pPr>
          </w:p>
        </w:tc>
        <w:tc>
          <w:tcPr>
            <w:tcW w:w="1065" w:type="dxa"/>
            <w:vAlign w:val="center"/>
          </w:tcPr>
          <w:p w14:paraId="6625C920">
            <w:pPr>
              <w:adjustRightInd w:val="0"/>
              <w:snapToGrid w:val="0"/>
              <w:spacing w:line="240" w:lineRule="auto"/>
              <w:jc w:val="center"/>
              <w:rPr>
                <w:rFonts w:hint="eastAsia" w:cs="宋体"/>
                <w:szCs w:val="21"/>
              </w:rPr>
            </w:pPr>
          </w:p>
        </w:tc>
        <w:tc>
          <w:tcPr>
            <w:tcW w:w="1066" w:type="dxa"/>
            <w:vAlign w:val="center"/>
          </w:tcPr>
          <w:p w14:paraId="42E8179C">
            <w:pPr>
              <w:adjustRightInd w:val="0"/>
              <w:snapToGrid w:val="0"/>
              <w:spacing w:line="240" w:lineRule="auto"/>
              <w:jc w:val="center"/>
              <w:rPr>
                <w:rFonts w:hint="eastAsia" w:cs="宋体"/>
                <w:szCs w:val="21"/>
              </w:rPr>
            </w:pPr>
          </w:p>
        </w:tc>
        <w:tc>
          <w:tcPr>
            <w:tcW w:w="947" w:type="dxa"/>
            <w:vAlign w:val="center"/>
          </w:tcPr>
          <w:p w14:paraId="091C21CD">
            <w:pPr>
              <w:adjustRightInd w:val="0"/>
              <w:snapToGrid w:val="0"/>
              <w:spacing w:line="240" w:lineRule="auto"/>
              <w:jc w:val="center"/>
              <w:rPr>
                <w:rFonts w:hint="eastAsia" w:cs="宋体"/>
                <w:szCs w:val="21"/>
              </w:rPr>
            </w:pPr>
          </w:p>
        </w:tc>
      </w:tr>
      <w:tr w14:paraId="4DEA1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vAlign w:val="center"/>
          </w:tcPr>
          <w:p w14:paraId="6DC0CDA8">
            <w:pPr>
              <w:adjustRightInd w:val="0"/>
              <w:snapToGrid w:val="0"/>
              <w:spacing w:line="240" w:lineRule="auto"/>
              <w:jc w:val="center"/>
              <w:rPr>
                <w:rFonts w:hint="eastAsia" w:cs="宋体"/>
                <w:szCs w:val="21"/>
              </w:rPr>
            </w:pPr>
            <w:r>
              <w:rPr>
                <w:rFonts w:hint="eastAsia" w:cs="宋体"/>
                <w:szCs w:val="21"/>
              </w:rPr>
              <w:t>3</w:t>
            </w:r>
          </w:p>
        </w:tc>
        <w:tc>
          <w:tcPr>
            <w:tcW w:w="3720" w:type="dxa"/>
            <w:vAlign w:val="center"/>
          </w:tcPr>
          <w:p w14:paraId="13E18609">
            <w:pPr>
              <w:adjustRightInd w:val="0"/>
              <w:snapToGrid w:val="0"/>
              <w:spacing w:line="240" w:lineRule="auto"/>
              <w:jc w:val="center"/>
              <w:rPr>
                <w:rFonts w:hint="eastAsia" w:cs="宋体"/>
                <w:szCs w:val="21"/>
              </w:rPr>
            </w:pPr>
          </w:p>
        </w:tc>
        <w:tc>
          <w:tcPr>
            <w:tcW w:w="1065" w:type="dxa"/>
            <w:vAlign w:val="center"/>
          </w:tcPr>
          <w:p w14:paraId="6DDEC952">
            <w:pPr>
              <w:adjustRightInd w:val="0"/>
              <w:snapToGrid w:val="0"/>
              <w:spacing w:line="240" w:lineRule="auto"/>
              <w:jc w:val="center"/>
              <w:rPr>
                <w:rFonts w:hint="eastAsia" w:cs="宋体"/>
                <w:szCs w:val="21"/>
              </w:rPr>
            </w:pPr>
          </w:p>
        </w:tc>
        <w:tc>
          <w:tcPr>
            <w:tcW w:w="1065" w:type="dxa"/>
            <w:vAlign w:val="center"/>
          </w:tcPr>
          <w:p w14:paraId="3166139D">
            <w:pPr>
              <w:adjustRightInd w:val="0"/>
              <w:snapToGrid w:val="0"/>
              <w:spacing w:line="240" w:lineRule="auto"/>
              <w:jc w:val="center"/>
              <w:rPr>
                <w:rFonts w:hint="eastAsia" w:cs="宋体"/>
                <w:szCs w:val="21"/>
              </w:rPr>
            </w:pPr>
          </w:p>
        </w:tc>
        <w:tc>
          <w:tcPr>
            <w:tcW w:w="1066" w:type="dxa"/>
            <w:vAlign w:val="center"/>
          </w:tcPr>
          <w:p w14:paraId="12746D67">
            <w:pPr>
              <w:adjustRightInd w:val="0"/>
              <w:snapToGrid w:val="0"/>
              <w:spacing w:line="240" w:lineRule="auto"/>
              <w:jc w:val="center"/>
              <w:rPr>
                <w:rFonts w:hint="eastAsia" w:cs="宋体"/>
                <w:szCs w:val="21"/>
              </w:rPr>
            </w:pPr>
          </w:p>
        </w:tc>
        <w:tc>
          <w:tcPr>
            <w:tcW w:w="947" w:type="dxa"/>
            <w:vAlign w:val="center"/>
          </w:tcPr>
          <w:p w14:paraId="4168050F">
            <w:pPr>
              <w:adjustRightInd w:val="0"/>
              <w:snapToGrid w:val="0"/>
              <w:spacing w:line="240" w:lineRule="auto"/>
              <w:jc w:val="center"/>
              <w:rPr>
                <w:rFonts w:hint="eastAsia" w:cs="宋体"/>
                <w:szCs w:val="21"/>
              </w:rPr>
            </w:pPr>
          </w:p>
        </w:tc>
      </w:tr>
      <w:tr w14:paraId="49EA3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vAlign w:val="center"/>
          </w:tcPr>
          <w:p w14:paraId="3C54B9C3">
            <w:pPr>
              <w:adjustRightInd w:val="0"/>
              <w:snapToGrid w:val="0"/>
              <w:spacing w:line="240" w:lineRule="auto"/>
              <w:jc w:val="center"/>
              <w:rPr>
                <w:rFonts w:hint="eastAsia" w:cs="宋体"/>
                <w:szCs w:val="21"/>
              </w:rPr>
            </w:pPr>
            <w:r>
              <w:rPr>
                <w:rFonts w:hint="eastAsia" w:cs="宋体"/>
                <w:szCs w:val="21"/>
              </w:rPr>
              <w:t>4</w:t>
            </w:r>
          </w:p>
        </w:tc>
        <w:tc>
          <w:tcPr>
            <w:tcW w:w="3720" w:type="dxa"/>
            <w:vAlign w:val="center"/>
          </w:tcPr>
          <w:p w14:paraId="22B4CB92">
            <w:pPr>
              <w:adjustRightInd w:val="0"/>
              <w:snapToGrid w:val="0"/>
              <w:spacing w:line="240" w:lineRule="auto"/>
              <w:jc w:val="center"/>
              <w:rPr>
                <w:rFonts w:hint="eastAsia" w:cs="宋体"/>
                <w:szCs w:val="21"/>
              </w:rPr>
            </w:pPr>
          </w:p>
        </w:tc>
        <w:tc>
          <w:tcPr>
            <w:tcW w:w="1065" w:type="dxa"/>
            <w:vAlign w:val="center"/>
          </w:tcPr>
          <w:p w14:paraId="329B2B05">
            <w:pPr>
              <w:adjustRightInd w:val="0"/>
              <w:snapToGrid w:val="0"/>
              <w:spacing w:line="240" w:lineRule="auto"/>
              <w:jc w:val="center"/>
              <w:rPr>
                <w:rFonts w:hint="eastAsia" w:cs="宋体"/>
                <w:szCs w:val="21"/>
              </w:rPr>
            </w:pPr>
          </w:p>
        </w:tc>
        <w:tc>
          <w:tcPr>
            <w:tcW w:w="1065" w:type="dxa"/>
            <w:vAlign w:val="center"/>
          </w:tcPr>
          <w:p w14:paraId="4D4F6621">
            <w:pPr>
              <w:adjustRightInd w:val="0"/>
              <w:snapToGrid w:val="0"/>
              <w:spacing w:line="240" w:lineRule="auto"/>
              <w:jc w:val="center"/>
              <w:rPr>
                <w:rFonts w:hint="eastAsia" w:cs="宋体"/>
                <w:szCs w:val="21"/>
              </w:rPr>
            </w:pPr>
          </w:p>
        </w:tc>
        <w:tc>
          <w:tcPr>
            <w:tcW w:w="1066" w:type="dxa"/>
            <w:vAlign w:val="center"/>
          </w:tcPr>
          <w:p w14:paraId="36165324">
            <w:pPr>
              <w:adjustRightInd w:val="0"/>
              <w:snapToGrid w:val="0"/>
              <w:spacing w:line="240" w:lineRule="auto"/>
              <w:jc w:val="center"/>
              <w:rPr>
                <w:rFonts w:hint="eastAsia" w:cs="宋体"/>
                <w:szCs w:val="21"/>
              </w:rPr>
            </w:pPr>
          </w:p>
        </w:tc>
        <w:tc>
          <w:tcPr>
            <w:tcW w:w="947" w:type="dxa"/>
            <w:vAlign w:val="center"/>
          </w:tcPr>
          <w:p w14:paraId="55EE86A4">
            <w:pPr>
              <w:adjustRightInd w:val="0"/>
              <w:snapToGrid w:val="0"/>
              <w:spacing w:line="240" w:lineRule="auto"/>
              <w:jc w:val="center"/>
              <w:rPr>
                <w:rFonts w:hint="eastAsia" w:cs="宋体"/>
                <w:szCs w:val="21"/>
              </w:rPr>
            </w:pPr>
          </w:p>
        </w:tc>
      </w:tr>
      <w:tr w14:paraId="6A2DE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vAlign w:val="center"/>
          </w:tcPr>
          <w:p w14:paraId="49E6C15C">
            <w:pPr>
              <w:adjustRightInd w:val="0"/>
              <w:snapToGrid w:val="0"/>
              <w:spacing w:line="240" w:lineRule="auto"/>
              <w:jc w:val="center"/>
              <w:rPr>
                <w:rFonts w:hint="eastAsia" w:cs="宋体"/>
                <w:szCs w:val="21"/>
              </w:rPr>
            </w:pPr>
            <w:r>
              <w:rPr>
                <w:rFonts w:hint="eastAsia" w:cs="宋体"/>
                <w:szCs w:val="21"/>
              </w:rPr>
              <w:t>5</w:t>
            </w:r>
          </w:p>
        </w:tc>
        <w:tc>
          <w:tcPr>
            <w:tcW w:w="3720" w:type="dxa"/>
            <w:vAlign w:val="center"/>
          </w:tcPr>
          <w:p w14:paraId="54B79CC5">
            <w:pPr>
              <w:adjustRightInd w:val="0"/>
              <w:snapToGrid w:val="0"/>
              <w:spacing w:line="240" w:lineRule="auto"/>
              <w:jc w:val="center"/>
              <w:rPr>
                <w:rFonts w:hint="eastAsia" w:cs="宋体"/>
                <w:szCs w:val="21"/>
              </w:rPr>
            </w:pPr>
          </w:p>
        </w:tc>
        <w:tc>
          <w:tcPr>
            <w:tcW w:w="1065" w:type="dxa"/>
            <w:vAlign w:val="center"/>
          </w:tcPr>
          <w:p w14:paraId="72362345">
            <w:pPr>
              <w:adjustRightInd w:val="0"/>
              <w:snapToGrid w:val="0"/>
              <w:spacing w:line="240" w:lineRule="auto"/>
              <w:jc w:val="center"/>
              <w:rPr>
                <w:rFonts w:hint="eastAsia" w:cs="宋体"/>
                <w:szCs w:val="21"/>
              </w:rPr>
            </w:pPr>
          </w:p>
        </w:tc>
        <w:tc>
          <w:tcPr>
            <w:tcW w:w="1065" w:type="dxa"/>
            <w:vAlign w:val="center"/>
          </w:tcPr>
          <w:p w14:paraId="6136DCDF">
            <w:pPr>
              <w:adjustRightInd w:val="0"/>
              <w:snapToGrid w:val="0"/>
              <w:spacing w:line="240" w:lineRule="auto"/>
              <w:jc w:val="center"/>
              <w:rPr>
                <w:rFonts w:hint="eastAsia" w:cs="宋体"/>
                <w:szCs w:val="21"/>
              </w:rPr>
            </w:pPr>
          </w:p>
        </w:tc>
        <w:tc>
          <w:tcPr>
            <w:tcW w:w="1066" w:type="dxa"/>
            <w:vAlign w:val="center"/>
          </w:tcPr>
          <w:p w14:paraId="044B0F79">
            <w:pPr>
              <w:adjustRightInd w:val="0"/>
              <w:snapToGrid w:val="0"/>
              <w:spacing w:line="240" w:lineRule="auto"/>
              <w:jc w:val="center"/>
              <w:rPr>
                <w:rFonts w:hint="eastAsia" w:cs="宋体"/>
                <w:szCs w:val="21"/>
              </w:rPr>
            </w:pPr>
          </w:p>
        </w:tc>
        <w:tc>
          <w:tcPr>
            <w:tcW w:w="947" w:type="dxa"/>
            <w:vAlign w:val="center"/>
          </w:tcPr>
          <w:p w14:paraId="7805106B">
            <w:pPr>
              <w:adjustRightInd w:val="0"/>
              <w:snapToGrid w:val="0"/>
              <w:spacing w:line="240" w:lineRule="auto"/>
              <w:jc w:val="center"/>
              <w:rPr>
                <w:rFonts w:hint="eastAsia" w:cs="宋体"/>
                <w:szCs w:val="21"/>
              </w:rPr>
            </w:pPr>
          </w:p>
        </w:tc>
      </w:tr>
      <w:tr w14:paraId="0AEC8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vAlign w:val="center"/>
          </w:tcPr>
          <w:p w14:paraId="5DE3F5E7">
            <w:pPr>
              <w:adjustRightInd w:val="0"/>
              <w:snapToGrid w:val="0"/>
              <w:spacing w:line="240" w:lineRule="auto"/>
              <w:jc w:val="center"/>
              <w:rPr>
                <w:rFonts w:hint="eastAsia" w:cs="宋体"/>
                <w:szCs w:val="21"/>
              </w:rPr>
            </w:pPr>
            <w:r>
              <w:rPr>
                <w:rFonts w:hint="eastAsia" w:cs="宋体"/>
                <w:szCs w:val="21"/>
              </w:rPr>
              <w:t>6</w:t>
            </w:r>
          </w:p>
        </w:tc>
        <w:tc>
          <w:tcPr>
            <w:tcW w:w="3720" w:type="dxa"/>
            <w:vAlign w:val="center"/>
          </w:tcPr>
          <w:p w14:paraId="11553737">
            <w:pPr>
              <w:adjustRightInd w:val="0"/>
              <w:snapToGrid w:val="0"/>
              <w:spacing w:line="240" w:lineRule="auto"/>
              <w:jc w:val="center"/>
              <w:rPr>
                <w:rFonts w:hint="eastAsia" w:cs="宋体"/>
                <w:szCs w:val="21"/>
              </w:rPr>
            </w:pPr>
          </w:p>
        </w:tc>
        <w:tc>
          <w:tcPr>
            <w:tcW w:w="1065" w:type="dxa"/>
            <w:vAlign w:val="center"/>
          </w:tcPr>
          <w:p w14:paraId="35849067">
            <w:pPr>
              <w:adjustRightInd w:val="0"/>
              <w:snapToGrid w:val="0"/>
              <w:spacing w:line="240" w:lineRule="auto"/>
              <w:jc w:val="center"/>
              <w:rPr>
                <w:rFonts w:hint="eastAsia" w:cs="宋体"/>
                <w:szCs w:val="21"/>
              </w:rPr>
            </w:pPr>
          </w:p>
        </w:tc>
        <w:tc>
          <w:tcPr>
            <w:tcW w:w="1065" w:type="dxa"/>
            <w:vAlign w:val="center"/>
          </w:tcPr>
          <w:p w14:paraId="2EBA4A09">
            <w:pPr>
              <w:adjustRightInd w:val="0"/>
              <w:snapToGrid w:val="0"/>
              <w:spacing w:line="240" w:lineRule="auto"/>
              <w:jc w:val="center"/>
              <w:rPr>
                <w:rFonts w:hint="eastAsia" w:cs="宋体"/>
                <w:szCs w:val="21"/>
              </w:rPr>
            </w:pPr>
          </w:p>
        </w:tc>
        <w:tc>
          <w:tcPr>
            <w:tcW w:w="1066" w:type="dxa"/>
            <w:vAlign w:val="center"/>
          </w:tcPr>
          <w:p w14:paraId="265D46D0">
            <w:pPr>
              <w:adjustRightInd w:val="0"/>
              <w:snapToGrid w:val="0"/>
              <w:spacing w:line="240" w:lineRule="auto"/>
              <w:jc w:val="center"/>
              <w:rPr>
                <w:rFonts w:hint="eastAsia" w:cs="宋体"/>
                <w:szCs w:val="21"/>
              </w:rPr>
            </w:pPr>
          </w:p>
        </w:tc>
        <w:tc>
          <w:tcPr>
            <w:tcW w:w="947" w:type="dxa"/>
            <w:vAlign w:val="center"/>
          </w:tcPr>
          <w:p w14:paraId="06D84024">
            <w:pPr>
              <w:adjustRightInd w:val="0"/>
              <w:snapToGrid w:val="0"/>
              <w:spacing w:line="240" w:lineRule="auto"/>
              <w:jc w:val="center"/>
              <w:rPr>
                <w:rFonts w:hint="eastAsia" w:cs="宋体"/>
                <w:szCs w:val="21"/>
              </w:rPr>
            </w:pPr>
          </w:p>
        </w:tc>
      </w:tr>
      <w:tr w14:paraId="39A18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vAlign w:val="center"/>
          </w:tcPr>
          <w:p w14:paraId="341B41C0">
            <w:pPr>
              <w:adjustRightInd w:val="0"/>
              <w:snapToGrid w:val="0"/>
              <w:spacing w:line="240" w:lineRule="auto"/>
              <w:jc w:val="center"/>
              <w:rPr>
                <w:rFonts w:hint="eastAsia" w:cs="宋体"/>
                <w:szCs w:val="21"/>
              </w:rPr>
            </w:pPr>
            <w:r>
              <w:rPr>
                <w:rFonts w:hint="eastAsia" w:cs="宋体"/>
                <w:szCs w:val="21"/>
              </w:rPr>
              <w:t>7</w:t>
            </w:r>
          </w:p>
        </w:tc>
        <w:tc>
          <w:tcPr>
            <w:tcW w:w="3720" w:type="dxa"/>
            <w:vAlign w:val="center"/>
          </w:tcPr>
          <w:p w14:paraId="32E5258B">
            <w:pPr>
              <w:adjustRightInd w:val="0"/>
              <w:snapToGrid w:val="0"/>
              <w:spacing w:line="240" w:lineRule="auto"/>
              <w:jc w:val="center"/>
              <w:rPr>
                <w:rFonts w:hint="eastAsia" w:cs="宋体"/>
                <w:szCs w:val="21"/>
              </w:rPr>
            </w:pPr>
          </w:p>
        </w:tc>
        <w:tc>
          <w:tcPr>
            <w:tcW w:w="1065" w:type="dxa"/>
            <w:vAlign w:val="center"/>
          </w:tcPr>
          <w:p w14:paraId="4C20D6B8">
            <w:pPr>
              <w:adjustRightInd w:val="0"/>
              <w:snapToGrid w:val="0"/>
              <w:spacing w:line="240" w:lineRule="auto"/>
              <w:jc w:val="center"/>
              <w:rPr>
                <w:rFonts w:hint="eastAsia" w:cs="宋体"/>
                <w:szCs w:val="21"/>
              </w:rPr>
            </w:pPr>
          </w:p>
        </w:tc>
        <w:tc>
          <w:tcPr>
            <w:tcW w:w="1065" w:type="dxa"/>
            <w:vAlign w:val="center"/>
          </w:tcPr>
          <w:p w14:paraId="74D48AF1">
            <w:pPr>
              <w:adjustRightInd w:val="0"/>
              <w:snapToGrid w:val="0"/>
              <w:spacing w:line="240" w:lineRule="auto"/>
              <w:jc w:val="center"/>
              <w:rPr>
                <w:rFonts w:hint="eastAsia" w:cs="宋体"/>
                <w:szCs w:val="21"/>
              </w:rPr>
            </w:pPr>
          </w:p>
        </w:tc>
        <w:tc>
          <w:tcPr>
            <w:tcW w:w="1066" w:type="dxa"/>
            <w:vAlign w:val="center"/>
          </w:tcPr>
          <w:p w14:paraId="52F9ED1C">
            <w:pPr>
              <w:adjustRightInd w:val="0"/>
              <w:snapToGrid w:val="0"/>
              <w:spacing w:line="240" w:lineRule="auto"/>
              <w:jc w:val="center"/>
              <w:rPr>
                <w:rFonts w:hint="eastAsia" w:cs="宋体"/>
                <w:szCs w:val="21"/>
              </w:rPr>
            </w:pPr>
          </w:p>
        </w:tc>
        <w:tc>
          <w:tcPr>
            <w:tcW w:w="947" w:type="dxa"/>
            <w:vAlign w:val="center"/>
          </w:tcPr>
          <w:p w14:paraId="5259B2EC">
            <w:pPr>
              <w:adjustRightInd w:val="0"/>
              <w:snapToGrid w:val="0"/>
              <w:spacing w:line="240" w:lineRule="auto"/>
              <w:jc w:val="center"/>
              <w:rPr>
                <w:rFonts w:hint="eastAsia" w:cs="宋体"/>
                <w:szCs w:val="21"/>
              </w:rPr>
            </w:pPr>
          </w:p>
        </w:tc>
      </w:tr>
      <w:tr w14:paraId="7266C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vAlign w:val="center"/>
          </w:tcPr>
          <w:p w14:paraId="3B1126C2">
            <w:pPr>
              <w:adjustRightInd w:val="0"/>
              <w:snapToGrid w:val="0"/>
              <w:spacing w:line="240" w:lineRule="auto"/>
              <w:jc w:val="center"/>
              <w:rPr>
                <w:rFonts w:hint="eastAsia" w:cs="宋体"/>
                <w:szCs w:val="21"/>
              </w:rPr>
            </w:pPr>
            <w:r>
              <w:rPr>
                <w:rFonts w:hint="eastAsia" w:cs="宋体"/>
                <w:szCs w:val="21"/>
              </w:rPr>
              <w:t>8</w:t>
            </w:r>
          </w:p>
        </w:tc>
        <w:tc>
          <w:tcPr>
            <w:tcW w:w="3720" w:type="dxa"/>
            <w:vAlign w:val="center"/>
          </w:tcPr>
          <w:p w14:paraId="1570B1CB">
            <w:pPr>
              <w:adjustRightInd w:val="0"/>
              <w:snapToGrid w:val="0"/>
              <w:spacing w:line="240" w:lineRule="auto"/>
              <w:jc w:val="center"/>
              <w:rPr>
                <w:rFonts w:hint="eastAsia" w:cs="宋体"/>
                <w:szCs w:val="21"/>
              </w:rPr>
            </w:pPr>
          </w:p>
        </w:tc>
        <w:tc>
          <w:tcPr>
            <w:tcW w:w="1065" w:type="dxa"/>
            <w:vAlign w:val="center"/>
          </w:tcPr>
          <w:p w14:paraId="2788BED1">
            <w:pPr>
              <w:adjustRightInd w:val="0"/>
              <w:snapToGrid w:val="0"/>
              <w:spacing w:line="240" w:lineRule="auto"/>
              <w:jc w:val="center"/>
              <w:rPr>
                <w:rFonts w:hint="eastAsia" w:cs="宋体"/>
                <w:szCs w:val="21"/>
              </w:rPr>
            </w:pPr>
          </w:p>
        </w:tc>
        <w:tc>
          <w:tcPr>
            <w:tcW w:w="1065" w:type="dxa"/>
            <w:vAlign w:val="center"/>
          </w:tcPr>
          <w:p w14:paraId="5F5AA6DD">
            <w:pPr>
              <w:adjustRightInd w:val="0"/>
              <w:snapToGrid w:val="0"/>
              <w:spacing w:line="240" w:lineRule="auto"/>
              <w:jc w:val="center"/>
              <w:rPr>
                <w:rFonts w:hint="eastAsia" w:cs="宋体"/>
                <w:szCs w:val="21"/>
              </w:rPr>
            </w:pPr>
          </w:p>
        </w:tc>
        <w:tc>
          <w:tcPr>
            <w:tcW w:w="1066" w:type="dxa"/>
            <w:vAlign w:val="center"/>
          </w:tcPr>
          <w:p w14:paraId="6F7ADF92">
            <w:pPr>
              <w:adjustRightInd w:val="0"/>
              <w:snapToGrid w:val="0"/>
              <w:spacing w:line="240" w:lineRule="auto"/>
              <w:jc w:val="center"/>
              <w:rPr>
                <w:rFonts w:hint="eastAsia" w:cs="宋体"/>
                <w:szCs w:val="21"/>
              </w:rPr>
            </w:pPr>
          </w:p>
        </w:tc>
        <w:tc>
          <w:tcPr>
            <w:tcW w:w="947" w:type="dxa"/>
            <w:vAlign w:val="center"/>
          </w:tcPr>
          <w:p w14:paraId="504D8E26">
            <w:pPr>
              <w:adjustRightInd w:val="0"/>
              <w:snapToGrid w:val="0"/>
              <w:spacing w:line="240" w:lineRule="auto"/>
              <w:jc w:val="center"/>
              <w:rPr>
                <w:rFonts w:hint="eastAsia" w:cs="宋体"/>
                <w:szCs w:val="21"/>
              </w:rPr>
            </w:pPr>
          </w:p>
        </w:tc>
      </w:tr>
      <w:tr w14:paraId="7D16E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vAlign w:val="center"/>
          </w:tcPr>
          <w:p w14:paraId="775598BC">
            <w:pPr>
              <w:adjustRightInd w:val="0"/>
              <w:snapToGrid w:val="0"/>
              <w:spacing w:line="240" w:lineRule="auto"/>
              <w:jc w:val="center"/>
              <w:rPr>
                <w:rFonts w:hint="eastAsia" w:cs="宋体"/>
                <w:szCs w:val="21"/>
              </w:rPr>
            </w:pPr>
            <w:r>
              <w:rPr>
                <w:rFonts w:hint="eastAsia" w:cs="宋体"/>
                <w:szCs w:val="21"/>
              </w:rPr>
              <w:t>……</w:t>
            </w:r>
          </w:p>
        </w:tc>
        <w:tc>
          <w:tcPr>
            <w:tcW w:w="3720" w:type="dxa"/>
            <w:vAlign w:val="center"/>
          </w:tcPr>
          <w:p w14:paraId="71609B90">
            <w:pPr>
              <w:adjustRightInd w:val="0"/>
              <w:snapToGrid w:val="0"/>
              <w:spacing w:line="240" w:lineRule="auto"/>
              <w:jc w:val="center"/>
              <w:rPr>
                <w:rFonts w:hint="eastAsia" w:cs="宋体"/>
                <w:szCs w:val="21"/>
              </w:rPr>
            </w:pPr>
            <w:r>
              <w:rPr>
                <w:rFonts w:hint="eastAsia" w:cs="宋体"/>
                <w:szCs w:val="21"/>
              </w:rPr>
              <w:t>……</w:t>
            </w:r>
          </w:p>
        </w:tc>
        <w:tc>
          <w:tcPr>
            <w:tcW w:w="1065" w:type="dxa"/>
            <w:vAlign w:val="center"/>
          </w:tcPr>
          <w:p w14:paraId="25EC49E0">
            <w:pPr>
              <w:adjustRightInd w:val="0"/>
              <w:snapToGrid w:val="0"/>
              <w:spacing w:line="240" w:lineRule="auto"/>
              <w:jc w:val="center"/>
              <w:rPr>
                <w:rFonts w:hint="eastAsia" w:cs="宋体"/>
                <w:szCs w:val="21"/>
              </w:rPr>
            </w:pPr>
          </w:p>
        </w:tc>
        <w:tc>
          <w:tcPr>
            <w:tcW w:w="1065" w:type="dxa"/>
            <w:vAlign w:val="center"/>
          </w:tcPr>
          <w:p w14:paraId="7F09C8A0">
            <w:pPr>
              <w:adjustRightInd w:val="0"/>
              <w:snapToGrid w:val="0"/>
              <w:spacing w:line="240" w:lineRule="auto"/>
              <w:jc w:val="center"/>
              <w:rPr>
                <w:rFonts w:hint="eastAsia" w:cs="宋体"/>
                <w:szCs w:val="21"/>
              </w:rPr>
            </w:pPr>
          </w:p>
        </w:tc>
        <w:tc>
          <w:tcPr>
            <w:tcW w:w="1066" w:type="dxa"/>
            <w:vAlign w:val="center"/>
          </w:tcPr>
          <w:p w14:paraId="6A978AEB">
            <w:pPr>
              <w:adjustRightInd w:val="0"/>
              <w:snapToGrid w:val="0"/>
              <w:spacing w:line="240" w:lineRule="auto"/>
              <w:jc w:val="center"/>
              <w:rPr>
                <w:rFonts w:hint="eastAsia" w:cs="宋体"/>
                <w:szCs w:val="21"/>
              </w:rPr>
            </w:pPr>
          </w:p>
        </w:tc>
        <w:tc>
          <w:tcPr>
            <w:tcW w:w="947" w:type="dxa"/>
            <w:vAlign w:val="center"/>
          </w:tcPr>
          <w:p w14:paraId="5F1A4F45">
            <w:pPr>
              <w:adjustRightInd w:val="0"/>
              <w:snapToGrid w:val="0"/>
              <w:spacing w:line="240" w:lineRule="auto"/>
              <w:jc w:val="center"/>
              <w:rPr>
                <w:rFonts w:hint="eastAsia" w:cs="宋体"/>
                <w:szCs w:val="21"/>
              </w:rPr>
            </w:pPr>
          </w:p>
        </w:tc>
      </w:tr>
      <w:tr w14:paraId="21738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vAlign w:val="center"/>
          </w:tcPr>
          <w:p w14:paraId="25E8D70E">
            <w:pPr>
              <w:adjustRightInd w:val="0"/>
              <w:snapToGrid w:val="0"/>
              <w:spacing w:line="240" w:lineRule="auto"/>
              <w:jc w:val="center"/>
              <w:rPr>
                <w:rFonts w:hint="eastAsia" w:cs="宋体"/>
                <w:szCs w:val="21"/>
              </w:rPr>
            </w:pPr>
          </w:p>
        </w:tc>
        <w:tc>
          <w:tcPr>
            <w:tcW w:w="3720" w:type="dxa"/>
            <w:vAlign w:val="center"/>
          </w:tcPr>
          <w:p w14:paraId="36D47F74">
            <w:pPr>
              <w:adjustRightInd w:val="0"/>
              <w:snapToGrid w:val="0"/>
              <w:spacing w:line="240" w:lineRule="auto"/>
              <w:jc w:val="center"/>
              <w:rPr>
                <w:rFonts w:hint="eastAsia" w:cs="宋体"/>
                <w:szCs w:val="21"/>
              </w:rPr>
            </w:pPr>
            <w:r>
              <w:rPr>
                <w:rFonts w:hint="eastAsia" w:cs="宋体"/>
              </w:rPr>
              <w:t>其他费用</w:t>
            </w:r>
          </w:p>
        </w:tc>
        <w:tc>
          <w:tcPr>
            <w:tcW w:w="1065" w:type="dxa"/>
            <w:vAlign w:val="center"/>
          </w:tcPr>
          <w:p w14:paraId="5E4DF39E">
            <w:pPr>
              <w:adjustRightInd w:val="0"/>
              <w:snapToGrid w:val="0"/>
              <w:spacing w:line="240" w:lineRule="auto"/>
              <w:jc w:val="center"/>
              <w:rPr>
                <w:rFonts w:hint="eastAsia" w:cs="宋体"/>
                <w:szCs w:val="21"/>
              </w:rPr>
            </w:pPr>
          </w:p>
        </w:tc>
        <w:tc>
          <w:tcPr>
            <w:tcW w:w="1065" w:type="dxa"/>
            <w:vAlign w:val="center"/>
          </w:tcPr>
          <w:p w14:paraId="2A599C6B">
            <w:pPr>
              <w:adjustRightInd w:val="0"/>
              <w:snapToGrid w:val="0"/>
              <w:spacing w:line="240" w:lineRule="auto"/>
              <w:jc w:val="center"/>
              <w:rPr>
                <w:rFonts w:hint="eastAsia" w:cs="宋体"/>
                <w:szCs w:val="21"/>
              </w:rPr>
            </w:pPr>
          </w:p>
        </w:tc>
        <w:tc>
          <w:tcPr>
            <w:tcW w:w="1066" w:type="dxa"/>
            <w:vAlign w:val="center"/>
          </w:tcPr>
          <w:p w14:paraId="329AD76E">
            <w:pPr>
              <w:adjustRightInd w:val="0"/>
              <w:snapToGrid w:val="0"/>
              <w:spacing w:line="240" w:lineRule="auto"/>
              <w:jc w:val="center"/>
              <w:rPr>
                <w:rFonts w:hint="eastAsia" w:cs="宋体"/>
                <w:szCs w:val="21"/>
              </w:rPr>
            </w:pPr>
          </w:p>
        </w:tc>
        <w:tc>
          <w:tcPr>
            <w:tcW w:w="947" w:type="dxa"/>
            <w:vAlign w:val="center"/>
          </w:tcPr>
          <w:p w14:paraId="2A28C866">
            <w:pPr>
              <w:adjustRightInd w:val="0"/>
              <w:snapToGrid w:val="0"/>
              <w:spacing w:line="240" w:lineRule="auto"/>
              <w:jc w:val="center"/>
              <w:rPr>
                <w:rFonts w:hint="eastAsia" w:cs="宋体"/>
                <w:szCs w:val="21"/>
              </w:rPr>
            </w:pPr>
          </w:p>
        </w:tc>
      </w:tr>
      <w:tr w14:paraId="76DE5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vAlign w:val="center"/>
          </w:tcPr>
          <w:p w14:paraId="4760BD11">
            <w:pPr>
              <w:adjustRightInd w:val="0"/>
              <w:snapToGrid w:val="0"/>
              <w:spacing w:line="240" w:lineRule="auto"/>
              <w:jc w:val="center"/>
              <w:rPr>
                <w:rFonts w:hint="eastAsia" w:cs="宋体"/>
                <w:szCs w:val="21"/>
              </w:rPr>
            </w:pPr>
            <w:r>
              <w:rPr>
                <w:rFonts w:hint="eastAsia" w:cs="宋体"/>
                <w:szCs w:val="21"/>
              </w:rPr>
              <w:t>……</w:t>
            </w:r>
          </w:p>
        </w:tc>
        <w:tc>
          <w:tcPr>
            <w:tcW w:w="3720" w:type="dxa"/>
            <w:vAlign w:val="center"/>
          </w:tcPr>
          <w:p w14:paraId="5200AA65">
            <w:pPr>
              <w:adjustRightInd w:val="0"/>
              <w:snapToGrid w:val="0"/>
              <w:spacing w:line="240" w:lineRule="auto"/>
              <w:jc w:val="center"/>
              <w:rPr>
                <w:rFonts w:hint="eastAsia" w:cs="宋体"/>
                <w:szCs w:val="21"/>
              </w:rPr>
            </w:pPr>
            <w:r>
              <w:rPr>
                <w:rFonts w:hint="eastAsia" w:cs="宋体"/>
                <w:szCs w:val="21"/>
              </w:rPr>
              <w:t>……</w:t>
            </w:r>
          </w:p>
        </w:tc>
        <w:tc>
          <w:tcPr>
            <w:tcW w:w="1065" w:type="dxa"/>
            <w:vAlign w:val="center"/>
          </w:tcPr>
          <w:p w14:paraId="5C9AA5E8">
            <w:pPr>
              <w:adjustRightInd w:val="0"/>
              <w:snapToGrid w:val="0"/>
              <w:spacing w:line="240" w:lineRule="auto"/>
              <w:jc w:val="center"/>
              <w:rPr>
                <w:rFonts w:hint="eastAsia" w:cs="宋体"/>
                <w:szCs w:val="21"/>
              </w:rPr>
            </w:pPr>
          </w:p>
        </w:tc>
        <w:tc>
          <w:tcPr>
            <w:tcW w:w="1065" w:type="dxa"/>
            <w:vAlign w:val="center"/>
          </w:tcPr>
          <w:p w14:paraId="06440B03">
            <w:pPr>
              <w:adjustRightInd w:val="0"/>
              <w:snapToGrid w:val="0"/>
              <w:spacing w:line="240" w:lineRule="auto"/>
              <w:jc w:val="center"/>
              <w:rPr>
                <w:rFonts w:hint="eastAsia" w:cs="宋体"/>
                <w:szCs w:val="21"/>
              </w:rPr>
            </w:pPr>
          </w:p>
        </w:tc>
        <w:tc>
          <w:tcPr>
            <w:tcW w:w="1066" w:type="dxa"/>
            <w:vAlign w:val="center"/>
          </w:tcPr>
          <w:p w14:paraId="0FA6463C">
            <w:pPr>
              <w:adjustRightInd w:val="0"/>
              <w:snapToGrid w:val="0"/>
              <w:spacing w:line="240" w:lineRule="auto"/>
              <w:jc w:val="center"/>
              <w:rPr>
                <w:rFonts w:hint="eastAsia" w:cs="宋体"/>
                <w:szCs w:val="21"/>
              </w:rPr>
            </w:pPr>
          </w:p>
        </w:tc>
        <w:tc>
          <w:tcPr>
            <w:tcW w:w="947" w:type="dxa"/>
            <w:vAlign w:val="center"/>
          </w:tcPr>
          <w:p w14:paraId="507419D2">
            <w:pPr>
              <w:adjustRightInd w:val="0"/>
              <w:snapToGrid w:val="0"/>
              <w:spacing w:line="240" w:lineRule="auto"/>
              <w:jc w:val="center"/>
              <w:rPr>
                <w:rFonts w:hint="eastAsia" w:cs="宋体"/>
                <w:szCs w:val="21"/>
              </w:rPr>
            </w:pPr>
          </w:p>
        </w:tc>
      </w:tr>
      <w:tr w14:paraId="28BD4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915" w:type="dxa"/>
            <w:gridSpan w:val="4"/>
            <w:vAlign w:val="center"/>
          </w:tcPr>
          <w:p w14:paraId="0170279E">
            <w:pPr>
              <w:adjustRightInd w:val="0"/>
              <w:snapToGrid w:val="0"/>
              <w:spacing w:line="240" w:lineRule="auto"/>
              <w:jc w:val="center"/>
              <w:rPr>
                <w:rFonts w:hint="eastAsia" w:cs="宋体"/>
                <w:szCs w:val="21"/>
              </w:rPr>
            </w:pPr>
            <w:r>
              <w:rPr>
                <w:rFonts w:hint="eastAsia" w:cs="宋体"/>
                <w:szCs w:val="21"/>
              </w:rPr>
              <w:t>报价合计（元）</w:t>
            </w:r>
          </w:p>
        </w:tc>
        <w:tc>
          <w:tcPr>
            <w:tcW w:w="2013" w:type="dxa"/>
            <w:gridSpan w:val="2"/>
            <w:vAlign w:val="center"/>
          </w:tcPr>
          <w:p w14:paraId="048431EB">
            <w:pPr>
              <w:adjustRightInd w:val="0"/>
              <w:snapToGrid w:val="0"/>
              <w:spacing w:line="240" w:lineRule="auto"/>
              <w:jc w:val="center"/>
              <w:rPr>
                <w:rFonts w:hint="eastAsia" w:cs="宋体"/>
                <w:szCs w:val="21"/>
              </w:rPr>
            </w:pPr>
          </w:p>
        </w:tc>
      </w:tr>
    </w:tbl>
    <w:p w14:paraId="1D3F9304">
      <w:pPr>
        <w:pStyle w:val="5"/>
        <w:rPr>
          <w:rFonts w:hint="eastAsia" w:ascii="宋体" w:hAnsi="宋体" w:cs="宋体"/>
          <w:bCs/>
          <w:szCs w:val="21"/>
          <w:u w:val="single"/>
          <w:lang w:val="zh-CN"/>
        </w:rPr>
      </w:pPr>
    </w:p>
    <w:p w14:paraId="2E42F1B7">
      <w:pPr>
        <w:spacing w:line="300" w:lineRule="auto"/>
        <w:rPr>
          <w:rFonts w:hint="eastAsia" w:cs="宋体"/>
          <w:szCs w:val="21"/>
        </w:rPr>
      </w:pPr>
    </w:p>
    <w:p w14:paraId="79A9474A">
      <w:pPr>
        <w:ind w:right="1008" w:firstLine="4284" w:firstLineChars="1700"/>
        <w:rPr>
          <w:rFonts w:hint="eastAsia" w:cs="宋体"/>
          <w:spacing w:val="6"/>
          <w:szCs w:val="24"/>
        </w:rPr>
      </w:pPr>
      <w:r>
        <w:rPr>
          <w:rFonts w:hint="eastAsia" w:cs="宋体"/>
          <w:spacing w:val="6"/>
          <w:szCs w:val="24"/>
        </w:rPr>
        <w:t>供应商名称（公章）：</w:t>
      </w:r>
    </w:p>
    <w:p w14:paraId="62FAF63A">
      <w:pPr>
        <w:ind w:right="1008" w:firstLine="4284" w:firstLineChars="1700"/>
        <w:rPr>
          <w:rFonts w:hint="eastAsia" w:cs="宋体"/>
          <w:spacing w:val="6"/>
          <w:szCs w:val="24"/>
        </w:rPr>
      </w:pPr>
      <w:r>
        <w:rPr>
          <w:rFonts w:hint="eastAsia" w:cs="宋体"/>
          <w:spacing w:val="6"/>
          <w:szCs w:val="24"/>
        </w:rPr>
        <w:t>日期：   年  月  日</w:t>
      </w:r>
    </w:p>
    <w:p w14:paraId="1E9C208B">
      <w:pPr>
        <w:spacing w:line="300" w:lineRule="auto"/>
        <w:rPr>
          <w:rFonts w:hint="eastAsia" w:cs="宋体"/>
          <w:szCs w:val="21"/>
        </w:rPr>
      </w:pPr>
    </w:p>
    <w:p w14:paraId="18AE4EAB">
      <w:pPr>
        <w:rPr>
          <w:rFonts w:hint="eastAsia" w:cs="宋体"/>
          <w:b/>
          <w:sz w:val="21"/>
          <w:szCs w:val="21"/>
        </w:rPr>
      </w:pPr>
      <w:r>
        <w:rPr>
          <w:rFonts w:hint="eastAsia" w:cs="宋体"/>
          <w:b/>
          <w:sz w:val="21"/>
          <w:szCs w:val="21"/>
        </w:rPr>
        <w:t>注：</w:t>
      </w:r>
    </w:p>
    <w:p w14:paraId="673F310F">
      <w:pPr>
        <w:ind w:firstLine="435"/>
        <w:rPr>
          <w:rFonts w:hint="eastAsia" w:cs="宋体"/>
          <w:sz w:val="21"/>
          <w:szCs w:val="21"/>
        </w:rPr>
      </w:pPr>
      <w:r>
        <w:rPr>
          <w:rFonts w:hint="eastAsia" w:cs="宋体"/>
          <w:sz w:val="21"/>
          <w:szCs w:val="21"/>
        </w:rPr>
        <w:t>1.按照本表填写的各项目的报价合计填写到“报价一览表”中对应的“磋商报价”栏中。</w:t>
      </w:r>
    </w:p>
    <w:p w14:paraId="2F879763">
      <w:pPr>
        <w:ind w:firstLine="435"/>
        <w:rPr>
          <w:rFonts w:hint="eastAsia" w:cs="宋体"/>
          <w:sz w:val="21"/>
          <w:szCs w:val="21"/>
        </w:rPr>
      </w:pPr>
      <w:r>
        <w:rPr>
          <w:rFonts w:hint="eastAsia" w:cs="宋体"/>
          <w:sz w:val="21"/>
          <w:szCs w:val="21"/>
        </w:rPr>
        <w:t>2.所列服务为对应本项目需求的全部服务内容。如有漏项或缺项，供应商承担全部责任。</w:t>
      </w:r>
    </w:p>
    <w:p w14:paraId="14F28594">
      <w:pPr>
        <w:pStyle w:val="7"/>
        <w:spacing w:before="100" w:after="100" w:line="360" w:lineRule="auto"/>
        <w:ind w:left="420" w:hanging="420"/>
        <w:jc w:val="center"/>
        <w:rPr>
          <w:rFonts w:hint="eastAsia" w:ascii="宋体" w:hAnsi="宋体" w:cs="宋体"/>
        </w:rPr>
      </w:pPr>
      <w:bookmarkStart w:id="818" w:name="_Toc11552"/>
      <w:r>
        <w:rPr>
          <w:rFonts w:hint="eastAsia" w:ascii="宋体" w:hAnsi="宋体" w:cs="宋体"/>
        </w:rPr>
        <w:t>三、商务技术文件</w:t>
      </w:r>
      <w:bookmarkEnd w:id="818"/>
    </w:p>
    <w:p w14:paraId="5A56E26E">
      <w:pPr>
        <w:pStyle w:val="8"/>
        <w:jc w:val="center"/>
        <w:rPr>
          <w:rFonts w:hint="eastAsia"/>
        </w:rPr>
      </w:pPr>
      <w:bookmarkStart w:id="819" w:name="_Toc3919"/>
      <w:r>
        <w:rPr>
          <w:rFonts w:hint="eastAsia"/>
        </w:rPr>
        <w:t>1、响应函</w:t>
      </w:r>
      <w:bookmarkEnd w:id="809"/>
      <w:bookmarkEnd w:id="810"/>
      <w:bookmarkEnd w:id="811"/>
      <w:bookmarkEnd w:id="812"/>
      <w:bookmarkEnd w:id="813"/>
      <w:bookmarkEnd w:id="814"/>
      <w:bookmarkEnd w:id="815"/>
      <w:bookmarkEnd w:id="819"/>
    </w:p>
    <w:p w14:paraId="69ABB720">
      <w:pPr>
        <w:rPr>
          <w:rFonts w:hint="eastAsia" w:cs="宋体"/>
        </w:rPr>
      </w:pPr>
      <w:r>
        <w:rPr>
          <w:rFonts w:hint="eastAsia" w:cs="宋体"/>
        </w:rPr>
        <w:t>致：（采购人）</w:t>
      </w:r>
    </w:p>
    <w:p w14:paraId="35C4266A">
      <w:pPr>
        <w:ind w:firstLine="480" w:firstLineChars="200"/>
        <w:rPr>
          <w:rFonts w:hint="eastAsia" w:cs="宋体"/>
          <w:b/>
          <w:bCs/>
          <w:szCs w:val="24"/>
        </w:rPr>
      </w:pPr>
      <w:r>
        <w:rPr>
          <w:rFonts w:hint="eastAsia" w:cs="宋体"/>
          <w:szCs w:val="24"/>
        </w:rPr>
        <w:t>根据贵方</w:t>
      </w:r>
      <w:r>
        <w:rPr>
          <w:rFonts w:hint="eastAsia" w:cs="宋体"/>
          <w:szCs w:val="24"/>
          <w:u w:val="single"/>
        </w:rPr>
        <w:t>（项目名称）（项目编号/包号）</w:t>
      </w:r>
      <w:r>
        <w:rPr>
          <w:rFonts w:hint="eastAsia" w:cs="宋体"/>
          <w:szCs w:val="24"/>
        </w:rPr>
        <w:t>项目的竞争性磋商公告，签字代表</w:t>
      </w:r>
      <w:r>
        <w:rPr>
          <w:rFonts w:hint="eastAsia" w:cs="宋体"/>
          <w:szCs w:val="24"/>
          <w:u w:val="single"/>
        </w:rPr>
        <w:t>（姓名、职务）</w:t>
      </w:r>
      <w:r>
        <w:rPr>
          <w:rFonts w:hint="eastAsia" w:cs="宋体"/>
          <w:szCs w:val="24"/>
        </w:rPr>
        <w:t>经正式授权并代表供应商</w:t>
      </w:r>
      <w:r>
        <w:rPr>
          <w:rFonts w:hint="eastAsia" w:cs="宋体"/>
          <w:szCs w:val="24"/>
          <w:u w:val="single"/>
        </w:rPr>
        <w:t>（供应商名称、地址）</w:t>
      </w:r>
      <w:r>
        <w:rPr>
          <w:rFonts w:hint="eastAsia" w:cs="宋体"/>
          <w:szCs w:val="24"/>
        </w:rPr>
        <w:t>提交下述文件</w:t>
      </w:r>
      <w:r>
        <w:rPr>
          <w:rFonts w:hint="eastAsia" w:cs="宋体"/>
          <w:b/>
          <w:bCs/>
          <w:szCs w:val="24"/>
        </w:rPr>
        <w:t>：</w:t>
      </w:r>
    </w:p>
    <w:p w14:paraId="31DE4B23">
      <w:pPr>
        <w:spacing w:line="324" w:lineRule="auto"/>
        <w:ind w:firstLine="480" w:firstLineChars="200"/>
        <w:rPr>
          <w:rFonts w:hint="eastAsia" w:cs="宋体"/>
          <w:szCs w:val="24"/>
        </w:rPr>
      </w:pPr>
      <w:r>
        <w:rPr>
          <w:rFonts w:hint="eastAsia" w:cs="宋体"/>
          <w:szCs w:val="24"/>
        </w:rPr>
        <w:t>1.资格证明文件；</w:t>
      </w:r>
    </w:p>
    <w:p w14:paraId="7E086E9D">
      <w:pPr>
        <w:spacing w:line="324" w:lineRule="auto"/>
        <w:ind w:firstLine="480" w:firstLineChars="200"/>
        <w:rPr>
          <w:rFonts w:hint="eastAsia" w:cs="宋体"/>
          <w:szCs w:val="24"/>
        </w:rPr>
      </w:pPr>
      <w:r>
        <w:rPr>
          <w:rFonts w:hint="eastAsia" w:cs="宋体"/>
          <w:szCs w:val="24"/>
        </w:rPr>
        <w:t>2.报价文件；</w:t>
      </w:r>
    </w:p>
    <w:p w14:paraId="7C008F28">
      <w:pPr>
        <w:spacing w:line="324" w:lineRule="auto"/>
        <w:ind w:firstLine="480" w:firstLineChars="200"/>
        <w:jc w:val="both"/>
        <w:rPr>
          <w:rFonts w:hint="eastAsia" w:cs="宋体"/>
          <w:szCs w:val="24"/>
        </w:rPr>
      </w:pPr>
      <w:r>
        <w:rPr>
          <w:rFonts w:hint="eastAsia" w:cs="宋体"/>
          <w:szCs w:val="24"/>
        </w:rPr>
        <w:t>3.商务技术文件。</w:t>
      </w:r>
    </w:p>
    <w:p w14:paraId="2038C573">
      <w:pPr>
        <w:spacing w:line="324" w:lineRule="auto"/>
        <w:ind w:firstLine="480" w:firstLineChars="200"/>
        <w:rPr>
          <w:rFonts w:hint="eastAsia" w:cs="宋体"/>
          <w:szCs w:val="24"/>
        </w:rPr>
      </w:pPr>
      <w:r>
        <w:rPr>
          <w:rFonts w:hint="eastAsia" w:cs="宋体"/>
          <w:szCs w:val="24"/>
        </w:rPr>
        <w:t>根据此函，签字代表宣布同意如下：</w:t>
      </w:r>
    </w:p>
    <w:p w14:paraId="7021F257">
      <w:pPr>
        <w:spacing w:line="324" w:lineRule="auto"/>
        <w:ind w:firstLine="480" w:firstLineChars="200"/>
        <w:jc w:val="both"/>
        <w:rPr>
          <w:rFonts w:hint="eastAsia" w:cs="宋体"/>
          <w:szCs w:val="24"/>
        </w:rPr>
      </w:pPr>
      <w:r>
        <w:rPr>
          <w:rFonts w:hint="eastAsia" w:cs="宋体"/>
          <w:szCs w:val="24"/>
        </w:rPr>
        <w:t xml:space="preserve">1.所附报价一览表中规定的应提交和交付的服务和包含的货物（如有）的报价为 </w:t>
      </w:r>
      <w:r>
        <w:rPr>
          <w:rFonts w:hint="eastAsia" w:cs="宋体"/>
          <w:szCs w:val="24"/>
          <w:u w:val="single"/>
        </w:rPr>
        <w:t xml:space="preserve">                  </w:t>
      </w:r>
      <w:r>
        <w:rPr>
          <w:rFonts w:hint="eastAsia" w:cs="宋体"/>
          <w:szCs w:val="24"/>
        </w:rPr>
        <w:t>。</w:t>
      </w:r>
    </w:p>
    <w:p w14:paraId="3FF1B405">
      <w:pPr>
        <w:spacing w:line="324" w:lineRule="auto"/>
        <w:ind w:firstLine="480" w:firstLineChars="200"/>
        <w:jc w:val="both"/>
        <w:rPr>
          <w:rFonts w:hint="eastAsia" w:cs="宋体"/>
          <w:szCs w:val="24"/>
        </w:rPr>
      </w:pPr>
      <w:r>
        <w:rPr>
          <w:rFonts w:hint="eastAsia" w:cs="宋体"/>
          <w:szCs w:val="24"/>
        </w:rPr>
        <w:t>2.我方将按竞争性磋商文件的规定履行合同责任和义务。</w:t>
      </w:r>
    </w:p>
    <w:p w14:paraId="464D767C">
      <w:pPr>
        <w:spacing w:line="324" w:lineRule="auto"/>
        <w:ind w:firstLine="480" w:firstLineChars="200"/>
        <w:jc w:val="both"/>
        <w:rPr>
          <w:rFonts w:hint="eastAsia" w:cs="宋体"/>
          <w:szCs w:val="24"/>
        </w:rPr>
      </w:pPr>
      <w:r>
        <w:rPr>
          <w:rFonts w:hint="eastAsia" w:cs="宋体"/>
          <w:szCs w:val="24"/>
        </w:rPr>
        <w:t>3.我方已详细审查全部竞争性磋商文件，包括第</w:t>
      </w:r>
      <w:r>
        <w:rPr>
          <w:rFonts w:hint="eastAsia" w:cs="宋体"/>
          <w:szCs w:val="24"/>
          <w:u w:val="single"/>
        </w:rPr>
        <w:t>（编号、补遗书）（如果有的话）</w:t>
      </w:r>
      <w:r>
        <w:rPr>
          <w:rFonts w:hint="eastAsia" w:cs="宋体"/>
          <w:szCs w:val="24"/>
        </w:rPr>
        <w:t>。我方完全理解并同意放弃对这方面有不明及误解的权力。</w:t>
      </w:r>
    </w:p>
    <w:p w14:paraId="70CAE828">
      <w:pPr>
        <w:spacing w:line="324" w:lineRule="auto"/>
        <w:ind w:firstLine="480" w:firstLineChars="200"/>
        <w:jc w:val="both"/>
        <w:rPr>
          <w:rFonts w:hint="eastAsia" w:cs="宋体"/>
          <w:szCs w:val="24"/>
        </w:rPr>
      </w:pPr>
      <w:r>
        <w:rPr>
          <w:rFonts w:hint="eastAsia" w:cs="宋体"/>
          <w:szCs w:val="24"/>
        </w:rPr>
        <w:t>4.响应有效期为自提交响应文件的截止之日起</w:t>
      </w:r>
      <w:r>
        <w:rPr>
          <w:rFonts w:hint="eastAsia" w:cs="宋体"/>
          <w:szCs w:val="24"/>
          <w:u w:val="single"/>
        </w:rPr>
        <w:t xml:space="preserve"> （由供应商填写）</w:t>
      </w:r>
      <w:r>
        <w:rPr>
          <w:rFonts w:hint="eastAsia" w:cs="宋体"/>
          <w:szCs w:val="24"/>
        </w:rPr>
        <w:t>个日历天。</w:t>
      </w:r>
    </w:p>
    <w:p w14:paraId="52EDF2A7">
      <w:pPr>
        <w:spacing w:line="324" w:lineRule="auto"/>
        <w:ind w:firstLine="480" w:firstLineChars="200"/>
        <w:jc w:val="both"/>
        <w:rPr>
          <w:rFonts w:hint="eastAsia" w:cs="宋体"/>
          <w:szCs w:val="24"/>
        </w:rPr>
      </w:pPr>
      <w:r>
        <w:rPr>
          <w:rFonts w:hint="eastAsia" w:cs="宋体"/>
          <w:szCs w:val="24"/>
        </w:rPr>
        <w:t>5.我方同意提供按照贵方竞争性磋商文件要求的与其磋商响应有关的一切数据或资料，采用综合评分法时，我方完全理解贵方不一定接受最低价的响应。</w:t>
      </w:r>
    </w:p>
    <w:p w14:paraId="3CF5A666">
      <w:pPr>
        <w:spacing w:line="324" w:lineRule="auto"/>
        <w:ind w:firstLine="480" w:firstLineChars="200"/>
        <w:jc w:val="both"/>
        <w:rPr>
          <w:rFonts w:hint="eastAsia" w:cs="宋体"/>
          <w:szCs w:val="24"/>
        </w:rPr>
      </w:pPr>
      <w:r>
        <w:rPr>
          <w:rFonts w:hint="eastAsia" w:cs="宋体"/>
          <w:szCs w:val="24"/>
        </w:rPr>
        <w:t>6.本项目如由成交人支付采购代理服务费，我方同意按供应商须知前附表中规定向采购代理机构支付采购代理服务费。</w:t>
      </w:r>
    </w:p>
    <w:p w14:paraId="6A150207">
      <w:pPr>
        <w:snapToGrid w:val="0"/>
        <w:spacing w:line="324" w:lineRule="auto"/>
        <w:ind w:firstLine="480" w:firstLineChars="200"/>
        <w:jc w:val="both"/>
        <w:rPr>
          <w:rFonts w:hint="eastAsia" w:cs="宋体"/>
          <w:szCs w:val="24"/>
        </w:rPr>
      </w:pPr>
      <w:r>
        <w:rPr>
          <w:rFonts w:hint="eastAsia" w:cs="宋体"/>
          <w:szCs w:val="24"/>
        </w:rPr>
        <w:t>7.重要声明：</w:t>
      </w:r>
    </w:p>
    <w:p w14:paraId="40AFB77A">
      <w:pPr>
        <w:snapToGrid w:val="0"/>
        <w:spacing w:line="324" w:lineRule="auto"/>
        <w:ind w:firstLine="480" w:firstLineChars="200"/>
        <w:rPr>
          <w:rFonts w:hint="eastAsia" w:cs="宋体"/>
          <w:szCs w:val="24"/>
        </w:rPr>
      </w:pPr>
      <w:r>
        <w:rPr>
          <w:rFonts w:hint="eastAsia" w:cs="宋体"/>
          <w:szCs w:val="24"/>
        </w:rPr>
        <w:t>1）与我方单位负责人为同一人的其他单位名称：</w:t>
      </w:r>
    </w:p>
    <w:p w14:paraId="409D2F71">
      <w:pPr>
        <w:snapToGrid w:val="0"/>
        <w:spacing w:line="324" w:lineRule="auto"/>
        <w:ind w:left="456" w:leftChars="190" w:firstLine="355" w:firstLineChars="148"/>
        <w:rPr>
          <w:rFonts w:hint="eastAsia" w:cs="宋体"/>
          <w:szCs w:val="24"/>
        </w:rPr>
      </w:pPr>
      <w:r>
        <w:rPr>
          <w:rFonts w:hint="eastAsia" w:cs="宋体"/>
          <w:szCs w:val="24"/>
        </w:rPr>
        <w:t>□无；□有，具体单位名称为：</w:t>
      </w:r>
      <w:r>
        <w:rPr>
          <w:rFonts w:hint="eastAsia" w:cs="宋体"/>
          <w:szCs w:val="24"/>
          <w:u w:val="single"/>
        </w:rPr>
        <w:t>（由供应商如实填写）</w:t>
      </w:r>
      <w:r>
        <w:rPr>
          <w:rFonts w:hint="eastAsia" w:cs="宋体"/>
          <w:szCs w:val="24"/>
        </w:rPr>
        <w:t>。</w:t>
      </w:r>
    </w:p>
    <w:p w14:paraId="0B2F52C6">
      <w:pPr>
        <w:snapToGrid w:val="0"/>
        <w:spacing w:line="324" w:lineRule="auto"/>
        <w:ind w:firstLine="480" w:firstLineChars="200"/>
        <w:rPr>
          <w:rFonts w:hint="eastAsia" w:cs="宋体"/>
          <w:szCs w:val="24"/>
        </w:rPr>
      </w:pPr>
      <w:r>
        <w:rPr>
          <w:rFonts w:hint="eastAsia" w:cs="宋体"/>
          <w:szCs w:val="24"/>
        </w:rPr>
        <w:t>2）与我方存在控股、管理关系的其他单位的名称：</w:t>
      </w:r>
    </w:p>
    <w:p w14:paraId="3BE8BBB8">
      <w:pPr>
        <w:snapToGrid w:val="0"/>
        <w:spacing w:line="324" w:lineRule="auto"/>
        <w:ind w:left="456" w:leftChars="190" w:firstLine="355" w:firstLineChars="148"/>
        <w:rPr>
          <w:rFonts w:hint="eastAsia" w:cs="宋体"/>
          <w:szCs w:val="24"/>
        </w:rPr>
      </w:pPr>
      <w:r>
        <w:rPr>
          <w:rFonts w:hint="eastAsia" w:cs="宋体"/>
          <w:szCs w:val="24"/>
        </w:rPr>
        <w:t xml:space="preserve">□无；□有，具体单位名称为： </w:t>
      </w:r>
      <w:r>
        <w:rPr>
          <w:rFonts w:hint="eastAsia" w:cs="宋体"/>
          <w:szCs w:val="24"/>
          <w:u w:val="single"/>
        </w:rPr>
        <w:t>（由供应商如实填写）</w:t>
      </w:r>
      <w:r>
        <w:rPr>
          <w:rFonts w:hint="eastAsia" w:cs="宋体"/>
          <w:szCs w:val="24"/>
        </w:rPr>
        <w:t>。</w:t>
      </w:r>
    </w:p>
    <w:p w14:paraId="1103F8A2">
      <w:pPr>
        <w:snapToGrid w:val="0"/>
        <w:spacing w:line="324" w:lineRule="auto"/>
        <w:ind w:firstLine="480" w:firstLineChars="200"/>
        <w:rPr>
          <w:rFonts w:hint="eastAsia" w:cs="宋体"/>
          <w:szCs w:val="24"/>
        </w:rPr>
      </w:pPr>
      <w:r>
        <w:rPr>
          <w:rFonts w:hint="eastAsia" w:cs="宋体"/>
          <w:szCs w:val="24"/>
        </w:rPr>
        <w:t>3）参与本项目采购活动前，是否为本项目前期准备提供过整体设计、规范编制或者项目管理、监理、检测等服务：</w:t>
      </w:r>
    </w:p>
    <w:p w14:paraId="73BE978C">
      <w:pPr>
        <w:snapToGrid w:val="0"/>
        <w:spacing w:line="324" w:lineRule="auto"/>
        <w:ind w:left="456" w:leftChars="190" w:firstLine="355" w:firstLineChars="148"/>
        <w:rPr>
          <w:rFonts w:hint="eastAsia" w:cs="宋体"/>
          <w:szCs w:val="24"/>
        </w:rPr>
      </w:pPr>
      <w:r>
        <w:rPr>
          <w:rFonts w:hint="eastAsia" w:cs="宋体"/>
          <w:szCs w:val="24"/>
        </w:rPr>
        <w:t xml:space="preserve">□无；□有，已提供的具体服务内容为： </w:t>
      </w:r>
      <w:r>
        <w:rPr>
          <w:rFonts w:hint="eastAsia" w:cs="宋体"/>
          <w:szCs w:val="24"/>
          <w:u w:val="single"/>
        </w:rPr>
        <w:t>（由供应商如实填写）</w:t>
      </w:r>
      <w:r>
        <w:rPr>
          <w:rFonts w:hint="eastAsia" w:cs="宋体"/>
          <w:szCs w:val="24"/>
        </w:rPr>
        <w:t>。</w:t>
      </w:r>
    </w:p>
    <w:p w14:paraId="4FC84088">
      <w:pPr>
        <w:spacing w:line="324" w:lineRule="auto"/>
        <w:ind w:firstLine="480" w:firstLineChars="200"/>
        <w:rPr>
          <w:rFonts w:hint="eastAsia" w:cs="宋体"/>
          <w:szCs w:val="24"/>
        </w:rPr>
      </w:pPr>
      <w:r>
        <w:rPr>
          <w:rFonts w:hint="eastAsia" w:cs="宋体"/>
          <w:szCs w:val="24"/>
        </w:rPr>
        <w:t>（备注：以上3项声明，必须如实选择，选中项用☑表示，未选中项用□表示。①“单位负责人”是指单位法定代表人或者法律、行政法规规定代表单位行使职权的主要负责人。②本条所规定的控股、管理关系仅限于直接控股、直接管理关系，不包括间接的控股或管理关系。③供应商如未如实填报，视为提供虚假材料谋取中标，应承担相应法律责任。）</w:t>
      </w:r>
    </w:p>
    <w:p w14:paraId="19A44DC4">
      <w:pPr>
        <w:snapToGrid w:val="0"/>
        <w:spacing w:line="324" w:lineRule="auto"/>
        <w:ind w:firstLine="480" w:firstLineChars="200"/>
        <w:rPr>
          <w:rFonts w:hint="eastAsia" w:cs="宋体"/>
          <w:szCs w:val="24"/>
        </w:rPr>
      </w:pPr>
      <w:r>
        <w:rPr>
          <w:rFonts w:hint="eastAsia" w:cs="宋体"/>
          <w:szCs w:val="24"/>
        </w:rPr>
        <w:t>4）我方在本响应文件中所提供的全部资料均真实有效，我方承诺对其真实性负责并承担相应后果。</w:t>
      </w:r>
    </w:p>
    <w:p w14:paraId="5FB2607B">
      <w:pPr>
        <w:snapToGrid w:val="0"/>
        <w:spacing w:line="324" w:lineRule="auto"/>
        <w:ind w:firstLine="480" w:firstLineChars="200"/>
        <w:rPr>
          <w:rFonts w:hint="eastAsia" w:cs="宋体"/>
          <w:szCs w:val="24"/>
        </w:rPr>
      </w:pPr>
      <w:r>
        <w:rPr>
          <w:rFonts w:hint="eastAsia" w:cs="宋体"/>
          <w:szCs w:val="24"/>
        </w:rPr>
        <w:t>5）我方承诺本《响应函》的签章对本响应文件全部内容具有约束力并承担法律责任。</w:t>
      </w:r>
    </w:p>
    <w:p w14:paraId="2A195747">
      <w:pPr>
        <w:spacing w:line="300" w:lineRule="auto"/>
        <w:rPr>
          <w:rFonts w:hint="eastAsia" w:cs="宋体"/>
          <w:szCs w:val="24"/>
        </w:rPr>
      </w:pPr>
    </w:p>
    <w:p w14:paraId="3F664789">
      <w:pPr>
        <w:spacing w:line="300" w:lineRule="auto"/>
        <w:rPr>
          <w:rFonts w:hint="eastAsia" w:cs="宋体"/>
          <w:szCs w:val="24"/>
        </w:rPr>
      </w:pPr>
    </w:p>
    <w:p w14:paraId="6C365FF0">
      <w:pPr>
        <w:spacing w:line="300" w:lineRule="auto"/>
        <w:rPr>
          <w:rFonts w:hint="eastAsia" w:cs="宋体"/>
          <w:szCs w:val="24"/>
        </w:rPr>
      </w:pPr>
    </w:p>
    <w:p w14:paraId="42CE30DE">
      <w:pPr>
        <w:autoSpaceDE w:val="0"/>
        <w:autoSpaceDN w:val="0"/>
        <w:adjustRightInd w:val="0"/>
        <w:snapToGrid w:val="0"/>
        <w:ind w:firstLine="480" w:firstLineChars="200"/>
        <w:rPr>
          <w:rFonts w:hint="eastAsia" w:cs="宋体"/>
        </w:rPr>
      </w:pPr>
      <w:r>
        <w:rPr>
          <w:rFonts w:hint="eastAsia" w:cs="宋体"/>
        </w:rPr>
        <w:t>供应商名称（公章）：</w:t>
      </w:r>
    </w:p>
    <w:p w14:paraId="1ADA86FC">
      <w:pPr>
        <w:autoSpaceDE w:val="0"/>
        <w:autoSpaceDN w:val="0"/>
        <w:adjustRightInd w:val="0"/>
        <w:snapToGrid w:val="0"/>
        <w:ind w:firstLine="480" w:firstLineChars="200"/>
        <w:rPr>
          <w:rFonts w:hint="eastAsia" w:cs="宋体"/>
        </w:rPr>
      </w:pPr>
      <w:r>
        <w:rPr>
          <w:rFonts w:hint="eastAsia" w:cs="宋体"/>
        </w:rPr>
        <w:t>通  讯  地  址：</w:t>
      </w:r>
    </w:p>
    <w:p w14:paraId="336D3074">
      <w:pPr>
        <w:autoSpaceDE w:val="0"/>
        <w:autoSpaceDN w:val="0"/>
        <w:adjustRightInd w:val="0"/>
        <w:snapToGrid w:val="0"/>
        <w:ind w:firstLine="480" w:firstLineChars="200"/>
        <w:rPr>
          <w:rFonts w:hint="eastAsia" w:cs="宋体"/>
        </w:rPr>
      </w:pPr>
      <w:r>
        <w:rPr>
          <w:rFonts w:hint="eastAsia" w:cs="宋体"/>
        </w:rPr>
        <w:t>传          真：</w:t>
      </w:r>
    </w:p>
    <w:p w14:paraId="3362611B">
      <w:pPr>
        <w:autoSpaceDE w:val="0"/>
        <w:autoSpaceDN w:val="0"/>
        <w:adjustRightInd w:val="0"/>
        <w:snapToGrid w:val="0"/>
        <w:ind w:firstLine="480" w:firstLineChars="200"/>
        <w:rPr>
          <w:rFonts w:hint="eastAsia" w:cs="宋体"/>
        </w:rPr>
      </w:pPr>
      <w:r>
        <w:rPr>
          <w:rFonts w:hint="eastAsia" w:cs="宋体"/>
        </w:rPr>
        <w:t>电          话：</w:t>
      </w:r>
    </w:p>
    <w:p w14:paraId="0CD23DFA">
      <w:pPr>
        <w:autoSpaceDE w:val="0"/>
        <w:autoSpaceDN w:val="0"/>
        <w:adjustRightInd w:val="0"/>
        <w:snapToGrid w:val="0"/>
        <w:ind w:firstLine="480" w:firstLineChars="200"/>
        <w:rPr>
          <w:rFonts w:hint="eastAsia" w:cs="宋体"/>
        </w:rPr>
      </w:pPr>
      <w:r>
        <w:rPr>
          <w:rFonts w:hint="eastAsia" w:cs="宋体"/>
        </w:rPr>
        <w:t>授  权  代  表：</w:t>
      </w:r>
    </w:p>
    <w:p w14:paraId="63C92097">
      <w:pPr>
        <w:ind w:firstLine="480" w:firstLineChars="200"/>
        <w:rPr>
          <w:rFonts w:hint="eastAsia" w:cs="宋体"/>
          <w:szCs w:val="24"/>
        </w:rPr>
      </w:pPr>
      <w:r>
        <w:rPr>
          <w:rFonts w:hint="eastAsia" w:cs="宋体"/>
        </w:rPr>
        <w:t>日          期：</w:t>
      </w:r>
    </w:p>
    <w:p w14:paraId="6674502E">
      <w:pPr>
        <w:rPr>
          <w:rFonts w:hint="eastAsia" w:cs="宋体"/>
          <w:szCs w:val="24"/>
          <w:u w:val="single"/>
        </w:rPr>
      </w:pPr>
    </w:p>
    <w:p w14:paraId="478BFBB8">
      <w:pPr>
        <w:rPr>
          <w:rFonts w:hint="eastAsia" w:cs="宋体"/>
          <w:szCs w:val="24"/>
          <w:u w:val="single"/>
        </w:rPr>
      </w:pPr>
      <w:r>
        <w:rPr>
          <w:rFonts w:hint="eastAsia" w:cs="宋体"/>
          <w:szCs w:val="24"/>
          <w:u w:val="single"/>
        </w:rPr>
        <w:br w:type="page"/>
      </w:r>
    </w:p>
    <w:p w14:paraId="24B4BD65">
      <w:pPr>
        <w:pStyle w:val="8"/>
        <w:jc w:val="center"/>
        <w:rPr>
          <w:rFonts w:hint="eastAsia"/>
        </w:rPr>
      </w:pPr>
      <w:bookmarkStart w:id="820" w:name="_Toc18444"/>
      <w:bookmarkStart w:id="821" w:name="_Toc155185924"/>
      <w:r>
        <w:rPr>
          <w:rFonts w:hint="eastAsia"/>
        </w:rPr>
        <w:t>2、法定代表人（单位负责人）身份证明</w:t>
      </w:r>
      <w:bookmarkEnd w:id="820"/>
      <w:bookmarkEnd w:id="821"/>
    </w:p>
    <w:p w14:paraId="46CF1AA3">
      <w:pPr>
        <w:spacing w:line="480" w:lineRule="auto"/>
        <w:ind w:firstLine="480" w:firstLineChars="200"/>
        <w:rPr>
          <w:rFonts w:hint="eastAsia" w:cs="宋体"/>
          <w:szCs w:val="24"/>
        </w:rPr>
      </w:pPr>
      <w:r>
        <w:rPr>
          <w:rFonts w:hint="eastAsia" w:cs="宋体"/>
          <w:szCs w:val="24"/>
        </w:rPr>
        <w:t xml:space="preserve">致：（采购人或采购代理机构） </w:t>
      </w:r>
    </w:p>
    <w:p w14:paraId="3DE52D6F">
      <w:pPr>
        <w:spacing w:line="480" w:lineRule="auto"/>
        <w:ind w:firstLine="960" w:firstLineChars="400"/>
        <w:rPr>
          <w:rFonts w:hint="eastAsia" w:cs="宋体"/>
          <w:szCs w:val="24"/>
        </w:rPr>
      </w:pPr>
      <w:r>
        <w:rPr>
          <w:rFonts w:hint="eastAsia" w:cs="宋体"/>
          <w:szCs w:val="24"/>
        </w:rPr>
        <w:t xml:space="preserve">兹证明， </w:t>
      </w:r>
    </w:p>
    <w:p w14:paraId="1D36B9E0">
      <w:pPr>
        <w:spacing w:line="480" w:lineRule="auto"/>
        <w:ind w:firstLine="480" w:firstLineChars="200"/>
        <w:rPr>
          <w:rFonts w:hint="eastAsia" w:cs="宋体"/>
          <w:szCs w:val="24"/>
        </w:rPr>
      </w:pPr>
      <w:r>
        <w:rPr>
          <w:rFonts w:hint="eastAsia" w:cs="宋体"/>
          <w:szCs w:val="24"/>
        </w:rPr>
        <w:t xml:space="preserve">姓名：____性别：____年龄：____职务：____ </w:t>
      </w:r>
    </w:p>
    <w:p w14:paraId="38746EB6">
      <w:pPr>
        <w:spacing w:line="480" w:lineRule="auto"/>
        <w:ind w:firstLine="480" w:firstLineChars="200"/>
        <w:rPr>
          <w:rFonts w:hint="eastAsia" w:cs="宋体"/>
          <w:szCs w:val="24"/>
        </w:rPr>
      </w:pPr>
      <w:r>
        <w:rPr>
          <w:rFonts w:hint="eastAsia" w:cs="宋体"/>
          <w:szCs w:val="24"/>
        </w:rPr>
        <w:t xml:space="preserve">系 </w:t>
      </w:r>
      <w:r>
        <w:rPr>
          <w:rFonts w:hint="eastAsia" w:cs="宋体"/>
          <w:szCs w:val="24"/>
          <w:u w:val="single"/>
        </w:rPr>
        <w:t xml:space="preserve">            </w:t>
      </w:r>
      <w:r>
        <w:rPr>
          <w:rFonts w:hint="eastAsia" w:cs="宋体"/>
          <w:szCs w:val="24"/>
        </w:rPr>
        <w:t xml:space="preserve">（供应商名称）的法定代表人（单位负责人）。 </w:t>
      </w:r>
    </w:p>
    <w:p w14:paraId="3B002BC6">
      <w:pPr>
        <w:spacing w:line="480" w:lineRule="auto"/>
        <w:ind w:firstLine="480" w:firstLineChars="200"/>
        <w:rPr>
          <w:rFonts w:hint="eastAsia" w:cs="宋体"/>
          <w:szCs w:val="24"/>
        </w:rPr>
      </w:pPr>
      <w:r>
        <w:rPr>
          <w:rFonts w:hint="eastAsia" w:cs="宋体"/>
          <w:szCs w:val="24"/>
        </w:rPr>
        <w:t xml:space="preserve">附：法定代表人（单位负责人）身份证、护照等身份证明文件电子件： </w:t>
      </w:r>
    </w:p>
    <w:p w14:paraId="60A8C36F">
      <w:pPr>
        <w:spacing w:line="480" w:lineRule="auto"/>
        <w:ind w:firstLine="480" w:firstLineChars="200"/>
        <w:rPr>
          <w:rFonts w:hint="eastAsia" w:cs="宋体"/>
          <w:szCs w:val="24"/>
        </w:rPr>
      </w:pPr>
    </w:p>
    <w:p w14:paraId="473563CD">
      <w:pPr>
        <w:rPr>
          <w:rFonts w:hint="eastAsia" w:cs="宋体"/>
          <w:sz w:val="21"/>
          <w:szCs w:val="21"/>
        </w:rPr>
      </w:pPr>
    </w:p>
    <w:tbl>
      <w:tblPr>
        <w:tblStyle w:val="19"/>
        <w:tblW w:w="85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7"/>
      </w:tblGrid>
      <w:tr w14:paraId="2D4F4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1" w:hRule="atLeast"/>
        </w:trPr>
        <w:tc>
          <w:tcPr>
            <w:tcW w:w="8527" w:type="dxa"/>
          </w:tcPr>
          <w:p w14:paraId="4B7B7E19">
            <w:pPr>
              <w:rPr>
                <w:rFonts w:hint="eastAsia" w:cs="宋体"/>
              </w:rPr>
            </w:pPr>
          </w:p>
        </w:tc>
      </w:tr>
    </w:tbl>
    <w:p w14:paraId="76B5C725">
      <w:pPr>
        <w:ind w:firstLine="840" w:firstLineChars="350"/>
        <w:jc w:val="center"/>
        <w:rPr>
          <w:rFonts w:hint="eastAsia" w:cs="宋体"/>
        </w:rPr>
      </w:pPr>
    </w:p>
    <w:p w14:paraId="4AD74708">
      <w:pPr>
        <w:widowControl/>
        <w:rPr>
          <w:rFonts w:hint="eastAsia" w:cs="宋体"/>
        </w:rPr>
      </w:pPr>
      <w:r>
        <w:rPr>
          <w:rFonts w:hint="eastAsia" w:cs="宋体"/>
          <w:kern w:val="0"/>
          <w:szCs w:val="24"/>
          <w:lang w:bidi="ar"/>
        </w:rPr>
        <w:t xml:space="preserve">供应商名称（加盖公章）：________________ </w:t>
      </w:r>
    </w:p>
    <w:p w14:paraId="364A1245">
      <w:pPr>
        <w:widowControl/>
        <w:rPr>
          <w:rFonts w:hint="eastAsia" w:cs="宋体"/>
        </w:rPr>
      </w:pPr>
      <w:r>
        <w:rPr>
          <w:rFonts w:hint="eastAsia" w:cs="宋体"/>
          <w:kern w:val="0"/>
          <w:szCs w:val="24"/>
          <w:lang w:bidi="ar"/>
        </w:rPr>
        <w:t xml:space="preserve">法定代表人（单位负责人）（签字或签章）：_______ </w:t>
      </w:r>
    </w:p>
    <w:p w14:paraId="10B3C29F">
      <w:pPr>
        <w:widowControl/>
        <w:rPr>
          <w:rFonts w:hint="eastAsia" w:cs="宋体"/>
          <w:kern w:val="0"/>
          <w:szCs w:val="24"/>
          <w:lang w:bidi="ar"/>
        </w:rPr>
      </w:pPr>
    </w:p>
    <w:p w14:paraId="7239FE13">
      <w:pPr>
        <w:widowControl/>
        <w:rPr>
          <w:rFonts w:hint="eastAsia" w:cs="宋体"/>
        </w:rPr>
      </w:pPr>
      <w:r>
        <w:rPr>
          <w:rFonts w:hint="eastAsia" w:cs="宋体"/>
          <w:kern w:val="0"/>
          <w:szCs w:val="24"/>
          <w:lang w:bidi="ar"/>
        </w:rPr>
        <w:t>日期：_____年______月______日</w:t>
      </w:r>
    </w:p>
    <w:p w14:paraId="6948CD78">
      <w:pPr>
        <w:rPr>
          <w:rFonts w:hint="eastAsia" w:cs="宋体"/>
          <w:b/>
          <w:sz w:val="28"/>
          <w:szCs w:val="28"/>
        </w:rPr>
      </w:pPr>
    </w:p>
    <w:p w14:paraId="04FDD702">
      <w:pPr>
        <w:rPr>
          <w:rFonts w:hint="eastAsia" w:cs="宋体"/>
          <w:b/>
          <w:sz w:val="28"/>
          <w:szCs w:val="28"/>
        </w:rPr>
      </w:pPr>
      <w:r>
        <w:rPr>
          <w:rFonts w:hint="eastAsia" w:cs="宋体"/>
          <w:b/>
          <w:sz w:val="28"/>
          <w:szCs w:val="28"/>
        </w:rPr>
        <w:br w:type="page"/>
      </w:r>
    </w:p>
    <w:p w14:paraId="0EEE8A23">
      <w:pPr>
        <w:pStyle w:val="8"/>
        <w:jc w:val="center"/>
        <w:rPr>
          <w:rFonts w:hint="eastAsia"/>
        </w:rPr>
      </w:pPr>
      <w:bookmarkStart w:id="822" w:name="_Toc155185925"/>
      <w:bookmarkStart w:id="823" w:name="_Toc32295"/>
      <w:r>
        <w:rPr>
          <w:rFonts w:hint="eastAsia"/>
        </w:rPr>
        <w:t>3、授权委托书</w:t>
      </w:r>
      <w:bookmarkEnd w:id="822"/>
      <w:bookmarkEnd w:id="823"/>
    </w:p>
    <w:p w14:paraId="593F068D">
      <w:pPr>
        <w:ind w:firstLine="480" w:firstLineChars="200"/>
        <w:rPr>
          <w:rFonts w:hint="eastAsia" w:cs="宋体"/>
          <w:szCs w:val="24"/>
        </w:rPr>
      </w:pPr>
      <w:r>
        <w:rPr>
          <w:rFonts w:hint="eastAsia" w:cs="宋体"/>
          <w:szCs w:val="24"/>
        </w:rPr>
        <w:t>本人</w:t>
      </w:r>
      <w:r>
        <w:rPr>
          <w:rFonts w:hint="eastAsia" w:cs="宋体"/>
          <w:szCs w:val="24"/>
          <w:u w:val="single"/>
        </w:rPr>
        <w:t xml:space="preserve">     </w:t>
      </w:r>
      <w:r>
        <w:rPr>
          <w:rFonts w:hint="eastAsia" w:cs="宋体"/>
          <w:szCs w:val="24"/>
        </w:rPr>
        <w:t>（姓名）系</w:t>
      </w:r>
      <w:r>
        <w:rPr>
          <w:rFonts w:hint="eastAsia" w:cs="宋体"/>
          <w:szCs w:val="24"/>
          <w:u w:val="single"/>
        </w:rPr>
        <w:t xml:space="preserve">          </w:t>
      </w:r>
      <w:r>
        <w:rPr>
          <w:rFonts w:hint="eastAsia" w:cs="宋体"/>
          <w:szCs w:val="24"/>
        </w:rPr>
        <w:t>（供应商名称）的法定代表人</w:t>
      </w:r>
      <w:r>
        <w:rPr>
          <w:rFonts w:hint="eastAsia" w:cs="宋体"/>
        </w:rPr>
        <w:t>（单位负责人）</w:t>
      </w:r>
      <w:r>
        <w:rPr>
          <w:rFonts w:hint="eastAsia" w:cs="宋体"/>
          <w:szCs w:val="24"/>
        </w:rPr>
        <w:t>，现委托</w:t>
      </w:r>
      <w:r>
        <w:rPr>
          <w:rFonts w:hint="eastAsia" w:cs="宋体"/>
          <w:szCs w:val="24"/>
          <w:u w:val="single"/>
        </w:rPr>
        <w:t xml:space="preserve">     </w:t>
      </w:r>
      <w:r>
        <w:rPr>
          <w:rFonts w:hint="eastAsia" w:cs="宋体"/>
          <w:szCs w:val="24"/>
        </w:rPr>
        <w:t>（姓名）为我方代理人。代理人根据授权，以我方名义签署、澄清确认、说明、补正、递交、撤回、修改</w:t>
      </w:r>
      <w:r>
        <w:rPr>
          <w:rFonts w:hint="eastAsia" w:cs="宋体"/>
          <w:szCs w:val="24"/>
          <w:u w:val="single"/>
        </w:rPr>
        <w:t xml:space="preserve">           </w:t>
      </w:r>
      <w:r>
        <w:rPr>
          <w:rFonts w:hint="eastAsia" w:cs="宋体"/>
          <w:szCs w:val="24"/>
        </w:rPr>
        <w:t>（项目名称）响应文件、签订合同和处理有关事宜，其法律后果由我方承担。</w:t>
      </w:r>
    </w:p>
    <w:p w14:paraId="56B80D1C">
      <w:pPr>
        <w:ind w:firstLine="480" w:firstLineChars="200"/>
        <w:rPr>
          <w:rFonts w:hint="eastAsia" w:cs="宋体"/>
          <w:szCs w:val="24"/>
        </w:rPr>
      </w:pPr>
      <w:r>
        <w:rPr>
          <w:rFonts w:hint="eastAsia" w:cs="宋体"/>
          <w:szCs w:val="24"/>
        </w:rPr>
        <w:t>委托期限：自本授权委托书签署之日起至响应文件有效期届满之日止。</w:t>
      </w:r>
    </w:p>
    <w:p w14:paraId="0A605ABE">
      <w:pPr>
        <w:ind w:firstLine="480" w:firstLineChars="200"/>
        <w:rPr>
          <w:rFonts w:hint="eastAsia" w:cs="宋体"/>
          <w:szCs w:val="24"/>
        </w:rPr>
      </w:pPr>
      <w:r>
        <w:rPr>
          <w:rFonts w:hint="eastAsia" w:cs="宋体"/>
          <w:szCs w:val="24"/>
        </w:rPr>
        <w:t>代理人无转委托权。</w:t>
      </w:r>
    </w:p>
    <w:p w14:paraId="03C5EAD4">
      <w:pPr>
        <w:spacing w:line="240" w:lineRule="exact"/>
        <w:ind w:firstLine="480" w:firstLineChars="200"/>
        <w:rPr>
          <w:rFonts w:hint="eastAsia" w:cs="宋体"/>
          <w:szCs w:val="24"/>
        </w:rPr>
      </w:pPr>
    </w:p>
    <w:p w14:paraId="27333291">
      <w:pPr>
        <w:widowControl/>
        <w:rPr>
          <w:rFonts w:hint="eastAsia" w:cs="宋体"/>
        </w:rPr>
      </w:pPr>
      <w:r>
        <w:rPr>
          <w:rFonts w:hint="eastAsia" w:cs="宋体"/>
          <w:kern w:val="0"/>
          <w:szCs w:val="24"/>
          <w:lang w:bidi="ar"/>
        </w:rPr>
        <w:t xml:space="preserve">供应商名称（加盖公章）：________________ </w:t>
      </w:r>
    </w:p>
    <w:p w14:paraId="4CD5B2EF">
      <w:pPr>
        <w:widowControl/>
        <w:rPr>
          <w:rFonts w:hint="eastAsia" w:cs="宋体"/>
        </w:rPr>
      </w:pPr>
      <w:r>
        <w:rPr>
          <w:rFonts w:hint="eastAsia" w:cs="宋体"/>
          <w:kern w:val="0"/>
          <w:szCs w:val="24"/>
          <w:lang w:bidi="ar"/>
        </w:rPr>
        <w:t xml:space="preserve">法定代表人（单位负责人）（签字或签章）：________________ </w:t>
      </w:r>
    </w:p>
    <w:p w14:paraId="77AA3C36">
      <w:pPr>
        <w:widowControl/>
        <w:rPr>
          <w:rFonts w:hint="eastAsia" w:cs="宋体"/>
          <w:u w:val="single"/>
        </w:rPr>
      </w:pPr>
      <w:r>
        <w:rPr>
          <w:rFonts w:hint="eastAsia" w:cs="宋体"/>
          <w:kern w:val="0"/>
          <w:szCs w:val="24"/>
          <w:lang w:bidi="ar"/>
        </w:rPr>
        <w:t>委托代理人（签字或签章）：________________   联系电话：</w:t>
      </w:r>
      <w:r>
        <w:rPr>
          <w:rFonts w:hint="eastAsia" w:cs="宋体"/>
          <w:kern w:val="0"/>
          <w:szCs w:val="24"/>
          <w:u w:val="single"/>
          <w:lang w:bidi="ar"/>
        </w:rPr>
        <w:t xml:space="preserve">              </w:t>
      </w:r>
    </w:p>
    <w:p w14:paraId="4FD66B47">
      <w:pPr>
        <w:widowControl/>
        <w:rPr>
          <w:rFonts w:hint="eastAsia" w:cs="宋体"/>
        </w:rPr>
      </w:pPr>
      <w:r>
        <w:rPr>
          <w:rFonts w:hint="eastAsia" w:cs="宋体"/>
          <w:kern w:val="0"/>
          <w:szCs w:val="24"/>
          <w:lang w:bidi="ar"/>
        </w:rPr>
        <w:t xml:space="preserve">日期：_____年______月______日 </w:t>
      </w:r>
    </w:p>
    <w:p w14:paraId="0D7E210D">
      <w:pPr>
        <w:spacing w:line="240" w:lineRule="exact"/>
        <w:ind w:firstLine="480" w:firstLineChars="200"/>
        <w:rPr>
          <w:rFonts w:hint="eastAsia" w:cs="宋体"/>
          <w:szCs w:val="24"/>
        </w:rPr>
      </w:pPr>
    </w:p>
    <w:p w14:paraId="7CE346A7">
      <w:pPr>
        <w:widowControl/>
        <w:rPr>
          <w:rFonts w:hint="eastAsia" w:cs="宋体"/>
        </w:rPr>
      </w:pPr>
      <w:r>
        <w:rPr>
          <w:rFonts w:hint="eastAsia" w:cs="宋体"/>
          <w:kern w:val="0"/>
          <w:szCs w:val="24"/>
          <w:lang w:bidi="ar"/>
        </w:rPr>
        <w:t xml:space="preserve">附：法定代表人及委托代理人身份证明文件电子件： </w:t>
      </w:r>
    </w:p>
    <w:tbl>
      <w:tblPr>
        <w:tblStyle w:val="19"/>
        <w:tblW w:w="85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7"/>
      </w:tblGrid>
      <w:tr w14:paraId="6A575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1" w:hRule="atLeast"/>
        </w:trPr>
        <w:tc>
          <w:tcPr>
            <w:tcW w:w="8527" w:type="dxa"/>
          </w:tcPr>
          <w:p w14:paraId="66EBC6FA">
            <w:pPr>
              <w:rPr>
                <w:rFonts w:hint="eastAsia" w:cs="宋体"/>
              </w:rPr>
            </w:pPr>
          </w:p>
        </w:tc>
      </w:tr>
    </w:tbl>
    <w:p w14:paraId="003FC2D7">
      <w:pPr>
        <w:ind w:firstLine="480" w:firstLineChars="200"/>
        <w:rPr>
          <w:rFonts w:hint="eastAsia" w:cs="宋体"/>
          <w:szCs w:val="24"/>
        </w:rPr>
      </w:pPr>
      <w:r>
        <w:rPr>
          <w:rFonts w:hint="eastAsia" w:cs="宋体"/>
          <w:szCs w:val="24"/>
        </w:rPr>
        <w:t xml:space="preserve">说明： </w:t>
      </w:r>
    </w:p>
    <w:p w14:paraId="6A6FAC65">
      <w:pPr>
        <w:ind w:firstLine="480" w:firstLineChars="200"/>
        <w:rPr>
          <w:rFonts w:hint="eastAsia" w:cs="宋体"/>
          <w:szCs w:val="24"/>
        </w:rPr>
      </w:pPr>
      <w:r>
        <w:rPr>
          <w:rFonts w:hint="eastAsia" w:cs="宋体"/>
          <w:szCs w:val="24"/>
        </w:rPr>
        <w:t xml:space="preserve">1.若供应商为事业单位或其他组织或分支机构，则法定代表人（单位负责人）处的签署人可为单位负责人。 </w:t>
      </w:r>
    </w:p>
    <w:p w14:paraId="7579C425">
      <w:pPr>
        <w:ind w:firstLine="480" w:firstLineChars="200"/>
        <w:rPr>
          <w:rFonts w:hint="eastAsia" w:cs="宋体"/>
          <w:szCs w:val="24"/>
        </w:rPr>
      </w:pPr>
      <w:r>
        <w:rPr>
          <w:rFonts w:hint="eastAsia" w:cs="宋体"/>
          <w:szCs w:val="24"/>
        </w:rPr>
        <w:t xml:space="preserve">2.若响应文件中签字之处均为法定代表人（单位负责人）本人签署，则可不提供本《授权委托书》，但须提供《法定代表人（单位负责人）身份证明》。 </w:t>
      </w:r>
    </w:p>
    <w:p w14:paraId="7D81952A">
      <w:pPr>
        <w:ind w:firstLine="480" w:firstLineChars="200"/>
        <w:rPr>
          <w:rFonts w:hint="eastAsia" w:cs="宋体"/>
          <w:szCs w:val="24"/>
        </w:rPr>
      </w:pPr>
      <w:r>
        <w:rPr>
          <w:rFonts w:hint="eastAsia" w:cs="宋体"/>
          <w:szCs w:val="24"/>
        </w:rPr>
        <w:t xml:space="preserve">3.供应商为自然人的情形，可不提供本《授权委托书》。 </w:t>
      </w:r>
    </w:p>
    <w:p w14:paraId="16E91B57">
      <w:pPr>
        <w:ind w:firstLine="480" w:firstLineChars="200"/>
        <w:rPr>
          <w:rFonts w:hint="eastAsia" w:cs="宋体"/>
          <w:szCs w:val="24"/>
        </w:rPr>
      </w:pPr>
      <w:r>
        <w:rPr>
          <w:rFonts w:hint="eastAsia" w:cs="宋体"/>
          <w:szCs w:val="24"/>
        </w:rPr>
        <w:t>4.供应商应随本《授权委托书》同时提供法定代表人（单位负责人）及委托代理人的有效的身份证、护照等身份证明文件电子件。提供身份证的，应同时提供身份证</w:t>
      </w:r>
      <w:r>
        <w:rPr>
          <w:rFonts w:hint="eastAsia" w:cs="宋体"/>
          <w:b/>
          <w:bCs/>
          <w:szCs w:val="24"/>
        </w:rPr>
        <w:t>双面</w:t>
      </w:r>
      <w:r>
        <w:rPr>
          <w:rFonts w:hint="eastAsia" w:cs="宋体"/>
          <w:szCs w:val="24"/>
        </w:rPr>
        <w:t>电子件。</w:t>
      </w:r>
    </w:p>
    <w:p w14:paraId="0B2EBA16">
      <w:pPr>
        <w:rPr>
          <w:rFonts w:hint="eastAsia" w:cs="宋体"/>
        </w:rPr>
      </w:pPr>
      <w:r>
        <w:rPr>
          <w:rFonts w:hint="eastAsia" w:cs="宋体"/>
        </w:rPr>
        <w:br w:type="page"/>
      </w:r>
    </w:p>
    <w:p w14:paraId="63CF304C">
      <w:pPr>
        <w:pStyle w:val="8"/>
        <w:jc w:val="center"/>
        <w:rPr>
          <w:rFonts w:hint="eastAsia"/>
        </w:rPr>
      </w:pPr>
      <w:bookmarkStart w:id="824" w:name="_Toc155185934"/>
      <w:bookmarkStart w:id="825" w:name="_Toc163492928"/>
      <w:bookmarkStart w:id="826" w:name="_Toc79"/>
      <w:r>
        <w:rPr>
          <w:rFonts w:hint="eastAsia"/>
        </w:rPr>
        <w:t>4、</w:t>
      </w:r>
      <w:bookmarkEnd w:id="824"/>
      <w:bookmarkEnd w:id="825"/>
      <w:r>
        <w:rPr>
          <w:rFonts w:hint="eastAsia"/>
          <w:lang w:val="zh-CN"/>
        </w:rPr>
        <w:t>政府采购供应商廉洁自律承诺书</w:t>
      </w:r>
      <w:bookmarkEnd w:id="826"/>
    </w:p>
    <w:p w14:paraId="1993A163">
      <w:pPr>
        <w:pStyle w:val="5"/>
        <w:rPr>
          <w:rFonts w:hint="eastAsia" w:ascii="宋体" w:hAnsi="宋体" w:cs="宋体"/>
        </w:rPr>
      </w:pPr>
    </w:p>
    <w:p w14:paraId="2CE177B4">
      <w:pPr>
        <w:snapToGrid w:val="0"/>
        <w:rPr>
          <w:rFonts w:hint="eastAsia" w:cs="宋体"/>
          <w:kern w:val="0"/>
          <w:szCs w:val="24"/>
        </w:rPr>
      </w:pPr>
      <w:r>
        <w:rPr>
          <w:rFonts w:hint="eastAsia" w:cs="宋体"/>
          <w:szCs w:val="24"/>
        </w:rPr>
        <w:t>（采购人）、（采购代理机构）</w:t>
      </w:r>
      <w:r>
        <w:rPr>
          <w:rFonts w:hint="eastAsia" w:cs="宋体"/>
          <w:kern w:val="0"/>
          <w:szCs w:val="24"/>
          <w:lang w:val="zh-CN"/>
        </w:rPr>
        <w:t>：</w:t>
      </w:r>
    </w:p>
    <w:p w14:paraId="2139BFB4">
      <w:pPr>
        <w:autoSpaceDE w:val="0"/>
        <w:autoSpaceDN w:val="0"/>
        <w:ind w:left="2" w:leftChars="1" w:firstLine="480" w:firstLineChars="200"/>
        <w:rPr>
          <w:rFonts w:hint="eastAsia" w:cs="宋体"/>
          <w:kern w:val="0"/>
          <w:szCs w:val="24"/>
          <w:lang w:val="zh-CN"/>
        </w:rPr>
      </w:pPr>
      <w:r>
        <w:rPr>
          <w:rFonts w:hint="eastAsia" w:cs="宋体"/>
          <w:kern w:val="0"/>
          <w:szCs w:val="24"/>
          <w:lang w:val="zh-CN"/>
        </w:rPr>
        <w:t>我单位响应你</w:t>
      </w:r>
      <w:r>
        <w:rPr>
          <w:rFonts w:hint="eastAsia" w:cs="宋体"/>
          <w:szCs w:val="24"/>
        </w:rPr>
        <w:t>单位</w:t>
      </w:r>
      <w:r>
        <w:rPr>
          <w:rFonts w:hint="eastAsia" w:cs="宋体"/>
          <w:kern w:val="0"/>
          <w:szCs w:val="24"/>
          <w:lang w:val="zh-CN"/>
        </w:rPr>
        <w:t>项目</w:t>
      </w:r>
      <w:r>
        <w:rPr>
          <w:rFonts w:hint="eastAsia" w:cs="宋体"/>
          <w:kern w:val="0"/>
          <w:szCs w:val="24"/>
        </w:rPr>
        <w:t>竞争性磋商</w:t>
      </w:r>
      <w:r>
        <w:rPr>
          <w:rFonts w:hint="eastAsia" w:cs="宋体"/>
          <w:kern w:val="0"/>
          <w:szCs w:val="24"/>
          <w:lang w:val="zh-CN"/>
        </w:rPr>
        <w:t>要求参加</w:t>
      </w:r>
      <w:r>
        <w:rPr>
          <w:rFonts w:hint="eastAsia" w:cs="宋体"/>
          <w:kern w:val="0"/>
          <w:szCs w:val="24"/>
        </w:rPr>
        <w:t>磋商响应</w:t>
      </w:r>
      <w:r>
        <w:rPr>
          <w:rFonts w:hint="eastAsia" w:cs="宋体"/>
          <w:kern w:val="0"/>
          <w:szCs w:val="24"/>
          <w:lang w:val="zh-CN"/>
        </w:rPr>
        <w:t>。在这次</w:t>
      </w:r>
      <w:r>
        <w:rPr>
          <w:rFonts w:hint="eastAsia" w:cs="宋体"/>
          <w:kern w:val="0"/>
          <w:szCs w:val="24"/>
        </w:rPr>
        <w:t>磋商响应</w:t>
      </w:r>
      <w:r>
        <w:rPr>
          <w:rFonts w:hint="eastAsia" w:cs="宋体"/>
          <w:kern w:val="0"/>
          <w:szCs w:val="24"/>
          <w:lang w:val="zh-CN"/>
        </w:rPr>
        <w:t>过程中和</w:t>
      </w:r>
      <w:r>
        <w:rPr>
          <w:rFonts w:hint="eastAsia" w:cs="宋体"/>
          <w:kern w:val="0"/>
          <w:szCs w:val="24"/>
        </w:rPr>
        <w:t>成交</w:t>
      </w:r>
      <w:r>
        <w:rPr>
          <w:rFonts w:hint="eastAsia" w:cs="宋体"/>
          <w:kern w:val="0"/>
          <w:szCs w:val="24"/>
          <w:lang w:val="zh-CN"/>
        </w:rPr>
        <w:t>后，我们将严格遵守国家法律法规要求，并郑重承诺：</w:t>
      </w:r>
    </w:p>
    <w:p w14:paraId="2B87D13C">
      <w:pPr>
        <w:autoSpaceDE w:val="0"/>
        <w:autoSpaceDN w:val="0"/>
        <w:ind w:left="2" w:leftChars="1" w:firstLine="480" w:firstLineChars="200"/>
        <w:rPr>
          <w:rFonts w:hint="eastAsia" w:cs="宋体"/>
          <w:kern w:val="0"/>
          <w:szCs w:val="24"/>
          <w:lang w:val="zh-CN"/>
        </w:rPr>
      </w:pPr>
      <w:r>
        <w:rPr>
          <w:rFonts w:hint="eastAsia" w:cs="宋体"/>
          <w:kern w:val="0"/>
          <w:szCs w:val="24"/>
          <w:lang w:val="zh-CN"/>
        </w:rPr>
        <w:t xml:space="preserve">一、不向项目有关人员及部门赠送礼金礼物、有价证券、回扣以及中介费、介绍费、咨询费等好处费； </w:t>
      </w:r>
    </w:p>
    <w:p w14:paraId="063D62B4">
      <w:pPr>
        <w:autoSpaceDE w:val="0"/>
        <w:autoSpaceDN w:val="0"/>
        <w:ind w:left="2" w:leftChars="1" w:firstLine="480" w:firstLineChars="200"/>
        <w:rPr>
          <w:rFonts w:hint="eastAsia" w:cs="宋体"/>
          <w:kern w:val="0"/>
          <w:szCs w:val="24"/>
          <w:lang w:val="zh-CN"/>
        </w:rPr>
      </w:pPr>
      <w:r>
        <w:rPr>
          <w:rFonts w:hint="eastAsia" w:cs="宋体"/>
          <w:kern w:val="0"/>
          <w:szCs w:val="24"/>
          <w:lang w:val="zh-CN"/>
        </w:rPr>
        <w:t xml:space="preserve">二、不为项目有关人员及部门报销应由你方单位或个人支付的费用； </w:t>
      </w:r>
    </w:p>
    <w:p w14:paraId="5ADDE615">
      <w:pPr>
        <w:autoSpaceDE w:val="0"/>
        <w:autoSpaceDN w:val="0"/>
        <w:ind w:left="2" w:leftChars="1" w:firstLine="480" w:firstLineChars="200"/>
        <w:rPr>
          <w:rFonts w:hint="eastAsia" w:cs="宋体"/>
          <w:kern w:val="0"/>
          <w:szCs w:val="24"/>
          <w:lang w:val="zh-CN"/>
        </w:rPr>
      </w:pPr>
      <w:r>
        <w:rPr>
          <w:rFonts w:hint="eastAsia" w:cs="宋体"/>
          <w:kern w:val="0"/>
          <w:szCs w:val="24"/>
          <w:lang w:val="zh-CN"/>
        </w:rPr>
        <w:t>三、不向项目有关人员及部门提供有可能影响公正的宴请和健身娱乐等活动；</w:t>
      </w:r>
    </w:p>
    <w:p w14:paraId="6B70337F">
      <w:pPr>
        <w:autoSpaceDE w:val="0"/>
        <w:autoSpaceDN w:val="0"/>
        <w:ind w:left="2" w:leftChars="1" w:firstLine="480" w:firstLineChars="200"/>
        <w:rPr>
          <w:rFonts w:hint="eastAsia" w:cs="宋体"/>
          <w:kern w:val="0"/>
          <w:szCs w:val="24"/>
          <w:lang w:val="zh-CN"/>
        </w:rPr>
      </w:pPr>
      <w:r>
        <w:rPr>
          <w:rFonts w:hint="eastAsia" w:cs="宋体"/>
          <w:kern w:val="0"/>
          <w:szCs w:val="24"/>
          <w:lang w:val="zh-CN"/>
        </w:rPr>
        <w:t>四、不为项目有关人员及部门出国（境）、旅游等提供方便；</w:t>
      </w:r>
    </w:p>
    <w:p w14:paraId="6421E616">
      <w:pPr>
        <w:autoSpaceDE w:val="0"/>
        <w:autoSpaceDN w:val="0"/>
        <w:ind w:left="2" w:leftChars="1" w:firstLine="480" w:firstLineChars="200"/>
        <w:rPr>
          <w:rFonts w:hint="eastAsia" w:cs="宋体"/>
          <w:kern w:val="0"/>
          <w:szCs w:val="24"/>
          <w:lang w:val="zh-CN"/>
        </w:rPr>
      </w:pPr>
      <w:r>
        <w:rPr>
          <w:rFonts w:hint="eastAsia" w:cs="宋体"/>
          <w:kern w:val="0"/>
          <w:szCs w:val="24"/>
          <w:lang w:val="zh-CN"/>
        </w:rPr>
        <w:t>五、不为项目有关人员个人装修住房、婚丧嫁娶、配偶子女工作安排等提供好处；</w:t>
      </w:r>
    </w:p>
    <w:p w14:paraId="663761CE">
      <w:pPr>
        <w:autoSpaceDE w:val="0"/>
        <w:autoSpaceDN w:val="0"/>
        <w:ind w:left="2" w:leftChars="1" w:firstLine="480" w:firstLineChars="200"/>
        <w:rPr>
          <w:rFonts w:hint="eastAsia" w:cs="宋体"/>
          <w:kern w:val="0"/>
          <w:szCs w:val="24"/>
          <w:lang w:val="zh-CN"/>
        </w:rPr>
      </w:pPr>
      <w:r>
        <w:rPr>
          <w:rFonts w:hint="eastAsia" w:cs="宋体"/>
          <w:kern w:val="0"/>
          <w:szCs w:val="24"/>
          <w:lang w:val="zh-CN"/>
        </w:rPr>
        <w:t xml:space="preserve">六、严格遵守《中华人民共和国政府采购法》《中华人民共和国招标投标法》《中华人民共和国民法典》等法律法规，诚实守信，合法经营，坚决抵制各种违法违纪行为。 </w:t>
      </w:r>
    </w:p>
    <w:p w14:paraId="5C8FD2B8">
      <w:pPr>
        <w:autoSpaceDE w:val="0"/>
        <w:autoSpaceDN w:val="0"/>
        <w:ind w:left="2" w:leftChars="1" w:firstLine="480" w:firstLineChars="200"/>
        <w:rPr>
          <w:rFonts w:hint="eastAsia" w:cs="宋体"/>
          <w:kern w:val="0"/>
          <w:szCs w:val="24"/>
          <w:lang w:val="zh-CN"/>
        </w:rPr>
      </w:pPr>
      <w:r>
        <w:rPr>
          <w:rFonts w:hint="eastAsia" w:cs="宋体"/>
          <w:kern w:val="0"/>
          <w:szCs w:val="24"/>
          <w:lang w:val="zh-CN"/>
        </w:rPr>
        <w:t>如违反上述承诺，你单位有权立即取消我单位</w:t>
      </w:r>
      <w:r>
        <w:rPr>
          <w:rFonts w:hint="eastAsia" w:cs="宋体"/>
          <w:kern w:val="0"/>
          <w:szCs w:val="24"/>
        </w:rPr>
        <w:t>磋商响应</w:t>
      </w:r>
      <w:r>
        <w:rPr>
          <w:rFonts w:hint="eastAsia" w:cs="宋体"/>
          <w:kern w:val="0"/>
          <w:szCs w:val="24"/>
          <w:lang w:val="zh-CN"/>
        </w:rPr>
        <w:t>、</w:t>
      </w:r>
      <w:r>
        <w:rPr>
          <w:rFonts w:hint="eastAsia" w:cs="宋体"/>
          <w:kern w:val="0"/>
          <w:szCs w:val="24"/>
        </w:rPr>
        <w:t>成交</w:t>
      </w:r>
      <w:r>
        <w:rPr>
          <w:rFonts w:hint="eastAsia" w:cs="宋体"/>
          <w:kern w:val="0"/>
          <w:szCs w:val="24"/>
          <w:lang w:val="zh-CN"/>
        </w:rPr>
        <w:t>或在建项目的建设资格，有权拒绝我单位在一定时期内进入你单位进行项目建设或其他经营活动，并通报</w:t>
      </w:r>
      <w:r>
        <w:rPr>
          <w:rFonts w:hint="eastAsia" w:cs="宋体"/>
          <w:kern w:val="0"/>
          <w:szCs w:val="24"/>
        </w:rPr>
        <w:t>上级行政监管部门（财政厅/局）</w:t>
      </w:r>
      <w:r>
        <w:rPr>
          <w:rFonts w:hint="eastAsia" w:cs="宋体"/>
          <w:kern w:val="0"/>
          <w:szCs w:val="24"/>
          <w:lang w:val="zh-CN"/>
        </w:rPr>
        <w:t>。由此引起的相应损失均由我单位承担。</w:t>
      </w:r>
    </w:p>
    <w:p w14:paraId="5E22ECB4">
      <w:pPr>
        <w:autoSpaceDE w:val="0"/>
        <w:autoSpaceDN w:val="0"/>
        <w:ind w:left="2"/>
        <w:rPr>
          <w:rFonts w:hint="eastAsia" w:cs="宋体"/>
          <w:kern w:val="0"/>
          <w:szCs w:val="24"/>
          <w:lang w:val="zh-CN"/>
        </w:rPr>
      </w:pPr>
    </w:p>
    <w:p w14:paraId="0914ACDE">
      <w:pPr>
        <w:autoSpaceDE w:val="0"/>
        <w:autoSpaceDN w:val="0"/>
        <w:ind w:left="2"/>
        <w:rPr>
          <w:rFonts w:hint="eastAsia" w:cs="宋体"/>
          <w:kern w:val="0"/>
          <w:szCs w:val="24"/>
          <w:lang w:val="zh-CN"/>
        </w:rPr>
      </w:pPr>
    </w:p>
    <w:p w14:paraId="02E01AF0">
      <w:pPr>
        <w:autoSpaceDE w:val="0"/>
        <w:autoSpaceDN w:val="0"/>
        <w:ind w:left="2"/>
        <w:rPr>
          <w:rFonts w:hint="eastAsia" w:cs="宋体"/>
          <w:kern w:val="0"/>
          <w:szCs w:val="24"/>
          <w:lang w:val="zh-CN"/>
        </w:rPr>
      </w:pPr>
    </w:p>
    <w:p w14:paraId="3EA46769">
      <w:pPr>
        <w:autoSpaceDE w:val="0"/>
        <w:autoSpaceDN w:val="0"/>
        <w:ind w:left="2" w:leftChars="1" w:right="1120" w:firstLine="4560" w:firstLineChars="1900"/>
        <w:rPr>
          <w:rFonts w:hint="eastAsia" w:cs="宋体"/>
          <w:kern w:val="0"/>
          <w:szCs w:val="24"/>
          <w:lang w:val="zh-CN"/>
        </w:rPr>
      </w:pPr>
      <w:r>
        <w:rPr>
          <w:rFonts w:hint="eastAsia" w:cs="宋体"/>
          <w:kern w:val="0"/>
          <w:szCs w:val="24"/>
        </w:rPr>
        <w:t>供应商</w:t>
      </w:r>
      <w:r>
        <w:rPr>
          <w:rFonts w:hint="eastAsia" w:cs="宋体"/>
          <w:kern w:val="0"/>
          <w:szCs w:val="24"/>
          <w:lang w:val="zh-CN"/>
        </w:rPr>
        <w:t>名称（</w:t>
      </w:r>
      <w:r>
        <w:rPr>
          <w:rFonts w:hint="eastAsia" w:cs="宋体"/>
          <w:szCs w:val="24"/>
        </w:rPr>
        <w:t>公章</w:t>
      </w:r>
      <w:r>
        <w:rPr>
          <w:rFonts w:hint="eastAsia" w:cs="宋体"/>
          <w:kern w:val="0"/>
          <w:szCs w:val="24"/>
          <w:lang w:val="zh-CN"/>
        </w:rPr>
        <w:t xml:space="preserve">）：                                                                                                                                                                                                               </w:t>
      </w:r>
    </w:p>
    <w:p w14:paraId="0FD8A2DC">
      <w:pPr>
        <w:ind w:firstLine="4560" w:firstLineChars="1900"/>
        <w:rPr>
          <w:rFonts w:hint="eastAsia" w:cs="宋体"/>
          <w:b/>
          <w:bCs/>
          <w:szCs w:val="24"/>
        </w:rPr>
      </w:pPr>
      <w:r>
        <w:rPr>
          <w:rFonts w:hint="eastAsia" w:cs="宋体"/>
          <w:kern w:val="0"/>
          <w:szCs w:val="24"/>
          <w:lang w:val="zh-CN"/>
        </w:rPr>
        <w:t>日期</w:t>
      </w:r>
      <w:r>
        <w:rPr>
          <w:rFonts w:hint="eastAsia" w:cs="宋体"/>
          <w:kern w:val="0"/>
          <w:szCs w:val="24"/>
        </w:rPr>
        <w:t>：</w:t>
      </w:r>
      <w:r>
        <w:rPr>
          <w:rFonts w:hint="eastAsia" w:cs="宋体"/>
          <w:kern w:val="0"/>
          <w:szCs w:val="24"/>
          <w:lang w:val="zh-CN"/>
        </w:rPr>
        <w:t xml:space="preserve">   年   月   日</w:t>
      </w:r>
    </w:p>
    <w:p w14:paraId="5AA40BF9">
      <w:pPr>
        <w:rPr>
          <w:rFonts w:hint="eastAsia" w:cs="宋体"/>
          <w:b/>
          <w:bCs/>
          <w:szCs w:val="24"/>
        </w:rPr>
      </w:pPr>
    </w:p>
    <w:p w14:paraId="2917743B">
      <w:pPr>
        <w:pStyle w:val="5"/>
        <w:rPr>
          <w:rFonts w:hint="eastAsia" w:ascii="宋体" w:hAnsi="宋体" w:cs="宋体"/>
          <w:b/>
          <w:bCs/>
          <w:kern w:val="2"/>
          <w:sz w:val="24"/>
          <w:szCs w:val="24"/>
        </w:rPr>
      </w:pPr>
    </w:p>
    <w:p w14:paraId="2CC927CA">
      <w:pPr>
        <w:pStyle w:val="5"/>
        <w:rPr>
          <w:rFonts w:hint="eastAsia" w:ascii="宋体" w:hAnsi="宋体" w:cs="宋体"/>
          <w:b/>
          <w:bCs/>
          <w:kern w:val="2"/>
          <w:sz w:val="24"/>
          <w:szCs w:val="24"/>
        </w:rPr>
      </w:pPr>
    </w:p>
    <w:p w14:paraId="5715E7F4">
      <w:pPr>
        <w:pStyle w:val="8"/>
        <w:jc w:val="center"/>
        <w:rPr>
          <w:rFonts w:hint="eastAsia"/>
        </w:rPr>
      </w:pPr>
      <w:bookmarkStart w:id="827" w:name="_Toc12990"/>
      <w:bookmarkStart w:id="828" w:name="_Toc31773"/>
      <w:r>
        <w:rPr>
          <w:rFonts w:hint="eastAsia"/>
        </w:rPr>
        <w:t>5、不参与围标串标承诺书</w:t>
      </w:r>
      <w:bookmarkEnd w:id="827"/>
      <w:bookmarkEnd w:id="828"/>
    </w:p>
    <w:p w14:paraId="5DF69508">
      <w:pPr>
        <w:rPr>
          <w:rFonts w:hint="eastAsia" w:cs="宋体"/>
        </w:rPr>
      </w:pPr>
    </w:p>
    <w:p w14:paraId="41B0AEE3">
      <w:pPr>
        <w:jc w:val="center"/>
        <w:rPr>
          <w:rFonts w:hint="eastAsia" w:cs="宋体"/>
        </w:rPr>
      </w:pPr>
      <w:r>
        <w:rPr>
          <w:rFonts w:hint="eastAsia" w:cs="宋体"/>
          <w:b/>
          <w:bCs/>
          <w:sz w:val="32"/>
          <w:szCs w:val="32"/>
        </w:rPr>
        <w:t>不参与围标串标承诺书</w:t>
      </w:r>
    </w:p>
    <w:p w14:paraId="34C0D311">
      <w:pPr>
        <w:rPr>
          <w:rFonts w:hint="eastAsia" w:cs="宋体"/>
        </w:rPr>
      </w:pPr>
      <w:r>
        <w:rPr>
          <w:rFonts w:hint="eastAsia" w:cs="宋体"/>
        </w:rPr>
        <w:t>  </w:t>
      </w:r>
    </w:p>
    <w:p w14:paraId="62443D66">
      <w:pPr>
        <w:ind w:firstLine="480" w:firstLineChars="200"/>
        <w:rPr>
          <w:rFonts w:hint="eastAsia" w:cs="宋体"/>
        </w:rPr>
      </w:pPr>
      <w:r>
        <w:rPr>
          <w:rFonts w:hint="eastAsia" w:cs="宋体"/>
        </w:rPr>
        <w:t>本人作为经授权的投标人代表,清楚知晓我单位本项目投标活动,对以下事项作出承诺：</w:t>
      </w:r>
    </w:p>
    <w:p w14:paraId="3F684C03">
      <w:pPr>
        <w:ind w:firstLine="480" w:firstLineChars="200"/>
        <w:rPr>
          <w:rFonts w:hint="eastAsia" w:cs="宋体"/>
        </w:rPr>
      </w:pPr>
    </w:p>
    <w:p w14:paraId="356CC131">
      <w:pPr>
        <w:ind w:firstLine="480" w:firstLineChars="200"/>
        <w:rPr>
          <w:rFonts w:hint="eastAsia" w:cs="宋体"/>
        </w:rPr>
      </w:pPr>
      <w:r>
        <w:rPr>
          <w:rFonts w:hint="eastAsia" w:cs="宋体"/>
        </w:rPr>
        <w:t>一、我单位和我本人遵循公开透明、公平竞争、公正和诚实信用的原则,依法依规参与本项目竞标。</w:t>
      </w:r>
    </w:p>
    <w:p w14:paraId="74DCDDB2">
      <w:pPr>
        <w:ind w:firstLine="480" w:firstLineChars="200"/>
        <w:rPr>
          <w:rFonts w:hint="eastAsia" w:cs="宋体"/>
        </w:rPr>
      </w:pPr>
      <w:r>
        <w:rPr>
          <w:rFonts w:hint="eastAsia" w:cs="宋体"/>
        </w:rPr>
        <w:t>二、我单位和我本人在本项目政府采购投标活动中,未参与围标串标。</w:t>
      </w:r>
    </w:p>
    <w:p w14:paraId="5F918A06">
      <w:pPr>
        <w:ind w:firstLine="480" w:firstLineChars="200"/>
        <w:rPr>
          <w:rFonts w:hint="eastAsia" w:cs="宋体"/>
        </w:rPr>
      </w:pPr>
      <w:r>
        <w:rPr>
          <w:rFonts w:hint="eastAsia" w:cs="宋体"/>
        </w:rPr>
        <w:t>三、我单位如被查实在本项目政府采购投标活动中存在围标串标的，递交投标文件行为作为实施串通投标违法行为的关键环节,由我单位及法定代表人承担相应的法律责任，接受相应行政处罚和失信惩戒。</w:t>
      </w:r>
    </w:p>
    <w:p w14:paraId="3F22424E">
      <w:pPr>
        <w:pStyle w:val="5"/>
        <w:rPr>
          <w:rFonts w:hint="eastAsia" w:ascii="宋体" w:hAnsi="宋体" w:cs="宋体"/>
        </w:rPr>
      </w:pPr>
    </w:p>
    <w:p w14:paraId="60A0A49E">
      <w:pPr>
        <w:spacing w:line="560" w:lineRule="exact"/>
        <w:rPr>
          <w:rFonts w:hint="eastAsia" w:cs="宋体"/>
          <w:kern w:val="0"/>
          <w:szCs w:val="24"/>
        </w:rPr>
      </w:pPr>
    </w:p>
    <w:p w14:paraId="20F5D69D">
      <w:pPr>
        <w:spacing w:line="560" w:lineRule="exact"/>
        <w:rPr>
          <w:rFonts w:hint="eastAsia" w:cs="宋体"/>
          <w:kern w:val="0"/>
          <w:szCs w:val="24"/>
        </w:rPr>
      </w:pPr>
      <w:r>
        <w:rPr>
          <w:rFonts w:hint="eastAsia" w:cs="宋体"/>
          <w:kern w:val="0"/>
          <w:szCs w:val="24"/>
        </w:rPr>
        <w:t>投标人名称</w:t>
      </w:r>
      <w:r>
        <w:rPr>
          <w:rFonts w:hint="eastAsia" w:cs="宋体"/>
          <w:szCs w:val="24"/>
        </w:rPr>
        <w:t>（</w:t>
      </w:r>
      <w:r>
        <w:rPr>
          <w:rFonts w:hint="eastAsia" w:cs="宋体"/>
          <w:kern w:val="0"/>
          <w:szCs w:val="24"/>
        </w:rPr>
        <w:t>公章</w:t>
      </w:r>
      <w:r>
        <w:rPr>
          <w:rFonts w:hint="eastAsia" w:cs="宋体"/>
          <w:kern w:val="0"/>
          <w:lang w:val="zh-CN"/>
        </w:rPr>
        <w:t>)</w:t>
      </w:r>
      <w:r>
        <w:rPr>
          <w:rFonts w:hint="eastAsia" w:cs="宋体"/>
          <w:kern w:val="0"/>
          <w:szCs w:val="24"/>
        </w:rPr>
        <w:t>：</w:t>
      </w:r>
    </w:p>
    <w:p w14:paraId="739234EA">
      <w:pPr>
        <w:spacing w:line="560" w:lineRule="exact"/>
        <w:rPr>
          <w:rFonts w:hint="eastAsia" w:cs="宋体"/>
          <w:kern w:val="0"/>
          <w:szCs w:val="24"/>
        </w:rPr>
      </w:pPr>
      <w:r>
        <w:rPr>
          <w:rFonts w:hint="eastAsia" w:cs="宋体"/>
          <w:kern w:val="0"/>
          <w:szCs w:val="24"/>
        </w:rPr>
        <w:t>法定代表人、负责人、本人、或授权代表（签字或盖章）：</w:t>
      </w:r>
    </w:p>
    <w:p w14:paraId="58405C23">
      <w:pPr>
        <w:rPr>
          <w:rFonts w:hint="eastAsia" w:cs="宋体"/>
        </w:rPr>
      </w:pPr>
      <w:r>
        <w:rPr>
          <w:rFonts w:hint="eastAsia" w:cs="宋体"/>
          <w:kern w:val="0"/>
          <w:szCs w:val="24"/>
        </w:rPr>
        <w:t>日期： 年 月 日</w:t>
      </w:r>
    </w:p>
    <w:p w14:paraId="54981DFB">
      <w:pPr>
        <w:pStyle w:val="17"/>
        <w:rPr>
          <w:rFonts w:hint="eastAsia" w:ascii="宋体" w:eastAsia="宋体" w:cs="宋体"/>
        </w:rPr>
      </w:pPr>
    </w:p>
    <w:p w14:paraId="59A82B67">
      <w:pPr>
        <w:rPr>
          <w:rFonts w:hint="eastAsia" w:cs="宋体"/>
        </w:rPr>
      </w:pPr>
    </w:p>
    <w:p w14:paraId="6C78B7D5">
      <w:pPr>
        <w:pStyle w:val="24"/>
        <w:rPr>
          <w:rFonts w:hint="eastAsia" w:ascii="宋体" w:hAnsi="宋体" w:eastAsia="宋体" w:cs="宋体"/>
          <w:color w:val="auto"/>
        </w:rPr>
      </w:pPr>
    </w:p>
    <w:p w14:paraId="18D912AA">
      <w:pPr>
        <w:pStyle w:val="24"/>
        <w:rPr>
          <w:rFonts w:hint="eastAsia" w:ascii="宋体" w:hAnsi="宋体" w:eastAsia="宋体" w:cs="宋体"/>
          <w:color w:val="auto"/>
        </w:rPr>
      </w:pPr>
    </w:p>
    <w:p w14:paraId="56549781">
      <w:pPr>
        <w:pStyle w:val="24"/>
        <w:rPr>
          <w:rFonts w:hint="eastAsia" w:ascii="宋体" w:hAnsi="宋体" w:eastAsia="宋体" w:cs="宋体"/>
          <w:color w:val="auto"/>
        </w:rPr>
      </w:pPr>
    </w:p>
    <w:p w14:paraId="4F60BC3F">
      <w:pPr>
        <w:pStyle w:val="24"/>
        <w:rPr>
          <w:rFonts w:hint="eastAsia" w:ascii="宋体" w:hAnsi="宋体" w:eastAsia="宋体" w:cs="宋体"/>
          <w:color w:val="auto"/>
        </w:rPr>
      </w:pPr>
    </w:p>
    <w:p w14:paraId="4E80295C">
      <w:pPr>
        <w:pStyle w:val="24"/>
        <w:rPr>
          <w:rFonts w:hint="eastAsia" w:ascii="宋体" w:hAnsi="宋体" w:eastAsia="宋体" w:cs="宋体"/>
          <w:color w:val="auto"/>
        </w:rPr>
      </w:pPr>
    </w:p>
    <w:p w14:paraId="14274BE6">
      <w:pPr>
        <w:pStyle w:val="24"/>
        <w:rPr>
          <w:rFonts w:hint="eastAsia" w:ascii="宋体" w:hAnsi="宋体" w:eastAsia="宋体" w:cs="宋体"/>
          <w:color w:val="auto"/>
        </w:rPr>
      </w:pPr>
    </w:p>
    <w:p w14:paraId="62CCE919">
      <w:pPr>
        <w:pStyle w:val="24"/>
        <w:rPr>
          <w:rFonts w:hint="eastAsia" w:ascii="宋体" w:hAnsi="宋体" w:eastAsia="宋体" w:cs="宋体"/>
          <w:color w:val="auto"/>
        </w:rPr>
      </w:pPr>
    </w:p>
    <w:p w14:paraId="07F7D58B">
      <w:pPr>
        <w:rPr>
          <w:rFonts w:hint="eastAsia" w:cs="宋体"/>
        </w:rPr>
      </w:pPr>
    </w:p>
    <w:p w14:paraId="0198D5DB">
      <w:pPr>
        <w:pStyle w:val="5"/>
        <w:rPr>
          <w:rFonts w:hint="eastAsia" w:ascii="宋体" w:hAnsi="宋体" w:cs="宋体"/>
          <w:b/>
          <w:bCs/>
          <w:kern w:val="2"/>
          <w:sz w:val="24"/>
          <w:szCs w:val="24"/>
        </w:rPr>
      </w:pPr>
    </w:p>
    <w:p w14:paraId="626EF50E">
      <w:pPr>
        <w:pStyle w:val="8"/>
        <w:jc w:val="center"/>
        <w:rPr>
          <w:rFonts w:hint="eastAsia"/>
        </w:rPr>
      </w:pPr>
      <w:bookmarkStart w:id="829" w:name="_Toc29389"/>
      <w:r>
        <w:rPr>
          <w:rFonts w:hint="eastAsia"/>
        </w:rPr>
        <w:t>6、商务响应偏离表</w:t>
      </w:r>
      <w:bookmarkEnd w:id="829"/>
    </w:p>
    <w:p w14:paraId="6755E4D1">
      <w:pPr>
        <w:rPr>
          <w:rFonts w:hint="eastAsia" w:cs="宋体"/>
          <w:szCs w:val="24"/>
        </w:rPr>
      </w:pPr>
      <w:r>
        <w:rPr>
          <w:rFonts w:hint="eastAsia" w:cs="宋体"/>
          <w:szCs w:val="24"/>
        </w:rPr>
        <w:t xml:space="preserve">项目名称：                                         </w:t>
      </w:r>
    </w:p>
    <w:p w14:paraId="0424C095">
      <w:pPr>
        <w:rPr>
          <w:rFonts w:hint="eastAsia" w:cs="宋体"/>
          <w:szCs w:val="24"/>
        </w:rPr>
      </w:pPr>
      <w:r>
        <w:rPr>
          <w:rFonts w:hint="eastAsia" w:cs="宋体"/>
          <w:szCs w:val="24"/>
        </w:rPr>
        <w:t>项目编号</w:t>
      </w:r>
      <w:r>
        <w:rPr>
          <w:rFonts w:hint="eastAsia" w:cs="宋体"/>
          <w:bCs/>
          <w:szCs w:val="21"/>
        </w:rPr>
        <w:t>/</w:t>
      </w:r>
      <w:r>
        <w:rPr>
          <w:rFonts w:hint="eastAsia" w:cs="宋体"/>
          <w:bCs/>
          <w:szCs w:val="21"/>
          <w:lang w:val="zh-CN"/>
        </w:rPr>
        <w:t>包号</w:t>
      </w:r>
      <w:r>
        <w:rPr>
          <w:rFonts w:hint="eastAsia" w:cs="宋体"/>
          <w:szCs w:val="24"/>
        </w:rPr>
        <w:t xml:space="preserve">：        </w:t>
      </w:r>
    </w:p>
    <w:tbl>
      <w:tblPr>
        <w:tblStyle w:val="19"/>
        <w:tblW w:w="503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1"/>
        <w:gridCol w:w="2394"/>
        <w:gridCol w:w="1720"/>
        <w:gridCol w:w="1871"/>
        <w:gridCol w:w="1871"/>
      </w:tblGrid>
      <w:tr w14:paraId="16BE7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420" w:type="pct"/>
            <w:vAlign w:val="center"/>
          </w:tcPr>
          <w:p w14:paraId="1A4BE3A9">
            <w:pPr>
              <w:pStyle w:val="28"/>
              <w:jc w:val="center"/>
              <w:rPr>
                <w:rFonts w:hint="eastAsia" w:cs="宋体"/>
              </w:rPr>
            </w:pPr>
            <w:r>
              <w:rPr>
                <w:rFonts w:hint="eastAsia" w:cs="宋体"/>
              </w:rPr>
              <w:t>序号</w:t>
            </w:r>
          </w:p>
        </w:tc>
        <w:tc>
          <w:tcPr>
            <w:tcW w:w="1395" w:type="pct"/>
            <w:vAlign w:val="center"/>
          </w:tcPr>
          <w:p w14:paraId="7CB83CD6">
            <w:pPr>
              <w:pStyle w:val="28"/>
              <w:jc w:val="center"/>
              <w:rPr>
                <w:rFonts w:hint="eastAsia" w:cs="宋体"/>
              </w:rPr>
            </w:pPr>
            <w:r>
              <w:rPr>
                <w:rFonts w:hint="eastAsia" w:cs="宋体"/>
              </w:rPr>
              <w:t>竞争性磋商文件的商务条款</w:t>
            </w:r>
          </w:p>
        </w:tc>
        <w:tc>
          <w:tcPr>
            <w:tcW w:w="1002" w:type="pct"/>
            <w:vAlign w:val="center"/>
          </w:tcPr>
          <w:p w14:paraId="55A47B57">
            <w:pPr>
              <w:pStyle w:val="28"/>
              <w:jc w:val="center"/>
              <w:rPr>
                <w:rFonts w:hint="eastAsia" w:cs="宋体"/>
              </w:rPr>
            </w:pPr>
            <w:r>
              <w:rPr>
                <w:rFonts w:hint="eastAsia" w:cs="宋体"/>
              </w:rPr>
              <w:t>响应文件的响应内容</w:t>
            </w:r>
          </w:p>
        </w:tc>
        <w:tc>
          <w:tcPr>
            <w:tcW w:w="1090" w:type="pct"/>
            <w:vAlign w:val="center"/>
          </w:tcPr>
          <w:p w14:paraId="2572E859">
            <w:pPr>
              <w:pStyle w:val="28"/>
              <w:jc w:val="center"/>
              <w:rPr>
                <w:rFonts w:hint="eastAsia" w:cs="宋体"/>
              </w:rPr>
            </w:pPr>
            <w:r>
              <w:rPr>
                <w:rFonts w:hint="eastAsia" w:cs="宋体"/>
              </w:rPr>
              <w:t>响应情况</w:t>
            </w:r>
          </w:p>
        </w:tc>
        <w:tc>
          <w:tcPr>
            <w:tcW w:w="1090" w:type="pct"/>
            <w:vAlign w:val="center"/>
          </w:tcPr>
          <w:p w14:paraId="7884F206">
            <w:pPr>
              <w:pStyle w:val="28"/>
              <w:jc w:val="center"/>
              <w:rPr>
                <w:rFonts w:hint="eastAsia" w:cs="宋体"/>
              </w:rPr>
            </w:pPr>
            <w:r>
              <w:rPr>
                <w:rFonts w:hint="eastAsia" w:cs="宋体"/>
              </w:rPr>
              <w:t>说明及索引</w:t>
            </w:r>
          </w:p>
        </w:tc>
      </w:tr>
      <w:tr w14:paraId="07285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0156411A">
            <w:pPr>
              <w:pStyle w:val="28"/>
              <w:jc w:val="center"/>
              <w:rPr>
                <w:rFonts w:hint="eastAsia" w:cs="宋体"/>
              </w:rPr>
            </w:pPr>
            <w:r>
              <w:rPr>
                <w:rFonts w:hint="eastAsia" w:cs="宋体"/>
              </w:rPr>
              <w:t>1</w:t>
            </w:r>
          </w:p>
        </w:tc>
        <w:tc>
          <w:tcPr>
            <w:tcW w:w="1395" w:type="pct"/>
            <w:vAlign w:val="center"/>
          </w:tcPr>
          <w:p w14:paraId="34566CA0">
            <w:pPr>
              <w:pStyle w:val="28"/>
              <w:jc w:val="center"/>
              <w:rPr>
                <w:rFonts w:hint="eastAsia" w:cs="宋体"/>
              </w:rPr>
            </w:pPr>
            <w:r>
              <w:rPr>
                <w:rFonts w:hint="eastAsia" w:cs="宋体"/>
              </w:rPr>
              <w:t>*******</w:t>
            </w:r>
          </w:p>
        </w:tc>
        <w:tc>
          <w:tcPr>
            <w:tcW w:w="1002" w:type="pct"/>
            <w:vAlign w:val="center"/>
          </w:tcPr>
          <w:p w14:paraId="1C6482B4">
            <w:pPr>
              <w:pStyle w:val="28"/>
              <w:jc w:val="center"/>
              <w:rPr>
                <w:rFonts w:hint="eastAsia" w:cs="宋体"/>
              </w:rPr>
            </w:pPr>
            <w:r>
              <w:rPr>
                <w:rFonts w:hint="eastAsia" w:cs="宋体"/>
              </w:rPr>
              <w:t>*******</w:t>
            </w:r>
          </w:p>
        </w:tc>
        <w:tc>
          <w:tcPr>
            <w:tcW w:w="1090" w:type="pct"/>
            <w:vAlign w:val="center"/>
          </w:tcPr>
          <w:p w14:paraId="1BBD0417">
            <w:pPr>
              <w:pStyle w:val="28"/>
              <w:jc w:val="center"/>
              <w:rPr>
                <w:rFonts w:hint="eastAsia" w:cs="宋体"/>
              </w:rPr>
            </w:pPr>
            <w:r>
              <w:rPr>
                <w:rFonts w:hint="eastAsia" w:cs="宋体"/>
              </w:rPr>
              <w:t>响应/偏离</w:t>
            </w:r>
          </w:p>
        </w:tc>
        <w:tc>
          <w:tcPr>
            <w:tcW w:w="1090" w:type="pct"/>
            <w:vAlign w:val="center"/>
          </w:tcPr>
          <w:p w14:paraId="1A90E39C">
            <w:pPr>
              <w:pStyle w:val="28"/>
              <w:jc w:val="center"/>
              <w:rPr>
                <w:rFonts w:hint="eastAsia" w:cs="宋体"/>
              </w:rPr>
            </w:pPr>
          </w:p>
        </w:tc>
      </w:tr>
      <w:tr w14:paraId="7C832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05821036">
            <w:pPr>
              <w:pStyle w:val="28"/>
              <w:jc w:val="center"/>
              <w:rPr>
                <w:rFonts w:hint="eastAsia" w:cs="宋体"/>
              </w:rPr>
            </w:pPr>
            <w:r>
              <w:rPr>
                <w:rFonts w:hint="eastAsia" w:cs="宋体"/>
              </w:rPr>
              <w:t>2</w:t>
            </w:r>
          </w:p>
        </w:tc>
        <w:tc>
          <w:tcPr>
            <w:tcW w:w="1395" w:type="pct"/>
            <w:vAlign w:val="center"/>
          </w:tcPr>
          <w:p w14:paraId="2A717A55">
            <w:pPr>
              <w:pStyle w:val="28"/>
              <w:jc w:val="center"/>
              <w:rPr>
                <w:rFonts w:hint="eastAsia" w:cs="宋体"/>
              </w:rPr>
            </w:pPr>
            <w:r>
              <w:rPr>
                <w:rFonts w:hint="eastAsia" w:cs="宋体"/>
              </w:rPr>
              <w:t>*******</w:t>
            </w:r>
          </w:p>
        </w:tc>
        <w:tc>
          <w:tcPr>
            <w:tcW w:w="1002" w:type="pct"/>
            <w:vAlign w:val="center"/>
          </w:tcPr>
          <w:p w14:paraId="20EC7575">
            <w:pPr>
              <w:pStyle w:val="28"/>
              <w:jc w:val="center"/>
              <w:rPr>
                <w:rFonts w:hint="eastAsia" w:cs="宋体"/>
              </w:rPr>
            </w:pPr>
            <w:r>
              <w:rPr>
                <w:rFonts w:hint="eastAsia" w:cs="宋体"/>
              </w:rPr>
              <w:t>*******</w:t>
            </w:r>
          </w:p>
        </w:tc>
        <w:tc>
          <w:tcPr>
            <w:tcW w:w="1090" w:type="pct"/>
            <w:vAlign w:val="center"/>
          </w:tcPr>
          <w:p w14:paraId="5923E58D">
            <w:pPr>
              <w:pStyle w:val="28"/>
              <w:jc w:val="center"/>
              <w:rPr>
                <w:rFonts w:hint="eastAsia" w:cs="宋体"/>
              </w:rPr>
            </w:pPr>
          </w:p>
        </w:tc>
        <w:tc>
          <w:tcPr>
            <w:tcW w:w="1090" w:type="pct"/>
            <w:vAlign w:val="center"/>
          </w:tcPr>
          <w:p w14:paraId="59C2C317">
            <w:pPr>
              <w:pStyle w:val="28"/>
              <w:jc w:val="center"/>
              <w:rPr>
                <w:rFonts w:hint="eastAsia" w:cs="宋体"/>
              </w:rPr>
            </w:pPr>
          </w:p>
        </w:tc>
      </w:tr>
      <w:tr w14:paraId="64353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6D563CA4">
            <w:pPr>
              <w:pStyle w:val="28"/>
              <w:jc w:val="center"/>
              <w:rPr>
                <w:rFonts w:hint="eastAsia" w:cs="宋体"/>
              </w:rPr>
            </w:pPr>
            <w:r>
              <w:rPr>
                <w:rFonts w:hint="eastAsia" w:cs="宋体"/>
              </w:rPr>
              <w:t>3</w:t>
            </w:r>
          </w:p>
        </w:tc>
        <w:tc>
          <w:tcPr>
            <w:tcW w:w="1395" w:type="pct"/>
            <w:vAlign w:val="center"/>
          </w:tcPr>
          <w:p w14:paraId="595245DB">
            <w:pPr>
              <w:pStyle w:val="28"/>
              <w:jc w:val="center"/>
              <w:rPr>
                <w:rFonts w:hint="eastAsia" w:cs="宋体"/>
              </w:rPr>
            </w:pPr>
            <w:r>
              <w:rPr>
                <w:rFonts w:hint="eastAsia" w:cs="宋体"/>
              </w:rPr>
              <w:t>*******</w:t>
            </w:r>
          </w:p>
        </w:tc>
        <w:tc>
          <w:tcPr>
            <w:tcW w:w="1002" w:type="pct"/>
            <w:vAlign w:val="center"/>
          </w:tcPr>
          <w:p w14:paraId="0A16B4B6">
            <w:pPr>
              <w:pStyle w:val="28"/>
              <w:jc w:val="center"/>
              <w:rPr>
                <w:rFonts w:hint="eastAsia" w:cs="宋体"/>
              </w:rPr>
            </w:pPr>
            <w:r>
              <w:rPr>
                <w:rFonts w:hint="eastAsia" w:cs="宋体"/>
              </w:rPr>
              <w:t>*******</w:t>
            </w:r>
          </w:p>
        </w:tc>
        <w:tc>
          <w:tcPr>
            <w:tcW w:w="1090" w:type="pct"/>
            <w:vAlign w:val="center"/>
          </w:tcPr>
          <w:p w14:paraId="58535F72">
            <w:pPr>
              <w:pStyle w:val="28"/>
              <w:jc w:val="center"/>
              <w:rPr>
                <w:rFonts w:hint="eastAsia" w:cs="宋体"/>
              </w:rPr>
            </w:pPr>
          </w:p>
        </w:tc>
        <w:tc>
          <w:tcPr>
            <w:tcW w:w="1090" w:type="pct"/>
            <w:vAlign w:val="center"/>
          </w:tcPr>
          <w:p w14:paraId="50AB520B">
            <w:pPr>
              <w:pStyle w:val="28"/>
              <w:jc w:val="center"/>
              <w:rPr>
                <w:rFonts w:hint="eastAsia" w:cs="宋体"/>
              </w:rPr>
            </w:pPr>
          </w:p>
        </w:tc>
      </w:tr>
      <w:tr w14:paraId="669EA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74127D5E">
            <w:pPr>
              <w:pStyle w:val="28"/>
              <w:jc w:val="center"/>
              <w:rPr>
                <w:rFonts w:hint="eastAsia" w:cs="宋体"/>
              </w:rPr>
            </w:pPr>
          </w:p>
        </w:tc>
        <w:tc>
          <w:tcPr>
            <w:tcW w:w="1395" w:type="pct"/>
            <w:vAlign w:val="center"/>
          </w:tcPr>
          <w:p w14:paraId="14968038">
            <w:pPr>
              <w:pStyle w:val="28"/>
              <w:jc w:val="center"/>
              <w:rPr>
                <w:rFonts w:hint="eastAsia" w:cs="宋体"/>
              </w:rPr>
            </w:pPr>
          </w:p>
        </w:tc>
        <w:tc>
          <w:tcPr>
            <w:tcW w:w="1002" w:type="pct"/>
            <w:vAlign w:val="center"/>
          </w:tcPr>
          <w:p w14:paraId="10A6B59E">
            <w:pPr>
              <w:pStyle w:val="28"/>
              <w:jc w:val="center"/>
              <w:rPr>
                <w:rFonts w:hint="eastAsia" w:cs="宋体"/>
              </w:rPr>
            </w:pPr>
          </w:p>
        </w:tc>
        <w:tc>
          <w:tcPr>
            <w:tcW w:w="1090" w:type="pct"/>
            <w:vAlign w:val="center"/>
          </w:tcPr>
          <w:p w14:paraId="61702DF6">
            <w:pPr>
              <w:pStyle w:val="28"/>
              <w:jc w:val="center"/>
              <w:rPr>
                <w:rFonts w:hint="eastAsia" w:cs="宋体"/>
              </w:rPr>
            </w:pPr>
          </w:p>
        </w:tc>
        <w:tc>
          <w:tcPr>
            <w:tcW w:w="1090" w:type="pct"/>
            <w:vAlign w:val="center"/>
          </w:tcPr>
          <w:p w14:paraId="0CC18FC2">
            <w:pPr>
              <w:pStyle w:val="28"/>
              <w:jc w:val="center"/>
              <w:rPr>
                <w:rFonts w:hint="eastAsia" w:cs="宋体"/>
              </w:rPr>
            </w:pPr>
          </w:p>
        </w:tc>
      </w:tr>
      <w:tr w14:paraId="57F34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4561F269">
            <w:pPr>
              <w:pStyle w:val="28"/>
              <w:jc w:val="center"/>
              <w:rPr>
                <w:rFonts w:hint="eastAsia" w:cs="宋体"/>
              </w:rPr>
            </w:pPr>
          </w:p>
        </w:tc>
        <w:tc>
          <w:tcPr>
            <w:tcW w:w="1395" w:type="pct"/>
            <w:vAlign w:val="center"/>
          </w:tcPr>
          <w:p w14:paraId="5DDD9937">
            <w:pPr>
              <w:pStyle w:val="28"/>
              <w:jc w:val="center"/>
              <w:rPr>
                <w:rFonts w:hint="eastAsia" w:cs="宋体"/>
              </w:rPr>
            </w:pPr>
          </w:p>
        </w:tc>
        <w:tc>
          <w:tcPr>
            <w:tcW w:w="1002" w:type="pct"/>
            <w:vAlign w:val="center"/>
          </w:tcPr>
          <w:p w14:paraId="0B29A018">
            <w:pPr>
              <w:pStyle w:val="28"/>
              <w:jc w:val="center"/>
              <w:rPr>
                <w:rFonts w:hint="eastAsia" w:cs="宋体"/>
              </w:rPr>
            </w:pPr>
          </w:p>
        </w:tc>
        <w:tc>
          <w:tcPr>
            <w:tcW w:w="1090" w:type="pct"/>
            <w:vAlign w:val="center"/>
          </w:tcPr>
          <w:p w14:paraId="1FA693DE">
            <w:pPr>
              <w:pStyle w:val="28"/>
              <w:jc w:val="center"/>
              <w:rPr>
                <w:rFonts w:hint="eastAsia" w:cs="宋体"/>
              </w:rPr>
            </w:pPr>
          </w:p>
        </w:tc>
        <w:tc>
          <w:tcPr>
            <w:tcW w:w="1090" w:type="pct"/>
            <w:vAlign w:val="center"/>
          </w:tcPr>
          <w:p w14:paraId="3D633AB6">
            <w:pPr>
              <w:pStyle w:val="28"/>
              <w:jc w:val="center"/>
              <w:rPr>
                <w:rFonts w:hint="eastAsia" w:cs="宋体"/>
              </w:rPr>
            </w:pPr>
          </w:p>
        </w:tc>
      </w:tr>
      <w:tr w14:paraId="12449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59A5171A">
            <w:pPr>
              <w:pStyle w:val="28"/>
              <w:jc w:val="center"/>
              <w:rPr>
                <w:rFonts w:hint="eastAsia" w:cs="宋体"/>
              </w:rPr>
            </w:pPr>
          </w:p>
        </w:tc>
        <w:tc>
          <w:tcPr>
            <w:tcW w:w="1395" w:type="pct"/>
            <w:vAlign w:val="center"/>
          </w:tcPr>
          <w:p w14:paraId="014A297F">
            <w:pPr>
              <w:pStyle w:val="28"/>
              <w:jc w:val="center"/>
              <w:rPr>
                <w:rFonts w:hint="eastAsia" w:cs="宋体"/>
              </w:rPr>
            </w:pPr>
          </w:p>
        </w:tc>
        <w:tc>
          <w:tcPr>
            <w:tcW w:w="1002" w:type="pct"/>
            <w:vAlign w:val="center"/>
          </w:tcPr>
          <w:p w14:paraId="51467013">
            <w:pPr>
              <w:pStyle w:val="28"/>
              <w:jc w:val="center"/>
              <w:rPr>
                <w:rFonts w:hint="eastAsia" w:cs="宋体"/>
              </w:rPr>
            </w:pPr>
          </w:p>
        </w:tc>
        <w:tc>
          <w:tcPr>
            <w:tcW w:w="1090" w:type="pct"/>
            <w:vAlign w:val="center"/>
          </w:tcPr>
          <w:p w14:paraId="011E40CA">
            <w:pPr>
              <w:pStyle w:val="28"/>
              <w:jc w:val="center"/>
              <w:rPr>
                <w:rFonts w:hint="eastAsia" w:cs="宋体"/>
              </w:rPr>
            </w:pPr>
          </w:p>
        </w:tc>
        <w:tc>
          <w:tcPr>
            <w:tcW w:w="1090" w:type="pct"/>
            <w:vAlign w:val="center"/>
          </w:tcPr>
          <w:p w14:paraId="7062C313">
            <w:pPr>
              <w:pStyle w:val="28"/>
              <w:jc w:val="center"/>
              <w:rPr>
                <w:rFonts w:hint="eastAsia" w:cs="宋体"/>
              </w:rPr>
            </w:pPr>
          </w:p>
        </w:tc>
      </w:tr>
      <w:tr w14:paraId="7994B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30B6F410">
            <w:pPr>
              <w:pStyle w:val="28"/>
              <w:jc w:val="center"/>
              <w:rPr>
                <w:rFonts w:hint="eastAsia" w:cs="宋体"/>
              </w:rPr>
            </w:pPr>
          </w:p>
        </w:tc>
        <w:tc>
          <w:tcPr>
            <w:tcW w:w="1395" w:type="pct"/>
            <w:vAlign w:val="center"/>
          </w:tcPr>
          <w:p w14:paraId="010A1BB0">
            <w:pPr>
              <w:pStyle w:val="28"/>
              <w:jc w:val="center"/>
              <w:rPr>
                <w:rFonts w:hint="eastAsia" w:cs="宋体"/>
              </w:rPr>
            </w:pPr>
          </w:p>
        </w:tc>
        <w:tc>
          <w:tcPr>
            <w:tcW w:w="1002" w:type="pct"/>
            <w:vAlign w:val="center"/>
          </w:tcPr>
          <w:p w14:paraId="1EE22C75">
            <w:pPr>
              <w:pStyle w:val="28"/>
              <w:jc w:val="center"/>
              <w:rPr>
                <w:rFonts w:hint="eastAsia" w:cs="宋体"/>
              </w:rPr>
            </w:pPr>
          </w:p>
        </w:tc>
        <w:tc>
          <w:tcPr>
            <w:tcW w:w="1090" w:type="pct"/>
            <w:vAlign w:val="center"/>
          </w:tcPr>
          <w:p w14:paraId="3C86F2CC">
            <w:pPr>
              <w:pStyle w:val="28"/>
              <w:jc w:val="center"/>
              <w:rPr>
                <w:rFonts w:hint="eastAsia" w:cs="宋体"/>
              </w:rPr>
            </w:pPr>
          </w:p>
        </w:tc>
        <w:tc>
          <w:tcPr>
            <w:tcW w:w="1090" w:type="pct"/>
            <w:vAlign w:val="center"/>
          </w:tcPr>
          <w:p w14:paraId="515EA04E">
            <w:pPr>
              <w:pStyle w:val="28"/>
              <w:jc w:val="center"/>
              <w:rPr>
                <w:rFonts w:hint="eastAsia" w:cs="宋体"/>
              </w:rPr>
            </w:pPr>
          </w:p>
        </w:tc>
      </w:tr>
      <w:tr w14:paraId="2D75C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37EFA1E0">
            <w:pPr>
              <w:pStyle w:val="28"/>
              <w:jc w:val="center"/>
              <w:rPr>
                <w:rFonts w:hint="eastAsia" w:cs="宋体"/>
              </w:rPr>
            </w:pPr>
          </w:p>
        </w:tc>
        <w:tc>
          <w:tcPr>
            <w:tcW w:w="1395" w:type="pct"/>
            <w:vAlign w:val="center"/>
          </w:tcPr>
          <w:p w14:paraId="1C7A6406">
            <w:pPr>
              <w:pStyle w:val="28"/>
              <w:jc w:val="center"/>
              <w:rPr>
                <w:rFonts w:hint="eastAsia" w:cs="宋体"/>
              </w:rPr>
            </w:pPr>
          </w:p>
        </w:tc>
        <w:tc>
          <w:tcPr>
            <w:tcW w:w="1002" w:type="pct"/>
            <w:vAlign w:val="center"/>
          </w:tcPr>
          <w:p w14:paraId="7F774DAF">
            <w:pPr>
              <w:pStyle w:val="28"/>
              <w:jc w:val="center"/>
              <w:rPr>
                <w:rFonts w:hint="eastAsia" w:cs="宋体"/>
              </w:rPr>
            </w:pPr>
          </w:p>
        </w:tc>
        <w:tc>
          <w:tcPr>
            <w:tcW w:w="1090" w:type="pct"/>
            <w:vAlign w:val="center"/>
          </w:tcPr>
          <w:p w14:paraId="66A55C54">
            <w:pPr>
              <w:pStyle w:val="28"/>
              <w:jc w:val="center"/>
              <w:rPr>
                <w:rFonts w:hint="eastAsia" w:cs="宋体"/>
              </w:rPr>
            </w:pPr>
          </w:p>
        </w:tc>
        <w:tc>
          <w:tcPr>
            <w:tcW w:w="1090" w:type="pct"/>
            <w:vAlign w:val="center"/>
          </w:tcPr>
          <w:p w14:paraId="6FC3A7DB">
            <w:pPr>
              <w:pStyle w:val="28"/>
              <w:jc w:val="center"/>
              <w:rPr>
                <w:rFonts w:hint="eastAsia" w:cs="宋体"/>
              </w:rPr>
            </w:pPr>
          </w:p>
        </w:tc>
      </w:tr>
      <w:tr w14:paraId="2B937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3D84A230">
            <w:pPr>
              <w:pStyle w:val="28"/>
              <w:jc w:val="center"/>
              <w:rPr>
                <w:rFonts w:hint="eastAsia" w:cs="宋体"/>
              </w:rPr>
            </w:pPr>
          </w:p>
        </w:tc>
        <w:tc>
          <w:tcPr>
            <w:tcW w:w="1395" w:type="pct"/>
            <w:vAlign w:val="center"/>
          </w:tcPr>
          <w:p w14:paraId="5A1690B5">
            <w:pPr>
              <w:pStyle w:val="28"/>
              <w:jc w:val="center"/>
              <w:rPr>
                <w:rFonts w:hint="eastAsia" w:cs="宋体"/>
              </w:rPr>
            </w:pPr>
          </w:p>
        </w:tc>
        <w:tc>
          <w:tcPr>
            <w:tcW w:w="1002" w:type="pct"/>
            <w:vAlign w:val="center"/>
          </w:tcPr>
          <w:p w14:paraId="735418C2">
            <w:pPr>
              <w:pStyle w:val="28"/>
              <w:jc w:val="center"/>
              <w:rPr>
                <w:rFonts w:hint="eastAsia" w:cs="宋体"/>
              </w:rPr>
            </w:pPr>
          </w:p>
        </w:tc>
        <w:tc>
          <w:tcPr>
            <w:tcW w:w="1090" w:type="pct"/>
            <w:vAlign w:val="center"/>
          </w:tcPr>
          <w:p w14:paraId="13F6671D">
            <w:pPr>
              <w:pStyle w:val="28"/>
              <w:jc w:val="center"/>
              <w:rPr>
                <w:rFonts w:hint="eastAsia" w:cs="宋体"/>
              </w:rPr>
            </w:pPr>
          </w:p>
        </w:tc>
        <w:tc>
          <w:tcPr>
            <w:tcW w:w="1090" w:type="pct"/>
            <w:vAlign w:val="center"/>
          </w:tcPr>
          <w:p w14:paraId="3DC0B3BB">
            <w:pPr>
              <w:pStyle w:val="28"/>
              <w:jc w:val="center"/>
              <w:rPr>
                <w:rFonts w:hint="eastAsia" w:cs="宋体"/>
              </w:rPr>
            </w:pPr>
          </w:p>
        </w:tc>
      </w:tr>
      <w:tr w14:paraId="23E04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01109CF1">
            <w:pPr>
              <w:pStyle w:val="28"/>
              <w:jc w:val="center"/>
              <w:rPr>
                <w:rFonts w:hint="eastAsia" w:cs="宋体"/>
              </w:rPr>
            </w:pPr>
          </w:p>
        </w:tc>
        <w:tc>
          <w:tcPr>
            <w:tcW w:w="1395" w:type="pct"/>
            <w:vAlign w:val="center"/>
          </w:tcPr>
          <w:p w14:paraId="4E1F25E0">
            <w:pPr>
              <w:pStyle w:val="28"/>
              <w:jc w:val="center"/>
              <w:rPr>
                <w:rFonts w:hint="eastAsia" w:cs="宋体"/>
              </w:rPr>
            </w:pPr>
          </w:p>
        </w:tc>
        <w:tc>
          <w:tcPr>
            <w:tcW w:w="1002" w:type="pct"/>
            <w:vAlign w:val="center"/>
          </w:tcPr>
          <w:p w14:paraId="4F1707F4">
            <w:pPr>
              <w:pStyle w:val="28"/>
              <w:jc w:val="center"/>
              <w:rPr>
                <w:rFonts w:hint="eastAsia" w:cs="宋体"/>
              </w:rPr>
            </w:pPr>
          </w:p>
        </w:tc>
        <w:tc>
          <w:tcPr>
            <w:tcW w:w="1090" w:type="pct"/>
            <w:vAlign w:val="center"/>
          </w:tcPr>
          <w:p w14:paraId="59E61A3B">
            <w:pPr>
              <w:pStyle w:val="28"/>
              <w:jc w:val="center"/>
              <w:rPr>
                <w:rFonts w:hint="eastAsia" w:cs="宋体"/>
              </w:rPr>
            </w:pPr>
          </w:p>
        </w:tc>
        <w:tc>
          <w:tcPr>
            <w:tcW w:w="1090" w:type="pct"/>
            <w:vAlign w:val="center"/>
          </w:tcPr>
          <w:p w14:paraId="33E07ECA">
            <w:pPr>
              <w:pStyle w:val="28"/>
              <w:jc w:val="center"/>
              <w:rPr>
                <w:rFonts w:hint="eastAsia" w:cs="宋体"/>
              </w:rPr>
            </w:pPr>
          </w:p>
        </w:tc>
      </w:tr>
      <w:tr w14:paraId="6B929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71CB3DA8">
            <w:pPr>
              <w:pStyle w:val="28"/>
              <w:jc w:val="center"/>
              <w:rPr>
                <w:rFonts w:hint="eastAsia" w:cs="宋体"/>
              </w:rPr>
            </w:pPr>
          </w:p>
        </w:tc>
        <w:tc>
          <w:tcPr>
            <w:tcW w:w="1395" w:type="pct"/>
            <w:vAlign w:val="center"/>
          </w:tcPr>
          <w:p w14:paraId="494F1780">
            <w:pPr>
              <w:pStyle w:val="28"/>
              <w:jc w:val="center"/>
              <w:rPr>
                <w:rFonts w:hint="eastAsia" w:cs="宋体"/>
              </w:rPr>
            </w:pPr>
          </w:p>
        </w:tc>
        <w:tc>
          <w:tcPr>
            <w:tcW w:w="1002" w:type="pct"/>
            <w:vAlign w:val="center"/>
          </w:tcPr>
          <w:p w14:paraId="02E24AFD">
            <w:pPr>
              <w:pStyle w:val="28"/>
              <w:jc w:val="center"/>
              <w:rPr>
                <w:rFonts w:hint="eastAsia" w:cs="宋体"/>
              </w:rPr>
            </w:pPr>
          </w:p>
        </w:tc>
        <w:tc>
          <w:tcPr>
            <w:tcW w:w="1090" w:type="pct"/>
            <w:vAlign w:val="center"/>
          </w:tcPr>
          <w:p w14:paraId="15C952B3">
            <w:pPr>
              <w:pStyle w:val="28"/>
              <w:jc w:val="center"/>
              <w:rPr>
                <w:rFonts w:hint="eastAsia" w:cs="宋体"/>
              </w:rPr>
            </w:pPr>
          </w:p>
        </w:tc>
        <w:tc>
          <w:tcPr>
            <w:tcW w:w="1090" w:type="pct"/>
            <w:vAlign w:val="center"/>
          </w:tcPr>
          <w:p w14:paraId="042480C5">
            <w:pPr>
              <w:pStyle w:val="28"/>
              <w:jc w:val="center"/>
              <w:rPr>
                <w:rFonts w:hint="eastAsia" w:cs="宋体"/>
              </w:rPr>
            </w:pPr>
          </w:p>
        </w:tc>
      </w:tr>
      <w:tr w14:paraId="13BE0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6D3D8B34">
            <w:pPr>
              <w:pStyle w:val="28"/>
              <w:jc w:val="center"/>
              <w:rPr>
                <w:rFonts w:hint="eastAsia" w:cs="宋体"/>
              </w:rPr>
            </w:pPr>
          </w:p>
        </w:tc>
        <w:tc>
          <w:tcPr>
            <w:tcW w:w="1395" w:type="pct"/>
            <w:vAlign w:val="center"/>
          </w:tcPr>
          <w:p w14:paraId="3FA50495">
            <w:pPr>
              <w:pStyle w:val="28"/>
              <w:jc w:val="center"/>
              <w:rPr>
                <w:rFonts w:hint="eastAsia" w:cs="宋体"/>
              </w:rPr>
            </w:pPr>
          </w:p>
        </w:tc>
        <w:tc>
          <w:tcPr>
            <w:tcW w:w="1002" w:type="pct"/>
            <w:vAlign w:val="center"/>
          </w:tcPr>
          <w:p w14:paraId="65521973">
            <w:pPr>
              <w:pStyle w:val="28"/>
              <w:jc w:val="center"/>
              <w:rPr>
                <w:rFonts w:hint="eastAsia" w:cs="宋体"/>
              </w:rPr>
            </w:pPr>
          </w:p>
        </w:tc>
        <w:tc>
          <w:tcPr>
            <w:tcW w:w="1090" w:type="pct"/>
            <w:vAlign w:val="center"/>
          </w:tcPr>
          <w:p w14:paraId="505486BC">
            <w:pPr>
              <w:pStyle w:val="28"/>
              <w:jc w:val="center"/>
              <w:rPr>
                <w:rFonts w:hint="eastAsia" w:cs="宋体"/>
              </w:rPr>
            </w:pPr>
          </w:p>
        </w:tc>
        <w:tc>
          <w:tcPr>
            <w:tcW w:w="1090" w:type="pct"/>
            <w:vAlign w:val="center"/>
          </w:tcPr>
          <w:p w14:paraId="40E41834">
            <w:pPr>
              <w:pStyle w:val="28"/>
              <w:jc w:val="center"/>
              <w:rPr>
                <w:rFonts w:hint="eastAsia" w:cs="宋体"/>
              </w:rPr>
            </w:pPr>
          </w:p>
        </w:tc>
      </w:tr>
      <w:tr w14:paraId="322EB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3E27F183">
            <w:pPr>
              <w:pStyle w:val="28"/>
              <w:jc w:val="center"/>
              <w:rPr>
                <w:rFonts w:hint="eastAsia" w:cs="宋体"/>
              </w:rPr>
            </w:pPr>
          </w:p>
        </w:tc>
        <w:tc>
          <w:tcPr>
            <w:tcW w:w="1395" w:type="pct"/>
            <w:vAlign w:val="center"/>
          </w:tcPr>
          <w:p w14:paraId="199507E1">
            <w:pPr>
              <w:pStyle w:val="28"/>
              <w:jc w:val="center"/>
              <w:rPr>
                <w:rFonts w:hint="eastAsia" w:cs="宋体"/>
              </w:rPr>
            </w:pPr>
          </w:p>
        </w:tc>
        <w:tc>
          <w:tcPr>
            <w:tcW w:w="1002" w:type="pct"/>
            <w:vAlign w:val="center"/>
          </w:tcPr>
          <w:p w14:paraId="6691FD82">
            <w:pPr>
              <w:pStyle w:val="28"/>
              <w:jc w:val="center"/>
              <w:rPr>
                <w:rFonts w:hint="eastAsia" w:cs="宋体"/>
              </w:rPr>
            </w:pPr>
          </w:p>
        </w:tc>
        <w:tc>
          <w:tcPr>
            <w:tcW w:w="1090" w:type="pct"/>
            <w:vAlign w:val="center"/>
          </w:tcPr>
          <w:p w14:paraId="6E35002B">
            <w:pPr>
              <w:pStyle w:val="28"/>
              <w:jc w:val="center"/>
              <w:rPr>
                <w:rFonts w:hint="eastAsia" w:cs="宋体"/>
              </w:rPr>
            </w:pPr>
          </w:p>
        </w:tc>
        <w:tc>
          <w:tcPr>
            <w:tcW w:w="1090" w:type="pct"/>
            <w:vAlign w:val="center"/>
          </w:tcPr>
          <w:p w14:paraId="69818ED1">
            <w:pPr>
              <w:pStyle w:val="28"/>
              <w:jc w:val="center"/>
              <w:rPr>
                <w:rFonts w:hint="eastAsia" w:cs="宋体"/>
              </w:rPr>
            </w:pPr>
          </w:p>
        </w:tc>
      </w:tr>
      <w:tr w14:paraId="79F3B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20" w:type="pct"/>
            <w:vAlign w:val="center"/>
          </w:tcPr>
          <w:p w14:paraId="71E185D4">
            <w:pPr>
              <w:pStyle w:val="28"/>
              <w:jc w:val="center"/>
              <w:rPr>
                <w:rFonts w:hint="eastAsia" w:cs="宋体"/>
              </w:rPr>
            </w:pPr>
            <w:r>
              <w:rPr>
                <w:rFonts w:hint="eastAsia" w:cs="宋体"/>
              </w:rPr>
              <w:t>……</w:t>
            </w:r>
          </w:p>
        </w:tc>
        <w:tc>
          <w:tcPr>
            <w:tcW w:w="1395" w:type="pct"/>
            <w:vAlign w:val="center"/>
          </w:tcPr>
          <w:p w14:paraId="6324A49D">
            <w:pPr>
              <w:pStyle w:val="28"/>
              <w:jc w:val="center"/>
              <w:rPr>
                <w:rFonts w:hint="eastAsia" w:cs="宋体"/>
              </w:rPr>
            </w:pPr>
            <w:r>
              <w:rPr>
                <w:rFonts w:hint="eastAsia" w:cs="宋体"/>
              </w:rPr>
              <w:t>…………</w:t>
            </w:r>
          </w:p>
        </w:tc>
        <w:tc>
          <w:tcPr>
            <w:tcW w:w="1002" w:type="pct"/>
            <w:vAlign w:val="center"/>
          </w:tcPr>
          <w:p w14:paraId="0EE83785">
            <w:pPr>
              <w:pStyle w:val="28"/>
              <w:jc w:val="center"/>
              <w:rPr>
                <w:rFonts w:hint="eastAsia" w:cs="宋体"/>
              </w:rPr>
            </w:pPr>
            <w:r>
              <w:rPr>
                <w:rFonts w:hint="eastAsia" w:cs="宋体"/>
              </w:rPr>
              <w:t>…………</w:t>
            </w:r>
          </w:p>
        </w:tc>
        <w:tc>
          <w:tcPr>
            <w:tcW w:w="1090" w:type="pct"/>
            <w:vAlign w:val="center"/>
          </w:tcPr>
          <w:p w14:paraId="7A24BB2D">
            <w:pPr>
              <w:pStyle w:val="28"/>
              <w:jc w:val="center"/>
              <w:rPr>
                <w:rFonts w:hint="eastAsia" w:cs="宋体"/>
              </w:rPr>
            </w:pPr>
            <w:r>
              <w:rPr>
                <w:rFonts w:hint="eastAsia" w:cs="宋体"/>
              </w:rPr>
              <w:t>……</w:t>
            </w:r>
          </w:p>
        </w:tc>
        <w:tc>
          <w:tcPr>
            <w:tcW w:w="1090" w:type="pct"/>
            <w:vAlign w:val="center"/>
          </w:tcPr>
          <w:p w14:paraId="7CC08218">
            <w:pPr>
              <w:pStyle w:val="28"/>
              <w:jc w:val="center"/>
              <w:rPr>
                <w:rFonts w:hint="eastAsia" w:cs="宋体"/>
              </w:rPr>
            </w:pPr>
          </w:p>
        </w:tc>
      </w:tr>
    </w:tbl>
    <w:p w14:paraId="18714C0C">
      <w:pPr>
        <w:ind w:firstLine="480" w:firstLineChars="200"/>
        <w:rPr>
          <w:rFonts w:hint="eastAsia" w:cs="宋体"/>
          <w:szCs w:val="24"/>
        </w:rPr>
      </w:pPr>
    </w:p>
    <w:p w14:paraId="79243E57">
      <w:pPr>
        <w:ind w:firstLine="420" w:firstLineChars="200"/>
        <w:rPr>
          <w:rFonts w:hint="eastAsia" w:cs="宋体"/>
          <w:sz w:val="21"/>
          <w:szCs w:val="21"/>
        </w:rPr>
      </w:pPr>
      <w:r>
        <w:rPr>
          <w:rFonts w:hint="eastAsia" w:cs="宋体"/>
          <w:sz w:val="21"/>
          <w:szCs w:val="21"/>
        </w:rPr>
        <w:t>注：供应商应按照竞争性磋商文件“第三章 项目采购需求”中的商务要求填写，“响应/偏离”应据实填写“响应”、“正偏离”或“负偏离”。</w:t>
      </w:r>
    </w:p>
    <w:p w14:paraId="1A3EAC71">
      <w:pPr>
        <w:rPr>
          <w:rFonts w:hint="eastAsia" w:cs="宋体"/>
          <w:szCs w:val="24"/>
        </w:rPr>
      </w:pPr>
    </w:p>
    <w:p w14:paraId="5CB06622">
      <w:pPr>
        <w:ind w:firstLine="480" w:firstLineChars="200"/>
        <w:rPr>
          <w:rFonts w:hint="eastAsia" w:cs="宋体"/>
          <w:szCs w:val="24"/>
        </w:rPr>
      </w:pPr>
    </w:p>
    <w:p w14:paraId="05D78CF2">
      <w:pPr>
        <w:ind w:right="1008" w:firstLine="4284" w:firstLineChars="1700"/>
        <w:rPr>
          <w:rFonts w:hint="eastAsia" w:cs="宋体"/>
          <w:spacing w:val="6"/>
          <w:szCs w:val="24"/>
        </w:rPr>
      </w:pPr>
      <w:r>
        <w:rPr>
          <w:rFonts w:hint="eastAsia" w:cs="宋体"/>
          <w:spacing w:val="6"/>
          <w:szCs w:val="24"/>
        </w:rPr>
        <w:t>供应商名称（公章）：</w:t>
      </w:r>
    </w:p>
    <w:p w14:paraId="25E73299">
      <w:pPr>
        <w:ind w:right="1008" w:firstLine="4284" w:firstLineChars="1700"/>
        <w:rPr>
          <w:rFonts w:hint="eastAsia" w:cs="宋体"/>
          <w:spacing w:val="6"/>
          <w:szCs w:val="24"/>
        </w:rPr>
      </w:pPr>
      <w:r>
        <w:rPr>
          <w:rFonts w:hint="eastAsia" w:cs="宋体"/>
          <w:spacing w:val="6"/>
          <w:szCs w:val="24"/>
        </w:rPr>
        <w:t>日期：   年  月  日</w:t>
      </w:r>
    </w:p>
    <w:p w14:paraId="3BEF2EC6">
      <w:pPr>
        <w:ind w:firstLine="420"/>
        <w:rPr>
          <w:rFonts w:hint="eastAsia" w:cs="宋体"/>
        </w:rPr>
      </w:pPr>
      <w:r>
        <w:rPr>
          <w:rFonts w:hint="eastAsia" w:cs="宋体"/>
          <w:szCs w:val="24"/>
        </w:rPr>
        <w:br w:type="page"/>
      </w:r>
    </w:p>
    <w:p w14:paraId="287724FC">
      <w:pPr>
        <w:pStyle w:val="8"/>
        <w:jc w:val="center"/>
        <w:rPr>
          <w:rFonts w:hint="eastAsia"/>
        </w:rPr>
      </w:pPr>
      <w:bookmarkStart w:id="830" w:name="_Toc15776"/>
      <w:r>
        <w:rPr>
          <w:rFonts w:hint="eastAsia"/>
        </w:rPr>
        <w:t>7、业绩证明文件</w:t>
      </w:r>
      <w:bookmarkEnd w:id="830"/>
    </w:p>
    <w:p w14:paraId="4541380C">
      <w:pPr>
        <w:rPr>
          <w:rFonts w:hint="eastAsia" w:cs="宋体"/>
          <w:szCs w:val="24"/>
        </w:rPr>
      </w:pPr>
      <w:r>
        <w:rPr>
          <w:rFonts w:hint="eastAsia" w:cs="宋体"/>
          <w:bCs/>
          <w:szCs w:val="21"/>
        </w:rPr>
        <w:fldChar w:fldCharType="begin"/>
      </w:r>
      <w:r>
        <w:rPr>
          <w:rFonts w:hint="eastAsia" w:cs="宋体"/>
          <w:bCs/>
          <w:szCs w:val="21"/>
        </w:rPr>
        <w:instrText xml:space="preserve"> LINK Word.Document.8 "D:\\音乐厅\\4通用设备\\招标文件\\音乐厅空调设备招标文件v1.0.doc" "OLE_LINK8" \r  \* MERGEFORMAT </w:instrText>
      </w:r>
      <w:r>
        <w:rPr>
          <w:rFonts w:hint="eastAsia" w:cs="宋体"/>
          <w:bCs/>
          <w:szCs w:val="21"/>
        </w:rPr>
        <w:fldChar w:fldCharType="separate"/>
      </w:r>
      <w:r>
        <w:rPr>
          <w:rFonts w:hint="eastAsia" w:cs="宋体"/>
          <w:szCs w:val="24"/>
        </w:rPr>
        <w:t xml:space="preserve">项目名称：                                         </w:t>
      </w:r>
    </w:p>
    <w:p w14:paraId="159B24BA">
      <w:pPr>
        <w:rPr>
          <w:rFonts w:hint="eastAsia" w:cs="宋体"/>
          <w:bCs/>
          <w:szCs w:val="21"/>
        </w:rPr>
      </w:pPr>
      <w:r>
        <w:rPr>
          <w:rFonts w:hint="eastAsia" w:cs="宋体"/>
          <w:szCs w:val="24"/>
        </w:rPr>
        <w:t xml:space="preserve">项目编号/包号：      </w:t>
      </w:r>
      <w:r>
        <w:rPr>
          <w:rFonts w:hint="eastAsia" w:cs="宋体"/>
          <w:bCs/>
          <w:szCs w:val="21"/>
        </w:rPr>
        <w:fldChar w:fldCharType="end"/>
      </w:r>
    </w:p>
    <w:tbl>
      <w:tblPr>
        <w:tblStyle w:val="19"/>
        <w:tblW w:w="9615" w:type="dxa"/>
        <w:tblInd w:w="-34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3"/>
        <w:gridCol w:w="1233"/>
        <w:gridCol w:w="1272"/>
        <w:gridCol w:w="1188"/>
        <w:gridCol w:w="1487"/>
        <w:gridCol w:w="1477"/>
        <w:gridCol w:w="984"/>
        <w:gridCol w:w="1191"/>
      </w:tblGrid>
      <w:tr w14:paraId="387D3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783" w:type="dxa"/>
            <w:vAlign w:val="center"/>
          </w:tcPr>
          <w:p w14:paraId="4E9572F9">
            <w:pPr>
              <w:jc w:val="center"/>
              <w:rPr>
                <w:rFonts w:hint="eastAsia" w:cs="宋体"/>
                <w:szCs w:val="24"/>
              </w:rPr>
            </w:pPr>
            <w:bookmarkStart w:id="831" w:name="_Hlk46779239"/>
            <w:r>
              <w:rPr>
                <w:rFonts w:hint="eastAsia" w:cs="宋体"/>
                <w:szCs w:val="24"/>
              </w:rPr>
              <w:t>序号</w:t>
            </w:r>
          </w:p>
        </w:tc>
        <w:tc>
          <w:tcPr>
            <w:tcW w:w="1233" w:type="dxa"/>
            <w:vAlign w:val="center"/>
          </w:tcPr>
          <w:p w14:paraId="51F55A40">
            <w:pPr>
              <w:rPr>
                <w:rFonts w:hint="eastAsia" w:cs="宋体"/>
                <w:szCs w:val="24"/>
              </w:rPr>
            </w:pPr>
            <w:r>
              <w:rPr>
                <w:rFonts w:hint="eastAsia" w:cs="宋体"/>
                <w:szCs w:val="24"/>
              </w:rPr>
              <w:t>完成时间</w:t>
            </w:r>
          </w:p>
        </w:tc>
        <w:tc>
          <w:tcPr>
            <w:tcW w:w="1272" w:type="dxa"/>
            <w:vAlign w:val="center"/>
          </w:tcPr>
          <w:p w14:paraId="4D5C38D5">
            <w:pPr>
              <w:jc w:val="center"/>
              <w:rPr>
                <w:rFonts w:hint="eastAsia" w:cs="宋体"/>
                <w:szCs w:val="24"/>
              </w:rPr>
            </w:pPr>
            <w:r>
              <w:rPr>
                <w:rFonts w:hint="eastAsia" w:cs="宋体"/>
                <w:szCs w:val="24"/>
              </w:rPr>
              <w:t>项目名称</w:t>
            </w:r>
          </w:p>
        </w:tc>
        <w:tc>
          <w:tcPr>
            <w:tcW w:w="1188" w:type="dxa"/>
            <w:vAlign w:val="center"/>
          </w:tcPr>
          <w:p w14:paraId="69717F2A">
            <w:pPr>
              <w:jc w:val="center"/>
              <w:rPr>
                <w:rFonts w:hint="eastAsia" w:cs="宋体"/>
                <w:szCs w:val="24"/>
              </w:rPr>
            </w:pPr>
            <w:r>
              <w:rPr>
                <w:rFonts w:hint="eastAsia" w:cs="宋体"/>
                <w:szCs w:val="24"/>
              </w:rPr>
              <w:t>标的内容</w:t>
            </w:r>
          </w:p>
        </w:tc>
        <w:tc>
          <w:tcPr>
            <w:tcW w:w="1487" w:type="dxa"/>
            <w:vAlign w:val="center"/>
          </w:tcPr>
          <w:p w14:paraId="57C35070">
            <w:pPr>
              <w:jc w:val="center"/>
              <w:rPr>
                <w:rFonts w:hint="eastAsia" w:cs="宋体"/>
                <w:szCs w:val="24"/>
              </w:rPr>
            </w:pPr>
            <w:r>
              <w:rPr>
                <w:rFonts w:hint="eastAsia" w:cs="宋体"/>
                <w:szCs w:val="24"/>
              </w:rPr>
              <w:t>采购人名称</w:t>
            </w:r>
          </w:p>
        </w:tc>
        <w:tc>
          <w:tcPr>
            <w:tcW w:w="1477" w:type="dxa"/>
            <w:vAlign w:val="center"/>
          </w:tcPr>
          <w:p w14:paraId="61EB4103">
            <w:pPr>
              <w:jc w:val="center"/>
              <w:rPr>
                <w:rFonts w:hint="eastAsia" w:cs="宋体"/>
                <w:szCs w:val="24"/>
              </w:rPr>
            </w:pPr>
            <w:r>
              <w:rPr>
                <w:rFonts w:hint="eastAsia" w:cs="宋体"/>
                <w:szCs w:val="24"/>
              </w:rPr>
              <w:t>中标（成交）金额</w:t>
            </w:r>
          </w:p>
        </w:tc>
        <w:tc>
          <w:tcPr>
            <w:tcW w:w="984" w:type="dxa"/>
            <w:vAlign w:val="center"/>
          </w:tcPr>
          <w:p w14:paraId="01352CB9">
            <w:pPr>
              <w:jc w:val="center"/>
              <w:rPr>
                <w:rFonts w:hint="eastAsia" w:cs="宋体"/>
                <w:szCs w:val="24"/>
              </w:rPr>
            </w:pPr>
            <w:r>
              <w:rPr>
                <w:rFonts w:hint="eastAsia" w:cs="宋体"/>
                <w:szCs w:val="24"/>
              </w:rPr>
              <w:t>联系人</w:t>
            </w:r>
          </w:p>
        </w:tc>
        <w:tc>
          <w:tcPr>
            <w:tcW w:w="1191" w:type="dxa"/>
            <w:vAlign w:val="center"/>
          </w:tcPr>
          <w:p w14:paraId="2DA424BF">
            <w:pPr>
              <w:jc w:val="center"/>
              <w:rPr>
                <w:rFonts w:hint="eastAsia" w:cs="宋体"/>
                <w:szCs w:val="24"/>
              </w:rPr>
            </w:pPr>
            <w:r>
              <w:rPr>
                <w:rFonts w:hint="eastAsia" w:cs="宋体"/>
                <w:szCs w:val="24"/>
              </w:rPr>
              <w:t>联系电话</w:t>
            </w:r>
          </w:p>
        </w:tc>
      </w:tr>
      <w:tr w14:paraId="25958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783" w:type="dxa"/>
            <w:vAlign w:val="center"/>
          </w:tcPr>
          <w:p w14:paraId="27508E81">
            <w:pPr>
              <w:jc w:val="center"/>
              <w:rPr>
                <w:rFonts w:hint="eastAsia" w:cs="宋体"/>
                <w:szCs w:val="24"/>
              </w:rPr>
            </w:pPr>
            <w:r>
              <w:rPr>
                <w:rFonts w:hint="eastAsia" w:cs="宋体"/>
                <w:szCs w:val="24"/>
              </w:rPr>
              <w:t>1</w:t>
            </w:r>
          </w:p>
        </w:tc>
        <w:tc>
          <w:tcPr>
            <w:tcW w:w="1233" w:type="dxa"/>
            <w:vAlign w:val="center"/>
          </w:tcPr>
          <w:p w14:paraId="27562AF7">
            <w:pPr>
              <w:rPr>
                <w:rFonts w:hint="eastAsia" w:cs="宋体"/>
                <w:szCs w:val="24"/>
              </w:rPr>
            </w:pPr>
          </w:p>
        </w:tc>
        <w:tc>
          <w:tcPr>
            <w:tcW w:w="1272" w:type="dxa"/>
            <w:vAlign w:val="center"/>
          </w:tcPr>
          <w:p w14:paraId="02799269">
            <w:pPr>
              <w:rPr>
                <w:rFonts w:hint="eastAsia" w:cs="宋体"/>
                <w:szCs w:val="24"/>
              </w:rPr>
            </w:pPr>
          </w:p>
        </w:tc>
        <w:tc>
          <w:tcPr>
            <w:tcW w:w="1188" w:type="dxa"/>
            <w:vAlign w:val="center"/>
          </w:tcPr>
          <w:p w14:paraId="6449ADDF">
            <w:pPr>
              <w:rPr>
                <w:rFonts w:hint="eastAsia" w:cs="宋体"/>
                <w:szCs w:val="24"/>
              </w:rPr>
            </w:pPr>
          </w:p>
        </w:tc>
        <w:tc>
          <w:tcPr>
            <w:tcW w:w="1487" w:type="dxa"/>
            <w:vAlign w:val="center"/>
          </w:tcPr>
          <w:p w14:paraId="183C0714">
            <w:pPr>
              <w:rPr>
                <w:rFonts w:hint="eastAsia" w:cs="宋体"/>
                <w:szCs w:val="24"/>
              </w:rPr>
            </w:pPr>
          </w:p>
        </w:tc>
        <w:tc>
          <w:tcPr>
            <w:tcW w:w="1477" w:type="dxa"/>
            <w:vAlign w:val="center"/>
          </w:tcPr>
          <w:p w14:paraId="4F169081">
            <w:pPr>
              <w:rPr>
                <w:rFonts w:hint="eastAsia" w:cs="宋体"/>
                <w:szCs w:val="24"/>
              </w:rPr>
            </w:pPr>
          </w:p>
        </w:tc>
        <w:tc>
          <w:tcPr>
            <w:tcW w:w="984" w:type="dxa"/>
            <w:vAlign w:val="center"/>
          </w:tcPr>
          <w:p w14:paraId="2A8AB713">
            <w:pPr>
              <w:rPr>
                <w:rFonts w:hint="eastAsia" w:cs="宋体"/>
                <w:szCs w:val="24"/>
              </w:rPr>
            </w:pPr>
          </w:p>
        </w:tc>
        <w:tc>
          <w:tcPr>
            <w:tcW w:w="1191" w:type="dxa"/>
            <w:vAlign w:val="center"/>
          </w:tcPr>
          <w:p w14:paraId="09D0936A">
            <w:pPr>
              <w:rPr>
                <w:rFonts w:hint="eastAsia" w:cs="宋体"/>
                <w:szCs w:val="24"/>
              </w:rPr>
            </w:pPr>
          </w:p>
        </w:tc>
      </w:tr>
      <w:tr w14:paraId="79366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783" w:type="dxa"/>
            <w:vAlign w:val="center"/>
          </w:tcPr>
          <w:p w14:paraId="4A21BB39">
            <w:pPr>
              <w:jc w:val="center"/>
              <w:rPr>
                <w:rFonts w:hint="eastAsia" w:cs="宋体"/>
                <w:szCs w:val="24"/>
              </w:rPr>
            </w:pPr>
            <w:r>
              <w:rPr>
                <w:rFonts w:hint="eastAsia" w:cs="宋体"/>
                <w:szCs w:val="24"/>
              </w:rPr>
              <w:t>2</w:t>
            </w:r>
          </w:p>
        </w:tc>
        <w:tc>
          <w:tcPr>
            <w:tcW w:w="1233" w:type="dxa"/>
            <w:vAlign w:val="center"/>
          </w:tcPr>
          <w:p w14:paraId="7CA4B3F3">
            <w:pPr>
              <w:rPr>
                <w:rFonts w:hint="eastAsia" w:cs="宋体"/>
                <w:szCs w:val="24"/>
              </w:rPr>
            </w:pPr>
          </w:p>
        </w:tc>
        <w:tc>
          <w:tcPr>
            <w:tcW w:w="1272" w:type="dxa"/>
            <w:vAlign w:val="center"/>
          </w:tcPr>
          <w:p w14:paraId="59CCECB1">
            <w:pPr>
              <w:rPr>
                <w:rFonts w:hint="eastAsia" w:cs="宋体"/>
                <w:szCs w:val="24"/>
              </w:rPr>
            </w:pPr>
          </w:p>
        </w:tc>
        <w:tc>
          <w:tcPr>
            <w:tcW w:w="1188" w:type="dxa"/>
            <w:vAlign w:val="center"/>
          </w:tcPr>
          <w:p w14:paraId="4E8043C4">
            <w:pPr>
              <w:rPr>
                <w:rFonts w:hint="eastAsia" w:cs="宋体"/>
                <w:szCs w:val="24"/>
              </w:rPr>
            </w:pPr>
          </w:p>
        </w:tc>
        <w:tc>
          <w:tcPr>
            <w:tcW w:w="1487" w:type="dxa"/>
            <w:vAlign w:val="center"/>
          </w:tcPr>
          <w:p w14:paraId="2E195778">
            <w:pPr>
              <w:rPr>
                <w:rFonts w:hint="eastAsia" w:cs="宋体"/>
                <w:szCs w:val="24"/>
              </w:rPr>
            </w:pPr>
          </w:p>
        </w:tc>
        <w:tc>
          <w:tcPr>
            <w:tcW w:w="1477" w:type="dxa"/>
            <w:vAlign w:val="center"/>
          </w:tcPr>
          <w:p w14:paraId="49A8CC13">
            <w:pPr>
              <w:rPr>
                <w:rFonts w:hint="eastAsia" w:cs="宋体"/>
                <w:szCs w:val="24"/>
              </w:rPr>
            </w:pPr>
          </w:p>
        </w:tc>
        <w:tc>
          <w:tcPr>
            <w:tcW w:w="984" w:type="dxa"/>
            <w:vAlign w:val="center"/>
          </w:tcPr>
          <w:p w14:paraId="53112435">
            <w:pPr>
              <w:rPr>
                <w:rFonts w:hint="eastAsia" w:cs="宋体"/>
                <w:szCs w:val="24"/>
              </w:rPr>
            </w:pPr>
          </w:p>
        </w:tc>
        <w:tc>
          <w:tcPr>
            <w:tcW w:w="1191" w:type="dxa"/>
            <w:vAlign w:val="center"/>
          </w:tcPr>
          <w:p w14:paraId="185645D3">
            <w:pPr>
              <w:rPr>
                <w:rFonts w:hint="eastAsia" w:cs="宋体"/>
                <w:szCs w:val="24"/>
              </w:rPr>
            </w:pPr>
          </w:p>
        </w:tc>
      </w:tr>
      <w:tr w14:paraId="624A4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783" w:type="dxa"/>
            <w:vAlign w:val="center"/>
          </w:tcPr>
          <w:p w14:paraId="4428D324">
            <w:pPr>
              <w:jc w:val="center"/>
              <w:rPr>
                <w:rFonts w:hint="eastAsia" w:cs="宋体"/>
                <w:szCs w:val="24"/>
              </w:rPr>
            </w:pPr>
            <w:r>
              <w:rPr>
                <w:rFonts w:hint="eastAsia" w:cs="宋体"/>
                <w:szCs w:val="24"/>
              </w:rPr>
              <w:t>3</w:t>
            </w:r>
          </w:p>
        </w:tc>
        <w:tc>
          <w:tcPr>
            <w:tcW w:w="1233" w:type="dxa"/>
            <w:vAlign w:val="center"/>
          </w:tcPr>
          <w:p w14:paraId="46AEF6AC">
            <w:pPr>
              <w:rPr>
                <w:rFonts w:hint="eastAsia" w:cs="宋体"/>
                <w:szCs w:val="24"/>
              </w:rPr>
            </w:pPr>
          </w:p>
        </w:tc>
        <w:tc>
          <w:tcPr>
            <w:tcW w:w="1272" w:type="dxa"/>
            <w:vAlign w:val="center"/>
          </w:tcPr>
          <w:p w14:paraId="601B0208">
            <w:pPr>
              <w:rPr>
                <w:rFonts w:hint="eastAsia" w:cs="宋体"/>
                <w:szCs w:val="24"/>
              </w:rPr>
            </w:pPr>
          </w:p>
        </w:tc>
        <w:tc>
          <w:tcPr>
            <w:tcW w:w="1188" w:type="dxa"/>
            <w:vAlign w:val="center"/>
          </w:tcPr>
          <w:p w14:paraId="56885EE6">
            <w:pPr>
              <w:rPr>
                <w:rFonts w:hint="eastAsia" w:cs="宋体"/>
                <w:szCs w:val="24"/>
              </w:rPr>
            </w:pPr>
          </w:p>
        </w:tc>
        <w:tc>
          <w:tcPr>
            <w:tcW w:w="1487" w:type="dxa"/>
            <w:vAlign w:val="center"/>
          </w:tcPr>
          <w:p w14:paraId="00552B19">
            <w:pPr>
              <w:rPr>
                <w:rFonts w:hint="eastAsia" w:cs="宋体"/>
                <w:szCs w:val="24"/>
              </w:rPr>
            </w:pPr>
          </w:p>
        </w:tc>
        <w:tc>
          <w:tcPr>
            <w:tcW w:w="1477" w:type="dxa"/>
            <w:vAlign w:val="center"/>
          </w:tcPr>
          <w:p w14:paraId="77BC6128">
            <w:pPr>
              <w:rPr>
                <w:rFonts w:hint="eastAsia" w:cs="宋体"/>
                <w:szCs w:val="24"/>
              </w:rPr>
            </w:pPr>
          </w:p>
        </w:tc>
        <w:tc>
          <w:tcPr>
            <w:tcW w:w="984" w:type="dxa"/>
            <w:vAlign w:val="center"/>
          </w:tcPr>
          <w:p w14:paraId="67F6B017">
            <w:pPr>
              <w:rPr>
                <w:rFonts w:hint="eastAsia" w:cs="宋体"/>
                <w:szCs w:val="24"/>
              </w:rPr>
            </w:pPr>
          </w:p>
        </w:tc>
        <w:tc>
          <w:tcPr>
            <w:tcW w:w="1191" w:type="dxa"/>
            <w:vAlign w:val="center"/>
          </w:tcPr>
          <w:p w14:paraId="20173386">
            <w:pPr>
              <w:rPr>
                <w:rFonts w:hint="eastAsia" w:cs="宋体"/>
                <w:szCs w:val="24"/>
              </w:rPr>
            </w:pPr>
          </w:p>
        </w:tc>
      </w:tr>
      <w:tr w14:paraId="3BC23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783" w:type="dxa"/>
            <w:vAlign w:val="center"/>
          </w:tcPr>
          <w:p w14:paraId="433A34E7">
            <w:pPr>
              <w:jc w:val="center"/>
              <w:rPr>
                <w:rFonts w:hint="eastAsia" w:cs="宋体"/>
                <w:szCs w:val="24"/>
              </w:rPr>
            </w:pPr>
            <w:r>
              <w:rPr>
                <w:rFonts w:hint="eastAsia" w:cs="宋体"/>
                <w:szCs w:val="24"/>
              </w:rPr>
              <w:t>…</w:t>
            </w:r>
          </w:p>
        </w:tc>
        <w:tc>
          <w:tcPr>
            <w:tcW w:w="1233" w:type="dxa"/>
            <w:vAlign w:val="center"/>
          </w:tcPr>
          <w:p w14:paraId="5D94CAA1">
            <w:pPr>
              <w:rPr>
                <w:rFonts w:hint="eastAsia" w:cs="宋体"/>
                <w:szCs w:val="24"/>
              </w:rPr>
            </w:pPr>
          </w:p>
        </w:tc>
        <w:tc>
          <w:tcPr>
            <w:tcW w:w="1272" w:type="dxa"/>
            <w:vAlign w:val="center"/>
          </w:tcPr>
          <w:p w14:paraId="48AC7386">
            <w:pPr>
              <w:rPr>
                <w:rFonts w:hint="eastAsia" w:cs="宋体"/>
                <w:szCs w:val="24"/>
              </w:rPr>
            </w:pPr>
          </w:p>
        </w:tc>
        <w:tc>
          <w:tcPr>
            <w:tcW w:w="1188" w:type="dxa"/>
            <w:vAlign w:val="center"/>
          </w:tcPr>
          <w:p w14:paraId="20172F35">
            <w:pPr>
              <w:rPr>
                <w:rFonts w:hint="eastAsia" w:cs="宋体"/>
                <w:szCs w:val="24"/>
              </w:rPr>
            </w:pPr>
          </w:p>
        </w:tc>
        <w:tc>
          <w:tcPr>
            <w:tcW w:w="1487" w:type="dxa"/>
            <w:vAlign w:val="center"/>
          </w:tcPr>
          <w:p w14:paraId="75CF74D1">
            <w:pPr>
              <w:rPr>
                <w:rFonts w:hint="eastAsia" w:cs="宋体"/>
                <w:szCs w:val="24"/>
              </w:rPr>
            </w:pPr>
          </w:p>
        </w:tc>
        <w:tc>
          <w:tcPr>
            <w:tcW w:w="1477" w:type="dxa"/>
            <w:vAlign w:val="center"/>
          </w:tcPr>
          <w:p w14:paraId="52CF4BF0">
            <w:pPr>
              <w:rPr>
                <w:rFonts w:hint="eastAsia" w:cs="宋体"/>
                <w:szCs w:val="24"/>
              </w:rPr>
            </w:pPr>
          </w:p>
        </w:tc>
        <w:tc>
          <w:tcPr>
            <w:tcW w:w="984" w:type="dxa"/>
            <w:vAlign w:val="center"/>
          </w:tcPr>
          <w:p w14:paraId="32DE863A">
            <w:pPr>
              <w:rPr>
                <w:rFonts w:hint="eastAsia" w:cs="宋体"/>
                <w:szCs w:val="24"/>
              </w:rPr>
            </w:pPr>
          </w:p>
        </w:tc>
        <w:tc>
          <w:tcPr>
            <w:tcW w:w="1191" w:type="dxa"/>
            <w:vAlign w:val="center"/>
          </w:tcPr>
          <w:p w14:paraId="52BCFD5F">
            <w:pPr>
              <w:rPr>
                <w:rFonts w:hint="eastAsia" w:cs="宋体"/>
                <w:szCs w:val="24"/>
              </w:rPr>
            </w:pPr>
          </w:p>
        </w:tc>
      </w:tr>
      <w:bookmarkEnd w:id="831"/>
    </w:tbl>
    <w:p w14:paraId="37AD017A">
      <w:pPr>
        <w:rPr>
          <w:rFonts w:hint="eastAsia" w:cs="宋体"/>
          <w:szCs w:val="24"/>
        </w:rPr>
      </w:pPr>
    </w:p>
    <w:p w14:paraId="5DB99613">
      <w:pPr>
        <w:widowControl/>
        <w:spacing w:before="100" w:beforeAutospacing="1" w:after="100" w:afterAutospacing="1"/>
        <w:rPr>
          <w:rFonts w:hint="eastAsia" w:cs="宋体"/>
          <w:szCs w:val="21"/>
        </w:rPr>
      </w:pPr>
    </w:p>
    <w:p w14:paraId="15F467E4">
      <w:pPr>
        <w:ind w:right="1008" w:firstLine="4284" w:firstLineChars="1700"/>
        <w:rPr>
          <w:rFonts w:hint="eastAsia" w:cs="宋体"/>
          <w:spacing w:val="6"/>
          <w:szCs w:val="24"/>
        </w:rPr>
      </w:pPr>
      <w:r>
        <w:rPr>
          <w:rFonts w:hint="eastAsia" w:cs="宋体"/>
          <w:spacing w:val="6"/>
          <w:szCs w:val="24"/>
        </w:rPr>
        <w:t>供应商名称（公章）：</w:t>
      </w:r>
    </w:p>
    <w:p w14:paraId="12381E01">
      <w:pPr>
        <w:ind w:right="1008" w:firstLine="4284" w:firstLineChars="1700"/>
        <w:rPr>
          <w:rFonts w:hint="eastAsia" w:cs="宋体"/>
          <w:spacing w:val="6"/>
          <w:szCs w:val="24"/>
        </w:rPr>
      </w:pPr>
      <w:r>
        <w:rPr>
          <w:rFonts w:hint="eastAsia" w:cs="宋体"/>
          <w:spacing w:val="6"/>
          <w:szCs w:val="24"/>
        </w:rPr>
        <w:t>日期：   年  月  日</w:t>
      </w:r>
    </w:p>
    <w:p w14:paraId="095105C8">
      <w:pPr>
        <w:ind w:firstLine="420"/>
        <w:rPr>
          <w:rFonts w:hint="eastAsia" w:cs="宋体"/>
          <w:szCs w:val="24"/>
        </w:rPr>
      </w:pPr>
      <w:r>
        <w:rPr>
          <w:rFonts w:hint="eastAsia" w:cs="宋体"/>
          <w:szCs w:val="24"/>
        </w:rPr>
        <w:br w:type="page"/>
      </w:r>
    </w:p>
    <w:p w14:paraId="4E924C81">
      <w:pPr>
        <w:pStyle w:val="8"/>
        <w:jc w:val="center"/>
        <w:rPr>
          <w:rFonts w:hint="eastAsia"/>
        </w:rPr>
      </w:pPr>
      <w:bookmarkStart w:id="832" w:name="_Toc18670"/>
      <w:r>
        <w:rPr>
          <w:rFonts w:hint="eastAsia"/>
        </w:rPr>
        <w:t>8、拟派项目团队</w:t>
      </w:r>
      <w:bookmarkEnd w:id="832"/>
    </w:p>
    <w:tbl>
      <w:tblPr>
        <w:tblStyle w:val="19"/>
        <w:tblW w:w="9162" w:type="dxa"/>
        <w:tblInd w:w="-3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73"/>
        <w:gridCol w:w="1143"/>
        <w:gridCol w:w="1334"/>
        <w:gridCol w:w="1188"/>
        <w:gridCol w:w="816"/>
        <w:gridCol w:w="1815"/>
        <w:gridCol w:w="1277"/>
        <w:gridCol w:w="816"/>
      </w:tblGrid>
      <w:tr w14:paraId="22A3F5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4" w:hRule="atLeast"/>
        </w:trPr>
        <w:tc>
          <w:tcPr>
            <w:tcW w:w="773" w:type="dxa"/>
            <w:vAlign w:val="center"/>
          </w:tcPr>
          <w:p w14:paraId="41373525">
            <w:pPr>
              <w:pStyle w:val="28"/>
              <w:jc w:val="center"/>
              <w:rPr>
                <w:rFonts w:hint="eastAsia" w:cs="宋体"/>
              </w:rPr>
            </w:pPr>
            <w:r>
              <w:rPr>
                <w:rFonts w:hint="eastAsia" w:cs="宋体"/>
              </w:rPr>
              <w:t>序号</w:t>
            </w:r>
          </w:p>
        </w:tc>
        <w:tc>
          <w:tcPr>
            <w:tcW w:w="1143" w:type="dxa"/>
            <w:vAlign w:val="center"/>
          </w:tcPr>
          <w:p w14:paraId="67AE9C3E">
            <w:pPr>
              <w:pStyle w:val="28"/>
              <w:jc w:val="center"/>
              <w:rPr>
                <w:rFonts w:hint="eastAsia" w:cs="宋体"/>
              </w:rPr>
            </w:pPr>
            <w:r>
              <w:rPr>
                <w:rFonts w:hint="eastAsia" w:cs="宋体"/>
              </w:rPr>
              <w:t>团队成员</w:t>
            </w:r>
          </w:p>
          <w:p w14:paraId="369C3C13">
            <w:pPr>
              <w:pStyle w:val="28"/>
              <w:jc w:val="center"/>
              <w:rPr>
                <w:rFonts w:hint="eastAsia" w:cs="宋体"/>
              </w:rPr>
            </w:pPr>
            <w:r>
              <w:rPr>
                <w:rFonts w:hint="eastAsia" w:cs="宋体"/>
              </w:rPr>
              <w:t>姓名</w:t>
            </w:r>
          </w:p>
        </w:tc>
        <w:tc>
          <w:tcPr>
            <w:tcW w:w="1334" w:type="dxa"/>
            <w:tcBorders>
              <w:right w:val="single" w:color="auto" w:sz="4" w:space="0"/>
            </w:tcBorders>
            <w:vAlign w:val="center"/>
          </w:tcPr>
          <w:p w14:paraId="4EDFEBEF">
            <w:pPr>
              <w:pStyle w:val="28"/>
              <w:jc w:val="center"/>
              <w:rPr>
                <w:rFonts w:hint="eastAsia" w:cs="宋体"/>
              </w:rPr>
            </w:pPr>
            <w:r>
              <w:rPr>
                <w:rFonts w:hint="eastAsia" w:cs="宋体"/>
              </w:rPr>
              <w:t>工作单位</w:t>
            </w:r>
          </w:p>
        </w:tc>
        <w:tc>
          <w:tcPr>
            <w:tcW w:w="1188" w:type="dxa"/>
            <w:tcBorders>
              <w:left w:val="single" w:color="auto" w:sz="4" w:space="0"/>
            </w:tcBorders>
            <w:vAlign w:val="center"/>
          </w:tcPr>
          <w:p w14:paraId="1B50026D">
            <w:pPr>
              <w:pStyle w:val="28"/>
              <w:jc w:val="center"/>
              <w:rPr>
                <w:rFonts w:hint="eastAsia" w:cs="宋体"/>
              </w:rPr>
            </w:pPr>
            <w:r>
              <w:rPr>
                <w:rFonts w:hint="eastAsia" w:cs="宋体"/>
              </w:rPr>
              <w:t>身份证号</w:t>
            </w:r>
          </w:p>
        </w:tc>
        <w:tc>
          <w:tcPr>
            <w:tcW w:w="816" w:type="dxa"/>
            <w:tcBorders>
              <w:left w:val="single" w:color="auto" w:sz="4" w:space="0"/>
            </w:tcBorders>
            <w:vAlign w:val="center"/>
          </w:tcPr>
          <w:p w14:paraId="3601BB70">
            <w:pPr>
              <w:pStyle w:val="28"/>
              <w:jc w:val="center"/>
              <w:rPr>
                <w:rFonts w:hint="eastAsia" w:cs="宋体"/>
              </w:rPr>
            </w:pPr>
            <w:r>
              <w:rPr>
                <w:rFonts w:hint="eastAsia" w:cs="宋体"/>
              </w:rPr>
              <w:t>职称</w:t>
            </w:r>
          </w:p>
        </w:tc>
        <w:tc>
          <w:tcPr>
            <w:tcW w:w="1815" w:type="dxa"/>
            <w:vAlign w:val="center"/>
          </w:tcPr>
          <w:p w14:paraId="78C6ADBE">
            <w:pPr>
              <w:pStyle w:val="28"/>
              <w:jc w:val="center"/>
              <w:rPr>
                <w:rFonts w:hint="eastAsia" w:cs="宋体"/>
              </w:rPr>
            </w:pPr>
            <w:r>
              <w:rPr>
                <w:rFonts w:hint="eastAsia" w:cs="宋体"/>
              </w:rPr>
              <w:t>注册证书（岗位证书）名称及编号</w:t>
            </w:r>
          </w:p>
        </w:tc>
        <w:tc>
          <w:tcPr>
            <w:tcW w:w="1277" w:type="dxa"/>
            <w:vAlign w:val="center"/>
          </w:tcPr>
          <w:p w14:paraId="1D4FFB7A">
            <w:pPr>
              <w:pStyle w:val="28"/>
              <w:jc w:val="center"/>
              <w:rPr>
                <w:rFonts w:hint="eastAsia" w:cs="宋体"/>
              </w:rPr>
            </w:pPr>
            <w:r>
              <w:rPr>
                <w:rFonts w:hint="eastAsia" w:cs="宋体"/>
              </w:rPr>
              <w:t>在团队中职务（岗位）</w:t>
            </w:r>
          </w:p>
        </w:tc>
        <w:tc>
          <w:tcPr>
            <w:tcW w:w="816" w:type="dxa"/>
            <w:vAlign w:val="center"/>
          </w:tcPr>
          <w:p w14:paraId="569D136E">
            <w:pPr>
              <w:pStyle w:val="28"/>
              <w:jc w:val="center"/>
              <w:rPr>
                <w:rFonts w:hint="eastAsia" w:cs="宋体"/>
              </w:rPr>
            </w:pPr>
            <w:r>
              <w:rPr>
                <w:rFonts w:hint="eastAsia" w:cs="宋体"/>
              </w:rPr>
              <w:t>自有/外聘</w:t>
            </w:r>
          </w:p>
        </w:tc>
      </w:tr>
      <w:tr w14:paraId="2C939B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7EE08FDE">
            <w:pPr>
              <w:pStyle w:val="28"/>
              <w:jc w:val="center"/>
              <w:rPr>
                <w:rFonts w:hint="eastAsia" w:cs="宋体"/>
              </w:rPr>
            </w:pPr>
            <w:bookmarkStart w:id="833" w:name="_Toc99533292"/>
            <w:bookmarkStart w:id="834" w:name="_Toc100090784"/>
            <w:r>
              <w:rPr>
                <w:rFonts w:hint="eastAsia" w:cs="宋体"/>
              </w:rPr>
              <w:t>1</w:t>
            </w:r>
            <w:bookmarkEnd w:id="833"/>
            <w:bookmarkEnd w:id="834"/>
          </w:p>
        </w:tc>
        <w:tc>
          <w:tcPr>
            <w:tcW w:w="1143" w:type="dxa"/>
            <w:vAlign w:val="center"/>
          </w:tcPr>
          <w:p w14:paraId="1297CF0F">
            <w:pPr>
              <w:pStyle w:val="28"/>
              <w:jc w:val="center"/>
              <w:rPr>
                <w:rFonts w:hint="eastAsia" w:cs="宋体"/>
              </w:rPr>
            </w:pPr>
          </w:p>
        </w:tc>
        <w:tc>
          <w:tcPr>
            <w:tcW w:w="1334" w:type="dxa"/>
            <w:tcBorders>
              <w:right w:val="single" w:color="auto" w:sz="4" w:space="0"/>
            </w:tcBorders>
            <w:vAlign w:val="center"/>
          </w:tcPr>
          <w:p w14:paraId="5504C4E8">
            <w:pPr>
              <w:pStyle w:val="28"/>
              <w:jc w:val="center"/>
              <w:rPr>
                <w:rFonts w:hint="eastAsia" w:cs="宋体"/>
              </w:rPr>
            </w:pPr>
          </w:p>
        </w:tc>
        <w:tc>
          <w:tcPr>
            <w:tcW w:w="1188" w:type="dxa"/>
            <w:tcBorders>
              <w:left w:val="single" w:color="auto" w:sz="4" w:space="0"/>
            </w:tcBorders>
            <w:vAlign w:val="center"/>
          </w:tcPr>
          <w:p w14:paraId="08D7DF2B">
            <w:pPr>
              <w:pStyle w:val="28"/>
              <w:jc w:val="center"/>
              <w:rPr>
                <w:rFonts w:hint="eastAsia" w:cs="宋体"/>
              </w:rPr>
            </w:pPr>
          </w:p>
        </w:tc>
        <w:tc>
          <w:tcPr>
            <w:tcW w:w="816" w:type="dxa"/>
            <w:tcBorders>
              <w:left w:val="single" w:color="auto" w:sz="4" w:space="0"/>
            </w:tcBorders>
            <w:vAlign w:val="center"/>
          </w:tcPr>
          <w:p w14:paraId="403C3C91">
            <w:pPr>
              <w:pStyle w:val="28"/>
              <w:jc w:val="center"/>
              <w:rPr>
                <w:rFonts w:hint="eastAsia" w:cs="宋体"/>
              </w:rPr>
            </w:pPr>
          </w:p>
        </w:tc>
        <w:tc>
          <w:tcPr>
            <w:tcW w:w="1815" w:type="dxa"/>
            <w:vAlign w:val="center"/>
          </w:tcPr>
          <w:p w14:paraId="3BDB609C">
            <w:pPr>
              <w:pStyle w:val="28"/>
              <w:jc w:val="center"/>
              <w:rPr>
                <w:rFonts w:hint="eastAsia" w:cs="宋体"/>
              </w:rPr>
            </w:pPr>
          </w:p>
        </w:tc>
        <w:tc>
          <w:tcPr>
            <w:tcW w:w="1277" w:type="dxa"/>
            <w:vAlign w:val="center"/>
          </w:tcPr>
          <w:p w14:paraId="09728172">
            <w:pPr>
              <w:pStyle w:val="28"/>
              <w:jc w:val="center"/>
              <w:rPr>
                <w:rFonts w:hint="eastAsia" w:cs="宋体"/>
              </w:rPr>
            </w:pPr>
          </w:p>
        </w:tc>
        <w:tc>
          <w:tcPr>
            <w:tcW w:w="816" w:type="dxa"/>
            <w:vAlign w:val="center"/>
          </w:tcPr>
          <w:p w14:paraId="76A768A0">
            <w:pPr>
              <w:pStyle w:val="28"/>
              <w:jc w:val="center"/>
              <w:rPr>
                <w:rFonts w:hint="eastAsia" w:cs="宋体"/>
              </w:rPr>
            </w:pPr>
          </w:p>
        </w:tc>
      </w:tr>
      <w:tr w14:paraId="1B745A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09E1F0BD">
            <w:pPr>
              <w:pStyle w:val="28"/>
              <w:jc w:val="center"/>
              <w:rPr>
                <w:rFonts w:hint="eastAsia" w:cs="宋体"/>
              </w:rPr>
            </w:pPr>
            <w:bookmarkStart w:id="835" w:name="_Toc100090785"/>
            <w:bookmarkStart w:id="836" w:name="_Toc99533293"/>
            <w:r>
              <w:rPr>
                <w:rFonts w:hint="eastAsia" w:cs="宋体"/>
              </w:rPr>
              <w:t>2</w:t>
            </w:r>
            <w:bookmarkEnd w:id="835"/>
            <w:bookmarkEnd w:id="836"/>
          </w:p>
        </w:tc>
        <w:tc>
          <w:tcPr>
            <w:tcW w:w="1143" w:type="dxa"/>
            <w:vAlign w:val="center"/>
          </w:tcPr>
          <w:p w14:paraId="6EAD4E38">
            <w:pPr>
              <w:pStyle w:val="28"/>
              <w:jc w:val="center"/>
              <w:rPr>
                <w:rFonts w:hint="eastAsia" w:cs="宋体"/>
              </w:rPr>
            </w:pPr>
          </w:p>
        </w:tc>
        <w:tc>
          <w:tcPr>
            <w:tcW w:w="1334" w:type="dxa"/>
            <w:tcBorders>
              <w:right w:val="single" w:color="auto" w:sz="4" w:space="0"/>
            </w:tcBorders>
            <w:vAlign w:val="center"/>
          </w:tcPr>
          <w:p w14:paraId="3CF94FE4">
            <w:pPr>
              <w:pStyle w:val="28"/>
              <w:jc w:val="center"/>
              <w:rPr>
                <w:rFonts w:hint="eastAsia" w:cs="宋体"/>
              </w:rPr>
            </w:pPr>
          </w:p>
        </w:tc>
        <w:tc>
          <w:tcPr>
            <w:tcW w:w="1188" w:type="dxa"/>
            <w:tcBorders>
              <w:left w:val="single" w:color="auto" w:sz="4" w:space="0"/>
            </w:tcBorders>
            <w:vAlign w:val="center"/>
          </w:tcPr>
          <w:p w14:paraId="194E0865">
            <w:pPr>
              <w:pStyle w:val="28"/>
              <w:jc w:val="center"/>
              <w:rPr>
                <w:rFonts w:hint="eastAsia" w:cs="宋体"/>
              </w:rPr>
            </w:pPr>
          </w:p>
        </w:tc>
        <w:tc>
          <w:tcPr>
            <w:tcW w:w="816" w:type="dxa"/>
            <w:tcBorders>
              <w:left w:val="single" w:color="auto" w:sz="4" w:space="0"/>
            </w:tcBorders>
            <w:vAlign w:val="center"/>
          </w:tcPr>
          <w:p w14:paraId="76D19FEB">
            <w:pPr>
              <w:pStyle w:val="28"/>
              <w:jc w:val="center"/>
              <w:rPr>
                <w:rFonts w:hint="eastAsia" w:cs="宋体"/>
              </w:rPr>
            </w:pPr>
          </w:p>
        </w:tc>
        <w:tc>
          <w:tcPr>
            <w:tcW w:w="1815" w:type="dxa"/>
            <w:vAlign w:val="center"/>
          </w:tcPr>
          <w:p w14:paraId="42875AB6">
            <w:pPr>
              <w:pStyle w:val="28"/>
              <w:jc w:val="center"/>
              <w:rPr>
                <w:rFonts w:hint="eastAsia" w:cs="宋体"/>
              </w:rPr>
            </w:pPr>
          </w:p>
        </w:tc>
        <w:tc>
          <w:tcPr>
            <w:tcW w:w="1277" w:type="dxa"/>
            <w:vAlign w:val="center"/>
          </w:tcPr>
          <w:p w14:paraId="5CD968CA">
            <w:pPr>
              <w:pStyle w:val="28"/>
              <w:jc w:val="center"/>
              <w:rPr>
                <w:rFonts w:hint="eastAsia" w:cs="宋体"/>
              </w:rPr>
            </w:pPr>
          </w:p>
        </w:tc>
        <w:tc>
          <w:tcPr>
            <w:tcW w:w="816" w:type="dxa"/>
            <w:vAlign w:val="center"/>
          </w:tcPr>
          <w:p w14:paraId="1528AD30">
            <w:pPr>
              <w:pStyle w:val="28"/>
              <w:jc w:val="center"/>
              <w:rPr>
                <w:rFonts w:hint="eastAsia" w:cs="宋体"/>
              </w:rPr>
            </w:pPr>
          </w:p>
        </w:tc>
      </w:tr>
      <w:tr w14:paraId="6E223F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69869B42">
            <w:pPr>
              <w:pStyle w:val="28"/>
              <w:jc w:val="center"/>
              <w:rPr>
                <w:rFonts w:hint="eastAsia" w:cs="宋体"/>
              </w:rPr>
            </w:pPr>
            <w:bookmarkStart w:id="837" w:name="_Toc100090786"/>
            <w:bookmarkStart w:id="838" w:name="_Toc99533294"/>
            <w:r>
              <w:rPr>
                <w:rFonts w:hint="eastAsia" w:cs="宋体"/>
              </w:rPr>
              <w:t>3</w:t>
            </w:r>
            <w:bookmarkEnd w:id="837"/>
            <w:bookmarkEnd w:id="838"/>
          </w:p>
        </w:tc>
        <w:tc>
          <w:tcPr>
            <w:tcW w:w="1143" w:type="dxa"/>
            <w:vAlign w:val="center"/>
          </w:tcPr>
          <w:p w14:paraId="4F647092">
            <w:pPr>
              <w:pStyle w:val="28"/>
              <w:jc w:val="center"/>
              <w:rPr>
                <w:rFonts w:hint="eastAsia" w:cs="宋体"/>
              </w:rPr>
            </w:pPr>
          </w:p>
        </w:tc>
        <w:tc>
          <w:tcPr>
            <w:tcW w:w="1334" w:type="dxa"/>
            <w:tcBorders>
              <w:right w:val="single" w:color="auto" w:sz="4" w:space="0"/>
            </w:tcBorders>
            <w:vAlign w:val="center"/>
          </w:tcPr>
          <w:p w14:paraId="721B9540">
            <w:pPr>
              <w:pStyle w:val="28"/>
              <w:jc w:val="center"/>
              <w:rPr>
                <w:rFonts w:hint="eastAsia" w:cs="宋体"/>
              </w:rPr>
            </w:pPr>
          </w:p>
        </w:tc>
        <w:tc>
          <w:tcPr>
            <w:tcW w:w="1188" w:type="dxa"/>
            <w:tcBorders>
              <w:left w:val="single" w:color="auto" w:sz="4" w:space="0"/>
            </w:tcBorders>
            <w:vAlign w:val="center"/>
          </w:tcPr>
          <w:p w14:paraId="070656BE">
            <w:pPr>
              <w:pStyle w:val="28"/>
              <w:jc w:val="center"/>
              <w:rPr>
                <w:rFonts w:hint="eastAsia" w:cs="宋体"/>
              </w:rPr>
            </w:pPr>
          </w:p>
        </w:tc>
        <w:tc>
          <w:tcPr>
            <w:tcW w:w="816" w:type="dxa"/>
            <w:tcBorders>
              <w:left w:val="single" w:color="auto" w:sz="4" w:space="0"/>
            </w:tcBorders>
            <w:vAlign w:val="center"/>
          </w:tcPr>
          <w:p w14:paraId="29C26F3A">
            <w:pPr>
              <w:pStyle w:val="28"/>
              <w:jc w:val="center"/>
              <w:rPr>
                <w:rFonts w:hint="eastAsia" w:cs="宋体"/>
              </w:rPr>
            </w:pPr>
          </w:p>
        </w:tc>
        <w:tc>
          <w:tcPr>
            <w:tcW w:w="1815" w:type="dxa"/>
            <w:vAlign w:val="center"/>
          </w:tcPr>
          <w:p w14:paraId="2A300911">
            <w:pPr>
              <w:pStyle w:val="28"/>
              <w:jc w:val="center"/>
              <w:rPr>
                <w:rFonts w:hint="eastAsia" w:cs="宋体"/>
              </w:rPr>
            </w:pPr>
          </w:p>
        </w:tc>
        <w:tc>
          <w:tcPr>
            <w:tcW w:w="1277" w:type="dxa"/>
            <w:vAlign w:val="center"/>
          </w:tcPr>
          <w:p w14:paraId="442A0B83">
            <w:pPr>
              <w:pStyle w:val="28"/>
              <w:jc w:val="center"/>
              <w:rPr>
                <w:rFonts w:hint="eastAsia" w:cs="宋体"/>
              </w:rPr>
            </w:pPr>
          </w:p>
        </w:tc>
        <w:tc>
          <w:tcPr>
            <w:tcW w:w="816" w:type="dxa"/>
            <w:vAlign w:val="center"/>
          </w:tcPr>
          <w:p w14:paraId="7425FCC3">
            <w:pPr>
              <w:pStyle w:val="28"/>
              <w:jc w:val="center"/>
              <w:rPr>
                <w:rFonts w:hint="eastAsia" w:cs="宋体"/>
              </w:rPr>
            </w:pPr>
          </w:p>
        </w:tc>
      </w:tr>
      <w:tr w14:paraId="6879E7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18722BAC">
            <w:pPr>
              <w:pStyle w:val="28"/>
              <w:jc w:val="center"/>
              <w:rPr>
                <w:rFonts w:hint="eastAsia" w:cs="宋体"/>
              </w:rPr>
            </w:pPr>
            <w:bookmarkStart w:id="839" w:name="_Toc100090787"/>
            <w:bookmarkStart w:id="840" w:name="_Toc99533295"/>
            <w:r>
              <w:rPr>
                <w:rFonts w:hint="eastAsia" w:cs="宋体"/>
              </w:rPr>
              <w:t>4</w:t>
            </w:r>
            <w:bookmarkEnd w:id="839"/>
            <w:bookmarkEnd w:id="840"/>
          </w:p>
        </w:tc>
        <w:tc>
          <w:tcPr>
            <w:tcW w:w="1143" w:type="dxa"/>
            <w:vAlign w:val="center"/>
          </w:tcPr>
          <w:p w14:paraId="1B812309">
            <w:pPr>
              <w:pStyle w:val="28"/>
              <w:jc w:val="center"/>
              <w:rPr>
                <w:rFonts w:hint="eastAsia" w:cs="宋体"/>
              </w:rPr>
            </w:pPr>
          </w:p>
        </w:tc>
        <w:tc>
          <w:tcPr>
            <w:tcW w:w="1334" w:type="dxa"/>
            <w:tcBorders>
              <w:right w:val="single" w:color="auto" w:sz="4" w:space="0"/>
            </w:tcBorders>
            <w:vAlign w:val="center"/>
          </w:tcPr>
          <w:p w14:paraId="6BDFC0EC">
            <w:pPr>
              <w:pStyle w:val="28"/>
              <w:jc w:val="center"/>
              <w:rPr>
                <w:rFonts w:hint="eastAsia" w:cs="宋体"/>
              </w:rPr>
            </w:pPr>
          </w:p>
        </w:tc>
        <w:tc>
          <w:tcPr>
            <w:tcW w:w="1188" w:type="dxa"/>
            <w:tcBorders>
              <w:left w:val="single" w:color="auto" w:sz="4" w:space="0"/>
            </w:tcBorders>
            <w:vAlign w:val="center"/>
          </w:tcPr>
          <w:p w14:paraId="22C9E970">
            <w:pPr>
              <w:pStyle w:val="28"/>
              <w:jc w:val="center"/>
              <w:rPr>
                <w:rFonts w:hint="eastAsia" w:cs="宋体"/>
              </w:rPr>
            </w:pPr>
          </w:p>
        </w:tc>
        <w:tc>
          <w:tcPr>
            <w:tcW w:w="816" w:type="dxa"/>
            <w:tcBorders>
              <w:left w:val="single" w:color="auto" w:sz="4" w:space="0"/>
            </w:tcBorders>
            <w:vAlign w:val="center"/>
          </w:tcPr>
          <w:p w14:paraId="4C5CDD3D">
            <w:pPr>
              <w:pStyle w:val="28"/>
              <w:jc w:val="center"/>
              <w:rPr>
                <w:rFonts w:hint="eastAsia" w:cs="宋体"/>
              </w:rPr>
            </w:pPr>
          </w:p>
        </w:tc>
        <w:tc>
          <w:tcPr>
            <w:tcW w:w="1815" w:type="dxa"/>
            <w:vAlign w:val="center"/>
          </w:tcPr>
          <w:p w14:paraId="612FD0B4">
            <w:pPr>
              <w:pStyle w:val="28"/>
              <w:jc w:val="center"/>
              <w:rPr>
                <w:rFonts w:hint="eastAsia" w:cs="宋体"/>
              </w:rPr>
            </w:pPr>
          </w:p>
        </w:tc>
        <w:tc>
          <w:tcPr>
            <w:tcW w:w="1277" w:type="dxa"/>
            <w:vAlign w:val="center"/>
          </w:tcPr>
          <w:p w14:paraId="3178D2DA">
            <w:pPr>
              <w:pStyle w:val="28"/>
              <w:jc w:val="center"/>
              <w:rPr>
                <w:rFonts w:hint="eastAsia" w:cs="宋体"/>
              </w:rPr>
            </w:pPr>
          </w:p>
        </w:tc>
        <w:tc>
          <w:tcPr>
            <w:tcW w:w="816" w:type="dxa"/>
            <w:vAlign w:val="center"/>
          </w:tcPr>
          <w:p w14:paraId="6E00B346">
            <w:pPr>
              <w:pStyle w:val="28"/>
              <w:jc w:val="center"/>
              <w:rPr>
                <w:rFonts w:hint="eastAsia" w:cs="宋体"/>
              </w:rPr>
            </w:pPr>
          </w:p>
        </w:tc>
      </w:tr>
      <w:tr w14:paraId="5048B1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69852D11">
            <w:pPr>
              <w:pStyle w:val="28"/>
              <w:jc w:val="center"/>
              <w:rPr>
                <w:rFonts w:hint="eastAsia" w:cs="宋体"/>
              </w:rPr>
            </w:pPr>
            <w:bookmarkStart w:id="841" w:name="_Toc99533296"/>
            <w:bookmarkStart w:id="842" w:name="_Toc100090788"/>
            <w:r>
              <w:rPr>
                <w:rFonts w:hint="eastAsia" w:cs="宋体"/>
              </w:rPr>
              <w:t>5</w:t>
            </w:r>
            <w:bookmarkEnd w:id="841"/>
            <w:bookmarkEnd w:id="842"/>
          </w:p>
        </w:tc>
        <w:tc>
          <w:tcPr>
            <w:tcW w:w="1143" w:type="dxa"/>
            <w:vAlign w:val="center"/>
          </w:tcPr>
          <w:p w14:paraId="5B7E7829">
            <w:pPr>
              <w:pStyle w:val="28"/>
              <w:jc w:val="center"/>
              <w:rPr>
                <w:rFonts w:hint="eastAsia" w:cs="宋体"/>
              </w:rPr>
            </w:pPr>
          </w:p>
        </w:tc>
        <w:tc>
          <w:tcPr>
            <w:tcW w:w="1334" w:type="dxa"/>
            <w:tcBorders>
              <w:right w:val="single" w:color="auto" w:sz="4" w:space="0"/>
            </w:tcBorders>
            <w:vAlign w:val="center"/>
          </w:tcPr>
          <w:p w14:paraId="64924D06">
            <w:pPr>
              <w:pStyle w:val="28"/>
              <w:jc w:val="center"/>
              <w:rPr>
                <w:rFonts w:hint="eastAsia" w:cs="宋体"/>
              </w:rPr>
            </w:pPr>
          </w:p>
        </w:tc>
        <w:tc>
          <w:tcPr>
            <w:tcW w:w="1188" w:type="dxa"/>
            <w:tcBorders>
              <w:left w:val="single" w:color="auto" w:sz="4" w:space="0"/>
            </w:tcBorders>
            <w:vAlign w:val="center"/>
          </w:tcPr>
          <w:p w14:paraId="732FB5A2">
            <w:pPr>
              <w:pStyle w:val="28"/>
              <w:jc w:val="center"/>
              <w:rPr>
                <w:rFonts w:hint="eastAsia" w:cs="宋体"/>
              </w:rPr>
            </w:pPr>
          </w:p>
        </w:tc>
        <w:tc>
          <w:tcPr>
            <w:tcW w:w="816" w:type="dxa"/>
            <w:tcBorders>
              <w:left w:val="single" w:color="auto" w:sz="4" w:space="0"/>
            </w:tcBorders>
            <w:vAlign w:val="center"/>
          </w:tcPr>
          <w:p w14:paraId="1836A496">
            <w:pPr>
              <w:pStyle w:val="28"/>
              <w:jc w:val="center"/>
              <w:rPr>
                <w:rFonts w:hint="eastAsia" w:cs="宋体"/>
              </w:rPr>
            </w:pPr>
          </w:p>
        </w:tc>
        <w:tc>
          <w:tcPr>
            <w:tcW w:w="1815" w:type="dxa"/>
            <w:vAlign w:val="center"/>
          </w:tcPr>
          <w:p w14:paraId="1CA75C62">
            <w:pPr>
              <w:pStyle w:val="28"/>
              <w:jc w:val="center"/>
              <w:rPr>
                <w:rFonts w:hint="eastAsia" w:cs="宋体"/>
              </w:rPr>
            </w:pPr>
          </w:p>
        </w:tc>
        <w:tc>
          <w:tcPr>
            <w:tcW w:w="1277" w:type="dxa"/>
            <w:vAlign w:val="center"/>
          </w:tcPr>
          <w:p w14:paraId="1E804439">
            <w:pPr>
              <w:pStyle w:val="28"/>
              <w:jc w:val="center"/>
              <w:rPr>
                <w:rFonts w:hint="eastAsia" w:cs="宋体"/>
              </w:rPr>
            </w:pPr>
          </w:p>
        </w:tc>
        <w:tc>
          <w:tcPr>
            <w:tcW w:w="816" w:type="dxa"/>
            <w:vAlign w:val="center"/>
          </w:tcPr>
          <w:p w14:paraId="4C68F796">
            <w:pPr>
              <w:pStyle w:val="28"/>
              <w:jc w:val="center"/>
              <w:rPr>
                <w:rFonts w:hint="eastAsia" w:cs="宋体"/>
              </w:rPr>
            </w:pPr>
          </w:p>
        </w:tc>
      </w:tr>
      <w:tr w14:paraId="042AB9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51F692E2">
            <w:pPr>
              <w:pStyle w:val="28"/>
              <w:jc w:val="center"/>
              <w:rPr>
                <w:rFonts w:hint="eastAsia" w:cs="宋体"/>
              </w:rPr>
            </w:pPr>
            <w:bookmarkStart w:id="843" w:name="_Toc100090789"/>
            <w:bookmarkStart w:id="844" w:name="_Toc99533297"/>
            <w:r>
              <w:rPr>
                <w:rFonts w:hint="eastAsia" w:cs="宋体"/>
              </w:rPr>
              <w:t>6</w:t>
            </w:r>
            <w:bookmarkEnd w:id="843"/>
            <w:bookmarkEnd w:id="844"/>
          </w:p>
        </w:tc>
        <w:tc>
          <w:tcPr>
            <w:tcW w:w="1143" w:type="dxa"/>
            <w:vAlign w:val="center"/>
          </w:tcPr>
          <w:p w14:paraId="1DC128CC">
            <w:pPr>
              <w:pStyle w:val="28"/>
              <w:jc w:val="center"/>
              <w:rPr>
                <w:rFonts w:hint="eastAsia" w:cs="宋体"/>
              </w:rPr>
            </w:pPr>
          </w:p>
        </w:tc>
        <w:tc>
          <w:tcPr>
            <w:tcW w:w="1334" w:type="dxa"/>
            <w:tcBorders>
              <w:right w:val="single" w:color="auto" w:sz="4" w:space="0"/>
            </w:tcBorders>
            <w:vAlign w:val="center"/>
          </w:tcPr>
          <w:p w14:paraId="27634594">
            <w:pPr>
              <w:pStyle w:val="28"/>
              <w:jc w:val="center"/>
              <w:rPr>
                <w:rFonts w:hint="eastAsia" w:cs="宋体"/>
              </w:rPr>
            </w:pPr>
          </w:p>
        </w:tc>
        <w:tc>
          <w:tcPr>
            <w:tcW w:w="1188" w:type="dxa"/>
            <w:tcBorders>
              <w:left w:val="single" w:color="auto" w:sz="4" w:space="0"/>
            </w:tcBorders>
            <w:vAlign w:val="center"/>
          </w:tcPr>
          <w:p w14:paraId="3F600965">
            <w:pPr>
              <w:pStyle w:val="28"/>
              <w:jc w:val="center"/>
              <w:rPr>
                <w:rFonts w:hint="eastAsia" w:cs="宋体"/>
              </w:rPr>
            </w:pPr>
          </w:p>
        </w:tc>
        <w:tc>
          <w:tcPr>
            <w:tcW w:w="816" w:type="dxa"/>
            <w:tcBorders>
              <w:left w:val="single" w:color="auto" w:sz="4" w:space="0"/>
            </w:tcBorders>
            <w:vAlign w:val="center"/>
          </w:tcPr>
          <w:p w14:paraId="73FF140B">
            <w:pPr>
              <w:pStyle w:val="28"/>
              <w:jc w:val="center"/>
              <w:rPr>
                <w:rFonts w:hint="eastAsia" w:cs="宋体"/>
              </w:rPr>
            </w:pPr>
          </w:p>
        </w:tc>
        <w:tc>
          <w:tcPr>
            <w:tcW w:w="1815" w:type="dxa"/>
            <w:vAlign w:val="center"/>
          </w:tcPr>
          <w:p w14:paraId="302B578C">
            <w:pPr>
              <w:pStyle w:val="28"/>
              <w:jc w:val="center"/>
              <w:rPr>
                <w:rFonts w:hint="eastAsia" w:cs="宋体"/>
              </w:rPr>
            </w:pPr>
          </w:p>
        </w:tc>
        <w:tc>
          <w:tcPr>
            <w:tcW w:w="1277" w:type="dxa"/>
            <w:vAlign w:val="center"/>
          </w:tcPr>
          <w:p w14:paraId="7E2F7D57">
            <w:pPr>
              <w:pStyle w:val="28"/>
              <w:jc w:val="center"/>
              <w:rPr>
                <w:rFonts w:hint="eastAsia" w:cs="宋体"/>
              </w:rPr>
            </w:pPr>
          </w:p>
        </w:tc>
        <w:tc>
          <w:tcPr>
            <w:tcW w:w="816" w:type="dxa"/>
            <w:vAlign w:val="center"/>
          </w:tcPr>
          <w:p w14:paraId="5B9CE425">
            <w:pPr>
              <w:pStyle w:val="28"/>
              <w:jc w:val="center"/>
              <w:rPr>
                <w:rFonts w:hint="eastAsia" w:cs="宋体"/>
              </w:rPr>
            </w:pPr>
          </w:p>
        </w:tc>
      </w:tr>
      <w:tr w14:paraId="435683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79AB3A64">
            <w:pPr>
              <w:pStyle w:val="28"/>
              <w:jc w:val="center"/>
              <w:rPr>
                <w:rFonts w:hint="eastAsia" w:cs="宋体"/>
              </w:rPr>
            </w:pPr>
            <w:bookmarkStart w:id="845" w:name="_Toc99533298"/>
            <w:bookmarkStart w:id="846" w:name="_Toc100090790"/>
            <w:r>
              <w:rPr>
                <w:rFonts w:hint="eastAsia" w:cs="宋体"/>
              </w:rPr>
              <w:t>7</w:t>
            </w:r>
            <w:bookmarkEnd w:id="845"/>
            <w:bookmarkEnd w:id="846"/>
          </w:p>
        </w:tc>
        <w:tc>
          <w:tcPr>
            <w:tcW w:w="1143" w:type="dxa"/>
            <w:vAlign w:val="center"/>
          </w:tcPr>
          <w:p w14:paraId="2E2305CD">
            <w:pPr>
              <w:pStyle w:val="28"/>
              <w:jc w:val="center"/>
              <w:rPr>
                <w:rFonts w:hint="eastAsia" w:cs="宋体"/>
              </w:rPr>
            </w:pPr>
          </w:p>
        </w:tc>
        <w:tc>
          <w:tcPr>
            <w:tcW w:w="1334" w:type="dxa"/>
            <w:tcBorders>
              <w:right w:val="single" w:color="auto" w:sz="4" w:space="0"/>
            </w:tcBorders>
            <w:vAlign w:val="center"/>
          </w:tcPr>
          <w:p w14:paraId="12C4C629">
            <w:pPr>
              <w:pStyle w:val="28"/>
              <w:jc w:val="center"/>
              <w:rPr>
                <w:rFonts w:hint="eastAsia" w:cs="宋体"/>
              </w:rPr>
            </w:pPr>
          </w:p>
        </w:tc>
        <w:tc>
          <w:tcPr>
            <w:tcW w:w="1188" w:type="dxa"/>
            <w:tcBorders>
              <w:left w:val="single" w:color="auto" w:sz="4" w:space="0"/>
            </w:tcBorders>
            <w:vAlign w:val="center"/>
          </w:tcPr>
          <w:p w14:paraId="12836729">
            <w:pPr>
              <w:pStyle w:val="28"/>
              <w:jc w:val="center"/>
              <w:rPr>
                <w:rFonts w:hint="eastAsia" w:cs="宋体"/>
              </w:rPr>
            </w:pPr>
          </w:p>
        </w:tc>
        <w:tc>
          <w:tcPr>
            <w:tcW w:w="816" w:type="dxa"/>
            <w:tcBorders>
              <w:left w:val="single" w:color="auto" w:sz="4" w:space="0"/>
            </w:tcBorders>
            <w:vAlign w:val="center"/>
          </w:tcPr>
          <w:p w14:paraId="3A761A55">
            <w:pPr>
              <w:pStyle w:val="28"/>
              <w:jc w:val="center"/>
              <w:rPr>
                <w:rFonts w:hint="eastAsia" w:cs="宋体"/>
              </w:rPr>
            </w:pPr>
          </w:p>
        </w:tc>
        <w:tc>
          <w:tcPr>
            <w:tcW w:w="1815" w:type="dxa"/>
            <w:vAlign w:val="center"/>
          </w:tcPr>
          <w:p w14:paraId="05A8DC40">
            <w:pPr>
              <w:pStyle w:val="28"/>
              <w:jc w:val="center"/>
              <w:rPr>
                <w:rFonts w:hint="eastAsia" w:cs="宋体"/>
              </w:rPr>
            </w:pPr>
          </w:p>
        </w:tc>
        <w:tc>
          <w:tcPr>
            <w:tcW w:w="1277" w:type="dxa"/>
            <w:vAlign w:val="center"/>
          </w:tcPr>
          <w:p w14:paraId="3829CE10">
            <w:pPr>
              <w:pStyle w:val="28"/>
              <w:jc w:val="center"/>
              <w:rPr>
                <w:rFonts w:hint="eastAsia" w:cs="宋体"/>
              </w:rPr>
            </w:pPr>
          </w:p>
        </w:tc>
        <w:tc>
          <w:tcPr>
            <w:tcW w:w="816" w:type="dxa"/>
            <w:vAlign w:val="center"/>
          </w:tcPr>
          <w:p w14:paraId="1DC19827">
            <w:pPr>
              <w:pStyle w:val="28"/>
              <w:jc w:val="center"/>
              <w:rPr>
                <w:rFonts w:hint="eastAsia" w:cs="宋体"/>
              </w:rPr>
            </w:pPr>
          </w:p>
        </w:tc>
      </w:tr>
      <w:tr w14:paraId="750A44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3D81535E">
            <w:pPr>
              <w:pStyle w:val="28"/>
              <w:jc w:val="center"/>
              <w:rPr>
                <w:rFonts w:hint="eastAsia" w:cs="宋体"/>
              </w:rPr>
            </w:pPr>
            <w:bookmarkStart w:id="847" w:name="_Toc100090791"/>
            <w:bookmarkStart w:id="848" w:name="_Toc99533299"/>
            <w:r>
              <w:rPr>
                <w:rFonts w:hint="eastAsia" w:cs="宋体"/>
              </w:rPr>
              <w:t>8</w:t>
            </w:r>
            <w:bookmarkEnd w:id="847"/>
            <w:bookmarkEnd w:id="848"/>
          </w:p>
        </w:tc>
        <w:tc>
          <w:tcPr>
            <w:tcW w:w="1143" w:type="dxa"/>
            <w:vAlign w:val="center"/>
          </w:tcPr>
          <w:p w14:paraId="1DDFABCF">
            <w:pPr>
              <w:pStyle w:val="28"/>
              <w:jc w:val="center"/>
              <w:rPr>
                <w:rFonts w:hint="eastAsia" w:cs="宋体"/>
              </w:rPr>
            </w:pPr>
          </w:p>
        </w:tc>
        <w:tc>
          <w:tcPr>
            <w:tcW w:w="1334" w:type="dxa"/>
            <w:tcBorders>
              <w:right w:val="single" w:color="auto" w:sz="4" w:space="0"/>
            </w:tcBorders>
            <w:vAlign w:val="center"/>
          </w:tcPr>
          <w:p w14:paraId="5E162308">
            <w:pPr>
              <w:pStyle w:val="28"/>
              <w:jc w:val="center"/>
              <w:rPr>
                <w:rFonts w:hint="eastAsia" w:cs="宋体"/>
              </w:rPr>
            </w:pPr>
          </w:p>
        </w:tc>
        <w:tc>
          <w:tcPr>
            <w:tcW w:w="1188" w:type="dxa"/>
            <w:tcBorders>
              <w:left w:val="single" w:color="auto" w:sz="4" w:space="0"/>
            </w:tcBorders>
            <w:vAlign w:val="center"/>
          </w:tcPr>
          <w:p w14:paraId="20322021">
            <w:pPr>
              <w:pStyle w:val="28"/>
              <w:jc w:val="center"/>
              <w:rPr>
                <w:rFonts w:hint="eastAsia" w:cs="宋体"/>
              </w:rPr>
            </w:pPr>
          </w:p>
        </w:tc>
        <w:tc>
          <w:tcPr>
            <w:tcW w:w="816" w:type="dxa"/>
            <w:tcBorders>
              <w:left w:val="single" w:color="auto" w:sz="4" w:space="0"/>
            </w:tcBorders>
            <w:vAlign w:val="center"/>
          </w:tcPr>
          <w:p w14:paraId="72151533">
            <w:pPr>
              <w:pStyle w:val="28"/>
              <w:jc w:val="center"/>
              <w:rPr>
                <w:rFonts w:hint="eastAsia" w:cs="宋体"/>
              </w:rPr>
            </w:pPr>
          </w:p>
        </w:tc>
        <w:tc>
          <w:tcPr>
            <w:tcW w:w="1815" w:type="dxa"/>
            <w:vAlign w:val="center"/>
          </w:tcPr>
          <w:p w14:paraId="600DF6C8">
            <w:pPr>
              <w:pStyle w:val="28"/>
              <w:jc w:val="center"/>
              <w:rPr>
                <w:rFonts w:hint="eastAsia" w:cs="宋体"/>
              </w:rPr>
            </w:pPr>
          </w:p>
        </w:tc>
        <w:tc>
          <w:tcPr>
            <w:tcW w:w="1277" w:type="dxa"/>
            <w:vAlign w:val="center"/>
          </w:tcPr>
          <w:p w14:paraId="7A7B9A82">
            <w:pPr>
              <w:pStyle w:val="28"/>
              <w:jc w:val="center"/>
              <w:rPr>
                <w:rFonts w:hint="eastAsia" w:cs="宋体"/>
              </w:rPr>
            </w:pPr>
          </w:p>
        </w:tc>
        <w:tc>
          <w:tcPr>
            <w:tcW w:w="816" w:type="dxa"/>
            <w:vAlign w:val="center"/>
          </w:tcPr>
          <w:p w14:paraId="6C2614C0">
            <w:pPr>
              <w:pStyle w:val="28"/>
              <w:jc w:val="center"/>
              <w:rPr>
                <w:rFonts w:hint="eastAsia" w:cs="宋体"/>
              </w:rPr>
            </w:pPr>
          </w:p>
        </w:tc>
      </w:tr>
      <w:tr w14:paraId="101506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2F71A2D9">
            <w:pPr>
              <w:pStyle w:val="28"/>
              <w:jc w:val="center"/>
              <w:rPr>
                <w:rFonts w:hint="eastAsia" w:cs="宋体"/>
              </w:rPr>
            </w:pPr>
            <w:bookmarkStart w:id="849" w:name="_Toc100090792"/>
            <w:bookmarkStart w:id="850" w:name="_Toc99533300"/>
            <w:r>
              <w:rPr>
                <w:rFonts w:hint="eastAsia" w:cs="宋体"/>
              </w:rPr>
              <w:t>9</w:t>
            </w:r>
            <w:bookmarkEnd w:id="849"/>
            <w:bookmarkEnd w:id="850"/>
          </w:p>
        </w:tc>
        <w:tc>
          <w:tcPr>
            <w:tcW w:w="1143" w:type="dxa"/>
            <w:vAlign w:val="center"/>
          </w:tcPr>
          <w:p w14:paraId="337DC3D2">
            <w:pPr>
              <w:pStyle w:val="28"/>
              <w:jc w:val="center"/>
              <w:rPr>
                <w:rFonts w:hint="eastAsia" w:cs="宋体"/>
              </w:rPr>
            </w:pPr>
          </w:p>
        </w:tc>
        <w:tc>
          <w:tcPr>
            <w:tcW w:w="1334" w:type="dxa"/>
            <w:tcBorders>
              <w:right w:val="single" w:color="auto" w:sz="4" w:space="0"/>
            </w:tcBorders>
            <w:vAlign w:val="center"/>
          </w:tcPr>
          <w:p w14:paraId="7D52DCED">
            <w:pPr>
              <w:pStyle w:val="28"/>
              <w:jc w:val="center"/>
              <w:rPr>
                <w:rFonts w:hint="eastAsia" w:cs="宋体"/>
              </w:rPr>
            </w:pPr>
          </w:p>
        </w:tc>
        <w:tc>
          <w:tcPr>
            <w:tcW w:w="1188" w:type="dxa"/>
            <w:tcBorders>
              <w:left w:val="single" w:color="auto" w:sz="4" w:space="0"/>
            </w:tcBorders>
            <w:vAlign w:val="center"/>
          </w:tcPr>
          <w:p w14:paraId="51CA2603">
            <w:pPr>
              <w:pStyle w:val="28"/>
              <w:jc w:val="center"/>
              <w:rPr>
                <w:rFonts w:hint="eastAsia" w:cs="宋体"/>
              </w:rPr>
            </w:pPr>
          </w:p>
        </w:tc>
        <w:tc>
          <w:tcPr>
            <w:tcW w:w="816" w:type="dxa"/>
            <w:tcBorders>
              <w:left w:val="single" w:color="auto" w:sz="4" w:space="0"/>
            </w:tcBorders>
            <w:vAlign w:val="center"/>
          </w:tcPr>
          <w:p w14:paraId="7F7E67FB">
            <w:pPr>
              <w:pStyle w:val="28"/>
              <w:jc w:val="center"/>
              <w:rPr>
                <w:rFonts w:hint="eastAsia" w:cs="宋体"/>
              </w:rPr>
            </w:pPr>
          </w:p>
        </w:tc>
        <w:tc>
          <w:tcPr>
            <w:tcW w:w="1815" w:type="dxa"/>
            <w:vAlign w:val="center"/>
          </w:tcPr>
          <w:p w14:paraId="2B805583">
            <w:pPr>
              <w:pStyle w:val="28"/>
              <w:jc w:val="center"/>
              <w:rPr>
                <w:rFonts w:hint="eastAsia" w:cs="宋体"/>
              </w:rPr>
            </w:pPr>
          </w:p>
        </w:tc>
        <w:tc>
          <w:tcPr>
            <w:tcW w:w="1277" w:type="dxa"/>
            <w:vAlign w:val="center"/>
          </w:tcPr>
          <w:p w14:paraId="18D19DE8">
            <w:pPr>
              <w:pStyle w:val="28"/>
              <w:jc w:val="center"/>
              <w:rPr>
                <w:rFonts w:hint="eastAsia" w:cs="宋体"/>
              </w:rPr>
            </w:pPr>
          </w:p>
        </w:tc>
        <w:tc>
          <w:tcPr>
            <w:tcW w:w="816" w:type="dxa"/>
            <w:vAlign w:val="center"/>
          </w:tcPr>
          <w:p w14:paraId="225125A1">
            <w:pPr>
              <w:pStyle w:val="28"/>
              <w:jc w:val="center"/>
              <w:rPr>
                <w:rFonts w:hint="eastAsia" w:cs="宋体"/>
              </w:rPr>
            </w:pPr>
          </w:p>
        </w:tc>
      </w:tr>
      <w:tr w14:paraId="36F97B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9" w:hRule="atLeast"/>
        </w:trPr>
        <w:tc>
          <w:tcPr>
            <w:tcW w:w="773" w:type="dxa"/>
            <w:vAlign w:val="center"/>
          </w:tcPr>
          <w:p w14:paraId="13DAAD3B">
            <w:pPr>
              <w:pStyle w:val="28"/>
              <w:jc w:val="center"/>
              <w:rPr>
                <w:rFonts w:hint="eastAsia" w:cs="宋体"/>
              </w:rPr>
            </w:pPr>
            <w:bookmarkStart w:id="851" w:name="_Toc99533301"/>
            <w:bookmarkStart w:id="852" w:name="_Toc100090793"/>
            <w:r>
              <w:rPr>
                <w:rFonts w:hint="eastAsia" w:cs="宋体"/>
              </w:rPr>
              <w:t>10</w:t>
            </w:r>
            <w:bookmarkEnd w:id="851"/>
            <w:bookmarkEnd w:id="852"/>
          </w:p>
        </w:tc>
        <w:tc>
          <w:tcPr>
            <w:tcW w:w="1143" w:type="dxa"/>
            <w:vAlign w:val="center"/>
          </w:tcPr>
          <w:p w14:paraId="55B22C5B">
            <w:pPr>
              <w:pStyle w:val="28"/>
              <w:jc w:val="center"/>
              <w:rPr>
                <w:rFonts w:hint="eastAsia" w:cs="宋体"/>
              </w:rPr>
            </w:pPr>
          </w:p>
        </w:tc>
        <w:tc>
          <w:tcPr>
            <w:tcW w:w="1334" w:type="dxa"/>
            <w:tcBorders>
              <w:right w:val="single" w:color="auto" w:sz="4" w:space="0"/>
            </w:tcBorders>
            <w:vAlign w:val="center"/>
          </w:tcPr>
          <w:p w14:paraId="0735224E">
            <w:pPr>
              <w:pStyle w:val="28"/>
              <w:jc w:val="center"/>
              <w:rPr>
                <w:rFonts w:hint="eastAsia" w:cs="宋体"/>
              </w:rPr>
            </w:pPr>
          </w:p>
        </w:tc>
        <w:tc>
          <w:tcPr>
            <w:tcW w:w="1188" w:type="dxa"/>
            <w:tcBorders>
              <w:left w:val="single" w:color="auto" w:sz="4" w:space="0"/>
            </w:tcBorders>
            <w:vAlign w:val="center"/>
          </w:tcPr>
          <w:p w14:paraId="4FBEB9BB">
            <w:pPr>
              <w:pStyle w:val="28"/>
              <w:jc w:val="center"/>
              <w:rPr>
                <w:rFonts w:hint="eastAsia" w:cs="宋体"/>
              </w:rPr>
            </w:pPr>
          </w:p>
        </w:tc>
        <w:tc>
          <w:tcPr>
            <w:tcW w:w="816" w:type="dxa"/>
            <w:tcBorders>
              <w:left w:val="single" w:color="auto" w:sz="4" w:space="0"/>
            </w:tcBorders>
            <w:vAlign w:val="center"/>
          </w:tcPr>
          <w:p w14:paraId="6718986B">
            <w:pPr>
              <w:pStyle w:val="28"/>
              <w:jc w:val="center"/>
              <w:rPr>
                <w:rFonts w:hint="eastAsia" w:cs="宋体"/>
              </w:rPr>
            </w:pPr>
          </w:p>
        </w:tc>
        <w:tc>
          <w:tcPr>
            <w:tcW w:w="1815" w:type="dxa"/>
            <w:vAlign w:val="center"/>
          </w:tcPr>
          <w:p w14:paraId="0C780C4A">
            <w:pPr>
              <w:pStyle w:val="28"/>
              <w:jc w:val="center"/>
              <w:rPr>
                <w:rFonts w:hint="eastAsia" w:cs="宋体"/>
              </w:rPr>
            </w:pPr>
          </w:p>
        </w:tc>
        <w:tc>
          <w:tcPr>
            <w:tcW w:w="1277" w:type="dxa"/>
            <w:vAlign w:val="center"/>
          </w:tcPr>
          <w:p w14:paraId="4C8B6CD0">
            <w:pPr>
              <w:pStyle w:val="28"/>
              <w:jc w:val="center"/>
              <w:rPr>
                <w:rFonts w:hint="eastAsia" w:cs="宋体"/>
              </w:rPr>
            </w:pPr>
          </w:p>
        </w:tc>
        <w:tc>
          <w:tcPr>
            <w:tcW w:w="816" w:type="dxa"/>
            <w:vAlign w:val="center"/>
          </w:tcPr>
          <w:p w14:paraId="212F0480">
            <w:pPr>
              <w:pStyle w:val="28"/>
              <w:jc w:val="center"/>
              <w:rPr>
                <w:rFonts w:hint="eastAsia" w:cs="宋体"/>
              </w:rPr>
            </w:pPr>
          </w:p>
        </w:tc>
      </w:tr>
    </w:tbl>
    <w:p w14:paraId="51ED7B0D">
      <w:pPr>
        <w:rPr>
          <w:rFonts w:hint="eastAsia" w:cs="宋体"/>
        </w:rPr>
      </w:pPr>
      <w:r>
        <w:rPr>
          <w:rFonts w:hint="eastAsia" w:cs="宋体"/>
        </w:rPr>
        <w:br w:type="page"/>
      </w:r>
    </w:p>
    <w:p w14:paraId="1358285E">
      <w:pPr>
        <w:pStyle w:val="8"/>
        <w:jc w:val="center"/>
        <w:rPr>
          <w:rFonts w:hint="eastAsia"/>
        </w:rPr>
      </w:pPr>
      <w:bookmarkStart w:id="853" w:name="_Toc14945"/>
      <w:r>
        <w:rPr>
          <w:rFonts w:hint="eastAsia"/>
        </w:rPr>
        <w:t>9、技术响应偏离表</w:t>
      </w:r>
      <w:bookmarkEnd w:id="853"/>
    </w:p>
    <w:p w14:paraId="28A8231E">
      <w:pPr>
        <w:rPr>
          <w:rFonts w:hint="eastAsia" w:cs="宋体"/>
          <w:szCs w:val="24"/>
        </w:rPr>
      </w:pPr>
      <w:r>
        <w:rPr>
          <w:rFonts w:hint="eastAsia" w:cs="宋体"/>
          <w:szCs w:val="24"/>
        </w:rPr>
        <w:t xml:space="preserve">项目名称：                                         </w:t>
      </w:r>
    </w:p>
    <w:p w14:paraId="10CF1BE4">
      <w:pPr>
        <w:rPr>
          <w:rFonts w:hint="eastAsia" w:cs="宋体"/>
          <w:szCs w:val="24"/>
        </w:rPr>
      </w:pPr>
      <w:r>
        <w:rPr>
          <w:rFonts w:hint="eastAsia" w:cs="宋体"/>
          <w:szCs w:val="24"/>
        </w:rPr>
        <w:t>项目编号/</w:t>
      </w:r>
      <w:r>
        <w:rPr>
          <w:rFonts w:hint="eastAsia" w:cs="宋体"/>
          <w:szCs w:val="24"/>
          <w:lang w:val="zh-CN"/>
        </w:rPr>
        <w:t>包号</w:t>
      </w:r>
      <w:r>
        <w:rPr>
          <w:rFonts w:hint="eastAsia" w:cs="宋体"/>
          <w:szCs w:val="24"/>
        </w:rPr>
        <w:t xml:space="preserve">：         </w:t>
      </w:r>
    </w:p>
    <w:tbl>
      <w:tblPr>
        <w:tblStyle w:val="19"/>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4"/>
        <w:gridCol w:w="2177"/>
        <w:gridCol w:w="1556"/>
        <w:gridCol w:w="2046"/>
        <w:gridCol w:w="2046"/>
      </w:tblGrid>
      <w:tr w14:paraId="23CC5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407" w:type="pct"/>
            <w:vAlign w:val="center"/>
          </w:tcPr>
          <w:p w14:paraId="5F892E53">
            <w:pPr>
              <w:pStyle w:val="28"/>
              <w:jc w:val="center"/>
              <w:rPr>
                <w:rFonts w:hint="eastAsia" w:cs="宋体"/>
              </w:rPr>
            </w:pPr>
            <w:r>
              <w:rPr>
                <w:rFonts w:hint="eastAsia" w:cs="宋体"/>
              </w:rPr>
              <w:t>序号</w:t>
            </w:r>
          </w:p>
        </w:tc>
        <w:tc>
          <w:tcPr>
            <w:tcW w:w="1277" w:type="pct"/>
            <w:vAlign w:val="center"/>
          </w:tcPr>
          <w:p w14:paraId="0C5608DB">
            <w:pPr>
              <w:pStyle w:val="28"/>
              <w:jc w:val="center"/>
              <w:rPr>
                <w:rFonts w:hint="eastAsia" w:cs="宋体"/>
              </w:rPr>
            </w:pPr>
            <w:r>
              <w:rPr>
                <w:rFonts w:hint="eastAsia" w:cs="宋体"/>
              </w:rPr>
              <w:t>竞争性磋商文件技术要求条款</w:t>
            </w:r>
          </w:p>
        </w:tc>
        <w:tc>
          <w:tcPr>
            <w:tcW w:w="913" w:type="pct"/>
            <w:vAlign w:val="center"/>
          </w:tcPr>
          <w:p w14:paraId="0B845CF1">
            <w:pPr>
              <w:pStyle w:val="28"/>
              <w:jc w:val="center"/>
              <w:rPr>
                <w:rFonts w:hint="eastAsia" w:cs="宋体"/>
              </w:rPr>
            </w:pPr>
            <w:r>
              <w:rPr>
                <w:rFonts w:hint="eastAsia" w:cs="宋体"/>
              </w:rPr>
              <w:t>响应文件内容</w:t>
            </w:r>
          </w:p>
          <w:p w14:paraId="4F79E073">
            <w:pPr>
              <w:pStyle w:val="28"/>
              <w:jc w:val="center"/>
              <w:rPr>
                <w:rFonts w:hint="eastAsia" w:cs="宋体"/>
              </w:rPr>
            </w:pPr>
            <w:r>
              <w:rPr>
                <w:rFonts w:hint="eastAsia" w:cs="宋体"/>
              </w:rPr>
              <w:t>对应简述</w:t>
            </w:r>
          </w:p>
        </w:tc>
        <w:tc>
          <w:tcPr>
            <w:tcW w:w="1200" w:type="pct"/>
            <w:vAlign w:val="center"/>
          </w:tcPr>
          <w:p w14:paraId="4AB4E9C3">
            <w:pPr>
              <w:pStyle w:val="28"/>
              <w:jc w:val="center"/>
              <w:rPr>
                <w:rFonts w:hint="eastAsia" w:cs="宋体"/>
              </w:rPr>
            </w:pPr>
            <w:r>
              <w:rPr>
                <w:rFonts w:hint="eastAsia" w:cs="宋体"/>
              </w:rPr>
              <w:t>响应情况</w:t>
            </w:r>
          </w:p>
        </w:tc>
        <w:tc>
          <w:tcPr>
            <w:tcW w:w="1200" w:type="pct"/>
            <w:vAlign w:val="center"/>
          </w:tcPr>
          <w:p w14:paraId="09D725B9">
            <w:pPr>
              <w:pStyle w:val="28"/>
              <w:jc w:val="center"/>
              <w:rPr>
                <w:rFonts w:hint="eastAsia" w:cs="宋体"/>
              </w:rPr>
            </w:pPr>
            <w:r>
              <w:rPr>
                <w:rFonts w:hint="eastAsia" w:cs="宋体"/>
              </w:rPr>
              <w:t>说明及索引</w:t>
            </w:r>
          </w:p>
        </w:tc>
      </w:tr>
      <w:tr w14:paraId="39EC0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407" w:type="pct"/>
            <w:vAlign w:val="center"/>
          </w:tcPr>
          <w:p w14:paraId="29950C57">
            <w:pPr>
              <w:pStyle w:val="28"/>
              <w:jc w:val="center"/>
              <w:rPr>
                <w:rFonts w:hint="eastAsia" w:cs="宋体"/>
              </w:rPr>
            </w:pPr>
            <w:r>
              <w:rPr>
                <w:rFonts w:hint="eastAsia" w:cs="宋体"/>
              </w:rPr>
              <w:t>1</w:t>
            </w:r>
          </w:p>
        </w:tc>
        <w:tc>
          <w:tcPr>
            <w:tcW w:w="1277" w:type="pct"/>
            <w:vAlign w:val="center"/>
          </w:tcPr>
          <w:p w14:paraId="69B288A0">
            <w:pPr>
              <w:pStyle w:val="28"/>
              <w:jc w:val="center"/>
              <w:rPr>
                <w:rFonts w:hint="eastAsia" w:cs="宋体"/>
              </w:rPr>
            </w:pPr>
            <w:r>
              <w:rPr>
                <w:rFonts w:hint="eastAsia" w:cs="宋体"/>
              </w:rPr>
              <w:t>********</w:t>
            </w:r>
          </w:p>
        </w:tc>
        <w:tc>
          <w:tcPr>
            <w:tcW w:w="913" w:type="pct"/>
            <w:vAlign w:val="center"/>
          </w:tcPr>
          <w:p w14:paraId="0E04AD72">
            <w:pPr>
              <w:pStyle w:val="28"/>
              <w:jc w:val="center"/>
              <w:rPr>
                <w:rFonts w:hint="eastAsia" w:cs="宋体"/>
              </w:rPr>
            </w:pPr>
            <w:r>
              <w:rPr>
                <w:rFonts w:hint="eastAsia" w:cs="宋体"/>
              </w:rPr>
              <w:t>******</w:t>
            </w:r>
          </w:p>
        </w:tc>
        <w:tc>
          <w:tcPr>
            <w:tcW w:w="1200" w:type="pct"/>
            <w:vAlign w:val="center"/>
          </w:tcPr>
          <w:p w14:paraId="585AEA1C">
            <w:pPr>
              <w:pStyle w:val="28"/>
              <w:jc w:val="center"/>
              <w:rPr>
                <w:rFonts w:hint="eastAsia" w:cs="宋体"/>
              </w:rPr>
            </w:pPr>
            <w:r>
              <w:rPr>
                <w:rFonts w:hint="eastAsia" w:cs="宋体"/>
              </w:rPr>
              <w:t>响应/正偏离/负偏离</w:t>
            </w:r>
          </w:p>
        </w:tc>
        <w:tc>
          <w:tcPr>
            <w:tcW w:w="1200" w:type="pct"/>
            <w:vAlign w:val="center"/>
          </w:tcPr>
          <w:p w14:paraId="02D97874">
            <w:pPr>
              <w:pStyle w:val="28"/>
              <w:jc w:val="center"/>
              <w:rPr>
                <w:rFonts w:hint="eastAsia" w:cs="宋体"/>
              </w:rPr>
            </w:pPr>
          </w:p>
        </w:tc>
      </w:tr>
      <w:tr w14:paraId="4EC68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407" w:type="pct"/>
            <w:vAlign w:val="center"/>
          </w:tcPr>
          <w:p w14:paraId="195B6778">
            <w:pPr>
              <w:pStyle w:val="28"/>
              <w:jc w:val="center"/>
              <w:rPr>
                <w:rFonts w:hint="eastAsia" w:cs="宋体"/>
              </w:rPr>
            </w:pPr>
            <w:r>
              <w:rPr>
                <w:rFonts w:hint="eastAsia" w:cs="宋体"/>
              </w:rPr>
              <w:t>2</w:t>
            </w:r>
          </w:p>
        </w:tc>
        <w:tc>
          <w:tcPr>
            <w:tcW w:w="1277" w:type="pct"/>
            <w:vAlign w:val="center"/>
          </w:tcPr>
          <w:p w14:paraId="30E52A7F">
            <w:pPr>
              <w:pStyle w:val="28"/>
              <w:jc w:val="center"/>
              <w:rPr>
                <w:rFonts w:hint="eastAsia" w:cs="宋体"/>
              </w:rPr>
            </w:pPr>
            <w:r>
              <w:rPr>
                <w:rFonts w:hint="eastAsia" w:cs="宋体"/>
              </w:rPr>
              <w:t>********</w:t>
            </w:r>
          </w:p>
        </w:tc>
        <w:tc>
          <w:tcPr>
            <w:tcW w:w="913" w:type="pct"/>
            <w:vAlign w:val="center"/>
          </w:tcPr>
          <w:p w14:paraId="29A6C1E1">
            <w:pPr>
              <w:pStyle w:val="28"/>
              <w:jc w:val="center"/>
              <w:rPr>
                <w:rFonts w:hint="eastAsia" w:cs="宋体"/>
              </w:rPr>
            </w:pPr>
            <w:r>
              <w:rPr>
                <w:rFonts w:hint="eastAsia" w:cs="宋体"/>
              </w:rPr>
              <w:t>******</w:t>
            </w:r>
          </w:p>
        </w:tc>
        <w:tc>
          <w:tcPr>
            <w:tcW w:w="1200" w:type="pct"/>
            <w:vAlign w:val="center"/>
          </w:tcPr>
          <w:p w14:paraId="5D92E460">
            <w:pPr>
              <w:pStyle w:val="28"/>
              <w:jc w:val="center"/>
              <w:rPr>
                <w:rFonts w:hint="eastAsia" w:cs="宋体"/>
              </w:rPr>
            </w:pPr>
            <w:r>
              <w:rPr>
                <w:rFonts w:hint="eastAsia" w:cs="宋体"/>
              </w:rPr>
              <w:t>响应/正偏离/负偏离</w:t>
            </w:r>
          </w:p>
        </w:tc>
        <w:tc>
          <w:tcPr>
            <w:tcW w:w="1200" w:type="pct"/>
            <w:vAlign w:val="center"/>
          </w:tcPr>
          <w:p w14:paraId="63E16449">
            <w:pPr>
              <w:pStyle w:val="28"/>
              <w:jc w:val="center"/>
              <w:rPr>
                <w:rFonts w:hint="eastAsia" w:cs="宋体"/>
              </w:rPr>
            </w:pPr>
          </w:p>
        </w:tc>
      </w:tr>
      <w:tr w14:paraId="0C008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7" w:type="pct"/>
            <w:vAlign w:val="center"/>
          </w:tcPr>
          <w:p w14:paraId="4C45FE18">
            <w:pPr>
              <w:pStyle w:val="28"/>
              <w:jc w:val="center"/>
              <w:rPr>
                <w:rFonts w:hint="eastAsia" w:cs="宋体"/>
              </w:rPr>
            </w:pPr>
          </w:p>
        </w:tc>
        <w:tc>
          <w:tcPr>
            <w:tcW w:w="1277" w:type="pct"/>
            <w:vAlign w:val="center"/>
          </w:tcPr>
          <w:p w14:paraId="6D1DD644">
            <w:pPr>
              <w:pStyle w:val="28"/>
              <w:jc w:val="center"/>
              <w:rPr>
                <w:rFonts w:hint="eastAsia" w:cs="宋体"/>
              </w:rPr>
            </w:pPr>
          </w:p>
        </w:tc>
        <w:tc>
          <w:tcPr>
            <w:tcW w:w="913" w:type="pct"/>
            <w:vAlign w:val="center"/>
          </w:tcPr>
          <w:p w14:paraId="2982168B">
            <w:pPr>
              <w:pStyle w:val="28"/>
              <w:jc w:val="center"/>
              <w:rPr>
                <w:rFonts w:hint="eastAsia" w:cs="宋体"/>
              </w:rPr>
            </w:pPr>
          </w:p>
        </w:tc>
        <w:tc>
          <w:tcPr>
            <w:tcW w:w="1200" w:type="pct"/>
            <w:vAlign w:val="center"/>
          </w:tcPr>
          <w:p w14:paraId="78EC7D09">
            <w:pPr>
              <w:pStyle w:val="28"/>
              <w:jc w:val="center"/>
              <w:rPr>
                <w:rFonts w:hint="eastAsia" w:cs="宋体"/>
              </w:rPr>
            </w:pPr>
          </w:p>
        </w:tc>
        <w:tc>
          <w:tcPr>
            <w:tcW w:w="1200" w:type="pct"/>
            <w:vAlign w:val="center"/>
          </w:tcPr>
          <w:p w14:paraId="46369488">
            <w:pPr>
              <w:pStyle w:val="28"/>
              <w:jc w:val="center"/>
              <w:rPr>
                <w:rFonts w:hint="eastAsia" w:cs="宋体"/>
              </w:rPr>
            </w:pPr>
          </w:p>
        </w:tc>
      </w:tr>
      <w:tr w14:paraId="28C8F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7" w:type="pct"/>
            <w:vAlign w:val="center"/>
          </w:tcPr>
          <w:p w14:paraId="43874C19">
            <w:pPr>
              <w:pStyle w:val="28"/>
              <w:jc w:val="center"/>
              <w:rPr>
                <w:rFonts w:hint="eastAsia" w:cs="宋体"/>
              </w:rPr>
            </w:pPr>
          </w:p>
        </w:tc>
        <w:tc>
          <w:tcPr>
            <w:tcW w:w="1277" w:type="pct"/>
            <w:vAlign w:val="center"/>
          </w:tcPr>
          <w:p w14:paraId="529041E2">
            <w:pPr>
              <w:pStyle w:val="28"/>
              <w:jc w:val="center"/>
              <w:rPr>
                <w:rFonts w:hint="eastAsia" w:cs="宋体"/>
              </w:rPr>
            </w:pPr>
          </w:p>
        </w:tc>
        <w:tc>
          <w:tcPr>
            <w:tcW w:w="913" w:type="pct"/>
            <w:vAlign w:val="center"/>
          </w:tcPr>
          <w:p w14:paraId="301E476D">
            <w:pPr>
              <w:pStyle w:val="28"/>
              <w:jc w:val="center"/>
              <w:rPr>
                <w:rFonts w:hint="eastAsia" w:cs="宋体"/>
              </w:rPr>
            </w:pPr>
          </w:p>
        </w:tc>
        <w:tc>
          <w:tcPr>
            <w:tcW w:w="1200" w:type="pct"/>
            <w:vAlign w:val="center"/>
          </w:tcPr>
          <w:p w14:paraId="06F8AED7">
            <w:pPr>
              <w:pStyle w:val="28"/>
              <w:jc w:val="center"/>
              <w:rPr>
                <w:rFonts w:hint="eastAsia" w:cs="宋体"/>
              </w:rPr>
            </w:pPr>
          </w:p>
        </w:tc>
        <w:tc>
          <w:tcPr>
            <w:tcW w:w="1200" w:type="pct"/>
            <w:vAlign w:val="center"/>
          </w:tcPr>
          <w:p w14:paraId="0CE9DF45">
            <w:pPr>
              <w:pStyle w:val="28"/>
              <w:jc w:val="center"/>
              <w:rPr>
                <w:rFonts w:hint="eastAsia" w:cs="宋体"/>
              </w:rPr>
            </w:pPr>
          </w:p>
        </w:tc>
      </w:tr>
      <w:tr w14:paraId="72916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7" w:type="pct"/>
            <w:vAlign w:val="center"/>
          </w:tcPr>
          <w:p w14:paraId="41433E5C">
            <w:pPr>
              <w:pStyle w:val="28"/>
              <w:jc w:val="center"/>
              <w:rPr>
                <w:rFonts w:hint="eastAsia" w:cs="宋体"/>
              </w:rPr>
            </w:pPr>
          </w:p>
        </w:tc>
        <w:tc>
          <w:tcPr>
            <w:tcW w:w="1277" w:type="pct"/>
            <w:vAlign w:val="center"/>
          </w:tcPr>
          <w:p w14:paraId="77107295">
            <w:pPr>
              <w:pStyle w:val="28"/>
              <w:jc w:val="center"/>
              <w:rPr>
                <w:rFonts w:hint="eastAsia" w:cs="宋体"/>
              </w:rPr>
            </w:pPr>
          </w:p>
        </w:tc>
        <w:tc>
          <w:tcPr>
            <w:tcW w:w="913" w:type="pct"/>
            <w:vAlign w:val="center"/>
          </w:tcPr>
          <w:p w14:paraId="4D01D78E">
            <w:pPr>
              <w:pStyle w:val="28"/>
              <w:jc w:val="center"/>
              <w:rPr>
                <w:rFonts w:hint="eastAsia" w:cs="宋体"/>
              </w:rPr>
            </w:pPr>
          </w:p>
        </w:tc>
        <w:tc>
          <w:tcPr>
            <w:tcW w:w="1200" w:type="pct"/>
            <w:vAlign w:val="center"/>
          </w:tcPr>
          <w:p w14:paraId="6D546857">
            <w:pPr>
              <w:pStyle w:val="28"/>
              <w:jc w:val="center"/>
              <w:rPr>
                <w:rFonts w:hint="eastAsia" w:cs="宋体"/>
              </w:rPr>
            </w:pPr>
          </w:p>
        </w:tc>
        <w:tc>
          <w:tcPr>
            <w:tcW w:w="1200" w:type="pct"/>
            <w:vAlign w:val="center"/>
          </w:tcPr>
          <w:p w14:paraId="2E1B7D0B">
            <w:pPr>
              <w:pStyle w:val="28"/>
              <w:jc w:val="center"/>
              <w:rPr>
                <w:rFonts w:hint="eastAsia" w:cs="宋体"/>
              </w:rPr>
            </w:pPr>
          </w:p>
        </w:tc>
      </w:tr>
      <w:tr w14:paraId="39F80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7" w:type="pct"/>
            <w:vAlign w:val="center"/>
          </w:tcPr>
          <w:p w14:paraId="6AF16AFE">
            <w:pPr>
              <w:pStyle w:val="28"/>
              <w:jc w:val="center"/>
              <w:rPr>
                <w:rFonts w:hint="eastAsia" w:cs="宋体"/>
              </w:rPr>
            </w:pPr>
          </w:p>
        </w:tc>
        <w:tc>
          <w:tcPr>
            <w:tcW w:w="1277" w:type="pct"/>
            <w:vAlign w:val="center"/>
          </w:tcPr>
          <w:p w14:paraId="5C7E043B">
            <w:pPr>
              <w:pStyle w:val="28"/>
              <w:jc w:val="center"/>
              <w:rPr>
                <w:rFonts w:hint="eastAsia" w:cs="宋体"/>
              </w:rPr>
            </w:pPr>
          </w:p>
        </w:tc>
        <w:tc>
          <w:tcPr>
            <w:tcW w:w="913" w:type="pct"/>
            <w:vAlign w:val="center"/>
          </w:tcPr>
          <w:p w14:paraId="64166C7A">
            <w:pPr>
              <w:pStyle w:val="28"/>
              <w:jc w:val="center"/>
              <w:rPr>
                <w:rFonts w:hint="eastAsia" w:cs="宋体"/>
              </w:rPr>
            </w:pPr>
          </w:p>
        </w:tc>
        <w:tc>
          <w:tcPr>
            <w:tcW w:w="1200" w:type="pct"/>
            <w:vAlign w:val="center"/>
          </w:tcPr>
          <w:p w14:paraId="2817CCE5">
            <w:pPr>
              <w:pStyle w:val="28"/>
              <w:jc w:val="center"/>
              <w:rPr>
                <w:rFonts w:hint="eastAsia" w:cs="宋体"/>
              </w:rPr>
            </w:pPr>
          </w:p>
        </w:tc>
        <w:tc>
          <w:tcPr>
            <w:tcW w:w="1200" w:type="pct"/>
            <w:vAlign w:val="center"/>
          </w:tcPr>
          <w:p w14:paraId="184E3F96">
            <w:pPr>
              <w:pStyle w:val="28"/>
              <w:jc w:val="center"/>
              <w:rPr>
                <w:rFonts w:hint="eastAsia" w:cs="宋体"/>
              </w:rPr>
            </w:pPr>
          </w:p>
        </w:tc>
      </w:tr>
      <w:tr w14:paraId="60C95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7" w:type="pct"/>
            <w:vAlign w:val="center"/>
          </w:tcPr>
          <w:p w14:paraId="5F23FFC2">
            <w:pPr>
              <w:pStyle w:val="28"/>
              <w:jc w:val="center"/>
              <w:rPr>
                <w:rFonts w:hint="eastAsia" w:cs="宋体"/>
              </w:rPr>
            </w:pPr>
          </w:p>
        </w:tc>
        <w:tc>
          <w:tcPr>
            <w:tcW w:w="1277" w:type="pct"/>
            <w:vAlign w:val="center"/>
          </w:tcPr>
          <w:p w14:paraId="565EC642">
            <w:pPr>
              <w:pStyle w:val="28"/>
              <w:jc w:val="center"/>
              <w:rPr>
                <w:rFonts w:hint="eastAsia" w:cs="宋体"/>
              </w:rPr>
            </w:pPr>
          </w:p>
        </w:tc>
        <w:tc>
          <w:tcPr>
            <w:tcW w:w="913" w:type="pct"/>
            <w:vAlign w:val="center"/>
          </w:tcPr>
          <w:p w14:paraId="4813DEC4">
            <w:pPr>
              <w:pStyle w:val="28"/>
              <w:jc w:val="center"/>
              <w:rPr>
                <w:rFonts w:hint="eastAsia" w:cs="宋体"/>
              </w:rPr>
            </w:pPr>
          </w:p>
        </w:tc>
        <w:tc>
          <w:tcPr>
            <w:tcW w:w="1200" w:type="pct"/>
            <w:vAlign w:val="center"/>
          </w:tcPr>
          <w:p w14:paraId="6FC99520">
            <w:pPr>
              <w:pStyle w:val="28"/>
              <w:jc w:val="center"/>
              <w:rPr>
                <w:rFonts w:hint="eastAsia" w:cs="宋体"/>
              </w:rPr>
            </w:pPr>
          </w:p>
        </w:tc>
        <w:tc>
          <w:tcPr>
            <w:tcW w:w="1200" w:type="pct"/>
            <w:vAlign w:val="center"/>
          </w:tcPr>
          <w:p w14:paraId="6C388A43">
            <w:pPr>
              <w:pStyle w:val="28"/>
              <w:jc w:val="center"/>
              <w:rPr>
                <w:rFonts w:hint="eastAsia" w:cs="宋体"/>
              </w:rPr>
            </w:pPr>
          </w:p>
        </w:tc>
      </w:tr>
      <w:tr w14:paraId="668F3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7" w:type="pct"/>
            <w:vAlign w:val="center"/>
          </w:tcPr>
          <w:p w14:paraId="0AF398B2">
            <w:pPr>
              <w:pStyle w:val="28"/>
              <w:jc w:val="center"/>
              <w:rPr>
                <w:rFonts w:hint="eastAsia" w:cs="宋体"/>
              </w:rPr>
            </w:pPr>
          </w:p>
        </w:tc>
        <w:tc>
          <w:tcPr>
            <w:tcW w:w="1277" w:type="pct"/>
            <w:vAlign w:val="center"/>
          </w:tcPr>
          <w:p w14:paraId="7E5C6D21">
            <w:pPr>
              <w:pStyle w:val="28"/>
              <w:jc w:val="center"/>
              <w:rPr>
                <w:rFonts w:hint="eastAsia" w:cs="宋体"/>
              </w:rPr>
            </w:pPr>
          </w:p>
        </w:tc>
        <w:tc>
          <w:tcPr>
            <w:tcW w:w="913" w:type="pct"/>
            <w:vAlign w:val="center"/>
          </w:tcPr>
          <w:p w14:paraId="449C5534">
            <w:pPr>
              <w:pStyle w:val="28"/>
              <w:jc w:val="center"/>
              <w:rPr>
                <w:rFonts w:hint="eastAsia" w:cs="宋体"/>
              </w:rPr>
            </w:pPr>
          </w:p>
        </w:tc>
        <w:tc>
          <w:tcPr>
            <w:tcW w:w="1200" w:type="pct"/>
            <w:vAlign w:val="center"/>
          </w:tcPr>
          <w:p w14:paraId="43936EF1">
            <w:pPr>
              <w:pStyle w:val="28"/>
              <w:jc w:val="center"/>
              <w:rPr>
                <w:rFonts w:hint="eastAsia" w:cs="宋体"/>
              </w:rPr>
            </w:pPr>
          </w:p>
        </w:tc>
        <w:tc>
          <w:tcPr>
            <w:tcW w:w="1200" w:type="pct"/>
            <w:vAlign w:val="center"/>
          </w:tcPr>
          <w:p w14:paraId="015081ED">
            <w:pPr>
              <w:pStyle w:val="28"/>
              <w:jc w:val="center"/>
              <w:rPr>
                <w:rFonts w:hint="eastAsia" w:cs="宋体"/>
              </w:rPr>
            </w:pPr>
          </w:p>
        </w:tc>
      </w:tr>
      <w:tr w14:paraId="576C8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7" w:type="pct"/>
            <w:vAlign w:val="center"/>
          </w:tcPr>
          <w:p w14:paraId="3BE7E344">
            <w:pPr>
              <w:pStyle w:val="28"/>
              <w:jc w:val="center"/>
              <w:rPr>
                <w:rFonts w:hint="eastAsia" w:cs="宋体"/>
              </w:rPr>
            </w:pPr>
          </w:p>
        </w:tc>
        <w:tc>
          <w:tcPr>
            <w:tcW w:w="1277" w:type="pct"/>
            <w:vAlign w:val="center"/>
          </w:tcPr>
          <w:p w14:paraId="4E7FED0B">
            <w:pPr>
              <w:pStyle w:val="28"/>
              <w:jc w:val="center"/>
              <w:rPr>
                <w:rFonts w:hint="eastAsia" w:cs="宋体"/>
              </w:rPr>
            </w:pPr>
          </w:p>
        </w:tc>
        <w:tc>
          <w:tcPr>
            <w:tcW w:w="913" w:type="pct"/>
            <w:vAlign w:val="center"/>
          </w:tcPr>
          <w:p w14:paraId="07398BD3">
            <w:pPr>
              <w:pStyle w:val="28"/>
              <w:jc w:val="center"/>
              <w:rPr>
                <w:rFonts w:hint="eastAsia" w:cs="宋体"/>
              </w:rPr>
            </w:pPr>
          </w:p>
        </w:tc>
        <w:tc>
          <w:tcPr>
            <w:tcW w:w="1200" w:type="pct"/>
            <w:vAlign w:val="center"/>
          </w:tcPr>
          <w:p w14:paraId="085E5102">
            <w:pPr>
              <w:pStyle w:val="28"/>
              <w:jc w:val="center"/>
              <w:rPr>
                <w:rFonts w:hint="eastAsia" w:cs="宋体"/>
              </w:rPr>
            </w:pPr>
          </w:p>
        </w:tc>
        <w:tc>
          <w:tcPr>
            <w:tcW w:w="1200" w:type="pct"/>
            <w:vAlign w:val="center"/>
          </w:tcPr>
          <w:p w14:paraId="74B87043">
            <w:pPr>
              <w:pStyle w:val="28"/>
              <w:jc w:val="center"/>
              <w:rPr>
                <w:rFonts w:hint="eastAsia" w:cs="宋体"/>
              </w:rPr>
            </w:pPr>
          </w:p>
        </w:tc>
      </w:tr>
      <w:tr w14:paraId="4BD96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7" w:type="pct"/>
            <w:vAlign w:val="center"/>
          </w:tcPr>
          <w:p w14:paraId="5DBDBE11">
            <w:pPr>
              <w:pStyle w:val="28"/>
              <w:jc w:val="center"/>
              <w:rPr>
                <w:rFonts w:hint="eastAsia" w:cs="宋体"/>
              </w:rPr>
            </w:pPr>
          </w:p>
        </w:tc>
        <w:tc>
          <w:tcPr>
            <w:tcW w:w="1277" w:type="pct"/>
            <w:vAlign w:val="center"/>
          </w:tcPr>
          <w:p w14:paraId="1F11A7BE">
            <w:pPr>
              <w:pStyle w:val="28"/>
              <w:jc w:val="center"/>
              <w:rPr>
                <w:rFonts w:hint="eastAsia" w:cs="宋体"/>
              </w:rPr>
            </w:pPr>
          </w:p>
        </w:tc>
        <w:tc>
          <w:tcPr>
            <w:tcW w:w="913" w:type="pct"/>
            <w:vAlign w:val="center"/>
          </w:tcPr>
          <w:p w14:paraId="09342B6E">
            <w:pPr>
              <w:pStyle w:val="28"/>
              <w:jc w:val="center"/>
              <w:rPr>
                <w:rFonts w:hint="eastAsia" w:cs="宋体"/>
              </w:rPr>
            </w:pPr>
          </w:p>
        </w:tc>
        <w:tc>
          <w:tcPr>
            <w:tcW w:w="1200" w:type="pct"/>
            <w:vAlign w:val="center"/>
          </w:tcPr>
          <w:p w14:paraId="6742B646">
            <w:pPr>
              <w:pStyle w:val="28"/>
              <w:jc w:val="center"/>
              <w:rPr>
                <w:rFonts w:hint="eastAsia" w:cs="宋体"/>
              </w:rPr>
            </w:pPr>
          </w:p>
        </w:tc>
        <w:tc>
          <w:tcPr>
            <w:tcW w:w="1200" w:type="pct"/>
            <w:vAlign w:val="center"/>
          </w:tcPr>
          <w:p w14:paraId="4C72FCC2">
            <w:pPr>
              <w:pStyle w:val="28"/>
              <w:jc w:val="center"/>
              <w:rPr>
                <w:rFonts w:hint="eastAsia" w:cs="宋体"/>
              </w:rPr>
            </w:pPr>
          </w:p>
        </w:tc>
      </w:tr>
      <w:tr w14:paraId="26694AEA">
        <w:tblPrEx>
          <w:tblCellMar>
            <w:top w:w="0" w:type="dxa"/>
            <w:left w:w="108" w:type="dxa"/>
            <w:bottom w:w="0" w:type="dxa"/>
            <w:right w:w="108" w:type="dxa"/>
          </w:tblCellMar>
        </w:tblPrEx>
        <w:trPr>
          <w:trHeight w:val="472" w:hRule="atLeast"/>
        </w:trPr>
        <w:tc>
          <w:tcPr>
            <w:tcW w:w="407" w:type="pct"/>
            <w:vAlign w:val="center"/>
          </w:tcPr>
          <w:p w14:paraId="0D811F11">
            <w:pPr>
              <w:pStyle w:val="28"/>
              <w:jc w:val="center"/>
              <w:rPr>
                <w:rFonts w:hint="eastAsia" w:cs="宋体"/>
              </w:rPr>
            </w:pPr>
            <w:r>
              <w:rPr>
                <w:rFonts w:hint="eastAsia" w:cs="宋体"/>
              </w:rPr>
              <w:t>……</w:t>
            </w:r>
          </w:p>
        </w:tc>
        <w:tc>
          <w:tcPr>
            <w:tcW w:w="1277" w:type="pct"/>
            <w:vAlign w:val="center"/>
          </w:tcPr>
          <w:p w14:paraId="7D0AF02A">
            <w:pPr>
              <w:pStyle w:val="28"/>
              <w:jc w:val="center"/>
              <w:rPr>
                <w:rFonts w:hint="eastAsia" w:cs="宋体"/>
              </w:rPr>
            </w:pPr>
            <w:r>
              <w:rPr>
                <w:rFonts w:hint="eastAsia" w:cs="宋体"/>
              </w:rPr>
              <w:t>…………</w:t>
            </w:r>
          </w:p>
        </w:tc>
        <w:tc>
          <w:tcPr>
            <w:tcW w:w="913" w:type="pct"/>
            <w:vAlign w:val="center"/>
          </w:tcPr>
          <w:p w14:paraId="6EC8C4F3">
            <w:pPr>
              <w:pStyle w:val="28"/>
              <w:jc w:val="center"/>
              <w:rPr>
                <w:rFonts w:hint="eastAsia" w:cs="宋体"/>
              </w:rPr>
            </w:pPr>
            <w:r>
              <w:rPr>
                <w:rFonts w:hint="eastAsia" w:cs="宋体"/>
              </w:rPr>
              <w:t>………………</w:t>
            </w:r>
          </w:p>
        </w:tc>
        <w:tc>
          <w:tcPr>
            <w:tcW w:w="1200" w:type="pct"/>
            <w:vAlign w:val="center"/>
          </w:tcPr>
          <w:p w14:paraId="59EB3DF9">
            <w:pPr>
              <w:pStyle w:val="28"/>
              <w:jc w:val="center"/>
              <w:rPr>
                <w:rFonts w:hint="eastAsia" w:cs="宋体"/>
              </w:rPr>
            </w:pPr>
            <w:r>
              <w:rPr>
                <w:rFonts w:hint="eastAsia" w:cs="宋体"/>
              </w:rPr>
              <w:t>…………</w:t>
            </w:r>
          </w:p>
        </w:tc>
        <w:tc>
          <w:tcPr>
            <w:tcW w:w="1200" w:type="pct"/>
            <w:vAlign w:val="center"/>
          </w:tcPr>
          <w:p w14:paraId="1BF96619">
            <w:pPr>
              <w:pStyle w:val="28"/>
              <w:jc w:val="center"/>
              <w:rPr>
                <w:rFonts w:hint="eastAsia" w:cs="宋体"/>
              </w:rPr>
            </w:pPr>
          </w:p>
        </w:tc>
      </w:tr>
    </w:tbl>
    <w:p w14:paraId="2D6CE221">
      <w:pPr>
        <w:ind w:firstLine="420" w:firstLineChars="200"/>
        <w:rPr>
          <w:rFonts w:hint="eastAsia" w:cs="宋体"/>
          <w:sz w:val="21"/>
          <w:szCs w:val="21"/>
        </w:rPr>
      </w:pPr>
    </w:p>
    <w:p w14:paraId="2B5EBACC">
      <w:pPr>
        <w:ind w:firstLine="420" w:firstLineChars="200"/>
        <w:rPr>
          <w:rFonts w:hint="eastAsia" w:cs="宋体"/>
          <w:sz w:val="21"/>
          <w:szCs w:val="21"/>
        </w:rPr>
      </w:pPr>
      <w:r>
        <w:rPr>
          <w:rFonts w:hint="eastAsia" w:cs="宋体"/>
          <w:sz w:val="21"/>
          <w:szCs w:val="21"/>
        </w:rPr>
        <w:t>说明：供应商应按照竞争性磋商文件“第三章 项目采购需求”中的技术要求填写，“响应/正偏离/负偏离”应据实填写“响应”、“正偏离”或“负偏离”。</w:t>
      </w:r>
    </w:p>
    <w:p w14:paraId="12AEBD40">
      <w:pPr>
        <w:ind w:firstLine="480" w:firstLineChars="200"/>
        <w:rPr>
          <w:rFonts w:hint="eastAsia" w:cs="宋体"/>
          <w:szCs w:val="24"/>
        </w:rPr>
      </w:pPr>
    </w:p>
    <w:p w14:paraId="21BED63F">
      <w:pPr>
        <w:ind w:right="1008" w:firstLine="4284" w:firstLineChars="1700"/>
        <w:rPr>
          <w:rFonts w:hint="eastAsia" w:cs="宋体"/>
          <w:spacing w:val="6"/>
          <w:szCs w:val="24"/>
        </w:rPr>
      </w:pPr>
      <w:r>
        <w:rPr>
          <w:rFonts w:hint="eastAsia" w:cs="宋体"/>
          <w:spacing w:val="6"/>
          <w:szCs w:val="24"/>
        </w:rPr>
        <w:t>供应商名称（公章）：</w:t>
      </w:r>
    </w:p>
    <w:p w14:paraId="74B913A4">
      <w:pPr>
        <w:ind w:right="1008" w:firstLine="4284" w:firstLineChars="1700"/>
        <w:rPr>
          <w:rFonts w:hint="eastAsia" w:cs="宋体"/>
          <w:spacing w:val="6"/>
          <w:szCs w:val="24"/>
        </w:rPr>
      </w:pPr>
      <w:r>
        <w:rPr>
          <w:rFonts w:hint="eastAsia" w:cs="宋体"/>
          <w:spacing w:val="6"/>
          <w:szCs w:val="24"/>
        </w:rPr>
        <w:t>日期：   年  月  日</w:t>
      </w:r>
    </w:p>
    <w:p w14:paraId="20290568">
      <w:pPr>
        <w:ind w:firstLine="420"/>
        <w:rPr>
          <w:rFonts w:hint="eastAsia" w:cs="宋体"/>
          <w:szCs w:val="24"/>
        </w:rPr>
      </w:pPr>
    </w:p>
    <w:p w14:paraId="0063359F">
      <w:pPr>
        <w:ind w:firstLine="420"/>
        <w:rPr>
          <w:rFonts w:hint="eastAsia" w:cs="宋体"/>
          <w:bCs/>
          <w:sz w:val="36"/>
          <w:szCs w:val="36"/>
        </w:rPr>
      </w:pPr>
      <w:r>
        <w:rPr>
          <w:rFonts w:hint="eastAsia" w:cs="宋体"/>
          <w:sz w:val="21"/>
          <w:szCs w:val="21"/>
        </w:rPr>
        <w:t>备注：供应商在本表中须标注产品实际参数数值，照搬照抄采购文件参数、不注明实际数值者</w:t>
      </w:r>
      <w:r>
        <w:rPr>
          <w:rFonts w:hint="eastAsia" w:cs="宋体"/>
          <w:b/>
          <w:bCs/>
          <w:sz w:val="21"/>
          <w:szCs w:val="21"/>
        </w:rPr>
        <w:t>视为未响应</w:t>
      </w:r>
      <w:r>
        <w:rPr>
          <w:rFonts w:hint="eastAsia" w:cs="宋体"/>
          <w:sz w:val="21"/>
          <w:szCs w:val="21"/>
        </w:rPr>
        <w:t>。</w:t>
      </w:r>
      <w:r>
        <w:rPr>
          <w:rFonts w:hint="eastAsia" w:cs="宋体"/>
          <w:sz w:val="21"/>
          <w:szCs w:val="21"/>
        </w:rPr>
        <w:br w:type="page"/>
      </w:r>
    </w:p>
    <w:p w14:paraId="06C98EB9">
      <w:pPr>
        <w:pStyle w:val="8"/>
        <w:jc w:val="center"/>
        <w:rPr>
          <w:rFonts w:hint="eastAsia"/>
        </w:rPr>
      </w:pPr>
      <w:bookmarkStart w:id="854" w:name="_Toc26590"/>
      <w:r>
        <w:rPr>
          <w:rFonts w:hint="eastAsia"/>
        </w:rPr>
        <w:t>10、技术方案</w:t>
      </w:r>
      <w:bookmarkEnd w:id="854"/>
    </w:p>
    <w:p w14:paraId="3878D3F5">
      <w:pPr>
        <w:pStyle w:val="25"/>
        <w:ind w:firstLine="480"/>
        <w:rPr>
          <w:rFonts w:hint="eastAsia" w:cs="宋体"/>
        </w:rPr>
      </w:pPr>
      <w:r>
        <w:rPr>
          <w:rFonts w:hint="eastAsia" w:cs="宋体"/>
        </w:rPr>
        <w:t>供应商应按照竞争性磋商文件的要求，提供详细的服务方案，包括文字描述或图表显示。格式自拟。</w:t>
      </w:r>
    </w:p>
    <w:p w14:paraId="7AD86D6F">
      <w:pPr>
        <w:pStyle w:val="25"/>
        <w:ind w:firstLine="480"/>
        <w:rPr>
          <w:rFonts w:hint="eastAsia" w:cs="宋体"/>
          <w:b/>
          <w:bCs/>
          <w:sz w:val="44"/>
          <w:szCs w:val="44"/>
        </w:rPr>
      </w:pPr>
      <w:r>
        <w:rPr>
          <w:rFonts w:hint="eastAsia" w:cs="宋体"/>
        </w:rPr>
        <w:br w:type="page"/>
      </w:r>
    </w:p>
    <w:p w14:paraId="68D392B1">
      <w:pPr>
        <w:pStyle w:val="8"/>
        <w:jc w:val="center"/>
        <w:rPr>
          <w:rFonts w:hint="eastAsia"/>
        </w:rPr>
      </w:pPr>
      <w:bookmarkStart w:id="855" w:name="_Toc26137"/>
      <w:r>
        <w:rPr>
          <w:rFonts w:hint="eastAsia"/>
        </w:rPr>
        <w:t>11、其他文件</w:t>
      </w:r>
      <w:bookmarkEnd w:id="855"/>
    </w:p>
    <w:p w14:paraId="6EF40482">
      <w:pPr>
        <w:pStyle w:val="5"/>
        <w:tabs>
          <w:tab w:val="left" w:pos="8786"/>
        </w:tabs>
        <w:spacing w:after="0" w:line="440" w:lineRule="exact"/>
        <w:outlineLvl w:val="2"/>
        <w:rPr>
          <w:rStyle w:val="56"/>
          <w:rFonts w:hint="eastAsia" w:ascii="宋体" w:hAnsi="宋体" w:eastAsia="宋体" w:cs="宋体"/>
          <w:sz w:val="28"/>
          <w:szCs w:val="22"/>
          <w:lang w:val="zh-CN"/>
        </w:rPr>
      </w:pPr>
      <w:r>
        <w:rPr>
          <w:rStyle w:val="56"/>
          <w:rFonts w:hint="eastAsia" w:ascii="宋体" w:hAnsi="宋体" w:eastAsia="宋体" w:cs="宋体"/>
          <w:sz w:val="28"/>
          <w:szCs w:val="22"/>
        </w:rPr>
        <w:t>（一）竞争性磋商</w:t>
      </w:r>
      <w:r>
        <w:rPr>
          <w:rStyle w:val="56"/>
          <w:rFonts w:hint="eastAsia" w:ascii="宋体" w:hAnsi="宋体" w:eastAsia="宋体" w:cs="宋体"/>
          <w:sz w:val="28"/>
          <w:szCs w:val="22"/>
          <w:lang w:val="zh-CN"/>
        </w:rPr>
        <w:t>文件要求提供的其它商务、技术资料和证明材料；</w:t>
      </w:r>
    </w:p>
    <w:p w14:paraId="3A8E8E10">
      <w:pPr>
        <w:pStyle w:val="25"/>
        <w:ind w:firstLine="560"/>
        <w:rPr>
          <w:rFonts w:hint="eastAsia" w:cs="宋体"/>
          <w:sz w:val="28"/>
          <w:szCs w:val="28"/>
        </w:rPr>
      </w:pPr>
    </w:p>
    <w:p w14:paraId="584F639D">
      <w:pPr>
        <w:pStyle w:val="25"/>
        <w:ind w:firstLine="560"/>
        <w:rPr>
          <w:rFonts w:hint="eastAsia" w:cs="宋体"/>
          <w:sz w:val="28"/>
          <w:szCs w:val="28"/>
        </w:rPr>
      </w:pPr>
    </w:p>
    <w:p w14:paraId="0A1B7EDD">
      <w:pPr>
        <w:pStyle w:val="25"/>
        <w:ind w:firstLine="560"/>
        <w:rPr>
          <w:rFonts w:hint="eastAsia" w:cs="宋体"/>
          <w:sz w:val="28"/>
          <w:szCs w:val="28"/>
        </w:rPr>
      </w:pPr>
    </w:p>
    <w:p w14:paraId="5967791D">
      <w:pPr>
        <w:pStyle w:val="25"/>
        <w:ind w:firstLine="560"/>
        <w:rPr>
          <w:rFonts w:hint="eastAsia" w:cs="宋体"/>
          <w:sz w:val="28"/>
          <w:szCs w:val="28"/>
        </w:rPr>
      </w:pPr>
    </w:p>
    <w:p w14:paraId="5C627052">
      <w:pPr>
        <w:pStyle w:val="25"/>
        <w:ind w:firstLine="560"/>
        <w:rPr>
          <w:rFonts w:hint="eastAsia" w:cs="宋体"/>
          <w:sz w:val="28"/>
          <w:szCs w:val="28"/>
        </w:rPr>
      </w:pPr>
    </w:p>
    <w:p w14:paraId="0A5F3645">
      <w:pPr>
        <w:pStyle w:val="25"/>
        <w:ind w:firstLine="560"/>
        <w:rPr>
          <w:rFonts w:hint="eastAsia" w:cs="宋体"/>
          <w:sz w:val="28"/>
          <w:szCs w:val="28"/>
        </w:rPr>
      </w:pPr>
    </w:p>
    <w:p w14:paraId="1468CB81">
      <w:pPr>
        <w:pStyle w:val="25"/>
        <w:ind w:firstLine="560"/>
        <w:rPr>
          <w:rFonts w:hint="eastAsia" w:cs="宋体"/>
          <w:sz w:val="28"/>
          <w:szCs w:val="28"/>
        </w:rPr>
      </w:pPr>
    </w:p>
    <w:p w14:paraId="7A0D6BD1">
      <w:pPr>
        <w:pStyle w:val="25"/>
        <w:ind w:firstLine="560"/>
        <w:rPr>
          <w:rFonts w:hint="eastAsia" w:cs="宋体"/>
          <w:sz w:val="28"/>
          <w:szCs w:val="28"/>
        </w:rPr>
      </w:pPr>
    </w:p>
    <w:p w14:paraId="4CEBBE76">
      <w:pPr>
        <w:pStyle w:val="25"/>
        <w:ind w:firstLine="560"/>
        <w:rPr>
          <w:rFonts w:hint="eastAsia" w:cs="宋体"/>
          <w:sz w:val="28"/>
          <w:szCs w:val="28"/>
        </w:rPr>
      </w:pPr>
    </w:p>
    <w:p w14:paraId="58185DD4">
      <w:pPr>
        <w:pStyle w:val="25"/>
        <w:ind w:firstLine="560"/>
        <w:rPr>
          <w:rFonts w:hint="eastAsia" w:cs="宋体"/>
          <w:sz w:val="28"/>
          <w:szCs w:val="28"/>
        </w:rPr>
      </w:pPr>
    </w:p>
    <w:p w14:paraId="3191AD83">
      <w:pPr>
        <w:pStyle w:val="25"/>
        <w:ind w:firstLine="560"/>
        <w:rPr>
          <w:rFonts w:hint="eastAsia" w:cs="宋体"/>
          <w:sz w:val="28"/>
          <w:szCs w:val="28"/>
        </w:rPr>
      </w:pPr>
    </w:p>
    <w:p w14:paraId="546FBB73">
      <w:pPr>
        <w:pStyle w:val="25"/>
        <w:ind w:firstLine="560"/>
        <w:rPr>
          <w:rFonts w:hint="eastAsia" w:cs="宋体"/>
          <w:sz w:val="28"/>
          <w:szCs w:val="28"/>
        </w:rPr>
      </w:pPr>
    </w:p>
    <w:p w14:paraId="0B76960C">
      <w:pPr>
        <w:pStyle w:val="25"/>
        <w:ind w:firstLine="560"/>
        <w:rPr>
          <w:rFonts w:hint="eastAsia" w:cs="宋体"/>
          <w:sz w:val="28"/>
          <w:szCs w:val="28"/>
        </w:rPr>
      </w:pPr>
    </w:p>
    <w:p w14:paraId="37ED74FD">
      <w:pPr>
        <w:pStyle w:val="25"/>
        <w:ind w:firstLine="560"/>
        <w:rPr>
          <w:rFonts w:hint="eastAsia" w:cs="宋体"/>
          <w:sz w:val="28"/>
          <w:szCs w:val="28"/>
        </w:rPr>
      </w:pPr>
    </w:p>
    <w:p w14:paraId="53CF773C">
      <w:pPr>
        <w:pStyle w:val="25"/>
        <w:ind w:firstLine="560"/>
        <w:rPr>
          <w:rFonts w:hint="eastAsia" w:cs="宋体"/>
          <w:sz w:val="28"/>
          <w:szCs w:val="28"/>
        </w:rPr>
      </w:pPr>
    </w:p>
    <w:p w14:paraId="0230FAF8">
      <w:pPr>
        <w:pStyle w:val="25"/>
        <w:ind w:firstLine="560"/>
        <w:rPr>
          <w:rFonts w:hint="eastAsia" w:cs="宋体"/>
          <w:sz w:val="28"/>
          <w:szCs w:val="28"/>
        </w:rPr>
      </w:pPr>
    </w:p>
    <w:p w14:paraId="6D338486">
      <w:pPr>
        <w:pStyle w:val="25"/>
        <w:ind w:firstLine="560"/>
        <w:rPr>
          <w:rFonts w:hint="eastAsia" w:cs="宋体"/>
          <w:sz w:val="28"/>
          <w:szCs w:val="28"/>
        </w:rPr>
      </w:pPr>
      <w:bookmarkStart w:id="856" w:name="_GoBack"/>
      <w:bookmarkEnd w:id="856"/>
    </w:p>
    <w:p w14:paraId="26860821">
      <w:pPr>
        <w:pStyle w:val="25"/>
        <w:ind w:firstLine="560"/>
        <w:rPr>
          <w:rFonts w:hint="eastAsia" w:cs="宋体"/>
          <w:sz w:val="28"/>
          <w:szCs w:val="28"/>
        </w:rPr>
      </w:pPr>
    </w:p>
    <w:p w14:paraId="18A1F65F">
      <w:pPr>
        <w:pStyle w:val="25"/>
        <w:ind w:firstLine="560"/>
        <w:rPr>
          <w:rFonts w:hint="eastAsia" w:cs="宋体"/>
          <w:sz w:val="28"/>
          <w:szCs w:val="28"/>
        </w:rPr>
      </w:pPr>
    </w:p>
    <w:p w14:paraId="41ABFEFE">
      <w:pPr>
        <w:pStyle w:val="25"/>
        <w:ind w:firstLine="560"/>
        <w:rPr>
          <w:rFonts w:hint="eastAsia" w:cs="宋体"/>
          <w:sz w:val="28"/>
          <w:szCs w:val="28"/>
        </w:rPr>
      </w:pPr>
    </w:p>
    <w:p w14:paraId="44D6413D">
      <w:pPr>
        <w:pStyle w:val="5"/>
        <w:tabs>
          <w:tab w:val="left" w:pos="8786"/>
        </w:tabs>
        <w:spacing w:after="0" w:line="440" w:lineRule="exact"/>
        <w:outlineLvl w:val="2"/>
        <w:rPr>
          <w:rStyle w:val="56"/>
          <w:rFonts w:hint="eastAsia" w:ascii="宋体" w:hAnsi="宋体" w:eastAsia="宋体" w:cs="宋体"/>
          <w:sz w:val="28"/>
          <w:szCs w:val="22"/>
        </w:rPr>
      </w:pPr>
      <w:r>
        <w:rPr>
          <w:rStyle w:val="56"/>
          <w:rFonts w:hint="eastAsia" w:ascii="宋体" w:hAnsi="宋体" w:eastAsia="宋体" w:cs="宋体"/>
          <w:sz w:val="28"/>
          <w:szCs w:val="22"/>
        </w:rPr>
        <w:t>（二）中小企业声明函</w:t>
      </w:r>
    </w:p>
    <w:p w14:paraId="062684F2">
      <w:pPr>
        <w:rPr>
          <w:rFonts w:hint="eastAsia" w:cs="宋体"/>
        </w:rPr>
      </w:pPr>
    </w:p>
    <w:p w14:paraId="273C0123">
      <w:pPr>
        <w:pStyle w:val="59"/>
        <w:ind w:left="420" w:hanging="420" w:firstLineChars="0"/>
        <w:jc w:val="center"/>
        <w:rPr>
          <w:rFonts w:hint="eastAsia" w:cs="宋体"/>
          <w:b/>
          <w:bCs/>
          <w:sz w:val="32"/>
          <w:szCs w:val="32"/>
        </w:rPr>
      </w:pPr>
      <w:r>
        <w:rPr>
          <w:rFonts w:hint="eastAsia" w:cs="宋体"/>
          <w:b/>
          <w:bCs/>
          <w:sz w:val="32"/>
          <w:szCs w:val="32"/>
        </w:rPr>
        <w:t>1、中小企业声明函（如适用）</w:t>
      </w:r>
    </w:p>
    <w:p w14:paraId="698BDDEA">
      <w:pPr>
        <w:ind w:firstLine="504" w:firstLineChars="200"/>
        <w:rPr>
          <w:rFonts w:hint="eastAsia" w:cs="宋体"/>
          <w:spacing w:val="6"/>
          <w:szCs w:val="24"/>
        </w:rPr>
      </w:pPr>
      <w:r>
        <w:rPr>
          <w:rFonts w:hint="eastAsia" w:cs="宋体"/>
          <w:spacing w:val="6"/>
          <w:szCs w:val="24"/>
        </w:rPr>
        <w:t>本公司（联合体）郑重声明，根据《政府采购促进中小企业发展管理办法》（财库﹝2020﹞46 号）的规定，本公司（联合体）参加</w:t>
      </w:r>
      <w:r>
        <w:rPr>
          <w:rFonts w:hint="eastAsia" w:cs="宋体"/>
          <w:spacing w:val="6"/>
          <w:szCs w:val="24"/>
          <w:u w:val="single"/>
        </w:rPr>
        <w:t xml:space="preserve"> （单位名称）</w:t>
      </w:r>
      <w:r>
        <w:rPr>
          <w:rFonts w:hint="eastAsia" w:cs="宋体"/>
          <w:spacing w:val="6"/>
          <w:szCs w:val="24"/>
        </w:rPr>
        <w:t xml:space="preserve"> 的</w:t>
      </w:r>
      <w:r>
        <w:rPr>
          <w:rFonts w:hint="eastAsia" w:cs="宋体"/>
          <w:spacing w:val="6"/>
          <w:szCs w:val="24"/>
          <w:u w:val="single"/>
        </w:rPr>
        <w:t xml:space="preserve"> （项目名称） </w:t>
      </w:r>
      <w:r>
        <w:rPr>
          <w:rFonts w:hint="eastAsia" w:cs="宋体"/>
          <w:spacing w:val="6"/>
          <w:szCs w:val="24"/>
        </w:rPr>
        <w:t>采购活动，服务全部由符合政策要求的中小企业承接。相关企业（含联合体中的中小企业、签订分包意向协议的中小企业）的具体情况如下：</w:t>
      </w:r>
    </w:p>
    <w:p w14:paraId="0BEC83BD">
      <w:pPr>
        <w:ind w:firstLine="504" w:firstLineChars="200"/>
        <w:rPr>
          <w:rFonts w:hint="eastAsia" w:cs="宋体"/>
          <w:spacing w:val="6"/>
          <w:szCs w:val="24"/>
        </w:rPr>
      </w:pPr>
      <w:r>
        <w:rPr>
          <w:rFonts w:hint="eastAsia" w:cs="宋体"/>
          <w:spacing w:val="6"/>
          <w:szCs w:val="24"/>
        </w:rPr>
        <w:t xml:space="preserve">1. </w:t>
      </w:r>
      <w:r>
        <w:rPr>
          <w:rFonts w:hint="eastAsia" w:cs="宋体"/>
          <w:spacing w:val="6"/>
          <w:szCs w:val="24"/>
          <w:u w:val="single"/>
        </w:rPr>
        <w:t xml:space="preserve">（标的名称） </w:t>
      </w:r>
      <w:r>
        <w:rPr>
          <w:rFonts w:hint="eastAsia" w:cs="宋体"/>
          <w:spacing w:val="6"/>
          <w:szCs w:val="24"/>
        </w:rPr>
        <w:t>，属于</w:t>
      </w:r>
      <w:r>
        <w:rPr>
          <w:rFonts w:hint="eastAsia" w:cs="宋体"/>
          <w:spacing w:val="6"/>
          <w:szCs w:val="24"/>
          <w:u w:val="single"/>
        </w:rPr>
        <w:t xml:space="preserve"> （采购文件中明确的所属行业） </w:t>
      </w:r>
      <w:r>
        <w:rPr>
          <w:rFonts w:hint="eastAsia" w:cs="宋体"/>
          <w:spacing w:val="6"/>
          <w:szCs w:val="24"/>
        </w:rPr>
        <w:t>；承接企业为</w:t>
      </w:r>
      <w:r>
        <w:rPr>
          <w:rFonts w:hint="eastAsia" w:cs="宋体"/>
          <w:spacing w:val="6"/>
          <w:szCs w:val="24"/>
          <w:u w:val="single"/>
        </w:rPr>
        <w:t xml:space="preserve"> （企业名称）  </w:t>
      </w:r>
      <w:r>
        <w:rPr>
          <w:rFonts w:hint="eastAsia" w:cs="宋体"/>
          <w:spacing w:val="6"/>
          <w:szCs w:val="24"/>
        </w:rPr>
        <w:t>，从业人员</w:t>
      </w:r>
      <w:r>
        <w:rPr>
          <w:rFonts w:hint="eastAsia" w:cs="宋体"/>
          <w:spacing w:val="6"/>
          <w:szCs w:val="24"/>
          <w:u w:val="single"/>
        </w:rPr>
        <w:t xml:space="preserve">     </w:t>
      </w:r>
      <w:r>
        <w:rPr>
          <w:rFonts w:hint="eastAsia" w:cs="宋体"/>
          <w:spacing w:val="6"/>
          <w:szCs w:val="24"/>
        </w:rPr>
        <w:t>人，营业收入为</w:t>
      </w:r>
      <w:r>
        <w:rPr>
          <w:rFonts w:hint="eastAsia" w:cs="宋体"/>
          <w:spacing w:val="6"/>
          <w:szCs w:val="24"/>
          <w:u w:val="single"/>
        </w:rPr>
        <w:t xml:space="preserve">       </w:t>
      </w:r>
      <w:r>
        <w:rPr>
          <w:rFonts w:hint="eastAsia" w:cs="宋体"/>
          <w:spacing w:val="6"/>
          <w:szCs w:val="24"/>
        </w:rPr>
        <w:t>万元，资产总额为</w:t>
      </w:r>
      <w:r>
        <w:rPr>
          <w:rFonts w:hint="eastAsia" w:cs="宋体"/>
          <w:spacing w:val="6"/>
          <w:szCs w:val="24"/>
          <w:u w:val="single"/>
        </w:rPr>
        <w:t xml:space="preserve">         </w:t>
      </w:r>
      <w:r>
        <w:rPr>
          <w:rFonts w:hint="eastAsia" w:cs="宋体"/>
          <w:spacing w:val="6"/>
          <w:szCs w:val="24"/>
        </w:rPr>
        <w:t>万元，属于</w:t>
      </w:r>
      <w:r>
        <w:rPr>
          <w:rFonts w:hint="eastAsia" w:cs="宋体"/>
          <w:spacing w:val="6"/>
          <w:szCs w:val="24"/>
          <w:u w:val="single"/>
        </w:rPr>
        <w:t>（中型企业、小型企业、微型企业）</w:t>
      </w:r>
      <w:r>
        <w:rPr>
          <w:rFonts w:hint="eastAsia" w:cs="宋体"/>
          <w:spacing w:val="6"/>
          <w:szCs w:val="24"/>
        </w:rPr>
        <w:t>；</w:t>
      </w:r>
    </w:p>
    <w:p w14:paraId="6174F985">
      <w:pPr>
        <w:ind w:firstLine="504" w:firstLineChars="200"/>
        <w:rPr>
          <w:rFonts w:hint="eastAsia" w:cs="宋体"/>
          <w:spacing w:val="6"/>
          <w:szCs w:val="24"/>
        </w:rPr>
      </w:pPr>
      <w:r>
        <w:rPr>
          <w:rFonts w:hint="eastAsia" w:cs="宋体"/>
          <w:spacing w:val="6"/>
          <w:szCs w:val="24"/>
        </w:rPr>
        <w:t>2.</w:t>
      </w:r>
      <w:r>
        <w:rPr>
          <w:rFonts w:hint="eastAsia" w:cs="宋体"/>
          <w:spacing w:val="6"/>
          <w:szCs w:val="24"/>
          <w:u w:val="single"/>
        </w:rPr>
        <w:t xml:space="preserve"> （标的名称）</w:t>
      </w:r>
      <w:r>
        <w:rPr>
          <w:rFonts w:hint="eastAsia" w:cs="宋体"/>
          <w:spacing w:val="6"/>
          <w:szCs w:val="24"/>
        </w:rPr>
        <w:t xml:space="preserve"> ，属于</w:t>
      </w:r>
      <w:r>
        <w:rPr>
          <w:rFonts w:hint="eastAsia" w:cs="宋体"/>
          <w:spacing w:val="6"/>
          <w:szCs w:val="24"/>
          <w:u w:val="single"/>
        </w:rPr>
        <w:t xml:space="preserve"> （采购文件中明确的所属行业） </w:t>
      </w:r>
      <w:r>
        <w:rPr>
          <w:rFonts w:hint="eastAsia" w:cs="宋体"/>
          <w:spacing w:val="6"/>
          <w:szCs w:val="24"/>
        </w:rPr>
        <w:t>；承接企业为</w:t>
      </w:r>
      <w:r>
        <w:rPr>
          <w:rFonts w:hint="eastAsia" w:cs="宋体"/>
          <w:spacing w:val="6"/>
          <w:szCs w:val="24"/>
          <w:u w:val="single"/>
        </w:rPr>
        <w:t xml:space="preserve"> （企业名称）  </w:t>
      </w:r>
      <w:r>
        <w:rPr>
          <w:rFonts w:hint="eastAsia" w:cs="宋体"/>
          <w:spacing w:val="6"/>
          <w:szCs w:val="24"/>
        </w:rPr>
        <w:t>，从业人员</w:t>
      </w:r>
      <w:r>
        <w:rPr>
          <w:rFonts w:hint="eastAsia" w:cs="宋体"/>
          <w:spacing w:val="6"/>
          <w:szCs w:val="24"/>
          <w:u w:val="single"/>
        </w:rPr>
        <w:t xml:space="preserve">     </w:t>
      </w:r>
      <w:r>
        <w:rPr>
          <w:rFonts w:hint="eastAsia" w:cs="宋体"/>
          <w:spacing w:val="6"/>
          <w:szCs w:val="24"/>
        </w:rPr>
        <w:t>人，营业收入为</w:t>
      </w:r>
      <w:r>
        <w:rPr>
          <w:rFonts w:hint="eastAsia" w:cs="宋体"/>
          <w:spacing w:val="6"/>
          <w:szCs w:val="24"/>
          <w:u w:val="single"/>
        </w:rPr>
        <w:t xml:space="preserve">       </w:t>
      </w:r>
      <w:r>
        <w:rPr>
          <w:rFonts w:hint="eastAsia" w:cs="宋体"/>
          <w:spacing w:val="6"/>
          <w:szCs w:val="24"/>
        </w:rPr>
        <w:t>万元，资产总额为</w:t>
      </w:r>
      <w:r>
        <w:rPr>
          <w:rFonts w:hint="eastAsia" w:cs="宋体"/>
          <w:spacing w:val="6"/>
          <w:szCs w:val="24"/>
          <w:u w:val="single"/>
        </w:rPr>
        <w:t xml:space="preserve">         </w:t>
      </w:r>
      <w:r>
        <w:rPr>
          <w:rFonts w:hint="eastAsia" w:cs="宋体"/>
          <w:spacing w:val="6"/>
          <w:szCs w:val="24"/>
        </w:rPr>
        <w:t>万元，属于</w:t>
      </w:r>
      <w:r>
        <w:rPr>
          <w:rFonts w:hint="eastAsia" w:cs="宋体"/>
          <w:spacing w:val="6"/>
          <w:szCs w:val="24"/>
          <w:u w:val="single"/>
        </w:rPr>
        <w:t>（中型企业、小型企业、微型企业）</w:t>
      </w:r>
      <w:r>
        <w:rPr>
          <w:rFonts w:hint="eastAsia" w:cs="宋体"/>
          <w:spacing w:val="6"/>
          <w:szCs w:val="24"/>
        </w:rPr>
        <w:t>；</w:t>
      </w:r>
    </w:p>
    <w:p w14:paraId="391D5DC6">
      <w:pPr>
        <w:ind w:firstLine="504" w:firstLineChars="200"/>
        <w:rPr>
          <w:rFonts w:hint="eastAsia" w:cs="宋体"/>
          <w:spacing w:val="6"/>
          <w:szCs w:val="24"/>
        </w:rPr>
      </w:pPr>
      <w:r>
        <w:rPr>
          <w:rFonts w:hint="eastAsia" w:cs="宋体"/>
          <w:spacing w:val="6"/>
          <w:szCs w:val="24"/>
        </w:rPr>
        <w:t>……</w:t>
      </w:r>
    </w:p>
    <w:p w14:paraId="5D4A065E">
      <w:pPr>
        <w:ind w:firstLine="504" w:firstLineChars="200"/>
        <w:rPr>
          <w:rFonts w:hint="eastAsia" w:cs="宋体"/>
          <w:spacing w:val="6"/>
          <w:szCs w:val="24"/>
        </w:rPr>
      </w:pPr>
      <w:r>
        <w:rPr>
          <w:rFonts w:hint="eastAsia" w:cs="宋体"/>
          <w:spacing w:val="6"/>
          <w:szCs w:val="24"/>
        </w:rPr>
        <w:t>以上企业，不属于大企业的分支机构，不存在控股股东为大企业的情形，也不存在与大企业的负责人为同一人的情形。</w:t>
      </w:r>
    </w:p>
    <w:p w14:paraId="4A2867BE">
      <w:pPr>
        <w:ind w:firstLine="504" w:firstLineChars="200"/>
        <w:rPr>
          <w:rFonts w:hint="eastAsia" w:cs="宋体"/>
          <w:spacing w:val="6"/>
          <w:szCs w:val="24"/>
        </w:rPr>
      </w:pPr>
      <w:r>
        <w:rPr>
          <w:rFonts w:hint="eastAsia" w:cs="宋体"/>
          <w:spacing w:val="6"/>
          <w:szCs w:val="24"/>
        </w:rPr>
        <w:t>本企业对上述声明内容的真实性负责。如有虚假，将依法承担相应责任。</w:t>
      </w:r>
    </w:p>
    <w:p w14:paraId="33372CBB">
      <w:pPr>
        <w:ind w:firstLine="504" w:firstLineChars="200"/>
        <w:rPr>
          <w:rFonts w:hint="eastAsia" w:cs="宋体"/>
          <w:spacing w:val="6"/>
          <w:szCs w:val="24"/>
        </w:rPr>
      </w:pPr>
    </w:p>
    <w:p w14:paraId="1001C30F">
      <w:pPr>
        <w:ind w:right="1008" w:firstLine="4788" w:firstLineChars="1900"/>
        <w:rPr>
          <w:rFonts w:hint="eastAsia" w:cs="宋体"/>
          <w:spacing w:val="6"/>
          <w:szCs w:val="24"/>
        </w:rPr>
      </w:pPr>
    </w:p>
    <w:p w14:paraId="4BA2A3E7">
      <w:pPr>
        <w:ind w:right="1008" w:firstLine="4284" w:firstLineChars="1700"/>
        <w:rPr>
          <w:rFonts w:hint="eastAsia" w:cs="宋体"/>
          <w:spacing w:val="6"/>
          <w:szCs w:val="24"/>
        </w:rPr>
      </w:pPr>
      <w:r>
        <w:rPr>
          <w:rFonts w:hint="eastAsia" w:cs="宋体"/>
          <w:spacing w:val="6"/>
          <w:szCs w:val="24"/>
        </w:rPr>
        <w:t>投标人名称</w:t>
      </w:r>
      <w:r>
        <w:rPr>
          <w:rFonts w:hint="eastAsia" w:cs="宋体"/>
          <w:szCs w:val="24"/>
        </w:rPr>
        <w:t>（</w:t>
      </w:r>
      <w:r>
        <w:rPr>
          <w:rFonts w:hint="eastAsia" w:cs="宋体"/>
          <w:kern w:val="0"/>
          <w:szCs w:val="24"/>
        </w:rPr>
        <w:t>公章</w:t>
      </w:r>
      <w:r>
        <w:rPr>
          <w:rFonts w:hint="eastAsia" w:cs="宋体"/>
          <w:kern w:val="0"/>
          <w:lang w:val="zh-CN"/>
        </w:rPr>
        <w:t>)</w:t>
      </w:r>
      <w:r>
        <w:rPr>
          <w:rFonts w:hint="eastAsia" w:cs="宋体"/>
          <w:spacing w:val="6"/>
          <w:szCs w:val="24"/>
        </w:rPr>
        <w:t>：</w:t>
      </w:r>
    </w:p>
    <w:p w14:paraId="6CE44CA0">
      <w:pPr>
        <w:ind w:right="1008" w:firstLine="4284" w:firstLineChars="1700"/>
        <w:rPr>
          <w:rFonts w:hint="eastAsia" w:cs="宋体"/>
          <w:spacing w:val="6"/>
          <w:szCs w:val="24"/>
        </w:rPr>
      </w:pPr>
      <w:r>
        <w:rPr>
          <w:rFonts w:hint="eastAsia" w:cs="宋体"/>
          <w:spacing w:val="6"/>
          <w:szCs w:val="24"/>
        </w:rPr>
        <w:t>日期：   年  月  日</w:t>
      </w:r>
    </w:p>
    <w:p w14:paraId="47D53311">
      <w:pPr>
        <w:ind w:firstLine="504" w:firstLineChars="200"/>
        <w:rPr>
          <w:rFonts w:hint="eastAsia" w:cs="宋体"/>
          <w:spacing w:val="6"/>
          <w:szCs w:val="24"/>
        </w:rPr>
      </w:pPr>
    </w:p>
    <w:p w14:paraId="33E09846">
      <w:pPr>
        <w:rPr>
          <w:rFonts w:hint="eastAsia" w:cs="宋体"/>
          <w:b/>
          <w:bCs/>
          <w:spacing w:val="6"/>
          <w:sz w:val="21"/>
          <w:szCs w:val="21"/>
        </w:rPr>
      </w:pPr>
      <w:r>
        <w:rPr>
          <w:rFonts w:hint="eastAsia" w:cs="宋体"/>
          <w:b/>
          <w:bCs/>
          <w:spacing w:val="6"/>
          <w:sz w:val="21"/>
          <w:szCs w:val="21"/>
        </w:rPr>
        <w:t>说明：1.重要提示：供应商应仔细阅读本函附件1关于“中小企业声明函”的填写要求及提交要求，否则，因填写或提交等产生的一切不利后果，须自行承担。</w:t>
      </w:r>
    </w:p>
    <w:p w14:paraId="02011210">
      <w:pPr>
        <w:ind w:firstLine="668" w:firstLineChars="300"/>
        <w:rPr>
          <w:rFonts w:hint="eastAsia" w:cs="宋体"/>
          <w:spacing w:val="6"/>
          <w:sz w:val="21"/>
          <w:szCs w:val="21"/>
        </w:rPr>
      </w:pPr>
      <w:r>
        <w:rPr>
          <w:rFonts w:hint="eastAsia" w:cs="宋体"/>
          <w:b/>
          <w:bCs/>
          <w:spacing w:val="6"/>
          <w:sz w:val="21"/>
          <w:szCs w:val="21"/>
        </w:rPr>
        <w:t>2.</w:t>
      </w:r>
      <w:r>
        <w:rPr>
          <w:rFonts w:hint="eastAsia" w:cs="宋体"/>
          <w:spacing w:val="6"/>
          <w:sz w:val="21"/>
          <w:szCs w:val="21"/>
        </w:rPr>
        <w:t>从业人员、营业收入、资产总额填报上一年度数据，无上一年度数据的新成立企业可不填报。</w:t>
      </w:r>
    </w:p>
    <w:p w14:paraId="1794DB31">
      <w:pPr>
        <w:pStyle w:val="11"/>
        <w:rPr>
          <w:rFonts w:hint="eastAsia" w:ascii="宋体" w:hAnsi="宋体" w:cs="宋体"/>
        </w:rPr>
      </w:pPr>
    </w:p>
    <w:p w14:paraId="2167BFFD">
      <w:pPr>
        <w:spacing w:line="360" w:lineRule="exact"/>
        <w:rPr>
          <w:rFonts w:hint="eastAsia" w:cs="宋体"/>
          <w:b/>
          <w:bCs/>
        </w:rPr>
      </w:pPr>
    </w:p>
    <w:p w14:paraId="55879A05">
      <w:pPr>
        <w:spacing w:line="360" w:lineRule="exact"/>
        <w:rPr>
          <w:rFonts w:hint="eastAsia" w:cs="宋体"/>
          <w:b/>
          <w:bCs/>
        </w:rPr>
      </w:pPr>
    </w:p>
    <w:p w14:paraId="5DE46C43">
      <w:pPr>
        <w:spacing w:line="360" w:lineRule="exact"/>
        <w:rPr>
          <w:rFonts w:hint="eastAsia" w:cs="宋体"/>
          <w:b/>
          <w:bCs/>
        </w:rPr>
      </w:pPr>
      <w:r>
        <w:rPr>
          <w:rFonts w:hint="eastAsia" w:cs="宋体"/>
          <w:b/>
          <w:bCs/>
        </w:rPr>
        <w:t xml:space="preserve">附件1 </w:t>
      </w:r>
    </w:p>
    <w:p w14:paraId="31A704F4">
      <w:pPr>
        <w:widowControl/>
        <w:ind w:firstLine="482" w:firstLineChars="200"/>
        <w:rPr>
          <w:rStyle w:val="22"/>
          <w:rFonts w:hint="eastAsia" w:cs="宋体"/>
          <w:kern w:val="0"/>
          <w:sz w:val="28"/>
          <w:szCs w:val="28"/>
        </w:rPr>
      </w:pPr>
      <w:r>
        <w:rPr>
          <w:rStyle w:val="22"/>
          <w:rFonts w:hint="eastAsia" w:cs="宋体"/>
          <w:kern w:val="0"/>
          <w:szCs w:val="24"/>
        </w:rPr>
        <w:t>（一）关于“中小企业声明函”的填写要求</w:t>
      </w:r>
    </w:p>
    <w:p w14:paraId="240BB754">
      <w:pPr>
        <w:widowControl/>
        <w:ind w:firstLine="480" w:firstLineChars="200"/>
        <w:rPr>
          <w:rFonts w:hint="eastAsia" w:cs="宋体"/>
          <w:kern w:val="0"/>
          <w:szCs w:val="28"/>
        </w:rPr>
      </w:pPr>
      <w:r>
        <w:rPr>
          <w:rFonts w:hint="eastAsia" w:cs="宋体"/>
          <w:kern w:val="0"/>
          <w:szCs w:val="28"/>
        </w:rPr>
        <w:t>“中小企业声明函”具体填写要求如下：</w:t>
      </w:r>
    </w:p>
    <w:p w14:paraId="483A59A0">
      <w:pPr>
        <w:widowControl/>
        <w:ind w:firstLine="480" w:firstLineChars="200"/>
        <w:rPr>
          <w:rFonts w:hint="eastAsia" w:cs="宋体"/>
          <w:kern w:val="0"/>
          <w:szCs w:val="28"/>
        </w:rPr>
      </w:pPr>
      <w:r>
        <w:rPr>
          <w:rFonts w:hint="eastAsia" w:cs="宋体"/>
          <w:kern w:val="0"/>
          <w:szCs w:val="28"/>
        </w:rPr>
        <w:t>1.“单位名称”应填写采购人名称。</w:t>
      </w:r>
    </w:p>
    <w:p w14:paraId="720CCF57">
      <w:pPr>
        <w:widowControl/>
        <w:ind w:firstLine="480" w:firstLineChars="200"/>
        <w:rPr>
          <w:rFonts w:hint="eastAsia" w:cs="宋体"/>
          <w:kern w:val="0"/>
          <w:szCs w:val="28"/>
        </w:rPr>
      </w:pPr>
      <w:r>
        <w:rPr>
          <w:rFonts w:hint="eastAsia" w:cs="宋体"/>
          <w:kern w:val="0"/>
          <w:szCs w:val="28"/>
        </w:rPr>
        <w:t>2.“项目名称”应按照采购文件中确定的项目名称填写。对于分包方式面向中小企业采购的项目，应标明中小企业的具体分包内容；对于以联合体方式面向中小企业采购的项目，应标明联合体中中小企业所承担的具体内容。</w:t>
      </w:r>
    </w:p>
    <w:p w14:paraId="0B2F7F27">
      <w:pPr>
        <w:widowControl/>
        <w:ind w:firstLine="480" w:firstLineChars="200"/>
        <w:rPr>
          <w:rFonts w:hint="eastAsia" w:cs="宋体"/>
          <w:kern w:val="0"/>
          <w:szCs w:val="28"/>
        </w:rPr>
      </w:pPr>
      <w:r>
        <w:rPr>
          <w:rFonts w:hint="eastAsia" w:cs="宋体"/>
          <w:kern w:val="0"/>
          <w:szCs w:val="28"/>
        </w:rPr>
        <w:t>3.“标的名称”应填写采购文件中细化载明的采购标的名称。对于分包方式面向中小企业采购的项目，“标的名称”应填写采购文件中注明的分包给中小企业的采购标的名称；对于以联合体方式面向中小企业采购的项目，“标的名称”应填写采购文件中注明的联合体中中小企业承担的采购标的名称。</w:t>
      </w:r>
    </w:p>
    <w:p w14:paraId="4DF0864F">
      <w:pPr>
        <w:widowControl/>
        <w:ind w:firstLine="480" w:firstLineChars="200"/>
        <w:rPr>
          <w:rFonts w:hint="eastAsia" w:cs="宋体"/>
          <w:kern w:val="0"/>
          <w:szCs w:val="28"/>
        </w:rPr>
      </w:pPr>
      <w:r>
        <w:rPr>
          <w:rFonts w:hint="eastAsia" w:cs="宋体"/>
          <w:kern w:val="0"/>
          <w:szCs w:val="28"/>
        </w:rPr>
        <w:t>4.“采购文件中明确的所属行业”应填写采购文件中明确的采购标的所属行业，并应确保与采购标的涉及的货物制造商/服务承接商/工程承建商（根据项目属性确定）本身的所属行业保持一致。</w:t>
      </w:r>
    </w:p>
    <w:p w14:paraId="3A740EF8">
      <w:pPr>
        <w:widowControl/>
        <w:ind w:firstLine="480" w:firstLineChars="200"/>
        <w:rPr>
          <w:rFonts w:hint="eastAsia" w:cs="宋体"/>
          <w:kern w:val="0"/>
          <w:szCs w:val="28"/>
        </w:rPr>
      </w:pPr>
      <w:r>
        <w:rPr>
          <w:rFonts w:hint="eastAsia" w:cs="宋体"/>
          <w:kern w:val="0"/>
          <w:szCs w:val="28"/>
        </w:rPr>
        <w:t>对于分包方式面向中小企业采购的项目，“采购文件中明确的所属行业”应按照采购文件中注明的分包给中小企业的采购标的所属行业填写，并应确保与该分包部分采购标的涉及的货物制造商/服务承接商/工程承建商（根据项目属性确定）本身的所属行业保持一致。</w:t>
      </w:r>
    </w:p>
    <w:p w14:paraId="62577F41">
      <w:pPr>
        <w:widowControl/>
        <w:ind w:firstLine="480" w:firstLineChars="200"/>
        <w:rPr>
          <w:rFonts w:hint="eastAsia" w:cs="宋体"/>
          <w:kern w:val="0"/>
          <w:szCs w:val="28"/>
        </w:rPr>
      </w:pPr>
      <w:r>
        <w:rPr>
          <w:rFonts w:hint="eastAsia" w:cs="宋体"/>
          <w:kern w:val="0"/>
          <w:szCs w:val="28"/>
        </w:rPr>
        <w:t>对于以联合体方式面向中小企业采购的项目，“采购文件中明确的所属行业”应按照采购文件中注明的联合体中中小企业承担的采购标的所属行业填写，并应确保与该承担部分采购标的涉及的货物制造商/服务承接商/工程承建商（根据项目属性确定）本身的所属行业保持一致。</w:t>
      </w:r>
    </w:p>
    <w:p w14:paraId="6A172C1C">
      <w:pPr>
        <w:widowControl/>
        <w:ind w:firstLine="480" w:firstLineChars="200"/>
        <w:rPr>
          <w:rFonts w:hint="eastAsia" w:cs="宋体"/>
          <w:kern w:val="0"/>
          <w:szCs w:val="28"/>
        </w:rPr>
      </w:pPr>
      <w:r>
        <w:rPr>
          <w:rFonts w:hint="eastAsia" w:cs="宋体"/>
          <w:kern w:val="0"/>
          <w:szCs w:val="28"/>
        </w:rPr>
        <w:t>5.“企业名称”应填写投标（响应）的货物制造商/服务承接商/工程承建商（根据项目属性确定）。</w:t>
      </w:r>
    </w:p>
    <w:p w14:paraId="686F911E">
      <w:pPr>
        <w:widowControl/>
        <w:ind w:firstLine="480" w:firstLineChars="200"/>
        <w:rPr>
          <w:rFonts w:hint="eastAsia" w:cs="宋体"/>
          <w:kern w:val="0"/>
          <w:szCs w:val="28"/>
        </w:rPr>
      </w:pPr>
      <w:r>
        <w:rPr>
          <w:rFonts w:hint="eastAsia" w:cs="宋体"/>
          <w:kern w:val="0"/>
          <w:szCs w:val="28"/>
        </w:rPr>
        <w:t>对于分包方式面向中小企业采购的项目，“企业名称”应填写分包部分采购标的对应的货物制造商/服务承接商/工程承建商（根据项目属性确定）。</w:t>
      </w:r>
    </w:p>
    <w:p w14:paraId="069688F0">
      <w:pPr>
        <w:widowControl/>
        <w:ind w:firstLine="480" w:firstLineChars="200"/>
        <w:rPr>
          <w:rFonts w:hint="eastAsia" w:cs="宋体"/>
          <w:kern w:val="0"/>
          <w:szCs w:val="28"/>
        </w:rPr>
      </w:pPr>
      <w:r>
        <w:rPr>
          <w:rFonts w:hint="eastAsia" w:cs="宋体"/>
          <w:kern w:val="0"/>
          <w:szCs w:val="28"/>
        </w:rPr>
        <w:t>对于以联合体方式面向中小企业采购的项目，“企业名称”应填写联合体中中小企业承担采购标的对应的货物制造商/服务承接商/工程承建商（根据项目属性确定）。</w:t>
      </w:r>
    </w:p>
    <w:p w14:paraId="4453EC61">
      <w:pPr>
        <w:widowControl/>
        <w:ind w:firstLine="480" w:firstLineChars="200"/>
        <w:rPr>
          <w:rFonts w:hint="eastAsia" w:cs="宋体"/>
          <w:kern w:val="0"/>
          <w:szCs w:val="28"/>
        </w:rPr>
      </w:pPr>
      <w:r>
        <w:rPr>
          <w:rFonts w:hint="eastAsia" w:cs="宋体"/>
          <w:kern w:val="0"/>
          <w:szCs w:val="28"/>
        </w:rPr>
        <w:t>6.从业人员、资产总额指标以上年度末数据为依据，营业收入指标以上年度累计数据为依据。无上年度数据的新成立企业可不填报。</w:t>
      </w:r>
    </w:p>
    <w:p w14:paraId="4C30D273">
      <w:pPr>
        <w:widowControl/>
        <w:ind w:firstLine="480" w:firstLineChars="200"/>
        <w:rPr>
          <w:rFonts w:hint="eastAsia" w:cs="宋体"/>
          <w:kern w:val="0"/>
          <w:szCs w:val="28"/>
        </w:rPr>
      </w:pPr>
      <w:r>
        <w:rPr>
          <w:rFonts w:hint="eastAsia" w:cs="宋体"/>
          <w:kern w:val="0"/>
          <w:szCs w:val="28"/>
        </w:rPr>
        <w:t>7.“中型企业/小型企业/微型企业”部分，供应商应依据企业上年度从业人员、营业收入、资产总额等指标，按照《中小企业划型标准规定》（工信部联企业〔2011〕300号）、《金融业企业划型标准规定》（银发〔2015〕309号），判断“中小企业声明函”载明的货物制造商/服务承接商/工程承建商（根据项目属性确定）是否属于采购文件所属行业的中型企业/小型企业/微型企业。</w:t>
      </w:r>
    </w:p>
    <w:p w14:paraId="618A75A8">
      <w:pPr>
        <w:widowControl/>
        <w:ind w:firstLine="480" w:firstLineChars="200"/>
        <w:rPr>
          <w:rFonts w:hint="eastAsia" w:cs="宋体"/>
          <w:kern w:val="0"/>
          <w:szCs w:val="28"/>
        </w:rPr>
      </w:pPr>
      <w:r>
        <w:rPr>
          <w:rFonts w:hint="eastAsia" w:cs="宋体"/>
          <w:kern w:val="0"/>
          <w:szCs w:val="28"/>
        </w:rPr>
        <w:t>8.对于已纳入统计部门统计范围的企业，所属行业、从业人员、营业收入、资产总额、规模类型应与统计部门报表保持一致。对于未纳入统计部门统计范围的企业，应对照《国民经济行业分类》确定所属行业，当企业从事两种以上的经济活动时，按照企业从事的主要活动确定所属行业；从业人员、营业收入、资产总额应按照上年度末实际情况填报，并应确保在争议纠纷处理时，可提供相关数据的来源依据。</w:t>
      </w:r>
    </w:p>
    <w:p w14:paraId="6C901217">
      <w:pPr>
        <w:widowControl/>
        <w:ind w:firstLine="482" w:firstLineChars="200"/>
        <w:rPr>
          <w:rStyle w:val="22"/>
          <w:rFonts w:hint="eastAsia" w:cs="宋体"/>
          <w:kern w:val="0"/>
          <w:szCs w:val="24"/>
        </w:rPr>
      </w:pPr>
      <w:r>
        <w:rPr>
          <w:rStyle w:val="22"/>
          <w:rFonts w:hint="eastAsia" w:cs="宋体"/>
          <w:kern w:val="0"/>
          <w:szCs w:val="24"/>
        </w:rPr>
        <w:t>（二）关于“中小企业声明函”的提交要求</w:t>
      </w:r>
    </w:p>
    <w:p w14:paraId="1E1CF74C">
      <w:pPr>
        <w:widowControl/>
        <w:ind w:firstLine="480" w:firstLineChars="200"/>
        <w:rPr>
          <w:rFonts w:hint="eastAsia" w:cs="宋体"/>
          <w:kern w:val="0"/>
          <w:szCs w:val="28"/>
        </w:rPr>
      </w:pPr>
      <w:r>
        <w:rPr>
          <w:rFonts w:hint="eastAsia" w:cs="宋体"/>
          <w:kern w:val="0"/>
          <w:szCs w:val="28"/>
        </w:rPr>
        <w:t>1.投标（响应）供应商对“中小企业声明函”的真实性负责。投标（响应）供应商应当核实投标（响应）的货物制造商/服务承接商/工程承建商（根据项目属性确定）的相关信息，如对相关信息了解不充分，或者不能确定相关信息真实、准确的，不建议出具“中小企业声明函”。</w:t>
      </w:r>
    </w:p>
    <w:p w14:paraId="30306B43">
      <w:pPr>
        <w:widowControl/>
        <w:ind w:firstLine="480" w:firstLineChars="200"/>
        <w:rPr>
          <w:rFonts w:hint="eastAsia" w:cs="宋体"/>
          <w:kern w:val="0"/>
          <w:szCs w:val="28"/>
        </w:rPr>
      </w:pPr>
      <w:r>
        <w:rPr>
          <w:rFonts w:hint="eastAsia" w:cs="宋体"/>
          <w:kern w:val="0"/>
          <w:szCs w:val="28"/>
        </w:rPr>
        <w:t>2.鼓励供应商在投标（响应）时一并提供对货物制造商、服务承接商、工程承建商相关信息的核实核验情况以及其他佐证材料。</w:t>
      </w:r>
    </w:p>
    <w:p w14:paraId="4519C6E6">
      <w:pPr>
        <w:ind w:firstLine="480" w:firstLineChars="200"/>
        <w:rPr>
          <w:rFonts w:hint="eastAsia" w:cs="宋体"/>
          <w:kern w:val="0"/>
          <w:szCs w:val="28"/>
        </w:rPr>
      </w:pPr>
      <w:r>
        <w:rPr>
          <w:rFonts w:hint="eastAsia" w:cs="宋体"/>
          <w:kern w:val="0"/>
          <w:szCs w:val="28"/>
        </w:rPr>
        <w:t>3.如供应商提供的“中小企业声明函”存在按采购文件所属行业划型不实的，属于提供虚假材料谋取中标、成交，依照《中华人民共和国政府采购法》第七十七条的规定，将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5B665A20">
      <w:pPr>
        <w:ind w:firstLine="480" w:firstLineChars="200"/>
        <w:rPr>
          <w:rFonts w:hint="eastAsia" w:cs="宋体"/>
          <w:kern w:val="0"/>
          <w:szCs w:val="28"/>
        </w:rPr>
      </w:pPr>
    </w:p>
    <w:p w14:paraId="1E1B1A7E">
      <w:pPr>
        <w:ind w:firstLine="480" w:firstLineChars="200"/>
        <w:rPr>
          <w:rFonts w:hint="eastAsia" w:cs="宋体"/>
          <w:kern w:val="0"/>
          <w:szCs w:val="28"/>
        </w:rPr>
      </w:pPr>
    </w:p>
    <w:p w14:paraId="7A952C60">
      <w:pPr>
        <w:ind w:firstLine="480" w:firstLineChars="200"/>
        <w:rPr>
          <w:rFonts w:hint="eastAsia" w:cs="宋体"/>
          <w:kern w:val="0"/>
          <w:szCs w:val="28"/>
        </w:rPr>
      </w:pPr>
    </w:p>
    <w:p w14:paraId="77713E92">
      <w:pPr>
        <w:spacing w:line="360" w:lineRule="exact"/>
        <w:rPr>
          <w:rFonts w:hint="eastAsia" w:cs="宋体"/>
          <w:b/>
          <w:bCs/>
        </w:rPr>
      </w:pPr>
    </w:p>
    <w:p w14:paraId="49A9F02B">
      <w:pPr>
        <w:spacing w:line="360" w:lineRule="exact"/>
        <w:rPr>
          <w:rFonts w:hint="eastAsia" w:cs="宋体"/>
          <w:b/>
          <w:bCs/>
        </w:rPr>
      </w:pPr>
      <w:r>
        <w:rPr>
          <w:rFonts w:hint="eastAsia" w:cs="宋体"/>
          <w:b/>
          <w:bCs/>
        </w:rPr>
        <w:t>附件2：</w:t>
      </w:r>
    </w:p>
    <w:p w14:paraId="05DE69E0">
      <w:pPr>
        <w:pStyle w:val="13"/>
        <w:spacing w:line="240" w:lineRule="auto"/>
        <w:jc w:val="center"/>
        <w:rPr>
          <w:rFonts w:hint="eastAsia" w:hAnsi="宋体" w:cs="宋体"/>
          <w:b/>
          <w:sz w:val="32"/>
          <w:szCs w:val="32"/>
        </w:rPr>
      </w:pPr>
      <w:r>
        <w:rPr>
          <w:rFonts w:hint="eastAsia" w:hAnsi="宋体" w:cs="宋体"/>
          <w:b/>
          <w:sz w:val="32"/>
          <w:szCs w:val="32"/>
        </w:rPr>
        <w:t>关于印发中小企业划型标准规定的通知</w:t>
      </w:r>
    </w:p>
    <w:p w14:paraId="55911629">
      <w:pPr>
        <w:spacing w:line="360" w:lineRule="exact"/>
        <w:jc w:val="center"/>
        <w:rPr>
          <w:rStyle w:val="22"/>
          <w:rFonts w:hint="eastAsia" w:cs="宋体"/>
          <w:b w:val="0"/>
          <w:szCs w:val="24"/>
        </w:rPr>
      </w:pPr>
      <w:r>
        <w:rPr>
          <w:rStyle w:val="22"/>
          <w:rFonts w:hint="eastAsia" w:cs="宋体"/>
          <w:b w:val="0"/>
          <w:szCs w:val="24"/>
        </w:rPr>
        <w:t>工信部联企业〔2011〕300号</w:t>
      </w:r>
    </w:p>
    <w:p w14:paraId="4A3574C3">
      <w:pPr>
        <w:spacing w:line="360" w:lineRule="exact"/>
        <w:jc w:val="center"/>
        <w:rPr>
          <w:rStyle w:val="22"/>
          <w:rFonts w:hint="eastAsia" w:cs="宋体"/>
          <w:b w:val="0"/>
          <w:szCs w:val="24"/>
        </w:rPr>
      </w:pPr>
    </w:p>
    <w:p w14:paraId="287464AD">
      <w:pPr>
        <w:spacing w:line="360" w:lineRule="exact"/>
        <w:rPr>
          <w:rStyle w:val="22"/>
          <w:rFonts w:hint="eastAsia" w:cs="宋体"/>
          <w:b w:val="0"/>
          <w:szCs w:val="24"/>
        </w:rPr>
      </w:pPr>
      <w:r>
        <w:rPr>
          <w:rStyle w:val="22"/>
          <w:rFonts w:hint="eastAsia" w:cs="宋体"/>
          <w:b w:val="0"/>
          <w:szCs w:val="24"/>
        </w:rPr>
        <w:t>各省、自治区、直辖市人民政府，国务院各部委、各直属机构及有关单位：</w:t>
      </w:r>
    </w:p>
    <w:p w14:paraId="04318C47">
      <w:pPr>
        <w:spacing w:line="360" w:lineRule="exact"/>
        <w:rPr>
          <w:rStyle w:val="22"/>
          <w:rFonts w:hint="eastAsia" w:cs="宋体"/>
          <w:b w:val="0"/>
          <w:bCs w:val="0"/>
          <w:szCs w:val="24"/>
        </w:rPr>
      </w:pPr>
      <w:r>
        <w:rPr>
          <w:rStyle w:val="22"/>
          <w:rFonts w:hint="eastAsia" w:cs="宋体"/>
          <w:b w:val="0"/>
          <w:bCs w:val="0"/>
          <w:szCs w:val="24"/>
        </w:rPr>
        <w:t>　　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14:paraId="0F1BFC70">
      <w:pPr>
        <w:spacing w:line="360" w:lineRule="exact"/>
        <w:jc w:val="right"/>
        <w:rPr>
          <w:rStyle w:val="22"/>
          <w:rFonts w:hint="eastAsia" w:cs="宋体"/>
          <w:b w:val="0"/>
          <w:bCs w:val="0"/>
          <w:szCs w:val="24"/>
        </w:rPr>
      </w:pPr>
      <w:r>
        <w:rPr>
          <w:rStyle w:val="22"/>
          <w:rFonts w:hint="eastAsia" w:cs="宋体"/>
          <w:b w:val="0"/>
          <w:bCs w:val="0"/>
          <w:szCs w:val="24"/>
        </w:rPr>
        <w:t>工业和信息化部　国家统计局</w:t>
      </w:r>
    </w:p>
    <w:p w14:paraId="7011AAF8">
      <w:pPr>
        <w:spacing w:line="360" w:lineRule="exact"/>
        <w:jc w:val="right"/>
        <w:rPr>
          <w:rStyle w:val="22"/>
          <w:rFonts w:hint="eastAsia" w:cs="宋体"/>
          <w:b w:val="0"/>
          <w:bCs w:val="0"/>
          <w:szCs w:val="24"/>
        </w:rPr>
      </w:pPr>
      <w:r>
        <w:rPr>
          <w:rStyle w:val="22"/>
          <w:rFonts w:hint="eastAsia" w:cs="宋体"/>
          <w:b w:val="0"/>
          <w:bCs w:val="0"/>
          <w:szCs w:val="24"/>
        </w:rPr>
        <w:t>国家发展和改革委员会　财政部</w:t>
      </w:r>
    </w:p>
    <w:p w14:paraId="68BB91EA">
      <w:pPr>
        <w:spacing w:line="360" w:lineRule="exact"/>
        <w:jc w:val="right"/>
        <w:rPr>
          <w:rStyle w:val="22"/>
          <w:rFonts w:hint="eastAsia" w:cs="宋体"/>
          <w:b w:val="0"/>
          <w:bCs w:val="0"/>
          <w:szCs w:val="24"/>
        </w:rPr>
      </w:pPr>
      <w:r>
        <w:rPr>
          <w:rStyle w:val="22"/>
          <w:rFonts w:hint="eastAsia" w:cs="宋体"/>
          <w:b w:val="0"/>
          <w:bCs w:val="0"/>
          <w:szCs w:val="24"/>
        </w:rPr>
        <w:t>二○一一年六月十八日</w:t>
      </w:r>
    </w:p>
    <w:p w14:paraId="73E6C56C">
      <w:pPr>
        <w:spacing w:line="360" w:lineRule="exact"/>
        <w:rPr>
          <w:rStyle w:val="22"/>
          <w:rFonts w:hint="eastAsia" w:cs="宋体"/>
          <w:b w:val="0"/>
          <w:bCs w:val="0"/>
          <w:szCs w:val="24"/>
        </w:rPr>
      </w:pPr>
      <w:r>
        <w:rPr>
          <w:rStyle w:val="22"/>
          <w:rFonts w:hint="eastAsia" w:cs="宋体"/>
          <w:b w:val="0"/>
          <w:bCs w:val="0"/>
          <w:szCs w:val="24"/>
        </w:rPr>
        <w:t xml:space="preserve"> </w:t>
      </w:r>
    </w:p>
    <w:p w14:paraId="30F589D0">
      <w:pPr>
        <w:spacing w:line="240" w:lineRule="auto"/>
        <w:jc w:val="center"/>
        <w:rPr>
          <w:rStyle w:val="22"/>
          <w:rFonts w:hint="eastAsia" w:cs="宋体"/>
          <w:bCs w:val="0"/>
          <w:sz w:val="30"/>
          <w:szCs w:val="30"/>
        </w:rPr>
      </w:pPr>
      <w:r>
        <w:rPr>
          <w:rStyle w:val="22"/>
          <w:rFonts w:hint="eastAsia" w:cs="宋体"/>
          <w:bCs w:val="0"/>
          <w:sz w:val="28"/>
          <w:szCs w:val="28"/>
        </w:rPr>
        <w:t>中小企业划型标准规定</w:t>
      </w:r>
    </w:p>
    <w:p w14:paraId="033D789E">
      <w:pPr>
        <w:spacing w:line="400" w:lineRule="exact"/>
        <w:rPr>
          <w:rStyle w:val="22"/>
          <w:rFonts w:hint="eastAsia" w:cs="宋体"/>
          <w:b w:val="0"/>
          <w:bCs w:val="0"/>
          <w:szCs w:val="24"/>
        </w:rPr>
      </w:pPr>
      <w:r>
        <w:rPr>
          <w:rStyle w:val="22"/>
          <w:rFonts w:hint="eastAsia" w:cs="宋体"/>
          <w:b w:val="0"/>
          <w:bCs w:val="0"/>
          <w:szCs w:val="24"/>
        </w:rPr>
        <w:t>　　一、根据《中华人民共和国中小企业促进法》和《国务院关于进一步促进中小企业发展的若干意见》(国发〔2009〕36号)，制定本规定。</w:t>
      </w:r>
    </w:p>
    <w:p w14:paraId="6B7B31DE">
      <w:pPr>
        <w:spacing w:line="400" w:lineRule="exact"/>
        <w:rPr>
          <w:rStyle w:val="22"/>
          <w:rFonts w:hint="eastAsia" w:cs="宋体"/>
          <w:b w:val="0"/>
          <w:bCs w:val="0"/>
          <w:szCs w:val="24"/>
        </w:rPr>
      </w:pPr>
      <w:r>
        <w:rPr>
          <w:rStyle w:val="22"/>
          <w:rFonts w:hint="eastAsia" w:cs="宋体"/>
          <w:b w:val="0"/>
          <w:bCs w:val="0"/>
          <w:szCs w:val="24"/>
        </w:rPr>
        <w:t>　　二、中小企业划分为中型、小型、微型三种类型，具体标准根据企业从业人员、营业收入、资产总额等指标，结合行业特点制定。</w:t>
      </w:r>
    </w:p>
    <w:p w14:paraId="43BE38CC">
      <w:pPr>
        <w:spacing w:line="400" w:lineRule="exact"/>
        <w:rPr>
          <w:rStyle w:val="22"/>
          <w:rFonts w:hint="eastAsia" w:cs="宋体"/>
          <w:b w:val="0"/>
          <w:bCs w:val="0"/>
          <w:szCs w:val="24"/>
        </w:rPr>
      </w:pPr>
      <w:r>
        <w:rPr>
          <w:rStyle w:val="22"/>
          <w:rFonts w:hint="eastAsia" w:cs="宋体"/>
          <w:b w:val="0"/>
          <w:bCs w:val="0"/>
          <w:szCs w:val="24"/>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6C74EE63">
      <w:pPr>
        <w:spacing w:line="400" w:lineRule="exact"/>
        <w:rPr>
          <w:rStyle w:val="22"/>
          <w:rFonts w:hint="eastAsia" w:cs="宋体"/>
          <w:b w:val="0"/>
          <w:bCs w:val="0"/>
          <w:szCs w:val="24"/>
        </w:rPr>
      </w:pPr>
      <w:r>
        <w:rPr>
          <w:rStyle w:val="22"/>
          <w:rFonts w:hint="eastAsia" w:cs="宋体"/>
          <w:b w:val="0"/>
          <w:bCs w:val="0"/>
          <w:szCs w:val="24"/>
        </w:rPr>
        <w:t>　　四、各行业划型标准为：</w:t>
      </w:r>
    </w:p>
    <w:p w14:paraId="5B9B8FF0">
      <w:pPr>
        <w:spacing w:line="400" w:lineRule="exact"/>
        <w:rPr>
          <w:rStyle w:val="22"/>
          <w:rFonts w:hint="eastAsia" w:cs="宋体"/>
          <w:b w:val="0"/>
          <w:bCs w:val="0"/>
          <w:szCs w:val="24"/>
        </w:rPr>
      </w:pPr>
      <w:r>
        <w:rPr>
          <w:rStyle w:val="22"/>
          <w:rFonts w:hint="eastAsia" w:cs="宋体"/>
          <w:b w:val="0"/>
          <w:bCs w:val="0"/>
          <w:szCs w:val="24"/>
        </w:rPr>
        <w:t>　　（一）农、林、牧、渔业。营业收入20000万元以下的为中小微型企业。其中，营业收入500万元及以上的为中型企业，营业收入50万元及以上的为小型企业，营业收入50万元以下的为微型企业。</w:t>
      </w:r>
    </w:p>
    <w:p w14:paraId="1079D04A">
      <w:pPr>
        <w:spacing w:line="400" w:lineRule="exact"/>
        <w:rPr>
          <w:rStyle w:val="22"/>
          <w:rFonts w:hint="eastAsia" w:cs="宋体"/>
          <w:b w:val="0"/>
          <w:bCs w:val="0"/>
          <w:szCs w:val="24"/>
        </w:rPr>
      </w:pPr>
      <w:r>
        <w:rPr>
          <w:rStyle w:val="22"/>
          <w:rFonts w:hint="eastAsia" w:cs="宋体"/>
          <w:b w:val="0"/>
          <w:bCs w:val="0"/>
          <w:szCs w:val="24"/>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30327318">
      <w:pPr>
        <w:spacing w:line="400" w:lineRule="exact"/>
        <w:rPr>
          <w:rStyle w:val="22"/>
          <w:rFonts w:hint="eastAsia" w:cs="宋体"/>
          <w:b w:val="0"/>
          <w:bCs w:val="0"/>
          <w:szCs w:val="24"/>
        </w:rPr>
      </w:pPr>
      <w:r>
        <w:rPr>
          <w:rStyle w:val="22"/>
          <w:rFonts w:hint="eastAsia" w:cs="宋体"/>
          <w:b w:val="0"/>
          <w:bCs w:val="0"/>
          <w:szCs w:val="24"/>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4A6D211B">
      <w:pPr>
        <w:spacing w:line="400" w:lineRule="exact"/>
        <w:rPr>
          <w:rStyle w:val="22"/>
          <w:rFonts w:hint="eastAsia" w:cs="宋体"/>
          <w:b w:val="0"/>
          <w:bCs w:val="0"/>
          <w:szCs w:val="24"/>
        </w:rPr>
      </w:pPr>
      <w:r>
        <w:rPr>
          <w:rStyle w:val="22"/>
          <w:rFonts w:hint="eastAsia" w:cs="宋体"/>
          <w:b w:val="0"/>
          <w:bCs w:val="0"/>
          <w:szCs w:val="24"/>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6C41A96D">
      <w:pPr>
        <w:spacing w:line="400" w:lineRule="exact"/>
        <w:rPr>
          <w:rStyle w:val="22"/>
          <w:rFonts w:hint="eastAsia" w:cs="宋体"/>
          <w:b w:val="0"/>
          <w:bCs w:val="0"/>
          <w:szCs w:val="24"/>
        </w:rPr>
      </w:pPr>
      <w:r>
        <w:rPr>
          <w:rStyle w:val="22"/>
          <w:rFonts w:hint="eastAsia" w:cs="宋体"/>
          <w:b w:val="0"/>
          <w:bCs w:val="0"/>
          <w:szCs w:val="24"/>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156193AB">
      <w:pPr>
        <w:spacing w:line="400" w:lineRule="exact"/>
        <w:rPr>
          <w:rStyle w:val="22"/>
          <w:rFonts w:hint="eastAsia" w:cs="宋体"/>
          <w:b w:val="0"/>
          <w:bCs w:val="0"/>
          <w:szCs w:val="24"/>
        </w:rPr>
      </w:pPr>
      <w:r>
        <w:rPr>
          <w:rStyle w:val="22"/>
          <w:rFonts w:hint="eastAsia" w:cs="宋体"/>
          <w:b w:val="0"/>
          <w:bCs w:val="0"/>
          <w:szCs w:val="24"/>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01ACE118">
      <w:pPr>
        <w:spacing w:line="400" w:lineRule="exact"/>
        <w:rPr>
          <w:rStyle w:val="22"/>
          <w:rFonts w:hint="eastAsia" w:cs="宋体"/>
          <w:b w:val="0"/>
          <w:bCs w:val="0"/>
          <w:szCs w:val="24"/>
        </w:rPr>
      </w:pPr>
      <w:r>
        <w:rPr>
          <w:rStyle w:val="22"/>
          <w:rFonts w:hint="eastAsia" w:cs="宋体"/>
          <w:b w:val="0"/>
          <w:bCs w:val="0"/>
          <w:szCs w:val="24"/>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4D718392">
      <w:pPr>
        <w:spacing w:line="400" w:lineRule="exact"/>
        <w:rPr>
          <w:rStyle w:val="22"/>
          <w:rFonts w:hint="eastAsia" w:cs="宋体"/>
          <w:b w:val="0"/>
          <w:bCs w:val="0"/>
          <w:szCs w:val="24"/>
        </w:rPr>
      </w:pPr>
      <w:r>
        <w:rPr>
          <w:rStyle w:val="22"/>
          <w:rFonts w:hint="eastAsia" w:cs="宋体"/>
          <w:b w:val="0"/>
          <w:bCs w:val="0"/>
          <w:szCs w:val="24"/>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61416B07">
      <w:pPr>
        <w:spacing w:line="400" w:lineRule="exact"/>
        <w:rPr>
          <w:rStyle w:val="22"/>
          <w:rFonts w:hint="eastAsia" w:cs="宋体"/>
          <w:b w:val="0"/>
          <w:bCs w:val="0"/>
          <w:szCs w:val="24"/>
        </w:rPr>
      </w:pPr>
      <w:r>
        <w:rPr>
          <w:rStyle w:val="22"/>
          <w:rFonts w:hint="eastAsia" w:cs="宋体"/>
          <w:b w:val="0"/>
          <w:bCs w:val="0"/>
          <w:szCs w:val="24"/>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39FC2790">
      <w:pPr>
        <w:spacing w:line="400" w:lineRule="exact"/>
        <w:rPr>
          <w:rStyle w:val="22"/>
          <w:rFonts w:hint="eastAsia" w:cs="宋体"/>
          <w:b w:val="0"/>
          <w:bCs w:val="0"/>
          <w:szCs w:val="24"/>
        </w:rPr>
      </w:pPr>
      <w:r>
        <w:rPr>
          <w:rStyle w:val="22"/>
          <w:rFonts w:hint="eastAsia" w:cs="宋体"/>
          <w:b w:val="0"/>
          <w:bCs w:val="0"/>
          <w:szCs w:val="24"/>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0364DA29">
      <w:pPr>
        <w:spacing w:line="400" w:lineRule="exact"/>
        <w:rPr>
          <w:rStyle w:val="22"/>
          <w:rFonts w:hint="eastAsia" w:cs="宋体"/>
          <w:b w:val="0"/>
          <w:bCs w:val="0"/>
          <w:szCs w:val="24"/>
        </w:rPr>
      </w:pPr>
      <w:r>
        <w:rPr>
          <w:rStyle w:val="22"/>
          <w:rFonts w:hint="eastAsia" w:cs="宋体"/>
          <w:b w:val="0"/>
          <w:bCs w:val="0"/>
          <w:szCs w:val="24"/>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1325A93C">
      <w:pPr>
        <w:spacing w:line="400" w:lineRule="exact"/>
        <w:rPr>
          <w:rStyle w:val="22"/>
          <w:rFonts w:hint="eastAsia" w:cs="宋体"/>
          <w:b w:val="0"/>
          <w:bCs w:val="0"/>
          <w:szCs w:val="24"/>
        </w:rPr>
      </w:pPr>
      <w:r>
        <w:rPr>
          <w:rStyle w:val="22"/>
          <w:rFonts w:hint="eastAsia" w:cs="宋体"/>
          <w:b w:val="0"/>
          <w:bCs w:val="0"/>
          <w:szCs w:val="24"/>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74FEF5FF">
      <w:pPr>
        <w:spacing w:line="400" w:lineRule="exact"/>
        <w:rPr>
          <w:rStyle w:val="22"/>
          <w:rFonts w:hint="eastAsia" w:cs="宋体"/>
          <w:b w:val="0"/>
          <w:bCs w:val="0"/>
          <w:szCs w:val="24"/>
        </w:rPr>
      </w:pPr>
      <w:r>
        <w:rPr>
          <w:rStyle w:val="22"/>
          <w:rFonts w:hint="eastAsia" w:cs="宋体"/>
          <w:b w:val="0"/>
          <w:bCs w:val="0"/>
          <w:szCs w:val="24"/>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2BD5DBB7">
      <w:pPr>
        <w:spacing w:line="400" w:lineRule="exact"/>
        <w:rPr>
          <w:rStyle w:val="22"/>
          <w:rFonts w:hint="eastAsia" w:cs="宋体"/>
          <w:b w:val="0"/>
          <w:bCs w:val="0"/>
          <w:szCs w:val="24"/>
        </w:rPr>
      </w:pPr>
      <w:r>
        <w:rPr>
          <w:rStyle w:val="22"/>
          <w:rFonts w:hint="eastAsia" w:cs="宋体"/>
          <w:b w:val="0"/>
          <w:bCs w:val="0"/>
          <w:szCs w:val="24"/>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17686954">
      <w:pPr>
        <w:spacing w:line="400" w:lineRule="exact"/>
        <w:rPr>
          <w:rStyle w:val="22"/>
          <w:rFonts w:hint="eastAsia" w:cs="宋体"/>
          <w:b w:val="0"/>
          <w:bCs w:val="0"/>
          <w:szCs w:val="24"/>
        </w:rPr>
      </w:pPr>
      <w:r>
        <w:rPr>
          <w:rStyle w:val="22"/>
          <w:rFonts w:hint="eastAsia" w:cs="宋体"/>
          <w:b w:val="0"/>
          <w:bCs w:val="0"/>
          <w:szCs w:val="24"/>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7A4EF8C2">
      <w:pPr>
        <w:spacing w:line="400" w:lineRule="exact"/>
        <w:ind w:firstLine="483"/>
        <w:rPr>
          <w:rStyle w:val="22"/>
          <w:rFonts w:hint="eastAsia" w:cs="宋体"/>
          <w:b w:val="0"/>
          <w:bCs w:val="0"/>
          <w:szCs w:val="24"/>
        </w:rPr>
      </w:pPr>
      <w:r>
        <w:rPr>
          <w:rStyle w:val="22"/>
          <w:rFonts w:hint="eastAsia" w:cs="宋体"/>
          <w:b w:val="0"/>
          <w:bCs w:val="0"/>
          <w:szCs w:val="24"/>
        </w:rPr>
        <w:t>（十六）其他未列明行业。从业人员300人以下的为中小微型企业。其中，从业人员100人及以上的为中型企业；从业人员10人及以上的为小型企业；从业人员10人以下的为微型企业。　　</w:t>
      </w:r>
    </w:p>
    <w:p w14:paraId="6581E724">
      <w:pPr>
        <w:spacing w:line="400" w:lineRule="exact"/>
        <w:ind w:firstLine="483"/>
        <w:rPr>
          <w:rStyle w:val="22"/>
          <w:rFonts w:hint="eastAsia" w:cs="宋体"/>
          <w:b w:val="0"/>
          <w:bCs w:val="0"/>
          <w:szCs w:val="24"/>
        </w:rPr>
      </w:pPr>
      <w:r>
        <w:rPr>
          <w:rStyle w:val="22"/>
          <w:rFonts w:hint="eastAsia" w:cs="宋体"/>
          <w:b w:val="0"/>
          <w:bCs w:val="0"/>
          <w:szCs w:val="24"/>
        </w:rPr>
        <w:t>五、企业类型的划分以统计部门的统计数据为依据。</w:t>
      </w:r>
    </w:p>
    <w:p w14:paraId="3E4309D7">
      <w:pPr>
        <w:spacing w:line="400" w:lineRule="exact"/>
        <w:rPr>
          <w:rStyle w:val="22"/>
          <w:rFonts w:hint="eastAsia" w:cs="宋体"/>
          <w:b w:val="0"/>
          <w:bCs w:val="0"/>
          <w:szCs w:val="24"/>
        </w:rPr>
      </w:pPr>
      <w:r>
        <w:rPr>
          <w:rStyle w:val="22"/>
          <w:rFonts w:hint="eastAsia" w:cs="宋体"/>
          <w:b w:val="0"/>
          <w:bCs w:val="0"/>
          <w:szCs w:val="24"/>
        </w:rPr>
        <w:t>　　六、本规定适用于在中华人民共和国境内依法设立的各类所有制和各种组织形式的企业。个体工商户和本规定以外的行业，参照本规定进行划型。</w:t>
      </w:r>
    </w:p>
    <w:p w14:paraId="0C7D4112">
      <w:pPr>
        <w:spacing w:line="400" w:lineRule="exact"/>
        <w:rPr>
          <w:rStyle w:val="22"/>
          <w:rFonts w:hint="eastAsia" w:cs="宋体"/>
          <w:b w:val="0"/>
          <w:bCs w:val="0"/>
          <w:szCs w:val="24"/>
        </w:rPr>
      </w:pPr>
      <w:r>
        <w:rPr>
          <w:rStyle w:val="22"/>
          <w:rFonts w:hint="eastAsia" w:cs="宋体"/>
          <w:b w:val="0"/>
          <w:bCs w:val="0"/>
          <w:szCs w:val="24"/>
        </w:rPr>
        <w:t>　　七、本规定的中型企业标准上限即为大型企业标准的下限，国家统计部门据此制定大中小微型企业的统计分类。国务院有关部门据此进行相关数据分析，不得制定与本规定不一致的企业划型标准。</w:t>
      </w:r>
    </w:p>
    <w:p w14:paraId="47CB2CE6">
      <w:pPr>
        <w:spacing w:line="400" w:lineRule="exact"/>
        <w:rPr>
          <w:rStyle w:val="22"/>
          <w:rFonts w:hint="eastAsia" w:cs="宋体"/>
          <w:b w:val="0"/>
          <w:bCs w:val="0"/>
          <w:szCs w:val="24"/>
        </w:rPr>
      </w:pPr>
      <w:r>
        <w:rPr>
          <w:rStyle w:val="22"/>
          <w:rFonts w:hint="eastAsia" w:cs="宋体"/>
          <w:b w:val="0"/>
          <w:bCs w:val="0"/>
          <w:szCs w:val="24"/>
        </w:rPr>
        <w:t>　　八、本规定由工业和信息化部、国家统计局会同有关部门根据《国民经济行业分类》修订情况和企业发展变化情况适时修订。</w:t>
      </w:r>
    </w:p>
    <w:p w14:paraId="271C9E0C">
      <w:pPr>
        <w:spacing w:line="400" w:lineRule="exact"/>
        <w:rPr>
          <w:rStyle w:val="22"/>
          <w:rFonts w:hint="eastAsia" w:cs="宋体"/>
          <w:b w:val="0"/>
          <w:bCs w:val="0"/>
          <w:szCs w:val="24"/>
        </w:rPr>
      </w:pPr>
      <w:r>
        <w:rPr>
          <w:rStyle w:val="22"/>
          <w:rFonts w:hint="eastAsia" w:cs="宋体"/>
          <w:b w:val="0"/>
          <w:bCs w:val="0"/>
          <w:szCs w:val="24"/>
        </w:rPr>
        <w:t>　　九、本规定由工业和信息化部、国家统计局会同有关部门负责解释。</w:t>
      </w:r>
    </w:p>
    <w:p w14:paraId="383136A9">
      <w:pPr>
        <w:spacing w:line="400" w:lineRule="exact"/>
        <w:rPr>
          <w:rFonts w:hint="eastAsia" w:cs="宋体"/>
          <w:spacing w:val="6"/>
          <w:sz w:val="21"/>
          <w:szCs w:val="21"/>
        </w:rPr>
      </w:pPr>
      <w:r>
        <w:rPr>
          <w:rStyle w:val="22"/>
          <w:rFonts w:hint="eastAsia" w:cs="宋体"/>
          <w:b w:val="0"/>
          <w:bCs w:val="0"/>
          <w:szCs w:val="24"/>
        </w:rPr>
        <w:t>十、本规定自发布之日起执行，原国家经贸委、原国家计委、财政部和国家统计局2003年颁布的《中小企业标准暂行规定》同时废止。</w:t>
      </w:r>
    </w:p>
    <w:p w14:paraId="79D0E047">
      <w:pPr>
        <w:rPr>
          <w:rFonts w:hint="eastAsia" w:cs="宋体"/>
          <w:spacing w:val="6"/>
          <w:sz w:val="21"/>
          <w:szCs w:val="21"/>
        </w:rPr>
      </w:pPr>
    </w:p>
    <w:p w14:paraId="4CBC2482">
      <w:pPr>
        <w:pStyle w:val="2"/>
        <w:ind w:left="0" w:leftChars="0" w:firstLine="0" w:firstLineChars="0"/>
        <w:rPr>
          <w:rFonts w:hint="eastAsia" w:ascii="宋体" w:cs="宋体"/>
        </w:rPr>
      </w:pPr>
    </w:p>
    <w:p w14:paraId="260ABB98">
      <w:pPr>
        <w:spacing w:line="360" w:lineRule="exact"/>
        <w:rPr>
          <w:rFonts w:hint="eastAsia" w:cs="宋体"/>
          <w:b/>
          <w:bCs/>
        </w:rPr>
      </w:pPr>
      <w:r>
        <w:rPr>
          <w:rFonts w:hint="eastAsia" w:cs="宋体"/>
          <w:b/>
          <w:bCs/>
        </w:rPr>
        <w:t>附件3：</w:t>
      </w:r>
    </w:p>
    <w:p w14:paraId="75BA8A9B">
      <w:pPr>
        <w:rPr>
          <w:rFonts w:hint="eastAsia" w:cs="宋体"/>
          <w:spacing w:val="6"/>
          <w:sz w:val="21"/>
          <w:szCs w:val="21"/>
        </w:rPr>
      </w:pPr>
    </w:p>
    <w:p w14:paraId="7F86B6E8">
      <w:pPr>
        <w:pStyle w:val="13"/>
        <w:spacing w:line="240" w:lineRule="auto"/>
        <w:jc w:val="center"/>
        <w:rPr>
          <w:rFonts w:hint="eastAsia" w:hAnsi="宋体" w:cs="宋体"/>
          <w:b/>
          <w:sz w:val="32"/>
          <w:szCs w:val="32"/>
        </w:rPr>
      </w:pPr>
      <w:r>
        <w:rPr>
          <w:rFonts w:hint="eastAsia" w:hAnsi="宋体" w:cs="宋体"/>
          <w:b/>
          <w:sz w:val="32"/>
          <w:szCs w:val="32"/>
        </w:rPr>
        <w:t>关于印发《金融业企业划型标准规定》的通知</w:t>
      </w:r>
    </w:p>
    <w:p w14:paraId="334B5709">
      <w:pPr>
        <w:jc w:val="center"/>
        <w:rPr>
          <w:rStyle w:val="22"/>
          <w:rFonts w:hint="eastAsia" w:cs="宋体"/>
          <w:b w:val="0"/>
          <w:szCs w:val="24"/>
        </w:rPr>
      </w:pPr>
      <w:r>
        <w:rPr>
          <w:rStyle w:val="22"/>
          <w:rFonts w:hint="eastAsia" w:cs="宋体"/>
          <w:b w:val="0"/>
          <w:szCs w:val="24"/>
        </w:rPr>
        <w:t>银发〔2015〕309号</w:t>
      </w:r>
    </w:p>
    <w:p w14:paraId="7CDCCF99">
      <w:pPr>
        <w:spacing w:line="460" w:lineRule="exact"/>
        <w:ind w:firstLine="483"/>
        <w:rPr>
          <w:rStyle w:val="22"/>
          <w:rFonts w:hint="eastAsia" w:cs="宋体"/>
          <w:b w:val="0"/>
          <w:bCs w:val="0"/>
          <w:szCs w:val="24"/>
        </w:rPr>
      </w:pPr>
      <w:r>
        <w:rPr>
          <w:rStyle w:val="22"/>
          <w:rFonts w:hint="eastAsia" w:cs="宋体"/>
          <w:b w:val="0"/>
          <w:bCs w:val="0"/>
          <w:szCs w:val="24"/>
        </w:rPr>
        <w:t>为进一步贯彻落实《中华人民共和国中小企业促进法》、《国务院关于进一步促进中小企业发展的若干意见》（国发〔2009〕36号）、《国务院办公厅关于金融支持小微企业发展的实施意见》（国办发〔2013〕87号），推动中小金融机构健康发展，加大金融对实体经济的支持，人民银行会同银监会、证监会、保监会和国家统计局联合研究制定了《金融业企业划型标准规定》（见附件）。经国务院同意，现印发给你们，请遵照执行。</w:t>
      </w:r>
    </w:p>
    <w:p w14:paraId="54A5E751">
      <w:pPr>
        <w:spacing w:line="460" w:lineRule="exact"/>
        <w:ind w:firstLine="483"/>
        <w:rPr>
          <w:rStyle w:val="22"/>
          <w:rFonts w:hint="eastAsia" w:cs="宋体"/>
          <w:b w:val="0"/>
          <w:bCs w:val="0"/>
          <w:szCs w:val="24"/>
        </w:rPr>
      </w:pPr>
      <w:r>
        <w:rPr>
          <w:rStyle w:val="22"/>
          <w:rFonts w:hint="eastAsia" w:cs="宋体"/>
          <w:b w:val="0"/>
          <w:bCs w:val="0"/>
          <w:szCs w:val="24"/>
        </w:rPr>
        <w:t>请人民银行上海总部，各分行、营业管理部、省会（首府）城市中心支行、副省级城市中心支行会同所在省（区、市）银监局、证监局、保监局、统计局将本通知联合转发至辖内相关机构。</w:t>
      </w:r>
    </w:p>
    <w:p w14:paraId="112C9E7E">
      <w:pPr>
        <w:spacing w:line="460" w:lineRule="exact"/>
        <w:ind w:firstLine="483"/>
        <w:rPr>
          <w:rStyle w:val="22"/>
          <w:rFonts w:hint="eastAsia" w:cs="宋体"/>
          <w:b w:val="0"/>
          <w:bCs w:val="0"/>
          <w:szCs w:val="24"/>
        </w:rPr>
      </w:pPr>
    </w:p>
    <w:p w14:paraId="4D8652EC">
      <w:pPr>
        <w:spacing w:line="460" w:lineRule="exact"/>
        <w:ind w:firstLine="483"/>
        <w:rPr>
          <w:rStyle w:val="22"/>
          <w:rFonts w:hint="eastAsia" w:cs="宋体"/>
          <w:b w:val="0"/>
          <w:bCs w:val="0"/>
          <w:szCs w:val="24"/>
        </w:rPr>
      </w:pPr>
      <w:r>
        <w:rPr>
          <w:rStyle w:val="22"/>
          <w:rFonts w:hint="eastAsia" w:cs="宋体"/>
          <w:b w:val="0"/>
          <w:bCs w:val="0"/>
          <w:szCs w:val="24"/>
        </w:rPr>
        <w:t>附件：金融业企业划型标准规定</w:t>
      </w:r>
    </w:p>
    <w:p w14:paraId="1C0C2C65">
      <w:pPr>
        <w:spacing w:line="460" w:lineRule="exact"/>
        <w:rPr>
          <w:rStyle w:val="22"/>
          <w:rFonts w:hint="eastAsia" w:cs="宋体"/>
          <w:b w:val="0"/>
          <w:bCs w:val="0"/>
          <w:szCs w:val="24"/>
        </w:rPr>
      </w:pPr>
      <w:r>
        <w:rPr>
          <w:rFonts w:hint="eastAsia" w:cs="宋体"/>
          <w:spacing w:val="6"/>
          <w:szCs w:val="24"/>
        </w:rPr>
        <w:t>                                      </w:t>
      </w:r>
      <w:r>
        <w:rPr>
          <w:rStyle w:val="22"/>
          <w:rFonts w:hint="eastAsia" w:cs="宋体"/>
          <w:b w:val="0"/>
          <w:bCs w:val="0"/>
          <w:szCs w:val="24"/>
        </w:rPr>
        <w:t>                                   中国人民银行</w:t>
      </w:r>
    </w:p>
    <w:p w14:paraId="797F3D44">
      <w:pPr>
        <w:spacing w:line="460" w:lineRule="exact"/>
        <w:ind w:firstLine="2400" w:firstLineChars="1000"/>
        <w:rPr>
          <w:rStyle w:val="22"/>
          <w:rFonts w:hint="eastAsia" w:cs="宋体"/>
          <w:b w:val="0"/>
          <w:bCs w:val="0"/>
          <w:szCs w:val="24"/>
        </w:rPr>
      </w:pPr>
      <w:r>
        <w:rPr>
          <w:rStyle w:val="22"/>
          <w:rFonts w:hint="eastAsia" w:cs="宋体"/>
          <w:b w:val="0"/>
          <w:bCs w:val="0"/>
          <w:szCs w:val="24"/>
        </w:rPr>
        <w:t>          中国银行业监督管理委员会</w:t>
      </w:r>
    </w:p>
    <w:p w14:paraId="0726F3B2">
      <w:pPr>
        <w:spacing w:line="460" w:lineRule="exact"/>
        <w:ind w:firstLine="2400" w:firstLineChars="1000"/>
        <w:rPr>
          <w:rStyle w:val="22"/>
          <w:rFonts w:hint="eastAsia" w:cs="宋体"/>
          <w:b w:val="0"/>
          <w:bCs w:val="0"/>
          <w:szCs w:val="24"/>
        </w:rPr>
      </w:pPr>
      <w:r>
        <w:rPr>
          <w:rStyle w:val="22"/>
          <w:rFonts w:hint="eastAsia" w:cs="宋体"/>
          <w:b w:val="0"/>
          <w:bCs w:val="0"/>
          <w:szCs w:val="24"/>
        </w:rPr>
        <w:t>           中国证券监督管理委员会</w:t>
      </w:r>
    </w:p>
    <w:p w14:paraId="07002966">
      <w:pPr>
        <w:spacing w:line="460" w:lineRule="exact"/>
        <w:ind w:firstLine="2400" w:firstLineChars="1000"/>
        <w:rPr>
          <w:rStyle w:val="22"/>
          <w:rFonts w:hint="eastAsia" w:cs="宋体"/>
          <w:b w:val="0"/>
          <w:bCs w:val="0"/>
          <w:szCs w:val="24"/>
        </w:rPr>
      </w:pPr>
      <w:r>
        <w:rPr>
          <w:rStyle w:val="22"/>
          <w:rFonts w:hint="eastAsia" w:cs="宋体"/>
          <w:b w:val="0"/>
          <w:bCs w:val="0"/>
          <w:szCs w:val="24"/>
        </w:rPr>
        <w:t>           中国保险监督管理委员会</w:t>
      </w:r>
    </w:p>
    <w:p w14:paraId="55F820C9">
      <w:pPr>
        <w:spacing w:line="460" w:lineRule="exact"/>
        <w:ind w:firstLine="2160" w:firstLineChars="900"/>
        <w:rPr>
          <w:rStyle w:val="22"/>
          <w:rFonts w:hint="eastAsia" w:cs="宋体"/>
          <w:b w:val="0"/>
          <w:bCs w:val="0"/>
          <w:szCs w:val="24"/>
        </w:rPr>
      </w:pPr>
      <w:r>
        <w:rPr>
          <w:rStyle w:val="22"/>
          <w:rFonts w:hint="eastAsia" w:cs="宋体"/>
          <w:b w:val="0"/>
          <w:bCs w:val="0"/>
          <w:szCs w:val="24"/>
        </w:rPr>
        <w:t>           中华人民共和国国家统计局</w:t>
      </w:r>
    </w:p>
    <w:p w14:paraId="692CD68A">
      <w:pPr>
        <w:spacing w:line="460" w:lineRule="exact"/>
        <w:rPr>
          <w:rStyle w:val="22"/>
          <w:rFonts w:hint="eastAsia" w:cs="宋体"/>
          <w:b w:val="0"/>
          <w:bCs w:val="0"/>
          <w:szCs w:val="24"/>
        </w:rPr>
      </w:pPr>
      <w:r>
        <w:rPr>
          <w:rStyle w:val="22"/>
          <w:rFonts w:hint="eastAsia" w:cs="宋体"/>
          <w:b w:val="0"/>
          <w:bCs w:val="0"/>
          <w:szCs w:val="24"/>
        </w:rPr>
        <w:t>                                                           2015年9月28日</w:t>
      </w:r>
    </w:p>
    <w:p w14:paraId="63135D2B">
      <w:pPr>
        <w:rPr>
          <w:rFonts w:hint="eastAsia" w:cs="宋体"/>
          <w:spacing w:val="6"/>
          <w:sz w:val="21"/>
          <w:szCs w:val="21"/>
        </w:rPr>
      </w:pPr>
    </w:p>
    <w:p w14:paraId="03BD3944">
      <w:pPr>
        <w:rPr>
          <w:rFonts w:hint="eastAsia" w:cs="宋体"/>
          <w:spacing w:val="6"/>
          <w:sz w:val="21"/>
          <w:szCs w:val="21"/>
        </w:rPr>
      </w:pPr>
    </w:p>
    <w:p w14:paraId="46A4BEA5">
      <w:pPr>
        <w:rPr>
          <w:rFonts w:hint="eastAsia" w:cs="宋体"/>
          <w:spacing w:val="6"/>
          <w:sz w:val="21"/>
          <w:szCs w:val="21"/>
        </w:rPr>
      </w:pPr>
    </w:p>
    <w:p w14:paraId="734FB2C6">
      <w:pPr>
        <w:rPr>
          <w:rFonts w:hint="eastAsia" w:cs="宋体"/>
          <w:spacing w:val="6"/>
          <w:sz w:val="21"/>
          <w:szCs w:val="21"/>
        </w:rPr>
      </w:pPr>
    </w:p>
    <w:p w14:paraId="4D2368A1">
      <w:pPr>
        <w:pStyle w:val="17"/>
        <w:rPr>
          <w:rFonts w:hint="eastAsia" w:ascii="宋体" w:eastAsia="宋体" w:cs="宋体"/>
        </w:rPr>
      </w:pPr>
    </w:p>
    <w:p w14:paraId="7B91735B">
      <w:pPr>
        <w:rPr>
          <w:rFonts w:hint="eastAsia" w:cs="宋体"/>
          <w:spacing w:val="6"/>
          <w:sz w:val="21"/>
          <w:szCs w:val="21"/>
        </w:rPr>
      </w:pPr>
    </w:p>
    <w:p w14:paraId="0816D369">
      <w:pPr>
        <w:rPr>
          <w:rFonts w:hint="eastAsia" w:cs="宋体"/>
          <w:spacing w:val="6"/>
          <w:sz w:val="21"/>
          <w:szCs w:val="21"/>
        </w:rPr>
      </w:pPr>
      <w:r>
        <w:rPr>
          <w:rFonts w:hint="eastAsia" w:cs="宋体"/>
          <w:spacing w:val="6"/>
          <w:sz w:val="21"/>
          <w:szCs w:val="21"/>
        </w:rPr>
        <w:t>附件              </w:t>
      </w:r>
    </w:p>
    <w:p w14:paraId="17579FE6">
      <w:pPr>
        <w:pStyle w:val="13"/>
        <w:spacing w:line="240" w:lineRule="auto"/>
        <w:jc w:val="center"/>
        <w:rPr>
          <w:rFonts w:hint="eastAsia" w:hAnsi="宋体" w:cs="宋体"/>
          <w:bCs/>
          <w:sz w:val="32"/>
          <w:szCs w:val="32"/>
        </w:rPr>
      </w:pPr>
      <w:r>
        <w:rPr>
          <w:rFonts w:hint="eastAsia" w:hAnsi="宋体" w:cs="宋体"/>
          <w:b/>
          <w:sz w:val="28"/>
          <w:szCs w:val="28"/>
        </w:rPr>
        <w:t>金融业企业划型标准规定</w:t>
      </w:r>
    </w:p>
    <w:p w14:paraId="1577051D">
      <w:pPr>
        <w:spacing w:line="400" w:lineRule="exact"/>
        <w:ind w:firstLine="483"/>
        <w:rPr>
          <w:rStyle w:val="22"/>
          <w:rFonts w:hint="eastAsia" w:cs="宋体"/>
          <w:b w:val="0"/>
          <w:bCs w:val="0"/>
          <w:szCs w:val="24"/>
        </w:rPr>
      </w:pPr>
      <w:r>
        <w:rPr>
          <w:rStyle w:val="22"/>
          <w:rFonts w:hint="eastAsia" w:cs="宋体"/>
          <w:b w:val="0"/>
          <w:bCs w:val="0"/>
          <w:szCs w:val="24"/>
        </w:rPr>
        <w:t>一、根据《中华人民共和国中小企业促进法》、《国务院关于进一步促进中小企业发展的若干意见》（国发〔2009〕36号）和《国务院办公厅关于金融支持小微企业发展的实施意见》（国办发〔2013〕87号），制定本规定。</w:t>
      </w:r>
    </w:p>
    <w:p w14:paraId="5CFE2906">
      <w:pPr>
        <w:spacing w:line="400" w:lineRule="exact"/>
        <w:ind w:firstLine="483"/>
        <w:rPr>
          <w:rStyle w:val="22"/>
          <w:rFonts w:hint="eastAsia" w:cs="宋体"/>
          <w:b w:val="0"/>
          <w:bCs w:val="0"/>
          <w:szCs w:val="24"/>
        </w:rPr>
      </w:pPr>
      <w:r>
        <w:rPr>
          <w:rStyle w:val="22"/>
          <w:rFonts w:hint="eastAsia" w:cs="宋体"/>
          <w:b w:val="0"/>
          <w:bCs w:val="0"/>
          <w:szCs w:val="24"/>
        </w:rPr>
        <w:t>二、适用范围。本规定适用于从事《国民经济行业分类》（GB/T4754-2011）中J门类（金融业）活动的企业。</w:t>
      </w:r>
    </w:p>
    <w:p w14:paraId="56730D1F">
      <w:pPr>
        <w:spacing w:line="400" w:lineRule="exact"/>
        <w:ind w:firstLine="483"/>
        <w:rPr>
          <w:rStyle w:val="22"/>
          <w:rFonts w:hint="eastAsia" w:cs="宋体"/>
          <w:b w:val="0"/>
          <w:bCs w:val="0"/>
          <w:szCs w:val="24"/>
        </w:rPr>
      </w:pPr>
      <w:r>
        <w:rPr>
          <w:rStyle w:val="22"/>
          <w:rFonts w:hint="eastAsia" w:cs="宋体"/>
          <w:b w:val="0"/>
          <w:bCs w:val="0"/>
          <w:szCs w:val="24"/>
        </w:rPr>
        <w:t>三、行业分类。采用复合分类方法对金融业企业进行分类。首先，按《国民经济行业分类》将金融业企业分为货币金融服务、资本市场服务、保险业、其他金融业四大类。其次，将货币金融服务分为货币银行服务和非货币银行服务两类，将其他金融业分为金融信托与管理服务、控股公司服务和其他未包括的金融业三类。最后，按经济性质将货币银行服务类金融企业划为银行业存款类金融机构；将非货币银行服务类金融业企业分为银行业非存款类金融机构，贷款公司、小额贷款公司及典当行；将资本市场服务类金融业企业划为证券业金融机构；将保险业金融企业划为保险业金融机构；将其他金融业企业分为信托公司，金融控股公司和除贷款公司、小额贷款公司、典当行以外的其他金融机构。</w:t>
      </w:r>
    </w:p>
    <w:p w14:paraId="5AD5447B">
      <w:pPr>
        <w:spacing w:line="400" w:lineRule="exact"/>
        <w:ind w:firstLine="483"/>
        <w:rPr>
          <w:rStyle w:val="22"/>
          <w:rFonts w:hint="eastAsia" w:cs="宋体"/>
          <w:b w:val="0"/>
          <w:bCs w:val="0"/>
          <w:szCs w:val="24"/>
        </w:rPr>
      </w:pPr>
      <w:r>
        <w:rPr>
          <w:rStyle w:val="22"/>
          <w:rFonts w:hint="eastAsia" w:cs="宋体"/>
          <w:b w:val="0"/>
          <w:bCs w:val="0"/>
          <w:szCs w:val="24"/>
        </w:rPr>
        <w:t>四、划型标准指标。采用一个完整会计年度中四个季度末法人并表口径的资产总额（信托公司为信托资产）平均值作为划型指标，该指标以监管部门数据为准。</w:t>
      </w:r>
    </w:p>
    <w:p w14:paraId="1090D050">
      <w:pPr>
        <w:spacing w:line="400" w:lineRule="exact"/>
        <w:ind w:firstLine="483"/>
        <w:rPr>
          <w:rStyle w:val="22"/>
          <w:rFonts w:hint="eastAsia" w:cs="宋体"/>
          <w:b w:val="0"/>
          <w:bCs w:val="0"/>
          <w:szCs w:val="24"/>
        </w:rPr>
      </w:pPr>
      <w:r>
        <w:rPr>
          <w:rStyle w:val="22"/>
          <w:rFonts w:hint="eastAsia" w:cs="宋体"/>
          <w:b w:val="0"/>
          <w:bCs w:val="0"/>
          <w:szCs w:val="24"/>
        </w:rPr>
        <w:t>五、指标标准值。依据指标标准值，将各类金融业企业划分为大、中、小、微四个规模类型，中型企业标准上限及以上的为大型企业。</w:t>
      </w:r>
    </w:p>
    <w:p w14:paraId="3A2D3B51">
      <w:pPr>
        <w:spacing w:line="400" w:lineRule="exact"/>
        <w:ind w:firstLine="483"/>
        <w:rPr>
          <w:rStyle w:val="22"/>
          <w:rFonts w:hint="eastAsia" w:cs="宋体"/>
          <w:b w:val="0"/>
          <w:bCs w:val="0"/>
          <w:szCs w:val="24"/>
        </w:rPr>
      </w:pPr>
      <w:r>
        <w:rPr>
          <w:rStyle w:val="22"/>
          <w:rFonts w:hint="eastAsia" w:cs="宋体"/>
          <w:b w:val="0"/>
          <w:bCs w:val="0"/>
          <w:szCs w:val="24"/>
        </w:rPr>
        <w:t>（一）银行业存款类金融机构。资产总额40000亿元以下的为中小微型企业。其中，资产总额5000亿元及以上的为中型企业，资产总额50亿元及以上的为小型企业，资产总额50亿元以下的为微型企业。</w:t>
      </w:r>
    </w:p>
    <w:p w14:paraId="1BCF077D">
      <w:pPr>
        <w:spacing w:line="400" w:lineRule="exact"/>
        <w:ind w:firstLine="483"/>
        <w:rPr>
          <w:rStyle w:val="22"/>
          <w:rFonts w:hint="eastAsia" w:cs="宋体"/>
          <w:b w:val="0"/>
          <w:bCs w:val="0"/>
          <w:szCs w:val="24"/>
        </w:rPr>
      </w:pPr>
      <w:r>
        <w:rPr>
          <w:rStyle w:val="22"/>
          <w:rFonts w:hint="eastAsia" w:cs="宋体"/>
          <w:b w:val="0"/>
          <w:bCs w:val="0"/>
          <w:szCs w:val="24"/>
        </w:rPr>
        <w:t>（二）银行业非存款类金融机构。资产总额1000亿元以下的为中小微企业。其中，资产总额200亿元及以上的为中型企业，资产总额50亿元及以上的为小型企业，资产总额50亿元以下的为微型企业。</w:t>
      </w:r>
    </w:p>
    <w:p w14:paraId="199B96FE">
      <w:pPr>
        <w:spacing w:line="400" w:lineRule="exact"/>
        <w:ind w:firstLine="483"/>
        <w:rPr>
          <w:rStyle w:val="22"/>
          <w:rFonts w:hint="eastAsia" w:cs="宋体"/>
          <w:b w:val="0"/>
          <w:bCs w:val="0"/>
          <w:szCs w:val="24"/>
        </w:rPr>
      </w:pPr>
      <w:r>
        <w:rPr>
          <w:rStyle w:val="22"/>
          <w:rFonts w:hint="eastAsia" w:cs="宋体"/>
          <w:b w:val="0"/>
          <w:bCs w:val="0"/>
          <w:szCs w:val="24"/>
        </w:rPr>
        <w:t>（三）贷款公司、小额贷款公司及典当行。资产总额1000亿元以下的为中小微型企业。其中，资产总额200亿元及以上的为中型企业，资产总额50亿元及以上的为小型企业，资产总额50亿元以下的为微型企业。</w:t>
      </w:r>
    </w:p>
    <w:p w14:paraId="4E22CBFD">
      <w:pPr>
        <w:spacing w:line="400" w:lineRule="exact"/>
        <w:ind w:firstLine="483"/>
        <w:rPr>
          <w:rStyle w:val="22"/>
          <w:rFonts w:hint="eastAsia" w:cs="宋体"/>
          <w:b w:val="0"/>
          <w:bCs w:val="0"/>
          <w:szCs w:val="24"/>
        </w:rPr>
      </w:pPr>
      <w:r>
        <w:rPr>
          <w:rStyle w:val="22"/>
          <w:rFonts w:hint="eastAsia" w:cs="宋体"/>
          <w:b w:val="0"/>
          <w:bCs w:val="0"/>
          <w:szCs w:val="24"/>
        </w:rPr>
        <w:t>（四）证券业金融机构。资产总额1000亿元以下的为中小微型企业。其中，资产总额100亿元及以上的为中型企业，资产总额10亿元及以上的为小型企业，资产总额10亿元以下的为微型企业。</w:t>
      </w:r>
    </w:p>
    <w:p w14:paraId="02236AB3">
      <w:pPr>
        <w:spacing w:line="400" w:lineRule="exact"/>
        <w:ind w:firstLine="483"/>
        <w:rPr>
          <w:rStyle w:val="22"/>
          <w:rFonts w:hint="eastAsia" w:cs="宋体"/>
          <w:b w:val="0"/>
          <w:bCs w:val="0"/>
          <w:szCs w:val="24"/>
        </w:rPr>
      </w:pPr>
      <w:r>
        <w:rPr>
          <w:rStyle w:val="22"/>
          <w:rFonts w:hint="eastAsia" w:cs="宋体"/>
          <w:b w:val="0"/>
          <w:bCs w:val="0"/>
          <w:szCs w:val="24"/>
        </w:rPr>
        <w:t>（五）保险业金融机构。资产总额5000亿元以下的为中小微型企业。其中，资产总额400亿元及以上的为中型企业，资产总额20亿元及以上的为小型企业，资产总额20亿元以下的为微型企业。</w:t>
      </w:r>
    </w:p>
    <w:p w14:paraId="3BF27E7B">
      <w:pPr>
        <w:spacing w:line="400" w:lineRule="exact"/>
        <w:ind w:firstLine="483"/>
        <w:rPr>
          <w:rStyle w:val="22"/>
          <w:rFonts w:hint="eastAsia" w:cs="宋体"/>
          <w:b w:val="0"/>
          <w:bCs w:val="0"/>
          <w:szCs w:val="24"/>
        </w:rPr>
      </w:pPr>
      <w:r>
        <w:rPr>
          <w:rStyle w:val="22"/>
          <w:rFonts w:hint="eastAsia" w:cs="宋体"/>
          <w:b w:val="0"/>
          <w:bCs w:val="0"/>
          <w:szCs w:val="24"/>
        </w:rPr>
        <w:t>（六）信托公司。信托资产1000亿元以下的为中小微型企业。其中，信托资产400亿元及以上的为中型企业，信托资产20亿元及以上的为小型企业，信托资产20亿元以下的为微型企业。</w:t>
      </w:r>
    </w:p>
    <w:p w14:paraId="2A9660F5">
      <w:pPr>
        <w:spacing w:line="400" w:lineRule="exact"/>
        <w:ind w:firstLine="483"/>
        <w:rPr>
          <w:rStyle w:val="22"/>
          <w:rFonts w:hint="eastAsia" w:cs="宋体"/>
          <w:b w:val="0"/>
          <w:bCs w:val="0"/>
          <w:szCs w:val="24"/>
        </w:rPr>
      </w:pPr>
      <w:r>
        <w:rPr>
          <w:rStyle w:val="22"/>
          <w:rFonts w:hint="eastAsia" w:cs="宋体"/>
          <w:b w:val="0"/>
          <w:bCs w:val="0"/>
          <w:szCs w:val="24"/>
        </w:rPr>
        <w:t>（七）金融控股公司。资产总额40000亿元以下的为中小微企业。其中，资产总额5000亿元及以上的为中型企业，资产总额50亿元及以上的为小型企业，资产总额50亿元以下的为微型企业。、</w:t>
      </w:r>
    </w:p>
    <w:p w14:paraId="7E00EDFC">
      <w:pPr>
        <w:spacing w:line="400" w:lineRule="exact"/>
        <w:ind w:firstLine="483"/>
        <w:rPr>
          <w:rStyle w:val="22"/>
          <w:rFonts w:hint="eastAsia" w:cs="宋体"/>
          <w:b w:val="0"/>
          <w:bCs w:val="0"/>
          <w:szCs w:val="24"/>
        </w:rPr>
      </w:pPr>
      <w:r>
        <w:rPr>
          <w:rStyle w:val="22"/>
          <w:rFonts w:hint="eastAsia" w:cs="宋体"/>
          <w:b w:val="0"/>
          <w:bCs w:val="0"/>
          <w:szCs w:val="24"/>
        </w:rPr>
        <w:t>(八)除贷款公司、小额贷款公司、典当行以外的其他金融机构。资产总额1000亿元以下的为中小微型企业。其中，资产总额200亿元及以上的为中型企业，资产总额50亿元及以上的为小型企业，资产总额50亿元以下的为微型企业。</w:t>
      </w:r>
    </w:p>
    <w:p w14:paraId="1A649F95">
      <w:pPr>
        <w:spacing w:line="400" w:lineRule="exact"/>
        <w:ind w:firstLine="483"/>
        <w:rPr>
          <w:rStyle w:val="22"/>
          <w:rFonts w:hint="eastAsia" w:cs="宋体"/>
          <w:b w:val="0"/>
          <w:bCs w:val="0"/>
          <w:szCs w:val="24"/>
        </w:rPr>
      </w:pPr>
      <w:r>
        <w:rPr>
          <w:rStyle w:val="22"/>
          <w:rFonts w:hint="eastAsia" w:cs="宋体"/>
          <w:b w:val="0"/>
          <w:bCs w:val="0"/>
          <w:szCs w:val="24"/>
        </w:rPr>
        <w:t>六、组织实施。由人民银行会同银监会、证监会、保监会和统计局联合组成金融业企业划型标准工作组，负责金融业企业划型标准的实施、后期评估和调整工作，按年组织金融业企业规模认定，并在人民银行建立的《金融业机构信息管理系统》中增加相应的字段模块。经过认定的金融业企业在系统中进行规模登记，方便政府部门和社会各界查询使用。</w:t>
      </w:r>
    </w:p>
    <w:p w14:paraId="2BA80759">
      <w:pPr>
        <w:spacing w:line="400" w:lineRule="exact"/>
        <w:ind w:firstLine="483"/>
        <w:rPr>
          <w:rStyle w:val="22"/>
          <w:rFonts w:hint="eastAsia" w:cs="宋体"/>
          <w:b w:val="0"/>
          <w:bCs w:val="0"/>
          <w:szCs w:val="24"/>
        </w:rPr>
      </w:pPr>
      <w:r>
        <w:rPr>
          <w:rStyle w:val="22"/>
          <w:rFonts w:hint="eastAsia" w:cs="宋体"/>
          <w:b w:val="0"/>
          <w:bCs w:val="0"/>
          <w:szCs w:val="24"/>
        </w:rPr>
        <w:t>七、标准值的评估和调整。金融业企业划型标准工作组每五年对划型标准值受经济发展与通货膨胀等因素的影响程度进行评估和调整。</w:t>
      </w:r>
    </w:p>
    <w:p w14:paraId="12772528">
      <w:pPr>
        <w:spacing w:line="400" w:lineRule="exact"/>
        <w:ind w:firstLine="483"/>
        <w:rPr>
          <w:rStyle w:val="22"/>
          <w:rFonts w:hint="eastAsia" w:cs="宋体"/>
          <w:b w:val="0"/>
          <w:bCs w:val="0"/>
          <w:szCs w:val="24"/>
        </w:rPr>
      </w:pPr>
      <w:r>
        <w:rPr>
          <w:rStyle w:val="22"/>
          <w:rFonts w:hint="eastAsia" w:cs="宋体"/>
          <w:b w:val="0"/>
          <w:bCs w:val="0"/>
          <w:szCs w:val="24"/>
        </w:rPr>
        <w:t>八、本规定的中型金融业企业标准上限即为大型金融业企业下限。国务院有关部门据此进行相关数据的统计分析，不得制定与本规定不一致的金融业企业划型标准。</w:t>
      </w:r>
    </w:p>
    <w:p w14:paraId="6D917061">
      <w:pPr>
        <w:spacing w:line="400" w:lineRule="exact"/>
        <w:ind w:firstLine="483"/>
        <w:rPr>
          <w:rStyle w:val="22"/>
          <w:rFonts w:hint="eastAsia" w:cs="宋体"/>
          <w:b w:val="0"/>
          <w:bCs w:val="0"/>
          <w:szCs w:val="24"/>
        </w:rPr>
      </w:pPr>
      <w:r>
        <w:rPr>
          <w:rStyle w:val="22"/>
          <w:rFonts w:hint="eastAsia" w:cs="宋体"/>
          <w:b w:val="0"/>
          <w:bCs w:val="0"/>
          <w:szCs w:val="24"/>
        </w:rPr>
        <w:t>九、融资担保公司参照本规定中“除贷款公司、小额贷款公司、典当行以外的其他金融机构”标准划型。</w:t>
      </w:r>
    </w:p>
    <w:p w14:paraId="2C274EC3">
      <w:pPr>
        <w:spacing w:line="400" w:lineRule="exact"/>
        <w:ind w:firstLine="483"/>
        <w:rPr>
          <w:rStyle w:val="22"/>
          <w:rFonts w:hint="eastAsia" w:cs="宋体"/>
          <w:b w:val="0"/>
          <w:bCs w:val="0"/>
          <w:szCs w:val="24"/>
        </w:rPr>
      </w:pPr>
      <w:r>
        <w:rPr>
          <w:rStyle w:val="22"/>
          <w:rFonts w:hint="eastAsia" w:cs="宋体"/>
          <w:b w:val="0"/>
          <w:bCs w:val="0"/>
          <w:szCs w:val="24"/>
        </w:rPr>
        <w:t>十、本规定由人民银行会同银监会、证监会、保监会和统计局负责解释。</w:t>
      </w:r>
    </w:p>
    <w:p w14:paraId="00A7017B">
      <w:pPr>
        <w:spacing w:line="400" w:lineRule="exact"/>
        <w:ind w:firstLine="483"/>
        <w:rPr>
          <w:rStyle w:val="22"/>
          <w:rFonts w:hint="eastAsia" w:cs="宋体"/>
          <w:b w:val="0"/>
          <w:bCs w:val="0"/>
          <w:szCs w:val="24"/>
        </w:rPr>
      </w:pPr>
      <w:r>
        <w:rPr>
          <w:rStyle w:val="22"/>
          <w:rFonts w:hint="eastAsia" w:cs="宋体"/>
          <w:b w:val="0"/>
          <w:bCs w:val="0"/>
          <w:szCs w:val="24"/>
        </w:rPr>
        <w:t>十一、本规定自发布之日起实施,</w:t>
      </w:r>
    </w:p>
    <w:p w14:paraId="038E5BA8">
      <w:pPr>
        <w:spacing w:line="400" w:lineRule="exact"/>
        <w:ind w:firstLine="483"/>
        <w:rPr>
          <w:rStyle w:val="22"/>
          <w:rFonts w:hint="eastAsia" w:cs="宋体"/>
          <w:b w:val="0"/>
          <w:bCs w:val="0"/>
          <w:szCs w:val="24"/>
        </w:rPr>
      </w:pPr>
    </w:p>
    <w:p w14:paraId="4007E021">
      <w:pPr>
        <w:spacing w:line="400" w:lineRule="exact"/>
        <w:ind w:firstLine="483"/>
        <w:rPr>
          <w:rStyle w:val="22"/>
          <w:rFonts w:hint="eastAsia" w:cs="宋体"/>
          <w:b w:val="0"/>
          <w:bCs w:val="0"/>
          <w:szCs w:val="24"/>
        </w:rPr>
      </w:pPr>
      <w:r>
        <w:rPr>
          <w:rStyle w:val="22"/>
          <w:rFonts w:hint="eastAsia" w:cs="宋体"/>
          <w:b w:val="0"/>
          <w:bCs w:val="0"/>
          <w:szCs w:val="24"/>
        </w:rPr>
        <w:t>附:金融业企业划型标准</w:t>
      </w:r>
    </w:p>
    <w:p w14:paraId="22FE0D8F">
      <w:pPr>
        <w:rPr>
          <w:rFonts w:hint="eastAsia" w:cs="宋体"/>
          <w:spacing w:val="6"/>
          <w:sz w:val="21"/>
          <w:szCs w:val="21"/>
        </w:rPr>
      </w:pPr>
    </w:p>
    <w:p w14:paraId="0240E9D0">
      <w:pPr>
        <w:rPr>
          <w:rFonts w:hint="eastAsia" w:cs="宋体"/>
          <w:spacing w:val="6"/>
          <w:szCs w:val="24"/>
        </w:rPr>
      </w:pPr>
    </w:p>
    <w:p w14:paraId="584336AF">
      <w:pPr>
        <w:rPr>
          <w:rFonts w:hint="eastAsia" w:cs="宋体"/>
          <w:spacing w:val="6"/>
          <w:szCs w:val="24"/>
        </w:rPr>
      </w:pPr>
    </w:p>
    <w:p w14:paraId="106BB42C">
      <w:pPr>
        <w:rPr>
          <w:rFonts w:hint="eastAsia" w:cs="宋体"/>
          <w:spacing w:val="6"/>
          <w:szCs w:val="24"/>
        </w:rPr>
      </w:pPr>
    </w:p>
    <w:p w14:paraId="375E0EF2">
      <w:pPr>
        <w:rPr>
          <w:rFonts w:hint="eastAsia" w:cs="宋体"/>
          <w:spacing w:val="6"/>
          <w:szCs w:val="24"/>
        </w:rPr>
      </w:pPr>
    </w:p>
    <w:p w14:paraId="5F459E3E">
      <w:pPr>
        <w:rPr>
          <w:rFonts w:hint="eastAsia" w:cs="宋体"/>
          <w:spacing w:val="6"/>
          <w:szCs w:val="24"/>
        </w:rPr>
      </w:pPr>
    </w:p>
    <w:p w14:paraId="516C80D1">
      <w:pPr>
        <w:rPr>
          <w:rFonts w:hint="eastAsia" w:cs="宋体"/>
          <w:spacing w:val="6"/>
          <w:szCs w:val="24"/>
        </w:rPr>
      </w:pPr>
      <w:r>
        <w:rPr>
          <w:rFonts w:hint="eastAsia" w:cs="宋体"/>
          <w:spacing w:val="6"/>
          <w:szCs w:val="24"/>
        </w:rPr>
        <w:t>附</w:t>
      </w:r>
    </w:p>
    <w:p w14:paraId="04384A35">
      <w:pPr>
        <w:pStyle w:val="13"/>
        <w:spacing w:line="240" w:lineRule="auto"/>
        <w:jc w:val="center"/>
        <w:rPr>
          <w:rFonts w:hint="eastAsia" w:hAnsi="宋体" w:cs="宋体"/>
          <w:bCs/>
          <w:sz w:val="32"/>
          <w:szCs w:val="32"/>
        </w:rPr>
      </w:pPr>
      <w:r>
        <w:rPr>
          <w:rFonts w:hint="eastAsia" w:hAnsi="宋体" w:cs="宋体"/>
          <w:b/>
          <w:sz w:val="28"/>
          <w:szCs w:val="28"/>
        </w:rPr>
        <w:t>金融业企业划型标准</w:t>
      </w:r>
    </w:p>
    <w:tbl>
      <w:tblPr>
        <w:tblStyle w:val="20"/>
        <w:tblW w:w="8498" w:type="dxa"/>
        <w:tblInd w:w="1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19"/>
        <w:gridCol w:w="1168"/>
        <w:gridCol w:w="1817"/>
        <w:gridCol w:w="1143"/>
        <w:gridCol w:w="3251"/>
      </w:tblGrid>
      <w:tr w14:paraId="4235F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Align w:val="center"/>
          </w:tcPr>
          <w:p w14:paraId="6C858D4A">
            <w:pPr>
              <w:spacing w:line="240" w:lineRule="auto"/>
              <w:jc w:val="center"/>
              <w:rPr>
                <w:rFonts w:hint="eastAsia" w:cs="宋体"/>
                <w:b/>
                <w:spacing w:val="6"/>
                <w:sz w:val="21"/>
                <w:szCs w:val="21"/>
              </w:rPr>
            </w:pPr>
            <w:r>
              <w:rPr>
                <w:rFonts w:hint="eastAsia" w:cs="宋体"/>
                <w:b/>
                <w:spacing w:val="6"/>
                <w:sz w:val="21"/>
                <w:szCs w:val="21"/>
              </w:rPr>
              <w:t>行业</w:t>
            </w:r>
          </w:p>
        </w:tc>
        <w:tc>
          <w:tcPr>
            <w:tcW w:w="1817" w:type="dxa"/>
            <w:vAlign w:val="center"/>
          </w:tcPr>
          <w:p w14:paraId="7549F47C">
            <w:pPr>
              <w:spacing w:line="240" w:lineRule="auto"/>
              <w:jc w:val="center"/>
              <w:rPr>
                <w:rFonts w:hint="eastAsia" w:cs="宋体"/>
                <w:b/>
                <w:spacing w:val="6"/>
                <w:sz w:val="21"/>
                <w:szCs w:val="21"/>
              </w:rPr>
            </w:pPr>
            <w:r>
              <w:rPr>
                <w:rFonts w:hint="eastAsia" w:cs="宋体"/>
                <w:b/>
                <w:spacing w:val="6"/>
                <w:sz w:val="21"/>
                <w:szCs w:val="21"/>
              </w:rPr>
              <w:t>类别</w:t>
            </w:r>
          </w:p>
        </w:tc>
        <w:tc>
          <w:tcPr>
            <w:tcW w:w="1143" w:type="dxa"/>
            <w:vAlign w:val="center"/>
          </w:tcPr>
          <w:p w14:paraId="061D071E">
            <w:pPr>
              <w:spacing w:line="240" w:lineRule="auto"/>
              <w:jc w:val="center"/>
              <w:rPr>
                <w:rFonts w:hint="eastAsia" w:cs="宋体"/>
                <w:b/>
                <w:spacing w:val="6"/>
                <w:sz w:val="21"/>
                <w:szCs w:val="21"/>
              </w:rPr>
            </w:pPr>
            <w:r>
              <w:rPr>
                <w:rFonts w:hint="eastAsia" w:cs="宋体"/>
                <w:b/>
                <w:spacing w:val="6"/>
                <w:sz w:val="21"/>
                <w:szCs w:val="21"/>
              </w:rPr>
              <w:t>类型</w:t>
            </w:r>
          </w:p>
        </w:tc>
        <w:tc>
          <w:tcPr>
            <w:tcW w:w="3251" w:type="dxa"/>
            <w:vAlign w:val="center"/>
          </w:tcPr>
          <w:p w14:paraId="6DF9A3E8">
            <w:pPr>
              <w:spacing w:line="240" w:lineRule="auto"/>
              <w:jc w:val="center"/>
              <w:rPr>
                <w:rFonts w:hint="eastAsia" w:cs="宋体"/>
                <w:b/>
                <w:spacing w:val="6"/>
                <w:sz w:val="21"/>
                <w:szCs w:val="21"/>
              </w:rPr>
            </w:pPr>
            <w:r>
              <w:rPr>
                <w:rFonts w:hint="eastAsia" w:cs="宋体"/>
                <w:b/>
                <w:spacing w:val="6"/>
                <w:sz w:val="21"/>
                <w:szCs w:val="21"/>
              </w:rPr>
              <w:t>资产总额</w:t>
            </w:r>
          </w:p>
        </w:tc>
      </w:tr>
      <w:tr w14:paraId="14E87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restart"/>
            <w:vAlign w:val="center"/>
          </w:tcPr>
          <w:p w14:paraId="1FD5A265">
            <w:pPr>
              <w:spacing w:line="240" w:lineRule="auto"/>
              <w:jc w:val="both"/>
              <w:rPr>
                <w:rFonts w:hint="eastAsia" w:cs="宋体"/>
                <w:spacing w:val="6"/>
                <w:sz w:val="21"/>
                <w:szCs w:val="21"/>
              </w:rPr>
            </w:pPr>
            <w:r>
              <w:rPr>
                <w:rFonts w:hint="eastAsia" w:cs="宋体"/>
                <w:spacing w:val="6"/>
                <w:sz w:val="21"/>
                <w:szCs w:val="21"/>
              </w:rPr>
              <w:t>货币金融服务</w:t>
            </w:r>
          </w:p>
        </w:tc>
        <w:tc>
          <w:tcPr>
            <w:tcW w:w="1168" w:type="dxa"/>
            <w:vMerge w:val="restart"/>
            <w:vAlign w:val="center"/>
          </w:tcPr>
          <w:p w14:paraId="06B48EA1">
            <w:pPr>
              <w:spacing w:line="240" w:lineRule="auto"/>
              <w:jc w:val="both"/>
              <w:rPr>
                <w:rFonts w:hint="eastAsia" w:cs="宋体"/>
                <w:spacing w:val="6"/>
                <w:sz w:val="21"/>
                <w:szCs w:val="21"/>
              </w:rPr>
            </w:pPr>
            <w:r>
              <w:rPr>
                <w:rFonts w:hint="eastAsia" w:cs="宋体"/>
                <w:spacing w:val="6"/>
                <w:sz w:val="21"/>
                <w:szCs w:val="21"/>
              </w:rPr>
              <w:t>货币银行服务</w:t>
            </w:r>
          </w:p>
        </w:tc>
        <w:tc>
          <w:tcPr>
            <w:tcW w:w="1817" w:type="dxa"/>
            <w:vMerge w:val="restart"/>
            <w:vAlign w:val="center"/>
          </w:tcPr>
          <w:p w14:paraId="21C6C9E3">
            <w:pPr>
              <w:spacing w:line="240" w:lineRule="auto"/>
              <w:jc w:val="both"/>
              <w:rPr>
                <w:rFonts w:hint="eastAsia" w:cs="宋体"/>
                <w:spacing w:val="6"/>
                <w:sz w:val="21"/>
                <w:szCs w:val="21"/>
              </w:rPr>
            </w:pPr>
            <w:r>
              <w:rPr>
                <w:rFonts w:hint="eastAsia" w:cs="宋体"/>
                <w:spacing w:val="6"/>
                <w:sz w:val="21"/>
                <w:szCs w:val="21"/>
              </w:rPr>
              <w:t>银行业存款类金融机构</w:t>
            </w:r>
          </w:p>
        </w:tc>
        <w:tc>
          <w:tcPr>
            <w:tcW w:w="1143" w:type="dxa"/>
            <w:vAlign w:val="center"/>
          </w:tcPr>
          <w:p w14:paraId="7018E0DC">
            <w:pPr>
              <w:spacing w:line="240" w:lineRule="auto"/>
              <w:jc w:val="center"/>
              <w:rPr>
                <w:rFonts w:hint="eastAsia" w:cs="宋体"/>
                <w:spacing w:val="6"/>
                <w:sz w:val="21"/>
                <w:szCs w:val="21"/>
              </w:rPr>
            </w:pPr>
            <w:r>
              <w:rPr>
                <w:rFonts w:hint="eastAsia" w:cs="宋体"/>
                <w:spacing w:val="6"/>
                <w:sz w:val="21"/>
                <w:szCs w:val="21"/>
              </w:rPr>
              <w:t>中型</w:t>
            </w:r>
          </w:p>
        </w:tc>
        <w:tc>
          <w:tcPr>
            <w:tcW w:w="3251" w:type="dxa"/>
            <w:vAlign w:val="center"/>
          </w:tcPr>
          <w:p w14:paraId="36296C68">
            <w:pPr>
              <w:spacing w:line="240" w:lineRule="auto"/>
              <w:jc w:val="center"/>
              <w:rPr>
                <w:rFonts w:hint="eastAsia" w:cs="宋体"/>
                <w:spacing w:val="6"/>
                <w:sz w:val="21"/>
                <w:szCs w:val="21"/>
              </w:rPr>
            </w:pPr>
            <w:r>
              <w:rPr>
                <w:rFonts w:hint="eastAsia" w:cs="宋体"/>
                <w:spacing w:val="6"/>
                <w:sz w:val="21"/>
                <w:szCs w:val="21"/>
              </w:rPr>
              <w:t>5000亿元（含）至40000亿元</w:t>
            </w:r>
          </w:p>
        </w:tc>
      </w:tr>
      <w:tr w14:paraId="58A32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7A6AF661">
            <w:pPr>
              <w:spacing w:line="240" w:lineRule="auto"/>
              <w:jc w:val="both"/>
              <w:rPr>
                <w:rFonts w:hint="eastAsia" w:cs="宋体"/>
                <w:spacing w:val="6"/>
                <w:sz w:val="21"/>
                <w:szCs w:val="21"/>
              </w:rPr>
            </w:pPr>
          </w:p>
        </w:tc>
        <w:tc>
          <w:tcPr>
            <w:tcW w:w="1168" w:type="dxa"/>
            <w:vMerge w:val="continue"/>
            <w:vAlign w:val="center"/>
          </w:tcPr>
          <w:p w14:paraId="5E44B03C">
            <w:pPr>
              <w:spacing w:line="240" w:lineRule="auto"/>
              <w:jc w:val="both"/>
              <w:rPr>
                <w:rFonts w:hint="eastAsia" w:cs="宋体"/>
                <w:spacing w:val="6"/>
                <w:sz w:val="21"/>
                <w:szCs w:val="21"/>
              </w:rPr>
            </w:pPr>
          </w:p>
        </w:tc>
        <w:tc>
          <w:tcPr>
            <w:tcW w:w="1817" w:type="dxa"/>
            <w:vMerge w:val="continue"/>
            <w:vAlign w:val="center"/>
          </w:tcPr>
          <w:p w14:paraId="1EC404E9">
            <w:pPr>
              <w:spacing w:line="240" w:lineRule="auto"/>
              <w:jc w:val="both"/>
              <w:rPr>
                <w:rFonts w:hint="eastAsia" w:cs="宋体"/>
                <w:spacing w:val="6"/>
                <w:sz w:val="21"/>
                <w:szCs w:val="21"/>
              </w:rPr>
            </w:pPr>
          </w:p>
        </w:tc>
        <w:tc>
          <w:tcPr>
            <w:tcW w:w="1143" w:type="dxa"/>
            <w:vAlign w:val="center"/>
          </w:tcPr>
          <w:p w14:paraId="45D277BC">
            <w:pPr>
              <w:spacing w:line="240" w:lineRule="auto"/>
              <w:jc w:val="center"/>
              <w:rPr>
                <w:rFonts w:hint="eastAsia" w:cs="宋体"/>
                <w:spacing w:val="6"/>
                <w:sz w:val="21"/>
                <w:szCs w:val="21"/>
              </w:rPr>
            </w:pPr>
            <w:r>
              <w:rPr>
                <w:rFonts w:hint="eastAsia" w:cs="宋体"/>
                <w:spacing w:val="6"/>
                <w:sz w:val="21"/>
                <w:szCs w:val="21"/>
              </w:rPr>
              <w:t>小型</w:t>
            </w:r>
          </w:p>
        </w:tc>
        <w:tc>
          <w:tcPr>
            <w:tcW w:w="3251" w:type="dxa"/>
            <w:vAlign w:val="center"/>
          </w:tcPr>
          <w:p w14:paraId="788AFCC0">
            <w:pPr>
              <w:spacing w:line="240" w:lineRule="auto"/>
              <w:jc w:val="center"/>
              <w:rPr>
                <w:rFonts w:hint="eastAsia" w:cs="宋体"/>
                <w:spacing w:val="6"/>
                <w:sz w:val="21"/>
                <w:szCs w:val="21"/>
              </w:rPr>
            </w:pPr>
            <w:r>
              <w:rPr>
                <w:rFonts w:hint="eastAsia" w:cs="宋体"/>
                <w:spacing w:val="6"/>
                <w:sz w:val="21"/>
                <w:szCs w:val="21"/>
              </w:rPr>
              <w:t>50亿元（含）至5000亿元</w:t>
            </w:r>
          </w:p>
        </w:tc>
      </w:tr>
      <w:tr w14:paraId="7D8A2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0F9DB453">
            <w:pPr>
              <w:spacing w:line="240" w:lineRule="auto"/>
              <w:jc w:val="both"/>
              <w:rPr>
                <w:rFonts w:hint="eastAsia" w:cs="宋体"/>
                <w:spacing w:val="6"/>
                <w:sz w:val="21"/>
                <w:szCs w:val="21"/>
              </w:rPr>
            </w:pPr>
          </w:p>
        </w:tc>
        <w:tc>
          <w:tcPr>
            <w:tcW w:w="1168" w:type="dxa"/>
            <w:vMerge w:val="continue"/>
            <w:vAlign w:val="center"/>
          </w:tcPr>
          <w:p w14:paraId="6E742AFB">
            <w:pPr>
              <w:spacing w:line="240" w:lineRule="auto"/>
              <w:jc w:val="both"/>
              <w:rPr>
                <w:rFonts w:hint="eastAsia" w:cs="宋体"/>
                <w:spacing w:val="6"/>
                <w:sz w:val="21"/>
                <w:szCs w:val="21"/>
              </w:rPr>
            </w:pPr>
          </w:p>
        </w:tc>
        <w:tc>
          <w:tcPr>
            <w:tcW w:w="1817" w:type="dxa"/>
            <w:vMerge w:val="continue"/>
            <w:vAlign w:val="center"/>
          </w:tcPr>
          <w:p w14:paraId="1D767001">
            <w:pPr>
              <w:spacing w:line="240" w:lineRule="auto"/>
              <w:jc w:val="both"/>
              <w:rPr>
                <w:rFonts w:hint="eastAsia" w:cs="宋体"/>
                <w:spacing w:val="6"/>
                <w:sz w:val="21"/>
                <w:szCs w:val="21"/>
              </w:rPr>
            </w:pPr>
          </w:p>
        </w:tc>
        <w:tc>
          <w:tcPr>
            <w:tcW w:w="1143" w:type="dxa"/>
            <w:vAlign w:val="center"/>
          </w:tcPr>
          <w:p w14:paraId="17443E5B">
            <w:pPr>
              <w:spacing w:line="240" w:lineRule="auto"/>
              <w:jc w:val="center"/>
              <w:rPr>
                <w:rFonts w:hint="eastAsia" w:cs="宋体"/>
                <w:spacing w:val="6"/>
                <w:sz w:val="21"/>
                <w:szCs w:val="21"/>
              </w:rPr>
            </w:pPr>
            <w:r>
              <w:rPr>
                <w:rFonts w:hint="eastAsia" w:cs="宋体"/>
                <w:spacing w:val="6"/>
                <w:sz w:val="21"/>
                <w:szCs w:val="21"/>
              </w:rPr>
              <w:t>微型</w:t>
            </w:r>
          </w:p>
        </w:tc>
        <w:tc>
          <w:tcPr>
            <w:tcW w:w="3251" w:type="dxa"/>
            <w:vAlign w:val="center"/>
          </w:tcPr>
          <w:p w14:paraId="141CA02C">
            <w:pPr>
              <w:spacing w:line="240" w:lineRule="auto"/>
              <w:jc w:val="center"/>
              <w:rPr>
                <w:rFonts w:hint="eastAsia" w:cs="宋体"/>
                <w:spacing w:val="6"/>
                <w:sz w:val="21"/>
                <w:szCs w:val="21"/>
              </w:rPr>
            </w:pPr>
            <w:r>
              <w:rPr>
                <w:rFonts w:hint="eastAsia" w:cs="宋体"/>
                <w:spacing w:val="6"/>
                <w:sz w:val="21"/>
                <w:szCs w:val="21"/>
              </w:rPr>
              <w:t>50亿元以下</w:t>
            </w:r>
          </w:p>
        </w:tc>
      </w:tr>
      <w:tr w14:paraId="71925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38178E4F">
            <w:pPr>
              <w:spacing w:line="240" w:lineRule="auto"/>
              <w:jc w:val="both"/>
              <w:rPr>
                <w:rFonts w:hint="eastAsia" w:cs="宋体"/>
                <w:spacing w:val="6"/>
                <w:sz w:val="21"/>
                <w:szCs w:val="21"/>
              </w:rPr>
            </w:pPr>
          </w:p>
        </w:tc>
        <w:tc>
          <w:tcPr>
            <w:tcW w:w="1168" w:type="dxa"/>
            <w:vMerge w:val="restart"/>
            <w:vAlign w:val="center"/>
          </w:tcPr>
          <w:p w14:paraId="17FFEA5C">
            <w:pPr>
              <w:spacing w:line="240" w:lineRule="auto"/>
              <w:jc w:val="both"/>
              <w:rPr>
                <w:rFonts w:hint="eastAsia" w:cs="宋体"/>
                <w:spacing w:val="6"/>
                <w:sz w:val="21"/>
                <w:szCs w:val="21"/>
              </w:rPr>
            </w:pPr>
            <w:r>
              <w:rPr>
                <w:rFonts w:hint="eastAsia" w:cs="宋体"/>
                <w:spacing w:val="6"/>
                <w:sz w:val="21"/>
                <w:szCs w:val="21"/>
              </w:rPr>
              <w:t>非货币银行服务</w:t>
            </w:r>
          </w:p>
        </w:tc>
        <w:tc>
          <w:tcPr>
            <w:tcW w:w="1817" w:type="dxa"/>
            <w:vMerge w:val="restart"/>
            <w:vAlign w:val="center"/>
          </w:tcPr>
          <w:p w14:paraId="72E61E16">
            <w:pPr>
              <w:spacing w:line="240" w:lineRule="auto"/>
              <w:jc w:val="both"/>
              <w:rPr>
                <w:rFonts w:hint="eastAsia" w:cs="宋体"/>
                <w:spacing w:val="6"/>
                <w:sz w:val="21"/>
                <w:szCs w:val="21"/>
              </w:rPr>
            </w:pPr>
            <w:r>
              <w:rPr>
                <w:rFonts w:hint="eastAsia" w:cs="宋体"/>
                <w:spacing w:val="6"/>
                <w:sz w:val="21"/>
                <w:szCs w:val="21"/>
              </w:rPr>
              <w:t>银行业非存款类金融机构</w:t>
            </w:r>
          </w:p>
        </w:tc>
        <w:tc>
          <w:tcPr>
            <w:tcW w:w="1143" w:type="dxa"/>
            <w:vAlign w:val="center"/>
          </w:tcPr>
          <w:p w14:paraId="212D2E3F">
            <w:pPr>
              <w:spacing w:line="240" w:lineRule="auto"/>
              <w:jc w:val="center"/>
              <w:rPr>
                <w:rFonts w:hint="eastAsia" w:cs="宋体"/>
                <w:spacing w:val="6"/>
                <w:sz w:val="21"/>
                <w:szCs w:val="21"/>
              </w:rPr>
            </w:pPr>
            <w:r>
              <w:rPr>
                <w:rFonts w:hint="eastAsia" w:cs="宋体"/>
                <w:spacing w:val="6"/>
                <w:sz w:val="21"/>
                <w:szCs w:val="21"/>
              </w:rPr>
              <w:t>中型</w:t>
            </w:r>
          </w:p>
        </w:tc>
        <w:tc>
          <w:tcPr>
            <w:tcW w:w="3251" w:type="dxa"/>
            <w:vAlign w:val="center"/>
          </w:tcPr>
          <w:p w14:paraId="55A18EFC">
            <w:pPr>
              <w:spacing w:line="240" w:lineRule="auto"/>
              <w:jc w:val="center"/>
              <w:rPr>
                <w:rFonts w:hint="eastAsia" w:cs="宋体"/>
                <w:spacing w:val="6"/>
                <w:sz w:val="21"/>
                <w:szCs w:val="21"/>
              </w:rPr>
            </w:pPr>
            <w:r>
              <w:rPr>
                <w:rFonts w:hint="eastAsia" w:cs="宋体"/>
                <w:spacing w:val="6"/>
                <w:sz w:val="21"/>
                <w:szCs w:val="21"/>
              </w:rPr>
              <w:t>200亿元（含）至1000亿元</w:t>
            </w:r>
          </w:p>
        </w:tc>
      </w:tr>
      <w:tr w14:paraId="70DBE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2C622332">
            <w:pPr>
              <w:spacing w:line="240" w:lineRule="auto"/>
              <w:jc w:val="both"/>
              <w:rPr>
                <w:rFonts w:hint="eastAsia" w:cs="宋体"/>
                <w:spacing w:val="6"/>
                <w:sz w:val="21"/>
                <w:szCs w:val="21"/>
              </w:rPr>
            </w:pPr>
          </w:p>
        </w:tc>
        <w:tc>
          <w:tcPr>
            <w:tcW w:w="1168" w:type="dxa"/>
            <w:vMerge w:val="continue"/>
            <w:vAlign w:val="center"/>
          </w:tcPr>
          <w:p w14:paraId="072B9DC9">
            <w:pPr>
              <w:spacing w:line="240" w:lineRule="auto"/>
              <w:jc w:val="both"/>
              <w:rPr>
                <w:rFonts w:hint="eastAsia" w:cs="宋体"/>
                <w:spacing w:val="6"/>
                <w:sz w:val="21"/>
                <w:szCs w:val="21"/>
              </w:rPr>
            </w:pPr>
          </w:p>
        </w:tc>
        <w:tc>
          <w:tcPr>
            <w:tcW w:w="1817" w:type="dxa"/>
            <w:vMerge w:val="continue"/>
            <w:vAlign w:val="center"/>
          </w:tcPr>
          <w:p w14:paraId="7BDC42E5">
            <w:pPr>
              <w:spacing w:line="240" w:lineRule="auto"/>
              <w:jc w:val="both"/>
              <w:rPr>
                <w:rFonts w:hint="eastAsia" w:cs="宋体"/>
                <w:spacing w:val="6"/>
                <w:sz w:val="21"/>
                <w:szCs w:val="21"/>
              </w:rPr>
            </w:pPr>
          </w:p>
        </w:tc>
        <w:tc>
          <w:tcPr>
            <w:tcW w:w="1143" w:type="dxa"/>
            <w:vAlign w:val="center"/>
          </w:tcPr>
          <w:p w14:paraId="59B220DC">
            <w:pPr>
              <w:spacing w:line="240" w:lineRule="auto"/>
              <w:jc w:val="center"/>
              <w:rPr>
                <w:rFonts w:hint="eastAsia" w:cs="宋体"/>
                <w:spacing w:val="6"/>
                <w:sz w:val="21"/>
                <w:szCs w:val="21"/>
              </w:rPr>
            </w:pPr>
            <w:r>
              <w:rPr>
                <w:rFonts w:hint="eastAsia" w:cs="宋体"/>
                <w:spacing w:val="6"/>
                <w:sz w:val="21"/>
                <w:szCs w:val="21"/>
              </w:rPr>
              <w:t>小型</w:t>
            </w:r>
          </w:p>
        </w:tc>
        <w:tc>
          <w:tcPr>
            <w:tcW w:w="3251" w:type="dxa"/>
            <w:vAlign w:val="center"/>
          </w:tcPr>
          <w:p w14:paraId="7DA51705">
            <w:pPr>
              <w:spacing w:line="240" w:lineRule="auto"/>
              <w:jc w:val="center"/>
              <w:rPr>
                <w:rFonts w:hint="eastAsia" w:cs="宋体"/>
                <w:spacing w:val="6"/>
                <w:sz w:val="21"/>
                <w:szCs w:val="21"/>
              </w:rPr>
            </w:pPr>
            <w:r>
              <w:rPr>
                <w:rFonts w:hint="eastAsia" w:cs="宋体"/>
                <w:spacing w:val="6"/>
                <w:sz w:val="21"/>
                <w:szCs w:val="21"/>
              </w:rPr>
              <w:t>50亿元（含）至200亿元</w:t>
            </w:r>
          </w:p>
        </w:tc>
      </w:tr>
      <w:tr w14:paraId="3D25E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231F47F1">
            <w:pPr>
              <w:spacing w:line="240" w:lineRule="auto"/>
              <w:jc w:val="both"/>
              <w:rPr>
                <w:rFonts w:hint="eastAsia" w:cs="宋体"/>
                <w:spacing w:val="6"/>
                <w:sz w:val="21"/>
                <w:szCs w:val="21"/>
              </w:rPr>
            </w:pPr>
          </w:p>
        </w:tc>
        <w:tc>
          <w:tcPr>
            <w:tcW w:w="1168" w:type="dxa"/>
            <w:vMerge w:val="continue"/>
            <w:vAlign w:val="center"/>
          </w:tcPr>
          <w:p w14:paraId="0959CA70">
            <w:pPr>
              <w:spacing w:line="240" w:lineRule="auto"/>
              <w:jc w:val="both"/>
              <w:rPr>
                <w:rFonts w:hint="eastAsia" w:cs="宋体"/>
                <w:spacing w:val="6"/>
                <w:sz w:val="21"/>
                <w:szCs w:val="21"/>
              </w:rPr>
            </w:pPr>
          </w:p>
        </w:tc>
        <w:tc>
          <w:tcPr>
            <w:tcW w:w="1817" w:type="dxa"/>
            <w:vMerge w:val="continue"/>
            <w:vAlign w:val="center"/>
          </w:tcPr>
          <w:p w14:paraId="78E128CB">
            <w:pPr>
              <w:spacing w:line="240" w:lineRule="auto"/>
              <w:jc w:val="both"/>
              <w:rPr>
                <w:rFonts w:hint="eastAsia" w:cs="宋体"/>
                <w:spacing w:val="6"/>
                <w:sz w:val="21"/>
                <w:szCs w:val="21"/>
              </w:rPr>
            </w:pPr>
          </w:p>
        </w:tc>
        <w:tc>
          <w:tcPr>
            <w:tcW w:w="1143" w:type="dxa"/>
            <w:vAlign w:val="center"/>
          </w:tcPr>
          <w:p w14:paraId="48BA0B5D">
            <w:pPr>
              <w:spacing w:line="240" w:lineRule="auto"/>
              <w:jc w:val="center"/>
              <w:rPr>
                <w:rFonts w:hint="eastAsia" w:cs="宋体"/>
                <w:spacing w:val="6"/>
                <w:sz w:val="21"/>
                <w:szCs w:val="21"/>
              </w:rPr>
            </w:pPr>
            <w:r>
              <w:rPr>
                <w:rFonts w:hint="eastAsia" w:cs="宋体"/>
                <w:spacing w:val="6"/>
                <w:sz w:val="21"/>
                <w:szCs w:val="21"/>
              </w:rPr>
              <w:t>微型</w:t>
            </w:r>
          </w:p>
        </w:tc>
        <w:tc>
          <w:tcPr>
            <w:tcW w:w="3251" w:type="dxa"/>
            <w:vAlign w:val="center"/>
          </w:tcPr>
          <w:p w14:paraId="3C2BB013">
            <w:pPr>
              <w:spacing w:line="240" w:lineRule="auto"/>
              <w:jc w:val="center"/>
              <w:rPr>
                <w:rFonts w:hint="eastAsia" w:cs="宋体"/>
                <w:spacing w:val="6"/>
                <w:sz w:val="21"/>
                <w:szCs w:val="21"/>
              </w:rPr>
            </w:pPr>
            <w:r>
              <w:rPr>
                <w:rFonts w:hint="eastAsia" w:cs="宋体"/>
                <w:spacing w:val="6"/>
                <w:sz w:val="21"/>
                <w:szCs w:val="21"/>
              </w:rPr>
              <w:t>50亿元以下</w:t>
            </w:r>
          </w:p>
        </w:tc>
      </w:tr>
      <w:tr w14:paraId="1C0CD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0E89AADF">
            <w:pPr>
              <w:spacing w:line="240" w:lineRule="auto"/>
              <w:jc w:val="both"/>
              <w:rPr>
                <w:rFonts w:hint="eastAsia" w:cs="宋体"/>
                <w:spacing w:val="6"/>
                <w:sz w:val="21"/>
                <w:szCs w:val="21"/>
              </w:rPr>
            </w:pPr>
          </w:p>
        </w:tc>
        <w:tc>
          <w:tcPr>
            <w:tcW w:w="1168" w:type="dxa"/>
            <w:vMerge w:val="continue"/>
            <w:vAlign w:val="center"/>
          </w:tcPr>
          <w:p w14:paraId="59AF4CB3">
            <w:pPr>
              <w:spacing w:line="240" w:lineRule="auto"/>
              <w:jc w:val="both"/>
              <w:rPr>
                <w:rFonts w:hint="eastAsia" w:cs="宋体"/>
                <w:spacing w:val="6"/>
                <w:sz w:val="21"/>
                <w:szCs w:val="21"/>
              </w:rPr>
            </w:pPr>
          </w:p>
        </w:tc>
        <w:tc>
          <w:tcPr>
            <w:tcW w:w="1817" w:type="dxa"/>
            <w:vMerge w:val="restart"/>
            <w:vAlign w:val="center"/>
          </w:tcPr>
          <w:p w14:paraId="7E4EB3D8">
            <w:pPr>
              <w:spacing w:line="240" w:lineRule="auto"/>
              <w:jc w:val="both"/>
              <w:rPr>
                <w:rFonts w:hint="eastAsia" w:cs="宋体"/>
                <w:spacing w:val="6"/>
                <w:sz w:val="21"/>
                <w:szCs w:val="21"/>
              </w:rPr>
            </w:pPr>
            <w:r>
              <w:rPr>
                <w:rFonts w:hint="eastAsia" w:cs="宋体"/>
                <w:spacing w:val="6"/>
                <w:sz w:val="21"/>
                <w:szCs w:val="21"/>
              </w:rPr>
              <w:t>贷款公司、小额贷款公司及典当行</w:t>
            </w:r>
          </w:p>
        </w:tc>
        <w:tc>
          <w:tcPr>
            <w:tcW w:w="1143" w:type="dxa"/>
            <w:vAlign w:val="center"/>
          </w:tcPr>
          <w:p w14:paraId="491B8987">
            <w:pPr>
              <w:spacing w:line="240" w:lineRule="auto"/>
              <w:jc w:val="center"/>
              <w:rPr>
                <w:rFonts w:hint="eastAsia" w:cs="宋体"/>
                <w:spacing w:val="6"/>
                <w:sz w:val="21"/>
                <w:szCs w:val="21"/>
              </w:rPr>
            </w:pPr>
            <w:r>
              <w:rPr>
                <w:rFonts w:hint="eastAsia" w:cs="宋体"/>
                <w:spacing w:val="6"/>
                <w:sz w:val="21"/>
                <w:szCs w:val="21"/>
              </w:rPr>
              <w:t>中型</w:t>
            </w:r>
          </w:p>
        </w:tc>
        <w:tc>
          <w:tcPr>
            <w:tcW w:w="3251" w:type="dxa"/>
            <w:vAlign w:val="center"/>
          </w:tcPr>
          <w:p w14:paraId="37561820">
            <w:pPr>
              <w:spacing w:line="240" w:lineRule="auto"/>
              <w:jc w:val="center"/>
              <w:rPr>
                <w:rFonts w:hint="eastAsia" w:cs="宋体"/>
                <w:spacing w:val="6"/>
                <w:sz w:val="21"/>
                <w:szCs w:val="21"/>
              </w:rPr>
            </w:pPr>
            <w:r>
              <w:rPr>
                <w:rFonts w:hint="eastAsia" w:cs="宋体"/>
                <w:spacing w:val="6"/>
                <w:sz w:val="21"/>
                <w:szCs w:val="21"/>
              </w:rPr>
              <w:t>200亿元（含）至1000亿元</w:t>
            </w:r>
          </w:p>
        </w:tc>
      </w:tr>
      <w:tr w14:paraId="273CC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73ECF43B">
            <w:pPr>
              <w:spacing w:line="240" w:lineRule="auto"/>
              <w:jc w:val="both"/>
              <w:rPr>
                <w:rFonts w:hint="eastAsia" w:cs="宋体"/>
                <w:spacing w:val="6"/>
                <w:sz w:val="21"/>
                <w:szCs w:val="21"/>
              </w:rPr>
            </w:pPr>
          </w:p>
        </w:tc>
        <w:tc>
          <w:tcPr>
            <w:tcW w:w="1168" w:type="dxa"/>
            <w:vMerge w:val="continue"/>
            <w:vAlign w:val="center"/>
          </w:tcPr>
          <w:p w14:paraId="388DED8E">
            <w:pPr>
              <w:spacing w:line="240" w:lineRule="auto"/>
              <w:jc w:val="both"/>
              <w:rPr>
                <w:rFonts w:hint="eastAsia" w:cs="宋体"/>
                <w:spacing w:val="6"/>
                <w:sz w:val="21"/>
                <w:szCs w:val="21"/>
              </w:rPr>
            </w:pPr>
          </w:p>
        </w:tc>
        <w:tc>
          <w:tcPr>
            <w:tcW w:w="1817" w:type="dxa"/>
            <w:vMerge w:val="continue"/>
            <w:vAlign w:val="center"/>
          </w:tcPr>
          <w:p w14:paraId="5A56F951">
            <w:pPr>
              <w:spacing w:line="240" w:lineRule="auto"/>
              <w:jc w:val="both"/>
              <w:rPr>
                <w:rFonts w:hint="eastAsia" w:cs="宋体"/>
                <w:spacing w:val="6"/>
                <w:sz w:val="21"/>
                <w:szCs w:val="21"/>
              </w:rPr>
            </w:pPr>
          </w:p>
        </w:tc>
        <w:tc>
          <w:tcPr>
            <w:tcW w:w="1143" w:type="dxa"/>
            <w:vAlign w:val="center"/>
          </w:tcPr>
          <w:p w14:paraId="5B751AB8">
            <w:pPr>
              <w:spacing w:line="240" w:lineRule="auto"/>
              <w:jc w:val="center"/>
              <w:rPr>
                <w:rFonts w:hint="eastAsia" w:cs="宋体"/>
                <w:spacing w:val="6"/>
                <w:sz w:val="21"/>
                <w:szCs w:val="21"/>
              </w:rPr>
            </w:pPr>
            <w:r>
              <w:rPr>
                <w:rFonts w:hint="eastAsia" w:cs="宋体"/>
                <w:spacing w:val="6"/>
                <w:sz w:val="21"/>
                <w:szCs w:val="21"/>
              </w:rPr>
              <w:t>小型</w:t>
            </w:r>
          </w:p>
        </w:tc>
        <w:tc>
          <w:tcPr>
            <w:tcW w:w="3251" w:type="dxa"/>
            <w:vAlign w:val="center"/>
          </w:tcPr>
          <w:p w14:paraId="75E03B84">
            <w:pPr>
              <w:spacing w:line="240" w:lineRule="auto"/>
              <w:jc w:val="center"/>
              <w:rPr>
                <w:rFonts w:hint="eastAsia" w:cs="宋体"/>
                <w:spacing w:val="6"/>
                <w:sz w:val="21"/>
                <w:szCs w:val="21"/>
              </w:rPr>
            </w:pPr>
            <w:r>
              <w:rPr>
                <w:rFonts w:hint="eastAsia" w:cs="宋体"/>
                <w:spacing w:val="6"/>
                <w:sz w:val="21"/>
                <w:szCs w:val="21"/>
              </w:rPr>
              <w:t>50亿元（含）至200亿元</w:t>
            </w:r>
          </w:p>
        </w:tc>
      </w:tr>
      <w:tr w14:paraId="2FD3C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4934C7C3">
            <w:pPr>
              <w:spacing w:line="240" w:lineRule="auto"/>
              <w:jc w:val="both"/>
              <w:rPr>
                <w:rFonts w:hint="eastAsia" w:cs="宋体"/>
                <w:spacing w:val="6"/>
                <w:sz w:val="21"/>
                <w:szCs w:val="21"/>
              </w:rPr>
            </w:pPr>
          </w:p>
        </w:tc>
        <w:tc>
          <w:tcPr>
            <w:tcW w:w="1168" w:type="dxa"/>
            <w:vMerge w:val="continue"/>
            <w:vAlign w:val="center"/>
          </w:tcPr>
          <w:p w14:paraId="378D38DE">
            <w:pPr>
              <w:spacing w:line="240" w:lineRule="auto"/>
              <w:jc w:val="both"/>
              <w:rPr>
                <w:rFonts w:hint="eastAsia" w:cs="宋体"/>
                <w:spacing w:val="6"/>
                <w:sz w:val="21"/>
                <w:szCs w:val="21"/>
              </w:rPr>
            </w:pPr>
          </w:p>
        </w:tc>
        <w:tc>
          <w:tcPr>
            <w:tcW w:w="1817" w:type="dxa"/>
            <w:vMerge w:val="continue"/>
            <w:vAlign w:val="center"/>
          </w:tcPr>
          <w:p w14:paraId="7703712B">
            <w:pPr>
              <w:spacing w:line="240" w:lineRule="auto"/>
              <w:jc w:val="both"/>
              <w:rPr>
                <w:rFonts w:hint="eastAsia" w:cs="宋体"/>
                <w:spacing w:val="6"/>
                <w:sz w:val="21"/>
                <w:szCs w:val="21"/>
              </w:rPr>
            </w:pPr>
          </w:p>
        </w:tc>
        <w:tc>
          <w:tcPr>
            <w:tcW w:w="1143" w:type="dxa"/>
            <w:vAlign w:val="center"/>
          </w:tcPr>
          <w:p w14:paraId="6CB90B97">
            <w:pPr>
              <w:spacing w:line="240" w:lineRule="auto"/>
              <w:jc w:val="center"/>
              <w:rPr>
                <w:rFonts w:hint="eastAsia" w:cs="宋体"/>
                <w:spacing w:val="6"/>
                <w:sz w:val="21"/>
                <w:szCs w:val="21"/>
              </w:rPr>
            </w:pPr>
            <w:r>
              <w:rPr>
                <w:rFonts w:hint="eastAsia" w:cs="宋体"/>
                <w:spacing w:val="6"/>
                <w:sz w:val="21"/>
                <w:szCs w:val="21"/>
              </w:rPr>
              <w:t>微型</w:t>
            </w:r>
          </w:p>
        </w:tc>
        <w:tc>
          <w:tcPr>
            <w:tcW w:w="3251" w:type="dxa"/>
            <w:vAlign w:val="center"/>
          </w:tcPr>
          <w:p w14:paraId="12EDF00C">
            <w:pPr>
              <w:spacing w:line="240" w:lineRule="auto"/>
              <w:jc w:val="center"/>
              <w:rPr>
                <w:rFonts w:hint="eastAsia" w:cs="宋体"/>
                <w:spacing w:val="6"/>
                <w:sz w:val="21"/>
                <w:szCs w:val="21"/>
              </w:rPr>
            </w:pPr>
            <w:r>
              <w:rPr>
                <w:rFonts w:hint="eastAsia" w:cs="宋体"/>
                <w:spacing w:val="6"/>
                <w:sz w:val="21"/>
                <w:szCs w:val="21"/>
              </w:rPr>
              <w:t>50亿元以下</w:t>
            </w:r>
          </w:p>
        </w:tc>
      </w:tr>
      <w:tr w14:paraId="1423C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Merge w:val="restart"/>
            <w:vAlign w:val="center"/>
          </w:tcPr>
          <w:p w14:paraId="48BB6D11">
            <w:pPr>
              <w:spacing w:line="240" w:lineRule="auto"/>
              <w:jc w:val="both"/>
              <w:rPr>
                <w:rFonts w:hint="eastAsia" w:cs="宋体"/>
                <w:spacing w:val="6"/>
                <w:sz w:val="21"/>
                <w:szCs w:val="21"/>
              </w:rPr>
            </w:pPr>
            <w:r>
              <w:rPr>
                <w:rFonts w:hint="eastAsia" w:cs="宋体"/>
                <w:spacing w:val="6"/>
                <w:sz w:val="21"/>
                <w:szCs w:val="21"/>
              </w:rPr>
              <w:t>资本市场服务</w:t>
            </w:r>
          </w:p>
        </w:tc>
        <w:tc>
          <w:tcPr>
            <w:tcW w:w="1817" w:type="dxa"/>
            <w:vMerge w:val="restart"/>
            <w:vAlign w:val="center"/>
          </w:tcPr>
          <w:p w14:paraId="75AA52CB">
            <w:pPr>
              <w:spacing w:line="240" w:lineRule="auto"/>
              <w:jc w:val="both"/>
              <w:rPr>
                <w:rFonts w:hint="eastAsia" w:cs="宋体"/>
                <w:spacing w:val="6"/>
                <w:sz w:val="21"/>
                <w:szCs w:val="21"/>
              </w:rPr>
            </w:pPr>
            <w:r>
              <w:rPr>
                <w:rFonts w:hint="eastAsia" w:cs="宋体"/>
                <w:spacing w:val="6"/>
                <w:sz w:val="21"/>
                <w:szCs w:val="21"/>
              </w:rPr>
              <w:t>证券业金融机构</w:t>
            </w:r>
          </w:p>
        </w:tc>
        <w:tc>
          <w:tcPr>
            <w:tcW w:w="1143" w:type="dxa"/>
            <w:vAlign w:val="center"/>
          </w:tcPr>
          <w:p w14:paraId="0F3C97C4">
            <w:pPr>
              <w:spacing w:line="240" w:lineRule="auto"/>
              <w:jc w:val="center"/>
              <w:rPr>
                <w:rFonts w:hint="eastAsia" w:cs="宋体"/>
                <w:spacing w:val="6"/>
                <w:sz w:val="21"/>
                <w:szCs w:val="21"/>
              </w:rPr>
            </w:pPr>
            <w:r>
              <w:rPr>
                <w:rFonts w:hint="eastAsia" w:cs="宋体"/>
                <w:spacing w:val="6"/>
                <w:sz w:val="21"/>
                <w:szCs w:val="21"/>
              </w:rPr>
              <w:t>中型</w:t>
            </w:r>
          </w:p>
        </w:tc>
        <w:tc>
          <w:tcPr>
            <w:tcW w:w="3251" w:type="dxa"/>
            <w:vAlign w:val="center"/>
          </w:tcPr>
          <w:p w14:paraId="4C3E6072">
            <w:pPr>
              <w:spacing w:line="240" w:lineRule="auto"/>
              <w:jc w:val="center"/>
              <w:rPr>
                <w:rFonts w:hint="eastAsia" w:cs="宋体"/>
                <w:spacing w:val="6"/>
                <w:sz w:val="21"/>
                <w:szCs w:val="21"/>
              </w:rPr>
            </w:pPr>
            <w:r>
              <w:rPr>
                <w:rFonts w:hint="eastAsia" w:cs="宋体"/>
                <w:spacing w:val="6"/>
                <w:sz w:val="21"/>
                <w:szCs w:val="21"/>
              </w:rPr>
              <w:t>100亿元（含）至1000亿元</w:t>
            </w:r>
          </w:p>
        </w:tc>
      </w:tr>
      <w:tr w14:paraId="75FBC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Merge w:val="continue"/>
            <w:vAlign w:val="center"/>
          </w:tcPr>
          <w:p w14:paraId="6A67DFB8">
            <w:pPr>
              <w:spacing w:line="240" w:lineRule="auto"/>
              <w:jc w:val="both"/>
              <w:rPr>
                <w:rFonts w:hint="eastAsia" w:cs="宋体"/>
                <w:spacing w:val="6"/>
                <w:sz w:val="21"/>
                <w:szCs w:val="21"/>
              </w:rPr>
            </w:pPr>
          </w:p>
        </w:tc>
        <w:tc>
          <w:tcPr>
            <w:tcW w:w="1817" w:type="dxa"/>
            <w:vMerge w:val="continue"/>
            <w:vAlign w:val="center"/>
          </w:tcPr>
          <w:p w14:paraId="62AD53E5">
            <w:pPr>
              <w:spacing w:line="240" w:lineRule="auto"/>
              <w:jc w:val="both"/>
              <w:rPr>
                <w:rFonts w:hint="eastAsia" w:cs="宋体"/>
                <w:spacing w:val="6"/>
                <w:sz w:val="21"/>
                <w:szCs w:val="21"/>
              </w:rPr>
            </w:pPr>
          </w:p>
        </w:tc>
        <w:tc>
          <w:tcPr>
            <w:tcW w:w="1143" w:type="dxa"/>
            <w:vAlign w:val="center"/>
          </w:tcPr>
          <w:p w14:paraId="6D090D82">
            <w:pPr>
              <w:spacing w:line="240" w:lineRule="auto"/>
              <w:jc w:val="center"/>
              <w:rPr>
                <w:rFonts w:hint="eastAsia" w:cs="宋体"/>
                <w:spacing w:val="6"/>
                <w:sz w:val="21"/>
                <w:szCs w:val="21"/>
              </w:rPr>
            </w:pPr>
            <w:r>
              <w:rPr>
                <w:rFonts w:hint="eastAsia" w:cs="宋体"/>
                <w:spacing w:val="6"/>
                <w:sz w:val="21"/>
                <w:szCs w:val="21"/>
              </w:rPr>
              <w:t>小型</w:t>
            </w:r>
          </w:p>
        </w:tc>
        <w:tc>
          <w:tcPr>
            <w:tcW w:w="3251" w:type="dxa"/>
            <w:vAlign w:val="center"/>
          </w:tcPr>
          <w:p w14:paraId="29CB0C49">
            <w:pPr>
              <w:spacing w:line="240" w:lineRule="auto"/>
              <w:jc w:val="center"/>
              <w:rPr>
                <w:rFonts w:hint="eastAsia" w:cs="宋体"/>
                <w:spacing w:val="6"/>
                <w:sz w:val="21"/>
                <w:szCs w:val="21"/>
              </w:rPr>
            </w:pPr>
            <w:r>
              <w:rPr>
                <w:rFonts w:hint="eastAsia" w:cs="宋体"/>
                <w:spacing w:val="6"/>
                <w:sz w:val="21"/>
                <w:szCs w:val="21"/>
              </w:rPr>
              <w:t>10亿元（含）至100亿元</w:t>
            </w:r>
          </w:p>
        </w:tc>
      </w:tr>
      <w:tr w14:paraId="1FD17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Merge w:val="continue"/>
            <w:vAlign w:val="center"/>
          </w:tcPr>
          <w:p w14:paraId="0F35E5E0">
            <w:pPr>
              <w:spacing w:line="240" w:lineRule="auto"/>
              <w:jc w:val="both"/>
              <w:rPr>
                <w:rFonts w:hint="eastAsia" w:cs="宋体"/>
                <w:spacing w:val="6"/>
                <w:sz w:val="21"/>
                <w:szCs w:val="21"/>
              </w:rPr>
            </w:pPr>
          </w:p>
        </w:tc>
        <w:tc>
          <w:tcPr>
            <w:tcW w:w="1817" w:type="dxa"/>
            <w:vMerge w:val="continue"/>
            <w:vAlign w:val="center"/>
          </w:tcPr>
          <w:p w14:paraId="7DBD04F6">
            <w:pPr>
              <w:spacing w:line="240" w:lineRule="auto"/>
              <w:jc w:val="both"/>
              <w:rPr>
                <w:rFonts w:hint="eastAsia" w:cs="宋体"/>
                <w:spacing w:val="6"/>
                <w:sz w:val="21"/>
                <w:szCs w:val="21"/>
              </w:rPr>
            </w:pPr>
          </w:p>
        </w:tc>
        <w:tc>
          <w:tcPr>
            <w:tcW w:w="1143" w:type="dxa"/>
            <w:vAlign w:val="center"/>
          </w:tcPr>
          <w:p w14:paraId="6C40F984">
            <w:pPr>
              <w:spacing w:line="240" w:lineRule="auto"/>
              <w:jc w:val="center"/>
              <w:rPr>
                <w:rFonts w:hint="eastAsia" w:cs="宋体"/>
                <w:spacing w:val="6"/>
                <w:sz w:val="21"/>
                <w:szCs w:val="21"/>
              </w:rPr>
            </w:pPr>
            <w:r>
              <w:rPr>
                <w:rFonts w:hint="eastAsia" w:cs="宋体"/>
                <w:spacing w:val="6"/>
                <w:sz w:val="21"/>
                <w:szCs w:val="21"/>
              </w:rPr>
              <w:t>微型</w:t>
            </w:r>
          </w:p>
        </w:tc>
        <w:tc>
          <w:tcPr>
            <w:tcW w:w="3251" w:type="dxa"/>
            <w:vAlign w:val="center"/>
          </w:tcPr>
          <w:p w14:paraId="63A7A017">
            <w:pPr>
              <w:spacing w:line="240" w:lineRule="auto"/>
              <w:jc w:val="center"/>
              <w:rPr>
                <w:rFonts w:hint="eastAsia" w:cs="宋体"/>
                <w:spacing w:val="6"/>
                <w:sz w:val="21"/>
                <w:szCs w:val="21"/>
              </w:rPr>
            </w:pPr>
            <w:r>
              <w:rPr>
                <w:rFonts w:hint="eastAsia" w:cs="宋体"/>
                <w:spacing w:val="6"/>
                <w:sz w:val="21"/>
                <w:szCs w:val="21"/>
              </w:rPr>
              <w:t>10亿元以下</w:t>
            </w:r>
          </w:p>
        </w:tc>
      </w:tr>
      <w:tr w14:paraId="67B2E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Merge w:val="restart"/>
            <w:vAlign w:val="center"/>
          </w:tcPr>
          <w:p w14:paraId="1E1F514A">
            <w:pPr>
              <w:spacing w:line="240" w:lineRule="auto"/>
              <w:jc w:val="both"/>
              <w:rPr>
                <w:rFonts w:hint="eastAsia" w:cs="宋体"/>
                <w:spacing w:val="6"/>
                <w:sz w:val="21"/>
                <w:szCs w:val="21"/>
              </w:rPr>
            </w:pPr>
            <w:r>
              <w:rPr>
                <w:rFonts w:hint="eastAsia" w:cs="宋体"/>
                <w:spacing w:val="6"/>
                <w:sz w:val="21"/>
                <w:szCs w:val="21"/>
              </w:rPr>
              <w:t>保险业</w:t>
            </w:r>
          </w:p>
        </w:tc>
        <w:tc>
          <w:tcPr>
            <w:tcW w:w="1817" w:type="dxa"/>
            <w:vMerge w:val="restart"/>
            <w:vAlign w:val="center"/>
          </w:tcPr>
          <w:p w14:paraId="5B6D55B7">
            <w:pPr>
              <w:spacing w:line="240" w:lineRule="auto"/>
              <w:jc w:val="both"/>
              <w:rPr>
                <w:rFonts w:hint="eastAsia" w:cs="宋体"/>
                <w:spacing w:val="6"/>
                <w:sz w:val="21"/>
                <w:szCs w:val="21"/>
              </w:rPr>
            </w:pPr>
            <w:r>
              <w:rPr>
                <w:rFonts w:hint="eastAsia" w:cs="宋体"/>
                <w:spacing w:val="6"/>
                <w:sz w:val="21"/>
                <w:szCs w:val="21"/>
              </w:rPr>
              <w:t>保险业金融机构</w:t>
            </w:r>
          </w:p>
        </w:tc>
        <w:tc>
          <w:tcPr>
            <w:tcW w:w="1143" w:type="dxa"/>
            <w:vAlign w:val="center"/>
          </w:tcPr>
          <w:p w14:paraId="20868F20">
            <w:pPr>
              <w:spacing w:line="240" w:lineRule="auto"/>
              <w:jc w:val="center"/>
              <w:rPr>
                <w:rFonts w:hint="eastAsia" w:cs="宋体"/>
                <w:spacing w:val="6"/>
                <w:sz w:val="21"/>
                <w:szCs w:val="21"/>
              </w:rPr>
            </w:pPr>
            <w:r>
              <w:rPr>
                <w:rFonts w:hint="eastAsia" w:cs="宋体"/>
                <w:spacing w:val="6"/>
                <w:sz w:val="21"/>
                <w:szCs w:val="21"/>
              </w:rPr>
              <w:t>中型</w:t>
            </w:r>
          </w:p>
        </w:tc>
        <w:tc>
          <w:tcPr>
            <w:tcW w:w="3251" w:type="dxa"/>
            <w:vAlign w:val="center"/>
          </w:tcPr>
          <w:p w14:paraId="041066CA">
            <w:pPr>
              <w:spacing w:line="240" w:lineRule="auto"/>
              <w:jc w:val="center"/>
              <w:rPr>
                <w:rFonts w:hint="eastAsia" w:cs="宋体"/>
                <w:spacing w:val="6"/>
                <w:sz w:val="21"/>
                <w:szCs w:val="21"/>
              </w:rPr>
            </w:pPr>
            <w:r>
              <w:rPr>
                <w:rFonts w:hint="eastAsia" w:cs="宋体"/>
                <w:spacing w:val="6"/>
                <w:sz w:val="21"/>
                <w:szCs w:val="21"/>
              </w:rPr>
              <w:t>400亿元（含）至5000亿元</w:t>
            </w:r>
          </w:p>
        </w:tc>
      </w:tr>
      <w:tr w14:paraId="2A014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Merge w:val="continue"/>
            <w:vAlign w:val="center"/>
          </w:tcPr>
          <w:p w14:paraId="1E73699D">
            <w:pPr>
              <w:spacing w:line="240" w:lineRule="auto"/>
              <w:jc w:val="both"/>
              <w:rPr>
                <w:rFonts w:hint="eastAsia" w:cs="宋体"/>
                <w:spacing w:val="6"/>
                <w:sz w:val="21"/>
                <w:szCs w:val="21"/>
              </w:rPr>
            </w:pPr>
          </w:p>
        </w:tc>
        <w:tc>
          <w:tcPr>
            <w:tcW w:w="1817" w:type="dxa"/>
            <w:vMerge w:val="continue"/>
            <w:vAlign w:val="center"/>
          </w:tcPr>
          <w:p w14:paraId="7186354E">
            <w:pPr>
              <w:spacing w:line="240" w:lineRule="auto"/>
              <w:jc w:val="both"/>
              <w:rPr>
                <w:rFonts w:hint="eastAsia" w:cs="宋体"/>
                <w:spacing w:val="6"/>
                <w:sz w:val="21"/>
                <w:szCs w:val="21"/>
              </w:rPr>
            </w:pPr>
          </w:p>
        </w:tc>
        <w:tc>
          <w:tcPr>
            <w:tcW w:w="1143" w:type="dxa"/>
            <w:vAlign w:val="center"/>
          </w:tcPr>
          <w:p w14:paraId="484EC0AD">
            <w:pPr>
              <w:spacing w:line="240" w:lineRule="auto"/>
              <w:jc w:val="center"/>
              <w:rPr>
                <w:rFonts w:hint="eastAsia" w:cs="宋体"/>
                <w:spacing w:val="6"/>
                <w:sz w:val="21"/>
                <w:szCs w:val="21"/>
              </w:rPr>
            </w:pPr>
            <w:r>
              <w:rPr>
                <w:rFonts w:hint="eastAsia" w:cs="宋体"/>
                <w:spacing w:val="6"/>
                <w:sz w:val="21"/>
                <w:szCs w:val="21"/>
              </w:rPr>
              <w:t>小型</w:t>
            </w:r>
          </w:p>
        </w:tc>
        <w:tc>
          <w:tcPr>
            <w:tcW w:w="3251" w:type="dxa"/>
            <w:vAlign w:val="center"/>
          </w:tcPr>
          <w:p w14:paraId="6B953100">
            <w:pPr>
              <w:spacing w:line="240" w:lineRule="auto"/>
              <w:jc w:val="center"/>
              <w:rPr>
                <w:rFonts w:hint="eastAsia" w:cs="宋体"/>
                <w:spacing w:val="6"/>
                <w:sz w:val="21"/>
                <w:szCs w:val="21"/>
              </w:rPr>
            </w:pPr>
            <w:r>
              <w:rPr>
                <w:rFonts w:hint="eastAsia" w:cs="宋体"/>
                <w:spacing w:val="6"/>
                <w:sz w:val="21"/>
                <w:szCs w:val="21"/>
              </w:rPr>
              <w:t>20亿元（含）至400亿元</w:t>
            </w:r>
          </w:p>
        </w:tc>
      </w:tr>
      <w:tr w14:paraId="2CFAD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Merge w:val="continue"/>
            <w:vAlign w:val="center"/>
          </w:tcPr>
          <w:p w14:paraId="0C0C91F6">
            <w:pPr>
              <w:spacing w:line="240" w:lineRule="auto"/>
              <w:jc w:val="both"/>
              <w:rPr>
                <w:rFonts w:hint="eastAsia" w:cs="宋体"/>
                <w:spacing w:val="6"/>
                <w:sz w:val="21"/>
                <w:szCs w:val="21"/>
              </w:rPr>
            </w:pPr>
          </w:p>
        </w:tc>
        <w:tc>
          <w:tcPr>
            <w:tcW w:w="1817" w:type="dxa"/>
            <w:vMerge w:val="continue"/>
            <w:vAlign w:val="center"/>
          </w:tcPr>
          <w:p w14:paraId="572CAB29">
            <w:pPr>
              <w:spacing w:line="240" w:lineRule="auto"/>
              <w:jc w:val="both"/>
              <w:rPr>
                <w:rFonts w:hint="eastAsia" w:cs="宋体"/>
                <w:spacing w:val="6"/>
                <w:sz w:val="21"/>
                <w:szCs w:val="21"/>
              </w:rPr>
            </w:pPr>
          </w:p>
        </w:tc>
        <w:tc>
          <w:tcPr>
            <w:tcW w:w="1143" w:type="dxa"/>
            <w:vAlign w:val="center"/>
          </w:tcPr>
          <w:p w14:paraId="0012701E">
            <w:pPr>
              <w:spacing w:line="240" w:lineRule="auto"/>
              <w:jc w:val="center"/>
              <w:rPr>
                <w:rFonts w:hint="eastAsia" w:cs="宋体"/>
                <w:spacing w:val="6"/>
                <w:sz w:val="21"/>
                <w:szCs w:val="21"/>
              </w:rPr>
            </w:pPr>
            <w:r>
              <w:rPr>
                <w:rFonts w:hint="eastAsia" w:cs="宋体"/>
                <w:spacing w:val="6"/>
                <w:sz w:val="21"/>
                <w:szCs w:val="21"/>
              </w:rPr>
              <w:t>微型</w:t>
            </w:r>
          </w:p>
        </w:tc>
        <w:tc>
          <w:tcPr>
            <w:tcW w:w="3251" w:type="dxa"/>
            <w:vAlign w:val="center"/>
          </w:tcPr>
          <w:p w14:paraId="44D880BA">
            <w:pPr>
              <w:spacing w:line="240" w:lineRule="auto"/>
              <w:jc w:val="center"/>
              <w:rPr>
                <w:rFonts w:hint="eastAsia" w:cs="宋体"/>
                <w:spacing w:val="6"/>
                <w:sz w:val="21"/>
                <w:szCs w:val="21"/>
              </w:rPr>
            </w:pPr>
            <w:r>
              <w:rPr>
                <w:rFonts w:hint="eastAsia" w:cs="宋体"/>
                <w:spacing w:val="6"/>
                <w:sz w:val="21"/>
                <w:szCs w:val="21"/>
              </w:rPr>
              <w:t>20亿元以下</w:t>
            </w:r>
          </w:p>
        </w:tc>
      </w:tr>
      <w:tr w14:paraId="32BF5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restart"/>
            <w:vAlign w:val="center"/>
          </w:tcPr>
          <w:p w14:paraId="0BB47700">
            <w:pPr>
              <w:spacing w:line="240" w:lineRule="auto"/>
              <w:jc w:val="both"/>
              <w:rPr>
                <w:rFonts w:hint="eastAsia" w:cs="宋体"/>
                <w:spacing w:val="6"/>
                <w:sz w:val="21"/>
                <w:szCs w:val="21"/>
              </w:rPr>
            </w:pPr>
            <w:r>
              <w:rPr>
                <w:rFonts w:hint="eastAsia" w:cs="宋体"/>
                <w:spacing w:val="6"/>
                <w:sz w:val="21"/>
                <w:szCs w:val="21"/>
              </w:rPr>
              <w:t>其他金融业</w:t>
            </w:r>
          </w:p>
        </w:tc>
        <w:tc>
          <w:tcPr>
            <w:tcW w:w="1168" w:type="dxa"/>
            <w:vMerge w:val="restart"/>
            <w:vAlign w:val="center"/>
          </w:tcPr>
          <w:p w14:paraId="1253E9F0">
            <w:pPr>
              <w:spacing w:line="240" w:lineRule="auto"/>
              <w:jc w:val="both"/>
              <w:rPr>
                <w:rFonts w:hint="eastAsia" w:cs="宋体"/>
                <w:spacing w:val="6"/>
                <w:sz w:val="21"/>
                <w:szCs w:val="21"/>
              </w:rPr>
            </w:pPr>
            <w:r>
              <w:rPr>
                <w:rFonts w:hint="eastAsia" w:cs="宋体"/>
                <w:spacing w:val="6"/>
                <w:sz w:val="21"/>
                <w:szCs w:val="21"/>
              </w:rPr>
              <w:t>金融信托与管理服务</w:t>
            </w:r>
          </w:p>
        </w:tc>
        <w:tc>
          <w:tcPr>
            <w:tcW w:w="1817" w:type="dxa"/>
            <w:vMerge w:val="restart"/>
            <w:vAlign w:val="center"/>
          </w:tcPr>
          <w:p w14:paraId="310D4B83">
            <w:pPr>
              <w:spacing w:line="240" w:lineRule="auto"/>
              <w:jc w:val="both"/>
              <w:rPr>
                <w:rFonts w:hint="eastAsia" w:cs="宋体"/>
                <w:spacing w:val="6"/>
                <w:sz w:val="21"/>
                <w:szCs w:val="21"/>
              </w:rPr>
            </w:pPr>
            <w:r>
              <w:rPr>
                <w:rFonts w:hint="eastAsia" w:cs="宋体"/>
                <w:spacing w:val="6"/>
                <w:sz w:val="21"/>
                <w:szCs w:val="21"/>
              </w:rPr>
              <w:t>信托公司</w:t>
            </w:r>
          </w:p>
        </w:tc>
        <w:tc>
          <w:tcPr>
            <w:tcW w:w="1143" w:type="dxa"/>
            <w:vAlign w:val="center"/>
          </w:tcPr>
          <w:p w14:paraId="685E3A47">
            <w:pPr>
              <w:spacing w:line="240" w:lineRule="auto"/>
              <w:jc w:val="center"/>
              <w:rPr>
                <w:rFonts w:hint="eastAsia" w:cs="宋体"/>
                <w:spacing w:val="6"/>
                <w:sz w:val="21"/>
                <w:szCs w:val="21"/>
              </w:rPr>
            </w:pPr>
            <w:r>
              <w:rPr>
                <w:rFonts w:hint="eastAsia" w:cs="宋体"/>
                <w:spacing w:val="6"/>
                <w:sz w:val="21"/>
                <w:szCs w:val="21"/>
              </w:rPr>
              <w:t>中型</w:t>
            </w:r>
          </w:p>
        </w:tc>
        <w:tc>
          <w:tcPr>
            <w:tcW w:w="3251" w:type="dxa"/>
            <w:vAlign w:val="center"/>
          </w:tcPr>
          <w:p w14:paraId="5CD7E714">
            <w:pPr>
              <w:spacing w:line="240" w:lineRule="auto"/>
              <w:jc w:val="center"/>
              <w:rPr>
                <w:rFonts w:hint="eastAsia" w:cs="宋体"/>
                <w:spacing w:val="6"/>
                <w:sz w:val="21"/>
                <w:szCs w:val="21"/>
              </w:rPr>
            </w:pPr>
            <w:r>
              <w:rPr>
                <w:rFonts w:hint="eastAsia" w:cs="宋体"/>
                <w:spacing w:val="6"/>
                <w:sz w:val="21"/>
                <w:szCs w:val="21"/>
              </w:rPr>
              <w:t>400亿元（含）至1000亿元</w:t>
            </w:r>
          </w:p>
        </w:tc>
      </w:tr>
      <w:tr w14:paraId="1E9E9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05047AF9">
            <w:pPr>
              <w:spacing w:line="240" w:lineRule="auto"/>
              <w:jc w:val="both"/>
              <w:rPr>
                <w:rFonts w:hint="eastAsia" w:cs="宋体"/>
                <w:spacing w:val="6"/>
                <w:sz w:val="21"/>
                <w:szCs w:val="21"/>
              </w:rPr>
            </w:pPr>
          </w:p>
        </w:tc>
        <w:tc>
          <w:tcPr>
            <w:tcW w:w="1168" w:type="dxa"/>
            <w:vMerge w:val="continue"/>
            <w:vAlign w:val="center"/>
          </w:tcPr>
          <w:p w14:paraId="7191C4EE">
            <w:pPr>
              <w:spacing w:line="240" w:lineRule="auto"/>
              <w:jc w:val="both"/>
              <w:rPr>
                <w:rFonts w:hint="eastAsia" w:cs="宋体"/>
                <w:spacing w:val="6"/>
                <w:sz w:val="21"/>
                <w:szCs w:val="21"/>
              </w:rPr>
            </w:pPr>
          </w:p>
        </w:tc>
        <w:tc>
          <w:tcPr>
            <w:tcW w:w="1817" w:type="dxa"/>
            <w:vMerge w:val="continue"/>
            <w:vAlign w:val="center"/>
          </w:tcPr>
          <w:p w14:paraId="57FC1D8C">
            <w:pPr>
              <w:spacing w:line="240" w:lineRule="auto"/>
              <w:jc w:val="both"/>
              <w:rPr>
                <w:rFonts w:hint="eastAsia" w:cs="宋体"/>
                <w:spacing w:val="6"/>
                <w:sz w:val="21"/>
                <w:szCs w:val="21"/>
              </w:rPr>
            </w:pPr>
          </w:p>
        </w:tc>
        <w:tc>
          <w:tcPr>
            <w:tcW w:w="1143" w:type="dxa"/>
            <w:vAlign w:val="center"/>
          </w:tcPr>
          <w:p w14:paraId="1E84D3F2">
            <w:pPr>
              <w:spacing w:line="240" w:lineRule="auto"/>
              <w:jc w:val="center"/>
              <w:rPr>
                <w:rFonts w:hint="eastAsia" w:cs="宋体"/>
                <w:spacing w:val="6"/>
                <w:sz w:val="21"/>
                <w:szCs w:val="21"/>
              </w:rPr>
            </w:pPr>
            <w:r>
              <w:rPr>
                <w:rFonts w:hint="eastAsia" w:cs="宋体"/>
                <w:spacing w:val="6"/>
                <w:sz w:val="21"/>
                <w:szCs w:val="21"/>
              </w:rPr>
              <w:t>小型</w:t>
            </w:r>
          </w:p>
        </w:tc>
        <w:tc>
          <w:tcPr>
            <w:tcW w:w="3251" w:type="dxa"/>
            <w:vAlign w:val="center"/>
          </w:tcPr>
          <w:p w14:paraId="7592AE6A">
            <w:pPr>
              <w:spacing w:line="240" w:lineRule="auto"/>
              <w:jc w:val="center"/>
              <w:rPr>
                <w:rFonts w:hint="eastAsia" w:cs="宋体"/>
                <w:spacing w:val="6"/>
                <w:sz w:val="21"/>
                <w:szCs w:val="21"/>
              </w:rPr>
            </w:pPr>
            <w:r>
              <w:rPr>
                <w:rFonts w:hint="eastAsia" w:cs="宋体"/>
                <w:spacing w:val="6"/>
                <w:sz w:val="21"/>
                <w:szCs w:val="21"/>
              </w:rPr>
              <w:t>20亿元（含）至400亿元</w:t>
            </w:r>
          </w:p>
        </w:tc>
      </w:tr>
      <w:tr w14:paraId="46D6A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6D9E92BD">
            <w:pPr>
              <w:spacing w:line="240" w:lineRule="auto"/>
              <w:jc w:val="both"/>
              <w:rPr>
                <w:rFonts w:hint="eastAsia" w:cs="宋体"/>
                <w:spacing w:val="6"/>
                <w:sz w:val="21"/>
                <w:szCs w:val="21"/>
              </w:rPr>
            </w:pPr>
          </w:p>
        </w:tc>
        <w:tc>
          <w:tcPr>
            <w:tcW w:w="1168" w:type="dxa"/>
            <w:vMerge w:val="continue"/>
            <w:vAlign w:val="center"/>
          </w:tcPr>
          <w:p w14:paraId="591F344B">
            <w:pPr>
              <w:spacing w:line="240" w:lineRule="auto"/>
              <w:jc w:val="both"/>
              <w:rPr>
                <w:rFonts w:hint="eastAsia" w:cs="宋体"/>
                <w:spacing w:val="6"/>
                <w:sz w:val="21"/>
                <w:szCs w:val="21"/>
              </w:rPr>
            </w:pPr>
          </w:p>
        </w:tc>
        <w:tc>
          <w:tcPr>
            <w:tcW w:w="1817" w:type="dxa"/>
            <w:vMerge w:val="continue"/>
            <w:vAlign w:val="center"/>
          </w:tcPr>
          <w:p w14:paraId="44659AC3">
            <w:pPr>
              <w:spacing w:line="240" w:lineRule="auto"/>
              <w:jc w:val="both"/>
              <w:rPr>
                <w:rFonts w:hint="eastAsia" w:cs="宋体"/>
                <w:spacing w:val="6"/>
                <w:sz w:val="21"/>
                <w:szCs w:val="21"/>
              </w:rPr>
            </w:pPr>
          </w:p>
        </w:tc>
        <w:tc>
          <w:tcPr>
            <w:tcW w:w="1143" w:type="dxa"/>
            <w:vAlign w:val="center"/>
          </w:tcPr>
          <w:p w14:paraId="72194E6F">
            <w:pPr>
              <w:spacing w:line="240" w:lineRule="auto"/>
              <w:jc w:val="center"/>
              <w:rPr>
                <w:rFonts w:hint="eastAsia" w:cs="宋体"/>
                <w:spacing w:val="6"/>
                <w:sz w:val="21"/>
                <w:szCs w:val="21"/>
              </w:rPr>
            </w:pPr>
            <w:r>
              <w:rPr>
                <w:rFonts w:hint="eastAsia" w:cs="宋体"/>
                <w:spacing w:val="6"/>
                <w:sz w:val="21"/>
                <w:szCs w:val="21"/>
              </w:rPr>
              <w:t>微型</w:t>
            </w:r>
          </w:p>
        </w:tc>
        <w:tc>
          <w:tcPr>
            <w:tcW w:w="3251" w:type="dxa"/>
            <w:vAlign w:val="center"/>
          </w:tcPr>
          <w:p w14:paraId="37413024">
            <w:pPr>
              <w:spacing w:line="240" w:lineRule="auto"/>
              <w:jc w:val="center"/>
              <w:rPr>
                <w:rFonts w:hint="eastAsia" w:cs="宋体"/>
                <w:spacing w:val="6"/>
                <w:sz w:val="21"/>
                <w:szCs w:val="21"/>
              </w:rPr>
            </w:pPr>
            <w:r>
              <w:rPr>
                <w:rFonts w:hint="eastAsia" w:cs="宋体"/>
                <w:spacing w:val="6"/>
                <w:sz w:val="21"/>
                <w:szCs w:val="21"/>
              </w:rPr>
              <w:t>20亿元以下</w:t>
            </w:r>
          </w:p>
        </w:tc>
      </w:tr>
      <w:tr w14:paraId="1D226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38E2EDF2">
            <w:pPr>
              <w:spacing w:line="240" w:lineRule="auto"/>
              <w:jc w:val="both"/>
              <w:rPr>
                <w:rFonts w:hint="eastAsia" w:cs="宋体"/>
                <w:spacing w:val="6"/>
                <w:sz w:val="21"/>
                <w:szCs w:val="21"/>
              </w:rPr>
            </w:pPr>
          </w:p>
        </w:tc>
        <w:tc>
          <w:tcPr>
            <w:tcW w:w="1168" w:type="dxa"/>
            <w:vMerge w:val="restart"/>
            <w:vAlign w:val="center"/>
          </w:tcPr>
          <w:p w14:paraId="6E7BD3D0">
            <w:pPr>
              <w:spacing w:line="240" w:lineRule="auto"/>
              <w:jc w:val="both"/>
              <w:rPr>
                <w:rFonts w:hint="eastAsia" w:cs="宋体"/>
                <w:spacing w:val="6"/>
                <w:sz w:val="21"/>
                <w:szCs w:val="21"/>
              </w:rPr>
            </w:pPr>
            <w:r>
              <w:rPr>
                <w:rFonts w:hint="eastAsia" w:cs="宋体"/>
                <w:spacing w:val="6"/>
                <w:sz w:val="21"/>
                <w:szCs w:val="21"/>
              </w:rPr>
              <w:t>控股公司服务</w:t>
            </w:r>
          </w:p>
        </w:tc>
        <w:tc>
          <w:tcPr>
            <w:tcW w:w="1817" w:type="dxa"/>
            <w:vMerge w:val="restart"/>
            <w:vAlign w:val="center"/>
          </w:tcPr>
          <w:p w14:paraId="71234468">
            <w:pPr>
              <w:spacing w:line="240" w:lineRule="auto"/>
              <w:jc w:val="both"/>
              <w:rPr>
                <w:rFonts w:hint="eastAsia" w:cs="宋体"/>
                <w:spacing w:val="6"/>
                <w:sz w:val="21"/>
                <w:szCs w:val="21"/>
              </w:rPr>
            </w:pPr>
            <w:r>
              <w:rPr>
                <w:rFonts w:hint="eastAsia" w:cs="宋体"/>
                <w:spacing w:val="6"/>
                <w:sz w:val="21"/>
                <w:szCs w:val="21"/>
              </w:rPr>
              <w:t>金融控股公司</w:t>
            </w:r>
          </w:p>
        </w:tc>
        <w:tc>
          <w:tcPr>
            <w:tcW w:w="1143" w:type="dxa"/>
            <w:vAlign w:val="center"/>
          </w:tcPr>
          <w:p w14:paraId="743A39A5">
            <w:pPr>
              <w:spacing w:line="240" w:lineRule="auto"/>
              <w:jc w:val="center"/>
              <w:rPr>
                <w:rFonts w:hint="eastAsia" w:cs="宋体"/>
                <w:spacing w:val="6"/>
                <w:sz w:val="21"/>
                <w:szCs w:val="21"/>
              </w:rPr>
            </w:pPr>
            <w:r>
              <w:rPr>
                <w:rFonts w:hint="eastAsia" w:cs="宋体"/>
                <w:spacing w:val="6"/>
                <w:sz w:val="21"/>
                <w:szCs w:val="21"/>
              </w:rPr>
              <w:t>中型</w:t>
            </w:r>
          </w:p>
        </w:tc>
        <w:tc>
          <w:tcPr>
            <w:tcW w:w="3251" w:type="dxa"/>
            <w:vAlign w:val="center"/>
          </w:tcPr>
          <w:p w14:paraId="5E75403A">
            <w:pPr>
              <w:spacing w:line="240" w:lineRule="auto"/>
              <w:jc w:val="center"/>
              <w:rPr>
                <w:rFonts w:hint="eastAsia" w:cs="宋体"/>
                <w:spacing w:val="6"/>
                <w:sz w:val="21"/>
                <w:szCs w:val="21"/>
              </w:rPr>
            </w:pPr>
            <w:r>
              <w:rPr>
                <w:rFonts w:hint="eastAsia" w:cs="宋体"/>
                <w:spacing w:val="6"/>
                <w:sz w:val="21"/>
                <w:szCs w:val="21"/>
              </w:rPr>
              <w:t>5000亿元（含）至40000亿元</w:t>
            </w:r>
          </w:p>
        </w:tc>
      </w:tr>
      <w:tr w14:paraId="274F5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3E428EE7">
            <w:pPr>
              <w:spacing w:line="240" w:lineRule="auto"/>
              <w:jc w:val="both"/>
              <w:rPr>
                <w:rFonts w:hint="eastAsia" w:cs="宋体"/>
                <w:spacing w:val="6"/>
                <w:sz w:val="21"/>
                <w:szCs w:val="21"/>
              </w:rPr>
            </w:pPr>
          </w:p>
        </w:tc>
        <w:tc>
          <w:tcPr>
            <w:tcW w:w="1168" w:type="dxa"/>
            <w:vMerge w:val="continue"/>
            <w:vAlign w:val="center"/>
          </w:tcPr>
          <w:p w14:paraId="29192801">
            <w:pPr>
              <w:spacing w:line="240" w:lineRule="auto"/>
              <w:jc w:val="both"/>
              <w:rPr>
                <w:rFonts w:hint="eastAsia" w:cs="宋体"/>
                <w:spacing w:val="6"/>
                <w:sz w:val="21"/>
                <w:szCs w:val="21"/>
              </w:rPr>
            </w:pPr>
          </w:p>
        </w:tc>
        <w:tc>
          <w:tcPr>
            <w:tcW w:w="1817" w:type="dxa"/>
            <w:vMerge w:val="continue"/>
            <w:vAlign w:val="center"/>
          </w:tcPr>
          <w:p w14:paraId="6F1A8671">
            <w:pPr>
              <w:spacing w:line="240" w:lineRule="auto"/>
              <w:jc w:val="both"/>
              <w:rPr>
                <w:rFonts w:hint="eastAsia" w:cs="宋体"/>
                <w:spacing w:val="6"/>
                <w:sz w:val="21"/>
                <w:szCs w:val="21"/>
              </w:rPr>
            </w:pPr>
          </w:p>
        </w:tc>
        <w:tc>
          <w:tcPr>
            <w:tcW w:w="1143" w:type="dxa"/>
            <w:vAlign w:val="center"/>
          </w:tcPr>
          <w:p w14:paraId="75B312CB">
            <w:pPr>
              <w:spacing w:line="240" w:lineRule="auto"/>
              <w:jc w:val="center"/>
              <w:rPr>
                <w:rFonts w:hint="eastAsia" w:cs="宋体"/>
                <w:spacing w:val="6"/>
                <w:sz w:val="21"/>
                <w:szCs w:val="21"/>
              </w:rPr>
            </w:pPr>
            <w:r>
              <w:rPr>
                <w:rFonts w:hint="eastAsia" w:cs="宋体"/>
                <w:spacing w:val="6"/>
                <w:sz w:val="21"/>
                <w:szCs w:val="21"/>
              </w:rPr>
              <w:t>小型</w:t>
            </w:r>
          </w:p>
        </w:tc>
        <w:tc>
          <w:tcPr>
            <w:tcW w:w="3251" w:type="dxa"/>
            <w:vAlign w:val="center"/>
          </w:tcPr>
          <w:p w14:paraId="48DB8980">
            <w:pPr>
              <w:spacing w:line="240" w:lineRule="auto"/>
              <w:jc w:val="center"/>
              <w:rPr>
                <w:rFonts w:hint="eastAsia" w:cs="宋体"/>
                <w:spacing w:val="6"/>
                <w:sz w:val="21"/>
                <w:szCs w:val="21"/>
              </w:rPr>
            </w:pPr>
            <w:r>
              <w:rPr>
                <w:rFonts w:hint="eastAsia" w:cs="宋体"/>
                <w:spacing w:val="6"/>
                <w:sz w:val="21"/>
                <w:szCs w:val="21"/>
              </w:rPr>
              <w:t>50亿元（含）至5000亿元</w:t>
            </w:r>
          </w:p>
        </w:tc>
      </w:tr>
      <w:tr w14:paraId="280F8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23EDB324">
            <w:pPr>
              <w:spacing w:line="240" w:lineRule="auto"/>
              <w:jc w:val="both"/>
              <w:rPr>
                <w:rFonts w:hint="eastAsia" w:cs="宋体"/>
                <w:spacing w:val="6"/>
                <w:sz w:val="21"/>
                <w:szCs w:val="21"/>
              </w:rPr>
            </w:pPr>
          </w:p>
        </w:tc>
        <w:tc>
          <w:tcPr>
            <w:tcW w:w="1168" w:type="dxa"/>
            <w:vMerge w:val="continue"/>
            <w:vAlign w:val="center"/>
          </w:tcPr>
          <w:p w14:paraId="2DC3CB30">
            <w:pPr>
              <w:spacing w:line="240" w:lineRule="auto"/>
              <w:jc w:val="both"/>
              <w:rPr>
                <w:rFonts w:hint="eastAsia" w:cs="宋体"/>
                <w:spacing w:val="6"/>
                <w:sz w:val="21"/>
                <w:szCs w:val="21"/>
              </w:rPr>
            </w:pPr>
          </w:p>
        </w:tc>
        <w:tc>
          <w:tcPr>
            <w:tcW w:w="1817" w:type="dxa"/>
            <w:vMerge w:val="continue"/>
            <w:vAlign w:val="center"/>
          </w:tcPr>
          <w:p w14:paraId="1981B80E">
            <w:pPr>
              <w:spacing w:line="240" w:lineRule="auto"/>
              <w:jc w:val="both"/>
              <w:rPr>
                <w:rFonts w:hint="eastAsia" w:cs="宋体"/>
                <w:spacing w:val="6"/>
                <w:sz w:val="21"/>
                <w:szCs w:val="21"/>
              </w:rPr>
            </w:pPr>
          </w:p>
        </w:tc>
        <w:tc>
          <w:tcPr>
            <w:tcW w:w="1143" w:type="dxa"/>
            <w:vAlign w:val="center"/>
          </w:tcPr>
          <w:p w14:paraId="28BC56C8">
            <w:pPr>
              <w:spacing w:line="240" w:lineRule="auto"/>
              <w:jc w:val="center"/>
              <w:rPr>
                <w:rFonts w:hint="eastAsia" w:cs="宋体"/>
                <w:spacing w:val="6"/>
                <w:sz w:val="21"/>
                <w:szCs w:val="21"/>
              </w:rPr>
            </w:pPr>
            <w:r>
              <w:rPr>
                <w:rFonts w:hint="eastAsia" w:cs="宋体"/>
                <w:spacing w:val="6"/>
                <w:sz w:val="21"/>
                <w:szCs w:val="21"/>
              </w:rPr>
              <w:t>微型</w:t>
            </w:r>
          </w:p>
        </w:tc>
        <w:tc>
          <w:tcPr>
            <w:tcW w:w="3251" w:type="dxa"/>
            <w:vAlign w:val="center"/>
          </w:tcPr>
          <w:p w14:paraId="0D543C87">
            <w:pPr>
              <w:spacing w:line="240" w:lineRule="auto"/>
              <w:jc w:val="center"/>
              <w:rPr>
                <w:rFonts w:hint="eastAsia" w:cs="宋体"/>
                <w:spacing w:val="6"/>
                <w:sz w:val="21"/>
                <w:szCs w:val="21"/>
              </w:rPr>
            </w:pPr>
            <w:r>
              <w:rPr>
                <w:rFonts w:hint="eastAsia" w:cs="宋体"/>
                <w:spacing w:val="6"/>
                <w:sz w:val="21"/>
                <w:szCs w:val="21"/>
              </w:rPr>
              <w:t>50亿元以下</w:t>
            </w:r>
          </w:p>
        </w:tc>
      </w:tr>
      <w:tr w14:paraId="50232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119" w:type="dxa"/>
            <w:vMerge w:val="continue"/>
            <w:vAlign w:val="center"/>
          </w:tcPr>
          <w:p w14:paraId="2A8ECB16">
            <w:pPr>
              <w:spacing w:line="240" w:lineRule="auto"/>
              <w:jc w:val="both"/>
              <w:rPr>
                <w:rFonts w:hint="eastAsia" w:cs="宋体"/>
                <w:spacing w:val="6"/>
                <w:sz w:val="21"/>
                <w:szCs w:val="21"/>
              </w:rPr>
            </w:pPr>
          </w:p>
        </w:tc>
        <w:tc>
          <w:tcPr>
            <w:tcW w:w="1168" w:type="dxa"/>
            <w:vMerge w:val="restart"/>
            <w:vAlign w:val="center"/>
          </w:tcPr>
          <w:p w14:paraId="36AF72BE">
            <w:pPr>
              <w:spacing w:line="240" w:lineRule="auto"/>
              <w:jc w:val="both"/>
              <w:rPr>
                <w:rFonts w:hint="eastAsia" w:cs="宋体"/>
                <w:spacing w:val="6"/>
                <w:sz w:val="21"/>
                <w:szCs w:val="21"/>
              </w:rPr>
            </w:pPr>
            <w:r>
              <w:rPr>
                <w:rFonts w:hint="eastAsia" w:cs="宋体"/>
                <w:spacing w:val="6"/>
                <w:sz w:val="21"/>
                <w:szCs w:val="21"/>
              </w:rPr>
              <w:t>其他未包括的金融业</w:t>
            </w:r>
          </w:p>
        </w:tc>
        <w:tc>
          <w:tcPr>
            <w:tcW w:w="1817" w:type="dxa"/>
            <w:vMerge w:val="restart"/>
            <w:vAlign w:val="center"/>
          </w:tcPr>
          <w:p w14:paraId="7532E9E5">
            <w:pPr>
              <w:spacing w:line="240" w:lineRule="auto"/>
              <w:jc w:val="both"/>
              <w:rPr>
                <w:rFonts w:hint="eastAsia" w:cs="宋体"/>
                <w:spacing w:val="6"/>
                <w:sz w:val="21"/>
                <w:szCs w:val="21"/>
              </w:rPr>
            </w:pPr>
            <w:r>
              <w:rPr>
                <w:rFonts w:hint="eastAsia" w:cs="宋体"/>
                <w:spacing w:val="6"/>
                <w:sz w:val="21"/>
                <w:szCs w:val="21"/>
              </w:rPr>
              <w:t>除贷款公司、小额贷款公司、典当行以外的其他金融机构</w:t>
            </w:r>
          </w:p>
        </w:tc>
        <w:tc>
          <w:tcPr>
            <w:tcW w:w="1143" w:type="dxa"/>
            <w:vAlign w:val="center"/>
          </w:tcPr>
          <w:p w14:paraId="39BB71BB">
            <w:pPr>
              <w:spacing w:line="240" w:lineRule="auto"/>
              <w:jc w:val="center"/>
              <w:rPr>
                <w:rFonts w:hint="eastAsia" w:cs="宋体"/>
                <w:spacing w:val="6"/>
                <w:sz w:val="21"/>
                <w:szCs w:val="21"/>
              </w:rPr>
            </w:pPr>
            <w:r>
              <w:rPr>
                <w:rFonts w:hint="eastAsia" w:cs="宋体"/>
                <w:spacing w:val="6"/>
                <w:sz w:val="21"/>
                <w:szCs w:val="21"/>
              </w:rPr>
              <w:t>中型</w:t>
            </w:r>
          </w:p>
        </w:tc>
        <w:tc>
          <w:tcPr>
            <w:tcW w:w="3251" w:type="dxa"/>
            <w:vAlign w:val="center"/>
          </w:tcPr>
          <w:p w14:paraId="01C98985">
            <w:pPr>
              <w:spacing w:line="240" w:lineRule="auto"/>
              <w:jc w:val="center"/>
              <w:rPr>
                <w:rFonts w:hint="eastAsia" w:cs="宋体"/>
                <w:spacing w:val="6"/>
                <w:sz w:val="21"/>
                <w:szCs w:val="21"/>
              </w:rPr>
            </w:pPr>
            <w:r>
              <w:rPr>
                <w:rFonts w:hint="eastAsia" w:cs="宋体"/>
                <w:spacing w:val="6"/>
                <w:sz w:val="21"/>
                <w:szCs w:val="21"/>
              </w:rPr>
              <w:t>200亿元（含）至1000亿元</w:t>
            </w:r>
          </w:p>
        </w:tc>
      </w:tr>
      <w:tr w14:paraId="08A17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1119" w:type="dxa"/>
            <w:vMerge w:val="continue"/>
          </w:tcPr>
          <w:p w14:paraId="5782D003">
            <w:pPr>
              <w:spacing w:line="240" w:lineRule="auto"/>
              <w:rPr>
                <w:rFonts w:hint="eastAsia" w:cs="宋体"/>
                <w:spacing w:val="6"/>
                <w:sz w:val="21"/>
                <w:szCs w:val="21"/>
              </w:rPr>
            </w:pPr>
          </w:p>
        </w:tc>
        <w:tc>
          <w:tcPr>
            <w:tcW w:w="1168" w:type="dxa"/>
            <w:vMerge w:val="continue"/>
          </w:tcPr>
          <w:p w14:paraId="2B74CFA1">
            <w:pPr>
              <w:spacing w:line="240" w:lineRule="auto"/>
              <w:rPr>
                <w:rFonts w:hint="eastAsia" w:cs="宋体"/>
                <w:spacing w:val="6"/>
                <w:sz w:val="21"/>
                <w:szCs w:val="21"/>
              </w:rPr>
            </w:pPr>
          </w:p>
        </w:tc>
        <w:tc>
          <w:tcPr>
            <w:tcW w:w="1817" w:type="dxa"/>
            <w:vMerge w:val="continue"/>
          </w:tcPr>
          <w:p w14:paraId="087A02E9">
            <w:pPr>
              <w:spacing w:line="240" w:lineRule="auto"/>
              <w:rPr>
                <w:rFonts w:hint="eastAsia" w:cs="宋体"/>
                <w:spacing w:val="6"/>
                <w:sz w:val="21"/>
                <w:szCs w:val="21"/>
              </w:rPr>
            </w:pPr>
          </w:p>
        </w:tc>
        <w:tc>
          <w:tcPr>
            <w:tcW w:w="1143" w:type="dxa"/>
            <w:vAlign w:val="center"/>
          </w:tcPr>
          <w:p w14:paraId="17DE21C9">
            <w:pPr>
              <w:spacing w:line="240" w:lineRule="auto"/>
              <w:jc w:val="center"/>
              <w:rPr>
                <w:rFonts w:hint="eastAsia" w:cs="宋体"/>
                <w:spacing w:val="6"/>
                <w:sz w:val="21"/>
                <w:szCs w:val="21"/>
              </w:rPr>
            </w:pPr>
            <w:r>
              <w:rPr>
                <w:rFonts w:hint="eastAsia" w:cs="宋体"/>
                <w:spacing w:val="6"/>
                <w:sz w:val="21"/>
                <w:szCs w:val="21"/>
              </w:rPr>
              <w:t>小型</w:t>
            </w:r>
          </w:p>
        </w:tc>
        <w:tc>
          <w:tcPr>
            <w:tcW w:w="3251" w:type="dxa"/>
            <w:vAlign w:val="center"/>
          </w:tcPr>
          <w:p w14:paraId="66EE9243">
            <w:pPr>
              <w:spacing w:line="240" w:lineRule="auto"/>
              <w:jc w:val="center"/>
              <w:rPr>
                <w:rFonts w:hint="eastAsia" w:cs="宋体"/>
                <w:spacing w:val="6"/>
                <w:sz w:val="21"/>
                <w:szCs w:val="21"/>
              </w:rPr>
            </w:pPr>
            <w:r>
              <w:rPr>
                <w:rFonts w:hint="eastAsia" w:cs="宋体"/>
                <w:spacing w:val="6"/>
                <w:sz w:val="21"/>
                <w:szCs w:val="21"/>
              </w:rPr>
              <w:t>50亿元（含）至200亿元</w:t>
            </w:r>
          </w:p>
        </w:tc>
      </w:tr>
      <w:tr w14:paraId="19DD6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119" w:type="dxa"/>
            <w:vMerge w:val="continue"/>
          </w:tcPr>
          <w:p w14:paraId="110D9384">
            <w:pPr>
              <w:spacing w:line="240" w:lineRule="auto"/>
              <w:rPr>
                <w:rFonts w:hint="eastAsia" w:cs="宋体"/>
                <w:spacing w:val="6"/>
                <w:sz w:val="21"/>
                <w:szCs w:val="21"/>
              </w:rPr>
            </w:pPr>
          </w:p>
        </w:tc>
        <w:tc>
          <w:tcPr>
            <w:tcW w:w="1168" w:type="dxa"/>
            <w:vMerge w:val="continue"/>
          </w:tcPr>
          <w:p w14:paraId="25E9BF51">
            <w:pPr>
              <w:spacing w:line="240" w:lineRule="auto"/>
              <w:rPr>
                <w:rFonts w:hint="eastAsia" w:cs="宋体"/>
                <w:spacing w:val="6"/>
                <w:sz w:val="21"/>
                <w:szCs w:val="21"/>
              </w:rPr>
            </w:pPr>
          </w:p>
        </w:tc>
        <w:tc>
          <w:tcPr>
            <w:tcW w:w="1817" w:type="dxa"/>
            <w:vMerge w:val="continue"/>
          </w:tcPr>
          <w:p w14:paraId="2B3BA5DA">
            <w:pPr>
              <w:spacing w:line="240" w:lineRule="auto"/>
              <w:rPr>
                <w:rFonts w:hint="eastAsia" w:cs="宋体"/>
                <w:spacing w:val="6"/>
                <w:sz w:val="21"/>
                <w:szCs w:val="21"/>
              </w:rPr>
            </w:pPr>
          </w:p>
        </w:tc>
        <w:tc>
          <w:tcPr>
            <w:tcW w:w="1143" w:type="dxa"/>
            <w:vAlign w:val="center"/>
          </w:tcPr>
          <w:p w14:paraId="62EF06F7">
            <w:pPr>
              <w:spacing w:line="240" w:lineRule="auto"/>
              <w:jc w:val="center"/>
              <w:rPr>
                <w:rFonts w:hint="eastAsia" w:cs="宋体"/>
                <w:spacing w:val="6"/>
                <w:sz w:val="21"/>
                <w:szCs w:val="21"/>
              </w:rPr>
            </w:pPr>
            <w:r>
              <w:rPr>
                <w:rFonts w:hint="eastAsia" w:cs="宋体"/>
                <w:spacing w:val="6"/>
                <w:sz w:val="21"/>
                <w:szCs w:val="21"/>
              </w:rPr>
              <w:t>微型</w:t>
            </w:r>
          </w:p>
        </w:tc>
        <w:tc>
          <w:tcPr>
            <w:tcW w:w="3251" w:type="dxa"/>
            <w:vAlign w:val="center"/>
          </w:tcPr>
          <w:p w14:paraId="2E3F8BB1">
            <w:pPr>
              <w:spacing w:line="240" w:lineRule="auto"/>
              <w:jc w:val="center"/>
              <w:rPr>
                <w:rFonts w:hint="eastAsia" w:cs="宋体"/>
                <w:spacing w:val="6"/>
                <w:sz w:val="21"/>
                <w:szCs w:val="21"/>
              </w:rPr>
            </w:pPr>
            <w:r>
              <w:rPr>
                <w:rFonts w:hint="eastAsia" w:cs="宋体"/>
                <w:spacing w:val="6"/>
                <w:sz w:val="21"/>
                <w:szCs w:val="21"/>
              </w:rPr>
              <w:t>50亿元以下</w:t>
            </w:r>
          </w:p>
        </w:tc>
      </w:tr>
    </w:tbl>
    <w:p w14:paraId="0DDE2502">
      <w:pPr>
        <w:rPr>
          <w:rFonts w:hint="eastAsia" w:cs="宋体"/>
          <w:b/>
          <w:bCs/>
          <w:iCs/>
          <w:szCs w:val="24"/>
          <w:shd w:val="clear" w:color="auto" w:fill="FFFFFF"/>
          <w:lang w:val="zh-CN"/>
        </w:rPr>
      </w:pPr>
    </w:p>
    <w:p w14:paraId="6261CA1A">
      <w:pPr>
        <w:rPr>
          <w:rFonts w:hint="eastAsia" w:cs="宋体"/>
          <w:b/>
          <w:bCs/>
          <w:iCs/>
          <w:szCs w:val="24"/>
          <w:shd w:val="clear" w:color="auto" w:fill="FFFFFF"/>
          <w:lang w:val="zh-CN"/>
        </w:rPr>
      </w:pPr>
    </w:p>
    <w:p w14:paraId="1355D15C">
      <w:pPr>
        <w:rPr>
          <w:rFonts w:hint="eastAsia" w:cs="宋体"/>
          <w:b/>
          <w:bCs/>
          <w:iCs/>
          <w:szCs w:val="24"/>
          <w:shd w:val="clear" w:color="auto" w:fill="FFFFFF"/>
          <w:lang w:val="zh-CN"/>
        </w:rPr>
      </w:pPr>
    </w:p>
    <w:p w14:paraId="1DEBCA72">
      <w:pPr>
        <w:rPr>
          <w:rFonts w:hint="eastAsia" w:cs="宋体"/>
          <w:b/>
          <w:bCs/>
          <w:iCs/>
          <w:szCs w:val="24"/>
          <w:shd w:val="clear" w:color="auto" w:fill="FFFFFF"/>
          <w:lang w:val="zh-CN"/>
        </w:rPr>
      </w:pPr>
    </w:p>
    <w:p w14:paraId="5463C32B">
      <w:pPr>
        <w:rPr>
          <w:rFonts w:hint="eastAsia" w:cs="宋体"/>
          <w:b/>
          <w:bCs/>
          <w:iCs/>
          <w:szCs w:val="24"/>
          <w:shd w:val="clear" w:color="auto" w:fill="FFFFFF"/>
          <w:lang w:val="zh-CN"/>
        </w:rPr>
      </w:pPr>
    </w:p>
    <w:p w14:paraId="2D49EA38">
      <w:pPr>
        <w:rPr>
          <w:rFonts w:hint="eastAsia" w:cs="宋体"/>
          <w:b/>
          <w:bCs/>
          <w:iCs/>
          <w:szCs w:val="24"/>
          <w:shd w:val="clear" w:color="auto" w:fill="FFFFFF"/>
          <w:lang w:val="zh-CN"/>
        </w:rPr>
      </w:pPr>
    </w:p>
    <w:p w14:paraId="6C9F2ECF">
      <w:pPr>
        <w:rPr>
          <w:rFonts w:hint="eastAsia" w:cs="宋体"/>
          <w:b/>
          <w:bCs/>
          <w:iCs/>
          <w:szCs w:val="24"/>
          <w:shd w:val="clear" w:color="auto" w:fill="FFFFFF"/>
          <w:lang w:val="zh-CN"/>
        </w:rPr>
      </w:pPr>
    </w:p>
    <w:p w14:paraId="4B8A2E2A">
      <w:pPr>
        <w:pStyle w:val="59"/>
        <w:ind w:left="420" w:hanging="420" w:firstLineChars="0"/>
        <w:jc w:val="center"/>
        <w:rPr>
          <w:rFonts w:hint="eastAsia" w:cs="宋体"/>
          <w:b/>
          <w:bCs/>
          <w:sz w:val="32"/>
          <w:szCs w:val="32"/>
        </w:rPr>
      </w:pPr>
      <w:r>
        <w:rPr>
          <w:rFonts w:hint="eastAsia" w:cs="宋体"/>
          <w:b/>
          <w:bCs/>
          <w:sz w:val="32"/>
          <w:szCs w:val="32"/>
        </w:rPr>
        <w:t>2、监狱企业证明文件【如适用】</w:t>
      </w:r>
    </w:p>
    <w:p w14:paraId="3EB4FD52">
      <w:pPr>
        <w:rPr>
          <w:rFonts w:hint="eastAsia" w:cs="宋体"/>
          <w:b/>
          <w:sz w:val="28"/>
          <w:szCs w:val="28"/>
        </w:rPr>
      </w:pPr>
    </w:p>
    <w:p w14:paraId="14A5E76B">
      <w:pPr>
        <w:adjustRightInd w:val="0"/>
        <w:snapToGrid w:val="0"/>
        <w:ind w:firstLine="480" w:firstLineChars="200"/>
        <w:rPr>
          <w:rFonts w:hint="eastAsia" w:cs="宋体"/>
          <w:szCs w:val="24"/>
        </w:rPr>
      </w:pPr>
      <w:r>
        <w:rPr>
          <w:rFonts w:hint="eastAsia" w:cs="宋体"/>
          <w:szCs w:val="24"/>
        </w:rPr>
        <w:t>【监狱企业应当提供由省级及以上监狱管理局、戒毒管理局（含新疆生产建设兵团）出具的监狱企业的证明文件，格式如下】。</w:t>
      </w:r>
    </w:p>
    <w:p w14:paraId="4E275968">
      <w:pPr>
        <w:pStyle w:val="13"/>
        <w:jc w:val="center"/>
        <w:rPr>
          <w:rFonts w:hint="eastAsia" w:hAnsi="宋体" w:cs="宋体"/>
          <w:b/>
          <w:sz w:val="32"/>
          <w:szCs w:val="32"/>
        </w:rPr>
      </w:pPr>
    </w:p>
    <w:p w14:paraId="34810B46">
      <w:pPr>
        <w:pStyle w:val="13"/>
        <w:jc w:val="center"/>
        <w:rPr>
          <w:rFonts w:hint="eastAsia" w:hAnsi="宋体" w:cs="宋体"/>
          <w:b/>
          <w:sz w:val="32"/>
          <w:szCs w:val="32"/>
        </w:rPr>
      </w:pPr>
      <w:r>
        <w:rPr>
          <w:rFonts w:hint="eastAsia" w:hAnsi="宋体" w:cs="宋体"/>
          <w:b/>
          <w:sz w:val="32"/>
          <w:szCs w:val="32"/>
        </w:rPr>
        <w:t>监狱企业证明函</w:t>
      </w:r>
    </w:p>
    <w:p w14:paraId="4E0B3D36">
      <w:pPr>
        <w:rPr>
          <w:rFonts w:hint="eastAsia" w:cs="宋体"/>
          <w:sz w:val="32"/>
          <w:szCs w:val="32"/>
        </w:rPr>
      </w:pPr>
    </w:p>
    <w:p w14:paraId="4AB455D8">
      <w:pPr>
        <w:ind w:firstLine="504" w:firstLineChars="200"/>
        <w:rPr>
          <w:rFonts w:hint="eastAsia" w:cs="宋体"/>
          <w:spacing w:val="6"/>
          <w:szCs w:val="24"/>
        </w:rPr>
      </w:pPr>
      <w:r>
        <w:rPr>
          <w:rFonts w:hint="eastAsia" w:cs="宋体"/>
          <w:spacing w:val="6"/>
          <w:szCs w:val="24"/>
        </w:rPr>
        <w:t>本公司郑重声明，根据财政部、司法部《关于政府采购支持监狱企业发展有关问题的通知》（财库【2014】68号）的规定，本公司为监狱企业。</w:t>
      </w:r>
    </w:p>
    <w:p w14:paraId="0388CB79">
      <w:pPr>
        <w:rPr>
          <w:rFonts w:hint="eastAsia" w:cs="宋体"/>
          <w:szCs w:val="24"/>
        </w:rPr>
      </w:pPr>
    </w:p>
    <w:p w14:paraId="5CE55A70">
      <w:pPr>
        <w:ind w:firstLine="4440" w:firstLineChars="1850"/>
        <w:rPr>
          <w:rFonts w:hint="eastAsia" w:cs="宋体"/>
          <w:szCs w:val="24"/>
        </w:rPr>
      </w:pPr>
    </w:p>
    <w:p w14:paraId="5F75A65A">
      <w:pPr>
        <w:ind w:firstLine="4440" w:firstLineChars="1850"/>
        <w:rPr>
          <w:rFonts w:hint="eastAsia" w:cs="宋体"/>
          <w:szCs w:val="24"/>
        </w:rPr>
      </w:pPr>
    </w:p>
    <w:p w14:paraId="1600A13A">
      <w:pPr>
        <w:ind w:right="1008" w:firstLine="4284" w:firstLineChars="1700"/>
        <w:rPr>
          <w:rFonts w:hint="eastAsia" w:cs="宋体"/>
          <w:spacing w:val="6"/>
          <w:szCs w:val="24"/>
        </w:rPr>
      </w:pPr>
      <w:r>
        <w:rPr>
          <w:rFonts w:hint="eastAsia" w:cs="宋体"/>
          <w:spacing w:val="6"/>
          <w:szCs w:val="24"/>
        </w:rPr>
        <w:t>供应商名称（公章）：</w:t>
      </w:r>
    </w:p>
    <w:p w14:paraId="66E538B6">
      <w:pPr>
        <w:ind w:right="1008" w:firstLine="4284" w:firstLineChars="1700"/>
        <w:rPr>
          <w:rFonts w:hint="eastAsia" w:cs="宋体"/>
          <w:spacing w:val="6"/>
          <w:szCs w:val="24"/>
        </w:rPr>
      </w:pPr>
      <w:r>
        <w:rPr>
          <w:rFonts w:hint="eastAsia" w:cs="宋体"/>
          <w:spacing w:val="6"/>
          <w:szCs w:val="24"/>
        </w:rPr>
        <w:t>日期：   年  月  日</w:t>
      </w:r>
    </w:p>
    <w:p w14:paraId="76BA75B1">
      <w:pPr>
        <w:ind w:firstLine="240" w:firstLineChars="100"/>
        <w:rPr>
          <w:rFonts w:hint="eastAsia" w:cs="宋体"/>
          <w:szCs w:val="24"/>
        </w:rPr>
      </w:pPr>
    </w:p>
    <w:p w14:paraId="2EDAC4C1">
      <w:pPr>
        <w:ind w:firstLine="240" w:firstLineChars="100"/>
        <w:rPr>
          <w:rFonts w:hint="eastAsia" w:cs="宋体"/>
          <w:szCs w:val="24"/>
        </w:rPr>
      </w:pPr>
    </w:p>
    <w:p w14:paraId="76C4BC91">
      <w:pPr>
        <w:ind w:firstLine="3360" w:firstLineChars="1400"/>
        <w:rPr>
          <w:rFonts w:hint="eastAsia" w:cs="宋体"/>
          <w:szCs w:val="24"/>
        </w:rPr>
      </w:pPr>
      <w:r>
        <w:rPr>
          <w:rFonts w:hint="eastAsia" w:cs="宋体"/>
          <w:szCs w:val="24"/>
        </w:rPr>
        <w:t>省级以上监狱管理局、戒毒管理局</w:t>
      </w:r>
    </w:p>
    <w:p w14:paraId="6561EED0">
      <w:pPr>
        <w:ind w:firstLine="3360" w:firstLineChars="1400"/>
        <w:rPr>
          <w:rFonts w:hint="eastAsia" w:cs="宋体"/>
          <w:szCs w:val="24"/>
        </w:rPr>
      </w:pPr>
      <w:r>
        <w:rPr>
          <w:rFonts w:hint="eastAsia" w:cs="宋体"/>
          <w:szCs w:val="24"/>
        </w:rPr>
        <w:t xml:space="preserve">（含新疆生产建设兵团）（盖章）：  </w:t>
      </w:r>
    </w:p>
    <w:p w14:paraId="22078BEF">
      <w:pPr>
        <w:ind w:firstLine="4320" w:firstLineChars="1800"/>
        <w:rPr>
          <w:rFonts w:hint="eastAsia" w:cs="宋体"/>
          <w:szCs w:val="24"/>
        </w:rPr>
      </w:pPr>
      <w:r>
        <w:rPr>
          <w:rFonts w:hint="eastAsia" w:cs="宋体"/>
          <w:szCs w:val="24"/>
        </w:rPr>
        <w:t>日期：</w:t>
      </w:r>
      <w:r>
        <w:rPr>
          <w:rFonts w:hint="eastAsia" w:cs="宋体"/>
          <w:spacing w:val="6"/>
          <w:szCs w:val="24"/>
        </w:rPr>
        <w:t xml:space="preserve">   年  月  日</w:t>
      </w:r>
    </w:p>
    <w:p w14:paraId="74551E2A">
      <w:pPr>
        <w:ind w:firstLine="240" w:firstLineChars="100"/>
        <w:rPr>
          <w:rFonts w:hint="eastAsia" w:cs="宋体"/>
          <w:szCs w:val="24"/>
        </w:rPr>
      </w:pPr>
    </w:p>
    <w:p w14:paraId="5593E697">
      <w:pPr>
        <w:ind w:firstLine="4000" w:firstLineChars="1250"/>
        <w:rPr>
          <w:rFonts w:hint="eastAsia" w:cs="宋体"/>
          <w:sz w:val="32"/>
          <w:szCs w:val="32"/>
        </w:rPr>
      </w:pPr>
    </w:p>
    <w:p w14:paraId="072A3952">
      <w:pPr>
        <w:rPr>
          <w:rFonts w:hint="eastAsia" w:cs="宋体"/>
          <w:sz w:val="32"/>
          <w:szCs w:val="32"/>
        </w:rPr>
      </w:pPr>
    </w:p>
    <w:p w14:paraId="2CA64BAC">
      <w:pPr>
        <w:widowControl/>
        <w:spacing w:before="100" w:beforeAutospacing="1" w:after="100" w:afterAutospacing="1"/>
        <w:rPr>
          <w:rFonts w:hint="eastAsia" w:cs="宋体"/>
          <w:sz w:val="21"/>
          <w:szCs w:val="21"/>
        </w:rPr>
      </w:pPr>
    </w:p>
    <w:p w14:paraId="21EFE1FD">
      <w:pPr>
        <w:rPr>
          <w:rFonts w:hint="eastAsia" w:cs="宋体"/>
        </w:rPr>
      </w:pPr>
    </w:p>
    <w:p w14:paraId="1B4E6B0F">
      <w:pPr>
        <w:rPr>
          <w:rFonts w:hint="eastAsia" w:cs="宋体"/>
        </w:rPr>
      </w:pPr>
    </w:p>
    <w:p w14:paraId="6B8F080C">
      <w:pPr>
        <w:rPr>
          <w:rFonts w:hint="eastAsia" w:cs="宋体"/>
          <w:b/>
          <w:bCs/>
          <w:iCs/>
          <w:szCs w:val="24"/>
          <w:shd w:val="clear" w:color="auto" w:fill="FFFFFF"/>
        </w:rPr>
      </w:pPr>
    </w:p>
    <w:p w14:paraId="7257E7A4">
      <w:pPr>
        <w:pStyle w:val="59"/>
        <w:ind w:left="420" w:hanging="420" w:firstLineChars="0"/>
        <w:jc w:val="center"/>
        <w:rPr>
          <w:rFonts w:hint="eastAsia" w:cs="宋体"/>
          <w:b/>
          <w:bCs/>
          <w:sz w:val="32"/>
          <w:szCs w:val="32"/>
        </w:rPr>
      </w:pPr>
      <w:r>
        <w:rPr>
          <w:rFonts w:hint="eastAsia" w:cs="宋体"/>
          <w:b/>
          <w:bCs/>
          <w:sz w:val="32"/>
          <w:szCs w:val="32"/>
        </w:rPr>
        <w:t>3、残疾人福利性单位声明函【如适用】</w:t>
      </w:r>
    </w:p>
    <w:p w14:paraId="5C79ADEC">
      <w:pPr>
        <w:pStyle w:val="59"/>
        <w:ind w:left="420" w:hanging="420" w:firstLineChars="0"/>
        <w:jc w:val="center"/>
        <w:rPr>
          <w:rFonts w:hint="eastAsia" w:cs="宋体"/>
          <w:b/>
          <w:bCs/>
          <w:sz w:val="32"/>
          <w:szCs w:val="32"/>
        </w:rPr>
      </w:pPr>
    </w:p>
    <w:p w14:paraId="24EA2134">
      <w:pPr>
        <w:pStyle w:val="59"/>
        <w:ind w:left="420" w:hanging="420" w:firstLineChars="0"/>
        <w:jc w:val="center"/>
        <w:rPr>
          <w:rFonts w:hint="eastAsia" w:cs="宋体"/>
          <w:b/>
          <w:bCs/>
          <w:sz w:val="32"/>
          <w:szCs w:val="32"/>
        </w:rPr>
      </w:pPr>
      <w:r>
        <w:rPr>
          <w:rFonts w:hint="eastAsia" w:cs="宋体"/>
          <w:b/>
          <w:bCs/>
          <w:sz w:val="32"/>
          <w:szCs w:val="32"/>
        </w:rPr>
        <w:t>残疾人福利性单位声明函</w:t>
      </w:r>
    </w:p>
    <w:p w14:paraId="2B7755E8">
      <w:pPr>
        <w:wordWrap w:val="0"/>
        <w:ind w:firstLine="480" w:firstLineChars="200"/>
        <w:rPr>
          <w:rFonts w:hint="eastAsia" w:cs="宋体"/>
          <w:szCs w:val="24"/>
        </w:rPr>
      </w:pPr>
    </w:p>
    <w:p w14:paraId="77B45325">
      <w:pPr>
        <w:wordWrap w:val="0"/>
        <w:ind w:firstLine="480" w:firstLineChars="200"/>
        <w:rPr>
          <w:rFonts w:hint="eastAsia" w:cs="宋体"/>
          <w:szCs w:val="24"/>
        </w:rPr>
      </w:pPr>
      <w:r>
        <w:rPr>
          <w:rFonts w:hint="eastAsia" w:cs="宋体"/>
          <w:szCs w:val="24"/>
        </w:rPr>
        <w:t>本公司（联合体）郑重声明，根据《财政部 民政部 中国残疾人联合会关于促进残疾人就业政府采购政策的通知》（财库〔2017〕141号）的规定，本公司（联合体）参加</w:t>
      </w:r>
      <w:r>
        <w:rPr>
          <w:rFonts w:hint="eastAsia" w:cs="宋体"/>
          <w:szCs w:val="24"/>
          <w:u w:val="single"/>
        </w:rPr>
        <w:t xml:space="preserve"> （单位名称） </w:t>
      </w:r>
      <w:r>
        <w:rPr>
          <w:rFonts w:hint="eastAsia" w:cs="宋体"/>
          <w:szCs w:val="24"/>
        </w:rPr>
        <w:t>的</w:t>
      </w:r>
      <w:r>
        <w:rPr>
          <w:rFonts w:hint="eastAsia" w:cs="宋体"/>
          <w:szCs w:val="24"/>
          <w:u w:val="single"/>
        </w:rPr>
        <w:t xml:space="preserve"> （项目名称） </w:t>
      </w:r>
      <w:r>
        <w:rPr>
          <w:rFonts w:hint="eastAsia" w:cs="宋体"/>
          <w:szCs w:val="24"/>
        </w:rPr>
        <w:t>采购活动，提供的工程</w:t>
      </w:r>
      <w:r>
        <w:rPr>
          <w:rFonts w:hint="eastAsia" w:cs="宋体"/>
          <w:b/>
          <w:szCs w:val="24"/>
        </w:rPr>
        <w:t>全部由</w:t>
      </w:r>
      <w:r>
        <w:rPr>
          <w:rFonts w:hint="eastAsia" w:cs="宋体"/>
          <w:szCs w:val="24"/>
        </w:rPr>
        <w:t>符合政策要求的</w:t>
      </w:r>
      <w:r>
        <w:rPr>
          <w:rFonts w:hint="eastAsia" w:cs="宋体"/>
          <w:b/>
          <w:szCs w:val="24"/>
        </w:rPr>
        <w:t>残疾人福利性单位承建</w:t>
      </w:r>
      <w:r>
        <w:rPr>
          <w:rFonts w:hint="eastAsia" w:cs="宋体"/>
          <w:szCs w:val="24"/>
        </w:rPr>
        <w:t>。相关企业（含联合体中的残疾人福利性单位、签订分包意向协议书的残疾人福利性单位）的具体情况如下：</w:t>
      </w:r>
    </w:p>
    <w:p w14:paraId="7E3E2CDF">
      <w:pPr>
        <w:wordWrap w:val="0"/>
        <w:ind w:firstLine="480" w:firstLineChars="200"/>
        <w:rPr>
          <w:rFonts w:hint="eastAsia" w:cs="宋体"/>
          <w:szCs w:val="24"/>
        </w:rPr>
      </w:pPr>
      <w:r>
        <w:rPr>
          <w:rFonts w:hint="eastAsia" w:cs="宋体"/>
          <w:szCs w:val="24"/>
        </w:rPr>
        <w:t>1.</w:t>
      </w:r>
      <w:r>
        <w:rPr>
          <w:rFonts w:hint="eastAsia" w:cs="宋体"/>
          <w:szCs w:val="24"/>
          <w:u w:val="single"/>
        </w:rPr>
        <w:t xml:space="preserve"> （标的名称） </w:t>
      </w:r>
      <w:r>
        <w:rPr>
          <w:rFonts w:hint="eastAsia" w:cs="宋体"/>
          <w:szCs w:val="24"/>
        </w:rPr>
        <w:t xml:space="preserve">，承建单位为 </w:t>
      </w:r>
      <w:r>
        <w:rPr>
          <w:rFonts w:hint="eastAsia" w:cs="宋体"/>
          <w:szCs w:val="24"/>
          <w:u w:val="single"/>
        </w:rPr>
        <w:t xml:space="preserve">  （企业名称） </w:t>
      </w:r>
      <w:r>
        <w:rPr>
          <w:rFonts w:hint="eastAsia" w:cs="宋体"/>
          <w:szCs w:val="24"/>
        </w:rPr>
        <w:t>，属于残疾人福利性单位；</w:t>
      </w:r>
    </w:p>
    <w:p w14:paraId="69FD7741">
      <w:pPr>
        <w:wordWrap w:val="0"/>
        <w:ind w:firstLine="480" w:firstLineChars="200"/>
        <w:rPr>
          <w:rFonts w:hint="eastAsia" w:cs="宋体"/>
          <w:szCs w:val="24"/>
        </w:rPr>
      </w:pPr>
      <w:r>
        <w:rPr>
          <w:rFonts w:hint="eastAsia" w:cs="宋体"/>
          <w:szCs w:val="24"/>
        </w:rPr>
        <w:t xml:space="preserve">2. </w:t>
      </w:r>
      <w:r>
        <w:rPr>
          <w:rFonts w:hint="eastAsia" w:cs="宋体"/>
          <w:szCs w:val="24"/>
          <w:u w:val="single"/>
        </w:rPr>
        <w:t xml:space="preserve">（标的名称） </w:t>
      </w:r>
      <w:r>
        <w:rPr>
          <w:rFonts w:hint="eastAsia" w:cs="宋体"/>
          <w:szCs w:val="24"/>
        </w:rPr>
        <w:t xml:space="preserve">，承建单位为 </w:t>
      </w:r>
      <w:r>
        <w:rPr>
          <w:rFonts w:hint="eastAsia" w:cs="宋体"/>
          <w:szCs w:val="24"/>
          <w:u w:val="single"/>
        </w:rPr>
        <w:t xml:space="preserve">  （企业名称） </w:t>
      </w:r>
      <w:r>
        <w:rPr>
          <w:rFonts w:hint="eastAsia" w:cs="宋体"/>
          <w:szCs w:val="24"/>
        </w:rPr>
        <w:t>，属于残疾人福利性单位；</w:t>
      </w:r>
    </w:p>
    <w:p w14:paraId="6F170558">
      <w:pPr>
        <w:wordWrap w:val="0"/>
        <w:ind w:firstLine="480" w:firstLineChars="200"/>
        <w:rPr>
          <w:rFonts w:hint="eastAsia" w:cs="宋体"/>
          <w:szCs w:val="24"/>
        </w:rPr>
      </w:pPr>
      <w:r>
        <w:rPr>
          <w:rFonts w:hint="eastAsia" w:cs="宋体"/>
          <w:szCs w:val="24"/>
        </w:rPr>
        <w:t>……</w:t>
      </w:r>
    </w:p>
    <w:p w14:paraId="4BA76B19">
      <w:pPr>
        <w:wordWrap w:val="0"/>
        <w:ind w:firstLine="480" w:firstLineChars="200"/>
        <w:rPr>
          <w:rFonts w:hint="eastAsia" w:cs="宋体"/>
          <w:szCs w:val="24"/>
        </w:rPr>
      </w:pPr>
      <w:r>
        <w:rPr>
          <w:rFonts w:hint="eastAsia" w:cs="宋体"/>
          <w:szCs w:val="24"/>
        </w:rPr>
        <w:t>以上企业，不属于大企业的分支机构，不存在控股股东为大企业的情形，也不存在与大企业的负责人为同一人的情形。</w:t>
      </w:r>
    </w:p>
    <w:p w14:paraId="0400DBA3">
      <w:pPr>
        <w:wordWrap w:val="0"/>
        <w:ind w:left="1087" w:leftChars="200" w:hanging="607" w:hangingChars="253"/>
        <w:rPr>
          <w:rFonts w:hint="eastAsia" w:cs="宋体"/>
          <w:szCs w:val="24"/>
        </w:rPr>
      </w:pPr>
      <w:r>
        <w:rPr>
          <w:rFonts w:hint="eastAsia" w:cs="宋体"/>
          <w:szCs w:val="24"/>
        </w:rPr>
        <w:t>本企业对上述声明内容的真实性负责。如有虚假，将依法承担相应责任。</w:t>
      </w:r>
    </w:p>
    <w:p w14:paraId="3BB9727E">
      <w:pPr>
        <w:wordWrap w:val="0"/>
        <w:ind w:left="1091" w:hanging="1091" w:hangingChars="453"/>
        <w:rPr>
          <w:rFonts w:hint="eastAsia" w:cs="宋体"/>
          <w:b/>
          <w:bCs/>
          <w:szCs w:val="24"/>
        </w:rPr>
      </w:pPr>
    </w:p>
    <w:p w14:paraId="55F1E5AD">
      <w:pPr>
        <w:wordWrap w:val="0"/>
        <w:ind w:left="1091" w:hanging="1091" w:hangingChars="453"/>
        <w:rPr>
          <w:rFonts w:hint="eastAsia" w:cs="宋体"/>
          <w:bCs/>
          <w:szCs w:val="24"/>
        </w:rPr>
      </w:pPr>
      <w:r>
        <w:rPr>
          <w:rFonts w:hint="eastAsia" w:cs="宋体"/>
          <w:b/>
          <w:bCs/>
          <w:szCs w:val="24"/>
        </w:rPr>
        <w:t>说明：</w:t>
      </w:r>
      <w:r>
        <w:rPr>
          <w:rFonts w:hint="eastAsia" w:cs="宋体"/>
          <w:bCs/>
          <w:szCs w:val="24"/>
        </w:rPr>
        <w:t>1、</w:t>
      </w:r>
      <w:r>
        <w:rPr>
          <w:rFonts w:hint="eastAsia" w:cs="宋体"/>
          <w:bCs/>
          <w:szCs w:val="21"/>
        </w:rPr>
        <w:t>工程</w:t>
      </w:r>
      <w:r>
        <w:rPr>
          <w:rFonts w:hint="eastAsia" w:cs="宋体"/>
          <w:bCs/>
          <w:szCs w:val="21"/>
          <w:lang w:val="zh-CN"/>
        </w:rPr>
        <w:t>应当全部由符合政策要求的残疾人福利性单位</w:t>
      </w:r>
      <w:r>
        <w:rPr>
          <w:rFonts w:hint="eastAsia" w:cs="宋体"/>
          <w:bCs/>
          <w:szCs w:val="21"/>
        </w:rPr>
        <w:t>承建</w:t>
      </w:r>
      <w:r>
        <w:rPr>
          <w:rFonts w:hint="eastAsia" w:cs="宋体"/>
          <w:bCs/>
          <w:szCs w:val="21"/>
          <w:lang w:val="zh-CN"/>
        </w:rPr>
        <w:t>；应当严格按上述格式及内容进行填写（应当明确每个</w:t>
      </w:r>
      <w:r>
        <w:rPr>
          <w:rFonts w:hint="eastAsia" w:cs="宋体"/>
          <w:bCs/>
          <w:szCs w:val="21"/>
        </w:rPr>
        <w:t>包</w:t>
      </w:r>
      <w:r>
        <w:rPr>
          <w:rFonts w:hint="eastAsia" w:cs="宋体"/>
          <w:bCs/>
          <w:szCs w:val="21"/>
          <w:lang w:val="zh-CN"/>
        </w:rPr>
        <w:t>的的</w:t>
      </w:r>
      <w:r>
        <w:rPr>
          <w:rFonts w:hint="eastAsia" w:cs="宋体"/>
          <w:bCs/>
          <w:szCs w:val="21"/>
        </w:rPr>
        <w:t>实施单位</w:t>
      </w:r>
      <w:r>
        <w:rPr>
          <w:rFonts w:hint="eastAsia" w:cs="宋体"/>
          <w:bCs/>
          <w:szCs w:val="21"/>
          <w:lang w:val="zh-CN"/>
        </w:rPr>
        <w:t>及相关数据），否则导致的后果由</w:t>
      </w:r>
      <w:r>
        <w:rPr>
          <w:rFonts w:hint="eastAsia" w:cs="宋体"/>
          <w:bCs/>
          <w:szCs w:val="21"/>
        </w:rPr>
        <w:t>供应商</w:t>
      </w:r>
      <w:r>
        <w:rPr>
          <w:rFonts w:hint="eastAsia" w:cs="宋体"/>
          <w:bCs/>
          <w:szCs w:val="21"/>
          <w:lang w:val="zh-CN"/>
        </w:rPr>
        <w:t>自行承担；</w:t>
      </w:r>
    </w:p>
    <w:p w14:paraId="2737B004">
      <w:pPr>
        <w:wordWrap w:val="0"/>
        <w:ind w:left="1087" w:hanging="1087" w:hangingChars="453"/>
        <w:rPr>
          <w:rFonts w:hint="eastAsia" w:cs="宋体"/>
          <w:szCs w:val="21"/>
        </w:rPr>
      </w:pPr>
      <w:r>
        <w:rPr>
          <w:rFonts w:hint="eastAsia" w:cs="宋体"/>
          <w:bCs/>
          <w:szCs w:val="21"/>
          <w:lang w:val="zh-CN"/>
        </w:rPr>
        <w:t xml:space="preserve">      2、</w:t>
      </w:r>
      <w:r>
        <w:rPr>
          <w:rFonts w:hint="eastAsia" w:cs="宋体"/>
          <w:szCs w:val="21"/>
        </w:rPr>
        <w:t>以联合体形式参加的，应</w:t>
      </w:r>
      <w:r>
        <w:rPr>
          <w:rFonts w:hint="eastAsia" w:cs="宋体"/>
          <w:bCs/>
          <w:szCs w:val="21"/>
          <w:lang w:val="zh-CN"/>
        </w:rPr>
        <w:t>当</w:t>
      </w:r>
      <w:r>
        <w:rPr>
          <w:rFonts w:hint="eastAsia" w:cs="宋体"/>
          <w:szCs w:val="21"/>
        </w:rPr>
        <w:t>由联合体各方盖章。</w:t>
      </w:r>
    </w:p>
    <w:p w14:paraId="07D631F6">
      <w:pPr>
        <w:wordWrap w:val="0"/>
        <w:spacing w:before="100" w:beforeAutospacing="1" w:after="100" w:afterAutospacing="1"/>
        <w:ind w:firstLine="3316" w:firstLineChars="1382"/>
        <w:rPr>
          <w:rFonts w:hint="eastAsia" w:cs="宋体"/>
          <w:bCs/>
          <w:szCs w:val="21"/>
          <w:lang w:val="zh-CN"/>
        </w:rPr>
      </w:pPr>
      <w:r>
        <w:rPr>
          <w:rFonts w:hint="eastAsia" w:cs="宋体"/>
          <w:bCs/>
          <w:szCs w:val="21"/>
        </w:rPr>
        <w:t>供应商名称（公章）</w:t>
      </w:r>
      <w:r>
        <w:rPr>
          <w:rFonts w:hint="eastAsia" w:cs="宋体"/>
          <w:bCs/>
          <w:szCs w:val="21"/>
          <w:lang w:val="zh-CN"/>
        </w:rPr>
        <w:t>：</w:t>
      </w:r>
      <w:r>
        <w:rPr>
          <w:rFonts w:hint="eastAsia" w:cs="宋体"/>
          <w:bCs/>
          <w:szCs w:val="21"/>
          <w:u w:val="single"/>
          <w:lang w:val="zh-CN"/>
        </w:rPr>
        <w:t xml:space="preserve">                </w:t>
      </w:r>
    </w:p>
    <w:p w14:paraId="60027A0C">
      <w:pPr>
        <w:wordWrap w:val="0"/>
        <w:spacing w:before="100" w:beforeAutospacing="1" w:after="100" w:afterAutospacing="1"/>
        <w:ind w:firstLine="3316" w:firstLineChars="1382"/>
        <w:rPr>
          <w:rFonts w:hint="eastAsia" w:cs="宋体"/>
        </w:rPr>
      </w:pPr>
      <w:r>
        <w:rPr>
          <w:rFonts w:hint="eastAsia" w:cs="宋体"/>
          <w:szCs w:val="24"/>
        </w:rPr>
        <w:t>日  期：</w:t>
      </w:r>
      <w:r>
        <w:rPr>
          <w:rFonts w:hint="eastAsia" w:cs="宋体"/>
          <w:bCs/>
          <w:szCs w:val="24"/>
          <w:u w:val="single"/>
        </w:rPr>
        <w:t xml:space="preserve">                           </w:t>
      </w:r>
    </w:p>
    <w:p w14:paraId="399AE185">
      <w:pPr>
        <w:pStyle w:val="25"/>
        <w:ind w:firstLine="560"/>
        <w:rPr>
          <w:rFonts w:hint="eastAsia" w:cs="宋体"/>
          <w:sz w:val="28"/>
          <w:szCs w:val="28"/>
        </w:rPr>
      </w:pPr>
    </w:p>
    <w:p w14:paraId="3352B805">
      <w:pPr>
        <w:pStyle w:val="25"/>
        <w:ind w:firstLine="480"/>
        <w:rPr>
          <w:rFonts w:hint="eastAsia" w:cs="宋体"/>
        </w:rPr>
      </w:pPr>
    </w:p>
    <w:bookmarkEnd w:id="801"/>
    <w:p w14:paraId="74AF5E14">
      <w:pPr>
        <w:rPr>
          <w:rFonts w:hint="eastAsia" w:cs="宋体"/>
        </w:rPr>
      </w:pPr>
    </w:p>
    <w:p w14:paraId="09958F83">
      <w:pPr>
        <w:rPr>
          <w:rFonts w:hint="eastAsia"/>
        </w:rPr>
      </w:pPr>
    </w:p>
    <w:sectPr>
      <w:pgSz w:w="11906" w:h="16838"/>
      <w:pgMar w:top="1440" w:right="1800" w:bottom="1440" w:left="1800" w:header="851" w:footer="992" w:gutter="0"/>
      <w:pgNumType w:fmt="numberInDash"/>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
    <w:altName w:val="宋体"/>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AFFD85">
    <w:pPr>
      <w:pStyle w:val="15"/>
      <w:jc w:val="center"/>
      <w:rPr>
        <w:rFonts w:hint="eastAsia"/>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61437"/>
                          </w:sdtPr>
                          <w:sdtContent>
                            <w:p w14:paraId="41EAE223">
                              <w:pPr>
                                <w:pStyle w:val="15"/>
                                <w:spacing w:line="240" w:lineRule="auto"/>
                                <w:jc w:val="center"/>
                                <w:rPr>
                                  <w:rFonts w:hint="eastAsia"/>
                                </w:rPr>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w:t>
                              </w:r>
                              <w:r>
                                <w:rPr>
                                  <w:sz w:val="21"/>
                                  <w:szCs w:val="21"/>
                                </w:rPr>
                                <w:t xml:space="preserve"> 4 -</w:t>
                              </w:r>
                              <w:r>
                                <w:rPr>
                                  <w:sz w:val="21"/>
                                  <w:szCs w:val="21"/>
                                </w:rPr>
                                <w:fldChar w:fldCharType="end"/>
                              </w:r>
                            </w:p>
                          </w:sdtContent>
                        </w:sdt>
                        <w:p w14:paraId="4545459A">
                          <w:pPr>
                            <w:rPr>
                              <w:rFonts w:hint="eastAsia"/>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sdt>
                    <w:sdtPr>
                      <w:id w:val="147461437"/>
                    </w:sdtPr>
                    <w:sdtContent>
                      <w:p w14:paraId="41EAE223">
                        <w:pPr>
                          <w:pStyle w:val="15"/>
                          <w:spacing w:line="240" w:lineRule="auto"/>
                          <w:jc w:val="center"/>
                          <w:rPr>
                            <w:rFonts w:hint="eastAsia"/>
                          </w:rPr>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w:t>
                        </w:r>
                        <w:r>
                          <w:rPr>
                            <w:sz w:val="21"/>
                            <w:szCs w:val="21"/>
                          </w:rPr>
                          <w:t xml:space="preserve"> 4 -</w:t>
                        </w:r>
                        <w:r>
                          <w:rPr>
                            <w:sz w:val="21"/>
                            <w:szCs w:val="21"/>
                          </w:rPr>
                          <w:fldChar w:fldCharType="end"/>
                        </w:r>
                      </w:p>
                    </w:sdtContent>
                  </w:sdt>
                  <w:p w14:paraId="4545459A">
                    <w:pPr>
                      <w:rPr>
                        <w:rFonts w:hint="eastAsia"/>
                      </w:rPr>
                    </w:pPr>
                  </w:p>
                </w:txbxContent>
              </v:textbox>
            </v:shape>
          </w:pict>
        </mc:Fallback>
      </mc:AlternateContent>
    </w:r>
  </w:p>
  <w:p w14:paraId="23975237">
    <w:pPr>
      <w:pStyle w:val="15"/>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C86791">
    <w:pPr>
      <w:pStyle w:val="15"/>
      <w:jc w:val="center"/>
      <w:rPr>
        <w:rFonts w:hint="eastAsia"/>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55753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55753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68609"/>
                          </w:sdtPr>
                          <w:sdtContent>
                            <w:p w14:paraId="266F66E9">
                              <w:pPr>
                                <w:pStyle w:val="15"/>
                                <w:spacing w:line="240" w:lineRule="auto"/>
                                <w:jc w:val="center"/>
                                <w:rPr>
                                  <w:rFonts w:hint="eastAsia"/>
                                </w:rPr>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w:t>
                              </w:r>
                              <w:r>
                                <w:rPr>
                                  <w:sz w:val="21"/>
                                  <w:szCs w:val="21"/>
                                </w:rPr>
                                <w:t xml:space="preserve"> 12 -</w:t>
                              </w:r>
                              <w:r>
                                <w:rPr>
                                  <w:sz w:val="21"/>
                                  <w:szCs w:val="21"/>
                                </w:rPr>
                                <w:fldChar w:fldCharType="end"/>
                              </w:r>
                            </w:p>
                          </w:sdtContent>
                        </w:sdt>
                        <w:p w14:paraId="0EB12EA5">
                          <w:pPr>
                            <w:rPr>
                              <w:rFonts w:hint="eastAsia"/>
                            </w:rPr>
                          </w:pP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43.9pt;mso-position-horizontal:center;mso-position-horizontal-relative:margin;z-index:251661312;mso-width-relative:page;mso-height-relative:page;" filled="f" stroked="f" coordsize="21600,21600" o:gfxdata="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N/9KjLTAAAABAEAAA8AAAAAAAAAAQAgAAAAIgAAAGRycy9kb3ducmV2LnhtbFBLAQIU&#10;ABQAAAAIAIdO4kAqG0YpMQIAAFYEAAAOAAAAAAAAAAEAIAAAACIBAABkcnMvZTJvRG9jLnhtbFBL&#10;BQYAAAAABgAGAFkBAADFBQAAAAA=&#10;">
              <v:fill on="f" focussize="0,0"/>
              <v:stroke on="f" weight="0.5pt"/>
              <v:imagedata o:title=""/>
              <o:lock v:ext="edit" aspectratio="f"/>
              <v:textbox inset="0mm,0mm,0mm,0mm" style="mso-fit-shape-to-text:t;">
                <w:txbxContent>
                  <w:sdt>
                    <w:sdtPr>
                      <w:id w:val="147468609"/>
                    </w:sdtPr>
                    <w:sdtContent>
                      <w:p w14:paraId="266F66E9">
                        <w:pPr>
                          <w:pStyle w:val="15"/>
                          <w:spacing w:line="240" w:lineRule="auto"/>
                          <w:jc w:val="center"/>
                          <w:rPr>
                            <w:rFonts w:hint="eastAsia"/>
                          </w:rPr>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w:t>
                        </w:r>
                        <w:r>
                          <w:rPr>
                            <w:sz w:val="21"/>
                            <w:szCs w:val="21"/>
                          </w:rPr>
                          <w:t xml:space="preserve"> 12 -</w:t>
                        </w:r>
                        <w:r>
                          <w:rPr>
                            <w:sz w:val="21"/>
                            <w:szCs w:val="21"/>
                          </w:rPr>
                          <w:fldChar w:fldCharType="end"/>
                        </w:r>
                      </w:p>
                    </w:sdtContent>
                  </w:sdt>
                  <w:p w14:paraId="0EB12EA5">
                    <w:pPr>
                      <w:rPr>
                        <w:rFonts w:hint="eastAsia"/>
                      </w:rPr>
                    </w:pPr>
                  </w:p>
                </w:txbxContent>
              </v:textbox>
            </v:shape>
          </w:pict>
        </mc:Fallback>
      </mc:AlternateContent>
    </w:r>
  </w:p>
  <w:p w14:paraId="1D038EF8">
    <w:pPr>
      <w:pStyle w:val="15"/>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FA2D5C">
    <w:pPr>
      <w:pStyle w:val="15"/>
      <w:rPr>
        <w:rFonts w:hint="eastAsia"/>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9182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59182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3757FD">
                          <w:pPr>
                            <w:pStyle w:val="15"/>
                            <w:spacing w:line="240" w:lineRule="auto"/>
                            <w:jc w:val="center"/>
                            <w:rPr>
                              <w:rFonts w:hint="eastAsia"/>
                              <w:sz w:val="21"/>
                              <w:szCs w:val="21"/>
                            </w:rPr>
                          </w:pPr>
                          <w:r>
                            <w:rPr>
                              <w:sz w:val="21"/>
                              <w:szCs w:val="21"/>
                            </w:rPr>
                            <w:fldChar w:fldCharType="begin"/>
                          </w:r>
                          <w:r>
                            <w:rPr>
                              <w:sz w:val="21"/>
                              <w:szCs w:val="21"/>
                            </w:rPr>
                            <w:instrText xml:space="preserve"> PAGE  \* MERGEFORMAT </w:instrText>
                          </w:r>
                          <w:r>
                            <w:rPr>
                              <w:sz w:val="21"/>
                              <w:szCs w:val="21"/>
                            </w:rPr>
                            <w:fldChar w:fldCharType="separate"/>
                          </w:r>
                          <w:r>
                            <w:rPr>
                              <w:sz w:val="21"/>
                              <w:szCs w:val="21"/>
                            </w:rPr>
                            <w:t>- 52 -</w:t>
                          </w:r>
                          <w:r>
                            <w:rPr>
                              <w:sz w:val="21"/>
                              <w:szCs w:val="21"/>
                            </w:rPr>
                            <w:fldChar w:fldCharType="end"/>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46.6pt;mso-position-horizontal:center;mso-position-horizontal-relative:margin;z-index:251659264;mso-width-relative:page;mso-height-relative:page;" filled="f" stroked="f" coordsize="21600,21600" o:gfxdata="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1G7gV9QAAAAEAQAADwAAAAAAAAABACAAAAAiAAAAZHJzL2Rvd25yZXYueG1sUEsB&#10;AhQAFAAAAAgAh07iQMehufEyAgAAVgQAAA4AAAAAAAAAAQAgAAAAIwEAAGRycy9lMm9Eb2MueG1s&#10;UEsFBgAAAAAGAAYAWQEAAMcFAAAAAA==&#10;">
              <v:fill on="f" focussize="0,0"/>
              <v:stroke on="f" weight="0.5pt"/>
              <v:imagedata o:title=""/>
              <o:lock v:ext="edit" aspectratio="f"/>
              <v:textbox inset="0mm,0mm,0mm,0mm" style="mso-fit-shape-to-text:t;">
                <w:txbxContent>
                  <w:p w14:paraId="313757FD">
                    <w:pPr>
                      <w:pStyle w:val="15"/>
                      <w:spacing w:line="240" w:lineRule="auto"/>
                      <w:jc w:val="center"/>
                      <w:rPr>
                        <w:rFonts w:hint="eastAsia"/>
                        <w:sz w:val="21"/>
                        <w:szCs w:val="21"/>
                      </w:rPr>
                    </w:pPr>
                    <w:r>
                      <w:rPr>
                        <w:sz w:val="21"/>
                        <w:szCs w:val="21"/>
                      </w:rPr>
                      <w:fldChar w:fldCharType="begin"/>
                    </w:r>
                    <w:r>
                      <w:rPr>
                        <w:sz w:val="21"/>
                        <w:szCs w:val="21"/>
                      </w:rPr>
                      <w:instrText xml:space="preserve"> PAGE  \* MERGEFORMAT </w:instrText>
                    </w:r>
                    <w:r>
                      <w:rPr>
                        <w:sz w:val="21"/>
                        <w:szCs w:val="21"/>
                      </w:rPr>
                      <w:fldChar w:fldCharType="separate"/>
                    </w:r>
                    <w:r>
                      <w:rPr>
                        <w:sz w:val="21"/>
                        <w:szCs w:val="21"/>
                      </w:rPr>
                      <w:t>- 52 -</w:t>
                    </w:r>
                    <w:r>
                      <w:rPr>
                        <w:sz w:val="21"/>
                        <w:szCs w:val="21"/>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82F3D0">
    <w:pP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577CA2"/>
    <w:multiLevelType w:val="singleLevel"/>
    <w:tmpl w:val="90577CA2"/>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95702F8"/>
    <w:rsid w:val="000A525D"/>
    <w:rsid w:val="000B635A"/>
    <w:rsid w:val="000D63F5"/>
    <w:rsid w:val="000E2ECD"/>
    <w:rsid w:val="000E5BDA"/>
    <w:rsid w:val="00145E98"/>
    <w:rsid w:val="00171A36"/>
    <w:rsid w:val="002B023E"/>
    <w:rsid w:val="00303F7F"/>
    <w:rsid w:val="00330B6D"/>
    <w:rsid w:val="00332CBD"/>
    <w:rsid w:val="003F4CB3"/>
    <w:rsid w:val="004A55A7"/>
    <w:rsid w:val="005400A4"/>
    <w:rsid w:val="00561369"/>
    <w:rsid w:val="0056409A"/>
    <w:rsid w:val="005A1860"/>
    <w:rsid w:val="005F630E"/>
    <w:rsid w:val="00680569"/>
    <w:rsid w:val="00792E45"/>
    <w:rsid w:val="007B5A79"/>
    <w:rsid w:val="008272C1"/>
    <w:rsid w:val="00A66480"/>
    <w:rsid w:val="00A66DF4"/>
    <w:rsid w:val="00AD5395"/>
    <w:rsid w:val="00B67E3C"/>
    <w:rsid w:val="00C04000"/>
    <w:rsid w:val="00DD0353"/>
    <w:rsid w:val="00EA11F5"/>
    <w:rsid w:val="00F80F77"/>
    <w:rsid w:val="047855B2"/>
    <w:rsid w:val="16612C47"/>
    <w:rsid w:val="18ED6EC9"/>
    <w:rsid w:val="21CC46F5"/>
    <w:rsid w:val="2A294F02"/>
    <w:rsid w:val="2B0D4CF3"/>
    <w:rsid w:val="2F7040AE"/>
    <w:rsid w:val="38FB262F"/>
    <w:rsid w:val="3D3440FA"/>
    <w:rsid w:val="458361FD"/>
    <w:rsid w:val="495702F8"/>
    <w:rsid w:val="60C969EB"/>
    <w:rsid w:val="6DCF4734"/>
    <w:rsid w:val="77C621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pPr>
    <w:rPr>
      <w:rFonts w:ascii="宋体" w:hAnsi="宋体" w:eastAsia="宋体" w:cstheme="minorBidi"/>
      <w:kern w:val="2"/>
      <w:sz w:val="24"/>
      <w:szCs w:val="22"/>
      <w:lang w:val="en-US" w:eastAsia="zh-CN" w:bidi="ar-SA"/>
    </w:rPr>
  </w:style>
  <w:style w:type="paragraph" w:styleId="6">
    <w:name w:val="heading 1"/>
    <w:basedOn w:val="1"/>
    <w:next w:val="1"/>
    <w:qFormat/>
    <w:uiPriority w:val="9"/>
    <w:pPr>
      <w:keepNext/>
      <w:keepLines/>
      <w:spacing w:before="340" w:after="330" w:line="578" w:lineRule="auto"/>
      <w:jc w:val="center"/>
      <w:outlineLvl w:val="0"/>
    </w:pPr>
    <w:rPr>
      <w:rFonts w:eastAsia="黑体"/>
      <w:b/>
      <w:bCs/>
      <w:kern w:val="44"/>
      <w:sz w:val="44"/>
      <w:szCs w:val="44"/>
    </w:rPr>
  </w:style>
  <w:style w:type="paragraph" w:styleId="7">
    <w:name w:val="heading 2"/>
    <w:basedOn w:val="1"/>
    <w:next w:val="1"/>
    <w:link w:val="26"/>
    <w:unhideWhenUsed/>
    <w:qFormat/>
    <w:uiPriority w:val="9"/>
    <w:pPr>
      <w:keepNext/>
      <w:keepLines/>
      <w:spacing w:before="260" w:after="260" w:line="416" w:lineRule="auto"/>
      <w:outlineLvl w:val="1"/>
    </w:pPr>
    <w:rPr>
      <w:rFonts w:asciiTheme="majorHAnsi" w:hAnsiTheme="majorHAnsi" w:cstheme="majorBidi"/>
      <w:b/>
      <w:bCs/>
      <w:sz w:val="32"/>
      <w:szCs w:val="32"/>
    </w:rPr>
  </w:style>
  <w:style w:type="paragraph" w:styleId="8">
    <w:name w:val="heading 3"/>
    <w:basedOn w:val="1"/>
    <w:next w:val="1"/>
    <w:link w:val="60"/>
    <w:unhideWhenUsed/>
    <w:qFormat/>
    <w:uiPriority w:val="9"/>
    <w:pPr>
      <w:keepNext/>
      <w:keepLines/>
      <w:spacing w:before="260" w:after="260" w:line="416" w:lineRule="auto"/>
      <w:outlineLvl w:val="2"/>
    </w:pPr>
    <w:rPr>
      <w:b/>
      <w:bCs/>
      <w:sz w:val="32"/>
      <w:szCs w:val="32"/>
    </w:rPr>
  </w:style>
  <w:style w:type="paragraph" w:styleId="9">
    <w:name w:val="heading 4"/>
    <w:basedOn w:val="1"/>
    <w:next w:val="1"/>
    <w:unhideWhenUsed/>
    <w:qFormat/>
    <w:uiPriority w:val="9"/>
    <w:pPr>
      <w:keepNext/>
      <w:keepLines/>
      <w:spacing w:before="280" w:after="290" w:line="376" w:lineRule="auto"/>
      <w:outlineLvl w:val="3"/>
    </w:pPr>
    <w:rPr>
      <w:rFonts w:asciiTheme="majorHAnsi" w:hAnsiTheme="majorHAnsi" w:cstheme="majorBidi"/>
      <w:b/>
      <w:bCs/>
      <w:sz w:val="28"/>
      <w:szCs w:val="28"/>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4"/>
    <w:qFormat/>
    <w:uiPriority w:val="0"/>
    <w:pPr>
      <w:spacing w:after="120" w:line="240" w:lineRule="auto"/>
      <w:ind w:left="420" w:leftChars="200" w:firstLine="420" w:firstLineChars="200"/>
    </w:pPr>
    <w:rPr>
      <w:rFonts w:ascii="Times New Roman" w:eastAsia="宋体"/>
      <w:sz w:val="21"/>
      <w:szCs w:val="24"/>
    </w:rPr>
  </w:style>
  <w:style w:type="paragraph" w:styleId="3">
    <w:name w:val="Body Text Indent"/>
    <w:basedOn w:val="1"/>
    <w:unhideWhenUsed/>
    <w:qFormat/>
    <w:uiPriority w:val="0"/>
    <w:pPr>
      <w:ind w:firstLine="630"/>
    </w:pPr>
    <w:rPr>
      <w:rFonts w:eastAsia="仿宋_GB2312"/>
      <w:kern w:val="0"/>
      <w:sz w:val="32"/>
      <w:szCs w:val="20"/>
    </w:rPr>
  </w:style>
  <w:style w:type="paragraph" w:styleId="4">
    <w:name w:val="Body Text First Indent"/>
    <w:basedOn w:val="5"/>
    <w:unhideWhenUsed/>
    <w:qFormat/>
    <w:uiPriority w:val="99"/>
    <w:pPr>
      <w:spacing w:line="360" w:lineRule="auto"/>
      <w:ind w:firstLine="420" w:firstLineChars="100"/>
    </w:pPr>
    <w:rPr>
      <w:rFonts w:ascii="Calibri" w:hAnsi="Calibri" w:eastAsia="仿宋"/>
      <w:sz w:val="28"/>
    </w:rPr>
  </w:style>
  <w:style w:type="paragraph" w:styleId="5">
    <w:name w:val="Body Text"/>
    <w:basedOn w:val="1"/>
    <w:unhideWhenUsed/>
    <w:qFormat/>
    <w:uiPriority w:val="99"/>
    <w:pPr>
      <w:spacing w:after="120" w:line="240" w:lineRule="auto"/>
      <w:jc w:val="both"/>
    </w:pPr>
    <w:rPr>
      <w:rFonts w:ascii="Times New Roman" w:hAnsi="Times New Roman" w:cs="Times New Roman"/>
      <w:kern w:val="0"/>
      <w:sz w:val="20"/>
      <w:szCs w:val="20"/>
    </w:rPr>
  </w:style>
  <w:style w:type="paragraph" w:styleId="10">
    <w:name w:val="Normal Indent"/>
    <w:basedOn w:val="1"/>
    <w:next w:val="1"/>
    <w:unhideWhenUsed/>
    <w:qFormat/>
    <w:uiPriority w:val="0"/>
    <w:pPr>
      <w:ind w:firstLine="420" w:firstLineChars="200"/>
    </w:pPr>
    <w:rPr>
      <w:rFonts w:ascii="Calibri" w:hAnsi="Calibri"/>
    </w:rPr>
  </w:style>
  <w:style w:type="paragraph" w:styleId="11">
    <w:name w:val="toa heading"/>
    <w:basedOn w:val="1"/>
    <w:next w:val="1"/>
    <w:qFormat/>
    <w:uiPriority w:val="0"/>
    <w:pPr>
      <w:spacing w:before="120"/>
    </w:pPr>
    <w:rPr>
      <w:rFonts w:ascii="Cambria" w:hAnsi="Cambria"/>
      <w:szCs w:val="24"/>
    </w:rPr>
  </w:style>
  <w:style w:type="paragraph" w:styleId="12">
    <w:name w:val="annotation text"/>
    <w:basedOn w:val="1"/>
    <w:qFormat/>
    <w:uiPriority w:val="0"/>
  </w:style>
  <w:style w:type="paragraph" w:styleId="13">
    <w:name w:val="Plain Text"/>
    <w:basedOn w:val="1"/>
    <w:unhideWhenUsed/>
    <w:qFormat/>
    <w:uiPriority w:val="0"/>
    <w:rPr>
      <w:rFonts w:hAnsi="Courier New"/>
      <w:kern w:val="0"/>
      <w:sz w:val="20"/>
      <w:szCs w:val="20"/>
    </w:rPr>
  </w:style>
  <w:style w:type="paragraph" w:styleId="14">
    <w:name w:val="Balloon Text"/>
    <w:basedOn w:val="1"/>
    <w:link w:val="70"/>
    <w:qFormat/>
    <w:uiPriority w:val="0"/>
    <w:pPr>
      <w:spacing w:line="240" w:lineRule="auto"/>
    </w:pPr>
    <w:rPr>
      <w:sz w:val="18"/>
      <w:szCs w:val="18"/>
    </w:rPr>
  </w:style>
  <w:style w:type="paragraph" w:styleId="15">
    <w:name w:val="footer"/>
    <w:basedOn w:val="1"/>
    <w:unhideWhenUsed/>
    <w:qFormat/>
    <w:uiPriority w:val="99"/>
    <w:pPr>
      <w:tabs>
        <w:tab w:val="center" w:pos="4153"/>
        <w:tab w:val="right" w:pos="8306"/>
      </w:tabs>
      <w:snapToGrid w:val="0"/>
    </w:pPr>
    <w:rPr>
      <w:sz w:val="18"/>
      <w:szCs w:val="18"/>
    </w:rPr>
  </w:style>
  <w:style w:type="paragraph" w:styleId="16">
    <w:name w:val="header"/>
    <w:basedOn w:val="1"/>
    <w:link w:val="71"/>
    <w:qFormat/>
    <w:uiPriority w:val="0"/>
    <w:pPr>
      <w:pBdr>
        <w:bottom w:val="single" w:color="auto" w:sz="6" w:space="1"/>
      </w:pBdr>
      <w:tabs>
        <w:tab w:val="center" w:pos="4153"/>
        <w:tab w:val="right" w:pos="8306"/>
      </w:tabs>
      <w:snapToGrid w:val="0"/>
      <w:spacing w:line="240" w:lineRule="auto"/>
      <w:jc w:val="center"/>
    </w:pPr>
    <w:rPr>
      <w:sz w:val="18"/>
      <w:szCs w:val="18"/>
    </w:rPr>
  </w:style>
  <w:style w:type="paragraph" w:styleId="17">
    <w:name w:val="toc 1"/>
    <w:basedOn w:val="1"/>
    <w:next w:val="1"/>
    <w:unhideWhenUsed/>
    <w:qFormat/>
    <w:uiPriority w:val="39"/>
    <w:pPr>
      <w:spacing w:before="120" w:after="120"/>
    </w:pPr>
    <w:rPr>
      <w:rFonts w:asciiTheme="minorHAnsi" w:eastAsiaTheme="minorHAnsi"/>
      <w:b/>
      <w:bCs/>
      <w:caps/>
      <w:sz w:val="20"/>
      <w:szCs w:val="20"/>
    </w:rPr>
  </w:style>
  <w:style w:type="paragraph" w:styleId="18">
    <w:name w:val="Normal (Web)"/>
    <w:basedOn w:val="1"/>
    <w:qFormat/>
    <w:uiPriority w:val="0"/>
    <w:pPr>
      <w:widowControl/>
      <w:spacing w:before="100" w:beforeAutospacing="1" w:after="100" w:afterAutospacing="1" w:line="240" w:lineRule="auto"/>
    </w:pPr>
    <w:rPr>
      <w:rFonts w:cs="宋体"/>
      <w:kern w:val="0"/>
      <w:szCs w:val="20"/>
    </w:rPr>
  </w:style>
  <w:style w:type="table" w:styleId="20">
    <w:name w:val="Table Grid"/>
    <w:basedOn w:val="1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basedOn w:val="21"/>
    <w:qFormat/>
    <w:uiPriority w:val="0"/>
    <w:rPr>
      <w:b/>
      <w:bCs/>
    </w:rPr>
  </w:style>
  <w:style w:type="character" w:styleId="23">
    <w:name w:val="annotation reference"/>
    <w:basedOn w:val="21"/>
    <w:qFormat/>
    <w:uiPriority w:val="0"/>
    <w:rPr>
      <w:sz w:val="21"/>
      <w:szCs w:val="21"/>
    </w:rPr>
  </w:style>
  <w:style w:type="paragraph" w:customStyle="1" w:styleId="24">
    <w:name w:val="Default"/>
    <w:qFormat/>
    <w:uiPriority w:val="0"/>
    <w:pPr>
      <w:widowControl w:val="0"/>
      <w:autoSpaceDE w:val="0"/>
      <w:autoSpaceDN w:val="0"/>
      <w:adjustRightInd w:val="0"/>
    </w:pPr>
    <w:rPr>
      <w:rFonts w:ascii=".." w:hAnsi="Times New Roman" w:eastAsia=".." w:cs="Times New Roman"/>
      <w:color w:val="000000"/>
      <w:sz w:val="24"/>
      <w:szCs w:val="24"/>
      <w:lang w:val="en-US" w:eastAsia="zh-CN" w:bidi="ar-SA"/>
    </w:rPr>
  </w:style>
  <w:style w:type="paragraph" w:customStyle="1" w:styleId="25">
    <w:name w:val="正文缩进2"/>
    <w:basedOn w:val="1"/>
    <w:qFormat/>
    <w:uiPriority w:val="0"/>
    <w:pPr>
      <w:wordWrap w:val="0"/>
      <w:ind w:firstLine="200" w:firstLineChars="200"/>
    </w:pPr>
  </w:style>
  <w:style w:type="character" w:customStyle="1" w:styleId="26">
    <w:name w:val="标题 2 字符"/>
    <w:basedOn w:val="21"/>
    <w:link w:val="7"/>
    <w:qFormat/>
    <w:uiPriority w:val="9"/>
    <w:rPr>
      <w:rFonts w:asciiTheme="majorHAnsi" w:hAnsiTheme="majorHAnsi" w:cstheme="majorBidi"/>
      <w:b/>
      <w:bCs/>
      <w:sz w:val="32"/>
      <w:szCs w:val="32"/>
    </w:rPr>
  </w:style>
  <w:style w:type="paragraph" w:customStyle="1" w:styleId="27">
    <w:name w:val="HtmlNormal"/>
    <w:basedOn w:val="1"/>
    <w:qFormat/>
    <w:uiPriority w:val="0"/>
    <w:pPr>
      <w:jc w:val="both"/>
      <w:textAlignment w:val="baseline"/>
    </w:pPr>
    <w:rPr>
      <w:rFonts w:ascii="Calibri" w:hAnsi="Calibri"/>
    </w:rPr>
  </w:style>
  <w:style w:type="paragraph" w:styleId="28">
    <w:name w:val="No Spacing"/>
    <w:qFormat/>
    <w:uiPriority w:val="1"/>
    <w:pPr>
      <w:widowControl w:val="0"/>
    </w:pPr>
    <w:rPr>
      <w:rFonts w:ascii="宋体" w:hAnsi="宋体" w:eastAsia="宋体" w:cstheme="minorBidi"/>
      <w:kern w:val="2"/>
      <w:sz w:val="21"/>
      <w:szCs w:val="22"/>
      <w:lang w:val="en-US" w:eastAsia="zh-CN" w:bidi="ar-SA"/>
    </w:rPr>
  </w:style>
  <w:style w:type="paragraph" w:customStyle="1" w:styleId="29">
    <w:name w:val="正文_2"/>
    <w:basedOn w:val="30"/>
    <w:autoRedefine/>
    <w:qFormat/>
    <w:uiPriority w:val="0"/>
    <w:rPr>
      <w:rFonts w:eastAsia="宋体"/>
    </w:rPr>
  </w:style>
  <w:style w:type="paragraph" w:customStyle="1" w:styleId="30">
    <w:name w:val="正文_3"/>
    <w:basedOn w:val="31"/>
    <w:qFormat/>
    <w:uiPriority w:val="0"/>
    <w:rPr>
      <w:sz w:val="21"/>
      <w:szCs w:val="22"/>
    </w:rPr>
  </w:style>
  <w:style w:type="paragraph" w:customStyle="1" w:styleId="31">
    <w:name w:val="Normal_0"/>
    <w:basedOn w:val="32"/>
    <w:qFormat/>
    <w:uiPriority w:val="0"/>
    <w:rPr>
      <w:rFonts w:eastAsia="Times New Roman"/>
      <w:sz w:val="24"/>
    </w:rPr>
  </w:style>
  <w:style w:type="paragraph" w:customStyle="1" w:styleId="32">
    <w:name w:val="正文1"/>
    <w:basedOn w:val="33"/>
    <w:autoRedefine/>
    <w:qFormat/>
    <w:uiPriority w:val="0"/>
    <w:rPr>
      <w:rFonts w:ascii="Calibri" w:hAnsi="Calibri"/>
    </w:rPr>
  </w:style>
  <w:style w:type="paragraph" w:customStyle="1" w:styleId="33">
    <w:name w:val="正文_5"/>
    <w:basedOn w:val="34"/>
    <w:next w:val="36"/>
    <w:qFormat/>
    <w:uiPriority w:val="0"/>
    <w:rPr>
      <w:rFonts w:ascii="Times New Roman" w:hAnsi="Times New Roman"/>
      <w:szCs w:val="24"/>
    </w:rPr>
  </w:style>
  <w:style w:type="paragraph" w:customStyle="1" w:styleId="34">
    <w:name w:val="正文_6"/>
    <w:next w:val="35"/>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35">
    <w:name w:val="列表_1"/>
    <w:basedOn w:val="34"/>
    <w:semiHidden/>
    <w:qFormat/>
    <w:locked/>
    <w:uiPriority w:val="0"/>
    <w:pPr>
      <w:ind w:left="200" w:hanging="200" w:hangingChars="200"/>
    </w:pPr>
  </w:style>
  <w:style w:type="paragraph" w:customStyle="1" w:styleId="36">
    <w:name w:val="段_0"/>
    <w:next w:val="33"/>
    <w:qFormat/>
    <w:uiPriority w:val="0"/>
    <w:pPr>
      <w:autoSpaceDE w:val="0"/>
      <w:autoSpaceDN w:val="0"/>
      <w:adjustRightInd w:val="0"/>
      <w:snapToGrid w:val="0"/>
      <w:spacing w:line="360" w:lineRule="auto"/>
      <w:ind w:firstLine="200" w:firstLineChars="200"/>
      <w:jc w:val="both"/>
    </w:pPr>
    <w:rPr>
      <w:rFonts w:ascii="宋体" w:hAnsi="Calibri" w:eastAsia="Calibri" w:cs="Times New Roman"/>
      <w:sz w:val="24"/>
      <w:szCs w:val="22"/>
      <w:lang w:val="en-US" w:eastAsia="zh-CN" w:bidi="ar-SA"/>
    </w:rPr>
  </w:style>
  <w:style w:type="paragraph" w:customStyle="1" w:styleId="37">
    <w:name w:val="正文_1_1"/>
    <w:next w:val="38"/>
    <w:autoRedefine/>
    <w:qFormat/>
    <w:uiPriority w:val="99"/>
    <w:pPr>
      <w:widowControl w:val="0"/>
      <w:jc w:val="both"/>
    </w:pPr>
    <w:rPr>
      <w:rFonts w:ascii="Calibri" w:hAnsi="Calibri" w:eastAsia="宋体" w:cs="Times New Roman"/>
      <w:kern w:val="2"/>
      <w:sz w:val="21"/>
      <w:szCs w:val="24"/>
      <w:lang w:val="en-US" w:eastAsia="zh-CN" w:bidi="ar-SA"/>
    </w:rPr>
  </w:style>
  <w:style w:type="paragraph" w:customStyle="1" w:styleId="38">
    <w:name w:val="脚注文本_0"/>
    <w:basedOn w:val="39"/>
    <w:next w:val="29"/>
    <w:unhideWhenUsed/>
    <w:qFormat/>
    <w:uiPriority w:val="99"/>
    <w:pPr>
      <w:snapToGrid w:val="0"/>
      <w:jc w:val="left"/>
    </w:pPr>
    <w:rPr>
      <w:rFonts w:ascii="Calibri" w:hAnsi="Calibri" w:eastAsia="Calibri"/>
      <w:sz w:val="18"/>
    </w:rPr>
  </w:style>
  <w:style w:type="paragraph" w:customStyle="1" w:styleId="39">
    <w:name w:val="正文_0_2"/>
    <w:basedOn w:val="40"/>
    <w:next w:val="54"/>
    <w:qFormat/>
    <w:locked/>
    <w:uiPriority w:val="0"/>
    <w:rPr>
      <w:rFonts w:ascii="Times New Roman" w:hAnsi="Times New Roman"/>
    </w:rPr>
  </w:style>
  <w:style w:type="paragraph" w:customStyle="1" w:styleId="40">
    <w:name w:val="正文_2_1"/>
    <w:basedOn w:val="41"/>
    <w:next w:val="53"/>
    <w:qFormat/>
    <w:uiPriority w:val="0"/>
  </w:style>
  <w:style w:type="paragraph" w:customStyle="1" w:styleId="41">
    <w:name w:val="正文_3_0"/>
    <w:basedOn w:val="42"/>
    <w:next w:val="44"/>
    <w:qFormat/>
    <w:uiPriority w:val="0"/>
  </w:style>
  <w:style w:type="paragraph" w:customStyle="1" w:styleId="42">
    <w:name w:val="Normal_0_0"/>
    <w:next w:val="43"/>
    <w:qFormat/>
    <w:uiPriority w:val="0"/>
    <w:pPr>
      <w:widowControl w:val="0"/>
      <w:jc w:val="both"/>
    </w:pPr>
    <w:rPr>
      <w:rFonts w:ascii="Calibri" w:hAnsi="Calibri" w:eastAsia="宋体" w:cs="Times New Roman"/>
      <w:kern w:val="2"/>
      <w:sz w:val="21"/>
      <w:szCs w:val="22"/>
      <w:lang w:val="en-US" w:eastAsia="zh-CN" w:bidi="ar-SA"/>
    </w:rPr>
  </w:style>
  <w:style w:type="paragraph" w:customStyle="1" w:styleId="43">
    <w:name w:val="Body Text_0"/>
    <w:basedOn w:val="42"/>
    <w:qFormat/>
    <w:uiPriority w:val="0"/>
    <w:pPr>
      <w:spacing w:after="120"/>
    </w:pPr>
  </w:style>
  <w:style w:type="paragraph" w:customStyle="1" w:styleId="44">
    <w:name w:val="正文缩进_0_0_1"/>
    <w:basedOn w:val="45"/>
    <w:unhideWhenUsed/>
    <w:qFormat/>
    <w:uiPriority w:val="0"/>
    <w:pPr>
      <w:ind w:firstLine="420" w:firstLineChars="200"/>
    </w:pPr>
  </w:style>
  <w:style w:type="paragraph" w:customStyle="1" w:styleId="45">
    <w:name w:val="正文_0_1_1"/>
    <w:basedOn w:val="46"/>
    <w:next w:val="50"/>
    <w:qFormat/>
    <w:uiPriority w:val="0"/>
    <w:pPr>
      <w:widowControl w:val="0"/>
      <w:jc w:val="both"/>
    </w:pPr>
    <w:rPr>
      <w:rFonts w:ascii="Calibri" w:hAnsi="Calibri" w:eastAsia="Calibri"/>
      <w:kern w:val="2"/>
      <w:sz w:val="21"/>
      <w:szCs w:val="22"/>
    </w:rPr>
  </w:style>
  <w:style w:type="paragraph" w:customStyle="1" w:styleId="46">
    <w:name w:val="正文_3_1"/>
    <w:basedOn w:val="47"/>
    <w:next w:val="48"/>
    <w:qFormat/>
    <w:uiPriority w:val="0"/>
    <w:rPr>
      <w:szCs w:val="21"/>
    </w:rPr>
  </w:style>
  <w:style w:type="paragraph" w:customStyle="1" w:styleId="47">
    <w:name w:val="Normal_0_1"/>
    <w:qFormat/>
    <w:uiPriority w:val="0"/>
    <w:rPr>
      <w:rFonts w:ascii="黑体" w:hAnsi="黑体" w:eastAsia="黑体" w:cs="Times New Roman"/>
      <w:b/>
      <w:sz w:val="32"/>
      <w:szCs w:val="24"/>
      <w:lang w:val="en-US" w:eastAsia="zh-CN" w:bidi="ar-SA"/>
    </w:rPr>
  </w:style>
  <w:style w:type="paragraph" w:customStyle="1" w:styleId="48">
    <w:name w:val="正文缩进_0_0_0"/>
    <w:basedOn w:val="49"/>
    <w:unhideWhenUsed/>
    <w:qFormat/>
    <w:uiPriority w:val="0"/>
    <w:pPr>
      <w:ind w:firstLine="420" w:firstLineChars="200"/>
    </w:pPr>
  </w:style>
  <w:style w:type="paragraph" w:customStyle="1" w:styleId="49">
    <w:name w:val="正文_0_1_0"/>
    <w:basedOn w:val="37"/>
    <w:next w:val="38"/>
    <w:qFormat/>
    <w:uiPriority w:val="0"/>
    <w:rPr>
      <w:rFonts w:cs="宋体"/>
      <w:szCs w:val="21"/>
    </w:rPr>
  </w:style>
  <w:style w:type="paragraph" w:customStyle="1" w:styleId="50">
    <w:name w:val="脚注文本1"/>
    <w:basedOn w:val="51"/>
    <w:next w:val="52"/>
    <w:unhideWhenUsed/>
    <w:qFormat/>
    <w:uiPriority w:val="0"/>
    <w:pPr>
      <w:snapToGrid w:val="0"/>
      <w:jc w:val="left"/>
    </w:pPr>
    <w:rPr>
      <w:kern w:val="0"/>
      <w:sz w:val="18"/>
      <w:szCs w:val="18"/>
    </w:rPr>
  </w:style>
  <w:style w:type="paragraph" w:customStyle="1" w:styleId="51">
    <w:name w:val="正文_1_0"/>
    <w:next w:val="50"/>
    <w:qFormat/>
    <w:uiPriority w:val="0"/>
    <w:pPr>
      <w:widowControl w:val="0"/>
      <w:jc w:val="both"/>
    </w:pPr>
    <w:rPr>
      <w:rFonts w:ascii="Calibri" w:hAnsi="Calibri" w:eastAsia="宋体" w:cs="Times New Roman"/>
      <w:kern w:val="2"/>
      <w:sz w:val="21"/>
      <w:szCs w:val="24"/>
      <w:lang w:val="en-US" w:eastAsia="zh-CN" w:bidi="ar-SA"/>
    </w:rPr>
  </w:style>
  <w:style w:type="paragraph" w:customStyle="1" w:styleId="52">
    <w:name w:val="索引 51"/>
    <w:basedOn w:val="51"/>
    <w:next w:val="51"/>
    <w:unhideWhenUsed/>
    <w:qFormat/>
    <w:uiPriority w:val="99"/>
    <w:pPr>
      <w:ind w:left="1680"/>
    </w:pPr>
  </w:style>
  <w:style w:type="paragraph" w:customStyle="1" w:styleId="53">
    <w:name w:val="No Spacing_0"/>
    <w:basedOn w:val="33"/>
    <w:qFormat/>
    <w:uiPriority w:val="1"/>
  </w:style>
  <w:style w:type="paragraph" w:customStyle="1" w:styleId="54">
    <w:name w:val="页脚_0_0"/>
    <w:basedOn w:val="39"/>
    <w:unhideWhenUsed/>
    <w:qFormat/>
    <w:uiPriority w:val="99"/>
    <w:pPr>
      <w:tabs>
        <w:tab w:val="center" w:pos="4153"/>
        <w:tab w:val="right" w:pos="8306"/>
      </w:tabs>
      <w:snapToGrid w:val="0"/>
      <w:jc w:val="left"/>
    </w:pPr>
    <w:rPr>
      <w:sz w:val="18"/>
      <w:szCs w:val="18"/>
    </w:rPr>
  </w:style>
  <w:style w:type="paragraph" w:customStyle="1" w:styleId="55">
    <w:name w:val="xl31"/>
    <w:basedOn w:val="1"/>
    <w:autoRedefine/>
    <w:qFormat/>
    <w:uiPriority w:val="0"/>
    <w:pPr>
      <w:widowControl/>
      <w:spacing w:before="100" w:beforeAutospacing="1" w:after="100" w:afterAutospacing="1"/>
      <w:jc w:val="center"/>
    </w:pPr>
    <w:rPr>
      <w:b/>
      <w:bCs/>
      <w:kern w:val="0"/>
      <w:sz w:val="28"/>
      <w:szCs w:val="28"/>
    </w:rPr>
  </w:style>
  <w:style w:type="character" w:customStyle="1" w:styleId="56">
    <w:name w:val="NormalCharacter"/>
    <w:link w:val="57"/>
    <w:qFormat/>
    <w:uiPriority w:val="0"/>
    <w:rPr>
      <w:rFonts w:ascii="仿宋_GB2312" w:hAnsi="Calibri" w:eastAsia="仿宋_GB2312" w:cs="Times New Roman"/>
      <w:b/>
      <w:sz w:val="32"/>
      <w:szCs w:val="32"/>
    </w:rPr>
  </w:style>
  <w:style w:type="paragraph" w:customStyle="1" w:styleId="57">
    <w:name w:val="UserStyle_461"/>
    <w:basedOn w:val="1"/>
    <w:link w:val="56"/>
    <w:qFormat/>
    <w:uiPriority w:val="0"/>
    <w:pPr>
      <w:widowControl/>
      <w:textAlignment w:val="baseline"/>
    </w:pPr>
    <w:rPr>
      <w:rFonts w:ascii="仿宋_GB2312" w:hAnsi="Calibri" w:eastAsia="仿宋_GB2312" w:cs="Times New Roman"/>
      <w:b/>
      <w:sz w:val="32"/>
      <w:szCs w:val="32"/>
    </w:rPr>
  </w:style>
  <w:style w:type="paragraph" w:customStyle="1" w:styleId="58">
    <w:name w:val="正文2"/>
    <w:autoRedefine/>
    <w:qFormat/>
    <w:uiPriority w:val="0"/>
    <w:pPr>
      <w:widowControl w:val="0"/>
      <w:jc w:val="both"/>
    </w:pPr>
    <w:rPr>
      <w:rFonts w:ascii="Times New Roman" w:hAnsi="Times New Roman" w:eastAsia="Times New Roman" w:cs="Times New Roman"/>
      <w:lang w:val="en-US" w:eastAsia="zh-CN" w:bidi="ar-SA"/>
    </w:rPr>
  </w:style>
  <w:style w:type="paragraph" w:styleId="59">
    <w:name w:val="List Paragraph"/>
    <w:basedOn w:val="1"/>
    <w:qFormat/>
    <w:uiPriority w:val="34"/>
    <w:pPr>
      <w:ind w:firstLine="420" w:firstLineChars="200"/>
    </w:pPr>
  </w:style>
  <w:style w:type="character" w:customStyle="1" w:styleId="60">
    <w:name w:val="标题 3 字符"/>
    <w:link w:val="8"/>
    <w:qFormat/>
    <w:uiPriority w:val="9"/>
    <w:rPr>
      <w:b/>
      <w:bCs/>
      <w:sz w:val="32"/>
      <w:szCs w:val="32"/>
    </w:rPr>
  </w:style>
  <w:style w:type="paragraph" w:customStyle="1" w:styleId="61">
    <w:name w:val="UserStyle_66"/>
    <w:basedOn w:val="62"/>
    <w:qFormat/>
    <w:uiPriority w:val="0"/>
  </w:style>
  <w:style w:type="paragraph" w:customStyle="1" w:styleId="62">
    <w:name w:val="UserStyle_67"/>
    <w:qFormat/>
    <w:uiPriority w:val="0"/>
    <w:pPr>
      <w:jc w:val="both"/>
      <w:textAlignment w:val="baseline"/>
    </w:pPr>
    <w:rPr>
      <w:rFonts w:ascii="Calibri" w:hAnsi="Calibri" w:eastAsia="宋体" w:cs="Times New Roman"/>
      <w:kern w:val="2"/>
      <w:sz w:val="21"/>
      <w:szCs w:val="22"/>
      <w:lang w:val="en-US" w:eastAsia="zh-CN" w:bidi="ar-SA"/>
    </w:rPr>
  </w:style>
  <w:style w:type="paragraph" w:customStyle="1" w:styleId="63">
    <w:name w:val="UserStyle_122"/>
    <w:basedOn w:val="62"/>
    <w:qFormat/>
    <w:uiPriority w:val="0"/>
    <w:pPr>
      <w:jc w:val="left"/>
    </w:pPr>
    <w:rPr>
      <w:rFonts w:ascii="黑体" w:hAnsi="黑体" w:eastAsia="黑体" w:cs="宋体"/>
      <w:b/>
      <w:bCs/>
      <w:kern w:val="0"/>
      <w:sz w:val="32"/>
      <w:szCs w:val="32"/>
    </w:rPr>
  </w:style>
  <w:style w:type="paragraph" w:customStyle="1" w:styleId="64">
    <w:name w:val="UserStyle_123"/>
    <w:basedOn w:val="62"/>
    <w:next w:val="65"/>
    <w:qFormat/>
    <w:uiPriority w:val="0"/>
    <w:rPr>
      <w:rFonts w:ascii="Times New Roman" w:hAnsi="Times New Roman"/>
      <w:szCs w:val="21"/>
    </w:rPr>
  </w:style>
  <w:style w:type="paragraph" w:customStyle="1" w:styleId="65">
    <w:name w:val="UserStyle_124"/>
    <w:basedOn w:val="64"/>
    <w:qFormat/>
    <w:uiPriority w:val="0"/>
    <w:pPr>
      <w:snapToGrid w:val="0"/>
      <w:jc w:val="left"/>
    </w:pPr>
    <w:rPr>
      <w:rFonts w:ascii="Calibri" w:hAnsi="Calibri"/>
      <w:sz w:val="18"/>
      <w:szCs w:val="18"/>
    </w:rPr>
  </w:style>
  <w:style w:type="paragraph" w:customStyle="1" w:styleId="66">
    <w:name w:val="无间隔1"/>
    <w:basedOn w:val="1"/>
    <w:qFormat/>
    <w:uiPriority w:val="1"/>
  </w:style>
  <w:style w:type="paragraph" w:customStyle="1" w:styleId="67">
    <w:name w:val="UserStyle_32"/>
    <w:qFormat/>
    <w:uiPriority w:val="0"/>
    <w:pPr>
      <w:textAlignment w:val="baseline"/>
    </w:pPr>
    <w:rPr>
      <w:rFonts w:ascii="黑体" w:hAnsi="黑体" w:eastAsia="黑体" w:cs="宋体"/>
      <w:b/>
      <w:sz w:val="32"/>
      <w:szCs w:val="24"/>
      <w:lang w:val="en-US" w:eastAsia="zh-CN" w:bidi="ar-SA"/>
    </w:rPr>
  </w:style>
  <w:style w:type="paragraph" w:customStyle="1" w:styleId="68">
    <w:name w:val="UserStyle_100"/>
    <w:qFormat/>
    <w:uiPriority w:val="0"/>
    <w:pPr>
      <w:jc w:val="both"/>
      <w:textAlignment w:val="baseline"/>
    </w:pPr>
    <w:rPr>
      <w:rFonts w:ascii="Calibri" w:hAnsi="Calibri" w:eastAsia="宋体" w:cs="Times New Roman"/>
      <w:kern w:val="2"/>
      <w:sz w:val="21"/>
      <w:szCs w:val="22"/>
      <w:lang w:val="en-US" w:eastAsia="zh-CN" w:bidi="ar-SA"/>
    </w:rPr>
  </w:style>
  <w:style w:type="paragraph" w:customStyle="1" w:styleId="69">
    <w:name w:val="UserStyle_125"/>
    <w:basedOn w:val="62"/>
    <w:qFormat/>
    <w:uiPriority w:val="0"/>
    <w:rPr>
      <w:rFonts w:ascii="Times New Roman" w:hAnsi="Times New Roman"/>
      <w:szCs w:val="21"/>
    </w:rPr>
  </w:style>
  <w:style w:type="character" w:customStyle="1" w:styleId="70">
    <w:name w:val="批注框文本 字符"/>
    <w:basedOn w:val="21"/>
    <w:link w:val="14"/>
    <w:qFormat/>
    <w:uiPriority w:val="0"/>
    <w:rPr>
      <w:rFonts w:ascii="宋体" w:hAnsi="宋体" w:eastAsia="宋体"/>
      <w:kern w:val="2"/>
      <w:sz w:val="18"/>
      <w:szCs w:val="18"/>
    </w:rPr>
  </w:style>
  <w:style w:type="character" w:customStyle="1" w:styleId="71">
    <w:name w:val="页眉 字符"/>
    <w:basedOn w:val="21"/>
    <w:link w:val="16"/>
    <w:qFormat/>
    <w:uiPriority w:val="0"/>
    <w:rPr>
      <w:rFonts w:ascii="宋体" w:hAnsi="宋体" w:eastAsia="宋体"/>
      <w:kern w:val="2"/>
      <w:sz w:val="18"/>
      <w:szCs w:val="18"/>
    </w:rPr>
  </w:style>
  <w:style w:type="paragraph" w:customStyle="1" w:styleId="72">
    <w:name w:val="Revision"/>
    <w:hidden/>
    <w:semiHidden/>
    <w:qFormat/>
    <w:uiPriority w:val="99"/>
    <w:rPr>
      <w:rFonts w:ascii="宋体" w:hAnsi="宋体" w:eastAsia="宋体" w:cstheme="minorBidi"/>
      <w:kern w:val="2"/>
      <w:sz w:val="24"/>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95</Pages>
  <Words>29233</Words>
  <Characters>31291</Characters>
  <Lines>459</Lines>
  <Paragraphs>129</Paragraphs>
  <TotalTime>4</TotalTime>
  <ScaleCrop>false</ScaleCrop>
  <LinksUpToDate>false</LinksUpToDate>
  <CharactersWithSpaces>31891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2026-05-07T11:02:00Z</dcterms:created>
  <dc:creator>马琴琴琴琴琴</dc:creator>
  <cp:lastModifiedBy>马琴琴琴琴琴</cp:lastModifiedBy>
  <dcterms:modified xsi:type="dcterms:W3CDTF">2026-05-15T04:35:36Z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B5D89323F4FB42948AC5D24EC4230B99_13</vt:lpwstr>
  </property>
  <property fmtid="{D5CDD505-2E9C-101B-9397-08002B2CF9AE}" pid="4" name="KSOTemplateDocerSaveRecord">
    <vt:lpwstr>eyJoZGlkIjoiNGIyNjIzOTAxZWMyN2Y5YzVhNGJlODQ3YjIwZjk2YmYiLCJ1c2VySWQiOiIyNDIzOTU1MjAifQ==</vt:lpwstr>
  </property>
</Properties>
</file>