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D6F6D">
      <w:pPr>
        <w:pStyle w:val="15"/>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b/>
          <w:color w:val="000000" w:themeColor="text1"/>
          <w:sz w:val="44"/>
          <w:szCs w:val="44"/>
          <w:highlight w:val="none"/>
          <w:lang w:eastAsia="zh-CN"/>
          <w14:textFill>
            <w14:solidFill>
              <w14:schemeClr w14:val="tx1"/>
            </w14:solidFill>
          </w14:textFill>
        </w:rPr>
      </w:pPr>
      <w:r>
        <w:rPr>
          <w:rFonts w:hint="eastAsia" w:ascii="仿宋" w:hAnsi="仿宋" w:eastAsia="仿宋" w:cs="仿宋"/>
          <w:b/>
          <w:color w:val="000000" w:themeColor="text1"/>
          <w:sz w:val="44"/>
          <w:szCs w:val="44"/>
          <w:highlight w:val="none"/>
          <w:lang w:eastAsia="zh-CN"/>
          <w14:textFill>
            <w14:solidFill>
              <w14:schemeClr w14:val="tx1"/>
            </w14:solidFill>
          </w14:textFill>
        </w:rPr>
        <w:t>202</w:t>
      </w:r>
      <w:r>
        <w:rPr>
          <w:rFonts w:hint="eastAsia" w:ascii="仿宋" w:hAnsi="仿宋" w:eastAsia="仿宋" w:cs="仿宋"/>
          <w:b/>
          <w:color w:val="000000" w:themeColor="text1"/>
          <w:sz w:val="44"/>
          <w:szCs w:val="44"/>
          <w:highlight w:val="none"/>
          <w:lang w:val="en-US" w:eastAsia="zh-CN"/>
          <w14:textFill>
            <w14:solidFill>
              <w14:schemeClr w14:val="tx1"/>
            </w14:solidFill>
          </w14:textFill>
        </w:rPr>
        <w:t>6</w:t>
      </w:r>
      <w:r>
        <w:rPr>
          <w:rFonts w:hint="eastAsia" w:ascii="仿宋" w:hAnsi="仿宋" w:eastAsia="仿宋" w:cs="仿宋"/>
          <w:b/>
          <w:color w:val="000000" w:themeColor="text1"/>
          <w:sz w:val="44"/>
          <w:szCs w:val="44"/>
          <w:highlight w:val="none"/>
          <w:lang w:eastAsia="zh-CN"/>
          <w14:textFill>
            <w14:solidFill>
              <w14:schemeClr w14:val="tx1"/>
            </w14:solidFill>
          </w14:textFill>
        </w:rPr>
        <w:t>年市级食品安全抽检任务</w:t>
      </w:r>
    </w:p>
    <w:p w14:paraId="5F5AC1BB">
      <w:pPr>
        <w:spacing w:line="560" w:lineRule="exact"/>
        <w:rPr>
          <w:rFonts w:hint="eastAsia" w:ascii="仿宋" w:hAnsi="仿宋" w:eastAsia="仿宋" w:cs="仿宋"/>
          <w:color w:val="000000" w:themeColor="text1"/>
          <w:sz w:val="44"/>
          <w:szCs w:val="44"/>
          <w:highlight w:val="none"/>
          <w14:textFill>
            <w14:solidFill>
              <w14:schemeClr w14:val="tx1"/>
            </w14:solidFill>
          </w14:textFill>
        </w:rPr>
      </w:pPr>
    </w:p>
    <w:p w14:paraId="4A69F01C">
      <w:pPr>
        <w:pStyle w:val="11"/>
        <w:rPr>
          <w:rFonts w:hint="eastAsia" w:ascii="仿宋" w:hAnsi="仿宋" w:eastAsia="仿宋" w:cs="仿宋"/>
          <w:color w:val="000000" w:themeColor="text1"/>
          <w:highlight w:val="none"/>
          <w14:textFill>
            <w14:solidFill>
              <w14:schemeClr w14:val="tx1"/>
            </w14:solidFill>
          </w14:textFill>
        </w:rPr>
      </w:pPr>
    </w:p>
    <w:p w14:paraId="506283E4">
      <w:pPr>
        <w:spacing w:line="560" w:lineRule="exact"/>
        <w:jc w:val="center"/>
        <w:rPr>
          <w:rFonts w:hint="eastAsia" w:ascii="仿宋" w:hAnsi="仿宋" w:eastAsia="仿宋" w:cs="仿宋"/>
          <w:color w:val="000000" w:themeColor="text1"/>
          <w:sz w:val="44"/>
          <w:szCs w:val="44"/>
          <w:highlight w:val="none"/>
          <w14:textFill>
            <w14:solidFill>
              <w14:schemeClr w14:val="tx1"/>
            </w14:solidFill>
          </w14:textFill>
        </w:rPr>
      </w:pPr>
    </w:p>
    <w:p w14:paraId="38019399">
      <w:pPr>
        <w:pStyle w:val="11"/>
        <w:rPr>
          <w:rFonts w:hint="eastAsia" w:ascii="仿宋" w:hAnsi="仿宋" w:eastAsia="仿宋" w:cs="仿宋"/>
          <w:color w:val="000000" w:themeColor="text1"/>
          <w:highlight w:val="none"/>
          <w14:textFill>
            <w14:solidFill>
              <w14:schemeClr w14:val="tx1"/>
            </w14:solidFill>
          </w14:textFill>
        </w:rPr>
      </w:pPr>
    </w:p>
    <w:p w14:paraId="2A8C37F9">
      <w:pPr>
        <w:pStyle w:val="15"/>
        <w:spacing w:line="360" w:lineRule="auto"/>
        <w:ind w:right="105" w:rightChars="50"/>
        <w:jc w:val="center"/>
        <w:rPr>
          <w:rFonts w:hint="eastAsia" w:ascii="仿宋" w:hAnsi="仿宋" w:eastAsia="仿宋" w:cs="仿宋"/>
          <w:b/>
          <w:color w:val="000000" w:themeColor="text1"/>
          <w:sz w:val="104"/>
          <w:szCs w:val="104"/>
          <w:highlight w:val="none"/>
          <w14:textFill>
            <w14:solidFill>
              <w14:schemeClr w14:val="tx1"/>
            </w14:solidFill>
          </w14:textFill>
        </w:rPr>
      </w:pPr>
      <w:r>
        <w:rPr>
          <w:rFonts w:hint="eastAsia" w:ascii="仿宋" w:hAnsi="仿宋" w:eastAsia="仿宋" w:cs="仿宋"/>
          <w:b/>
          <w:color w:val="000000" w:themeColor="text1"/>
          <w:sz w:val="104"/>
          <w:szCs w:val="104"/>
          <w:highlight w:val="none"/>
          <w:lang w:val="en-US" w:eastAsia="zh-CN"/>
          <w14:textFill>
            <w14:solidFill>
              <w14:schemeClr w14:val="tx1"/>
            </w14:solidFill>
          </w14:textFill>
        </w:rPr>
        <w:t>招 标</w:t>
      </w:r>
      <w:r>
        <w:rPr>
          <w:rFonts w:hint="eastAsia" w:ascii="仿宋" w:hAnsi="仿宋" w:eastAsia="仿宋" w:cs="仿宋"/>
          <w:b/>
          <w:color w:val="000000" w:themeColor="text1"/>
          <w:sz w:val="104"/>
          <w:szCs w:val="104"/>
          <w:highlight w:val="none"/>
          <w14:textFill>
            <w14:solidFill>
              <w14:schemeClr w14:val="tx1"/>
            </w14:solidFill>
          </w14:textFill>
        </w:rPr>
        <w:t xml:space="preserve"> 文 件</w:t>
      </w:r>
    </w:p>
    <w:p w14:paraId="645A1B02">
      <w:pPr>
        <w:pStyle w:val="15"/>
        <w:ind w:right="105" w:rightChars="50"/>
        <w:jc w:val="center"/>
        <w:outlineLvl w:val="9"/>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项目</w:t>
      </w:r>
      <w:r>
        <w:rPr>
          <w:rFonts w:hint="eastAsia" w:ascii="仿宋" w:hAnsi="仿宋" w:eastAsia="仿宋" w:cs="仿宋"/>
          <w:b/>
          <w:color w:val="000000" w:themeColor="text1"/>
          <w:sz w:val="32"/>
          <w:szCs w:val="32"/>
          <w:highlight w:val="none"/>
          <w14:textFill>
            <w14:solidFill>
              <w14:schemeClr w14:val="tx1"/>
            </w14:solidFill>
          </w14:textFill>
        </w:rPr>
        <w:t>编号：QJZC2026-G3-00586-yngl-0006</w:t>
      </w:r>
    </w:p>
    <w:p w14:paraId="2B3CBD93">
      <w:pPr>
        <w:pStyle w:val="15"/>
        <w:ind w:right="105" w:rightChars="50"/>
        <w:jc w:val="center"/>
        <w:outlineLvl w:val="9"/>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p>
    <w:p w14:paraId="6A311A51">
      <w:pPr>
        <w:pStyle w:val="15"/>
        <w:spacing w:line="360" w:lineRule="auto"/>
        <w:ind w:right="105" w:rightChars="50"/>
        <w:jc w:val="center"/>
        <w:rPr>
          <w:rFonts w:hint="eastAsia" w:ascii="仿宋" w:hAnsi="仿宋" w:eastAsia="仿宋" w:cs="仿宋"/>
          <w:b/>
          <w:color w:val="000000" w:themeColor="text1"/>
          <w:sz w:val="104"/>
          <w:szCs w:val="104"/>
          <w:highlight w:val="none"/>
          <w14:textFill>
            <w14:solidFill>
              <w14:schemeClr w14:val="tx1"/>
            </w14:solidFill>
          </w14:textFill>
        </w:rPr>
      </w:pPr>
    </w:p>
    <w:p w14:paraId="4CD10E90">
      <w:pPr>
        <w:rPr>
          <w:rFonts w:hint="eastAsia" w:ascii="仿宋" w:hAnsi="仿宋" w:eastAsia="仿宋" w:cs="仿宋"/>
          <w:color w:val="000000" w:themeColor="text1"/>
          <w:highlight w:val="none"/>
          <w14:textFill>
            <w14:solidFill>
              <w14:schemeClr w14:val="tx1"/>
            </w14:solidFill>
          </w14:textFill>
        </w:rPr>
      </w:pPr>
    </w:p>
    <w:p w14:paraId="470B1063">
      <w:pPr>
        <w:outlineLvl w:val="9"/>
        <w:rPr>
          <w:rFonts w:hint="eastAsia" w:ascii="仿宋" w:hAnsi="仿宋" w:eastAsia="仿宋" w:cs="仿宋"/>
          <w:color w:val="000000" w:themeColor="text1"/>
          <w:highlight w:val="none"/>
          <w14:textFill>
            <w14:solidFill>
              <w14:schemeClr w14:val="tx1"/>
            </w14:solidFill>
          </w14:textFill>
        </w:rPr>
      </w:pPr>
    </w:p>
    <w:p w14:paraId="05B96E1A">
      <w:pPr>
        <w:rPr>
          <w:rFonts w:hint="eastAsia" w:ascii="仿宋" w:hAnsi="仿宋" w:eastAsia="仿宋" w:cs="仿宋"/>
          <w:b/>
          <w:bCs/>
          <w:color w:val="000000" w:themeColor="text1"/>
          <w:sz w:val="32"/>
          <w:szCs w:val="32"/>
          <w:highlight w:val="none"/>
          <w14:textFill>
            <w14:solidFill>
              <w14:schemeClr w14:val="tx1"/>
            </w14:solidFill>
          </w14:textFill>
        </w:rPr>
      </w:pPr>
    </w:p>
    <w:p w14:paraId="4733F3AB">
      <w:pPr>
        <w:pStyle w:val="11"/>
        <w:rPr>
          <w:rFonts w:hint="eastAsia" w:ascii="仿宋" w:hAnsi="仿宋" w:eastAsia="仿宋" w:cs="仿宋"/>
          <w:b/>
          <w:bCs/>
          <w:color w:val="000000" w:themeColor="text1"/>
          <w:sz w:val="32"/>
          <w:szCs w:val="32"/>
          <w:highlight w:val="none"/>
          <w14:textFill>
            <w14:solidFill>
              <w14:schemeClr w14:val="tx1"/>
            </w14:solidFill>
          </w14:textFill>
        </w:rPr>
      </w:pPr>
    </w:p>
    <w:p w14:paraId="5BD1E725">
      <w:pPr>
        <w:rPr>
          <w:rFonts w:hint="eastAsia" w:ascii="仿宋" w:hAnsi="仿宋" w:eastAsia="仿宋" w:cs="仿宋"/>
          <w:b/>
          <w:bCs/>
          <w:color w:val="000000" w:themeColor="text1"/>
          <w:sz w:val="32"/>
          <w:szCs w:val="32"/>
          <w:highlight w:val="none"/>
          <w14:textFill>
            <w14:solidFill>
              <w14:schemeClr w14:val="tx1"/>
            </w14:solidFill>
          </w14:textFill>
        </w:rPr>
      </w:pPr>
    </w:p>
    <w:p w14:paraId="71A3535F">
      <w:pPr>
        <w:pStyle w:val="15"/>
        <w:spacing w:line="360" w:lineRule="auto"/>
        <w:ind w:right="105" w:rightChars="50"/>
        <w:jc w:val="both"/>
        <w:rPr>
          <w:rFonts w:hint="eastAsia" w:ascii="仿宋" w:hAnsi="仿宋" w:eastAsia="仿宋" w:cs="仿宋"/>
          <w:b/>
          <w:bCs/>
          <w:color w:val="000000" w:themeColor="text1"/>
          <w:sz w:val="32"/>
          <w:szCs w:val="32"/>
          <w:highlight w:val="none"/>
          <w14:textFill>
            <w14:solidFill>
              <w14:schemeClr w14:val="tx1"/>
            </w14:solidFill>
          </w14:textFill>
        </w:rPr>
      </w:pPr>
    </w:p>
    <w:p w14:paraId="29D7E795">
      <w:pPr>
        <w:pStyle w:val="15"/>
        <w:spacing w:line="360" w:lineRule="auto"/>
        <w:ind w:right="105" w:rightChars="50"/>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2317A057">
      <w:pPr>
        <w:pStyle w:val="15"/>
        <w:spacing w:line="360" w:lineRule="auto"/>
        <w:ind w:right="105" w:rightChars="50"/>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7D8BAABB">
      <w:pPr>
        <w:pStyle w:val="15"/>
        <w:spacing w:line="360" w:lineRule="auto"/>
        <w:ind w:right="105" w:rightChars="50"/>
        <w:jc w:val="center"/>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采购人：</w:t>
      </w:r>
      <w:r>
        <w:rPr>
          <w:rFonts w:hint="eastAsia" w:ascii="仿宋" w:hAnsi="仿宋" w:eastAsia="仿宋" w:cs="仿宋"/>
          <w:b/>
          <w:bCs/>
          <w:color w:val="000000" w:themeColor="text1"/>
          <w:sz w:val="32"/>
          <w:szCs w:val="32"/>
          <w:highlight w:val="none"/>
          <w:lang w:eastAsia="zh-CN"/>
          <w14:textFill>
            <w14:solidFill>
              <w14:schemeClr w14:val="tx1"/>
            </w14:solidFill>
          </w14:textFill>
        </w:rPr>
        <w:t>曲靖市市场监督管理局</w:t>
      </w:r>
    </w:p>
    <w:p w14:paraId="0B879F36">
      <w:pPr>
        <w:pStyle w:val="15"/>
        <w:spacing w:line="360" w:lineRule="auto"/>
        <w:ind w:right="105" w:rightChars="50"/>
        <w:jc w:val="center"/>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采购代理机构：</w:t>
      </w:r>
      <w:r>
        <w:rPr>
          <w:rFonts w:hint="eastAsia" w:ascii="仿宋" w:hAnsi="仿宋" w:eastAsia="仿宋" w:cs="仿宋"/>
          <w:b/>
          <w:bCs/>
          <w:color w:val="000000" w:themeColor="text1"/>
          <w:sz w:val="32"/>
          <w:szCs w:val="32"/>
          <w:highlight w:val="none"/>
          <w:lang w:eastAsia="zh-CN"/>
          <w14:textFill>
            <w14:solidFill>
              <w14:schemeClr w14:val="tx1"/>
            </w14:solidFill>
          </w14:textFill>
        </w:rPr>
        <w:t>云南广联工程项目管理有限公司</w:t>
      </w:r>
    </w:p>
    <w:p w14:paraId="0CBC5EDC">
      <w:pPr>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Toc85096084"/>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日期：2026年4月</w:t>
      </w:r>
    </w:p>
    <w:p w14:paraId="21CE6991">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sdt>
      <w:sdtPr>
        <w:rPr>
          <w:rFonts w:ascii="宋体" w:hAnsi="宋体" w:eastAsia="宋体" w:cs="Times New Roman"/>
          <w:kern w:val="2"/>
          <w:sz w:val="21"/>
          <w:szCs w:val="24"/>
          <w:lang w:val="en-US" w:eastAsia="zh-CN" w:bidi="ar-SA"/>
        </w:rPr>
        <w:id w:val="147452407"/>
        <w15:color w:val="DBDBDB"/>
        <w:docPartObj>
          <w:docPartGallery w:val="Table of Contents"/>
          <w:docPartUnique/>
        </w:docPartObj>
      </w:sdtPr>
      <w:sdtEndPr>
        <w:rPr>
          <w:rFonts w:hint="eastAsia" w:ascii="仿宋" w:hAnsi="仿宋" w:eastAsia="仿宋" w:cs="仿宋"/>
          <w:bCs/>
          <w:color w:val="000000" w:themeColor="text1"/>
          <w:kern w:val="2"/>
          <w:sz w:val="26"/>
          <w:szCs w:val="20"/>
          <w:highlight w:val="none"/>
          <w:lang w:val="en-US" w:eastAsia="zh-CN" w:bidi="ar-SA"/>
          <w14:textFill>
            <w14:solidFill>
              <w14:schemeClr w14:val="tx1"/>
            </w14:solidFill>
          </w14:textFill>
        </w:rPr>
      </w:sdtEndPr>
      <w:sdtContent>
        <w:p w14:paraId="6F2DE85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0D69E77">
          <w:pPr>
            <w:pStyle w:val="19"/>
            <w:tabs>
              <w:tab w:val="right" w:leader="dot" w:pos="8504"/>
            </w:tabs>
          </w:pPr>
          <w:r>
            <w:rPr>
              <w:rFonts w:hint="eastAsia" w:ascii="仿宋" w:hAnsi="仿宋" w:eastAsia="仿宋" w:cs="仿宋"/>
              <w:b/>
              <w:bCs/>
              <w:color w:val="000000" w:themeColor="text1"/>
              <w:highlight w:val="none"/>
              <w14:textFill>
                <w14:solidFill>
                  <w14:schemeClr w14:val="tx1"/>
                </w14:solidFill>
              </w14:textFill>
            </w:rPr>
            <w:fldChar w:fldCharType="begin"/>
          </w:r>
          <w:r>
            <w:rPr>
              <w:rFonts w:hint="eastAsia" w:ascii="仿宋" w:hAnsi="仿宋" w:eastAsia="仿宋" w:cs="仿宋"/>
              <w:b/>
              <w:bCs/>
              <w:color w:val="000000" w:themeColor="text1"/>
              <w:highlight w:val="none"/>
              <w14:textFill>
                <w14:solidFill>
                  <w14:schemeClr w14:val="tx1"/>
                </w14:solidFill>
              </w14:textFill>
            </w:rPr>
            <w:instrText xml:space="preserve">TOC \o "1-1" \h \u </w:instrText>
          </w:r>
          <w:r>
            <w:rPr>
              <w:rFonts w:hint="eastAsia" w:ascii="仿宋" w:hAnsi="仿宋" w:eastAsia="仿宋" w:cs="仿宋"/>
              <w:b/>
              <w:bCs/>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highlight w:val="none"/>
              <w14:textFill>
                <w14:solidFill>
                  <w14:schemeClr w14:val="tx1"/>
                </w14:solidFill>
              </w14:textFill>
            </w:rPr>
            <w:fldChar w:fldCharType="begin"/>
          </w:r>
          <w:r>
            <w:rPr>
              <w:rFonts w:hint="eastAsia" w:ascii="仿宋" w:hAnsi="仿宋" w:eastAsia="仿宋" w:cs="仿宋"/>
              <w:bCs/>
              <w:highlight w:val="none"/>
            </w:rPr>
            <w:instrText xml:space="preserve"> HYPERLINK \l _Toc1711 </w:instrText>
          </w:r>
          <w:r>
            <w:rPr>
              <w:rFonts w:hint="eastAsia" w:ascii="仿宋" w:hAnsi="仿宋" w:eastAsia="仿宋" w:cs="仿宋"/>
              <w:bCs/>
              <w:highlight w:val="none"/>
            </w:rPr>
            <w:fldChar w:fldCharType="separate"/>
          </w:r>
          <w:r>
            <w:rPr>
              <w:rFonts w:hint="eastAsia" w:ascii="仿宋" w:hAnsi="仿宋" w:eastAsia="仿宋" w:cs="仿宋"/>
              <w:kern w:val="2"/>
              <w:szCs w:val="36"/>
              <w:highlight w:val="none"/>
            </w:rPr>
            <w:t>第一章 招标公告</w:t>
          </w:r>
          <w:r>
            <w:tab/>
          </w:r>
          <w:r>
            <w:fldChar w:fldCharType="begin"/>
          </w:r>
          <w:r>
            <w:instrText xml:space="preserve"> PAGEREF _Toc1711 \h </w:instrText>
          </w:r>
          <w:r>
            <w:fldChar w:fldCharType="separate"/>
          </w:r>
          <w:r>
            <w:t>3</w:t>
          </w:r>
          <w:r>
            <w:fldChar w:fldCharType="end"/>
          </w:r>
          <w:r>
            <w:rPr>
              <w:rFonts w:hint="eastAsia" w:ascii="仿宋" w:hAnsi="仿宋" w:eastAsia="仿宋" w:cs="仿宋"/>
              <w:bCs/>
              <w:color w:val="000000" w:themeColor="text1"/>
              <w:highlight w:val="none"/>
              <w14:textFill>
                <w14:solidFill>
                  <w14:schemeClr w14:val="tx1"/>
                </w14:solidFill>
              </w14:textFill>
            </w:rPr>
            <w:fldChar w:fldCharType="end"/>
          </w:r>
        </w:p>
        <w:p w14:paraId="6D903E10">
          <w:pPr>
            <w:pStyle w:val="19"/>
            <w:tabs>
              <w:tab w:val="right" w:leader="dot" w:pos="8504"/>
            </w:tabs>
          </w:pPr>
          <w:r>
            <w:rPr>
              <w:rFonts w:hint="eastAsia" w:ascii="仿宋" w:hAnsi="仿宋" w:eastAsia="仿宋" w:cs="仿宋"/>
              <w:bCs/>
              <w:color w:val="000000" w:themeColor="text1"/>
              <w:highlight w:val="none"/>
              <w14:textFill>
                <w14:solidFill>
                  <w14:schemeClr w14:val="tx1"/>
                </w14:solidFill>
              </w14:textFill>
            </w:rPr>
            <w:fldChar w:fldCharType="begin"/>
          </w:r>
          <w:r>
            <w:rPr>
              <w:rFonts w:hint="eastAsia" w:ascii="仿宋" w:hAnsi="仿宋" w:eastAsia="仿宋" w:cs="仿宋"/>
              <w:bCs/>
              <w:highlight w:val="none"/>
            </w:rPr>
            <w:instrText xml:space="preserve"> HYPERLINK \l _Toc26589 </w:instrText>
          </w:r>
          <w:r>
            <w:rPr>
              <w:rFonts w:hint="eastAsia" w:ascii="仿宋" w:hAnsi="仿宋" w:eastAsia="仿宋" w:cs="仿宋"/>
              <w:bCs/>
              <w:highlight w:val="none"/>
            </w:rPr>
            <w:fldChar w:fldCharType="separate"/>
          </w:r>
          <w:r>
            <w:rPr>
              <w:rFonts w:hint="eastAsia" w:ascii="仿宋" w:hAnsi="仿宋" w:eastAsia="仿宋" w:cs="仿宋"/>
              <w:szCs w:val="36"/>
              <w:highlight w:val="none"/>
            </w:rPr>
            <w:t>第二章 投标人须知</w:t>
          </w:r>
          <w:r>
            <w:tab/>
          </w:r>
          <w:r>
            <w:fldChar w:fldCharType="begin"/>
          </w:r>
          <w:r>
            <w:instrText xml:space="preserve"> PAGEREF _Toc26589 \h </w:instrText>
          </w:r>
          <w:r>
            <w:fldChar w:fldCharType="separate"/>
          </w:r>
          <w:r>
            <w:t>9</w:t>
          </w:r>
          <w:r>
            <w:fldChar w:fldCharType="end"/>
          </w:r>
          <w:r>
            <w:rPr>
              <w:rFonts w:hint="eastAsia" w:ascii="仿宋" w:hAnsi="仿宋" w:eastAsia="仿宋" w:cs="仿宋"/>
              <w:bCs/>
              <w:color w:val="000000" w:themeColor="text1"/>
              <w:highlight w:val="none"/>
              <w14:textFill>
                <w14:solidFill>
                  <w14:schemeClr w14:val="tx1"/>
                </w14:solidFill>
              </w14:textFill>
            </w:rPr>
            <w:fldChar w:fldCharType="end"/>
          </w:r>
        </w:p>
        <w:p w14:paraId="25EB3AF5">
          <w:pPr>
            <w:pStyle w:val="19"/>
            <w:tabs>
              <w:tab w:val="right" w:leader="dot" w:pos="8504"/>
            </w:tabs>
          </w:pPr>
          <w:r>
            <w:rPr>
              <w:rFonts w:hint="eastAsia" w:ascii="仿宋" w:hAnsi="仿宋" w:eastAsia="仿宋" w:cs="仿宋"/>
              <w:bCs/>
              <w:color w:val="000000" w:themeColor="text1"/>
              <w:highlight w:val="none"/>
              <w14:textFill>
                <w14:solidFill>
                  <w14:schemeClr w14:val="tx1"/>
                </w14:solidFill>
              </w14:textFill>
            </w:rPr>
            <w:fldChar w:fldCharType="begin"/>
          </w:r>
          <w:r>
            <w:rPr>
              <w:rFonts w:hint="eastAsia" w:ascii="仿宋" w:hAnsi="仿宋" w:eastAsia="仿宋" w:cs="仿宋"/>
              <w:bCs/>
              <w:highlight w:val="none"/>
            </w:rPr>
            <w:instrText xml:space="preserve"> HYPERLINK \l _Toc9652 </w:instrText>
          </w:r>
          <w:r>
            <w:rPr>
              <w:rFonts w:hint="eastAsia" w:ascii="仿宋" w:hAnsi="仿宋" w:eastAsia="仿宋" w:cs="仿宋"/>
              <w:bCs/>
              <w:highlight w:val="none"/>
            </w:rPr>
            <w:fldChar w:fldCharType="separate"/>
          </w:r>
          <w:r>
            <w:rPr>
              <w:rFonts w:hint="eastAsia" w:ascii="仿宋" w:hAnsi="仿宋" w:eastAsia="仿宋" w:cs="仿宋"/>
              <w:kern w:val="2"/>
              <w:szCs w:val="36"/>
              <w:highlight w:val="none"/>
            </w:rPr>
            <w:t>第三章 评标办法</w:t>
          </w:r>
          <w:r>
            <w:tab/>
          </w:r>
          <w:r>
            <w:fldChar w:fldCharType="begin"/>
          </w:r>
          <w:r>
            <w:instrText xml:space="preserve"> PAGEREF _Toc9652 \h </w:instrText>
          </w:r>
          <w:r>
            <w:fldChar w:fldCharType="separate"/>
          </w:r>
          <w:r>
            <w:t>29</w:t>
          </w:r>
          <w:r>
            <w:fldChar w:fldCharType="end"/>
          </w:r>
          <w:r>
            <w:rPr>
              <w:rFonts w:hint="eastAsia" w:ascii="仿宋" w:hAnsi="仿宋" w:eastAsia="仿宋" w:cs="仿宋"/>
              <w:bCs/>
              <w:color w:val="000000" w:themeColor="text1"/>
              <w:highlight w:val="none"/>
              <w14:textFill>
                <w14:solidFill>
                  <w14:schemeClr w14:val="tx1"/>
                </w14:solidFill>
              </w14:textFill>
            </w:rPr>
            <w:fldChar w:fldCharType="end"/>
          </w:r>
        </w:p>
        <w:p w14:paraId="78972296">
          <w:pPr>
            <w:pStyle w:val="19"/>
            <w:tabs>
              <w:tab w:val="right" w:leader="dot" w:pos="8504"/>
            </w:tabs>
          </w:pPr>
          <w:r>
            <w:rPr>
              <w:rFonts w:hint="eastAsia" w:ascii="仿宋" w:hAnsi="仿宋" w:eastAsia="仿宋" w:cs="仿宋"/>
              <w:bCs/>
              <w:color w:val="000000" w:themeColor="text1"/>
              <w:highlight w:val="none"/>
              <w14:textFill>
                <w14:solidFill>
                  <w14:schemeClr w14:val="tx1"/>
                </w14:solidFill>
              </w14:textFill>
            </w:rPr>
            <w:fldChar w:fldCharType="begin"/>
          </w:r>
          <w:r>
            <w:rPr>
              <w:rFonts w:hint="eastAsia" w:ascii="仿宋" w:hAnsi="仿宋" w:eastAsia="仿宋" w:cs="仿宋"/>
              <w:bCs/>
              <w:highlight w:val="none"/>
            </w:rPr>
            <w:instrText xml:space="preserve"> HYPERLINK \l _Toc27190 </w:instrText>
          </w:r>
          <w:r>
            <w:rPr>
              <w:rFonts w:hint="eastAsia" w:ascii="仿宋" w:hAnsi="仿宋" w:eastAsia="仿宋" w:cs="仿宋"/>
              <w:bCs/>
              <w:highlight w:val="none"/>
            </w:rPr>
            <w:fldChar w:fldCharType="separate"/>
          </w:r>
          <w:r>
            <w:rPr>
              <w:rFonts w:hint="eastAsia" w:ascii="仿宋" w:hAnsi="仿宋" w:eastAsia="仿宋" w:cs="仿宋"/>
              <w:bCs/>
              <w:kern w:val="2"/>
              <w:szCs w:val="36"/>
              <w:highlight w:val="none"/>
            </w:rPr>
            <w:t>第四章 合同书样式及主要条款（参考）</w:t>
          </w:r>
          <w:r>
            <w:tab/>
          </w:r>
          <w:r>
            <w:fldChar w:fldCharType="begin"/>
          </w:r>
          <w:r>
            <w:instrText xml:space="preserve"> PAGEREF _Toc27190 \h </w:instrText>
          </w:r>
          <w:r>
            <w:fldChar w:fldCharType="separate"/>
          </w:r>
          <w:r>
            <w:t>36</w:t>
          </w:r>
          <w:r>
            <w:fldChar w:fldCharType="end"/>
          </w:r>
          <w:r>
            <w:rPr>
              <w:rFonts w:hint="eastAsia" w:ascii="仿宋" w:hAnsi="仿宋" w:eastAsia="仿宋" w:cs="仿宋"/>
              <w:bCs/>
              <w:color w:val="000000" w:themeColor="text1"/>
              <w:highlight w:val="none"/>
              <w14:textFill>
                <w14:solidFill>
                  <w14:schemeClr w14:val="tx1"/>
                </w14:solidFill>
              </w14:textFill>
            </w:rPr>
            <w:fldChar w:fldCharType="end"/>
          </w:r>
        </w:p>
        <w:p w14:paraId="70870AF2">
          <w:pPr>
            <w:pStyle w:val="19"/>
            <w:tabs>
              <w:tab w:val="right" w:leader="dot" w:pos="8504"/>
            </w:tabs>
          </w:pPr>
          <w:r>
            <w:rPr>
              <w:rFonts w:hint="eastAsia" w:ascii="仿宋" w:hAnsi="仿宋" w:eastAsia="仿宋" w:cs="仿宋"/>
              <w:bCs/>
              <w:color w:val="000000" w:themeColor="text1"/>
              <w:highlight w:val="none"/>
              <w14:textFill>
                <w14:solidFill>
                  <w14:schemeClr w14:val="tx1"/>
                </w14:solidFill>
              </w14:textFill>
            </w:rPr>
            <w:fldChar w:fldCharType="begin"/>
          </w:r>
          <w:r>
            <w:rPr>
              <w:rFonts w:hint="eastAsia" w:ascii="仿宋" w:hAnsi="仿宋" w:eastAsia="仿宋" w:cs="仿宋"/>
              <w:bCs/>
              <w:highlight w:val="none"/>
            </w:rPr>
            <w:instrText xml:space="preserve"> HYPERLINK \l _Toc31754 </w:instrText>
          </w:r>
          <w:r>
            <w:rPr>
              <w:rFonts w:hint="eastAsia" w:ascii="仿宋" w:hAnsi="仿宋" w:eastAsia="仿宋" w:cs="仿宋"/>
              <w:bCs/>
              <w:highlight w:val="none"/>
            </w:rPr>
            <w:fldChar w:fldCharType="separate"/>
          </w:r>
          <w:r>
            <w:rPr>
              <w:rFonts w:hint="eastAsia" w:ascii="仿宋" w:hAnsi="仿宋" w:eastAsia="仿宋" w:cs="仿宋"/>
              <w:kern w:val="2"/>
              <w:szCs w:val="36"/>
              <w:highlight w:val="none"/>
              <w:lang w:val="en-US" w:eastAsia="zh-CN" w:bidi="ar-SA"/>
            </w:rPr>
            <w:t>第五章 投标文件参考格式</w:t>
          </w:r>
          <w:r>
            <w:tab/>
          </w:r>
          <w:r>
            <w:fldChar w:fldCharType="begin"/>
          </w:r>
          <w:r>
            <w:instrText xml:space="preserve"> PAGEREF _Toc31754 \h </w:instrText>
          </w:r>
          <w:r>
            <w:fldChar w:fldCharType="separate"/>
          </w:r>
          <w:r>
            <w:t>47</w:t>
          </w:r>
          <w:r>
            <w:fldChar w:fldCharType="end"/>
          </w:r>
          <w:r>
            <w:rPr>
              <w:rFonts w:hint="eastAsia" w:ascii="仿宋" w:hAnsi="仿宋" w:eastAsia="仿宋" w:cs="仿宋"/>
              <w:bCs/>
              <w:color w:val="000000" w:themeColor="text1"/>
              <w:highlight w:val="none"/>
              <w14:textFill>
                <w14:solidFill>
                  <w14:schemeClr w14:val="tx1"/>
                </w14:solidFill>
              </w14:textFill>
            </w:rPr>
            <w:fldChar w:fldCharType="end"/>
          </w:r>
        </w:p>
        <w:p w14:paraId="0ECFD5C6">
          <w:pPr>
            <w:pStyle w:val="19"/>
            <w:tabs>
              <w:tab w:val="right" w:leader="dot" w:pos="8504"/>
            </w:tabs>
          </w:pPr>
          <w:r>
            <w:rPr>
              <w:rFonts w:hint="eastAsia" w:ascii="仿宋" w:hAnsi="仿宋" w:eastAsia="仿宋" w:cs="仿宋"/>
              <w:bCs/>
              <w:color w:val="000000" w:themeColor="text1"/>
              <w:highlight w:val="none"/>
              <w14:textFill>
                <w14:solidFill>
                  <w14:schemeClr w14:val="tx1"/>
                </w14:solidFill>
              </w14:textFill>
            </w:rPr>
            <w:fldChar w:fldCharType="begin"/>
          </w:r>
          <w:r>
            <w:rPr>
              <w:rFonts w:hint="eastAsia" w:ascii="仿宋" w:hAnsi="仿宋" w:eastAsia="仿宋" w:cs="仿宋"/>
              <w:bCs/>
              <w:highlight w:val="none"/>
            </w:rPr>
            <w:instrText xml:space="preserve"> HYPERLINK \l _Toc23603 </w:instrText>
          </w:r>
          <w:r>
            <w:rPr>
              <w:rFonts w:hint="eastAsia" w:ascii="仿宋" w:hAnsi="仿宋" w:eastAsia="仿宋" w:cs="仿宋"/>
              <w:bCs/>
              <w:highlight w:val="none"/>
            </w:rPr>
            <w:fldChar w:fldCharType="separate"/>
          </w:r>
          <w:r>
            <w:rPr>
              <w:rFonts w:hint="eastAsia" w:ascii="仿宋" w:hAnsi="仿宋" w:eastAsia="仿宋" w:cs="仿宋"/>
              <w:kern w:val="2"/>
              <w:szCs w:val="36"/>
              <w:highlight w:val="none"/>
              <w:lang w:val="en-US" w:eastAsia="zh-CN" w:bidi="ar-SA"/>
            </w:rPr>
            <w:t>第六章</w:t>
          </w:r>
          <w:r>
            <w:rPr>
              <w:rFonts w:hint="eastAsia" w:ascii="仿宋" w:hAnsi="仿宋" w:eastAsia="仿宋" w:cs="仿宋"/>
              <w:szCs w:val="32"/>
              <w:highlight w:val="none"/>
              <w:lang w:val="en-US" w:eastAsia="zh-CN"/>
            </w:rPr>
            <w:t xml:space="preserve"> </w:t>
          </w:r>
          <w:r>
            <w:rPr>
              <w:rFonts w:hint="eastAsia" w:ascii="仿宋" w:hAnsi="仿宋" w:eastAsia="仿宋" w:cs="仿宋"/>
              <w:szCs w:val="36"/>
              <w:highlight w:val="none"/>
            </w:rPr>
            <w:t>采购需求</w:t>
          </w:r>
          <w:r>
            <w:tab/>
          </w:r>
          <w:r>
            <w:fldChar w:fldCharType="begin"/>
          </w:r>
          <w:r>
            <w:instrText xml:space="preserve"> PAGEREF _Toc23603 \h </w:instrText>
          </w:r>
          <w:r>
            <w:fldChar w:fldCharType="separate"/>
          </w:r>
          <w:r>
            <w:t>69</w:t>
          </w:r>
          <w:r>
            <w:fldChar w:fldCharType="end"/>
          </w:r>
          <w:r>
            <w:rPr>
              <w:rFonts w:hint="eastAsia" w:ascii="仿宋" w:hAnsi="仿宋" w:eastAsia="仿宋" w:cs="仿宋"/>
              <w:bCs/>
              <w:color w:val="000000" w:themeColor="text1"/>
              <w:highlight w:val="none"/>
              <w14:textFill>
                <w14:solidFill>
                  <w14:schemeClr w14:val="tx1"/>
                </w14:solidFill>
              </w14:textFill>
            </w:rPr>
            <w:fldChar w:fldCharType="end"/>
          </w:r>
        </w:p>
        <w:p w14:paraId="5F4EF512">
          <w:pPr>
            <w:pStyle w:val="15"/>
            <w:spacing w:line="360" w:lineRule="auto"/>
            <w:ind w:right="105" w:rightChars="50"/>
            <w:jc w:val="both"/>
            <w:rPr>
              <w:rFonts w:hint="eastAsia" w:ascii="仿宋" w:hAnsi="仿宋" w:eastAsia="仿宋" w:cs="仿宋"/>
              <w:bCs/>
              <w:color w:val="000000" w:themeColor="text1"/>
              <w:kern w:val="2"/>
              <w:sz w:val="26"/>
              <w:szCs w:val="20"/>
              <w:highlight w:val="none"/>
              <w:lang w:val="en-US" w:eastAsia="zh-CN" w:bidi="ar-SA"/>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fldChar w:fldCharType="end"/>
          </w:r>
        </w:p>
      </w:sdtContent>
    </w:sdt>
    <w:p w14:paraId="1BC451DF">
      <w:pPr>
        <w:rPr>
          <w:rFonts w:hint="eastAsia"/>
        </w:rPr>
        <w:sectPr>
          <w:headerReference r:id="rId3" w:type="default"/>
          <w:footerReference r:id="rId4" w:type="default"/>
          <w:pgSz w:w="11906" w:h="16838"/>
          <w:pgMar w:top="1440" w:right="1701" w:bottom="1440" w:left="1701" w:header="720" w:footer="720" w:gutter="0"/>
          <w:pgBorders>
            <w:top w:val="none" w:sz="0" w:space="0"/>
            <w:left w:val="none" w:sz="0" w:space="0"/>
            <w:bottom w:val="none" w:sz="0" w:space="0"/>
            <w:right w:val="none" w:sz="0" w:space="0"/>
          </w:pgBorders>
          <w:pgNumType w:fmt="decimal" w:start="1" w:chapStyle="1"/>
          <w:cols w:space="720" w:num="1"/>
          <w:docGrid w:type="lines" w:linePitch="317" w:charSpace="0"/>
        </w:sectPr>
      </w:pPr>
    </w:p>
    <w:p w14:paraId="0052BE79">
      <w:pPr>
        <w:pStyle w:val="2"/>
        <w:keepNext/>
        <w:keepLines/>
        <w:pageBreakBefore w:val="0"/>
        <w:widowControl w:val="0"/>
        <w:numPr>
          <w:ilvl w:val="0"/>
          <w:numId w:val="0"/>
        </w:numPr>
        <w:kinsoku/>
        <w:wordWrap/>
        <w:overflowPunct/>
        <w:topLinePunct w:val="0"/>
        <w:autoSpaceDE/>
        <w:autoSpaceDN/>
        <w:bidi w:val="0"/>
        <w:adjustRightInd w:val="0"/>
        <w:snapToGrid w:val="0"/>
        <w:spacing w:before="0"/>
        <w:textAlignment w:val="baseline"/>
        <w:rPr>
          <w:rFonts w:hint="eastAsia" w:ascii="仿宋" w:hAnsi="仿宋" w:eastAsia="仿宋" w:cs="仿宋"/>
          <w:color w:val="000000" w:themeColor="text1"/>
          <w:kern w:val="2"/>
          <w:szCs w:val="36"/>
          <w:highlight w:val="none"/>
          <w14:textFill>
            <w14:solidFill>
              <w14:schemeClr w14:val="tx1"/>
            </w14:solidFill>
          </w14:textFill>
        </w:rPr>
      </w:pPr>
      <w:bookmarkStart w:id="1" w:name="_Toc1711"/>
      <w:bookmarkStart w:id="2" w:name="_Toc8983"/>
      <w:bookmarkStart w:id="3" w:name="_Toc14939"/>
      <w:r>
        <w:rPr>
          <w:rFonts w:hint="eastAsia" w:ascii="仿宋" w:hAnsi="仿宋" w:eastAsia="仿宋" w:cs="仿宋"/>
          <w:color w:val="000000" w:themeColor="text1"/>
          <w:kern w:val="2"/>
          <w:szCs w:val="36"/>
          <w:highlight w:val="none"/>
          <w14:textFill>
            <w14:solidFill>
              <w14:schemeClr w14:val="tx1"/>
            </w14:solidFill>
          </w14:textFill>
        </w:rPr>
        <w:t>第一章 招标公告</w:t>
      </w:r>
      <w:bookmarkEnd w:id="0"/>
      <w:bookmarkEnd w:id="1"/>
      <w:bookmarkEnd w:id="2"/>
      <w:bookmarkEnd w:id="3"/>
    </w:p>
    <w:p w14:paraId="74FE07F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N/>
        <w:bidi w:val="0"/>
        <w:adjustRightInd w:val="0"/>
        <w:snapToGrid w:val="0"/>
        <w:spacing w:line="480" w:lineRule="auto"/>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highlight w:val="none"/>
          <w:lang w:bidi="ar"/>
          <w14:textFill>
            <w14:solidFill>
              <w14:schemeClr w14:val="tx1"/>
            </w14:solidFill>
          </w14:textFill>
        </w:rPr>
        <w:t>项目概况</w:t>
      </w:r>
    </w:p>
    <w:p w14:paraId="39B8EA8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N/>
        <w:bidi w:val="0"/>
        <w:adjustRightInd w:val="0"/>
        <w:snapToGrid w:val="0"/>
        <w:spacing w:line="480" w:lineRule="auto"/>
        <w:ind w:leftChars="0"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u w:val="single"/>
          <w:lang w:eastAsia="zh-CN" w:bidi="ar"/>
          <w14:textFill>
            <w14:solidFill>
              <w14:schemeClr w14:val="tx1"/>
            </w14:solidFill>
          </w14:textFill>
        </w:rPr>
        <w:t>2026年市级食品安全抽检任务</w:t>
      </w:r>
      <w:r>
        <w:rPr>
          <w:rFonts w:hint="eastAsia" w:ascii="仿宋" w:hAnsi="仿宋" w:eastAsia="仿宋" w:cs="仿宋"/>
          <w:color w:val="000000" w:themeColor="text1"/>
          <w:kern w:val="2"/>
          <w:sz w:val="24"/>
          <w:szCs w:val="24"/>
          <w:highlight w:val="none"/>
          <w:lang w:bidi="ar"/>
          <w14:textFill>
            <w14:solidFill>
              <w14:schemeClr w14:val="tx1"/>
            </w14:solidFill>
          </w14:textFill>
        </w:rPr>
        <w:t>招标项目的潜在</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投标人</w:t>
      </w:r>
      <w:r>
        <w:rPr>
          <w:rFonts w:hint="eastAsia" w:ascii="仿宋" w:hAnsi="仿宋" w:eastAsia="仿宋" w:cs="仿宋"/>
          <w:color w:val="000000" w:themeColor="text1"/>
          <w:kern w:val="2"/>
          <w:sz w:val="24"/>
          <w:szCs w:val="24"/>
          <w:highlight w:val="none"/>
          <w:lang w:bidi="ar"/>
          <w14:textFill>
            <w14:solidFill>
              <w14:schemeClr w14:val="tx1"/>
            </w14:solidFill>
          </w14:textFill>
        </w:rPr>
        <w:t>应在政采云平台获取招标文件，并于</w:t>
      </w:r>
      <w:r>
        <w:rPr>
          <w:rFonts w:hint="eastAsia" w:ascii="仿宋" w:hAnsi="仿宋" w:eastAsia="仿宋" w:cs="仿宋"/>
          <w:color w:val="000000" w:themeColor="text1"/>
          <w:kern w:val="2"/>
          <w:sz w:val="24"/>
          <w:szCs w:val="24"/>
          <w:highlight w:val="none"/>
          <w:u w:val="single"/>
          <w:lang w:eastAsia="zh-CN" w:bidi="ar"/>
          <w14:textFill>
            <w14:solidFill>
              <w14:schemeClr w14:val="tx1"/>
            </w14:solidFill>
          </w14:textFill>
        </w:rPr>
        <w:t>2026年</w:t>
      </w:r>
      <w:r>
        <w:rPr>
          <w:rFonts w:hint="eastAsia" w:ascii="仿宋" w:hAnsi="仿宋" w:eastAsia="仿宋" w:cs="仿宋"/>
          <w:color w:val="000000" w:themeColor="text1"/>
          <w:kern w:val="2"/>
          <w:sz w:val="24"/>
          <w:szCs w:val="24"/>
          <w:highlight w:val="none"/>
          <w:u w:val="single"/>
          <w:lang w:val="en-US" w:eastAsia="zh-CN" w:bidi="ar"/>
          <w14:textFill>
            <w14:solidFill>
              <w14:schemeClr w14:val="tx1"/>
            </w14:solidFill>
          </w14:textFill>
        </w:rPr>
        <w:t>5</w:t>
      </w:r>
      <w:r>
        <w:rPr>
          <w:rFonts w:hint="eastAsia" w:ascii="仿宋" w:hAnsi="仿宋" w:eastAsia="仿宋" w:cs="仿宋"/>
          <w:color w:val="000000" w:themeColor="text1"/>
          <w:kern w:val="2"/>
          <w:sz w:val="24"/>
          <w:szCs w:val="24"/>
          <w:highlight w:val="none"/>
          <w:u w:val="single"/>
          <w:lang w:eastAsia="zh-CN" w:bidi="ar"/>
          <w14:textFill>
            <w14:solidFill>
              <w14:schemeClr w14:val="tx1"/>
            </w14:solidFill>
          </w14:textFill>
        </w:rPr>
        <w:t>月</w:t>
      </w:r>
      <w:r>
        <w:rPr>
          <w:rFonts w:hint="eastAsia" w:ascii="仿宋" w:hAnsi="仿宋" w:eastAsia="仿宋" w:cs="仿宋"/>
          <w:color w:val="000000" w:themeColor="text1"/>
          <w:kern w:val="2"/>
          <w:sz w:val="24"/>
          <w:szCs w:val="24"/>
          <w:highlight w:val="none"/>
          <w:u w:val="single"/>
          <w:lang w:val="en-US" w:eastAsia="zh-CN" w:bidi="ar"/>
          <w14:textFill>
            <w14:solidFill>
              <w14:schemeClr w14:val="tx1"/>
            </w14:solidFill>
          </w14:textFill>
        </w:rPr>
        <w:t>20</w:t>
      </w:r>
      <w:r>
        <w:rPr>
          <w:rFonts w:hint="eastAsia" w:ascii="仿宋" w:hAnsi="仿宋" w:eastAsia="仿宋" w:cs="仿宋"/>
          <w:color w:val="000000" w:themeColor="text1"/>
          <w:kern w:val="2"/>
          <w:sz w:val="24"/>
          <w:szCs w:val="24"/>
          <w:highlight w:val="none"/>
          <w:u w:val="single"/>
          <w:lang w:eastAsia="zh-CN" w:bidi="ar"/>
          <w14:textFill>
            <w14:solidFill>
              <w14:schemeClr w14:val="tx1"/>
            </w14:solidFill>
          </w14:textFill>
        </w:rPr>
        <w:t>日09点30分</w:t>
      </w:r>
      <w:r>
        <w:rPr>
          <w:rFonts w:hint="eastAsia" w:ascii="仿宋" w:hAnsi="仿宋" w:eastAsia="仿宋" w:cs="仿宋"/>
          <w:bCs/>
          <w:color w:val="000000" w:themeColor="text1"/>
          <w:kern w:val="2"/>
          <w:sz w:val="24"/>
          <w:szCs w:val="24"/>
          <w:highlight w:val="none"/>
          <w:u w:val="none"/>
          <w:lang w:bidi="ar"/>
          <w14:textFill>
            <w14:solidFill>
              <w14:schemeClr w14:val="tx1"/>
            </w14:solidFill>
          </w14:textFill>
        </w:rPr>
        <w:t>（</w:t>
      </w:r>
      <w:r>
        <w:rPr>
          <w:rFonts w:hint="eastAsia" w:ascii="仿宋" w:hAnsi="仿宋" w:eastAsia="仿宋" w:cs="仿宋"/>
          <w:bCs/>
          <w:color w:val="000000" w:themeColor="text1"/>
          <w:kern w:val="2"/>
          <w:sz w:val="24"/>
          <w:szCs w:val="24"/>
          <w:highlight w:val="none"/>
          <w:lang w:bidi="ar"/>
          <w14:textFill>
            <w14:solidFill>
              <w14:schemeClr w14:val="tx1"/>
            </w14:solidFill>
          </w14:textFill>
        </w:rPr>
        <w:t>北京时间）前递交投标文件</w:t>
      </w:r>
      <w:r>
        <w:rPr>
          <w:rFonts w:hint="eastAsia" w:ascii="仿宋" w:hAnsi="仿宋" w:eastAsia="仿宋" w:cs="仿宋"/>
          <w:color w:val="000000" w:themeColor="text1"/>
          <w:kern w:val="2"/>
          <w:sz w:val="24"/>
          <w:szCs w:val="24"/>
          <w:highlight w:val="none"/>
          <w:lang w:bidi="ar"/>
          <w14:textFill>
            <w14:solidFill>
              <w14:schemeClr w14:val="tx1"/>
            </w14:solidFill>
          </w14:textFill>
        </w:rPr>
        <w:t>。</w:t>
      </w:r>
    </w:p>
    <w:p w14:paraId="1934E750">
      <w:pPr>
        <w:keepNext w:val="0"/>
        <w:keepLines w:val="0"/>
        <w:pageBreakBefore w:val="0"/>
        <w:kinsoku/>
        <w:wordWrap/>
        <w:overflowPunct/>
        <w:topLinePunct w:val="0"/>
        <w:autoSpaceDN/>
        <w:bidi w:val="0"/>
        <w:adjustRightInd w:val="0"/>
        <w:snapToGrid w:val="0"/>
        <w:spacing w:line="480" w:lineRule="auto"/>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一、项目基本情况</w:t>
      </w:r>
    </w:p>
    <w:p w14:paraId="4897BA1B">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4" w:name="_Toc280779596"/>
      <w:bookmarkEnd w:id="4"/>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GLZB2026-0305</w:t>
      </w:r>
    </w:p>
    <w:p w14:paraId="53D6BCE3">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包件编号：</w:t>
      </w:r>
    </w:p>
    <w:p w14:paraId="5EBE7920">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1包：</w:t>
      </w:r>
      <w:r>
        <w:rPr>
          <w:rFonts w:hint="eastAsia" w:ascii="仿宋" w:hAnsi="仿宋" w:eastAsia="仿宋" w:cs="仿宋"/>
          <w:color w:val="000000" w:themeColor="text1"/>
          <w:sz w:val="24"/>
          <w:szCs w:val="24"/>
          <w:highlight w:val="none"/>
          <w:lang w:eastAsia="zh-CN"/>
          <w14:textFill>
            <w14:solidFill>
              <w14:schemeClr w14:val="tx1"/>
            </w14:solidFill>
          </w14:textFill>
        </w:rPr>
        <w:t>GLZB2026-0305</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p>
    <w:p w14:paraId="5D76D796">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2包：</w:t>
      </w:r>
      <w:r>
        <w:rPr>
          <w:rFonts w:hint="eastAsia" w:ascii="仿宋" w:hAnsi="仿宋" w:eastAsia="仿宋" w:cs="仿宋"/>
          <w:color w:val="000000" w:themeColor="text1"/>
          <w:sz w:val="24"/>
          <w:szCs w:val="24"/>
          <w:highlight w:val="none"/>
          <w:lang w:eastAsia="zh-CN"/>
          <w14:textFill>
            <w14:solidFill>
              <w14:schemeClr w14:val="tx1"/>
            </w14:solidFill>
          </w14:textFill>
        </w:rPr>
        <w:t>GLZB2026-0305</w:t>
      </w:r>
      <w:r>
        <w:rPr>
          <w:rFonts w:hint="eastAsia" w:ascii="仿宋" w:hAnsi="仿宋" w:eastAsia="仿宋" w:cs="仿宋"/>
          <w:color w:val="000000" w:themeColor="text1"/>
          <w:sz w:val="24"/>
          <w:szCs w:val="24"/>
          <w:highlight w:val="none"/>
          <w:lang w:val="en-US" w:eastAsia="zh-CN"/>
          <w14:textFill>
            <w14:solidFill>
              <w14:schemeClr w14:val="tx1"/>
            </w14:solidFill>
          </w14:textFill>
        </w:rPr>
        <w:t>-02</w:t>
      </w:r>
    </w:p>
    <w:p w14:paraId="2DB8CA67">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3包：</w:t>
      </w:r>
      <w:r>
        <w:rPr>
          <w:rFonts w:hint="eastAsia" w:ascii="仿宋" w:hAnsi="仿宋" w:eastAsia="仿宋" w:cs="仿宋"/>
          <w:color w:val="000000" w:themeColor="text1"/>
          <w:sz w:val="24"/>
          <w:szCs w:val="24"/>
          <w:highlight w:val="none"/>
          <w:lang w:eastAsia="zh-CN"/>
          <w14:textFill>
            <w14:solidFill>
              <w14:schemeClr w14:val="tx1"/>
            </w14:solidFill>
          </w14:textFill>
        </w:rPr>
        <w:t>GLZB2026-0305</w:t>
      </w:r>
      <w:r>
        <w:rPr>
          <w:rFonts w:hint="eastAsia" w:ascii="仿宋" w:hAnsi="仿宋" w:eastAsia="仿宋" w:cs="仿宋"/>
          <w:color w:val="000000" w:themeColor="text1"/>
          <w:sz w:val="24"/>
          <w:szCs w:val="24"/>
          <w:highlight w:val="none"/>
          <w:lang w:val="en-US" w:eastAsia="zh-CN"/>
          <w14:textFill>
            <w14:solidFill>
              <w14:schemeClr w14:val="tx1"/>
            </w14:solidFill>
          </w14:textFill>
        </w:rPr>
        <w:t>-03</w:t>
      </w:r>
    </w:p>
    <w:p w14:paraId="21BB1ED6">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2026年市级食品安全抽检任务</w:t>
      </w:r>
    </w:p>
    <w:p w14:paraId="07D93218">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包件名称：</w:t>
      </w:r>
    </w:p>
    <w:p w14:paraId="35309796">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1包：2026年市级食品安全抽检任务-1包</w:t>
      </w:r>
    </w:p>
    <w:p w14:paraId="0C9DBD24">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2包：2026年市级食品安全抽检任务-2包</w:t>
      </w:r>
    </w:p>
    <w:p w14:paraId="7C89A5EA">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3包：2026年市级食品安全抽检任务-3包</w:t>
      </w:r>
    </w:p>
    <w:p w14:paraId="53EF6CFD">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w:t>
      </w:r>
    </w:p>
    <w:p w14:paraId="2A77721D">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1包：</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480000.00</w:t>
      </w:r>
      <w:r>
        <w:rPr>
          <w:rFonts w:hint="eastAsia" w:ascii="仿宋" w:hAnsi="仿宋" w:eastAsia="仿宋" w:cs="仿宋"/>
          <w:sz w:val="24"/>
          <w:highlight w:val="none"/>
        </w:rPr>
        <w:t>元</w:t>
      </w:r>
    </w:p>
    <w:p w14:paraId="504D1E77">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2包：¥418008.00元</w:t>
      </w:r>
    </w:p>
    <w:p w14:paraId="0B575AFA">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3包：¥410880.00</w:t>
      </w:r>
      <w:r>
        <w:rPr>
          <w:rFonts w:hint="eastAsia" w:ascii="仿宋" w:hAnsi="仿宋" w:eastAsia="仿宋" w:cs="仿宋"/>
          <w:color w:val="000000" w:themeColor="text1"/>
          <w:sz w:val="24"/>
          <w:szCs w:val="24"/>
          <w:highlight w:val="none"/>
          <w14:textFill>
            <w14:solidFill>
              <w14:schemeClr w14:val="tx1"/>
            </w14:solidFill>
          </w14:textFill>
        </w:rPr>
        <w:t>元</w:t>
      </w:r>
    </w:p>
    <w:p w14:paraId="418E9F5E">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p>
    <w:p w14:paraId="59E707F5">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1包：</w:t>
      </w:r>
      <w:r>
        <w:rPr>
          <w:rFonts w:hint="eastAsia" w:ascii="宋体" w:hAnsi="宋体" w:cs="宋体"/>
          <w:sz w:val="24"/>
          <w:highlight w:val="none"/>
        </w:rPr>
        <w:t>¥</w:t>
      </w:r>
      <w:r>
        <w:rPr>
          <w:rFonts w:hint="eastAsia" w:ascii="宋体" w:hAnsi="宋体" w:cs="宋体"/>
          <w:sz w:val="24"/>
          <w:highlight w:val="none"/>
          <w:lang w:val="en-US" w:eastAsia="zh-CN"/>
        </w:rPr>
        <w:t>480000.00</w:t>
      </w:r>
      <w:r>
        <w:rPr>
          <w:rFonts w:hint="eastAsia" w:ascii="宋体" w:hAnsi="宋体" w:cs="宋体"/>
          <w:sz w:val="24"/>
          <w:highlight w:val="none"/>
        </w:rPr>
        <w:t>元</w:t>
      </w:r>
    </w:p>
    <w:p w14:paraId="681BDDB5">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2包：¥418008.00元</w:t>
      </w:r>
    </w:p>
    <w:p w14:paraId="27BB840E">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3包：¥410880.00</w:t>
      </w:r>
      <w:r>
        <w:rPr>
          <w:rFonts w:hint="eastAsia" w:ascii="仿宋" w:hAnsi="仿宋" w:eastAsia="仿宋" w:cs="仿宋"/>
          <w:color w:val="000000" w:themeColor="text1"/>
          <w:sz w:val="24"/>
          <w:szCs w:val="24"/>
          <w:highlight w:val="none"/>
          <w14:textFill>
            <w14:solidFill>
              <w14:schemeClr w14:val="tx1"/>
            </w14:solidFill>
          </w14:textFill>
        </w:rPr>
        <w:t>元</w:t>
      </w:r>
    </w:p>
    <w:p w14:paraId="78FC621E">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采购需求：按照省局的规定，重点对辖区内小作坊食品、小副</w:t>
      </w:r>
      <w:r>
        <w:rPr>
          <w:rFonts w:hint="eastAsia" w:ascii="仿宋" w:hAnsi="仿宋" w:eastAsia="仿宋" w:cs="仿宋"/>
          <w:color w:val="000000" w:themeColor="text1"/>
          <w:sz w:val="24"/>
          <w:szCs w:val="24"/>
          <w:highlight w:val="none"/>
          <w:lang w:eastAsia="zh-CN"/>
          <w14:textFill>
            <w14:solidFill>
              <w14:schemeClr w14:val="tx1"/>
            </w14:solidFill>
          </w14:textFill>
        </w:rPr>
        <w:t>食品店等食品</w:t>
      </w:r>
      <w:r>
        <w:rPr>
          <w:rFonts w:hint="eastAsia" w:ascii="仿宋" w:hAnsi="仿宋" w:eastAsia="仿宋" w:cs="仿宋"/>
          <w:color w:val="000000" w:themeColor="text1"/>
          <w:sz w:val="24"/>
          <w:szCs w:val="24"/>
          <w:highlight w:val="none"/>
          <w:lang w:val="en-US" w:eastAsia="zh-CN"/>
          <w14:textFill>
            <w14:solidFill>
              <w14:schemeClr w14:val="tx1"/>
            </w14:solidFill>
          </w14:textFill>
        </w:rPr>
        <w:t>32</w:t>
      </w:r>
      <w:r>
        <w:rPr>
          <w:rFonts w:hint="eastAsia" w:ascii="仿宋" w:hAnsi="仿宋" w:eastAsia="仿宋" w:cs="仿宋"/>
          <w:color w:val="000000" w:themeColor="text1"/>
          <w:sz w:val="24"/>
          <w:szCs w:val="24"/>
          <w:highlight w:val="none"/>
          <w14:textFill>
            <w14:solidFill>
              <w14:schemeClr w14:val="tx1"/>
            </w14:solidFill>
          </w14:textFill>
        </w:rPr>
        <w:t>个食品大类，重点加大对食用农产品、散装白酒（含自制泡酒）、糕点、方便食品、餐具、粮食加工品、食用油、蜂蜜、肉制品等高风险食品的抽检力度。</w:t>
      </w:r>
    </w:p>
    <w:p w14:paraId="09538B57">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抽检任务数包括对曲靖市辖区内所有县区的专项抽检任务进行抽样、检测及快速检测，监督抽检总任务数为≥</w:t>
      </w:r>
      <w:r>
        <w:rPr>
          <w:rFonts w:hint="eastAsia" w:ascii="仿宋" w:hAnsi="仿宋" w:eastAsia="仿宋" w:cs="仿宋"/>
          <w:color w:val="000000" w:themeColor="text1"/>
          <w:sz w:val="24"/>
          <w:szCs w:val="24"/>
          <w:highlight w:val="none"/>
          <w:lang w:val="en-US" w:eastAsia="zh-CN"/>
          <w14:textFill>
            <w14:solidFill>
              <w14:schemeClr w14:val="tx1"/>
            </w14:solidFill>
          </w14:textFill>
        </w:rPr>
        <w:t>2042</w:t>
      </w:r>
      <w:r>
        <w:rPr>
          <w:rFonts w:hint="eastAsia" w:ascii="仿宋" w:hAnsi="仿宋" w:eastAsia="仿宋" w:cs="仿宋"/>
          <w:color w:val="000000" w:themeColor="text1"/>
          <w:sz w:val="24"/>
          <w:szCs w:val="24"/>
          <w:highlight w:val="none"/>
          <w14:textFill>
            <w14:solidFill>
              <w14:schemeClr w14:val="tx1"/>
            </w14:solidFill>
          </w14:textFill>
        </w:rPr>
        <w:t>批次，快速检测</w:t>
      </w:r>
      <w:r>
        <w:rPr>
          <w:rFonts w:hint="eastAsia" w:ascii="仿宋" w:hAnsi="仿宋" w:eastAsia="仿宋" w:cs="仿宋"/>
          <w:color w:val="000000" w:themeColor="text1"/>
          <w:sz w:val="24"/>
          <w:szCs w:val="24"/>
          <w:highlight w:val="none"/>
          <w:lang w:val="en-US" w:eastAsia="zh-CN"/>
          <w14:textFill>
            <w14:solidFill>
              <w14:schemeClr w14:val="tx1"/>
            </w14:solidFill>
          </w14:textFill>
        </w:rPr>
        <w:t>2042</w:t>
      </w:r>
      <w:r>
        <w:rPr>
          <w:rFonts w:hint="eastAsia" w:ascii="仿宋" w:hAnsi="仿宋" w:eastAsia="仿宋" w:cs="仿宋"/>
          <w:color w:val="000000" w:themeColor="text1"/>
          <w:sz w:val="24"/>
          <w:szCs w:val="24"/>
          <w:highlight w:val="none"/>
          <w14:textFill>
            <w14:solidFill>
              <w14:schemeClr w14:val="tx1"/>
            </w14:solidFill>
          </w14:textFill>
        </w:rPr>
        <w:t>批次。</w:t>
      </w:r>
    </w:p>
    <w:p w14:paraId="72F6618A">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包：¥</w:t>
      </w:r>
      <w:r>
        <w:rPr>
          <w:rFonts w:hint="eastAsia" w:ascii="仿宋" w:hAnsi="仿宋" w:eastAsia="仿宋" w:cs="仿宋"/>
          <w:sz w:val="24"/>
          <w:highlight w:val="none"/>
          <w:lang w:val="en-US" w:eastAsia="zh-CN"/>
        </w:rPr>
        <w:t>480000.00</w:t>
      </w:r>
      <w:r>
        <w:rPr>
          <w:rFonts w:hint="eastAsia" w:ascii="仿宋" w:hAnsi="仿宋" w:eastAsia="仿宋" w:cs="仿宋"/>
          <w:sz w:val="24"/>
          <w:highlight w:val="none"/>
        </w:rPr>
        <w:t>元（大写</w:t>
      </w:r>
      <w:r>
        <w:rPr>
          <w:rFonts w:hint="eastAsia" w:ascii="仿宋" w:hAnsi="仿宋" w:eastAsia="仿宋" w:cs="仿宋"/>
          <w:sz w:val="24"/>
          <w:highlight w:val="none"/>
          <w:lang w:eastAsia="zh-CN"/>
        </w:rPr>
        <w:t>：</w:t>
      </w:r>
      <w:r>
        <w:rPr>
          <w:rFonts w:hint="eastAsia" w:ascii="仿宋" w:hAnsi="仿宋" w:eastAsia="仿宋" w:cs="仿宋"/>
          <w:color w:val="000000" w:themeColor="text1"/>
          <w:sz w:val="24"/>
          <w:szCs w:val="24"/>
          <w:highlight w:val="none"/>
          <w:lang w:eastAsia="zh-CN"/>
          <w14:textFill>
            <w14:solidFill>
              <w14:schemeClr w14:val="tx1"/>
            </w14:solidFill>
          </w14:textFill>
        </w:rPr>
        <w:t>肆</w:t>
      </w:r>
      <w:r>
        <w:rPr>
          <w:rFonts w:hint="eastAsia" w:ascii="仿宋" w:hAnsi="仿宋" w:eastAsia="仿宋" w:cs="仿宋"/>
          <w:sz w:val="24"/>
          <w:highlight w:val="none"/>
        </w:rPr>
        <w:t>拾</w:t>
      </w:r>
      <w:r>
        <w:rPr>
          <w:rFonts w:hint="eastAsia" w:ascii="仿宋" w:hAnsi="仿宋" w:eastAsia="仿宋" w:cs="仿宋"/>
          <w:sz w:val="24"/>
          <w:highlight w:val="none"/>
          <w:lang w:eastAsia="zh-CN"/>
        </w:rPr>
        <w:t>捌</w:t>
      </w:r>
      <w:r>
        <w:rPr>
          <w:rFonts w:hint="eastAsia" w:ascii="仿宋" w:hAnsi="仿宋" w:eastAsia="仿宋" w:cs="仿宋"/>
          <w:sz w:val="24"/>
          <w:highlight w:val="none"/>
        </w:rPr>
        <w:t>万元整）</w:t>
      </w:r>
      <w:r>
        <w:rPr>
          <w:rFonts w:hint="eastAsia" w:ascii="仿宋" w:hAnsi="仿宋" w:eastAsia="仿宋" w:cs="仿宋"/>
          <w:sz w:val="24"/>
          <w:highlight w:val="none"/>
          <w:lang w:eastAsia="zh-CN"/>
        </w:rPr>
        <w:t>，</w:t>
      </w:r>
      <w:r>
        <w:rPr>
          <w:rFonts w:hint="eastAsia" w:ascii="仿宋" w:hAnsi="仿宋" w:eastAsia="仿宋" w:cs="仿宋"/>
          <w:sz w:val="24"/>
          <w:highlight w:val="none"/>
        </w:rPr>
        <w:t>抽</w:t>
      </w:r>
      <w:r>
        <w:rPr>
          <w:rFonts w:hint="eastAsia" w:ascii="仿宋" w:hAnsi="仿宋" w:eastAsia="仿宋" w:cs="仿宋"/>
          <w:sz w:val="24"/>
          <w:highlight w:val="none"/>
          <w:lang w:eastAsia="zh-CN"/>
        </w:rPr>
        <w:t>检</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750</w:t>
      </w:r>
      <w:r>
        <w:rPr>
          <w:rFonts w:hint="eastAsia" w:ascii="仿宋" w:hAnsi="仿宋" w:eastAsia="仿宋" w:cs="仿宋"/>
          <w:sz w:val="24"/>
          <w:highlight w:val="none"/>
        </w:rPr>
        <w:t>批次（包括2027年两节两会专项</w:t>
      </w:r>
      <w:r>
        <w:rPr>
          <w:rFonts w:hint="eastAsia" w:ascii="仿宋" w:hAnsi="仿宋" w:eastAsia="仿宋" w:cs="仿宋"/>
          <w:sz w:val="24"/>
          <w:highlight w:val="none"/>
          <w:lang w:val="en-US" w:eastAsia="zh-CN"/>
        </w:rPr>
        <w:t>100</w:t>
      </w:r>
      <w:r>
        <w:rPr>
          <w:rFonts w:hint="eastAsia" w:ascii="仿宋" w:hAnsi="仿宋" w:eastAsia="仿宋" w:cs="仿宋"/>
          <w:sz w:val="24"/>
          <w:highlight w:val="none"/>
        </w:rPr>
        <w:t>批次</w:t>
      </w:r>
      <w:r>
        <w:rPr>
          <w:rFonts w:hint="eastAsia" w:ascii="仿宋" w:hAnsi="仿宋" w:eastAsia="仿宋" w:cs="仿宋"/>
          <w:sz w:val="24"/>
          <w:highlight w:val="none"/>
          <w:lang w:eastAsia="zh-CN"/>
        </w:rPr>
        <w:t>、网络餐饮食品</w:t>
      </w:r>
      <w:r>
        <w:rPr>
          <w:rFonts w:hint="eastAsia" w:ascii="仿宋" w:hAnsi="仿宋" w:eastAsia="仿宋" w:cs="仿宋"/>
          <w:sz w:val="24"/>
          <w:highlight w:val="none"/>
        </w:rPr>
        <w:t>专项</w:t>
      </w:r>
      <w:r>
        <w:rPr>
          <w:rFonts w:hint="eastAsia" w:ascii="仿宋" w:hAnsi="仿宋" w:eastAsia="仿宋" w:cs="仿宋"/>
          <w:sz w:val="24"/>
          <w:highlight w:val="none"/>
          <w:lang w:val="en-US" w:eastAsia="zh-CN"/>
        </w:rPr>
        <w:t>200</w:t>
      </w:r>
      <w:r>
        <w:rPr>
          <w:rFonts w:hint="eastAsia" w:ascii="仿宋" w:hAnsi="仿宋" w:eastAsia="仿宋" w:cs="仿宋"/>
          <w:sz w:val="24"/>
          <w:highlight w:val="none"/>
        </w:rPr>
        <w:t>批次</w:t>
      </w:r>
      <w:r>
        <w:rPr>
          <w:rFonts w:hint="eastAsia" w:ascii="仿宋" w:hAnsi="仿宋" w:eastAsia="仿宋" w:cs="仿宋"/>
          <w:sz w:val="24"/>
          <w:highlight w:val="none"/>
          <w:lang w:eastAsia="zh-CN"/>
        </w:rPr>
        <w:t>、肉制品</w:t>
      </w:r>
      <w:r>
        <w:rPr>
          <w:rFonts w:hint="eastAsia" w:ascii="仿宋" w:hAnsi="仿宋" w:eastAsia="仿宋" w:cs="仿宋"/>
          <w:sz w:val="24"/>
          <w:highlight w:val="none"/>
        </w:rPr>
        <w:t>专项</w:t>
      </w:r>
      <w:r>
        <w:rPr>
          <w:rFonts w:hint="eastAsia" w:ascii="仿宋" w:hAnsi="仿宋" w:eastAsia="仿宋" w:cs="仿宋"/>
          <w:sz w:val="24"/>
          <w:highlight w:val="none"/>
          <w:lang w:val="en-US" w:eastAsia="zh-CN"/>
        </w:rPr>
        <w:t>200</w:t>
      </w:r>
      <w:r>
        <w:rPr>
          <w:rFonts w:hint="eastAsia" w:ascii="仿宋" w:hAnsi="仿宋" w:eastAsia="仿宋" w:cs="仿宋"/>
          <w:sz w:val="24"/>
          <w:highlight w:val="none"/>
        </w:rPr>
        <w:t>批次</w:t>
      </w:r>
      <w:r>
        <w:rPr>
          <w:rFonts w:hint="eastAsia" w:ascii="仿宋" w:hAnsi="仿宋" w:eastAsia="仿宋" w:cs="仿宋"/>
          <w:sz w:val="24"/>
          <w:highlight w:val="none"/>
          <w:lang w:eastAsia="zh-CN"/>
        </w:rPr>
        <w:t>、</w:t>
      </w:r>
      <w:r>
        <w:rPr>
          <w:rFonts w:hint="eastAsia" w:ascii="仿宋" w:hAnsi="仿宋" w:eastAsia="仿宋" w:cs="仿宋"/>
          <w:color w:val="000000" w:themeColor="text1"/>
          <w:sz w:val="24"/>
          <w:szCs w:val="24"/>
          <w:highlight w:val="none"/>
          <w:lang w:eastAsia="zh-CN"/>
          <w14:textFill>
            <w14:solidFill>
              <w14:schemeClr w14:val="tx1"/>
            </w14:solidFill>
          </w14:textFill>
        </w:rPr>
        <w:t>散装白酒</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、糕点（粽子、月饼）</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sz w:val="24"/>
          <w:highlight w:val="none"/>
          <w:lang w:eastAsia="zh-CN"/>
        </w:rPr>
        <w:t>米粉制品</w:t>
      </w:r>
      <w:r>
        <w:rPr>
          <w:rFonts w:hint="eastAsia" w:ascii="仿宋" w:hAnsi="仿宋" w:eastAsia="仿宋" w:cs="仿宋"/>
          <w:sz w:val="24"/>
          <w:highlight w:val="none"/>
        </w:rPr>
        <w:t>专项</w:t>
      </w:r>
      <w:r>
        <w:rPr>
          <w:rFonts w:hint="eastAsia" w:ascii="仿宋" w:hAnsi="仿宋" w:eastAsia="仿宋" w:cs="仿宋"/>
          <w:sz w:val="24"/>
          <w:highlight w:val="none"/>
          <w:lang w:val="en-US" w:eastAsia="zh-CN"/>
        </w:rPr>
        <w:t>50</w:t>
      </w:r>
      <w:r>
        <w:rPr>
          <w:rFonts w:hint="eastAsia" w:ascii="仿宋" w:hAnsi="仿宋" w:eastAsia="仿宋" w:cs="仿宋"/>
          <w:sz w:val="24"/>
          <w:highlight w:val="none"/>
        </w:rPr>
        <w:t>批次），快速检测≥</w:t>
      </w:r>
      <w:r>
        <w:rPr>
          <w:rFonts w:hint="eastAsia" w:ascii="仿宋" w:hAnsi="仿宋" w:eastAsia="仿宋" w:cs="仿宋"/>
          <w:sz w:val="24"/>
          <w:highlight w:val="none"/>
          <w:lang w:val="en-US" w:eastAsia="zh-CN"/>
        </w:rPr>
        <w:t>750</w:t>
      </w:r>
      <w:r>
        <w:rPr>
          <w:rFonts w:hint="eastAsia" w:ascii="仿宋" w:hAnsi="仿宋" w:eastAsia="仿宋" w:cs="仿宋"/>
          <w:sz w:val="24"/>
          <w:highlight w:val="none"/>
        </w:rPr>
        <w:t>批次；</w:t>
      </w:r>
    </w:p>
    <w:p w14:paraId="5E986603">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包：</w:t>
      </w:r>
      <w:r>
        <w:rPr>
          <w:rFonts w:hint="eastAsia" w:ascii="仿宋" w:hAnsi="仿宋" w:eastAsia="仿宋" w:cs="仿宋"/>
          <w:color w:val="000000" w:themeColor="text1"/>
          <w:sz w:val="24"/>
          <w:szCs w:val="24"/>
          <w:highlight w:val="none"/>
          <w:lang w:val="en-US" w:eastAsia="zh-CN"/>
          <w14:textFill>
            <w14:solidFill>
              <w14:schemeClr w14:val="tx1"/>
            </w14:solidFill>
          </w14:textFill>
        </w:rPr>
        <w:t>¥418008.00</w:t>
      </w:r>
      <w:r>
        <w:rPr>
          <w:rFonts w:hint="eastAsia" w:ascii="仿宋" w:hAnsi="仿宋" w:eastAsia="仿宋" w:cs="仿宋"/>
          <w:color w:val="000000" w:themeColor="text1"/>
          <w:sz w:val="24"/>
          <w:szCs w:val="24"/>
          <w:highlight w:val="none"/>
          <w14:textFill>
            <w14:solidFill>
              <w14:schemeClr w14:val="tx1"/>
            </w14:solidFill>
          </w14:textFill>
        </w:rPr>
        <w:t>元（大写：</w:t>
      </w:r>
      <w:r>
        <w:rPr>
          <w:rFonts w:hint="eastAsia" w:ascii="仿宋" w:hAnsi="仿宋" w:eastAsia="仿宋" w:cs="仿宋"/>
          <w:color w:val="000000" w:themeColor="text1"/>
          <w:sz w:val="24"/>
          <w:szCs w:val="24"/>
          <w:highlight w:val="none"/>
          <w:lang w:eastAsia="zh-CN"/>
          <w14:textFill>
            <w14:solidFill>
              <w14:schemeClr w14:val="tx1"/>
            </w14:solidFill>
          </w14:textFill>
        </w:rPr>
        <w:t>肆</w:t>
      </w:r>
      <w:r>
        <w:rPr>
          <w:rFonts w:hint="eastAsia" w:ascii="仿宋" w:hAnsi="仿宋" w:eastAsia="仿宋" w:cs="仿宋"/>
          <w:color w:val="000000" w:themeColor="text1"/>
          <w:sz w:val="24"/>
          <w:szCs w:val="24"/>
          <w:highlight w:val="none"/>
          <w14:textFill>
            <w14:solidFill>
              <w14:schemeClr w14:val="tx1"/>
            </w14:solidFill>
          </w14:textFill>
        </w:rPr>
        <w:t>拾</w:t>
      </w:r>
      <w:r>
        <w:rPr>
          <w:rFonts w:hint="eastAsia" w:ascii="仿宋" w:hAnsi="仿宋" w:eastAsia="仿宋" w:cs="仿宋"/>
          <w:color w:val="000000" w:themeColor="text1"/>
          <w:sz w:val="24"/>
          <w:szCs w:val="24"/>
          <w:highlight w:val="none"/>
          <w:lang w:eastAsia="zh-CN"/>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万</w:t>
      </w:r>
      <w:r>
        <w:rPr>
          <w:rFonts w:hint="eastAsia" w:ascii="仿宋" w:hAnsi="仿宋" w:eastAsia="仿宋" w:cs="仿宋"/>
          <w:sz w:val="24"/>
          <w:szCs w:val="24"/>
          <w:highlight w:val="none"/>
          <w:lang w:eastAsia="zh-CN"/>
        </w:rPr>
        <w:t>捌</w:t>
      </w:r>
      <w:r>
        <w:rPr>
          <w:rFonts w:hint="eastAsia" w:ascii="仿宋" w:hAnsi="仿宋" w:eastAsia="仿宋" w:cs="仿宋"/>
          <w:color w:val="000000" w:themeColor="text1"/>
          <w:sz w:val="24"/>
          <w:szCs w:val="24"/>
          <w:highlight w:val="none"/>
          <w14:textFill>
            <w14:solidFill>
              <w14:schemeClr w14:val="tx1"/>
            </w14:solidFill>
          </w14:textFill>
        </w:rPr>
        <w:t>仟</w:t>
      </w:r>
      <w:r>
        <w:rPr>
          <w:rFonts w:hint="eastAsia" w:ascii="仿宋" w:hAnsi="仿宋" w:eastAsia="仿宋" w:cs="仿宋"/>
          <w:sz w:val="24"/>
          <w:szCs w:val="24"/>
          <w:highlight w:val="none"/>
          <w:lang w:eastAsia="zh-CN"/>
        </w:rPr>
        <w:t>捌</w:t>
      </w:r>
      <w:r>
        <w:rPr>
          <w:rFonts w:hint="eastAsia" w:ascii="仿宋" w:hAnsi="仿宋" w:eastAsia="仿宋" w:cs="仿宋"/>
          <w:color w:val="000000" w:themeColor="text1"/>
          <w:sz w:val="24"/>
          <w:szCs w:val="24"/>
          <w:highlight w:val="none"/>
          <w:lang w:eastAsia="zh-CN"/>
          <w14:textFill>
            <w14:solidFill>
              <w14:schemeClr w14:val="tx1"/>
            </w14:solidFill>
          </w14:textFill>
        </w:rPr>
        <w:t>零</w:t>
      </w:r>
      <w:r>
        <w:rPr>
          <w:rFonts w:hint="eastAsia" w:ascii="仿宋" w:hAnsi="仿宋" w:eastAsia="仿宋" w:cs="仿宋"/>
          <w:color w:val="000000" w:themeColor="text1"/>
          <w:sz w:val="24"/>
          <w:szCs w:val="24"/>
          <w:highlight w:val="none"/>
          <w14:textFill>
            <w14:solidFill>
              <w14:schemeClr w14:val="tx1"/>
            </w14:solidFill>
          </w14:textFill>
        </w:rPr>
        <w:t>元整）抽</w:t>
      </w:r>
      <w:r>
        <w:rPr>
          <w:rFonts w:hint="eastAsia" w:ascii="仿宋" w:hAnsi="仿宋" w:eastAsia="仿宋" w:cs="仿宋"/>
          <w:color w:val="000000" w:themeColor="text1"/>
          <w:sz w:val="24"/>
          <w:szCs w:val="24"/>
          <w:highlight w:val="none"/>
          <w:lang w:eastAsia="zh-CN"/>
          <w14:textFill>
            <w14:solidFill>
              <w14:schemeClr w14:val="tx1"/>
            </w14:solidFill>
          </w14:textFill>
        </w:rPr>
        <w:t>检</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654</w:t>
      </w:r>
      <w:r>
        <w:rPr>
          <w:rFonts w:hint="eastAsia" w:ascii="仿宋" w:hAnsi="仿宋" w:eastAsia="仿宋" w:cs="仿宋"/>
          <w:color w:val="000000" w:themeColor="text1"/>
          <w:sz w:val="24"/>
          <w:szCs w:val="24"/>
          <w:highlight w:val="none"/>
          <w14:textFill>
            <w14:solidFill>
              <w14:schemeClr w14:val="tx1"/>
            </w14:solidFill>
          </w14:textFill>
        </w:rPr>
        <w:t>批次（包括秋季校园食品专项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300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、农村食品</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200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、食用植物油</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、粮食专项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54批次</w:t>
      </w:r>
      <w:r>
        <w:rPr>
          <w:rFonts w:hint="eastAsia" w:ascii="仿宋" w:hAnsi="仿宋" w:eastAsia="仿宋" w:cs="仿宋"/>
          <w:color w:val="000000" w:themeColor="text1"/>
          <w:sz w:val="24"/>
          <w:szCs w:val="24"/>
          <w:highlight w:val="none"/>
          <w14:textFill>
            <w14:solidFill>
              <w14:schemeClr w14:val="tx1"/>
            </w14:solidFill>
          </w14:textFill>
        </w:rPr>
        <w:t>），快速检测≥</w:t>
      </w:r>
      <w:r>
        <w:rPr>
          <w:rFonts w:hint="eastAsia" w:ascii="仿宋" w:hAnsi="仿宋" w:eastAsia="仿宋" w:cs="仿宋"/>
          <w:color w:val="000000" w:themeColor="text1"/>
          <w:sz w:val="24"/>
          <w:szCs w:val="24"/>
          <w:highlight w:val="none"/>
          <w:lang w:val="en-US" w:eastAsia="zh-CN"/>
          <w14:textFill>
            <w14:solidFill>
              <w14:schemeClr w14:val="tx1"/>
            </w14:solidFill>
          </w14:textFill>
        </w:rPr>
        <w:t>654</w:t>
      </w:r>
      <w:r>
        <w:rPr>
          <w:rFonts w:hint="eastAsia" w:ascii="仿宋" w:hAnsi="仿宋" w:eastAsia="仿宋" w:cs="仿宋"/>
          <w:color w:val="000000" w:themeColor="text1"/>
          <w:sz w:val="24"/>
          <w:szCs w:val="24"/>
          <w:highlight w:val="none"/>
          <w14:textFill>
            <w14:solidFill>
              <w14:schemeClr w14:val="tx1"/>
            </w14:solidFill>
          </w14:textFill>
        </w:rPr>
        <w:t>批次；</w:t>
      </w:r>
    </w:p>
    <w:p w14:paraId="5BE4AB0C">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包：</w:t>
      </w:r>
      <w:r>
        <w:rPr>
          <w:rFonts w:hint="eastAsia" w:ascii="仿宋" w:hAnsi="仿宋" w:eastAsia="仿宋" w:cs="仿宋"/>
          <w:color w:val="000000" w:themeColor="text1"/>
          <w:sz w:val="24"/>
          <w:szCs w:val="24"/>
          <w:highlight w:val="none"/>
          <w:lang w:val="en-US" w:eastAsia="zh-CN"/>
          <w14:textFill>
            <w14:solidFill>
              <w14:schemeClr w14:val="tx1"/>
            </w14:solidFill>
          </w14:textFill>
        </w:rPr>
        <w:t>¥410880.00</w:t>
      </w:r>
      <w:r>
        <w:rPr>
          <w:rFonts w:hint="eastAsia" w:ascii="仿宋" w:hAnsi="仿宋" w:eastAsia="仿宋" w:cs="仿宋"/>
          <w:color w:val="000000" w:themeColor="text1"/>
          <w:sz w:val="24"/>
          <w:szCs w:val="24"/>
          <w:highlight w:val="none"/>
          <w14:textFill>
            <w14:solidFill>
              <w14:schemeClr w14:val="tx1"/>
            </w14:solidFill>
          </w14:textFill>
        </w:rPr>
        <w:t>元（大写：</w:t>
      </w:r>
      <w:r>
        <w:rPr>
          <w:rFonts w:hint="eastAsia" w:ascii="仿宋" w:hAnsi="仿宋" w:eastAsia="仿宋" w:cs="仿宋"/>
          <w:color w:val="000000" w:themeColor="text1"/>
          <w:sz w:val="24"/>
          <w:szCs w:val="24"/>
          <w:highlight w:val="none"/>
          <w:lang w:eastAsia="zh-CN"/>
          <w14:textFill>
            <w14:solidFill>
              <w14:schemeClr w14:val="tx1"/>
            </w14:solidFill>
          </w14:textFill>
        </w:rPr>
        <w:t>肆</w:t>
      </w:r>
      <w:r>
        <w:rPr>
          <w:rFonts w:hint="eastAsia" w:ascii="仿宋" w:hAnsi="仿宋" w:eastAsia="仿宋" w:cs="仿宋"/>
          <w:color w:val="000000" w:themeColor="text1"/>
          <w:sz w:val="24"/>
          <w:szCs w:val="24"/>
          <w:highlight w:val="none"/>
          <w14:textFill>
            <w14:solidFill>
              <w14:schemeClr w14:val="tx1"/>
            </w14:solidFill>
          </w14:textFill>
        </w:rPr>
        <w:t>拾</w:t>
      </w:r>
      <w:r>
        <w:rPr>
          <w:rFonts w:hint="eastAsia" w:ascii="仿宋" w:hAnsi="仿宋" w:eastAsia="仿宋" w:cs="仿宋"/>
          <w:color w:val="000000" w:themeColor="text1"/>
          <w:sz w:val="24"/>
          <w:szCs w:val="24"/>
          <w:highlight w:val="none"/>
          <w:lang w:eastAsia="zh-CN"/>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万</w:t>
      </w:r>
      <w:r>
        <w:rPr>
          <w:rFonts w:hint="eastAsia" w:ascii="仿宋" w:hAnsi="仿宋" w:eastAsia="仿宋" w:cs="仿宋"/>
          <w:color w:val="000000" w:themeColor="text1"/>
          <w:sz w:val="24"/>
          <w:szCs w:val="24"/>
          <w:highlight w:val="none"/>
          <w:lang w:eastAsia="zh-CN"/>
          <w14:textFill>
            <w14:solidFill>
              <w14:schemeClr w14:val="tx1"/>
            </w14:solidFill>
          </w14:textFill>
        </w:rPr>
        <w:t>零捌佰捌拾</w:t>
      </w:r>
      <w:r>
        <w:rPr>
          <w:rFonts w:hint="eastAsia" w:ascii="仿宋" w:hAnsi="仿宋" w:eastAsia="仿宋" w:cs="仿宋"/>
          <w:color w:val="000000" w:themeColor="text1"/>
          <w:sz w:val="24"/>
          <w:szCs w:val="24"/>
          <w:highlight w:val="none"/>
          <w14:textFill>
            <w14:solidFill>
              <w14:schemeClr w14:val="tx1"/>
            </w14:solidFill>
          </w14:textFill>
        </w:rPr>
        <w:t>元整）抽</w:t>
      </w:r>
      <w:r>
        <w:rPr>
          <w:rFonts w:hint="eastAsia" w:ascii="仿宋" w:hAnsi="仿宋" w:eastAsia="仿宋" w:cs="仿宋"/>
          <w:color w:val="000000" w:themeColor="text1"/>
          <w:sz w:val="24"/>
          <w:szCs w:val="24"/>
          <w:highlight w:val="none"/>
          <w:lang w:eastAsia="zh-CN"/>
          <w14:textFill>
            <w14:solidFill>
              <w14:schemeClr w14:val="tx1"/>
            </w14:solidFill>
          </w14:textFill>
        </w:rPr>
        <w:t>检</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642</w:t>
      </w:r>
      <w:r>
        <w:rPr>
          <w:rFonts w:hint="eastAsia" w:ascii="仿宋" w:hAnsi="仿宋" w:eastAsia="仿宋" w:cs="仿宋"/>
          <w:color w:val="000000" w:themeColor="text1"/>
          <w:sz w:val="24"/>
          <w:szCs w:val="24"/>
          <w:highlight w:val="none"/>
          <w14:textFill>
            <w14:solidFill>
              <w14:schemeClr w14:val="tx1"/>
            </w14:solidFill>
          </w14:textFill>
        </w:rPr>
        <w:t>批次（包括国庆中秋专项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150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、一老一小</w:t>
      </w:r>
      <w:r>
        <w:rPr>
          <w:rFonts w:hint="eastAsia" w:ascii="仿宋" w:hAnsi="仿宋" w:eastAsia="仿宋" w:cs="仿宋"/>
          <w:color w:val="000000" w:themeColor="text1"/>
          <w:sz w:val="24"/>
          <w:szCs w:val="24"/>
          <w:highlight w:val="none"/>
          <w14:textFill>
            <w14:solidFill>
              <w14:schemeClr w14:val="tx1"/>
            </w14:solidFill>
          </w14:textFill>
        </w:rPr>
        <w:t>食品专项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120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、旅游食品</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、你点我检</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200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、定期抽检（含跟踪抽检）</w:t>
      </w:r>
      <w:r>
        <w:rPr>
          <w:rFonts w:hint="eastAsia" w:ascii="仿宋" w:hAnsi="仿宋" w:eastAsia="仿宋" w:cs="仿宋"/>
          <w:color w:val="000000" w:themeColor="text1"/>
          <w:sz w:val="24"/>
          <w:szCs w:val="24"/>
          <w:highlight w:val="none"/>
          <w:lang w:val="en-US" w:eastAsia="zh-CN"/>
          <w14:textFill>
            <w14:solidFill>
              <w14:schemeClr w14:val="tx1"/>
            </w14:solidFill>
          </w14:textFill>
        </w:rPr>
        <w:t>122批次</w:t>
      </w:r>
      <w:r>
        <w:rPr>
          <w:rFonts w:hint="eastAsia" w:ascii="仿宋" w:hAnsi="仿宋" w:eastAsia="仿宋" w:cs="仿宋"/>
          <w:color w:val="000000" w:themeColor="text1"/>
          <w:sz w:val="24"/>
          <w:szCs w:val="24"/>
          <w:highlight w:val="none"/>
          <w14:textFill>
            <w14:solidFill>
              <w14:schemeClr w14:val="tx1"/>
            </w14:solidFill>
          </w14:textFill>
        </w:rPr>
        <w:t>），快速检测≥</w:t>
      </w:r>
      <w:r>
        <w:rPr>
          <w:rFonts w:hint="eastAsia" w:ascii="仿宋" w:hAnsi="仿宋" w:eastAsia="仿宋" w:cs="仿宋"/>
          <w:color w:val="000000" w:themeColor="text1"/>
          <w:sz w:val="24"/>
          <w:szCs w:val="24"/>
          <w:highlight w:val="none"/>
          <w:lang w:val="en-US" w:eastAsia="zh-CN"/>
          <w14:textFill>
            <w14:solidFill>
              <w14:schemeClr w14:val="tx1"/>
            </w14:solidFill>
          </w14:textFill>
        </w:rPr>
        <w:t>642</w:t>
      </w:r>
      <w:r>
        <w:rPr>
          <w:rFonts w:hint="eastAsia" w:ascii="仿宋" w:hAnsi="仿宋" w:eastAsia="仿宋" w:cs="仿宋"/>
          <w:color w:val="000000" w:themeColor="text1"/>
          <w:sz w:val="24"/>
          <w:szCs w:val="24"/>
          <w:highlight w:val="none"/>
          <w14:textFill>
            <w14:solidFill>
              <w14:schemeClr w14:val="tx1"/>
            </w14:solidFill>
          </w14:textFill>
        </w:rPr>
        <w:t>批次。</w:t>
      </w:r>
    </w:p>
    <w:p w14:paraId="4525D766">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合同履行期限：</w:t>
      </w:r>
      <w:r>
        <w:rPr>
          <w:rFonts w:hint="eastAsia" w:ascii="仿宋" w:hAnsi="仿宋" w:eastAsia="仿宋" w:cs="仿宋"/>
          <w:color w:val="000000" w:themeColor="text1"/>
          <w:sz w:val="24"/>
          <w:szCs w:val="24"/>
          <w:highlight w:val="none"/>
          <w:lang w:eastAsia="zh-CN"/>
          <w14:textFill>
            <w14:solidFill>
              <w14:schemeClr w14:val="tx1"/>
            </w14:solidFill>
          </w14:textFill>
        </w:rPr>
        <w:t>完成抽样及检测时限为1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月20日前，除2027年两节两会专项和其它另有安排外</w:t>
      </w:r>
      <w:r>
        <w:rPr>
          <w:rFonts w:hint="eastAsia" w:ascii="仿宋" w:hAnsi="仿宋" w:eastAsia="仿宋" w:cs="仿宋"/>
          <w:color w:val="000000" w:themeColor="text1"/>
          <w:sz w:val="24"/>
          <w:szCs w:val="24"/>
          <w:highlight w:val="none"/>
          <w14:textFill>
            <w14:solidFill>
              <w14:schemeClr w14:val="tx1"/>
            </w14:solidFill>
          </w14:textFill>
        </w:rPr>
        <w:t>。</w:t>
      </w:r>
    </w:p>
    <w:p w14:paraId="69713102">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质量标准：严格按照《食品安全抽检实施细则(2026版)》要求执行。</w:t>
      </w:r>
    </w:p>
    <w:p w14:paraId="5FF04D15">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magenta"/>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服务地点</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陆良县、师宗县、罗平县、马龙区、富源县、宣威市、会泽县、麒麟区、经开区、沾益区。</w:t>
      </w:r>
    </w:p>
    <w:p w14:paraId="791CF275">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本项目不接受联合体投标。</w:t>
      </w:r>
    </w:p>
    <w:p w14:paraId="26D813E9">
      <w:pPr>
        <w:keepNext w:val="0"/>
        <w:keepLines w:val="0"/>
        <w:pageBreakBefore w:val="0"/>
        <w:numPr>
          <w:ilvl w:val="0"/>
          <w:numId w:val="0"/>
        </w:numPr>
        <w:kinsoku/>
        <w:wordWrap/>
        <w:overflowPunct/>
        <w:topLinePunct w:val="0"/>
        <w:autoSpaceDN/>
        <w:bidi w:val="0"/>
        <w:adjustRightInd w:val="0"/>
        <w:snapToGrid w:val="0"/>
        <w:spacing w:line="480" w:lineRule="auto"/>
        <w:ind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二、投标人资格要求：</w:t>
      </w:r>
    </w:p>
    <w:p w14:paraId="5CC784A6">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snapToGrid/>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1.满足《中华人民共和国政府采购法》第二十二条规定</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796A289">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（一）具有独立承担民事责任的能力； </w:t>
      </w:r>
    </w:p>
    <w:p w14:paraId="23BD20FC">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（二）具有良好的商业信誉和健全的财务会计制度； </w:t>
      </w:r>
    </w:p>
    <w:p w14:paraId="4564FD78">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（三）具有履行合同所必需的设备和专业技术能力；</w:t>
      </w:r>
    </w:p>
    <w:p w14:paraId="77533C2D">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（四）有依法缴纳税收和社会保障资金的良好记录； </w:t>
      </w:r>
    </w:p>
    <w:p w14:paraId="6779AC62">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（五）参加政府采购活动前三年内，在经营活动中没有重大违法记录； </w:t>
      </w:r>
    </w:p>
    <w:p w14:paraId="1276ABAD">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（六）法律、行政法规规定的其他条件。 </w:t>
      </w:r>
    </w:p>
    <w:p w14:paraId="24FA3E17">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截至投标（响应）文件递交时间，未被“信用中国”（www.creditchina.gov.cn）、中国政府采购网（www.ccgp.gov.cn）列入失信被执行人、重大税收违法案件当事人名单、政府采购严重违法失信行为记录名单。</w:t>
      </w:r>
    </w:p>
    <w:p w14:paraId="7593CAD7">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2.落实政府采购政策需满足的资格要求：</w:t>
      </w:r>
    </w:p>
    <w:p w14:paraId="7F0F71D0">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本项目不属于专门面向中小微企业采购，评审时，小微型企业、监狱企业、残疾人福利性单位报价给予10%的扣除；</w:t>
      </w:r>
      <w:r>
        <w:rPr>
          <w:rFonts w:hint="eastAsia" w:ascii="仿宋" w:hAnsi="仿宋" w:eastAsia="仿宋" w:cs="仿宋"/>
          <w:b/>
          <w:bCs/>
          <w:color w:val="000000" w:themeColor="text1"/>
          <w:sz w:val="24"/>
          <w:szCs w:val="24"/>
          <w:highlight w:val="none"/>
          <w14:textFill>
            <w14:solidFill>
              <w14:schemeClr w14:val="tx1"/>
            </w14:solidFill>
          </w14:textFill>
        </w:rPr>
        <w:t>采购标的对应的中小企业划分标准所属行业：</w:t>
      </w:r>
      <w:r>
        <w:rPr>
          <w:rFonts w:hint="eastAsia" w:ascii="仿宋" w:hAnsi="仿宋" w:eastAsia="仿宋" w:cs="仿宋"/>
          <w:b/>
          <w:bCs/>
          <w:color w:val="000000" w:themeColor="text1"/>
          <w:sz w:val="24"/>
          <w:szCs w:val="24"/>
          <w:highlight w:val="none"/>
          <w:lang w:eastAsia="zh-CN"/>
          <w14:textFill>
            <w14:solidFill>
              <w14:schemeClr w14:val="tx1"/>
            </w14:solidFill>
          </w14:textFill>
        </w:rPr>
        <w:t>其他未列明行业</w:t>
      </w:r>
      <w:r>
        <w:rPr>
          <w:rFonts w:hint="eastAsia" w:ascii="仿宋" w:hAnsi="仿宋" w:eastAsia="仿宋" w:cs="仿宋"/>
          <w:b/>
          <w:bCs/>
          <w:color w:val="000000" w:themeColor="text1"/>
          <w:sz w:val="24"/>
          <w:szCs w:val="24"/>
          <w:highlight w:val="none"/>
          <w14:textFill>
            <w14:solidFill>
              <w14:schemeClr w14:val="tx1"/>
            </w14:solidFill>
          </w14:textFill>
        </w:rPr>
        <w:t>。</w:t>
      </w:r>
    </w:p>
    <w:p w14:paraId="1A322590">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注：对残疾人福利性单位、监狱企业视同小型、微型企业，但须按要求提供有关声明函或证明文件。</w:t>
      </w:r>
    </w:p>
    <w:p w14:paraId="5314C912">
      <w:pPr>
        <w:keepNext w:val="0"/>
        <w:keepLines w:val="0"/>
        <w:pageBreakBefore w:val="0"/>
        <w:numPr>
          <w:ilvl w:val="0"/>
          <w:numId w:val="0"/>
        </w:numPr>
        <w:kinsoku/>
        <w:wordWrap/>
        <w:overflowPunct/>
        <w:topLinePunct w:val="0"/>
        <w:autoSpaceDN/>
        <w:bidi w:val="0"/>
        <w:adjustRightInd w:val="0"/>
        <w:snapToGrid w:val="0"/>
        <w:spacing w:line="480" w:lineRule="auto"/>
        <w:ind w:leftChars="0" w:firstLine="480"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本项目的特定资格要求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投标人必须提供计量认证证书（CMA）、食品检验机构资质认定证书（CMAF）（已取得两证合一的企业只用提供CMA证），提供证书扫描件。</w:t>
      </w:r>
    </w:p>
    <w:p w14:paraId="0B2E880D">
      <w:pPr>
        <w:keepNext w:val="0"/>
        <w:keepLines w:val="0"/>
        <w:pageBreakBefore w:val="0"/>
        <w:numPr>
          <w:ilvl w:val="0"/>
          <w:numId w:val="0"/>
        </w:numPr>
        <w:kinsoku/>
        <w:wordWrap/>
        <w:overflowPunct/>
        <w:topLinePunct w:val="0"/>
        <w:autoSpaceDN/>
        <w:bidi w:val="0"/>
        <w:adjustRightInd w:val="0"/>
        <w:snapToGrid w:val="0"/>
        <w:spacing w:line="480" w:lineRule="auto"/>
        <w:ind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三、采购文件的获取</w:t>
      </w:r>
    </w:p>
    <w:p w14:paraId="2569CC45">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2026年4月30日</w:t>
      </w:r>
      <w:r>
        <w:rPr>
          <w:rFonts w:hint="eastAsia" w:ascii="仿宋" w:hAnsi="仿宋" w:eastAsia="仿宋" w:cs="仿宋"/>
          <w:color w:val="000000" w:themeColor="text1"/>
          <w:kern w:val="0"/>
          <w:sz w:val="24"/>
          <w:szCs w:val="24"/>
          <w:highlight w:val="none"/>
          <w:u w:val="single"/>
          <w14:textFill>
            <w14:solidFill>
              <w14:schemeClr w14:val="tx1"/>
            </w14:solidFill>
          </w14:textFill>
        </w:rPr>
        <w:t>09</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时</w:t>
      </w:r>
      <w:r>
        <w:rPr>
          <w:rFonts w:hint="eastAsia" w:ascii="仿宋" w:hAnsi="仿宋" w:eastAsia="仿宋" w:cs="仿宋"/>
          <w:color w:val="000000" w:themeColor="text1"/>
          <w:kern w:val="0"/>
          <w:sz w:val="24"/>
          <w:szCs w:val="24"/>
          <w:highlight w:val="none"/>
          <w:u w:val="single"/>
          <w14:textFill>
            <w14:solidFill>
              <w14:schemeClr w14:val="tx1"/>
            </w14:solidFill>
          </w14:textFill>
        </w:rPr>
        <w:t>00</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分</w:t>
      </w:r>
      <w:r>
        <w:rPr>
          <w:rFonts w:hint="eastAsia" w:ascii="仿宋" w:hAnsi="仿宋" w:eastAsia="仿宋" w:cs="仿宋"/>
          <w:color w:val="000000" w:themeColor="text1"/>
          <w:kern w:val="0"/>
          <w:sz w:val="24"/>
          <w:szCs w:val="24"/>
          <w:highlight w:val="none"/>
          <w:u w:val="single"/>
          <w14:textFill>
            <w14:solidFill>
              <w14:schemeClr w14:val="tx1"/>
            </w14:solidFill>
          </w14:textFill>
        </w:rPr>
        <w:t>至</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2026年5月11日23时59分</w:t>
      </w:r>
      <w:r>
        <w:rPr>
          <w:rFonts w:hint="eastAsia" w:ascii="仿宋" w:hAnsi="仿宋" w:eastAsia="仿宋" w:cs="仿宋"/>
          <w:color w:val="000000" w:themeColor="text1"/>
          <w:kern w:val="0"/>
          <w:sz w:val="24"/>
          <w:szCs w:val="24"/>
          <w:highlight w:val="none"/>
          <w14:textFill>
            <w14:solidFill>
              <w14:schemeClr w14:val="tx1"/>
            </w14:solidFill>
          </w14:textFill>
        </w:rPr>
        <w:t>（北京时间）</w:t>
      </w:r>
    </w:p>
    <w:p w14:paraId="06B2C1DF">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地点：“政采云”平台（http：//www.zcygov.cn）（操作路径：登录“政采云”平台-项目采购-获取采购文件 -找到本项目-点击“申请获取采购文件”）。</w:t>
      </w:r>
    </w:p>
    <w:p w14:paraId="5CB7E619">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方式：网上下载。</w:t>
      </w:r>
    </w:p>
    <w:p w14:paraId="0C22C378">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①凡有意参加投标人，须在政采云平台办理数字证书（CA），CA申领链接：https://middle.zcygov.cn/ca/apply/list?_app_=zcy.sys，并在政采云绑定数字证书（CA）后在网上获取采购文件及其它采购资料，数字证书（CA）详见其办理流程。注：云南本地投标人如之前已在云南CA在线数字证书办理网进行过注册并办理过企业数字证书（CA），直接绑定即可，无需重复办理（2022年1月1日前办理的云南CA需到云南CA办理处进行升级）。外省投标人在政采云平台办理的其他CA可直接使用，无需重复办理。</w:t>
      </w:r>
    </w:p>
    <w:p w14:paraId="6D9C64ED">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②按上述要求获取采购文件的投标人视为合法获取了本项目采购文件，具备本项目的投标资格。</w:t>
      </w:r>
    </w:p>
    <w:p w14:paraId="0AA73B7E">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③政府采购云平台支持多家CA服务商，供应商可自行选择办理。云南壹证通CA客服热线400-004-0628。（紧急CA办理电话：19988166369），云南壹证通CA申领链接：http://yzt.ynsmartcert.cn/。</w:t>
      </w:r>
    </w:p>
    <w:p w14:paraId="6A53A997">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售价（元）：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0.00元</w:t>
      </w:r>
    </w:p>
    <w:p w14:paraId="6F14DAF6">
      <w:pPr>
        <w:keepNext w:val="0"/>
        <w:keepLines w:val="0"/>
        <w:pageBreakBefore w:val="0"/>
        <w:numPr>
          <w:ilvl w:val="0"/>
          <w:numId w:val="3"/>
        </w:numPr>
        <w:kinsoku/>
        <w:wordWrap/>
        <w:overflowPunct/>
        <w:topLinePunct w:val="0"/>
        <w:autoSpaceDN/>
        <w:bidi w:val="0"/>
        <w:adjustRightInd w:val="0"/>
        <w:snapToGrid w:val="0"/>
        <w:spacing w:line="480" w:lineRule="auto"/>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投标文件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递交</w:t>
      </w:r>
    </w:p>
    <w:p w14:paraId="0552DAE7">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u w:val="none"/>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1.时间：2026年5月20日09点30分</w:t>
      </w:r>
      <w:r>
        <w:rPr>
          <w:rFonts w:hint="eastAsia" w:ascii="仿宋" w:hAnsi="仿宋" w:eastAsia="仿宋" w:cs="仿宋"/>
          <w:color w:val="000000" w:themeColor="text1"/>
          <w:kern w:val="0"/>
          <w:sz w:val="24"/>
          <w:szCs w:val="24"/>
          <w:highlight w:val="none"/>
          <w:u w:val="none"/>
          <w14:textFill>
            <w14:solidFill>
              <w14:schemeClr w14:val="tx1"/>
            </w14:solidFill>
          </w14:textFill>
        </w:rPr>
        <w:t>（北京时间）</w:t>
      </w:r>
    </w:p>
    <w:p w14:paraId="3A9C17D0">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地点：请登录政采云投标客户端投标。</w:t>
      </w:r>
    </w:p>
    <w:p w14:paraId="39525DF3">
      <w:pPr>
        <w:keepNext w:val="0"/>
        <w:keepLines w:val="0"/>
        <w:pageBreakBefore w:val="0"/>
        <w:numPr>
          <w:ilvl w:val="0"/>
          <w:numId w:val="3"/>
        </w:numPr>
        <w:kinsoku/>
        <w:wordWrap/>
        <w:overflowPunct/>
        <w:topLinePunct w:val="0"/>
        <w:autoSpaceDN/>
        <w:bidi w:val="0"/>
        <w:adjustRightInd w:val="0"/>
        <w:snapToGrid w:val="0"/>
        <w:spacing w:line="480" w:lineRule="auto"/>
        <w:ind w:left="0" w:lef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开启</w:t>
      </w:r>
    </w:p>
    <w:p w14:paraId="2449FEE5">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1.时间：2026年5月20日09点30分（北京时间）。</w:t>
      </w:r>
    </w:p>
    <w:p w14:paraId="6FADB5E6">
      <w:pPr>
        <w:keepNext w:val="0"/>
        <w:keepLines w:val="0"/>
        <w:pageBreakBefore w:val="0"/>
        <w:widowControl/>
        <w:kinsoku/>
        <w:wordWrap/>
        <w:overflowPunct/>
        <w:topLinePunct w:val="0"/>
        <w:autoSpaceDE w:val="0"/>
        <w:autoSpaceDN/>
        <w:bidi w:val="0"/>
        <w:adjustRightInd w:val="0"/>
        <w:snapToGrid w:val="0"/>
        <w:spacing w:line="480" w:lineRule="auto"/>
        <w:ind w:left="0" w:leftChars="0" w:firstLine="480" w:firstLineChars="200"/>
        <w:jc w:val="left"/>
        <w:textAlignment w:val="auto"/>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2.地点：云南广联工程项目管理有限公司会议室（云南省曲靖市麒麟区文华街道办事处新兴社区珠江源大道延长线"东辰华都"三期综合楼1幢）</w:t>
      </w:r>
    </w:p>
    <w:p w14:paraId="52DB716A">
      <w:pPr>
        <w:keepNext w:val="0"/>
        <w:keepLines w:val="0"/>
        <w:pageBreakBefore w:val="0"/>
        <w:numPr>
          <w:ilvl w:val="0"/>
          <w:numId w:val="3"/>
        </w:numPr>
        <w:kinsoku/>
        <w:wordWrap/>
        <w:overflowPunct/>
        <w:topLinePunct w:val="0"/>
        <w:autoSpaceDN/>
        <w:bidi w:val="0"/>
        <w:adjustRightInd w:val="0"/>
        <w:snapToGrid w:val="0"/>
        <w:spacing w:line="480" w:lineRule="auto"/>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公告期限</w:t>
      </w:r>
    </w:p>
    <w:p w14:paraId="229E88CB">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自本公告发布之日起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不少于</w:t>
      </w:r>
      <w:r>
        <w:rPr>
          <w:rFonts w:hint="eastAsia" w:ascii="仿宋" w:hAnsi="仿宋" w:eastAsia="仿宋" w:cs="仿宋"/>
          <w:color w:val="000000" w:themeColor="text1"/>
          <w:sz w:val="24"/>
          <w:szCs w:val="24"/>
          <w:highlight w:val="none"/>
          <w14:textFill>
            <w14:solidFill>
              <w14:schemeClr w14:val="tx1"/>
            </w14:solidFill>
          </w14:textFill>
        </w:rPr>
        <w:t>5个工作日。</w:t>
      </w:r>
    </w:p>
    <w:p w14:paraId="3FABE093">
      <w:pPr>
        <w:keepNext w:val="0"/>
        <w:keepLines w:val="0"/>
        <w:pageBreakBefore w:val="0"/>
        <w:numPr>
          <w:ilvl w:val="0"/>
          <w:numId w:val="3"/>
        </w:numPr>
        <w:kinsoku/>
        <w:wordWrap/>
        <w:overflowPunct/>
        <w:topLinePunct w:val="0"/>
        <w:autoSpaceDN/>
        <w:bidi w:val="0"/>
        <w:adjustRightInd w:val="0"/>
        <w:snapToGrid w:val="0"/>
        <w:spacing w:line="480" w:lineRule="auto"/>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其他补充事宜</w:t>
      </w:r>
    </w:p>
    <w:p w14:paraId="0AEC9581">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开标方式：网上开标</w:t>
      </w:r>
    </w:p>
    <w:p w14:paraId="0D535B60">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是否需要缴纳投标保证金：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否</w:t>
      </w:r>
    </w:p>
    <w:p w14:paraId="197E9894">
      <w:pPr>
        <w:keepNext w:val="0"/>
        <w:keepLines w:val="0"/>
        <w:pageBreakBefore w:val="0"/>
        <w:widowControl/>
        <w:kinsoku/>
        <w:wordWrap/>
        <w:overflowPunct/>
        <w:topLinePunct w:val="0"/>
        <w:autoSpaceDE/>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其他：</w:t>
      </w:r>
      <w:r>
        <w:rPr>
          <w:rFonts w:hint="eastAsia" w:ascii="仿宋" w:hAnsi="仿宋" w:eastAsia="仿宋" w:cs="仿宋"/>
          <w:color w:val="000000" w:themeColor="text1"/>
          <w:kern w:val="0"/>
          <w:sz w:val="24"/>
          <w:szCs w:val="24"/>
          <w:highlight w:val="none"/>
          <w14:textFill>
            <w14:solidFill>
              <w14:schemeClr w14:val="tx1"/>
            </w14:solidFill>
          </w14:textFill>
        </w:rPr>
        <w:t>①投标文件的递交</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 xml:space="preserve">网上递交,网上递交网址为政采云平台（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"https://www.zcygov.cn/"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0"/>
          <w:sz w:val="24"/>
          <w:szCs w:val="24"/>
          <w:highlight w:val="none"/>
          <w14:textFill>
            <w14:solidFill>
              <w14:schemeClr w14:val="tx1"/>
            </w14:solidFill>
          </w14:textFill>
        </w:rPr>
        <w:t>https://www.zcygov.cn/</w:t>
      </w:r>
      <w:r>
        <w:rPr>
          <w:rFonts w:hint="eastAsia" w:ascii="仿宋" w:hAnsi="仿宋" w:eastAsia="仿宋" w:cs="仿宋"/>
          <w:color w:val="000000" w:themeColor="text1"/>
          <w:kern w:val="0"/>
          <w:sz w:val="24"/>
          <w:szCs w:val="24"/>
          <w:highlight w:val="none"/>
          <w14:textFill>
            <w14:solidFill>
              <w14:schemeClr w14:val="tx1"/>
            </w14:solidFill>
          </w14:textFill>
        </w:rPr>
        <w:fldChar w:fldCharType="end"/>
      </w:r>
      <w:r>
        <w:rPr>
          <w:rFonts w:hint="eastAsia" w:ascii="仿宋" w:hAnsi="仿宋" w:eastAsia="仿宋" w:cs="仿宋"/>
          <w:color w:val="000000" w:themeColor="text1"/>
          <w:kern w:val="0"/>
          <w:sz w:val="24"/>
          <w:szCs w:val="24"/>
          <w:highlight w:val="none"/>
          <w14:textFill>
            <w14:solidFill>
              <w14:schemeClr w14:val="tx1"/>
            </w14:solidFill>
          </w14:textFill>
        </w:rPr>
        <w:t>），各投标人应在开标前应确保成为政采云平台投标人，并完成CA 数字证书申领。因未注册入库、未办理CA数字证书等原因造成无法投标或投标失败等后果由投标人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12528409">
      <w:pPr>
        <w:keepNext w:val="0"/>
        <w:keepLines w:val="0"/>
        <w:pageBreakBefore w:val="0"/>
        <w:kinsoku/>
        <w:wordWrap/>
        <w:overflowPunct/>
        <w:topLinePunct w:val="0"/>
        <w:autoSpaceDN/>
        <w:bidi w:val="0"/>
        <w:adjustRightInd w:val="0"/>
        <w:snapToGrid w:val="0"/>
        <w:spacing w:line="480" w:lineRule="auto"/>
        <w:ind w:leftChars="0" w:firstLine="480" w:firstLineChars="200"/>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注：任何因忽视或误解而导致投标文件未上传或已上传但未按规定的操作流程及时间要求进行解密的，由投标人自行负责。</w:t>
      </w:r>
    </w:p>
    <w:p w14:paraId="30CB9467">
      <w:pPr>
        <w:keepNext w:val="0"/>
        <w:keepLines w:val="0"/>
        <w:pageBreakBefore w:val="0"/>
        <w:kinsoku/>
        <w:wordWrap/>
        <w:overflowPunct/>
        <w:topLinePunct w:val="0"/>
        <w:autoSpaceDN/>
        <w:bidi w:val="0"/>
        <w:adjustRightInd w:val="0"/>
        <w:snapToGrid w:val="0"/>
        <w:spacing w:line="480" w:lineRule="auto"/>
        <w:ind w:leftChars="0" w:firstLine="480" w:firstLineChars="200"/>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② 发布公告的媒介：本次招标公告同时在“政采云”平台（http：//www.zcygov.cn）、云南省政府采购网（http://www.yngp.com/）上发布公告上公开发布，我公司对其他网站转载本公告的内容不负任何责任。</w:t>
      </w:r>
    </w:p>
    <w:p w14:paraId="00897775">
      <w:pPr>
        <w:keepNext w:val="0"/>
        <w:keepLines w:val="0"/>
        <w:pageBreakBefore w:val="0"/>
        <w:kinsoku/>
        <w:wordWrap/>
        <w:overflowPunct/>
        <w:topLinePunct w:val="0"/>
        <w:autoSpaceDN/>
        <w:bidi w:val="0"/>
        <w:adjustRightInd w:val="0"/>
        <w:snapToGrid w:val="0"/>
        <w:spacing w:line="480" w:lineRule="auto"/>
        <w:ind w:leftChars="0" w:firstLine="480" w:firstLineChars="200"/>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kern w:val="0"/>
          <w:sz w:val="24"/>
          <w:szCs w:val="24"/>
          <w:highlight w:val="none"/>
          <w14:textFill>
            <w14:solidFill>
              <w14:schemeClr w14:val="tx1"/>
            </w14:solidFill>
          </w14:textFill>
        </w:rPr>
        <w:t>电子投标文件解密</w:t>
      </w:r>
    </w:p>
    <w:p w14:paraId="2BB5EA54">
      <w:pPr>
        <w:keepNext w:val="0"/>
        <w:keepLines w:val="0"/>
        <w:pageBreakBefore w:val="0"/>
        <w:kinsoku/>
        <w:wordWrap/>
        <w:overflowPunct/>
        <w:topLinePunct w:val="0"/>
        <w:autoSpaceDN/>
        <w:bidi w:val="0"/>
        <w:adjustRightInd w:val="0"/>
        <w:snapToGrid w:val="0"/>
        <w:spacing w:line="480" w:lineRule="auto"/>
        <w:ind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代理机构将依托电子交易平台发起开始解密指令，投标人的法定代表人或其委托代理人须携带加密时所用的CA锁按平台提示和采购文件的规定登录到“政采云”平台电子开标大厅签到并在发起解密指令之时起30分钟内完成对电子投标文件在线解密。投标文件未按时解密的，视为投标文件无效。</w:t>
      </w:r>
    </w:p>
    <w:p w14:paraId="051EFA48">
      <w:pPr>
        <w:keepNext w:val="0"/>
        <w:keepLines w:val="0"/>
        <w:pageBreakBefore w:val="0"/>
        <w:numPr>
          <w:ilvl w:val="0"/>
          <w:numId w:val="3"/>
        </w:numPr>
        <w:kinsoku/>
        <w:wordWrap/>
        <w:overflowPunct/>
        <w:topLinePunct w:val="0"/>
        <w:autoSpaceDN/>
        <w:bidi w:val="0"/>
        <w:adjustRightInd w:val="0"/>
        <w:snapToGrid w:val="0"/>
        <w:spacing w:line="480" w:lineRule="auto"/>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对本次招标提出询问，请按以下方式联系。</w:t>
      </w:r>
    </w:p>
    <w:p w14:paraId="023A4ABD">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1.采购人信息</w:t>
      </w:r>
    </w:p>
    <w:p w14:paraId="3327E28C">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称：曲靖市市场监督管理局</w:t>
      </w:r>
    </w:p>
    <w:p w14:paraId="6BA08BCA">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址：曲靖市经济开发区学府路（原市工商局） </w:t>
      </w:r>
    </w:p>
    <w:p w14:paraId="26D554CA">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方式：顾正福 13987496559</w:t>
      </w:r>
    </w:p>
    <w:p w14:paraId="622610FB">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2.采购代理机构信息</w:t>
      </w:r>
    </w:p>
    <w:p w14:paraId="788299DC">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lang w:eastAsia="zh-CN"/>
          <w14:textFill>
            <w14:solidFill>
              <w14:schemeClr w14:val="tx1"/>
            </w14:solidFill>
          </w14:textFill>
        </w:rPr>
        <w:t>云南广联工程项目管理有限公司</w:t>
      </w:r>
    </w:p>
    <w:p w14:paraId="49667AD3">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lang w:eastAsia="zh-CN"/>
          <w14:textFill>
            <w14:solidFill>
              <w14:schemeClr w14:val="tx1"/>
            </w14:solidFill>
          </w14:textFill>
        </w:rPr>
        <w:t>云南省曲靖市麒麟区文华街道办事处新兴社区珠江源大道延长线"东辰华都"三期综合楼1幢</w:t>
      </w:r>
    </w:p>
    <w:p w14:paraId="7DB64154">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w:t>
      </w:r>
      <w:r>
        <w:rPr>
          <w:rFonts w:hint="eastAsia" w:ascii="仿宋" w:hAnsi="仿宋" w:eastAsia="仿宋" w:cs="仿宋"/>
          <w:color w:val="000000" w:themeColor="text1"/>
          <w:sz w:val="24"/>
          <w:szCs w:val="24"/>
          <w:highlight w:val="none"/>
          <w:lang w:val="en-US" w:eastAsia="zh-CN"/>
          <w14:textFill>
            <w14:solidFill>
              <w14:schemeClr w14:val="tx1"/>
            </w14:solidFill>
          </w14:textFill>
        </w:rPr>
        <w:t>方式</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殷玲芳</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13987476300</w:t>
      </w:r>
      <w:r>
        <w:rPr>
          <w:rFonts w:hint="eastAsia" w:ascii="仿宋" w:hAnsi="仿宋" w:eastAsia="仿宋" w:cs="仿宋"/>
          <w:color w:val="000000" w:themeColor="text1"/>
          <w:sz w:val="24"/>
          <w:szCs w:val="24"/>
          <w:highlight w:val="none"/>
          <w14:textFill>
            <w14:solidFill>
              <w14:schemeClr w14:val="tx1"/>
            </w14:solidFill>
          </w14:textFill>
        </w:rPr>
        <w:t xml:space="preserve">  </w:t>
      </w:r>
      <w:bookmarkStart w:id="5" w:name="_Toc30951"/>
      <w:bookmarkStart w:id="6" w:name="_Toc85096095"/>
      <w:bookmarkStart w:id="7" w:name="_Toc12658"/>
    </w:p>
    <w:p w14:paraId="0F3F89CC">
      <w:pPr>
        <w:keepNext w:val="0"/>
        <w:keepLines w:val="0"/>
        <w:pageBreakBefore w:val="0"/>
        <w:numPr>
          <w:ilvl w:val="0"/>
          <w:numId w:val="0"/>
        </w:numPr>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3.项目联系方式</w:t>
      </w:r>
    </w:p>
    <w:p w14:paraId="570B18FA">
      <w:pPr>
        <w:keepNext w:val="0"/>
        <w:keepLines w:val="0"/>
        <w:pageBreakBefore w:val="0"/>
        <w:numPr>
          <w:ilvl w:val="0"/>
          <w:numId w:val="0"/>
        </w:numPr>
        <w:kinsoku/>
        <w:wordWrap/>
        <w:overflowPunct/>
        <w:topLinePunct w:val="0"/>
        <w:autoSpaceDN/>
        <w:bidi w:val="0"/>
        <w:adjustRightInd w:val="0"/>
        <w:snapToGrid w:val="0"/>
        <w:spacing w:line="480" w:lineRule="auto"/>
        <w:ind w:left="0" w:leftChars="0" w:firstLine="480" w:firstLineChars="200"/>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项目联系人：</w:t>
      </w:r>
      <w:r>
        <w:rPr>
          <w:rFonts w:hint="eastAsia" w:ascii="仿宋" w:hAnsi="仿宋" w:eastAsia="仿宋" w:cs="仿宋"/>
          <w:color w:val="000000" w:themeColor="text1"/>
          <w:sz w:val="24"/>
          <w:szCs w:val="24"/>
          <w:highlight w:val="none"/>
          <w:lang w:eastAsia="zh-CN"/>
          <w14:textFill>
            <w14:solidFill>
              <w14:schemeClr w14:val="tx1"/>
            </w14:solidFill>
          </w14:textFill>
        </w:rPr>
        <w:t>殷玲芳、</w:t>
      </w:r>
      <w:r>
        <w:rPr>
          <w:rFonts w:hint="eastAsia" w:ascii="仿宋" w:hAnsi="仿宋" w:eastAsia="仿宋" w:cs="仿宋"/>
          <w:color w:val="000000" w:themeColor="text1"/>
          <w:sz w:val="24"/>
          <w:szCs w:val="24"/>
          <w:highlight w:val="none"/>
          <w:lang w:val="en-US" w:eastAsia="zh-CN"/>
          <w14:textFill>
            <w14:solidFill>
              <w14:schemeClr w14:val="tx1"/>
            </w14:solidFill>
          </w14:textFill>
        </w:rPr>
        <w:t>朱渭滨</w:t>
      </w:r>
    </w:p>
    <w:p w14:paraId="6898EB99">
      <w:pPr>
        <w:keepNext w:val="0"/>
        <w:keepLines w:val="0"/>
        <w:pageBreakBefore w:val="0"/>
        <w:numPr>
          <w:ilvl w:val="0"/>
          <w:numId w:val="0"/>
        </w:numPr>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lang w:eastAsia="zh-CN"/>
          <w14:textFill>
            <w14:solidFill>
              <w14:schemeClr w14:val="tx1"/>
            </w14:solidFill>
          </w14:textFill>
        </w:rPr>
        <w:t>13987476300</w:t>
      </w:r>
      <w:r>
        <w:rPr>
          <w:rFonts w:hint="eastAsia" w:ascii="仿宋" w:hAnsi="仿宋" w:eastAsia="仿宋" w:cs="仿宋"/>
          <w:color w:val="000000" w:themeColor="text1"/>
          <w:sz w:val="24"/>
          <w:szCs w:val="24"/>
          <w:highlight w:val="none"/>
          <w14:textFill>
            <w14:solidFill>
              <w14:schemeClr w14:val="tx1"/>
            </w14:solidFill>
          </w14:textFill>
        </w:rPr>
        <w:br w:type="page"/>
      </w:r>
    </w:p>
    <w:p w14:paraId="10B3C88C">
      <w:pPr>
        <w:pStyle w:val="2"/>
        <w:keepLines w:val="0"/>
        <w:numPr>
          <w:ilvl w:val="0"/>
          <w:numId w:val="0"/>
        </w:numPr>
        <w:ind w:firstLine="723" w:firstLineChars="200"/>
        <w:rPr>
          <w:rFonts w:hint="eastAsia" w:ascii="仿宋" w:hAnsi="仿宋" w:eastAsia="仿宋" w:cs="仿宋"/>
          <w:color w:val="000000" w:themeColor="text1"/>
          <w:szCs w:val="36"/>
          <w:highlight w:val="none"/>
          <w14:textFill>
            <w14:solidFill>
              <w14:schemeClr w14:val="tx1"/>
            </w14:solidFill>
          </w14:textFill>
        </w:rPr>
      </w:pPr>
      <w:bookmarkStart w:id="8" w:name="_Toc26589"/>
      <w:r>
        <w:rPr>
          <w:rFonts w:hint="eastAsia" w:ascii="仿宋" w:hAnsi="仿宋" w:eastAsia="仿宋" w:cs="仿宋"/>
          <w:color w:val="000000" w:themeColor="text1"/>
          <w:szCs w:val="36"/>
          <w:highlight w:val="none"/>
          <w14:textFill>
            <w14:solidFill>
              <w14:schemeClr w14:val="tx1"/>
            </w14:solidFill>
          </w14:textFill>
        </w:rPr>
        <w:t>第二章 投标人须知</w:t>
      </w:r>
      <w:bookmarkEnd w:id="5"/>
      <w:bookmarkEnd w:id="6"/>
      <w:bookmarkEnd w:id="7"/>
      <w:bookmarkEnd w:id="8"/>
    </w:p>
    <w:p w14:paraId="14C509AB">
      <w:pPr>
        <w:pStyle w:val="3"/>
        <w:numPr>
          <w:ilvl w:val="0"/>
          <w:numId w:val="0"/>
        </w:numPr>
        <w:tabs>
          <w:tab w:val="left" w:pos="360"/>
          <w:tab w:val="clear" w:pos="3999"/>
        </w:tabs>
        <w:ind w:firstLine="562" w:firstLineChars="200"/>
        <w:rPr>
          <w:rFonts w:hint="eastAsia" w:ascii="仿宋" w:hAnsi="仿宋" w:eastAsia="仿宋" w:cs="仿宋"/>
          <w:b w:val="0"/>
          <w:color w:val="000000" w:themeColor="text1"/>
          <w:sz w:val="32"/>
          <w:szCs w:val="32"/>
          <w:highlight w:val="none"/>
          <w14:textFill>
            <w14:solidFill>
              <w14:schemeClr w14:val="tx1"/>
            </w14:solidFill>
          </w14:textFill>
        </w:rPr>
      </w:pPr>
      <w:bookmarkStart w:id="9" w:name="_Toc85096096"/>
      <w:bookmarkStart w:id="10" w:name="_Toc31406"/>
      <w:r>
        <w:rPr>
          <w:rFonts w:hint="eastAsia" w:ascii="仿宋" w:hAnsi="仿宋" w:eastAsia="仿宋" w:cs="仿宋"/>
          <w:color w:val="000000" w:themeColor="text1"/>
          <w:sz w:val="28"/>
          <w:szCs w:val="28"/>
          <w:highlight w:val="none"/>
          <w14:textFill>
            <w14:solidFill>
              <w14:schemeClr w14:val="tx1"/>
            </w14:solidFill>
          </w14:textFill>
        </w:rPr>
        <w:t>一、投标人须知前附表</w:t>
      </w:r>
      <w:bookmarkEnd w:id="9"/>
      <w:bookmarkEnd w:id="10"/>
    </w:p>
    <w:tbl>
      <w:tblPr>
        <w:tblStyle w:val="2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62"/>
        <w:gridCol w:w="6867"/>
      </w:tblGrid>
      <w:tr w14:paraId="34A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758" w:type="dxa"/>
            <w:noWrap w:val="0"/>
            <w:vAlign w:val="center"/>
          </w:tcPr>
          <w:p w14:paraId="07EAE27B">
            <w:pPr>
              <w:spacing w:line="46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bookmarkStart w:id="11" w:name="_Toc438160888"/>
            <w:bookmarkStart w:id="12" w:name="_Toc232509426"/>
            <w:bookmarkStart w:id="13" w:name="_Toc16016"/>
            <w:r>
              <w:rPr>
                <w:rFonts w:hint="eastAsia" w:ascii="仿宋" w:hAnsi="仿宋" w:eastAsia="仿宋" w:cs="仿宋"/>
                <w:b/>
                <w:bCs/>
                <w:color w:val="000000" w:themeColor="text1"/>
                <w:sz w:val="24"/>
                <w:szCs w:val="24"/>
                <w:highlight w:val="none"/>
                <w14:textFill>
                  <w14:solidFill>
                    <w14:schemeClr w14:val="tx1"/>
                  </w14:solidFill>
                </w14:textFill>
              </w:rPr>
              <w:t>条款号</w:t>
            </w:r>
          </w:p>
        </w:tc>
        <w:tc>
          <w:tcPr>
            <w:tcW w:w="1962" w:type="dxa"/>
            <w:noWrap w:val="0"/>
            <w:vAlign w:val="center"/>
          </w:tcPr>
          <w:p w14:paraId="64D94C9A">
            <w:pPr>
              <w:spacing w:line="46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条 款 名 称</w:t>
            </w:r>
          </w:p>
        </w:tc>
        <w:tc>
          <w:tcPr>
            <w:tcW w:w="6867" w:type="dxa"/>
            <w:noWrap w:val="0"/>
            <w:vAlign w:val="center"/>
          </w:tcPr>
          <w:p w14:paraId="3527B5EA">
            <w:pPr>
              <w:spacing w:line="46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编 列 内 容</w:t>
            </w:r>
          </w:p>
        </w:tc>
      </w:tr>
      <w:tr w14:paraId="500C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vMerge w:val="restart"/>
            <w:noWrap w:val="0"/>
            <w:vAlign w:val="center"/>
          </w:tcPr>
          <w:p w14:paraId="63B1E646">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1962" w:type="dxa"/>
            <w:noWrap w:val="0"/>
            <w:vAlign w:val="center"/>
          </w:tcPr>
          <w:p w14:paraId="107C1258">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867" w:type="dxa"/>
            <w:noWrap w:val="0"/>
            <w:vAlign w:val="center"/>
          </w:tcPr>
          <w:p w14:paraId="07BC8051">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曲靖市市场监督管理局</w:t>
            </w:r>
          </w:p>
        </w:tc>
      </w:tr>
      <w:tr w14:paraId="1F8F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vMerge w:val="continue"/>
            <w:noWrap w:val="0"/>
            <w:vAlign w:val="center"/>
          </w:tcPr>
          <w:p w14:paraId="78397C7E">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62" w:type="dxa"/>
            <w:noWrap w:val="0"/>
            <w:vAlign w:val="center"/>
          </w:tcPr>
          <w:p w14:paraId="34772FDC">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6867" w:type="dxa"/>
            <w:noWrap w:val="0"/>
            <w:vAlign w:val="center"/>
          </w:tcPr>
          <w:p w14:paraId="1CDDA813">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云南广联工程项目管理有限公司</w:t>
            </w:r>
          </w:p>
        </w:tc>
      </w:tr>
      <w:tr w14:paraId="689A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vMerge w:val="continue"/>
            <w:noWrap w:val="0"/>
            <w:vAlign w:val="center"/>
          </w:tcPr>
          <w:p w14:paraId="798F587C">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62" w:type="dxa"/>
            <w:noWrap w:val="0"/>
            <w:vAlign w:val="center"/>
          </w:tcPr>
          <w:p w14:paraId="5AE7C5D2">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867" w:type="dxa"/>
            <w:noWrap w:val="0"/>
            <w:vAlign w:val="center"/>
          </w:tcPr>
          <w:p w14:paraId="319A1F43">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2026年市级食品安全抽检任务</w:t>
            </w:r>
          </w:p>
        </w:tc>
      </w:tr>
      <w:tr w14:paraId="0659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vMerge w:val="continue"/>
            <w:noWrap w:val="0"/>
            <w:vAlign w:val="center"/>
          </w:tcPr>
          <w:p w14:paraId="5A22A304">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62" w:type="dxa"/>
            <w:noWrap w:val="0"/>
            <w:vAlign w:val="center"/>
          </w:tcPr>
          <w:p w14:paraId="3226010F">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tc>
        <w:tc>
          <w:tcPr>
            <w:tcW w:w="6867" w:type="dxa"/>
            <w:noWrap w:val="0"/>
            <w:vAlign w:val="center"/>
          </w:tcPr>
          <w:p w14:paraId="4E645559">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QJZC2026-G3-00586-yngl-0006</w:t>
            </w:r>
          </w:p>
        </w:tc>
      </w:tr>
      <w:tr w14:paraId="4A4B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53EE8C10">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w:t>
            </w:r>
          </w:p>
        </w:tc>
        <w:tc>
          <w:tcPr>
            <w:tcW w:w="1962" w:type="dxa"/>
            <w:noWrap w:val="0"/>
            <w:vAlign w:val="center"/>
          </w:tcPr>
          <w:p w14:paraId="62A119A0">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6867" w:type="dxa"/>
            <w:noWrap w:val="0"/>
            <w:vAlign w:val="center"/>
          </w:tcPr>
          <w:p w14:paraId="1E6D9FDC">
            <w:pPr>
              <w:spacing w:line="46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财政资金</w:t>
            </w:r>
          </w:p>
        </w:tc>
      </w:tr>
      <w:tr w14:paraId="10C6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70623C05">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w:t>
            </w:r>
          </w:p>
        </w:tc>
        <w:tc>
          <w:tcPr>
            <w:tcW w:w="1962" w:type="dxa"/>
            <w:noWrap w:val="0"/>
            <w:vAlign w:val="center"/>
          </w:tcPr>
          <w:p w14:paraId="3FC5C1BD">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6867" w:type="dxa"/>
            <w:noWrap w:val="0"/>
            <w:vAlign w:val="center"/>
          </w:tcPr>
          <w:p w14:paraId="77B05478">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详见第六章《采购需求》</w:t>
            </w:r>
          </w:p>
        </w:tc>
      </w:tr>
      <w:tr w14:paraId="77E8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0727A805">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p>
        </w:tc>
        <w:tc>
          <w:tcPr>
            <w:tcW w:w="1962" w:type="dxa"/>
            <w:noWrap w:val="0"/>
            <w:vAlign w:val="center"/>
          </w:tcPr>
          <w:p w14:paraId="4B87BF8D">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投标人资格要求</w:t>
            </w:r>
          </w:p>
        </w:tc>
        <w:tc>
          <w:tcPr>
            <w:tcW w:w="6867" w:type="dxa"/>
            <w:noWrap w:val="0"/>
            <w:vAlign w:val="center"/>
          </w:tcPr>
          <w:p w14:paraId="657FC78F">
            <w:pPr>
              <w:spacing w:line="460" w:lineRule="exact"/>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详见第一章《招标公告》</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二、投标人资格要求</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3140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58" w:type="dxa"/>
            <w:noWrap w:val="0"/>
            <w:vAlign w:val="center"/>
          </w:tcPr>
          <w:p w14:paraId="22D04EFA">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w:t>
            </w:r>
          </w:p>
        </w:tc>
        <w:tc>
          <w:tcPr>
            <w:tcW w:w="1962" w:type="dxa"/>
            <w:noWrap w:val="0"/>
            <w:vAlign w:val="center"/>
          </w:tcPr>
          <w:p w14:paraId="17087A96">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投标费用</w:t>
            </w:r>
          </w:p>
        </w:tc>
        <w:tc>
          <w:tcPr>
            <w:tcW w:w="6867" w:type="dxa"/>
            <w:noWrap w:val="0"/>
            <w:vAlign w:val="center"/>
          </w:tcPr>
          <w:p w14:paraId="2136AF34">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投标人应承担所有与准备和参加投标有关的费用，不论投标的结果如何，采购人均无义务和责任承担</w:t>
            </w:r>
          </w:p>
        </w:tc>
      </w:tr>
      <w:tr w14:paraId="3733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756FCCD7">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w:t>
            </w:r>
          </w:p>
        </w:tc>
        <w:tc>
          <w:tcPr>
            <w:tcW w:w="1962" w:type="dxa"/>
            <w:noWrap w:val="0"/>
            <w:vAlign w:val="center"/>
          </w:tcPr>
          <w:p w14:paraId="694BC0A4">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采购文件澄清和修改截止时间</w:t>
            </w:r>
          </w:p>
        </w:tc>
        <w:tc>
          <w:tcPr>
            <w:tcW w:w="6867" w:type="dxa"/>
            <w:noWrap w:val="0"/>
            <w:vAlign w:val="center"/>
          </w:tcPr>
          <w:p w14:paraId="202E6964">
            <w:pPr>
              <w:keepNext w:val="0"/>
              <w:keepLines w:val="0"/>
              <w:pageBreakBefore w:val="0"/>
              <w:widowControl w:val="0"/>
              <w:kinsoku/>
              <w:wordWrap w:val="0"/>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zh-TW" w:eastAsia="zh-TW"/>
                <w14:textFill>
                  <w14:solidFill>
                    <w14:schemeClr w14:val="tx1"/>
                  </w14:solidFill>
                </w14:textFill>
              </w:rPr>
              <w:t>澄清或者修改的内容可能影响投标文件编制的，采购人或者采购代理机构应当在投标截止时间至少15日前，</w:t>
            </w:r>
            <w:r>
              <w:rPr>
                <w:rFonts w:hint="eastAsia" w:ascii="仿宋" w:hAnsi="仿宋" w:eastAsia="仿宋" w:cs="仿宋"/>
                <w:color w:val="000000" w:themeColor="text1"/>
                <w:spacing w:val="-6"/>
                <w:sz w:val="24"/>
                <w:szCs w:val="24"/>
                <w:highlight w:val="none"/>
                <w14:textFill>
                  <w14:solidFill>
                    <w14:schemeClr w14:val="tx1"/>
                  </w14:solidFill>
                </w14:textFill>
              </w:rPr>
              <w:t>在“政采云”平台（http</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//www.zcygov.cn）、云南省政府采购网（http://www.yngp.com/）上</w:t>
            </w:r>
            <w:r>
              <w:rPr>
                <w:rFonts w:hint="eastAsia" w:ascii="仿宋" w:hAnsi="仿宋" w:eastAsia="仿宋" w:cs="仿宋"/>
                <w:color w:val="000000" w:themeColor="text1"/>
                <w:spacing w:val="-6"/>
                <w:sz w:val="24"/>
                <w:szCs w:val="24"/>
                <w:highlight w:val="none"/>
                <w:lang w:val="zh-TW" w:eastAsia="zh-TW"/>
                <w14:textFill>
                  <w14:solidFill>
                    <w14:schemeClr w14:val="tx1"/>
                  </w14:solidFill>
                </w14:textFill>
              </w:rPr>
              <w:t>通知所有获取</w:t>
            </w:r>
            <w:r>
              <w:rPr>
                <w:rFonts w:hint="eastAsia" w:ascii="仿宋" w:hAnsi="仿宋" w:eastAsia="仿宋" w:cs="仿宋"/>
                <w:color w:val="000000" w:themeColor="text1"/>
                <w:spacing w:val="-6"/>
                <w:sz w:val="24"/>
                <w:szCs w:val="24"/>
                <w:highlight w:val="none"/>
                <w:lang w:val="zh-TW"/>
                <w14:textFill>
                  <w14:solidFill>
                    <w14:schemeClr w14:val="tx1"/>
                  </w14:solidFill>
                </w14:textFill>
              </w:rPr>
              <w:t>采购文件</w:t>
            </w:r>
            <w:r>
              <w:rPr>
                <w:rFonts w:hint="eastAsia" w:ascii="仿宋" w:hAnsi="仿宋" w:eastAsia="仿宋" w:cs="仿宋"/>
                <w:color w:val="000000" w:themeColor="text1"/>
                <w:spacing w:val="-6"/>
                <w:sz w:val="24"/>
                <w:szCs w:val="24"/>
                <w:highlight w:val="none"/>
                <w:lang w:val="zh-TW" w:eastAsia="zh-TW"/>
                <w14:textFill>
                  <w14:solidFill>
                    <w14:schemeClr w14:val="tx1"/>
                  </w14:solidFill>
                </w14:textFill>
              </w:rPr>
              <w:t>的潜在投标人；不足15日的，采购人或者采购代理机构应当顺延提交投标文件的截止时间。</w:t>
            </w:r>
          </w:p>
        </w:tc>
      </w:tr>
      <w:tr w14:paraId="1110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7EE358BE">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w:t>
            </w:r>
          </w:p>
        </w:tc>
        <w:tc>
          <w:tcPr>
            <w:tcW w:w="1962" w:type="dxa"/>
            <w:noWrap w:val="0"/>
            <w:vAlign w:val="center"/>
          </w:tcPr>
          <w:p w14:paraId="721C1E4F">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投标文件的构成</w:t>
            </w:r>
          </w:p>
        </w:tc>
        <w:tc>
          <w:tcPr>
            <w:tcW w:w="6867" w:type="dxa"/>
            <w:noWrap w:val="0"/>
            <w:vAlign w:val="center"/>
          </w:tcPr>
          <w:p w14:paraId="2BFA4483">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相关文件</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或证明</w:t>
            </w:r>
            <w:r>
              <w:rPr>
                <w:rFonts w:hint="eastAsia" w:ascii="仿宋" w:hAnsi="仿宋" w:eastAsia="仿宋" w:cs="仿宋"/>
                <w:color w:val="000000" w:themeColor="text1"/>
                <w:kern w:val="0"/>
                <w:sz w:val="24"/>
                <w:szCs w:val="24"/>
                <w:highlight w:val="none"/>
                <w14:textFill>
                  <w14:solidFill>
                    <w14:schemeClr w14:val="tx1"/>
                  </w14:solidFill>
                </w14:textFill>
              </w:rPr>
              <w:t>资料</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均指原件</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彩色</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扫描件</w:t>
            </w:r>
          </w:p>
        </w:tc>
      </w:tr>
      <w:tr w14:paraId="07B9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5EF2CADD">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10.2</w:t>
            </w:r>
          </w:p>
        </w:tc>
        <w:tc>
          <w:tcPr>
            <w:tcW w:w="1962" w:type="dxa"/>
            <w:noWrap w:val="0"/>
            <w:vAlign w:val="center"/>
          </w:tcPr>
          <w:p w14:paraId="13701931">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电子投标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要求</w:t>
            </w:r>
          </w:p>
        </w:tc>
        <w:tc>
          <w:tcPr>
            <w:tcW w:w="6867" w:type="dxa"/>
            <w:noWrap w:val="0"/>
            <w:vAlign w:val="center"/>
          </w:tcPr>
          <w:p w14:paraId="43984CEE">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按照投标文件格式，采用单位和个人数字证书电子签章或电子签名。</w:t>
            </w:r>
          </w:p>
        </w:tc>
      </w:tr>
      <w:tr w14:paraId="48E1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08A4AC92">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15.2</w:t>
            </w:r>
          </w:p>
        </w:tc>
        <w:tc>
          <w:tcPr>
            <w:tcW w:w="1962" w:type="dxa"/>
            <w:noWrap w:val="0"/>
            <w:vAlign w:val="center"/>
          </w:tcPr>
          <w:p w14:paraId="62BF62B3">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投标文件有效期</w:t>
            </w:r>
          </w:p>
        </w:tc>
        <w:tc>
          <w:tcPr>
            <w:tcW w:w="6867" w:type="dxa"/>
            <w:noWrap w:val="0"/>
            <w:vAlign w:val="center"/>
          </w:tcPr>
          <w:p w14:paraId="2A193705">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从提交投标文件截止之日起90日历天</w:t>
            </w:r>
          </w:p>
        </w:tc>
      </w:tr>
      <w:tr w14:paraId="72FB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noWrap w:val="0"/>
            <w:vAlign w:val="center"/>
          </w:tcPr>
          <w:p w14:paraId="02CDA26D">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w:t>
            </w:r>
          </w:p>
        </w:tc>
        <w:tc>
          <w:tcPr>
            <w:tcW w:w="1962" w:type="dxa"/>
            <w:noWrap w:val="0"/>
            <w:vAlign w:val="center"/>
          </w:tcPr>
          <w:p w14:paraId="48ECA613">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p>
        </w:tc>
        <w:tc>
          <w:tcPr>
            <w:tcW w:w="6867" w:type="dxa"/>
            <w:noWrap w:val="0"/>
            <w:vAlign w:val="center"/>
          </w:tcPr>
          <w:p w14:paraId="5293A0DB">
            <w:pPr>
              <w:spacing w:line="360" w:lineRule="auto"/>
              <w:ind w:left="0" w:left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是否需要缴纳投标保证金：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否</w:t>
            </w:r>
          </w:p>
        </w:tc>
      </w:tr>
      <w:tr w14:paraId="0D89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8" w:type="dxa"/>
            <w:noWrap w:val="0"/>
            <w:vAlign w:val="center"/>
          </w:tcPr>
          <w:p w14:paraId="7128FBFB">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w:t>
            </w:r>
          </w:p>
        </w:tc>
        <w:tc>
          <w:tcPr>
            <w:tcW w:w="1962" w:type="dxa"/>
            <w:noWrap w:val="0"/>
            <w:vAlign w:val="center"/>
          </w:tcPr>
          <w:p w14:paraId="67F6BC74">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递交投标文件的截止时间和地点</w:t>
            </w:r>
          </w:p>
        </w:tc>
        <w:tc>
          <w:tcPr>
            <w:tcW w:w="6867" w:type="dxa"/>
            <w:noWrap w:val="0"/>
            <w:vAlign w:val="center"/>
          </w:tcPr>
          <w:p w14:paraId="300927B7">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截止时间：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2026年5月20日09点30分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（北京时间）</w:t>
            </w:r>
          </w:p>
          <w:p w14:paraId="2D0F0A06">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地点：网上递交，投标人需登录“政采云”平台（http：//www.zcygov.cn）在投标截止时间前完成所有投标文件的上传，网上确认电子签名，投标截止时间前未完成投标文件传输的，视为撤回投标文件。</w:t>
            </w:r>
          </w:p>
          <w:p w14:paraId="5FD2F907">
            <w:pPr>
              <w:spacing w:line="46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注：投标人应当在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政采云”平台将予以拒收。</w:t>
            </w:r>
          </w:p>
        </w:tc>
      </w:tr>
      <w:tr w14:paraId="11B7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8" w:type="dxa"/>
            <w:noWrap w:val="0"/>
            <w:vAlign w:val="center"/>
          </w:tcPr>
          <w:p w14:paraId="1D4BE003">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p>
        </w:tc>
        <w:tc>
          <w:tcPr>
            <w:tcW w:w="1962" w:type="dxa"/>
            <w:noWrap w:val="0"/>
            <w:vAlign w:val="center"/>
          </w:tcPr>
          <w:p w14:paraId="406C4D98">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开标时间和      地点</w:t>
            </w:r>
          </w:p>
        </w:tc>
        <w:tc>
          <w:tcPr>
            <w:tcW w:w="6867" w:type="dxa"/>
            <w:noWrap w:val="0"/>
            <w:vAlign w:val="center"/>
          </w:tcPr>
          <w:p w14:paraId="44218D09">
            <w:pPr>
              <w:widowControl/>
              <w:autoSpaceDE w:val="0"/>
              <w:spacing w:line="486" w:lineRule="exact"/>
              <w:jc w:val="left"/>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w:t>
            </w: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2026年5月20日09点30分</w:t>
            </w:r>
            <w:r>
              <w:rPr>
                <w:rFonts w:hint="eastAsia" w:ascii="仿宋" w:hAnsi="仿宋" w:eastAsia="仿宋" w:cs="仿宋"/>
                <w:color w:val="000000" w:themeColor="text1"/>
                <w:kern w:val="0"/>
                <w:sz w:val="24"/>
                <w:szCs w:val="24"/>
                <w:highlight w:val="none"/>
                <w:u w:val="none"/>
                <w14:textFill>
                  <w14:solidFill>
                    <w14:schemeClr w14:val="tx1"/>
                  </w14:solidFill>
                </w14:textFill>
              </w:rPr>
              <w:t xml:space="preserve"> （北京时间）</w:t>
            </w:r>
          </w:p>
          <w:p w14:paraId="41E0CBC4">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地点：</w:t>
            </w:r>
            <w:r>
              <w:rPr>
                <w:rFonts w:hint="eastAsia" w:ascii="仿宋" w:hAnsi="仿宋" w:eastAsia="仿宋" w:cs="仿宋"/>
                <w:color w:val="000000" w:themeColor="text1"/>
                <w:sz w:val="24"/>
                <w:szCs w:val="24"/>
                <w:highlight w:val="none"/>
                <w:u w:val="none"/>
                <w:lang w:eastAsia="zh-CN"/>
                <w14:textFill>
                  <w14:solidFill>
                    <w14:schemeClr w14:val="tx1"/>
                  </w14:solidFill>
                </w14:textFill>
              </w:rPr>
              <w:t>云南广联工程项目管理有限公司会议室（云南省曲靖市麒麟区文华街道办事处新兴社区珠江源大道延长线"东辰华都"三期综合楼1幢）</w:t>
            </w:r>
          </w:p>
        </w:tc>
      </w:tr>
      <w:tr w14:paraId="36EE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8" w:type="dxa"/>
            <w:noWrap w:val="0"/>
            <w:vAlign w:val="center"/>
          </w:tcPr>
          <w:p w14:paraId="103D4692">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20.3</w:t>
            </w:r>
          </w:p>
        </w:tc>
        <w:tc>
          <w:tcPr>
            <w:tcW w:w="1962" w:type="dxa"/>
            <w:noWrap w:val="0"/>
            <w:vAlign w:val="center"/>
          </w:tcPr>
          <w:p w14:paraId="5D482366">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异议</w:t>
            </w:r>
          </w:p>
        </w:tc>
        <w:tc>
          <w:tcPr>
            <w:tcW w:w="6867" w:type="dxa"/>
            <w:noWrap w:val="0"/>
            <w:vAlign w:val="center"/>
          </w:tcPr>
          <w:p w14:paraId="0B585BC1">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开标过程中如有问题，可以在</w:t>
            </w:r>
            <w:r>
              <w:rPr>
                <w:rFonts w:hint="eastAsia" w:ascii="仿宋" w:hAnsi="仿宋" w:eastAsia="仿宋" w:cs="仿宋"/>
                <w:color w:val="000000" w:themeColor="text1"/>
                <w:sz w:val="24"/>
                <w:szCs w:val="24"/>
                <w:highlight w:val="none"/>
                <w:lang w:val="en-US" w:eastAsia="zh-CN"/>
                <w14:textFill>
                  <w14:solidFill>
                    <w14:schemeClr w14:val="tx1"/>
                  </w14:solidFill>
                </w14:textFill>
              </w:rPr>
              <w:t>系统限定时间之内</w:t>
            </w:r>
            <w:r>
              <w:rPr>
                <w:rFonts w:hint="eastAsia" w:ascii="仿宋" w:hAnsi="仿宋" w:eastAsia="仿宋" w:cs="仿宋"/>
                <w:color w:val="000000" w:themeColor="text1"/>
                <w:sz w:val="24"/>
                <w:szCs w:val="24"/>
                <w:highlight w:val="none"/>
                <w14:textFill>
                  <w14:solidFill>
                    <w14:schemeClr w14:val="tx1"/>
                  </w14:solidFill>
                </w14:textFill>
              </w:rPr>
              <w:t>提出异议，由代理机构给予对应的回复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在规定的统一提出异议时间内不提出异议的，则视为对开标结果无异议</w:t>
            </w:r>
          </w:p>
        </w:tc>
      </w:tr>
      <w:tr w14:paraId="170F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8" w:type="dxa"/>
            <w:noWrap w:val="0"/>
            <w:vAlign w:val="center"/>
          </w:tcPr>
          <w:p w14:paraId="47ADDBF7">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21.1</w:t>
            </w:r>
          </w:p>
        </w:tc>
        <w:tc>
          <w:tcPr>
            <w:tcW w:w="1962" w:type="dxa"/>
            <w:noWrap w:val="0"/>
            <w:vAlign w:val="center"/>
          </w:tcPr>
          <w:p w14:paraId="3F467F9C">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评标委员会</w:t>
            </w:r>
          </w:p>
        </w:tc>
        <w:tc>
          <w:tcPr>
            <w:tcW w:w="6867" w:type="dxa"/>
            <w:noWrap w:val="0"/>
            <w:vAlign w:val="center"/>
          </w:tcPr>
          <w:p w14:paraId="5D1CBED5">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评标委员会由采购人代表和评审专家组成，成员人数应当为5人以上单数，其中评审专家不得少于成员总数的三分之二</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评标专家的抽取将按照《</w:t>
            </w:r>
            <w:r>
              <w:rPr>
                <w:rFonts w:hint="eastAsia" w:ascii="仿宋" w:hAnsi="仿宋" w:eastAsia="仿宋" w:cs="仿宋"/>
                <w:color w:val="000000" w:themeColor="text1"/>
                <w:sz w:val="24"/>
                <w:szCs w:val="24"/>
                <w:highlight w:val="none"/>
                <w:lang w:val="en-US" w:eastAsia="zh-CN"/>
                <w14:textFill>
                  <w14:solidFill>
                    <w14:schemeClr w14:val="tx1"/>
                  </w14:solidFill>
                </w14:textFill>
              </w:rPr>
              <w:t>云财规</w:t>
            </w: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号》</w:t>
            </w:r>
            <w:r>
              <w:rPr>
                <w:rFonts w:hint="eastAsia" w:ascii="仿宋" w:hAnsi="仿宋" w:eastAsia="仿宋" w:cs="仿宋"/>
                <w:color w:val="000000" w:themeColor="text1"/>
                <w:sz w:val="24"/>
                <w:szCs w:val="24"/>
                <w:highlight w:val="none"/>
                <w:lang w:eastAsia="zh-CN"/>
                <w14:textFill>
                  <w14:solidFill>
                    <w14:schemeClr w14:val="tx1"/>
                  </w14:solidFill>
                </w14:textFill>
              </w:rPr>
              <w:t>云南省财政厅关于印发《云南省政府采购评审专家管理办法》的通知</w:t>
            </w:r>
            <w:r>
              <w:rPr>
                <w:rFonts w:hint="eastAsia" w:ascii="仿宋" w:hAnsi="仿宋" w:eastAsia="仿宋" w:cs="仿宋"/>
                <w:color w:val="000000" w:themeColor="text1"/>
                <w:sz w:val="24"/>
                <w:szCs w:val="24"/>
                <w:highlight w:val="none"/>
                <w14:textFill>
                  <w14:solidFill>
                    <w14:schemeClr w14:val="tx1"/>
                  </w14:solidFill>
                </w14:textFill>
              </w:rPr>
              <w:t>执行</w:t>
            </w:r>
          </w:p>
        </w:tc>
      </w:tr>
      <w:tr w14:paraId="0AA3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8" w:type="dxa"/>
            <w:noWrap w:val="0"/>
            <w:vAlign w:val="center"/>
          </w:tcPr>
          <w:p w14:paraId="64A6D49A">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25.1</w:t>
            </w:r>
          </w:p>
        </w:tc>
        <w:tc>
          <w:tcPr>
            <w:tcW w:w="1962" w:type="dxa"/>
            <w:noWrap w:val="0"/>
            <w:vAlign w:val="center"/>
          </w:tcPr>
          <w:p w14:paraId="4659B3B1">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评标办法</w:t>
            </w:r>
          </w:p>
        </w:tc>
        <w:tc>
          <w:tcPr>
            <w:tcW w:w="6867" w:type="dxa"/>
            <w:noWrap w:val="0"/>
            <w:vAlign w:val="center"/>
          </w:tcPr>
          <w:p w14:paraId="428165AD">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综合评分法</w:t>
            </w:r>
          </w:p>
        </w:tc>
      </w:tr>
      <w:tr w14:paraId="03EB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8" w:type="dxa"/>
            <w:noWrap w:val="0"/>
            <w:vAlign w:val="center"/>
          </w:tcPr>
          <w:p w14:paraId="3292D3A6">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9.1</w:t>
            </w:r>
          </w:p>
        </w:tc>
        <w:tc>
          <w:tcPr>
            <w:tcW w:w="1962" w:type="dxa"/>
            <w:noWrap w:val="0"/>
            <w:vAlign w:val="center"/>
          </w:tcPr>
          <w:p w14:paraId="6844F721">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采购代理服务费</w:t>
            </w:r>
          </w:p>
        </w:tc>
        <w:tc>
          <w:tcPr>
            <w:tcW w:w="6867" w:type="dxa"/>
            <w:noWrap w:val="0"/>
            <w:vAlign w:val="center"/>
          </w:tcPr>
          <w:p w14:paraId="579BD0B5">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按《招标代理服务收费管理暂行办法》计价格〔2002〕1980号文和发改价格[2011]534号计算后收取，</w:t>
            </w:r>
            <w:r>
              <w:rPr>
                <w:rFonts w:hint="eastAsia" w:ascii="仿宋" w:hAnsi="仿宋" w:eastAsia="仿宋" w:cs="仿宋"/>
                <w:color w:val="000000" w:themeColor="text1"/>
                <w:sz w:val="24"/>
                <w:szCs w:val="24"/>
                <w:highlight w:val="none"/>
                <w14:textFill>
                  <w14:solidFill>
                    <w14:schemeClr w14:val="tx1"/>
                  </w14:solidFill>
                </w14:textFill>
              </w:rPr>
              <w:t>由中标人领取中标通知书前一次性支付给代理机构</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4854E9D">
            <w:pPr>
              <w:spacing w:line="46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开户名称：</w:t>
            </w:r>
            <w:r>
              <w:rPr>
                <w:rFonts w:hint="eastAsia" w:ascii="仿宋" w:hAnsi="仿宋" w:eastAsia="仿宋" w:cs="仿宋"/>
                <w:color w:val="000000" w:themeColor="text1"/>
                <w:sz w:val="24"/>
                <w:szCs w:val="24"/>
                <w:highlight w:val="none"/>
                <w:lang w:eastAsia="zh-CN"/>
                <w14:textFill>
                  <w14:solidFill>
                    <w14:schemeClr w14:val="tx1"/>
                  </w14:solidFill>
                </w14:textFill>
              </w:rPr>
              <w:t>云南广联工程项目管理有限公司</w:t>
            </w:r>
          </w:p>
          <w:p w14:paraId="2B7852A1">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开户银行：中国建设银行</w:t>
            </w:r>
            <w:r>
              <w:rPr>
                <w:rFonts w:hint="eastAsia" w:ascii="仿宋" w:hAnsi="仿宋" w:eastAsia="仿宋" w:cs="仿宋"/>
                <w:color w:val="000000" w:themeColor="text1"/>
                <w:sz w:val="24"/>
                <w:szCs w:val="24"/>
                <w:highlight w:val="none"/>
                <w:lang w:eastAsia="zh-CN"/>
                <w14:textFill>
                  <w14:solidFill>
                    <w14:schemeClr w14:val="tx1"/>
                  </w14:solidFill>
                </w14:textFill>
              </w:rPr>
              <w:t>股份有限公司</w:t>
            </w:r>
            <w:r>
              <w:rPr>
                <w:rFonts w:hint="eastAsia" w:ascii="仿宋" w:hAnsi="仿宋" w:eastAsia="仿宋" w:cs="仿宋"/>
                <w:color w:val="000000" w:themeColor="text1"/>
                <w:sz w:val="24"/>
                <w:szCs w:val="24"/>
                <w:highlight w:val="none"/>
                <w14:textFill>
                  <w14:solidFill>
                    <w14:schemeClr w14:val="tx1"/>
                  </w14:solidFill>
                </w14:textFill>
              </w:rPr>
              <w:t>曲靖</w:t>
            </w:r>
            <w:r>
              <w:rPr>
                <w:rFonts w:hint="eastAsia" w:ascii="仿宋" w:hAnsi="仿宋" w:eastAsia="仿宋" w:cs="仿宋"/>
                <w:color w:val="000000" w:themeColor="text1"/>
                <w:sz w:val="24"/>
                <w:szCs w:val="24"/>
                <w:highlight w:val="none"/>
                <w:lang w:eastAsia="zh-CN"/>
                <w14:textFill>
                  <w14:solidFill>
                    <w14:schemeClr w14:val="tx1"/>
                  </w14:solidFill>
                </w14:textFill>
              </w:rPr>
              <w:t>麒麟</w:t>
            </w:r>
            <w:r>
              <w:rPr>
                <w:rFonts w:hint="eastAsia" w:ascii="仿宋" w:hAnsi="仿宋" w:eastAsia="仿宋" w:cs="仿宋"/>
                <w:color w:val="000000" w:themeColor="text1"/>
                <w:sz w:val="24"/>
                <w:szCs w:val="24"/>
                <w:highlight w:val="none"/>
                <w14:textFill>
                  <w14:solidFill>
                    <w14:schemeClr w14:val="tx1"/>
                  </w14:solidFill>
                </w14:textFill>
              </w:rPr>
              <w:t>支行</w:t>
            </w:r>
          </w:p>
          <w:p w14:paraId="4421EDE2">
            <w:pPr>
              <w:spacing w:line="46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缴纳账户账号：5305016461</w:t>
            </w:r>
            <w:r>
              <w:rPr>
                <w:rFonts w:hint="eastAsia" w:ascii="仿宋" w:hAnsi="仿宋" w:eastAsia="仿宋" w:cs="仿宋"/>
                <w:color w:val="000000" w:themeColor="text1"/>
                <w:sz w:val="24"/>
                <w:szCs w:val="24"/>
                <w:highlight w:val="none"/>
                <w:lang w:val="en-US" w:eastAsia="zh-CN"/>
                <w14:textFill>
                  <w14:solidFill>
                    <w14:schemeClr w14:val="tx1"/>
                  </w14:solidFill>
                </w14:textFill>
              </w:rPr>
              <w:t>3900001017</w:t>
            </w:r>
          </w:p>
          <w:p w14:paraId="6AD71C92">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联系电话：13987476300</w:t>
            </w:r>
          </w:p>
        </w:tc>
      </w:tr>
      <w:tr w14:paraId="704D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8" w:type="dxa"/>
            <w:noWrap w:val="0"/>
            <w:vAlign w:val="center"/>
          </w:tcPr>
          <w:p w14:paraId="3980F8F9">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30.1</w:t>
            </w:r>
          </w:p>
        </w:tc>
        <w:tc>
          <w:tcPr>
            <w:tcW w:w="1962" w:type="dxa"/>
            <w:noWrap w:val="0"/>
            <w:vAlign w:val="center"/>
          </w:tcPr>
          <w:p w14:paraId="084D2E08">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踏勘现场</w:t>
            </w:r>
          </w:p>
        </w:tc>
        <w:tc>
          <w:tcPr>
            <w:tcW w:w="6867" w:type="dxa"/>
            <w:noWrap w:val="0"/>
            <w:vAlign w:val="center"/>
          </w:tcPr>
          <w:p w14:paraId="4CDD3EF7">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踏勘方式：自行组织</w:t>
            </w:r>
          </w:p>
          <w:p w14:paraId="0454884B">
            <w:pPr>
              <w:spacing w:line="4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踏勘地点：项目实施地点</w:t>
            </w:r>
          </w:p>
        </w:tc>
      </w:tr>
      <w:tr w14:paraId="6539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noWrap w:val="0"/>
            <w:vAlign w:val="center"/>
          </w:tcPr>
          <w:p w14:paraId="2CBE489A">
            <w:pPr>
              <w:spacing w:line="4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31.1</w:t>
            </w:r>
          </w:p>
        </w:tc>
        <w:tc>
          <w:tcPr>
            <w:tcW w:w="1962" w:type="dxa"/>
            <w:noWrap w:val="0"/>
            <w:vAlign w:val="center"/>
          </w:tcPr>
          <w:p w14:paraId="5D06F1E9">
            <w:pPr>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w:t>
            </w:r>
          </w:p>
        </w:tc>
        <w:tc>
          <w:tcPr>
            <w:tcW w:w="6867" w:type="dxa"/>
            <w:noWrap w:val="0"/>
            <w:vAlign w:val="center"/>
          </w:tcPr>
          <w:p w14:paraId="75982F6E">
            <w:pPr>
              <w:spacing w:line="46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是否需要缴纳履约保证金：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否</w:t>
            </w:r>
          </w:p>
          <w:p w14:paraId="7B0BE9BC">
            <w:pPr>
              <w:spacing w:line="46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落实云南省财政厅关于进一步规范政府采购相关收费行为的通知（云财规〔2023〕13号）文件的要求，本项目免收履约保证金。</w:t>
            </w:r>
          </w:p>
        </w:tc>
      </w:tr>
      <w:bookmarkEnd w:id="11"/>
      <w:bookmarkEnd w:id="12"/>
      <w:bookmarkEnd w:id="13"/>
    </w:tbl>
    <w:p w14:paraId="7A4E7060">
      <w:pPr>
        <w:rPr>
          <w:rFonts w:hint="eastAsia" w:ascii="仿宋" w:hAnsi="仿宋" w:eastAsia="仿宋" w:cs="仿宋"/>
          <w:color w:val="000000" w:themeColor="text1"/>
          <w:sz w:val="28"/>
          <w:szCs w:val="28"/>
          <w:highlight w:val="none"/>
          <w14:textFill>
            <w14:solidFill>
              <w14:schemeClr w14:val="tx1"/>
            </w14:solidFill>
          </w14:textFill>
        </w:rPr>
      </w:pPr>
      <w:bookmarkStart w:id="14" w:name="_Toc11198"/>
      <w:bookmarkStart w:id="15" w:name="_Toc85096097"/>
      <w:bookmarkStart w:id="16" w:name="_Hlk512763226"/>
      <w:bookmarkStart w:id="17" w:name="_Toc27514"/>
      <w:bookmarkStart w:id="18" w:name="_Toc380507195"/>
      <w:bookmarkStart w:id="19" w:name="_Toc31469"/>
      <w:r>
        <w:rPr>
          <w:rFonts w:hint="eastAsia" w:ascii="仿宋" w:hAnsi="仿宋" w:eastAsia="仿宋" w:cs="仿宋"/>
          <w:color w:val="000000" w:themeColor="text1"/>
          <w:sz w:val="28"/>
          <w:szCs w:val="28"/>
          <w:highlight w:val="none"/>
          <w14:textFill>
            <w14:solidFill>
              <w14:schemeClr w14:val="tx1"/>
            </w14:solidFill>
          </w14:textFill>
        </w:rPr>
        <w:br w:type="page"/>
      </w:r>
    </w:p>
    <w:p w14:paraId="2D19825B">
      <w:pPr>
        <w:pStyle w:val="3"/>
        <w:numPr>
          <w:ilvl w:val="0"/>
          <w:numId w:val="0"/>
        </w:numPr>
        <w:tabs>
          <w:tab w:val="left" w:pos="360"/>
          <w:tab w:val="clear" w:pos="3999"/>
        </w:tabs>
        <w:spacing w:line="520" w:lineRule="exact"/>
        <w:ind w:firstLine="281"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二、投标须知</w:t>
      </w:r>
      <w:bookmarkEnd w:id="14"/>
      <w:bookmarkEnd w:id="15"/>
    </w:p>
    <w:p w14:paraId="27B1D745">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20" w:name="_Toc66692232"/>
      <w:bookmarkStart w:id="21" w:name="_Toc85096098"/>
      <w:bookmarkStart w:id="22" w:name="_Toc30003"/>
      <w:bookmarkStart w:id="23" w:name="_Toc66969965"/>
      <w:bookmarkStart w:id="24" w:name="_Toc70252893"/>
      <w:bookmarkStart w:id="25" w:name="_Toc67040080"/>
      <w:bookmarkStart w:id="26" w:name="_Toc68082642"/>
      <w:bookmarkStart w:id="27" w:name="_Toc70253009"/>
      <w:r>
        <w:rPr>
          <w:rFonts w:hint="eastAsia" w:ascii="仿宋" w:hAnsi="仿宋" w:eastAsia="仿宋" w:cs="仿宋"/>
          <w:color w:val="000000" w:themeColor="text1"/>
          <w:sz w:val="24"/>
          <w:highlight w:val="none"/>
          <w14:textFill>
            <w14:solidFill>
              <w14:schemeClr w14:val="tx1"/>
            </w14:solidFill>
          </w14:textFill>
        </w:rPr>
        <w:t>1.采购人、采购代理机构、项目名称及项目编号</w:t>
      </w:r>
      <w:bookmarkEnd w:id="20"/>
      <w:bookmarkEnd w:id="21"/>
      <w:bookmarkEnd w:id="22"/>
      <w:bookmarkEnd w:id="23"/>
      <w:bookmarkEnd w:id="24"/>
      <w:bookmarkEnd w:id="25"/>
      <w:bookmarkEnd w:id="26"/>
      <w:bookmarkEnd w:id="27"/>
    </w:p>
    <w:p w14:paraId="38660674">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详见采购文件“投标人须知前附表”。</w:t>
      </w:r>
    </w:p>
    <w:p w14:paraId="55AF14C2">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28" w:name="_Toc70253010"/>
      <w:bookmarkStart w:id="29" w:name="_Toc85096099"/>
      <w:bookmarkStart w:id="30" w:name="_Toc66692233"/>
      <w:bookmarkStart w:id="31" w:name="_Toc68082643"/>
      <w:bookmarkStart w:id="32" w:name="_Toc70252894"/>
      <w:bookmarkStart w:id="33" w:name="_Toc14873"/>
      <w:bookmarkStart w:id="34" w:name="_Toc66969966"/>
      <w:bookmarkStart w:id="35" w:name="_Toc67040081"/>
      <w:r>
        <w:rPr>
          <w:rFonts w:hint="eastAsia" w:ascii="仿宋" w:hAnsi="仿宋" w:eastAsia="仿宋" w:cs="仿宋"/>
          <w:color w:val="000000" w:themeColor="text1"/>
          <w:sz w:val="24"/>
          <w:highlight w:val="none"/>
          <w14:textFill>
            <w14:solidFill>
              <w14:schemeClr w14:val="tx1"/>
            </w14:solidFill>
          </w14:textFill>
        </w:rPr>
        <w:t>2.资金来源</w:t>
      </w:r>
      <w:bookmarkEnd w:id="28"/>
      <w:bookmarkEnd w:id="29"/>
      <w:bookmarkEnd w:id="30"/>
      <w:bookmarkEnd w:id="31"/>
      <w:bookmarkEnd w:id="32"/>
      <w:bookmarkEnd w:id="33"/>
      <w:bookmarkEnd w:id="34"/>
      <w:bookmarkEnd w:id="35"/>
    </w:p>
    <w:p w14:paraId="7E107016">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详见采购文件“投标人须知前附表”。</w:t>
      </w:r>
    </w:p>
    <w:p w14:paraId="33FDAC83">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36" w:name="_Toc66692234"/>
      <w:bookmarkStart w:id="37" w:name="_Toc70252895"/>
      <w:bookmarkStart w:id="38" w:name="_Toc66969967"/>
      <w:bookmarkStart w:id="39" w:name="_Toc67040082"/>
      <w:bookmarkStart w:id="40" w:name="_Toc70253011"/>
      <w:bookmarkStart w:id="41" w:name="_Toc68082644"/>
      <w:bookmarkStart w:id="42" w:name="_Toc85096100"/>
      <w:bookmarkStart w:id="43" w:name="_Toc8714"/>
      <w:r>
        <w:rPr>
          <w:rFonts w:hint="eastAsia" w:ascii="仿宋" w:hAnsi="仿宋" w:eastAsia="仿宋" w:cs="仿宋"/>
          <w:color w:val="000000" w:themeColor="text1"/>
          <w:sz w:val="24"/>
          <w:highlight w:val="none"/>
          <w14:textFill>
            <w14:solidFill>
              <w14:schemeClr w14:val="tx1"/>
            </w14:solidFill>
          </w14:textFill>
        </w:rPr>
        <w:t>3.采购内容</w:t>
      </w:r>
      <w:bookmarkEnd w:id="36"/>
      <w:bookmarkEnd w:id="37"/>
      <w:bookmarkEnd w:id="38"/>
      <w:bookmarkEnd w:id="39"/>
      <w:bookmarkEnd w:id="40"/>
      <w:bookmarkEnd w:id="41"/>
      <w:bookmarkEnd w:id="42"/>
      <w:bookmarkEnd w:id="43"/>
    </w:p>
    <w:p w14:paraId="04EF0E6A">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3.1 本项目采购内容：见“投标人须知前附表”。</w:t>
      </w:r>
    </w:p>
    <w:p w14:paraId="3567071E">
      <w:pPr>
        <w:pStyle w:val="3"/>
        <w:numPr>
          <w:ilvl w:val="0"/>
          <w:numId w:val="0"/>
        </w:numPr>
        <w:tabs>
          <w:tab w:val="left" w:pos="360"/>
          <w:tab w:val="clear" w:pos="3999"/>
        </w:tabs>
        <w:ind w:firstLine="482" w:firstLineChars="200"/>
        <w:jc w:val="both"/>
        <w:rPr>
          <w:rFonts w:hint="eastAsia" w:ascii="仿宋" w:hAnsi="仿宋" w:eastAsia="仿宋" w:cs="仿宋"/>
          <w:color w:val="000000" w:themeColor="text1"/>
          <w:sz w:val="24"/>
          <w:highlight w:val="none"/>
          <w14:textFill>
            <w14:solidFill>
              <w14:schemeClr w14:val="tx1"/>
            </w14:solidFill>
          </w14:textFill>
        </w:rPr>
      </w:pPr>
      <w:bookmarkStart w:id="44" w:name="_Toc70253012"/>
      <w:bookmarkStart w:id="45" w:name="_Toc66969968"/>
      <w:bookmarkStart w:id="46" w:name="_Toc70252896"/>
      <w:bookmarkStart w:id="47" w:name="_Toc66692235"/>
      <w:bookmarkStart w:id="48" w:name="_Toc85096101"/>
      <w:bookmarkStart w:id="49" w:name="_Toc14075"/>
      <w:bookmarkStart w:id="50" w:name="_Toc67040083"/>
      <w:bookmarkStart w:id="51" w:name="_Toc68082645"/>
      <w:r>
        <w:rPr>
          <w:rFonts w:hint="eastAsia" w:ascii="仿宋" w:hAnsi="仿宋" w:eastAsia="仿宋" w:cs="仿宋"/>
          <w:color w:val="000000" w:themeColor="text1"/>
          <w:sz w:val="24"/>
          <w:highlight w:val="none"/>
          <w14:textFill>
            <w14:solidFill>
              <w14:schemeClr w14:val="tx1"/>
            </w14:solidFill>
          </w14:textFill>
        </w:rPr>
        <w:t>4.合格的投标人</w:t>
      </w:r>
      <w:bookmarkEnd w:id="44"/>
      <w:bookmarkEnd w:id="45"/>
      <w:bookmarkEnd w:id="46"/>
      <w:bookmarkEnd w:id="47"/>
      <w:bookmarkEnd w:id="48"/>
      <w:bookmarkEnd w:id="49"/>
      <w:bookmarkEnd w:id="50"/>
      <w:bookmarkEnd w:id="51"/>
    </w:p>
    <w:p w14:paraId="4CE6D829">
      <w:pPr>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详见采购文件“投标人须知前附表”。</w:t>
      </w:r>
    </w:p>
    <w:p w14:paraId="461C1DBA">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52" w:name="_Toc66969969"/>
      <w:bookmarkStart w:id="53" w:name="_Toc66692236"/>
      <w:bookmarkStart w:id="54" w:name="_Toc68082646"/>
      <w:bookmarkStart w:id="55" w:name="_Toc85096102"/>
      <w:bookmarkStart w:id="56" w:name="_Toc70252897"/>
      <w:bookmarkStart w:id="57" w:name="_Toc70253013"/>
      <w:bookmarkStart w:id="58" w:name="_Toc67040084"/>
      <w:bookmarkStart w:id="59" w:name="_Toc32719"/>
      <w:r>
        <w:rPr>
          <w:rFonts w:hint="eastAsia" w:ascii="仿宋" w:hAnsi="仿宋" w:eastAsia="仿宋" w:cs="仿宋"/>
          <w:color w:val="000000" w:themeColor="text1"/>
          <w:sz w:val="24"/>
          <w:highlight w:val="none"/>
          <w14:textFill>
            <w14:solidFill>
              <w14:schemeClr w14:val="tx1"/>
            </w14:solidFill>
          </w14:textFill>
        </w:rPr>
        <w:t>5.投标费用</w:t>
      </w:r>
      <w:bookmarkEnd w:id="52"/>
      <w:bookmarkEnd w:id="53"/>
      <w:bookmarkEnd w:id="54"/>
      <w:bookmarkEnd w:id="55"/>
      <w:bookmarkEnd w:id="56"/>
      <w:bookmarkEnd w:id="57"/>
      <w:bookmarkEnd w:id="58"/>
      <w:bookmarkEnd w:id="59"/>
    </w:p>
    <w:p w14:paraId="24A0691D">
      <w:pPr>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详见</w:t>
      </w:r>
      <w:r>
        <w:rPr>
          <w:rFonts w:hint="eastAsia" w:ascii="仿宋" w:hAnsi="仿宋" w:eastAsia="仿宋" w:cs="仿宋"/>
          <w:color w:val="000000" w:themeColor="text1"/>
          <w:sz w:val="24"/>
          <w:highlight w:val="none"/>
          <w14:textFill>
            <w14:solidFill>
              <w14:schemeClr w14:val="tx1"/>
            </w14:solidFill>
          </w14:textFill>
        </w:rPr>
        <w:t>采购文件“投标人须知前附表”。</w:t>
      </w:r>
    </w:p>
    <w:p w14:paraId="1D34A1C3">
      <w:pPr>
        <w:pStyle w:val="3"/>
        <w:numPr>
          <w:ilvl w:val="0"/>
          <w:numId w:val="0"/>
        </w:numPr>
        <w:tabs>
          <w:tab w:val="left" w:pos="360"/>
          <w:tab w:val="clear" w:pos="3999"/>
        </w:tabs>
        <w:ind w:firstLine="562" w:firstLineChars="200"/>
        <w:rPr>
          <w:rFonts w:hint="eastAsia" w:ascii="仿宋" w:hAnsi="仿宋" w:eastAsia="仿宋" w:cs="仿宋"/>
          <w:b w:val="0"/>
          <w:color w:val="000000" w:themeColor="text1"/>
          <w:sz w:val="28"/>
          <w:szCs w:val="28"/>
          <w:highlight w:val="none"/>
          <w14:textFill>
            <w14:solidFill>
              <w14:schemeClr w14:val="tx1"/>
            </w14:solidFill>
          </w14:textFill>
        </w:rPr>
      </w:pPr>
      <w:bookmarkStart w:id="60" w:name="_Toc438160889"/>
      <w:bookmarkStart w:id="61" w:name="_Toc85096103"/>
      <w:bookmarkStart w:id="62" w:name="_Toc2168"/>
      <w:bookmarkStart w:id="63" w:name="_Toc232509427"/>
      <w:bookmarkStart w:id="64" w:name="_Toc1164"/>
      <w:r>
        <w:rPr>
          <w:rFonts w:hint="eastAsia" w:ascii="仿宋" w:hAnsi="仿宋" w:eastAsia="仿宋" w:cs="仿宋"/>
          <w:color w:val="000000" w:themeColor="text1"/>
          <w:sz w:val="28"/>
          <w:szCs w:val="28"/>
          <w:highlight w:val="none"/>
          <w14:textFill>
            <w14:solidFill>
              <w14:schemeClr w14:val="tx1"/>
            </w14:solidFill>
          </w14:textFill>
        </w:rPr>
        <w:t>三、</w:t>
      </w:r>
      <w:bookmarkEnd w:id="60"/>
      <w:bookmarkEnd w:id="61"/>
      <w:bookmarkEnd w:id="62"/>
      <w:bookmarkEnd w:id="63"/>
      <w:r>
        <w:rPr>
          <w:rFonts w:hint="eastAsia" w:ascii="仿宋" w:hAnsi="仿宋" w:eastAsia="仿宋" w:cs="仿宋"/>
          <w:color w:val="000000" w:themeColor="text1"/>
          <w:sz w:val="28"/>
          <w:szCs w:val="28"/>
          <w:highlight w:val="none"/>
          <w14:textFill>
            <w14:solidFill>
              <w14:schemeClr w14:val="tx1"/>
            </w14:solidFill>
          </w14:textFill>
        </w:rPr>
        <w:t>采购文件</w:t>
      </w:r>
      <w:bookmarkEnd w:id="64"/>
    </w:p>
    <w:p w14:paraId="668EF5C6">
      <w:pPr>
        <w:pStyle w:val="3"/>
        <w:numPr>
          <w:ilvl w:val="0"/>
          <w:numId w:val="0"/>
        </w:numPr>
        <w:tabs>
          <w:tab w:val="left" w:pos="360"/>
          <w:tab w:val="clear" w:pos="3999"/>
        </w:tabs>
        <w:ind w:firstLine="482" w:firstLineChars="200"/>
        <w:jc w:val="both"/>
        <w:rPr>
          <w:rFonts w:hint="eastAsia" w:ascii="仿宋" w:hAnsi="仿宋" w:eastAsia="仿宋" w:cs="仿宋"/>
          <w:color w:val="000000" w:themeColor="text1"/>
          <w:sz w:val="24"/>
          <w:highlight w:val="none"/>
          <w14:textFill>
            <w14:solidFill>
              <w14:schemeClr w14:val="tx1"/>
            </w14:solidFill>
          </w14:textFill>
        </w:rPr>
      </w:pPr>
      <w:bookmarkStart w:id="65" w:name="_Toc66969971"/>
      <w:bookmarkStart w:id="66" w:name="_Toc67040086"/>
      <w:bookmarkStart w:id="67" w:name="_Toc85096104"/>
      <w:bookmarkStart w:id="68" w:name="_Toc68082648"/>
      <w:bookmarkStart w:id="69" w:name="_Toc70252899"/>
      <w:bookmarkStart w:id="70" w:name="_Toc13851"/>
      <w:bookmarkStart w:id="71" w:name="_Toc66692238"/>
      <w:bookmarkStart w:id="72" w:name="_Toc70253015"/>
      <w:r>
        <w:rPr>
          <w:rFonts w:hint="eastAsia" w:ascii="仿宋" w:hAnsi="仿宋" w:eastAsia="仿宋" w:cs="仿宋"/>
          <w:color w:val="000000" w:themeColor="text1"/>
          <w:sz w:val="24"/>
          <w:highlight w:val="none"/>
          <w14:textFill>
            <w14:solidFill>
              <w14:schemeClr w14:val="tx1"/>
            </w14:solidFill>
          </w14:textFill>
        </w:rPr>
        <w:t>6.采购文件构成</w:t>
      </w:r>
      <w:bookmarkEnd w:id="65"/>
      <w:bookmarkEnd w:id="66"/>
      <w:bookmarkEnd w:id="67"/>
      <w:bookmarkEnd w:id="68"/>
      <w:bookmarkEnd w:id="69"/>
      <w:bookmarkEnd w:id="70"/>
      <w:bookmarkEnd w:id="71"/>
      <w:bookmarkEnd w:id="72"/>
    </w:p>
    <w:p w14:paraId="2204166E">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6.1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采购文件共六章，各章的内容如下：</w:t>
      </w:r>
    </w:p>
    <w:p w14:paraId="4A6DD4D6">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第一章 招标公告</w:t>
      </w:r>
    </w:p>
    <w:p w14:paraId="61E3EE0A">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第二章 投标人须知</w:t>
      </w:r>
    </w:p>
    <w:p w14:paraId="77241C30">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第三章 评标办法</w:t>
      </w:r>
    </w:p>
    <w:p w14:paraId="5E961966">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第四章 合同书样式及主要条款（参考）</w:t>
      </w:r>
    </w:p>
    <w:p w14:paraId="1A693D2B">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第五章 投标文件参考格式</w:t>
      </w:r>
    </w:p>
    <w:p w14:paraId="5DEC9B94">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第六章 采购需求</w:t>
      </w:r>
    </w:p>
    <w:p w14:paraId="7CD2CB1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 投标人应认真阅读招标文件中所有的事项、格式、条款和规范等要求。如果投标人没有按照招标文件要求提交全部资料或者投标文件没有对招标文件在各方面都作出实质性响应，则其投标将被拒绝。</w:t>
      </w:r>
    </w:p>
    <w:p w14:paraId="6CD96C4E">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73" w:name="_Toc66692239"/>
      <w:bookmarkStart w:id="74" w:name="_Toc67040087"/>
      <w:bookmarkStart w:id="75" w:name="_Toc70252900"/>
      <w:bookmarkStart w:id="76" w:name="_Toc68082649"/>
      <w:bookmarkStart w:id="77" w:name="_Toc85096105"/>
      <w:bookmarkStart w:id="78" w:name="_Toc70253016"/>
      <w:bookmarkStart w:id="79" w:name="_Toc66969972"/>
      <w:bookmarkStart w:id="80" w:name="_Toc2507"/>
      <w:r>
        <w:rPr>
          <w:rFonts w:hint="eastAsia" w:ascii="仿宋" w:hAnsi="仿宋" w:eastAsia="仿宋" w:cs="仿宋"/>
          <w:color w:val="000000" w:themeColor="text1"/>
          <w:sz w:val="24"/>
          <w:highlight w:val="none"/>
          <w14:textFill>
            <w14:solidFill>
              <w14:schemeClr w14:val="tx1"/>
            </w14:solidFill>
          </w14:textFill>
        </w:rPr>
        <w:t>7.采购文件的澄清和修改</w:t>
      </w:r>
      <w:bookmarkEnd w:id="73"/>
      <w:bookmarkEnd w:id="74"/>
      <w:bookmarkEnd w:id="75"/>
      <w:bookmarkEnd w:id="76"/>
      <w:bookmarkEnd w:id="77"/>
      <w:bookmarkEnd w:id="78"/>
      <w:bookmarkEnd w:id="79"/>
      <w:bookmarkEnd w:id="80"/>
    </w:p>
    <w:p w14:paraId="493F832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7.1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采购文件的澄清</w:t>
      </w:r>
    </w:p>
    <w:p w14:paraId="3FA3487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7.1.1</w:t>
      </w:r>
      <w:r>
        <w:rPr>
          <w:rFonts w:hint="eastAsia" w:ascii="仿宋" w:hAnsi="仿宋" w:eastAsia="仿宋" w:cs="仿宋"/>
          <w:color w:val="000000" w:themeColor="text1"/>
          <w:kern w:val="0"/>
          <w:sz w:val="24"/>
          <w:highlight w:val="none"/>
          <w14:textFill>
            <w14:solidFill>
              <w14:schemeClr w14:val="tx1"/>
            </w14:solidFill>
          </w14:textFill>
        </w:rPr>
        <w:t>投标人应</w:t>
      </w:r>
      <w:r>
        <w:rPr>
          <w:rFonts w:hint="eastAsia" w:ascii="仿宋" w:hAnsi="仿宋" w:eastAsia="仿宋" w:cs="仿宋"/>
          <w:color w:val="000000" w:themeColor="text1"/>
          <w:sz w:val="24"/>
          <w:highlight w:val="none"/>
          <w14:textFill>
            <w14:solidFill>
              <w14:schemeClr w14:val="tx1"/>
            </w14:solidFill>
          </w14:textFill>
        </w:rPr>
        <w:t>仔细阅读和检查</w:t>
      </w:r>
      <w:r>
        <w:rPr>
          <w:rFonts w:hint="eastAsia" w:ascii="仿宋" w:hAnsi="仿宋" w:eastAsia="仿宋" w:cs="仿宋"/>
          <w:color w:val="000000" w:themeColor="text1"/>
          <w:kern w:val="0"/>
          <w:sz w:val="24"/>
          <w:highlight w:val="none"/>
          <w14:textFill>
            <w14:solidFill>
              <w14:schemeClr w14:val="tx1"/>
            </w14:solidFill>
          </w14:textFill>
        </w:rPr>
        <w:t>采购文件</w:t>
      </w:r>
      <w:r>
        <w:rPr>
          <w:rFonts w:hint="eastAsia" w:ascii="仿宋" w:hAnsi="仿宋" w:eastAsia="仿宋" w:cs="仿宋"/>
          <w:color w:val="000000" w:themeColor="text1"/>
          <w:sz w:val="24"/>
          <w:highlight w:val="none"/>
          <w14:textFill>
            <w14:solidFill>
              <w14:schemeClr w14:val="tx1"/>
            </w14:solidFill>
          </w14:textFill>
        </w:rPr>
        <w:t>的全部内容</w:t>
      </w:r>
      <w:r>
        <w:rPr>
          <w:rFonts w:hint="eastAsia" w:ascii="仿宋" w:hAnsi="仿宋" w:eastAsia="仿宋" w:cs="仿宋"/>
          <w:color w:val="000000" w:themeColor="text1"/>
          <w:kern w:val="0"/>
          <w:sz w:val="24"/>
          <w:highlight w:val="none"/>
          <w14:textFill>
            <w14:solidFill>
              <w14:schemeClr w14:val="tx1"/>
            </w14:solidFill>
          </w14:textFill>
        </w:rPr>
        <w:t>，如发现采购文件</w:t>
      </w:r>
      <w:r>
        <w:rPr>
          <w:rFonts w:hint="eastAsia" w:ascii="仿宋" w:hAnsi="仿宋" w:eastAsia="仿宋" w:cs="仿宋"/>
          <w:color w:val="000000" w:themeColor="text1"/>
          <w:sz w:val="24"/>
          <w:highlight w:val="none"/>
          <w14:textFill>
            <w14:solidFill>
              <w14:schemeClr w14:val="tx1"/>
            </w14:solidFill>
          </w14:textFill>
        </w:rPr>
        <w:t>缺页或附件不全，内容</w:t>
      </w:r>
      <w:r>
        <w:rPr>
          <w:rFonts w:hint="eastAsia" w:ascii="仿宋" w:hAnsi="仿宋" w:eastAsia="仿宋" w:cs="仿宋"/>
          <w:color w:val="000000" w:themeColor="text1"/>
          <w:kern w:val="0"/>
          <w:sz w:val="24"/>
          <w:highlight w:val="none"/>
          <w14:textFill>
            <w14:solidFill>
              <w14:schemeClr w14:val="tx1"/>
            </w14:solidFill>
          </w14:textFill>
        </w:rPr>
        <w:t>有误或要求不合理的，</w:t>
      </w:r>
      <w:r>
        <w:rPr>
          <w:rFonts w:hint="eastAsia" w:ascii="仿宋" w:hAnsi="仿宋" w:eastAsia="仿宋" w:cs="仿宋"/>
          <w:color w:val="000000" w:themeColor="text1"/>
          <w:sz w:val="24"/>
          <w:highlight w:val="none"/>
          <w14:textFill>
            <w14:solidFill>
              <w14:schemeClr w14:val="tx1"/>
            </w14:solidFill>
          </w14:textFill>
        </w:rPr>
        <w:t>应在“投标人须知前附表规定”的时间前，</w:t>
      </w:r>
      <w:r>
        <w:rPr>
          <w:rFonts w:hint="eastAsia" w:ascii="仿宋" w:hAnsi="仿宋" w:eastAsia="仿宋" w:cs="仿宋"/>
          <w:color w:val="000000" w:themeColor="text1"/>
          <w:sz w:val="24"/>
          <w:szCs w:val="24"/>
          <w:highlight w:val="none"/>
          <w14:textFill>
            <w14:solidFill>
              <w14:schemeClr w14:val="tx1"/>
            </w14:solidFill>
          </w14:textFill>
        </w:rPr>
        <w:t>以在线不署名提交（所有获取了采购文件的潜在投标人凭企业数字证书（CA）登录</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HYPERLINK "http://www.ynggzyxx.gov.cn/zfcg-tb），通过在线方式进行不署名提问。"</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“政采云”平台（http：//www.zcygov.cn），通过在线方式进行不署名提问</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，要求采购代理机构澄清，截止时间后送达的澄清要求概不接受，由此产生的后果由投标人负责。</w:t>
      </w:r>
    </w:p>
    <w:p w14:paraId="70A6D39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7.1.2</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采购代理机构将以网上发布公告形式在云南省政府采购网（</w:t>
      </w:r>
      <w:r>
        <w:rPr>
          <w:rFonts w:hint="eastAsia" w:ascii="仿宋" w:hAnsi="仿宋" w:eastAsia="仿宋" w:cs="仿宋"/>
          <w:color w:val="000000" w:themeColor="text1"/>
          <w:spacing w:val="-6"/>
          <w:sz w:val="24"/>
          <w:szCs w:val="24"/>
          <w:highlight w:val="none"/>
          <w:u w:val="single"/>
          <w14:textFill>
            <w14:solidFill>
              <w14:schemeClr w14:val="tx1"/>
            </w14:solidFill>
          </w14:textFill>
        </w:rPr>
        <w:t>http://</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"http://www.yngp.com"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pacing w:val="-6"/>
          <w:sz w:val="24"/>
          <w:szCs w:val="24"/>
          <w:highlight w:val="none"/>
          <w:u w:val="single"/>
          <w14:textFill>
            <w14:solidFill>
              <w14:schemeClr w14:val="tx1"/>
            </w14:solidFill>
          </w14:textFill>
        </w:rPr>
        <w:t>www.yngp.com</w:t>
      </w:r>
      <w:r>
        <w:rPr>
          <w:rFonts w:hint="eastAsia" w:ascii="仿宋" w:hAnsi="仿宋" w:eastAsia="仿宋" w:cs="仿宋"/>
          <w:color w:val="000000" w:themeColor="text1"/>
          <w:spacing w:val="-6"/>
          <w:sz w:val="24"/>
          <w:szCs w:val="24"/>
          <w:highlight w:val="none"/>
          <w:u w:val="single"/>
          <w14:textFill>
            <w14:solidFill>
              <w14:schemeClr w14:val="tx1"/>
            </w14:solidFill>
          </w14:textFill>
        </w:rPr>
        <w:fldChar w:fldCharType="end"/>
      </w:r>
      <w:r>
        <w:rPr>
          <w:rFonts w:hint="eastAsia" w:ascii="仿宋" w:hAnsi="仿宋" w:eastAsia="仿宋" w:cs="仿宋"/>
          <w:color w:val="000000" w:themeColor="text1"/>
          <w:spacing w:val="-6"/>
          <w:sz w:val="24"/>
          <w:szCs w:val="24"/>
          <w:highlight w:val="none"/>
          <w14:textFill>
            <w14:solidFill>
              <w14:schemeClr w14:val="tx1"/>
            </w14:solidFill>
          </w14:textFill>
        </w:rPr>
        <w:t>）、“政采云”平台（http：//www.zcygov.cn）</w:t>
      </w:r>
      <w:r>
        <w:rPr>
          <w:rFonts w:hint="eastAsia" w:ascii="仿宋" w:hAnsi="仿宋" w:eastAsia="仿宋" w:cs="仿宋"/>
          <w:color w:val="000000" w:themeColor="text1"/>
          <w:sz w:val="24"/>
          <w:szCs w:val="24"/>
          <w:highlight w:val="none"/>
          <w14:textFill>
            <w14:solidFill>
              <w14:schemeClr w14:val="tx1"/>
            </w14:solidFill>
          </w14:textFill>
        </w:rPr>
        <w:t>答复所有文件获取的投标人（答复中不包含问题的来源）要求澄清的问题，其他澄清方式无效。</w:t>
      </w:r>
    </w:p>
    <w:p w14:paraId="188303B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7.1.3</w:t>
      </w:r>
      <w:r>
        <w:rPr>
          <w:rFonts w:hint="eastAsia" w:ascii="仿宋" w:hAnsi="仿宋" w:eastAsia="仿宋" w:cs="仿宋"/>
          <w:color w:val="000000" w:themeColor="text1"/>
          <w:sz w:val="24"/>
          <w:szCs w:val="24"/>
          <w:highlight w:val="none"/>
          <w14:textFill>
            <w14:solidFill>
              <w14:schemeClr w14:val="tx1"/>
            </w14:solidFill>
          </w14:textFill>
        </w:rPr>
        <w:t>采购文件澄清联系方式见“投标人须知前附表”。</w:t>
      </w:r>
    </w:p>
    <w:p w14:paraId="0BD2E017">
      <w:pPr>
        <w:numPr>
          <w:ilvl w:val="2"/>
          <w:numId w:val="0"/>
        </w:numPr>
        <w:tabs>
          <w:tab w:val="left" w:pos="1588"/>
        </w:tabs>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7.2</w:t>
      </w:r>
      <w:r>
        <w:rPr>
          <w:rFonts w:hint="eastAsia" w:ascii="仿宋" w:hAnsi="仿宋" w:eastAsia="仿宋" w:cs="仿宋"/>
          <w:b/>
          <w:bCs/>
          <w:color w:val="000000" w:themeColor="text1"/>
          <w:sz w:val="24"/>
          <w:szCs w:val="24"/>
          <w:highlight w:val="none"/>
          <w14:textFill>
            <w14:solidFill>
              <w14:schemeClr w14:val="tx1"/>
            </w14:solidFill>
          </w14:textFill>
        </w:rPr>
        <w:t>采购文件的修改</w:t>
      </w:r>
    </w:p>
    <w:p w14:paraId="46C130C5">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7.2.1</w:t>
      </w:r>
      <w:r>
        <w:rPr>
          <w:rFonts w:hint="eastAsia" w:ascii="仿宋" w:hAnsi="仿宋" w:eastAsia="仿宋" w:cs="仿宋"/>
          <w:color w:val="000000" w:themeColor="text1"/>
          <w:sz w:val="24"/>
          <w:szCs w:val="24"/>
          <w:highlight w:val="none"/>
          <w14:textFill>
            <w14:solidFill>
              <w14:schemeClr w14:val="tx1"/>
            </w14:solidFill>
          </w14:textFill>
        </w:rPr>
        <w:t>采购人对采购文件中的涉及评标办法、评审项目等重要评审内容做出变更，将同时发布补遗文件进行说明以保证各投标人编制电子投标文件。</w:t>
      </w:r>
    </w:p>
    <w:p w14:paraId="56D0D468">
      <w:pPr>
        <w:kinsoku w:val="0"/>
        <w:wordWrap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投标人应在投标截止时间前及时登录“政采云”平台（http：//www.zcygov.cn）</w:t>
      </w:r>
      <w:r>
        <w:rPr>
          <w:rFonts w:hint="eastAsia" w:ascii="仿宋" w:hAnsi="仿宋" w:eastAsia="仿宋" w:cs="仿宋"/>
          <w:color w:val="000000" w:themeColor="text1"/>
          <w:spacing w:val="-6"/>
          <w:sz w:val="24"/>
          <w:szCs w:val="24"/>
          <w:highlight w:val="none"/>
          <w14:textFill>
            <w14:solidFill>
              <w14:schemeClr w14:val="tx1"/>
            </w14:solidFill>
          </w14:textFill>
        </w:rPr>
        <w:t>中查看有关该项目采购文件的答疑、补遗内容。否则，后果自负。</w:t>
      </w:r>
    </w:p>
    <w:p w14:paraId="0F90DFA0">
      <w:pPr>
        <w:spacing w:line="360" w:lineRule="auto"/>
        <w:ind w:firstLine="48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7.2.3</w:t>
      </w:r>
      <w:r>
        <w:rPr>
          <w:rFonts w:hint="eastAsia" w:ascii="仿宋" w:hAnsi="仿宋" w:eastAsia="仿宋" w:cs="仿宋"/>
          <w:color w:val="000000" w:themeColor="text1"/>
          <w:sz w:val="24"/>
          <w:szCs w:val="24"/>
          <w:highlight w:val="none"/>
          <w14:textFill>
            <w14:solidFill>
              <w14:schemeClr w14:val="tx1"/>
            </w14:solidFill>
          </w14:textFill>
        </w:rPr>
        <w:t>采购文件澄清、采购文件修改文件内容均以网上电子文件为准，当采购文件、采购文件澄清、采购文件修改文件内容</w:t>
      </w:r>
      <w:r>
        <w:rPr>
          <w:rFonts w:hint="eastAsia" w:ascii="仿宋" w:hAnsi="仿宋" w:eastAsia="仿宋" w:cs="仿宋"/>
          <w:color w:val="000000" w:themeColor="text1"/>
          <w:sz w:val="24"/>
          <w:szCs w:val="24"/>
          <w:highlight w:val="none"/>
          <w:lang w:eastAsia="zh-CN"/>
          <w14:textFill>
            <w14:solidFill>
              <w14:schemeClr w14:val="tx1"/>
            </w14:solidFill>
          </w14:textFill>
        </w:rPr>
        <w:t>后</w:t>
      </w:r>
      <w:r>
        <w:rPr>
          <w:rFonts w:hint="eastAsia" w:ascii="仿宋" w:hAnsi="仿宋" w:eastAsia="仿宋" w:cs="仿宋"/>
          <w:color w:val="000000" w:themeColor="text1"/>
          <w:sz w:val="24"/>
          <w:szCs w:val="24"/>
          <w:highlight w:val="none"/>
          <w14:textFill>
            <w14:solidFill>
              <w14:schemeClr w14:val="tx1"/>
            </w14:solidFill>
          </w14:textFill>
        </w:rPr>
        <w:t>相互矛盾时，以最后发出的为准。</w:t>
      </w:r>
    </w:p>
    <w:p w14:paraId="06D5C1FA">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81" w:name="_Toc232509428"/>
      <w:bookmarkStart w:id="82" w:name="_Toc7826"/>
      <w:bookmarkStart w:id="83" w:name="_Toc438160890"/>
      <w:bookmarkStart w:id="84" w:name="_Toc85096106"/>
      <w:bookmarkStart w:id="85" w:name="_Toc20687"/>
      <w:r>
        <w:rPr>
          <w:rFonts w:hint="eastAsia" w:ascii="仿宋" w:hAnsi="仿宋" w:eastAsia="仿宋" w:cs="仿宋"/>
          <w:color w:val="000000" w:themeColor="text1"/>
          <w:sz w:val="28"/>
          <w:szCs w:val="28"/>
          <w:highlight w:val="none"/>
          <w14:textFill>
            <w14:solidFill>
              <w14:schemeClr w14:val="tx1"/>
            </w14:solidFill>
          </w14:textFill>
        </w:rPr>
        <w:t>四、投标文件的编制</w:t>
      </w:r>
      <w:bookmarkEnd w:id="81"/>
      <w:bookmarkEnd w:id="82"/>
      <w:bookmarkEnd w:id="83"/>
      <w:bookmarkEnd w:id="84"/>
      <w:bookmarkEnd w:id="85"/>
    </w:p>
    <w:p w14:paraId="5418E86E">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86" w:name="_Toc70252902"/>
      <w:bookmarkStart w:id="87" w:name="_Toc5606"/>
      <w:bookmarkStart w:id="88" w:name="_Toc85096107"/>
      <w:bookmarkStart w:id="89" w:name="_Toc67040089"/>
      <w:bookmarkStart w:id="90" w:name="_Toc70253018"/>
      <w:bookmarkStart w:id="91" w:name="_Toc66692241"/>
      <w:bookmarkStart w:id="92" w:name="_Toc66969974"/>
      <w:bookmarkStart w:id="93" w:name="_Toc68082651"/>
      <w:r>
        <w:rPr>
          <w:rFonts w:hint="eastAsia" w:ascii="仿宋" w:hAnsi="仿宋" w:eastAsia="仿宋" w:cs="仿宋"/>
          <w:color w:val="000000" w:themeColor="text1"/>
          <w:sz w:val="24"/>
          <w:highlight w:val="none"/>
          <w14:textFill>
            <w14:solidFill>
              <w14:schemeClr w14:val="tx1"/>
            </w14:solidFill>
          </w14:textFill>
        </w:rPr>
        <w:t>8.投标文件编制注意事项</w:t>
      </w:r>
      <w:bookmarkEnd w:id="86"/>
      <w:bookmarkEnd w:id="87"/>
      <w:bookmarkEnd w:id="88"/>
      <w:bookmarkEnd w:id="89"/>
      <w:bookmarkEnd w:id="90"/>
      <w:bookmarkEnd w:id="91"/>
      <w:bookmarkEnd w:id="92"/>
      <w:bookmarkEnd w:id="93"/>
    </w:p>
    <w:p w14:paraId="3D1CFE12">
      <w:pPr>
        <w:spacing w:line="360" w:lineRule="auto"/>
        <w:ind w:firstLine="480" w:firstLineChars="200"/>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8.1</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24"/>
          <w:highlight w:val="none"/>
          <w14:textFill>
            <w14:solidFill>
              <w14:schemeClr w14:val="tx1"/>
            </w14:solidFill>
          </w14:textFill>
        </w:rPr>
        <w:t>投标文件应按第五章“投标文件参考格式”进行编写，如有必要，可以增加附页，作为投标文件的组成部分。</w:t>
      </w:r>
    </w:p>
    <w:p w14:paraId="0E010F67">
      <w:pPr>
        <w:spacing w:line="360" w:lineRule="auto"/>
        <w:ind w:firstLine="480" w:firstLineChars="200"/>
        <w:rPr>
          <w:rFonts w:hint="eastAsia" w:ascii="仿宋" w:hAnsi="仿宋" w:eastAsia="仿宋" w:cs="仿宋"/>
          <w:b w:val="0"/>
          <w:bCs w:val="0"/>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kern w:val="0"/>
          <w:sz w:val="24"/>
          <w:highlight w:val="none"/>
          <w14:textFill>
            <w14:solidFill>
              <w14:schemeClr w14:val="tx1"/>
            </w14:solidFill>
          </w14:textFill>
        </w:rPr>
        <w:t>8.2</w:t>
      </w:r>
      <w:r>
        <w:rPr>
          <w:rFonts w:hint="eastAsia" w:ascii="仿宋" w:hAnsi="仿宋" w:eastAsia="仿宋" w:cs="仿宋"/>
          <w:b w:val="0"/>
          <w:bCs w:val="0"/>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4"/>
          <w:highlight w:val="none"/>
          <w14:textFill>
            <w14:solidFill>
              <w14:schemeClr w14:val="tx1"/>
            </w14:solidFill>
          </w14:textFill>
        </w:rPr>
        <w:t>采购文件第六章 采购需求中</w:t>
      </w:r>
      <w:r>
        <w:rPr>
          <w:rFonts w:hint="eastAsia" w:ascii="仿宋" w:hAnsi="仿宋" w:eastAsia="仿宋" w:cs="仿宋"/>
          <w:b w:val="0"/>
          <w:bCs w:val="0"/>
          <w:color w:val="000000" w:themeColor="text1"/>
          <w:kern w:val="0"/>
          <w:sz w:val="24"/>
          <w:highlight w:val="none"/>
          <w:lang w:val="en-US" w:eastAsia="zh-CN"/>
          <w14:textFill>
            <w14:solidFill>
              <w14:schemeClr w14:val="tx1"/>
            </w14:solidFill>
          </w14:textFill>
        </w:rPr>
        <w:t>如</w:t>
      </w:r>
      <w:r>
        <w:rPr>
          <w:rFonts w:hint="eastAsia" w:ascii="仿宋" w:hAnsi="仿宋" w:eastAsia="仿宋" w:cs="仿宋"/>
          <w:b w:val="0"/>
          <w:bCs w:val="0"/>
          <w:color w:val="000000" w:themeColor="text1"/>
          <w:kern w:val="0"/>
          <w:sz w:val="24"/>
          <w:highlight w:val="none"/>
          <w14:textFill>
            <w14:solidFill>
              <w14:schemeClr w14:val="tx1"/>
            </w14:solidFill>
          </w14:textFill>
        </w:rPr>
        <w:t>标有“▲”的地方为实质性要求和条件，投标文件应响应采购文件的实质性要求和条件，</w:t>
      </w:r>
      <w:r>
        <w:rPr>
          <w:rFonts w:hint="eastAsia" w:ascii="仿宋" w:hAnsi="仿宋" w:eastAsia="仿宋" w:cs="仿宋"/>
          <w:b w:val="0"/>
          <w:bCs w:val="0"/>
          <w:color w:val="000000" w:themeColor="text1"/>
          <w:kern w:val="0"/>
          <w:sz w:val="24"/>
          <w:highlight w:val="none"/>
          <w:lang w:val="en-US" w:eastAsia="zh-CN"/>
          <w14:textFill>
            <w14:solidFill>
              <w14:schemeClr w14:val="tx1"/>
            </w14:solidFill>
          </w14:textFill>
        </w:rPr>
        <w:t>如</w:t>
      </w:r>
      <w:r>
        <w:rPr>
          <w:rFonts w:hint="eastAsia" w:ascii="仿宋" w:hAnsi="仿宋" w:eastAsia="仿宋" w:cs="仿宋"/>
          <w:b w:val="0"/>
          <w:bCs w:val="0"/>
          <w:color w:val="000000" w:themeColor="text1"/>
          <w:kern w:val="0"/>
          <w:sz w:val="24"/>
          <w:highlight w:val="none"/>
          <w14:textFill>
            <w14:solidFill>
              <w14:schemeClr w14:val="tx1"/>
            </w14:solidFill>
          </w14:textFill>
        </w:rPr>
        <w:t>标有“▲”的条款未响应，将导致其采购需求响应性评审严重扣分。</w:t>
      </w:r>
    </w:p>
    <w:p w14:paraId="03C09731">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94" w:name="_Toc66969975"/>
      <w:bookmarkStart w:id="95" w:name="_Toc70252903"/>
      <w:bookmarkStart w:id="96" w:name="_Toc85096108"/>
      <w:bookmarkStart w:id="97" w:name="_Toc67040090"/>
      <w:bookmarkStart w:id="98" w:name="_Toc70253019"/>
      <w:bookmarkStart w:id="99" w:name="_Toc66692242"/>
      <w:bookmarkStart w:id="100" w:name="_Toc68082652"/>
      <w:bookmarkStart w:id="101" w:name="_Toc8031"/>
      <w:r>
        <w:rPr>
          <w:rFonts w:hint="eastAsia" w:ascii="仿宋" w:hAnsi="仿宋" w:eastAsia="仿宋" w:cs="仿宋"/>
          <w:color w:val="000000" w:themeColor="text1"/>
          <w:sz w:val="24"/>
          <w:highlight w:val="none"/>
          <w14:textFill>
            <w14:solidFill>
              <w14:schemeClr w14:val="tx1"/>
            </w14:solidFill>
          </w14:textFill>
        </w:rPr>
        <w:t>9.投标的语言及计量单位</w:t>
      </w:r>
      <w:bookmarkEnd w:id="94"/>
      <w:bookmarkEnd w:id="95"/>
      <w:bookmarkEnd w:id="96"/>
      <w:bookmarkEnd w:id="97"/>
      <w:bookmarkEnd w:id="98"/>
      <w:bookmarkEnd w:id="99"/>
      <w:bookmarkEnd w:id="100"/>
      <w:bookmarkEnd w:id="101"/>
    </w:p>
    <w:p w14:paraId="548CC766">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投标人的投标文件以及投标人与采购代理机构就有关投标的所有来往函电统一使用中文（特别规定除外）。</w:t>
      </w:r>
    </w:p>
    <w:p w14:paraId="77F75D6A">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9.2</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投标文件中使用的计量单位除采购文件中有特殊规定外，一律使用中国法定计量单位。</w:t>
      </w:r>
    </w:p>
    <w:p w14:paraId="5366513B">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102" w:name="_Toc66692243"/>
      <w:bookmarkStart w:id="103" w:name="_Toc70253020"/>
      <w:bookmarkStart w:id="104" w:name="_Toc85096109"/>
      <w:bookmarkStart w:id="105" w:name="_Toc68082653"/>
      <w:bookmarkStart w:id="106" w:name="_Toc67040091"/>
      <w:bookmarkStart w:id="107" w:name="_Toc66969976"/>
      <w:bookmarkStart w:id="108" w:name="_Toc70252904"/>
      <w:bookmarkStart w:id="109" w:name="_Toc17224"/>
      <w:r>
        <w:rPr>
          <w:rFonts w:hint="eastAsia" w:ascii="仿宋" w:hAnsi="仿宋" w:eastAsia="仿宋" w:cs="仿宋"/>
          <w:color w:val="000000" w:themeColor="text1"/>
          <w:sz w:val="24"/>
          <w:highlight w:val="none"/>
          <w14:textFill>
            <w14:solidFill>
              <w14:schemeClr w14:val="tx1"/>
            </w14:solidFill>
          </w14:textFill>
        </w:rPr>
        <w:t>10.投标文件构成</w:t>
      </w:r>
      <w:bookmarkEnd w:id="102"/>
      <w:bookmarkEnd w:id="103"/>
      <w:bookmarkEnd w:id="104"/>
      <w:bookmarkEnd w:id="105"/>
      <w:bookmarkEnd w:id="106"/>
      <w:bookmarkEnd w:id="107"/>
      <w:bookmarkEnd w:id="108"/>
      <w:bookmarkEnd w:id="109"/>
    </w:p>
    <w:p w14:paraId="0A76287D">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投标人编写的投标文件应由下列部分构成，相关文件</w:t>
      </w:r>
      <w:r>
        <w:rPr>
          <w:rFonts w:hint="eastAsia" w:ascii="仿宋" w:hAnsi="仿宋" w:eastAsia="仿宋" w:cs="仿宋"/>
          <w:color w:val="000000" w:themeColor="text1"/>
          <w:kern w:val="0"/>
          <w:sz w:val="24"/>
          <w:highlight w:val="none"/>
          <w:lang w:val="en-US" w:eastAsia="zh-CN"/>
          <w14:textFill>
            <w14:solidFill>
              <w14:schemeClr w14:val="tx1"/>
            </w14:solidFill>
          </w14:textFill>
        </w:rPr>
        <w:t>或证明</w:t>
      </w:r>
      <w:r>
        <w:rPr>
          <w:rFonts w:hint="eastAsia" w:ascii="仿宋" w:hAnsi="仿宋" w:eastAsia="仿宋" w:cs="仿宋"/>
          <w:color w:val="000000" w:themeColor="text1"/>
          <w:kern w:val="0"/>
          <w:sz w:val="24"/>
          <w:highlight w:val="none"/>
          <w14:textFill>
            <w14:solidFill>
              <w14:schemeClr w14:val="tx1"/>
            </w14:solidFill>
          </w14:textFill>
        </w:rPr>
        <w:t>资料</w:t>
      </w:r>
      <w:r>
        <w:rPr>
          <w:rFonts w:hint="eastAsia" w:ascii="仿宋" w:hAnsi="仿宋" w:eastAsia="仿宋" w:cs="仿宋"/>
          <w:color w:val="000000" w:themeColor="text1"/>
          <w:kern w:val="0"/>
          <w:sz w:val="24"/>
          <w:highlight w:val="none"/>
          <w:lang w:val="en-US" w:eastAsia="zh-CN"/>
          <w14:textFill>
            <w14:solidFill>
              <w14:schemeClr w14:val="tx1"/>
            </w14:solidFill>
          </w14:textFill>
        </w:rPr>
        <w:t>均指原件彩色扫描件</w:t>
      </w:r>
      <w:r>
        <w:rPr>
          <w:rFonts w:hint="eastAsia" w:ascii="仿宋" w:hAnsi="仿宋" w:eastAsia="仿宋" w:cs="仿宋"/>
          <w:color w:val="000000" w:themeColor="text1"/>
          <w:kern w:val="0"/>
          <w:sz w:val="24"/>
          <w:highlight w:val="none"/>
          <w14:textFill>
            <w14:solidFill>
              <w14:schemeClr w14:val="tx1"/>
            </w14:solidFill>
          </w14:textFill>
        </w:rPr>
        <w:t>。</w:t>
      </w:r>
    </w:p>
    <w:p w14:paraId="4175324B">
      <w:pPr>
        <w:spacing w:line="360" w:lineRule="auto"/>
        <w:ind w:firstLine="480" w:firstLineChars="200"/>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资格审查部分；</w:t>
      </w:r>
    </w:p>
    <w:p w14:paraId="398D4D4A">
      <w:pPr>
        <w:spacing w:line="360" w:lineRule="auto"/>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技术部分</w:t>
      </w:r>
      <w:r>
        <w:rPr>
          <w:rFonts w:hint="eastAsia" w:ascii="仿宋" w:hAnsi="仿宋" w:eastAsia="仿宋" w:cs="仿宋"/>
          <w:color w:val="000000" w:themeColor="text1"/>
          <w:kern w:val="0"/>
          <w:sz w:val="24"/>
          <w:highlight w:val="none"/>
          <w:lang w:eastAsia="zh-CN"/>
          <w14:textFill>
            <w14:solidFill>
              <w14:schemeClr w14:val="tx1"/>
            </w14:solidFill>
          </w14:textFill>
        </w:rPr>
        <w:t>；</w:t>
      </w:r>
    </w:p>
    <w:p w14:paraId="2B52606D">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）商务部分</w:t>
      </w:r>
      <w:r>
        <w:rPr>
          <w:rFonts w:hint="eastAsia" w:ascii="仿宋" w:hAnsi="仿宋" w:eastAsia="仿宋" w:cs="仿宋"/>
          <w:color w:val="000000" w:themeColor="text1"/>
          <w:kern w:val="0"/>
          <w:sz w:val="24"/>
          <w:highlight w:val="none"/>
          <w:lang w:eastAsia="zh-CN"/>
          <w14:textFill>
            <w14:solidFill>
              <w14:schemeClr w14:val="tx1"/>
            </w14:solidFill>
          </w14:textFill>
        </w:rPr>
        <w:t>。</w:t>
      </w:r>
    </w:p>
    <w:p w14:paraId="75FBE046">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10.2</w:t>
      </w:r>
      <w:r>
        <w:rPr>
          <w:rFonts w:hint="eastAsia" w:ascii="仿宋" w:hAnsi="仿宋" w:eastAsia="仿宋" w:cs="仿宋"/>
          <w:b/>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电子投标文件</w:t>
      </w:r>
    </w:p>
    <w:p w14:paraId="31DE0813">
      <w:pPr>
        <w:pStyle w:val="37"/>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10.2.1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2"/>
          <w:highlight w:val="none"/>
          <w:u w:color="000000"/>
          <w14:textFill>
            <w14:solidFill>
              <w14:schemeClr w14:val="tx1"/>
            </w14:solidFill>
          </w14:textFill>
        </w:rPr>
        <w:t>投标文件全部采用电子文档，投标人应安装客户端软件“政采云电子交易客户端”，并按照投标文件和政采云电子交易平台的要求编制，编制后应进行电子签名及加密。</w:t>
      </w:r>
    </w:p>
    <w:p w14:paraId="442C0383">
      <w:pPr>
        <w:suppressAutoHyphens/>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10.2.2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资格证明资料复印不清晰、字迹潦草、表达不清、未按要求格式填写而导致非唯一理解，造成非实质性响应采购文件的投标文件将会被认定为无效的投标。</w:t>
      </w:r>
    </w:p>
    <w:p w14:paraId="760D14CA">
      <w:pPr>
        <w:pStyle w:val="37"/>
        <w:spacing w:line="360" w:lineRule="auto"/>
        <w:ind w:firstLine="480" w:firstLineChars="200"/>
        <w:rPr>
          <w:rFonts w:hint="eastAsia" w:ascii="仿宋" w:hAnsi="仿宋" w:eastAsia="仿宋" w:cs="仿宋"/>
          <w:color w:val="000000" w:themeColor="text1"/>
          <w:kern w:val="2"/>
          <w:highlight w:val="none"/>
          <w:u w:color="000000"/>
          <w14:textFill>
            <w14:solidFill>
              <w14:schemeClr w14:val="tx1"/>
            </w14:solidFill>
          </w14:textFill>
        </w:rPr>
      </w:pPr>
      <w:bookmarkStart w:id="110" w:name="_Toc32606"/>
      <w:r>
        <w:rPr>
          <w:rFonts w:hint="eastAsia" w:ascii="仿宋" w:hAnsi="仿宋" w:eastAsia="仿宋" w:cs="仿宋"/>
          <w:color w:val="000000" w:themeColor="text1"/>
          <w:sz w:val="24"/>
          <w:highlight w:val="none"/>
          <w14:textFill>
            <w14:solidFill>
              <w14:schemeClr w14:val="tx1"/>
            </w14:solidFill>
          </w14:textFill>
        </w:rPr>
        <w:t>10.2.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3 </w:t>
      </w:r>
      <w:r>
        <w:rPr>
          <w:rFonts w:hint="eastAsia" w:ascii="仿宋" w:hAnsi="仿宋" w:eastAsia="仿宋" w:cs="仿宋"/>
          <w:color w:val="000000" w:themeColor="text1"/>
          <w:kern w:val="2"/>
          <w:highlight w:val="none"/>
          <w:u w:color="000000"/>
          <w14:textFill>
            <w14:solidFill>
              <w14:schemeClr w14:val="tx1"/>
            </w14:solidFill>
          </w14:textFill>
        </w:rPr>
        <w:t>如投标人提交的电子标书投标文件要求或开标时无法读取导入或解密，其投标文件将不予受理。</w:t>
      </w:r>
      <w:bookmarkEnd w:id="110"/>
    </w:p>
    <w:p w14:paraId="2556B80F">
      <w:pPr>
        <w:pStyle w:val="37"/>
        <w:spacing w:line="360" w:lineRule="auto"/>
        <w:ind w:firstLine="480" w:firstLineChars="200"/>
        <w:rPr>
          <w:rFonts w:hint="eastAsia" w:ascii="仿宋" w:hAnsi="仿宋" w:eastAsia="仿宋" w:cs="仿宋"/>
          <w:color w:val="000000" w:themeColor="text1"/>
          <w:kern w:val="2"/>
          <w:highlight w:val="none"/>
          <w:u w:color="000000"/>
          <w14:textFill>
            <w14:solidFill>
              <w14:schemeClr w14:val="tx1"/>
            </w14:solidFill>
          </w14:textFill>
        </w:rPr>
      </w:pPr>
      <w:bookmarkStart w:id="111" w:name="_Toc7887"/>
      <w:r>
        <w:rPr>
          <w:rFonts w:hint="eastAsia" w:ascii="仿宋" w:hAnsi="仿宋" w:eastAsia="仿宋" w:cs="仿宋"/>
          <w:color w:val="000000" w:themeColor="text1"/>
          <w:sz w:val="24"/>
          <w:highlight w:val="none"/>
          <w14:textFill>
            <w14:solidFill>
              <w14:schemeClr w14:val="tx1"/>
            </w14:solidFill>
          </w14:textFill>
        </w:rPr>
        <w:t>10.2.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kern w:val="2"/>
          <w:highlight w:val="none"/>
          <w:u w:color="000000"/>
          <w14:textFill>
            <w14:solidFill>
              <w14:schemeClr w14:val="tx1"/>
            </w14:solidFill>
          </w14:textFill>
        </w:rPr>
        <w:t>投标文件应尽量避免涂改、行间插字或删除。如果出现上述情况，改动之处应加盖单位章或由投标人的法定代表人（签名或盖章）确认。</w:t>
      </w:r>
      <w:bookmarkEnd w:id="111"/>
    </w:p>
    <w:p w14:paraId="76DCAA00">
      <w:pPr>
        <w:pStyle w:val="37"/>
        <w:spacing w:line="360" w:lineRule="auto"/>
        <w:ind w:firstLine="480" w:firstLineChars="200"/>
        <w:rPr>
          <w:rFonts w:hint="eastAsia" w:ascii="仿宋" w:hAnsi="仿宋" w:eastAsia="仿宋" w:cs="仿宋"/>
          <w:color w:val="000000" w:themeColor="text1"/>
          <w:kern w:val="2"/>
          <w:highlight w:val="none"/>
          <w:u w:color="000000"/>
          <w14:textFill>
            <w14:solidFill>
              <w14:schemeClr w14:val="tx1"/>
            </w14:solidFill>
          </w14:textFill>
        </w:rPr>
      </w:pPr>
      <w:bookmarkStart w:id="112" w:name="_Toc4974"/>
      <w:r>
        <w:rPr>
          <w:rFonts w:hint="eastAsia" w:ascii="仿宋" w:hAnsi="仿宋" w:eastAsia="仿宋" w:cs="仿宋"/>
          <w:color w:val="000000" w:themeColor="text1"/>
          <w:sz w:val="24"/>
          <w:highlight w:val="none"/>
          <w14:textFill>
            <w14:solidFill>
              <w14:schemeClr w14:val="tx1"/>
            </w14:solidFill>
          </w14:textFill>
        </w:rPr>
        <w:t>10.2.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kern w:val="2"/>
          <w:highlight w:val="none"/>
          <w:u w:color="000000"/>
          <w14:textFill>
            <w14:solidFill>
              <w14:schemeClr w14:val="tx1"/>
            </w14:solidFill>
          </w14:textFill>
        </w:rPr>
        <w:t>关键内容字迹潦草、表达不清、未按要求填写而导致非唯一理解，视为未实质性响应投标文件的投标文件。</w:t>
      </w:r>
      <w:bookmarkEnd w:id="112"/>
    </w:p>
    <w:p w14:paraId="6B65F710">
      <w:pPr>
        <w:pStyle w:val="37"/>
        <w:spacing w:line="360" w:lineRule="auto"/>
        <w:ind w:firstLine="480" w:firstLineChars="200"/>
        <w:rPr>
          <w:rFonts w:hint="eastAsia" w:ascii="仿宋" w:hAnsi="仿宋" w:eastAsia="仿宋" w:cs="仿宋"/>
          <w:color w:val="000000" w:themeColor="text1"/>
          <w:kern w:val="2"/>
          <w:highlight w:val="none"/>
          <w:u w:color="000000"/>
          <w14:textFill>
            <w14:solidFill>
              <w14:schemeClr w14:val="tx1"/>
            </w14:solidFill>
          </w14:textFill>
        </w:rPr>
      </w:pPr>
      <w:bookmarkStart w:id="113" w:name="_Toc18604"/>
      <w:r>
        <w:rPr>
          <w:rFonts w:hint="eastAsia" w:ascii="仿宋" w:hAnsi="仿宋" w:eastAsia="仿宋" w:cs="仿宋"/>
          <w:color w:val="000000" w:themeColor="text1"/>
          <w:sz w:val="24"/>
          <w:highlight w:val="none"/>
          <w14:textFill>
            <w14:solidFill>
              <w14:schemeClr w14:val="tx1"/>
            </w14:solidFill>
          </w14:textFill>
        </w:rPr>
        <w:t>10.2.</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kern w:val="2"/>
          <w:highlight w:val="none"/>
          <w:u w:color="000000"/>
          <w14:textFill>
            <w14:solidFill>
              <w14:schemeClr w14:val="tx1"/>
            </w14:solidFill>
          </w14:textFill>
        </w:rPr>
        <w:t>投标文件应由法定代表人或其委托代理人在规定签字处逐一电子签名，要求盖章处应盖单位电子公章。</w:t>
      </w:r>
      <w:bookmarkEnd w:id="113"/>
    </w:p>
    <w:p w14:paraId="4EE0B8B7">
      <w:pPr>
        <w:pStyle w:val="37"/>
        <w:spacing w:line="360" w:lineRule="auto"/>
        <w:ind w:firstLine="480" w:firstLineChars="200"/>
        <w:rPr>
          <w:rFonts w:hint="eastAsia" w:ascii="仿宋" w:hAnsi="仿宋" w:eastAsia="仿宋" w:cs="仿宋"/>
          <w:color w:val="000000" w:themeColor="text1"/>
          <w:kern w:val="2"/>
          <w:highlight w:val="none"/>
          <w:u w:color="000000"/>
          <w14:textFill>
            <w14:solidFill>
              <w14:schemeClr w14:val="tx1"/>
            </w14:solidFill>
          </w14:textFill>
        </w:rPr>
      </w:pPr>
      <w:bookmarkStart w:id="114" w:name="_Toc3030"/>
      <w:r>
        <w:rPr>
          <w:rFonts w:hint="eastAsia" w:ascii="仿宋" w:hAnsi="仿宋" w:eastAsia="仿宋" w:cs="仿宋"/>
          <w:color w:val="000000" w:themeColor="text1"/>
          <w:sz w:val="24"/>
          <w:highlight w:val="none"/>
          <w14:textFill>
            <w14:solidFill>
              <w14:schemeClr w14:val="tx1"/>
            </w14:solidFill>
          </w14:textFill>
        </w:rPr>
        <w:t>10.2.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kern w:val="2"/>
          <w:highlight w:val="none"/>
          <w:u w:color="000000"/>
          <w14:textFill>
            <w14:solidFill>
              <w14:schemeClr w14:val="tx1"/>
            </w14:solidFill>
          </w14:textFill>
        </w:rPr>
        <w:t>投标文件中提供的资料（复印件、扫描件），内容必须清晰可辨，若内容模糊，无法辨识，均视为未提供。</w:t>
      </w:r>
      <w:bookmarkEnd w:id="114"/>
    </w:p>
    <w:p w14:paraId="5AF7A6FE">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115" w:name="_Toc10881"/>
      <w:bookmarkStart w:id="116" w:name="_Toc70253022"/>
      <w:bookmarkStart w:id="117" w:name="_Toc67040093"/>
      <w:bookmarkStart w:id="118" w:name="_Toc70252906"/>
      <w:bookmarkStart w:id="119" w:name="_Toc85096111"/>
      <w:bookmarkStart w:id="120" w:name="_Toc66969978"/>
      <w:bookmarkStart w:id="121" w:name="_Toc68082655"/>
      <w:bookmarkStart w:id="122" w:name="_Toc66692245"/>
      <w:r>
        <w:rPr>
          <w:rFonts w:hint="eastAsia" w:ascii="仿宋" w:hAnsi="仿宋" w:eastAsia="仿宋" w:cs="仿宋"/>
          <w:color w:val="000000" w:themeColor="text1"/>
          <w:sz w:val="24"/>
          <w:highlight w:val="none"/>
          <w14:textFill>
            <w14:solidFill>
              <w14:schemeClr w14:val="tx1"/>
            </w14:solidFill>
          </w14:textFill>
        </w:rPr>
        <w:t>11.投标文件的格式要求</w:t>
      </w:r>
      <w:bookmarkEnd w:id="115"/>
    </w:p>
    <w:p w14:paraId="41F9DCA1">
      <w:pPr>
        <w:pStyle w:val="24"/>
        <w:widowControl w:val="0"/>
        <w:tabs>
          <w:tab w:val="left" w:pos="3030"/>
        </w:tabs>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投标人应按第五章“投标文件格式”提供的内容完整地填写，可以扩展，但不能减少内容。</w:t>
      </w:r>
    </w:p>
    <w:p w14:paraId="6E87F27B">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123" w:name="_Toc43"/>
      <w:r>
        <w:rPr>
          <w:rFonts w:hint="eastAsia" w:ascii="仿宋" w:hAnsi="仿宋" w:eastAsia="仿宋" w:cs="仿宋"/>
          <w:color w:val="000000" w:themeColor="text1"/>
          <w:sz w:val="24"/>
          <w:highlight w:val="none"/>
          <w14:textFill>
            <w14:solidFill>
              <w14:schemeClr w14:val="tx1"/>
            </w14:solidFill>
          </w14:textFill>
        </w:rPr>
        <w:t>12.投标报价</w:t>
      </w:r>
      <w:bookmarkEnd w:id="116"/>
      <w:bookmarkEnd w:id="117"/>
      <w:bookmarkEnd w:id="118"/>
      <w:bookmarkEnd w:id="119"/>
      <w:bookmarkEnd w:id="120"/>
      <w:bookmarkEnd w:id="121"/>
      <w:bookmarkEnd w:id="122"/>
      <w:bookmarkEnd w:id="123"/>
    </w:p>
    <w:p w14:paraId="77795577">
      <w:pPr>
        <w:spacing w:line="360" w:lineRule="auto"/>
        <w:ind w:firstLine="480" w:firstLineChars="200"/>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12.1</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每个标段的价格不变，</w:t>
      </w:r>
      <w:r>
        <w:rPr>
          <w:rFonts w:hint="eastAsia" w:ascii="仿宋" w:hAnsi="仿宋" w:eastAsia="仿宋" w:cs="仿宋"/>
          <w:bCs/>
          <w:color w:val="000000" w:themeColor="text1"/>
          <w:kern w:val="0"/>
          <w:sz w:val="24"/>
          <w:highlight w:val="none"/>
          <w14:textFill>
            <w14:solidFill>
              <w14:schemeClr w14:val="tx1"/>
            </w14:solidFill>
          </w14:textFill>
        </w:rPr>
        <w:t>投标人</w:t>
      </w:r>
      <w:r>
        <w:rPr>
          <w:rFonts w:hint="eastAsia" w:ascii="仿宋" w:hAnsi="仿宋" w:eastAsia="仿宋" w:cs="仿宋"/>
          <w:bCs/>
          <w:color w:val="000000" w:themeColor="text1"/>
          <w:kern w:val="0"/>
          <w:sz w:val="24"/>
          <w:highlight w:val="none"/>
          <w:lang w:eastAsia="zh-CN"/>
          <w14:textFill>
            <w14:solidFill>
              <w14:schemeClr w14:val="tx1"/>
            </w14:solidFill>
          </w14:textFill>
        </w:rPr>
        <w:t>提供大于或等于采购要求抽检的批次，提供的批次服务最多，报价得满分</w:t>
      </w:r>
      <w:r>
        <w:rPr>
          <w:rFonts w:hint="eastAsia" w:ascii="仿宋" w:hAnsi="仿宋" w:eastAsia="仿宋" w:cs="仿宋"/>
          <w:bCs/>
          <w:color w:val="000000" w:themeColor="text1"/>
          <w:kern w:val="0"/>
          <w:sz w:val="24"/>
          <w:highlight w:val="none"/>
          <w14:textFill>
            <w14:solidFill>
              <w14:schemeClr w14:val="tx1"/>
            </w14:solidFill>
          </w14:textFill>
        </w:rPr>
        <w:t>。</w:t>
      </w:r>
    </w:p>
    <w:p w14:paraId="41B01FDE">
      <w:pPr>
        <w:spacing w:line="360" w:lineRule="auto"/>
        <w:ind w:firstLine="480" w:firstLineChars="200"/>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12.2</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24"/>
          <w:highlight w:val="none"/>
          <w14:textFill>
            <w14:solidFill>
              <w14:schemeClr w14:val="tx1"/>
            </w14:solidFill>
          </w14:textFill>
        </w:rPr>
        <w:t>投标报价应包括本项目招标范围中所有工作内容。投标人在报价中未列明但又为本次招标所必备的项目或遗漏项目，采购人将一律视为已包括在其报价中，在合同执行中将不予考虑</w:t>
      </w:r>
      <w:r>
        <w:rPr>
          <w:rFonts w:hint="eastAsia" w:ascii="仿宋" w:hAnsi="仿宋" w:eastAsia="仿宋" w:cs="仿宋"/>
          <w:color w:val="000000" w:themeColor="text1"/>
          <w:kern w:val="0"/>
          <w:sz w:val="24"/>
          <w:highlight w:val="none"/>
          <w14:textFill>
            <w14:solidFill>
              <w14:schemeClr w14:val="tx1"/>
            </w14:solidFill>
          </w14:textFill>
        </w:rPr>
        <w:t>。</w:t>
      </w:r>
    </w:p>
    <w:p w14:paraId="04BC517A">
      <w:pPr>
        <w:spacing w:line="360" w:lineRule="auto"/>
        <w:ind w:firstLine="480" w:firstLineChars="200"/>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12.3</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24"/>
          <w:highlight w:val="none"/>
          <w14:textFill>
            <w14:solidFill>
              <w14:schemeClr w14:val="tx1"/>
            </w14:solidFill>
          </w14:textFill>
        </w:rPr>
        <w:t>任何有选择的报价将不予接受，只允许有一个报价</w:t>
      </w:r>
      <w:r>
        <w:rPr>
          <w:rFonts w:hint="eastAsia" w:ascii="仿宋" w:hAnsi="仿宋" w:eastAsia="仿宋" w:cs="仿宋"/>
          <w:bCs/>
          <w:color w:val="000000" w:themeColor="text1"/>
          <w:kern w:val="0"/>
          <w:sz w:val="24"/>
          <w:highlight w:val="none"/>
          <w:lang w:eastAsia="zh-CN"/>
          <w14:textFill>
            <w14:solidFill>
              <w14:schemeClr w14:val="tx1"/>
            </w14:solidFill>
          </w14:textFill>
        </w:rPr>
        <w:t>，</w:t>
      </w:r>
      <w:r>
        <w:rPr>
          <w:rFonts w:hint="eastAsia" w:ascii="仿宋" w:hAnsi="仿宋" w:eastAsia="仿宋" w:cs="仿宋"/>
          <w:bCs/>
          <w:color w:val="000000" w:themeColor="text1"/>
          <w:kern w:val="0"/>
          <w:sz w:val="24"/>
          <w:highlight w:val="none"/>
          <w14:textFill>
            <w14:solidFill>
              <w14:schemeClr w14:val="tx1"/>
            </w14:solidFill>
          </w14:textFill>
        </w:rPr>
        <w:t>投标人对同一投标项目报价有两个（含两个）以上报价且未书面声明以哪个为准，按无效投标处理。</w:t>
      </w:r>
    </w:p>
    <w:p w14:paraId="32A610DC">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124" w:name="_Toc66692246"/>
      <w:bookmarkStart w:id="125" w:name="_Toc66969979"/>
      <w:bookmarkStart w:id="126" w:name="_Toc68082656"/>
      <w:bookmarkStart w:id="127" w:name="_Toc4250"/>
      <w:bookmarkStart w:id="128" w:name="_Toc85096112"/>
      <w:bookmarkStart w:id="129" w:name="_Toc70252907"/>
      <w:bookmarkStart w:id="130" w:name="_Toc70253023"/>
      <w:bookmarkStart w:id="131" w:name="_Toc67040094"/>
      <w:r>
        <w:rPr>
          <w:rFonts w:hint="eastAsia" w:ascii="仿宋" w:hAnsi="仿宋" w:eastAsia="仿宋" w:cs="仿宋"/>
          <w:color w:val="000000" w:themeColor="text1"/>
          <w:sz w:val="24"/>
          <w:highlight w:val="none"/>
          <w14:textFill>
            <w14:solidFill>
              <w14:schemeClr w14:val="tx1"/>
            </w14:solidFill>
          </w14:textFill>
        </w:rPr>
        <w:t>13.投标货币</w:t>
      </w:r>
      <w:bookmarkEnd w:id="124"/>
      <w:bookmarkEnd w:id="125"/>
      <w:bookmarkEnd w:id="126"/>
      <w:bookmarkEnd w:id="127"/>
      <w:bookmarkEnd w:id="128"/>
      <w:bookmarkEnd w:id="129"/>
      <w:bookmarkEnd w:id="130"/>
      <w:bookmarkEnd w:id="131"/>
    </w:p>
    <w:p w14:paraId="7609B1C6">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投标报价应以人民币报价。</w:t>
      </w:r>
    </w:p>
    <w:p w14:paraId="66A790E2">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132" w:name="_Toc85096113"/>
      <w:bookmarkStart w:id="133" w:name="_Toc68082657"/>
      <w:bookmarkStart w:id="134" w:name="_Toc70253024"/>
      <w:bookmarkStart w:id="135" w:name="_Toc70252908"/>
      <w:bookmarkStart w:id="136" w:name="_Toc66969980"/>
      <w:bookmarkStart w:id="137" w:name="_Toc67040095"/>
      <w:bookmarkStart w:id="138" w:name="_Toc66692247"/>
      <w:bookmarkStart w:id="139" w:name="_Toc20661"/>
      <w:r>
        <w:rPr>
          <w:rFonts w:hint="eastAsia" w:ascii="仿宋" w:hAnsi="仿宋" w:eastAsia="仿宋" w:cs="仿宋"/>
          <w:color w:val="000000" w:themeColor="text1"/>
          <w:sz w:val="24"/>
          <w:highlight w:val="none"/>
          <w14:textFill>
            <w14:solidFill>
              <w14:schemeClr w14:val="tx1"/>
            </w14:solidFill>
          </w14:textFill>
        </w:rPr>
        <w:t>14.投标文件</w:t>
      </w:r>
      <w:bookmarkEnd w:id="132"/>
      <w:bookmarkEnd w:id="133"/>
      <w:bookmarkEnd w:id="134"/>
      <w:bookmarkEnd w:id="135"/>
      <w:bookmarkEnd w:id="136"/>
      <w:bookmarkEnd w:id="137"/>
      <w:bookmarkEnd w:id="138"/>
      <w:r>
        <w:rPr>
          <w:rFonts w:hint="eastAsia" w:ascii="仿宋" w:hAnsi="仿宋" w:eastAsia="仿宋" w:cs="仿宋"/>
          <w:color w:val="000000" w:themeColor="text1"/>
          <w:sz w:val="24"/>
          <w:highlight w:val="none"/>
          <w14:textFill>
            <w14:solidFill>
              <w14:schemeClr w14:val="tx1"/>
            </w14:solidFill>
          </w14:textFill>
        </w:rPr>
        <w:t>份数</w:t>
      </w:r>
      <w:bookmarkEnd w:id="139"/>
    </w:p>
    <w:p w14:paraId="4F4A27E7">
      <w:pPr>
        <w:numPr>
          <w:ilvl w:val="255"/>
          <w:numId w:val="0"/>
        </w:numPr>
        <w:spacing w:line="460" w:lineRule="exact"/>
        <w:ind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网上上传电子投标文件一份。</w:t>
      </w:r>
      <w:r>
        <w:rPr>
          <w:rFonts w:hint="eastAsia" w:ascii="仿宋" w:hAnsi="仿宋" w:eastAsia="仿宋" w:cs="仿宋"/>
          <w:color w:val="000000" w:themeColor="text1"/>
          <w:sz w:val="24"/>
          <w:highlight w:val="none"/>
          <w14:textFill>
            <w14:solidFill>
              <w14:schemeClr w14:val="tx1"/>
            </w14:solidFill>
          </w14:textFill>
        </w:rPr>
        <w:t>投标人须在投标截止时间前完成所有电子投标文件的上传，网上确认电子签名，并打印“上传投标文件回执”，投标截止时间前未完成投标文件传输的，视为撤回投标文件</w:t>
      </w:r>
      <w:r>
        <w:rPr>
          <w:rFonts w:hint="eastAsia" w:ascii="仿宋" w:hAnsi="仿宋" w:eastAsia="仿宋" w:cs="仿宋"/>
          <w:color w:val="000000" w:themeColor="text1"/>
          <w:sz w:val="24"/>
          <w:highlight w:val="none"/>
          <w:lang w:eastAsia="zh-CN"/>
          <w14:textFill>
            <w14:solidFill>
              <w14:schemeClr w14:val="tx1"/>
            </w14:solidFill>
          </w14:textFill>
        </w:rPr>
        <w:t>；</w:t>
      </w:r>
    </w:p>
    <w:p w14:paraId="4F67A359">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14.2中标单位还应在领取中标通知书前向采购代理机构提供与网上上传电子投标文件内容一致的纸质投标文件一正两副。</w:t>
      </w:r>
    </w:p>
    <w:p w14:paraId="4CCC5D54">
      <w:pPr>
        <w:pStyle w:val="3"/>
        <w:numPr>
          <w:ilvl w:val="0"/>
          <w:numId w:val="0"/>
        </w:numPr>
        <w:tabs>
          <w:tab w:val="left" w:pos="360"/>
          <w:tab w:val="clear" w:pos="3999"/>
        </w:tabs>
        <w:ind w:firstLine="482" w:firstLineChars="200"/>
        <w:jc w:val="both"/>
        <w:rPr>
          <w:rFonts w:hint="eastAsia" w:ascii="仿宋" w:hAnsi="仿宋" w:eastAsia="仿宋" w:cs="仿宋"/>
          <w:color w:val="000000" w:themeColor="text1"/>
          <w:sz w:val="24"/>
          <w:highlight w:val="none"/>
          <w14:textFill>
            <w14:solidFill>
              <w14:schemeClr w14:val="tx1"/>
            </w14:solidFill>
          </w14:textFill>
        </w:rPr>
      </w:pPr>
      <w:bookmarkStart w:id="140" w:name="_Toc66969981"/>
      <w:bookmarkStart w:id="141" w:name="_Toc70252909"/>
      <w:bookmarkStart w:id="142" w:name="_Toc67040096"/>
      <w:bookmarkStart w:id="143" w:name="_Toc2848"/>
      <w:bookmarkStart w:id="144" w:name="_Toc70253025"/>
      <w:bookmarkStart w:id="145" w:name="_Toc66692248"/>
      <w:bookmarkStart w:id="146" w:name="_Toc68082658"/>
      <w:bookmarkStart w:id="147" w:name="_Toc85096114"/>
      <w:r>
        <w:rPr>
          <w:rFonts w:hint="eastAsia" w:ascii="仿宋" w:hAnsi="仿宋" w:eastAsia="仿宋" w:cs="仿宋"/>
          <w:color w:val="000000" w:themeColor="text1"/>
          <w:sz w:val="24"/>
          <w:highlight w:val="none"/>
          <w14:textFill>
            <w14:solidFill>
              <w14:schemeClr w14:val="tx1"/>
            </w14:solidFill>
          </w14:textFill>
        </w:rPr>
        <w:t>15.投标文件有效期</w:t>
      </w:r>
      <w:bookmarkEnd w:id="140"/>
      <w:bookmarkEnd w:id="141"/>
      <w:bookmarkEnd w:id="142"/>
      <w:bookmarkEnd w:id="143"/>
      <w:bookmarkEnd w:id="144"/>
      <w:bookmarkEnd w:id="145"/>
      <w:bookmarkEnd w:id="146"/>
      <w:bookmarkEnd w:id="147"/>
    </w:p>
    <w:p w14:paraId="2D302FA5">
      <w:pPr>
        <w:spacing w:line="360" w:lineRule="auto"/>
        <w:ind w:firstLine="480" w:firstLineChars="200"/>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15.1</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24"/>
          <w:highlight w:val="none"/>
          <w14:textFill>
            <w14:solidFill>
              <w14:schemeClr w14:val="tx1"/>
            </w14:solidFill>
          </w14:textFill>
        </w:rPr>
        <w:t>在“投标人须知前附表”规定的投标有效期内，投标人不得要求撤销或修改其投标文件。</w:t>
      </w:r>
    </w:p>
    <w:p w14:paraId="6684CBD0">
      <w:pPr>
        <w:spacing w:line="360" w:lineRule="auto"/>
        <w:ind w:firstLine="480" w:firstLineChars="200"/>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15.2</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24"/>
          <w:highlight w:val="none"/>
          <w14:textFill>
            <w14:solidFill>
              <w14:schemeClr w14:val="tx1"/>
            </w14:solidFill>
          </w14:textFill>
        </w:rPr>
        <w:t>投标有效期从提交投标文件的截止之日起算。投标文件中承诺的投标有效期应当不少于采购文件中载明的投标有效期。</w:t>
      </w:r>
    </w:p>
    <w:p w14:paraId="106E915D">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15.3</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w:t>
      </w:r>
    </w:p>
    <w:p w14:paraId="2812E7CB">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lang w:eastAsia="zh-CN"/>
          <w14:textFill>
            <w14:solidFill>
              <w14:schemeClr w14:val="tx1"/>
            </w14:solidFill>
          </w14:textFill>
        </w:rPr>
      </w:pPr>
      <w:bookmarkStart w:id="148" w:name="_Toc66692249"/>
      <w:bookmarkStart w:id="149" w:name="_Toc68082659"/>
      <w:bookmarkStart w:id="150" w:name="_Toc70253026"/>
      <w:bookmarkStart w:id="151" w:name="_Toc67040097"/>
      <w:bookmarkStart w:id="152" w:name="_Toc85096115"/>
      <w:bookmarkStart w:id="153" w:name="_Toc16092"/>
      <w:bookmarkStart w:id="154" w:name="_Toc70252910"/>
      <w:bookmarkStart w:id="155" w:name="_Toc66969982"/>
      <w:r>
        <w:rPr>
          <w:rFonts w:hint="eastAsia" w:ascii="仿宋" w:hAnsi="仿宋" w:eastAsia="仿宋" w:cs="仿宋"/>
          <w:color w:val="000000" w:themeColor="text1"/>
          <w:sz w:val="24"/>
          <w:highlight w:val="none"/>
          <w14:textFill>
            <w14:solidFill>
              <w14:schemeClr w14:val="tx1"/>
            </w14:solidFill>
          </w14:textFill>
        </w:rPr>
        <w:t>16.投标保证金</w:t>
      </w:r>
      <w:bookmarkEnd w:id="148"/>
      <w:bookmarkEnd w:id="149"/>
      <w:bookmarkEnd w:id="150"/>
      <w:bookmarkEnd w:id="151"/>
      <w:bookmarkEnd w:id="152"/>
      <w:bookmarkEnd w:id="153"/>
      <w:bookmarkEnd w:id="154"/>
      <w:bookmarkEnd w:id="155"/>
    </w:p>
    <w:p w14:paraId="143CBE2B">
      <w:pPr>
        <w:pStyle w:val="24"/>
        <w:widowControl w:val="0"/>
        <w:tabs>
          <w:tab w:val="left" w:pos="710"/>
        </w:tabs>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bookmarkStart w:id="156" w:name="_Toc232509429"/>
      <w:r>
        <w:rPr>
          <w:rFonts w:hint="eastAsia" w:ascii="仿宋" w:hAnsi="仿宋" w:eastAsia="仿宋" w:cs="仿宋"/>
          <w:color w:val="000000" w:themeColor="text1"/>
          <w:sz w:val="24"/>
          <w:highlight w:val="none"/>
          <w14:textFill>
            <w14:solidFill>
              <w14:schemeClr w14:val="tx1"/>
            </w14:solidFill>
          </w14:textFill>
        </w:rPr>
        <w:t>16.1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按“投标人须知前附表”规定的金额及方式交纳。</w:t>
      </w:r>
    </w:p>
    <w:p w14:paraId="597026C3">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157" w:name="_Toc4428"/>
      <w:bookmarkStart w:id="158" w:name="_Toc438160891"/>
      <w:bookmarkStart w:id="159" w:name="_Toc520725541"/>
      <w:bookmarkStart w:id="160" w:name="_Toc520725702"/>
      <w:bookmarkStart w:id="161" w:name="_Toc85096116"/>
      <w:bookmarkStart w:id="162" w:name="_Toc16668"/>
      <w:r>
        <w:rPr>
          <w:rFonts w:hint="eastAsia" w:ascii="仿宋" w:hAnsi="仿宋" w:eastAsia="仿宋" w:cs="仿宋"/>
          <w:color w:val="000000" w:themeColor="text1"/>
          <w:sz w:val="28"/>
          <w:szCs w:val="28"/>
          <w:highlight w:val="none"/>
          <w14:textFill>
            <w14:solidFill>
              <w14:schemeClr w14:val="tx1"/>
            </w14:solidFill>
          </w14:textFill>
        </w:rPr>
        <w:t>五、投标文件的提交</w:t>
      </w:r>
      <w:bookmarkEnd w:id="156"/>
      <w:bookmarkEnd w:id="157"/>
      <w:bookmarkEnd w:id="158"/>
      <w:bookmarkEnd w:id="159"/>
      <w:bookmarkEnd w:id="160"/>
      <w:bookmarkEnd w:id="161"/>
      <w:bookmarkEnd w:id="162"/>
    </w:p>
    <w:p w14:paraId="70F08B98">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163" w:name="_Toc85096117"/>
      <w:bookmarkStart w:id="164" w:name="_Toc68082661"/>
      <w:bookmarkStart w:id="165" w:name="_Toc66692251"/>
      <w:bookmarkStart w:id="166" w:name="_Toc66969984"/>
      <w:bookmarkStart w:id="167" w:name="_Toc70252912"/>
      <w:bookmarkStart w:id="168" w:name="_Toc70253028"/>
      <w:bookmarkStart w:id="169" w:name="_Toc67040099"/>
      <w:bookmarkStart w:id="170" w:name="_Toc20147"/>
      <w:r>
        <w:rPr>
          <w:rFonts w:hint="eastAsia" w:ascii="仿宋" w:hAnsi="仿宋" w:eastAsia="仿宋" w:cs="仿宋"/>
          <w:color w:val="000000" w:themeColor="text1"/>
          <w:sz w:val="24"/>
          <w:highlight w:val="none"/>
          <w14:textFill>
            <w14:solidFill>
              <w14:schemeClr w14:val="tx1"/>
            </w14:solidFill>
          </w14:textFill>
        </w:rPr>
        <w:t>17.</w:t>
      </w:r>
      <w:bookmarkEnd w:id="163"/>
      <w:bookmarkEnd w:id="164"/>
      <w:bookmarkEnd w:id="165"/>
      <w:bookmarkEnd w:id="166"/>
      <w:bookmarkEnd w:id="167"/>
      <w:bookmarkEnd w:id="168"/>
      <w:bookmarkEnd w:id="169"/>
      <w:r>
        <w:rPr>
          <w:rFonts w:hint="eastAsia" w:ascii="仿宋" w:hAnsi="仿宋" w:eastAsia="仿宋" w:cs="仿宋"/>
          <w:color w:val="000000" w:themeColor="text1"/>
          <w:sz w:val="24"/>
          <w:highlight w:val="none"/>
          <w14:textFill>
            <w14:solidFill>
              <w14:schemeClr w14:val="tx1"/>
            </w14:solidFill>
          </w14:textFill>
        </w:rPr>
        <w:t>投标文件的密封与标记</w:t>
      </w:r>
      <w:bookmarkEnd w:id="170"/>
    </w:p>
    <w:p w14:paraId="49520195">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网上递交的投标文件需要对投标文件进行加密。</w:t>
      </w:r>
    </w:p>
    <w:p w14:paraId="4FA306C9">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网上递交电子投标文件网址为http：//www.zcygov.cn，投标人须在投标截止时间前完成所有投标文件的上传，网上确认电子签名。</w:t>
      </w:r>
    </w:p>
    <w:p w14:paraId="4AF50103">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17.3</w:t>
      </w:r>
      <w:r>
        <w:rPr>
          <w:rFonts w:hint="eastAsia" w:ascii="仿宋" w:hAnsi="仿宋" w:eastAsia="仿宋" w:cs="仿宋"/>
          <w:color w:val="000000" w:themeColor="text1"/>
          <w:sz w:val="24"/>
          <w:szCs w:val="24"/>
          <w:highlight w:val="none"/>
          <w14:textFill>
            <w14:solidFill>
              <w14:schemeClr w14:val="tx1"/>
            </w14:solidFill>
          </w14:textFill>
        </w:rPr>
        <w:t>为确保网上操作合法、有效和安全，投标人应当在投标文件提交截止时间前完成在 “政府采购云平台”的身份认证，确保在电子交易过程中能够对相关数据电文进行加密和使用电子签名。</w:t>
      </w:r>
    </w:p>
    <w:p w14:paraId="134F5B9A">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171" w:name="_Toc67040100"/>
      <w:bookmarkStart w:id="172" w:name="_Toc70252913"/>
      <w:bookmarkStart w:id="173" w:name="_Toc66969985"/>
      <w:bookmarkStart w:id="174" w:name="_Toc85096118"/>
      <w:bookmarkStart w:id="175" w:name="_Toc66692252"/>
      <w:bookmarkStart w:id="176" w:name="_Toc70253029"/>
      <w:bookmarkStart w:id="177" w:name="_Toc25306"/>
      <w:bookmarkStart w:id="178" w:name="_Toc68082662"/>
      <w:r>
        <w:rPr>
          <w:rFonts w:hint="eastAsia" w:ascii="仿宋" w:hAnsi="仿宋" w:eastAsia="仿宋" w:cs="仿宋"/>
          <w:color w:val="000000" w:themeColor="text1"/>
          <w:sz w:val="24"/>
          <w:highlight w:val="none"/>
          <w14:textFill>
            <w14:solidFill>
              <w14:schemeClr w14:val="tx1"/>
            </w14:solidFill>
          </w14:textFill>
        </w:rPr>
        <w:t>18.投标文件的递交</w:t>
      </w:r>
      <w:bookmarkEnd w:id="171"/>
      <w:bookmarkEnd w:id="172"/>
      <w:bookmarkEnd w:id="173"/>
      <w:bookmarkEnd w:id="174"/>
      <w:bookmarkEnd w:id="175"/>
      <w:bookmarkEnd w:id="176"/>
      <w:bookmarkEnd w:id="177"/>
      <w:bookmarkEnd w:id="178"/>
    </w:p>
    <w:p w14:paraId="53485462">
      <w:pPr>
        <w:pStyle w:val="24"/>
        <w:widowControl w:val="0"/>
        <w:spacing w:before="0" w:beforeAutospacing="0" w:after="0" w:afterAutospacing="0" w:line="360" w:lineRule="auto"/>
        <w:ind w:firstLine="480" w:firstLineChars="200"/>
        <w:jc w:val="both"/>
        <w:rPr>
          <w:rFonts w:hint="eastAsia" w:ascii="仿宋" w:hAnsi="仿宋" w:eastAsia="仿宋" w:cs="仿宋"/>
          <w:bCs/>
          <w:color w:val="000000" w:themeColor="text1"/>
          <w:sz w:val="24"/>
          <w:highlight w:val="none"/>
          <w14:textFill>
            <w14:solidFill>
              <w14:schemeClr w14:val="tx1"/>
            </w14:solidFill>
          </w14:textFill>
        </w:rPr>
      </w:pPr>
      <w:bookmarkStart w:id="179" w:name="_Toc438160892"/>
      <w:bookmarkStart w:id="180" w:name="_Toc232509430"/>
      <w:bookmarkStart w:id="181" w:name="_Toc8253"/>
      <w:r>
        <w:rPr>
          <w:rFonts w:hint="eastAsia" w:ascii="仿宋" w:hAnsi="仿宋" w:eastAsia="仿宋" w:cs="仿宋"/>
          <w:bCs/>
          <w:color w:val="000000" w:themeColor="text1"/>
          <w:sz w:val="24"/>
          <w:highlight w:val="none"/>
          <w14:textFill>
            <w14:solidFill>
              <w14:schemeClr w14:val="tx1"/>
            </w14:solidFill>
          </w14:textFill>
        </w:rPr>
        <w:t>18.1</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投标人递交投标文件的时间：详见投标人须知前附表。</w:t>
      </w:r>
    </w:p>
    <w:p w14:paraId="78A8E198">
      <w:pPr>
        <w:pStyle w:val="24"/>
        <w:widowControl w:val="0"/>
        <w:spacing w:before="0" w:beforeAutospacing="0" w:after="0" w:afterAutospacing="0" w:line="360" w:lineRule="auto"/>
        <w:ind w:firstLine="480" w:firstLineChars="200"/>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18.2 投标人递交投标文件的地点：详见投标人须知前附表。 </w:t>
      </w:r>
    </w:p>
    <w:p w14:paraId="3DA32115">
      <w:pPr>
        <w:pStyle w:val="24"/>
        <w:widowControl w:val="0"/>
        <w:spacing w:before="0" w:beforeAutospacing="0" w:after="0" w:afterAutospacing="0" w:line="360" w:lineRule="auto"/>
        <w:ind w:firstLine="480" w:firstLineChars="200"/>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18.3 除投标人须知前附表另有规定外，投标人所递交的投标文件不予退还。</w:t>
      </w:r>
    </w:p>
    <w:p w14:paraId="69B3A5BD">
      <w:pPr>
        <w:pStyle w:val="24"/>
        <w:widowControl w:val="0"/>
        <w:spacing w:before="0" w:beforeAutospacing="0" w:after="0" w:afterAutospacing="0" w:line="360" w:lineRule="auto"/>
        <w:ind w:firstLine="480" w:firstLineChars="200"/>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18.4 </w:t>
      </w:r>
      <w:r>
        <w:rPr>
          <w:rFonts w:hint="eastAsia" w:ascii="仿宋" w:hAnsi="仿宋" w:eastAsia="仿宋" w:cs="仿宋"/>
          <w:bCs/>
          <w:color w:val="000000" w:themeColor="text1"/>
          <w:sz w:val="24"/>
          <w:highlight w:val="none"/>
          <w:lang w:val="en-US" w:eastAsia="zh-CN"/>
          <w14:textFill>
            <w14:solidFill>
              <w14:schemeClr w14:val="tx1"/>
            </w14:solidFill>
          </w14:textFill>
        </w:rPr>
        <w:t>未在规投标截止时间前上传投标文件的</w:t>
      </w:r>
      <w:r>
        <w:rPr>
          <w:rFonts w:hint="eastAsia" w:ascii="仿宋" w:hAnsi="仿宋" w:eastAsia="仿宋" w:cs="仿宋"/>
          <w:bCs/>
          <w:color w:val="000000" w:themeColor="text1"/>
          <w:sz w:val="24"/>
          <w:highlight w:val="none"/>
          <w14:textFill>
            <w14:solidFill>
              <w14:schemeClr w14:val="tx1"/>
            </w14:solidFill>
          </w14:textFill>
        </w:rPr>
        <w:t>，</w:t>
      </w:r>
      <w:r>
        <w:rPr>
          <w:rFonts w:hint="eastAsia" w:ascii="仿宋" w:hAnsi="仿宋" w:eastAsia="仿宋" w:cs="仿宋"/>
          <w:bCs/>
          <w:color w:val="000000" w:themeColor="text1"/>
          <w:sz w:val="24"/>
          <w:highlight w:val="none"/>
          <w:lang w:val="en-US" w:eastAsia="zh-CN"/>
          <w14:textFill>
            <w14:solidFill>
              <w14:schemeClr w14:val="tx1"/>
            </w14:solidFill>
          </w14:textFill>
        </w:rPr>
        <w:t>视为自动放弃投标，</w:t>
      </w:r>
      <w:r>
        <w:rPr>
          <w:rFonts w:hint="eastAsia" w:ascii="仿宋" w:hAnsi="仿宋" w:eastAsia="仿宋" w:cs="仿宋"/>
          <w:bCs/>
          <w:color w:val="000000" w:themeColor="text1"/>
          <w:sz w:val="24"/>
          <w:highlight w:val="none"/>
          <w14:textFill>
            <w14:solidFill>
              <w14:schemeClr w14:val="tx1"/>
            </w14:solidFill>
          </w14:textFill>
        </w:rPr>
        <w:t>采购人不予受理。</w:t>
      </w:r>
    </w:p>
    <w:p w14:paraId="26FB160E">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182" w:name="_Toc67040101"/>
      <w:bookmarkStart w:id="183" w:name="_Toc66692253"/>
      <w:bookmarkStart w:id="184" w:name="_Toc70253030"/>
      <w:bookmarkStart w:id="185" w:name="_Toc16841"/>
      <w:bookmarkStart w:id="186" w:name="_Toc66969986"/>
      <w:bookmarkStart w:id="187" w:name="_Toc85096119"/>
      <w:bookmarkStart w:id="188" w:name="_Toc68082663"/>
      <w:bookmarkStart w:id="189" w:name="_Toc70252914"/>
      <w:r>
        <w:rPr>
          <w:rFonts w:hint="eastAsia" w:ascii="仿宋" w:hAnsi="仿宋" w:eastAsia="仿宋" w:cs="仿宋"/>
          <w:color w:val="000000" w:themeColor="text1"/>
          <w:sz w:val="24"/>
          <w:highlight w:val="none"/>
          <w14:textFill>
            <w14:solidFill>
              <w14:schemeClr w14:val="tx1"/>
            </w14:solidFill>
          </w14:textFill>
        </w:rPr>
        <w:t>19.投标文件的修改与撤回</w:t>
      </w:r>
      <w:bookmarkEnd w:id="182"/>
      <w:bookmarkEnd w:id="183"/>
      <w:bookmarkEnd w:id="184"/>
      <w:bookmarkEnd w:id="185"/>
      <w:bookmarkEnd w:id="186"/>
      <w:bookmarkEnd w:id="187"/>
      <w:bookmarkEnd w:id="188"/>
      <w:bookmarkEnd w:id="189"/>
    </w:p>
    <w:p w14:paraId="153B8024">
      <w:pPr>
        <w:suppressAutoHyphens/>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在投标截止时间前，投标人可以修改或撤回已在网上递交的投标文件，无须书面形式通知采购人。</w:t>
      </w:r>
    </w:p>
    <w:p w14:paraId="30C0B7FD">
      <w:pPr>
        <w:pStyle w:val="24"/>
        <w:widowControl w:val="0"/>
        <w:tabs>
          <w:tab w:val="left" w:pos="710"/>
        </w:tabs>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修改的投标文件应按照《电子投标文件编制及报送要求》进行编制、密封、标记和递交。</w:t>
      </w:r>
    </w:p>
    <w:p w14:paraId="236409B2">
      <w:pPr>
        <w:pStyle w:val="24"/>
        <w:widowControl w:val="0"/>
        <w:tabs>
          <w:tab w:val="left" w:pos="710"/>
        </w:tabs>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19.3修改后重新递交的投标文件需要在递交界面再次确认签名，因投标人原因未成功递交投标文件的视为放弃投标。</w:t>
      </w:r>
    </w:p>
    <w:p w14:paraId="08B81617">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190" w:name="_Toc7234"/>
      <w:bookmarkStart w:id="191" w:name="_Toc85096120"/>
      <w:r>
        <w:rPr>
          <w:rFonts w:hint="eastAsia" w:ascii="仿宋" w:hAnsi="仿宋" w:eastAsia="仿宋" w:cs="仿宋"/>
          <w:color w:val="000000" w:themeColor="text1"/>
          <w:sz w:val="28"/>
          <w:szCs w:val="28"/>
          <w:highlight w:val="none"/>
          <w14:textFill>
            <w14:solidFill>
              <w14:schemeClr w14:val="tx1"/>
            </w14:solidFill>
          </w14:textFill>
        </w:rPr>
        <w:t>六、开标与评标</w:t>
      </w:r>
      <w:bookmarkEnd w:id="179"/>
      <w:bookmarkEnd w:id="180"/>
      <w:bookmarkEnd w:id="181"/>
      <w:bookmarkEnd w:id="190"/>
      <w:bookmarkEnd w:id="191"/>
    </w:p>
    <w:p w14:paraId="0986377A">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192" w:name="_Toc70253032"/>
      <w:bookmarkStart w:id="193" w:name="_Toc67040103"/>
      <w:bookmarkStart w:id="194" w:name="_Toc85096121"/>
      <w:bookmarkStart w:id="195" w:name="_Toc70252916"/>
      <w:bookmarkStart w:id="196" w:name="_Toc66692255"/>
      <w:bookmarkStart w:id="197" w:name="_Toc2744"/>
      <w:bookmarkStart w:id="198" w:name="_Toc68082665"/>
      <w:bookmarkStart w:id="199" w:name="_Toc66969988"/>
      <w:r>
        <w:rPr>
          <w:rFonts w:hint="eastAsia" w:ascii="仿宋" w:hAnsi="仿宋" w:eastAsia="仿宋" w:cs="仿宋"/>
          <w:color w:val="000000" w:themeColor="text1"/>
          <w:sz w:val="24"/>
          <w:highlight w:val="none"/>
          <w14:textFill>
            <w14:solidFill>
              <w14:schemeClr w14:val="tx1"/>
            </w14:solidFill>
          </w14:textFill>
        </w:rPr>
        <w:t>20.开标</w:t>
      </w:r>
      <w:bookmarkEnd w:id="192"/>
      <w:bookmarkEnd w:id="193"/>
      <w:bookmarkEnd w:id="194"/>
      <w:bookmarkEnd w:id="195"/>
      <w:bookmarkEnd w:id="196"/>
      <w:bookmarkEnd w:id="197"/>
      <w:bookmarkEnd w:id="198"/>
      <w:bookmarkEnd w:id="199"/>
    </w:p>
    <w:p w14:paraId="355017AC">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采购代理机构将在“投标人须知前附表”中规定的时间和地点组织网上开标。</w:t>
      </w:r>
    </w:p>
    <w:p w14:paraId="26D2A87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.2 投标截止时间结束后参加投标的投标人不足三家的，停止开标。</w:t>
      </w:r>
    </w:p>
    <w:p w14:paraId="19DB891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.3 开标程序：</w:t>
      </w:r>
    </w:p>
    <w:p w14:paraId="370D835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(1)开标会由采购代理机构主持；</w:t>
      </w:r>
    </w:p>
    <w:p w14:paraId="399C51EA">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(2)开标：顺序按照政采云平台自动提取所有投标人的顺序开标。主持人开启电子投标文件后，下达解密指令，投标人按照上述开标顺序，使用编制投标文件时的加密数字证书对投标文件进行解密；</w:t>
      </w:r>
    </w:p>
    <w:p w14:paraId="7C5BCED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(3)唱标：按照政采云平台自动读取投标人在其电子投标文件中、投标价格和采购文件规定的需要宣布的其他内容。</w:t>
      </w:r>
    </w:p>
    <w:p w14:paraId="68AC5442">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(4)开标会议结束。</w:t>
      </w:r>
    </w:p>
    <w:p w14:paraId="3B4A8842">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.4 投标人代表对开标过程和开标记录有异议，以及认为采购人、采购代理机构 相关工作人员有需要回避的情形的，应在线提出询问或者回避申请。采购人、采购代理机构对投标人代表提出的询问或者回避申请应当及时处理并记录在案。</w:t>
      </w:r>
    </w:p>
    <w:p w14:paraId="53905A3D">
      <w:pPr>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20.5投标文件如果出现计算或表达上的错误，修正错误的原则如下：</w:t>
      </w:r>
    </w:p>
    <w:p w14:paraId="62EF5E85">
      <w:pPr>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（1）投标文件中开标一览表（报价表）内容与投标文件中相应内容不一致的，以开标一览表（报价表）为准；</w:t>
      </w:r>
    </w:p>
    <w:p w14:paraId="6E9F66F3">
      <w:pPr>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（2）大写金额和小写金额不一致的，以大写金额为准；</w:t>
      </w:r>
    </w:p>
    <w:p w14:paraId="43BB6CBE">
      <w:pPr>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（3）单价金额小数点或者百分比有明显错位的，以开标一览表的总价为准，并修改单价；</w:t>
      </w:r>
    </w:p>
    <w:p w14:paraId="15263887">
      <w:pPr>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（4）总价金额与按单价汇总金额不一致的，以单价金额计算结果为准。</w:t>
      </w:r>
    </w:p>
    <w:p w14:paraId="1149C3EB">
      <w:pPr>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（5）按上述修正错误的原则及方法调整或修正投标文件的投标报价，投标人同意后，调整后的投标报价对投标人起约束作用。如果投标人不接受修正后的报价，则其投标无效。</w:t>
      </w:r>
    </w:p>
    <w:p w14:paraId="616A47FC">
      <w:pPr>
        <w:numPr>
          <w:ilvl w:val="2"/>
          <w:numId w:val="0"/>
        </w:numPr>
        <w:tabs>
          <w:tab w:val="left" w:pos="1588"/>
        </w:tabs>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b/>
          <w:bCs/>
          <w:color w:val="000000" w:themeColor="text1"/>
          <w:sz w:val="24"/>
          <w:szCs w:val="24"/>
          <w:highlight w:val="none"/>
          <w14:textFill>
            <w14:solidFill>
              <w14:schemeClr w14:val="tx1"/>
            </w14:solidFill>
          </w14:textFill>
        </w:rPr>
        <w:t>资格审查</w:t>
      </w:r>
    </w:p>
    <w:p w14:paraId="1B2B5CE4">
      <w:pPr>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21.1按《政府采购货物和服务招标投标管理办法（财政部令第87号）》第四十四条“公开招标采购项目开标结束后，采购人或者采购代理机构应当依法对投标人的资格进行审查”的要求；公开招标采购项目开标结束后，采购人或者采购代理机构依法对投标人的资格进行审查。</w:t>
      </w:r>
    </w:p>
    <w:p w14:paraId="3978E339">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200" w:name="_Toc23203"/>
      <w:bookmarkStart w:id="201" w:name="_Toc66692256"/>
      <w:bookmarkStart w:id="202" w:name="_Toc70252917"/>
      <w:bookmarkStart w:id="203" w:name="_Toc66969989"/>
      <w:bookmarkStart w:id="204" w:name="_Toc85096122"/>
      <w:bookmarkStart w:id="205" w:name="_Toc68082666"/>
      <w:bookmarkStart w:id="206" w:name="_Toc70253033"/>
      <w:bookmarkStart w:id="207" w:name="_Toc67040104"/>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.评标</w:t>
      </w:r>
      <w:bookmarkEnd w:id="200"/>
      <w:bookmarkEnd w:id="201"/>
      <w:bookmarkEnd w:id="202"/>
      <w:bookmarkEnd w:id="203"/>
      <w:bookmarkEnd w:id="204"/>
      <w:bookmarkEnd w:id="205"/>
      <w:bookmarkEnd w:id="206"/>
      <w:bookmarkEnd w:id="207"/>
    </w:p>
    <w:p w14:paraId="0D5C8A59">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评标由采购人依法组建的评标委员会负责。</w:t>
      </w:r>
      <w:bookmarkStart w:id="208" w:name="_Toc191374422"/>
      <w:r>
        <w:rPr>
          <w:rFonts w:hint="eastAsia" w:ascii="仿宋" w:hAnsi="仿宋" w:eastAsia="仿宋" w:cs="仿宋"/>
          <w:color w:val="000000" w:themeColor="text1"/>
          <w:sz w:val="24"/>
          <w:highlight w:val="none"/>
          <w14:textFill>
            <w14:solidFill>
              <w14:schemeClr w14:val="tx1"/>
            </w14:solidFill>
          </w14:textFill>
        </w:rPr>
        <w:t>评标委员会由采购人代表和评审专家组成，成员人数应当为5人以上单数，其中评审专家不得少于成员总数的三分之二，评标专家的抽取将按照《</w:t>
      </w:r>
      <w:r>
        <w:rPr>
          <w:rFonts w:hint="eastAsia" w:ascii="仿宋" w:hAnsi="仿宋" w:eastAsia="仿宋" w:cs="仿宋"/>
          <w:color w:val="000000" w:themeColor="text1"/>
          <w:sz w:val="24"/>
          <w:highlight w:val="none"/>
          <w:lang w:val="en-US" w:eastAsia="zh-CN"/>
          <w14:textFill>
            <w14:solidFill>
              <w14:schemeClr w14:val="tx1"/>
            </w14:solidFill>
          </w14:textFill>
        </w:rPr>
        <w:t>云财规</w:t>
      </w:r>
      <w:r>
        <w:rPr>
          <w:rFonts w:hint="eastAsia" w:ascii="仿宋" w:hAnsi="仿宋" w:eastAsia="仿宋" w:cs="仿宋"/>
          <w:color w:val="000000" w:themeColor="text1"/>
          <w:sz w:val="24"/>
          <w:highlight w:val="none"/>
          <w14:textFill>
            <w14:solidFill>
              <w14:schemeClr w14:val="tx1"/>
            </w14:solidFill>
          </w14:textFill>
        </w:rPr>
        <w:t>〔202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号》</w:t>
      </w:r>
      <w:r>
        <w:rPr>
          <w:rFonts w:hint="eastAsia" w:ascii="仿宋" w:hAnsi="仿宋" w:eastAsia="仿宋" w:cs="仿宋"/>
          <w:color w:val="000000" w:themeColor="text1"/>
          <w:sz w:val="24"/>
          <w:highlight w:val="none"/>
          <w:lang w:eastAsia="zh-CN"/>
          <w14:textFill>
            <w14:solidFill>
              <w14:schemeClr w14:val="tx1"/>
            </w14:solidFill>
          </w14:textFill>
        </w:rPr>
        <w:t>云南省财政厅关于印发《云南省政府采购评审专家管理办法》的通知</w:t>
      </w:r>
      <w:r>
        <w:rPr>
          <w:rFonts w:hint="eastAsia" w:ascii="仿宋" w:hAnsi="仿宋" w:eastAsia="仿宋" w:cs="仿宋"/>
          <w:color w:val="000000" w:themeColor="text1"/>
          <w:sz w:val="24"/>
          <w:highlight w:val="none"/>
          <w14:textFill>
            <w14:solidFill>
              <w14:schemeClr w14:val="tx1"/>
            </w14:solidFill>
          </w14:textFill>
        </w:rPr>
        <w:t>执行。</w:t>
      </w:r>
    </w:p>
    <w:p w14:paraId="4013B309">
      <w:pPr>
        <w:pStyle w:val="24"/>
        <w:widowControl w:val="0"/>
        <w:spacing w:before="0" w:beforeAutospacing="0" w:after="0" w:afterAutospacing="0" w:line="360" w:lineRule="auto"/>
        <w:ind w:firstLine="480" w:firstLineChars="200"/>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val="en-US" w:eastAsia="zh-CN"/>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评标原则</w:t>
      </w:r>
      <w:bookmarkEnd w:id="208"/>
    </w:p>
    <w:p w14:paraId="25AB7D79">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评标活动遵循客观、公平、公正、审慎、科学和择优的原则。</w:t>
      </w:r>
    </w:p>
    <w:p w14:paraId="1BBEA608">
      <w:pPr>
        <w:pStyle w:val="24"/>
        <w:widowControl w:val="0"/>
        <w:spacing w:before="0" w:beforeAutospacing="0" w:after="0" w:afterAutospacing="0" w:line="360" w:lineRule="auto"/>
        <w:ind w:firstLine="480" w:firstLineChars="200"/>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评标工作程序</w:t>
      </w:r>
    </w:p>
    <w:p w14:paraId="485C671A">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.3.1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评标委员会按照第三章“评标办法”规定的评审因素、评审标准、评审程序对投标文件进行独立评审。“评标办法”没有规定的评审因素和标准，不作为评标依据。</w:t>
      </w:r>
    </w:p>
    <w:p w14:paraId="244C9653">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.3.2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投标文件初审（包括资格性审查和符合性审查），有下列情况之一的，投标无效：</w:t>
      </w:r>
    </w:p>
    <w:p w14:paraId="55B309AA">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（1）未按照采购文件的规定提交投标保证金的；</w:t>
      </w:r>
    </w:p>
    <w:p w14:paraId="4E4F6F27">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（2）投标文件未按采购文件要求密封、签署、盖章的；</w:t>
      </w:r>
    </w:p>
    <w:p w14:paraId="22546465">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（3）不具备采购文件中规定的资格要求的；</w:t>
      </w:r>
    </w:p>
    <w:p w14:paraId="27BFF03E">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（4）报价超过采购文件中规定的预算金额或者最高限价的；</w:t>
      </w:r>
    </w:p>
    <w:p w14:paraId="1C18DBF7">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（5）投标文件供货期限不满足采购文件要求的或投标文件附有采购人不能接受的条件的；</w:t>
      </w:r>
    </w:p>
    <w:p w14:paraId="4410B332">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（6）投标文件含有采购人不能接受的附加条件的；</w:t>
      </w:r>
    </w:p>
    <w:p w14:paraId="03021908">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（7）法律、法规和采购文件规定的其他无效情形。</w:t>
      </w:r>
    </w:p>
    <w:p w14:paraId="2FF2887D">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评标过程的保密：开标后，直到授予投标人合同止，凡是属于审查、澄清、评审和比较的有关资料以及授标建议等均不得向投标人或其他无关的人员透露。投标人在评标过程中采取任何试图影响评标结果不公正的行为，可能导致其投标被拒绝。</w:t>
      </w:r>
    </w:p>
    <w:p w14:paraId="4814D019">
      <w:pPr>
        <w:spacing w:line="360" w:lineRule="auto"/>
        <w:ind w:firstLine="482" w:firstLineChars="200"/>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.投标文件如果出现计算或表达上的错误，修正错误的原则如下</w:t>
      </w:r>
    </w:p>
    <w:p w14:paraId="2D6641A3">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（1）投标文件中开标（唱标）一览表（报价表）内容与投标文件中相应内容不一致的，以开标（唱标）一览表（报价表）为准；</w:t>
      </w:r>
    </w:p>
    <w:p w14:paraId="51487BD0">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（2）大写金额和小写金额不一致的，以大写金额为准；</w:t>
      </w:r>
    </w:p>
    <w:p w14:paraId="285BE581">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（3）单价金额小数点或者百分比有明显错位的，以开标一览表的总价为准，并修改单价；</w:t>
      </w:r>
    </w:p>
    <w:p w14:paraId="7F9CE84D">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（4）总价金额与按单价汇总金额不一致的，以单价金额计算结果为准。</w:t>
      </w:r>
    </w:p>
    <w:p w14:paraId="3A85C1F6">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（5）同时出现两种以上不一致的，按照前款规定的顺序修正。</w:t>
      </w:r>
    </w:p>
    <w:p w14:paraId="3DD7DD7F">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（6）按上述修正错误的原则及方法调整或修正投标文件的投标报价，投标人同意后，调整后的投标报价对投标人起约束作用。如果投标人不接受修正后的报价，其投标无效。</w:t>
      </w:r>
    </w:p>
    <w:p w14:paraId="14742BF2">
      <w:pPr>
        <w:pStyle w:val="24"/>
        <w:widowControl w:val="0"/>
        <w:spacing w:before="0" w:beforeAutospacing="0" w:after="0" w:afterAutospacing="0" w:line="360" w:lineRule="auto"/>
        <w:ind w:firstLine="482" w:firstLineChars="200"/>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2"/>
          <w:sz w:val="24"/>
          <w:highlight w:val="none"/>
          <w14:textFill>
            <w14:solidFill>
              <w14:schemeClr w14:val="tx1"/>
            </w14:solidFill>
          </w14:textFill>
        </w:rPr>
        <w:t>2</w:t>
      </w:r>
      <w:r>
        <w:rPr>
          <w:rFonts w:hint="eastAsia" w:ascii="仿宋" w:hAnsi="仿宋" w:eastAsia="仿宋" w:cs="仿宋"/>
          <w:b/>
          <w:color w:val="000000" w:themeColor="text1"/>
          <w:kern w:val="2"/>
          <w:sz w:val="24"/>
          <w:highlight w:val="none"/>
          <w:lang w:val="en-US" w:eastAsia="zh-CN"/>
          <w14:textFill>
            <w14:solidFill>
              <w14:schemeClr w14:val="tx1"/>
            </w14:solidFill>
          </w14:textFill>
        </w:rPr>
        <w:t>4</w:t>
      </w:r>
      <w:r>
        <w:rPr>
          <w:rFonts w:hint="eastAsia" w:ascii="仿宋" w:hAnsi="仿宋" w:eastAsia="仿宋" w:cs="仿宋"/>
          <w:b/>
          <w:color w:val="000000" w:themeColor="text1"/>
          <w:kern w:val="2"/>
          <w:sz w:val="24"/>
          <w:highlight w:val="none"/>
          <w14:textFill>
            <w14:solidFill>
              <w14:schemeClr w14:val="tx1"/>
            </w14:solidFill>
          </w14:textFill>
        </w:rPr>
        <w:t>.在招标采购中，出现下列情形之一的，应予废标</w:t>
      </w:r>
    </w:p>
    <w:p w14:paraId="308C316F">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 符合专业条件的投标人或者对采购文件作实质响应的投标人不足3家的；</w:t>
      </w:r>
    </w:p>
    <w:p w14:paraId="19E6C604">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 出现影响采购公正的违法、违规行为的；</w:t>
      </w:r>
    </w:p>
    <w:p w14:paraId="4BE720CC">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 投标人的报价超过采购项目预算价或最高限价的；</w:t>
      </w:r>
    </w:p>
    <w:p w14:paraId="674D2AC5">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 因重大变故，采购任务取消的。</w:t>
      </w:r>
    </w:p>
    <w:p w14:paraId="3E11AD5E">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kern w:val="0"/>
          <w:sz w:val="24"/>
          <w:highlight w:val="none"/>
          <w14:textFill>
            <w14:solidFill>
              <w14:schemeClr w14:val="tx1"/>
            </w14:solidFill>
          </w14:textFill>
        </w:rPr>
      </w:pPr>
      <w:bookmarkStart w:id="209" w:name="_Toc6695"/>
      <w:bookmarkStart w:id="210" w:name="_Toc85096123"/>
      <w:bookmarkStart w:id="211" w:name="_Toc70253034"/>
      <w:bookmarkStart w:id="212" w:name="_Toc66969990"/>
      <w:bookmarkStart w:id="213" w:name="_Toc67040105"/>
      <w:bookmarkStart w:id="214" w:name="_Toc66692257"/>
      <w:bookmarkStart w:id="215" w:name="_Toc70252918"/>
      <w:bookmarkStart w:id="216" w:name="_Toc68082667"/>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.评标办法</w:t>
      </w:r>
      <w:bookmarkEnd w:id="209"/>
      <w:bookmarkEnd w:id="210"/>
      <w:bookmarkEnd w:id="211"/>
      <w:bookmarkEnd w:id="212"/>
      <w:bookmarkEnd w:id="213"/>
      <w:bookmarkEnd w:id="214"/>
      <w:bookmarkEnd w:id="215"/>
      <w:bookmarkEnd w:id="216"/>
    </w:p>
    <w:p w14:paraId="40F6ADD1">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25.1</w:t>
      </w:r>
      <w:r>
        <w:rPr>
          <w:rFonts w:hint="eastAsia" w:ascii="仿宋" w:hAnsi="仿宋" w:eastAsia="仿宋" w:cs="仿宋"/>
          <w:color w:val="000000" w:themeColor="text1"/>
          <w:sz w:val="24"/>
          <w:highlight w:val="none"/>
          <w14:textFill>
            <w14:solidFill>
              <w14:schemeClr w14:val="tx1"/>
            </w14:solidFill>
          </w14:textFill>
        </w:rPr>
        <w:t>综合评分法，具体评标办法详见第三章“</w:t>
      </w:r>
      <w:r>
        <w:rPr>
          <w:rFonts w:hint="eastAsia" w:ascii="仿宋" w:hAnsi="仿宋" w:eastAsia="仿宋" w:cs="仿宋"/>
          <w:bCs/>
          <w:color w:val="000000" w:themeColor="text1"/>
          <w:sz w:val="24"/>
          <w:highlight w:val="none"/>
          <w14:textFill>
            <w14:solidFill>
              <w14:schemeClr w14:val="tx1"/>
            </w14:solidFill>
          </w14:textFill>
        </w:rPr>
        <w:t>评标办法”</w:t>
      </w:r>
      <w:r>
        <w:rPr>
          <w:rFonts w:hint="eastAsia" w:ascii="仿宋" w:hAnsi="仿宋" w:eastAsia="仿宋" w:cs="仿宋"/>
          <w:color w:val="000000" w:themeColor="text1"/>
          <w:sz w:val="24"/>
          <w:highlight w:val="none"/>
          <w14:textFill>
            <w14:solidFill>
              <w14:schemeClr w14:val="tx1"/>
            </w14:solidFill>
          </w14:textFill>
        </w:rPr>
        <w:t>。</w:t>
      </w:r>
      <w:bookmarkStart w:id="217" w:name="_Toc438160893"/>
      <w:bookmarkStart w:id="218" w:name="_Toc232509431"/>
    </w:p>
    <w:p w14:paraId="48292F53">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219" w:name="_Toc85096124"/>
      <w:bookmarkStart w:id="220" w:name="_Toc2623"/>
      <w:r>
        <w:rPr>
          <w:rFonts w:hint="eastAsia" w:ascii="仿宋" w:hAnsi="仿宋" w:eastAsia="仿宋" w:cs="仿宋"/>
          <w:color w:val="000000" w:themeColor="text1"/>
          <w:sz w:val="28"/>
          <w:szCs w:val="28"/>
          <w:highlight w:val="none"/>
          <w14:textFill>
            <w14:solidFill>
              <w14:schemeClr w14:val="tx1"/>
            </w14:solidFill>
          </w14:textFill>
        </w:rPr>
        <w:t>七、中标结果</w:t>
      </w:r>
      <w:bookmarkEnd w:id="217"/>
      <w:bookmarkEnd w:id="218"/>
      <w:bookmarkEnd w:id="219"/>
      <w:bookmarkEnd w:id="220"/>
    </w:p>
    <w:p w14:paraId="64CC44E9">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221" w:name="_Toc14526"/>
      <w:bookmarkStart w:id="222" w:name="_Toc70253036"/>
      <w:bookmarkStart w:id="223" w:name="_Toc66969992"/>
      <w:bookmarkStart w:id="224" w:name="_Toc66692259"/>
      <w:bookmarkStart w:id="225" w:name="_Toc67040107"/>
      <w:bookmarkStart w:id="226" w:name="_Toc85096125"/>
      <w:bookmarkStart w:id="227" w:name="_Toc70252920"/>
      <w:bookmarkStart w:id="228" w:name="_Toc68082669"/>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.中标人的确定</w:t>
      </w:r>
      <w:bookmarkEnd w:id="221"/>
      <w:bookmarkEnd w:id="222"/>
      <w:bookmarkEnd w:id="223"/>
      <w:bookmarkEnd w:id="224"/>
      <w:bookmarkEnd w:id="225"/>
      <w:bookmarkEnd w:id="226"/>
      <w:bookmarkEnd w:id="227"/>
      <w:bookmarkEnd w:id="228"/>
    </w:p>
    <w:p w14:paraId="1515B5CB">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采购代理机构应当在评标结束后2个工作日内将评标报告送采购人确认。</w:t>
      </w:r>
    </w:p>
    <w:p w14:paraId="5C4BA7E1">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26</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采购人应当在收到评标报告后5个工作日内，按照评标报告中推荐的中标候选人顺序确定中标人。</w:t>
      </w:r>
      <w:bookmarkStart w:id="229" w:name="OLE_LINK1"/>
    </w:p>
    <w:p w14:paraId="0179D90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采购人</w:t>
      </w:r>
      <w:bookmarkEnd w:id="229"/>
      <w:r>
        <w:rPr>
          <w:rFonts w:hint="eastAsia" w:ascii="仿宋" w:hAnsi="仿宋" w:eastAsia="仿宋" w:cs="仿宋"/>
          <w:color w:val="000000" w:themeColor="text1"/>
          <w:sz w:val="24"/>
          <w:highlight w:val="none"/>
          <w14:textFill>
            <w14:solidFill>
              <w14:schemeClr w14:val="tx1"/>
            </w14:solidFill>
          </w14:textFill>
        </w:rPr>
        <w:t>在确定中标人之前，对中标人所提供资料、人员等的真实性进行确认。如有弄虚作假行为，采购人向财政监督部门申请并按相关程序处理。</w:t>
      </w:r>
    </w:p>
    <w:p w14:paraId="7783D50E">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230" w:name="_Toc66692260"/>
      <w:bookmarkStart w:id="231" w:name="_Toc85096126"/>
      <w:bookmarkStart w:id="232" w:name="_Toc20700"/>
      <w:bookmarkStart w:id="233" w:name="_Toc66969993"/>
      <w:bookmarkStart w:id="234" w:name="_Toc70252921"/>
      <w:bookmarkStart w:id="235" w:name="_Toc67040108"/>
      <w:bookmarkStart w:id="236" w:name="_Toc70253037"/>
      <w:bookmarkStart w:id="237" w:name="_Toc68082670"/>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.中标通知书</w:t>
      </w:r>
      <w:bookmarkEnd w:id="230"/>
      <w:bookmarkEnd w:id="231"/>
      <w:bookmarkEnd w:id="232"/>
      <w:bookmarkEnd w:id="233"/>
      <w:bookmarkEnd w:id="234"/>
      <w:bookmarkEnd w:id="235"/>
      <w:bookmarkEnd w:id="236"/>
      <w:bookmarkEnd w:id="237"/>
    </w:p>
    <w:p w14:paraId="225197B9">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中标人确定后，中标结果由采购代理机构在招标公告发布</w:t>
      </w:r>
      <w:r>
        <w:rPr>
          <w:rFonts w:hint="eastAsia" w:ascii="仿宋" w:hAnsi="仿宋" w:eastAsia="仿宋" w:cs="仿宋"/>
          <w:color w:val="000000" w:themeColor="text1"/>
          <w:kern w:val="0"/>
          <w:sz w:val="24"/>
          <w:highlight w:val="none"/>
          <w:lang w:val="en-US" w:eastAsia="zh-CN"/>
          <w14:textFill>
            <w14:solidFill>
              <w14:schemeClr w14:val="tx1"/>
            </w14:solidFill>
          </w14:textFill>
        </w:rPr>
        <w:t>同一</w:t>
      </w:r>
      <w:r>
        <w:rPr>
          <w:rFonts w:hint="eastAsia" w:ascii="仿宋" w:hAnsi="仿宋" w:eastAsia="仿宋" w:cs="仿宋"/>
          <w:color w:val="000000" w:themeColor="text1"/>
          <w:kern w:val="0"/>
          <w:sz w:val="24"/>
          <w:highlight w:val="none"/>
          <w14:textFill>
            <w14:solidFill>
              <w14:schemeClr w14:val="tx1"/>
            </w14:solidFill>
          </w14:textFill>
        </w:rPr>
        <w:t>媒介上发布,在发布公告的同时，采购代理机构向中标人发出中标通知书，中标通知书对采购人和中标人具有同等法律效力。</w:t>
      </w:r>
    </w:p>
    <w:p w14:paraId="275BC0C8">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中标通知书是合同的一个组成部分。</w:t>
      </w:r>
    </w:p>
    <w:p w14:paraId="4F93C17E">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采购人和采购代理机构对投标人未中标原因不作解释。</w:t>
      </w:r>
    </w:p>
    <w:p w14:paraId="5126282B">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238" w:name="_Toc66692261"/>
      <w:bookmarkStart w:id="239" w:name="_Toc67040109"/>
      <w:bookmarkStart w:id="240" w:name="_Toc68082671"/>
      <w:bookmarkStart w:id="241" w:name="_Toc32226"/>
      <w:bookmarkStart w:id="242" w:name="_Toc70253038"/>
      <w:bookmarkStart w:id="243" w:name="_Toc85096127"/>
      <w:bookmarkStart w:id="244" w:name="_Toc70252922"/>
      <w:bookmarkStart w:id="245" w:name="_Toc66969994"/>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.签订合同</w:t>
      </w:r>
      <w:bookmarkEnd w:id="238"/>
      <w:bookmarkEnd w:id="239"/>
      <w:bookmarkEnd w:id="240"/>
      <w:bookmarkEnd w:id="241"/>
      <w:bookmarkEnd w:id="242"/>
      <w:bookmarkEnd w:id="243"/>
      <w:bookmarkEnd w:id="244"/>
      <w:bookmarkEnd w:id="245"/>
    </w:p>
    <w:p w14:paraId="7F1E937A">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中标人收到中标通知书后，按采购文件、投标文件及有关澄清承诺书的要求与采购人签订合同。</w:t>
      </w:r>
    </w:p>
    <w:p w14:paraId="3F736444">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中标人因不可抗力或者自身原因不能履行政府采购合同的，采购人可以按评标委员会推荐的中标候选人排序名单，确定排名第二的中标候选人签订政府采购合同，也可以重新开展政府采购活动。</w:t>
      </w:r>
    </w:p>
    <w:p w14:paraId="072443BF">
      <w:pPr>
        <w:pStyle w:val="3"/>
        <w:keepNext w:val="0"/>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246" w:name="_Toc13852"/>
      <w:bookmarkStart w:id="247" w:name="_Toc232509432"/>
      <w:bookmarkStart w:id="248" w:name="_Toc520725542"/>
      <w:bookmarkStart w:id="249" w:name="_Toc520725703"/>
      <w:bookmarkStart w:id="250" w:name="_Toc85096128"/>
      <w:bookmarkStart w:id="251" w:name="_Toc438160894"/>
      <w:r>
        <w:rPr>
          <w:rFonts w:hint="eastAsia" w:ascii="仿宋" w:hAnsi="仿宋" w:eastAsia="仿宋" w:cs="仿宋"/>
          <w:color w:val="000000" w:themeColor="text1"/>
          <w:sz w:val="28"/>
          <w:szCs w:val="28"/>
          <w:highlight w:val="none"/>
          <w14:textFill>
            <w14:solidFill>
              <w14:schemeClr w14:val="tx1"/>
            </w14:solidFill>
          </w14:textFill>
        </w:rPr>
        <w:t>八、其他事项</w:t>
      </w:r>
      <w:bookmarkEnd w:id="246"/>
      <w:bookmarkEnd w:id="247"/>
      <w:bookmarkEnd w:id="248"/>
      <w:bookmarkEnd w:id="249"/>
      <w:bookmarkEnd w:id="250"/>
      <w:bookmarkEnd w:id="251"/>
    </w:p>
    <w:p w14:paraId="12C5478E">
      <w:pPr>
        <w:pStyle w:val="3"/>
        <w:keepNext w:val="0"/>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252" w:name="_Toc70253040"/>
      <w:bookmarkStart w:id="253" w:name="_Toc67040111"/>
      <w:bookmarkStart w:id="254" w:name="_Toc70252924"/>
      <w:bookmarkStart w:id="255" w:name="_Toc12600"/>
      <w:bookmarkStart w:id="256" w:name="_Toc66692263"/>
      <w:bookmarkStart w:id="257" w:name="_Toc66969996"/>
      <w:bookmarkStart w:id="258" w:name="_Toc85096129"/>
      <w:bookmarkStart w:id="259" w:name="_Toc68082673"/>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.采购代理服务费</w:t>
      </w:r>
      <w:bookmarkEnd w:id="252"/>
      <w:bookmarkEnd w:id="253"/>
      <w:bookmarkEnd w:id="254"/>
      <w:bookmarkEnd w:id="255"/>
      <w:bookmarkEnd w:id="256"/>
      <w:bookmarkEnd w:id="257"/>
      <w:bookmarkEnd w:id="258"/>
      <w:bookmarkEnd w:id="259"/>
    </w:p>
    <w:p w14:paraId="2B9E8563">
      <w:pPr>
        <w:spacing w:line="36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29.1</w:t>
      </w:r>
      <w:r>
        <w:rPr>
          <w:rFonts w:hint="eastAsia" w:ascii="仿宋" w:hAnsi="仿宋" w:eastAsia="仿宋" w:cs="仿宋"/>
          <w:color w:val="000000" w:themeColor="text1"/>
          <w:sz w:val="24"/>
          <w:highlight w:val="none"/>
          <w14:textFill>
            <w14:solidFill>
              <w14:schemeClr w14:val="tx1"/>
            </w14:solidFill>
          </w14:textFill>
        </w:rPr>
        <w:t>详见“投标人须知前附表”</w:t>
      </w:r>
      <w:r>
        <w:rPr>
          <w:rFonts w:hint="eastAsia" w:ascii="仿宋" w:hAnsi="仿宋" w:eastAsia="仿宋" w:cs="仿宋"/>
          <w:color w:val="000000" w:themeColor="text1"/>
          <w:kern w:val="0"/>
          <w:sz w:val="24"/>
          <w:highlight w:val="none"/>
          <w14:textFill>
            <w14:solidFill>
              <w14:schemeClr w14:val="tx1"/>
            </w14:solidFill>
          </w14:textFill>
        </w:rPr>
        <w:t>。</w:t>
      </w:r>
    </w:p>
    <w:p w14:paraId="40B88DE4">
      <w:pPr>
        <w:pStyle w:val="3"/>
        <w:keepNext w:val="0"/>
        <w:numPr>
          <w:ilvl w:val="0"/>
          <w:numId w:val="0"/>
        </w:numPr>
        <w:tabs>
          <w:tab w:val="left" w:pos="360"/>
          <w:tab w:val="clear" w:pos="3999"/>
        </w:tabs>
        <w:ind w:firstLine="482" w:firstLineChars="200"/>
        <w:jc w:val="both"/>
        <w:rPr>
          <w:rFonts w:hint="eastAsia" w:ascii="仿宋" w:hAnsi="仿宋" w:eastAsia="仿宋" w:cs="仿宋"/>
          <w:color w:val="000000" w:themeColor="text1"/>
          <w:sz w:val="24"/>
          <w:highlight w:val="none"/>
          <w14:textFill>
            <w14:solidFill>
              <w14:schemeClr w14:val="tx1"/>
            </w14:solidFill>
          </w14:textFill>
        </w:rPr>
      </w:pPr>
      <w:bookmarkStart w:id="260" w:name="_Toc28535"/>
      <w:r>
        <w:rPr>
          <w:rFonts w:hint="eastAsia" w:ascii="仿宋" w:hAnsi="仿宋" w:eastAsia="仿宋" w:cs="仿宋"/>
          <w:color w:val="000000" w:themeColor="text1"/>
          <w:sz w:val="24"/>
          <w:highlight w:val="none"/>
          <w:lang w:val="en-US" w:eastAsia="zh-CN"/>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.踏勘现场</w:t>
      </w:r>
      <w:bookmarkEnd w:id="260"/>
    </w:p>
    <w:p w14:paraId="27B9B944">
      <w:pPr>
        <w:widowControl/>
        <w:spacing w:line="360" w:lineRule="auto"/>
        <w:ind w:firstLine="480" w:firstLineChars="200"/>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30.1</w:t>
      </w:r>
      <w:r>
        <w:rPr>
          <w:rFonts w:hint="eastAsia" w:ascii="仿宋" w:hAnsi="仿宋" w:eastAsia="仿宋" w:cs="仿宋"/>
          <w:bCs/>
          <w:color w:val="000000" w:themeColor="text1"/>
          <w:sz w:val="24"/>
          <w:highlight w:val="none"/>
          <w14:textFill>
            <w14:solidFill>
              <w14:schemeClr w14:val="tx1"/>
            </w14:solidFill>
          </w14:textFill>
        </w:rPr>
        <w:t>详见“投标人须知前附表”。</w:t>
      </w:r>
    </w:p>
    <w:p w14:paraId="2E14CB49">
      <w:pPr>
        <w:pStyle w:val="3"/>
        <w:keepNext w:val="0"/>
        <w:numPr>
          <w:ilvl w:val="0"/>
          <w:numId w:val="0"/>
        </w:numPr>
        <w:tabs>
          <w:tab w:val="left" w:pos="360"/>
          <w:tab w:val="clear" w:pos="3999"/>
        </w:tabs>
        <w:ind w:firstLine="482" w:firstLineChars="200"/>
        <w:jc w:val="both"/>
        <w:rPr>
          <w:rFonts w:hint="eastAsia" w:ascii="仿宋" w:hAnsi="仿宋" w:eastAsia="仿宋" w:cs="仿宋"/>
          <w:color w:val="000000" w:themeColor="text1"/>
          <w:sz w:val="24"/>
          <w:highlight w:val="none"/>
          <w14:textFill>
            <w14:solidFill>
              <w14:schemeClr w14:val="tx1"/>
            </w14:solidFill>
          </w14:textFill>
        </w:rPr>
      </w:pPr>
      <w:bookmarkStart w:id="261" w:name="_Toc5429"/>
      <w:bookmarkStart w:id="262" w:name="_Toc35340633"/>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.履约保证金</w:t>
      </w:r>
      <w:bookmarkEnd w:id="261"/>
      <w:bookmarkEnd w:id="262"/>
    </w:p>
    <w:p w14:paraId="28AF833B">
      <w:pPr>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31.1</w:t>
      </w:r>
      <w:r>
        <w:rPr>
          <w:rFonts w:hint="eastAsia" w:ascii="仿宋" w:hAnsi="仿宋" w:eastAsia="仿宋" w:cs="仿宋"/>
          <w:bCs/>
          <w:color w:val="000000" w:themeColor="text1"/>
          <w:sz w:val="24"/>
          <w:highlight w:val="none"/>
          <w14:textFill>
            <w14:solidFill>
              <w14:schemeClr w14:val="tx1"/>
            </w14:solidFill>
          </w14:textFill>
        </w:rPr>
        <w:t>详见“投标人须知前附表”。</w:t>
      </w:r>
    </w:p>
    <w:p w14:paraId="37DF5577">
      <w:pPr>
        <w:pStyle w:val="3"/>
        <w:keepNext w:val="0"/>
        <w:numPr>
          <w:ilvl w:val="0"/>
          <w:numId w:val="0"/>
        </w:numPr>
        <w:tabs>
          <w:tab w:val="left" w:pos="360"/>
          <w:tab w:val="clear" w:pos="3999"/>
        </w:tabs>
        <w:ind w:firstLine="482"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32.</w:t>
      </w:r>
      <w:r>
        <w:rPr>
          <w:rFonts w:hint="eastAsia" w:ascii="仿宋" w:hAnsi="仿宋" w:eastAsia="仿宋" w:cs="仿宋"/>
          <w:color w:val="000000" w:themeColor="text1"/>
          <w:sz w:val="24"/>
          <w:highlight w:val="none"/>
          <w14:textFill>
            <w14:solidFill>
              <w14:schemeClr w14:val="tx1"/>
            </w14:solidFill>
          </w14:textFill>
        </w:rPr>
        <w:t>低于成本价不正当竞争预防措施</w:t>
      </w:r>
      <w:r>
        <w:rPr>
          <w:rFonts w:hint="eastAsia" w:ascii="仿宋" w:hAnsi="仿宋" w:eastAsia="仿宋" w:cs="仿宋"/>
          <w:color w:val="000000" w:themeColor="text1"/>
          <w:sz w:val="24"/>
          <w:highlight w:val="none"/>
          <w14:textFill>
            <w14:solidFill>
              <w14:schemeClr w14:val="tx1"/>
            </w14:solidFill>
          </w14:textFill>
        </w:rPr>
        <w:tab/>
      </w:r>
    </w:p>
    <w:p w14:paraId="3B6ECC55">
      <w:pPr>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32.1</w:t>
      </w:r>
      <w:r>
        <w:rPr>
          <w:rFonts w:hint="eastAsia" w:ascii="仿宋" w:hAnsi="仿宋" w:eastAsia="仿宋" w:cs="仿宋"/>
          <w:bCs/>
          <w:color w:val="000000" w:themeColor="text1"/>
          <w:sz w:val="24"/>
          <w:highlight w:val="none"/>
          <w14:textFill>
            <w14:solidFill>
              <w14:schemeClr w14:val="tx1"/>
            </w14:solidFill>
          </w14:textFill>
        </w:rPr>
        <w:t>在评审过程中评标委员会认为</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的报价明显低于其他通过符合性审查</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的报价，有可能影响服务质量或者不能诚信履约的，应当要求其在评审现场合理的时间内提供书面说明，必要时提交相关证明材料；</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不能证明其报价合理性的，评标委员会应当将其作为无效投标处理。</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的书面说明材料应当按照国家财务会计制度的规定要求，逐项就</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提供的服务的主营业务成本、税金及附加、销售费用、管理费用、财务费用等成本构成事项详细陈述）</w:t>
      </w:r>
    </w:p>
    <w:p w14:paraId="570B1C11">
      <w:pPr>
        <w:spacing w:line="360" w:lineRule="auto"/>
        <w:ind w:firstLine="480" w:firstLineChars="20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32.2</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书面说明应当签字确认或者加盖公章，否则无效。书面说明的签字确认，由其法定代表人或者其授权代表签字确认</w:t>
      </w:r>
      <w:r>
        <w:rPr>
          <w:rFonts w:hint="eastAsia" w:ascii="仿宋" w:hAnsi="仿宋" w:eastAsia="仿宋" w:cs="仿宋"/>
          <w:bCs/>
          <w:color w:val="000000" w:themeColor="text1"/>
          <w:sz w:val="24"/>
          <w:highlight w:val="none"/>
          <w:lang w:eastAsia="zh-CN"/>
          <w14:textFill>
            <w14:solidFill>
              <w14:schemeClr w14:val="tx1"/>
            </w14:solidFill>
          </w14:textFill>
        </w:rPr>
        <w:t>。</w:t>
      </w:r>
    </w:p>
    <w:p w14:paraId="7E090BB5">
      <w:pPr>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32.3</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提供书面说明后，评标委员会应当结合采购项目采购需求、专业实际情况、</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财务状况报告、与其他</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比较情况等就</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书面说明进行审查评价。</w:t>
      </w:r>
      <w:r>
        <w:rPr>
          <w:rFonts w:hint="eastAsia" w:ascii="仿宋" w:hAnsi="仿宋" w:eastAsia="仿宋" w:cs="仿宋"/>
          <w:bCs/>
          <w:color w:val="000000" w:themeColor="text1"/>
          <w:sz w:val="24"/>
          <w:highlight w:val="none"/>
          <w:lang w:eastAsia="zh-CN"/>
          <w14:textFill>
            <w14:solidFill>
              <w14:schemeClr w14:val="tx1"/>
            </w14:solidFill>
          </w14:textFill>
        </w:rPr>
        <w:t>投标人</w:t>
      </w:r>
      <w:r>
        <w:rPr>
          <w:rFonts w:hint="eastAsia" w:ascii="仿宋" w:hAnsi="仿宋" w:eastAsia="仿宋" w:cs="仿宋"/>
          <w:bCs/>
          <w:color w:val="000000" w:themeColor="text1"/>
          <w:sz w:val="24"/>
          <w:highlight w:val="none"/>
          <w14:textFill>
            <w14:solidFill>
              <w14:schemeClr w14:val="tx1"/>
            </w14:solidFill>
          </w14:textFill>
        </w:rPr>
        <w:t>拒绝或者变相拒绝提供有效书面说明或者书面说明不能证明其报价合理性的或未在规定时间内递交有效书面说明书的，评标委员会应当将其响应文件作为无效处理。</w:t>
      </w:r>
    </w:p>
    <w:p w14:paraId="5E12EC2F">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263" w:name="_Toc29950"/>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w:t>
      </w:r>
      <w:bookmarkStart w:id="264" w:name="_Toc68082674"/>
      <w:bookmarkStart w:id="265" w:name="_Toc85096130"/>
      <w:bookmarkStart w:id="266" w:name="_Toc66692264"/>
      <w:bookmarkStart w:id="267" w:name="_Toc67040112"/>
      <w:bookmarkStart w:id="268" w:name="_Toc70253041"/>
      <w:bookmarkStart w:id="269" w:name="_Toc70252925"/>
      <w:bookmarkStart w:id="270" w:name="_Toc66969997"/>
      <w:r>
        <w:rPr>
          <w:rFonts w:hint="eastAsia" w:ascii="仿宋" w:hAnsi="仿宋" w:eastAsia="仿宋" w:cs="仿宋"/>
          <w:color w:val="000000" w:themeColor="text1"/>
          <w:sz w:val="24"/>
          <w:highlight w:val="none"/>
          <w14:textFill>
            <w14:solidFill>
              <w14:schemeClr w14:val="tx1"/>
            </w14:solidFill>
          </w14:textFill>
        </w:rPr>
        <w:t>解释权</w:t>
      </w:r>
      <w:bookmarkEnd w:id="263"/>
      <w:bookmarkEnd w:id="264"/>
      <w:bookmarkEnd w:id="265"/>
      <w:bookmarkEnd w:id="266"/>
      <w:bookmarkEnd w:id="267"/>
      <w:bookmarkEnd w:id="268"/>
      <w:bookmarkEnd w:id="269"/>
      <w:bookmarkEnd w:id="270"/>
    </w:p>
    <w:p w14:paraId="1DB060DF">
      <w:pPr>
        <w:pStyle w:val="24"/>
        <w:widowControl w:val="0"/>
        <w:spacing w:before="0" w:beforeAutospacing="0" w:after="0" w:afterAutospacing="0" w:line="360" w:lineRule="auto"/>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本采购文件是根据《中华人民共和国政府采购法》及相关法律法规编制，解释权属采购代理机构。</w:t>
      </w:r>
      <w:bookmarkStart w:id="271" w:name="_Toc380507191"/>
      <w:bookmarkStart w:id="272" w:name="_Toc329810215"/>
      <w:bookmarkStart w:id="273" w:name="_Toc24655"/>
    </w:p>
    <w:p w14:paraId="53A01448">
      <w:pPr>
        <w:pStyle w:val="3"/>
        <w:numPr>
          <w:ilvl w:val="0"/>
          <w:numId w:val="0"/>
        </w:numPr>
        <w:tabs>
          <w:tab w:val="left" w:pos="360"/>
          <w:tab w:val="clear" w:pos="3999"/>
        </w:tabs>
        <w:ind w:firstLine="482" w:firstLineChars="200"/>
        <w:jc w:val="both"/>
        <w:rPr>
          <w:rFonts w:hint="eastAsia" w:ascii="仿宋" w:hAnsi="仿宋" w:eastAsia="仿宋" w:cs="仿宋"/>
          <w:b w:val="0"/>
          <w:color w:val="000000" w:themeColor="text1"/>
          <w:sz w:val="24"/>
          <w:highlight w:val="none"/>
          <w14:textFill>
            <w14:solidFill>
              <w14:schemeClr w14:val="tx1"/>
            </w14:solidFill>
          </w14:textFill>
        </w:rPr>
      </w:pPr>
      <w:bookmarkStart w:id="274" w:name="_Toc66969998"/>
      <w:bookmarkStart w:id="275" w:name="_Toc70252926"/>
      <w:bookmarkStart w:id="276" w:name="_Toc85096131"/>
      <w:bookmarkStart w:id="277" w:name="_Toc67040113"/>
      <w:bookmarkStart w:id="278" w:name="_Toc66692265"/>
      <w:bookmarkStart w:id="279" w:name="_Toc19274"/>
      <w:bookmarkStart w:id="280" w:name="_Toc68082675"/>
      <w:bookmarkStart w:id="281" w:name="_Toc70253042"/>
      <w:r>
        <w:rPr>
          <w:rFonts w:hint="eastAsia" w:ascii="仿宋" w:hAnsi="仿宋" w:eastAsia="仿宋" w:cs="仿宋"/>
          <w:color w:val="000000" w:themeColor="text1"/>
          <w:sz w:val="24"/>
          <w:highlight w:val="none"/>
          <w:lang w:val="en-US" w:eastAsia="zh-CN"/>
          <w14:textFill>
            <w14:solidFill>
              <w14:schemeClr w14:val="tx1"/>
            </w14:solidFill>
          </w14:textFill>
        </w:rPr>
        <w:t>33</w:t>
      </w:r>
      <w:r>
        <w:rPr>
          <w:rFonts w:hint="eastAsia" w:ascii="仿宋" w:hAnsi="仿宋" w:eastAsia="仿宋" w:cs="仿宋"/>
          <w:color w:val="000000" w:themeColor="text1"/>
          <w:sz w:val="24"/>
          <w:highlight w:val="none"/>
          <w14:textFill>
            <w14:solidFill>
              <w14:schemeClr w14:val="tx1"/>
            </w14:solidFill>
          </w14:textFill>
        </w:rPr>
        <w:t>.质疑和投诉</w:t>
      </w:r>
      <w:bookmarkEnd w:id="271"/>
      <w:bookmarkEnd w:id="272"/>
      <w:bookmarkEnd w:id="273"/>
      <w:bookmarkEnd w:id="274"/>
      <w:bookmarkEnd w:id="275"/>
      <w:bookmarkEnd w:id="276"/>
      <w:bookmarkEnd w:id="277"/>
      <w:bookmarkEnd w:id="278"/>
      <w:bookmarkEnd w:id="279"/>
      <w:bookmarkEnd w:id="280"/>
      <w:bookmarkEnd w:id="281"/>
    </w:p>
    <w:p w14:paraId="16EF4272">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标人认为采购文件、采购过程、中标结果使自己的权益受到损害的，可以在知道或者应知其权益受到损害之日起7个工作日内，一次性以书面形式向采购人、采购代理机构提出针对同一采购程序环节的质疑。质疑内容不得含有虚假、恶意成分。当事人对自己提出的主张，有责任提供证据，提出质疑时应同时提交相关证据材料和注明事实的确切来源。</w:t>
      </w:r>
    </w:p>
    <w:p w14:paraId="25C5BF5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标人提供的质疑应符合中华人民共和国财政部令第94号《政府采购质疑和投诉办法》的规定。投标人提出质疑应当提交质疑函和必要的证明材料（如材料中有外文资料应同时附上中文译本）应当包括以下主要内容：</w:t>
      </w:r>
    </w:p>
    <w:p w14:paraId="1143874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（1）投标人的姓名或者名称、地址、邮编、联系人及联系电话；</w:t>
      </w:r>
    </w:p>
    <w:p w14:paraId="620B0505">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（2）质疑项目的名称、编号；</w:t>
      </w:r>
    </w:p>
    <w:p w14:paraId="25467BA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（3）具体、明确的质疑事项和与质疑事项相关的请求；</w:t>
      </w:r>
    </w:p>
    <w:p w14:paraId="2F47FE7B">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（4）事实依据；</w:t>
      </w:r>
    </w:p>
    <w:p w14:paraId="19374680">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（5）必要的法律依据；</w:t>
      </w:r>
    </w:p>
    <w:p w14:paraId="33C78529">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（6）提出质疑的日期。</w:t>
      </w:r>
    </w:p>
    <w:p w14:paraId="4FDC8D5F">
      <w:pPr>
        <w:spacing w:line="360" w:lineRule="auto"/>
        <w:ind w:firstLine="540" w:firstLineChars="225"/>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投标人可以委托代理人进行质疑和投诉。其授权委托书应当载明代理人的姓名或者名称、代理事项、具体权限、期限和相关事项。代理人提出质疑和投诉，应当提交投标人签署的授权委托书。</w:t>
      </w:r>
    </w:p>
    <w:p w14:paraId="5E3B1255">
      <w:pPr>
        <w:spacing w:line="360" w:lineRule="auto"/>
        <w:ind w:firstLine="540" w:firstLineChars="225"/>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w:t>
      </w:r>
      <w:r>
        <w:rPr>
          <w:rFonts w:hint="eastAsia" w:ascii="仿宋" w:hAnsi="仿宋" w:eastAsia="仿宋" w:cs="仿宋"/>
          <w:bCs/>
          <w:color w:val="000000" w:themeColor="text1"/>
          <w:sz w:val="24"/>
          <w:highlight w:val="none"/>
          <w:lang w:val="en-US" w:eastAsia="zh-CN"/>
          <w14:textFill>
            <w14:solidFill>
              <w14:schemeClr w14:val="tx1"/>
            </w14:solidFill>
          </w14:textFill>
        </w:rPr>
        <w:t>3</w:t>
      </w:r>
      <w:r>
        <w:rPr>
          <w:rFonts w:hint="eastAsia" w:ascii="仿宋" w:hAnsi="仿宋" w:eastAsia="仿宋" w:cs="仿宋"/>
          <w:bCs/>
          <w:color w:val="000000" w:themeColor="text1"/>
          <w:sz w:val="24"/>
          <w:highlight w:val="none"/>
          <w14:textFill>
            <w14:solidFill>
              <w14:schemeClr w14:val="tx1"/>
            </w14:solidFill>
          </w14:textFill>
        </w:rPr>
        <w:t xml:space="preserve">.3 </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采购人、采购代理机构将在收到投标人的书面质疑后7个工作日内做出书面答复，但答复的内容不涉及商业秘密。</w:t>
      </w:r>
    </w:p>
    <w:p w14:paraId="2C493F9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参与政府采购活动的</w:t>
      </w:r>
      <w:r>
        <w:rPr>
          <w:rFonts w:hint="eastAsia" w:ascii="仿宋" w:hAnsi="仿宋" w:eastAsia="仿宋" w:cs="仿宋"/>
          <w:color w:val="000000" w:themeColor="text1"/>
          <w:kern w:val="0"/>
          <w:sz w:val="24"/>
          <w:highlight w:val="none"/>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对采购过程、中标结果提出质疑的，采购人或采购代理机构可以组织原评标委员会协助处理质疑事项，并依据评标委员会出具的意见进行答复。质疑答复导致中标结果改变的，采购人或采购代理机构应当将相关情况报本级财政部门备案。</w:t>
      </w:r>
    </w:p>
    <w:p w14:paraId="168F1987">
      <w:pPr>
        <w:spacing w:line="360" w:lineRule="auto"/>
        <w:ind w:firstLine="540" w:firstLineChars="225"/>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投诉人必须首先经过质疑程序，在对采购人、采购代理机构的答复不满意或者采购人、采购代理机构未在规定的时间内做出答复的，可以在答复期满后15个工作日内书面向本级政府采购监督管理部门投诉。</w:t>
      </w:r>
    </w:p>
    <w:bookmarkEnd w:id="16"/>
    <w:p w14:paraId="3887BEA8">
      <w:pPr>
        <w:pStyle w:val="24"/>
        <w:widowControl w:val="0"/>
        <w:spacing w:before="0" w:beforeAutospacing="0" w:after="0" w:afterAutospacing="0" w:line="360" w:lineRule="auto"/>
        <w:ind w:firstLine="482" w:firstLineChars="200"/>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.6质疑函范本</w:t>
      </w:r>
    </w:p>
    <w:p w14:paraId="4C96A89C">
      <w:pPr>
        <w:adjustRightInd w:val="0"/>
        <w:snapToGri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一、质疑投标人基本信息</w:t>
      </w:r>
    </w:p>
    <w:p w14:paraId="7F81D812">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质疑投标人：_______________________________________________________</w:t>
      </w:r>
    </w:p>
    <w:p w14:paraId="07D3EF64">
      <w:pPr>
        <w:adjustRightInd w:val="0"/>
        <w:snapToGrid w:val="0"/>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址：________________________邮 编：____________________________</w:t>
      </w:r>
    </w:p>
    <w:p w14:paraId="515D8F02">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联系人：_______________________联系电话：_______________________</w:t>
      </w:r>
    </w:p>
    <w:p w14:paraId="24DCEE7E">
      <w:pPr>
        <w:adjustRightInd w:val="0"/>
        <w:snapToGrid w:val="0"/>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授权代表：_________________________________________________________</w:t>
      </w:r>
    </w:p>
    <w:p w14:paraId="1FAF0428">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联系电话：_________________________________________________________</w:t>
      </w:r>
      <w:r>
        <w:rPr>
          <w:rFonts w:hint="eastAsia" w:ascii="仿宋" w:hAnsi="仿宋" w:eastAsia="仿宋" w:cs="仿宋"/>
          <w:color w:val="000000" w:themeColor="text1"/>
          <w:sz w:val="24"/>
          <w:highlight w:val="none"/>
          <w:u w:val="dotted"/>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5E02328B">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址：___________________________邮 编：_________________________</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24425A49">
      <w:pPr>
        <w:adjustRightInd w:val="0"/>
        <w:snapToGri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二、质疑项目基本情况</w:t>
      </w:r>
    </w:p>
    <w:p w14:paraId="52858FAE">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质疑项目的名称：__________________________________________________</w:t>
      </w:r>
    </w:p>
    <w:p w14:paraId="327E2054">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质疑项目的编号：__________________包 号：_________________________</w:t>
      </w:r>
    </w:p>
    <w:p w14:paraId="5E7DB3B1">
      <w:pPr>
        <w:adjustRightInd w:val="0"/>
        <w:snapToGrid w:val="0"/>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采购人名称：______________________________________________________</w:t>
      </w:r>
    </w:p>
    <w:p w14:paraId="059B8E0C">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采购文件获取日期：________________________________________________</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5BC6FF11">
      <w:pPr>
        <w:adjustRightInd w:val="0"/>
        <w:snapToGri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三、质疑事项具体内容</w:t>
      </w:r>
    </w:p>
    <w:p w14:paraId="44447F5B">
      <w:pPr>
        <w:adjustRightInd w:val="0"/>
        <w:snapToGrid w:val="0"/>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质疑事项1：______________________________________________________</w:t>
      </w:r>
    </w:p>
    <w:p w14:paraId="60912152">
      <w:pPr>
        <w:adjustRightInd w:val="0"/>
        <w:snapToGrid w:val="0"/>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事实依据：________________________________________________________</w:t>
      </w:r>
    </w:p>
    <w:p w14:paraId="1E05B8AB">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法律依据：________________________________________________________</w:t>
      </w:r>
    </w:p>
    <w:p w14:paraId="7076FCB1">
      <w:pPr>
        <w:adjustRightInd w:val="0"/>
        <w:snapToGrid w:val="0"/>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质疑事项2</w:t>
      </w:r>
    </w:p>
    <w:p w14:paraId="57325846">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3DCB801B">
      <w:pPr>
        <w:adjustRightInd w:val="0"/>
        <w:snapToGri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四、与质疑事项相关的质疑请求</w:t>
      </w:r>
    </w:p>
    <w:p w14:paraId="227ABA40">
      <w:pPr>
        <w:adjustRightInd w:val="0"/>
        <w:snapToGrid w:val="0"/>
        <w:spacing w:line="360" w:lineRule="auto"/>
        <w:ind w:firstLine="480" w:firstLineChars="200"/>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请求：____________________________________________________________</w:t>
      </w:r>
    </w:p>
    <w:p w14:paraId="6F3FDCD1">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签字(签章)：                   公章：                      </w:t>
      </w:r>
    </w:p>
    <w:p w14:paraId="165DEA82">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日期：    </w:t>
      </w:r>
    </w:p>
    <w:p w14:paraId="03C95DA0">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质疑函制作说明：</w:t>
      </w:r>
    </w:p>
    <w:p w14:paraId="5E5A6EA8">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1.投标人提出质疑时，应提交质疑函和必要的证明材料。</w:t>
      </w:r>
    </w:p>
    <w:p w14:paraId="36E3A311">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2.质疑投标人若委托代理人进行质疑的，质疑函应按要求列明“授权代表”的有关内容，并在附件中提交由质疑</w:t>
      </w:r>
      <w:r>
        <w:rPr>
          <w:rFonts w:hint="eastAsia" w:ascii="仿宋" w:hAnsi="仿宋" w:eastAsia="仿宋" w:cs="仿宋"/>
          <w:color w:val="000000" w:themeColor="text1"/>
          <w:kern w:val="0"/>
          <w:sz w:val="24"/>
          <w:highlight w:val="none"/>
          <w14:textFill>
            <w14:solidFill>
              <w14:schemeClr w14:val="tx1"/>
            </w14:solidFill>
          </w14:textFill>
        </w:rPr>
        <w:t>投标人签署的授权委托书。授权委托书应载明代理人的姓名或者名称、代理事项、具体权限、期限和相关事项。</w:t>
      </w:r>
    </w:p>
    <w:p w14:paraId="581D8099">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3.质疑投标人若对项目的某一分包进行质疑，质疑函中应列明具体分包号。</w:t>
      </w:r>
    </w:p>
    <w:p w14:paraId="685D994A">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4.质疑函的质疑事项应具体、明确，并有必要的事实依据和法律依据。</w:t>
      </w:r>
    </w:p>
    <w:p w14:paraId="0D81F980">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5.质疑函的质疑请求应与质疑事项相关。</w:t>
      </w:r>
    </w:p>
    <w:p w14:paraId="4DD1017F">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6.质疑投标人为自然人的，质疑函应由本人签字；质疑投标人为法人或者其他组织的，质疑函应由法定代表人、主要负责人，或者其授权代表签字或者盖章，并加盖公章。</w:t>
      </w:r>
    </w:p>
    <w:p w14:paraId="407ED812">
      <w:pPr>
        <w:pStyle w:val="24"/>
        <w:widowControl w:val="0"/>
        <w:spacing w:before="0" w:beforeAutospacing="0" w:after="0" w:afterAutospacing="0" w:line="360" w:lineRule="auto"/>
        <w:ind w:firstLine="482" w:firstLineChars="200"/>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.7投诉书范本</w:t>
      </w:r>
    </w:p>
    <w:p w14:paraId="600E73FF">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一、投诉相关主体基本情况</w:t>
      </w:r>
    </w:p>
    <w:p w14:paraId="0A709F12">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投诉人：___________________________________________________________</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2AE14E43">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址：________________________邮 编：____________________________</w:t>
      </w:r>
    </w:p>
    <w:p w14:paraId="5F59D25E">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法定代表人/主要负责人：____________________________________________ </w:t>
      </w:r>
    </w:p>
    <w:p w14:paraId="772F886A">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联系电话：_________________________________________________________</w:t>
      </w:r>
    </w:p>
    <w:p w14:paraId="4EA3A56E">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授权代表：_______________________联系电话：_________________________</w:t>
      </w:r>
    </w:p>
    <w:p w14:paraId="1D1D2F06">
      <w:pPr>
        <w:spacing w:line="360" w:lineRule="auto"/>
        <w:ind w:left="479" w:leftChars="228"/>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址：________________________邮 编：___________________________被投诉人1：________________________________________________________</w:t>
      </w:r>
    </w:p>
    <w:p w14:paraId="19D633A4">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址：______________________邮 编：____________________________</w:t>
      </w:r>
    </w:p>
    <w:p w14:paraId="7B8E3600">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联系人：________________________联系电话：__________________________</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BC63EA7">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被投诉人2</w:t>
      </w:r>
    </w:p>
    <w:p w14:paraId="15430196">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26ED47F1">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相关投标人：_______________________________________________________</w:t>
      </w:r>
    </w:p>
    <w:p w14:paraId="0F57CDEF">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址：________________________邮 编：___________________________</w:t>
      </w:r>
    </w:p>
    <w:p w14:paraId="7F963FD3">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联系人：_________________________联系电话：________________________</w:t>
      </w:r>
    </w:p>
    <w:p w14:paraId="38B0F4A9">
      <w:pPr>
        <w:spacing w:line="360" w:lineRule="auto"/>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二、投诉项目基本情况</w:t>
      </w:r>
    </w:p>
    <w:p w14:paraId="357CD9C0">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采购项目名称：_____________________________________________________</w:t>
      </w:r>
    </w:p>
    <w:p w14:paraId="068CC5F3">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采购项目编号：______________________包 号：________________________</w:t>
      </w:r>
    </w:p>
    <w:p w14:paraId="37959250">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采购人名称：_______________________________________________________</w:t>
      </w:r>
    </w:p>
    <w:p w14:paraId="6E8C92C5">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代理机构名称：_____________________________________________________</w:t>
      </w:r>
    </w:p>
    <w:p w14:paraId="09EC9413">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采购文件公告:</w:t>
      </w:r>
      <w:r>
        <w:rPr>
          <w:rFonts w:hint="eastAsia" w:ascii="仿宋" w:hAnsi="仿宋" w:eastAsia="仿宋" w:cs="仿宋"/>
          <w:color w:val="000000" w:themeColor="text1"/>
          <w:sz w:val="24"/>
          <w:highlight w:val="none"/>
          <w:u w:val="single"/>
          <w14:textFill>
            <w14:solidFill>
              <w14:schemeClr w14:val="tx1"/>
            </w14:solidFill>
          </w14:textFill>
        </w:rPr>
        <w:t>是/否</w:t>
      </w:r>
      <w:r>
        <w:rPr>
          <w:rFonts w:hint="eastAsia" w:ascii="仿宋" w:hAnsi="仿宋" w:eastAsia="仿宋" w:cs="仿宋"/>
          <w:color w:val="000000" w:themeColor="text1"/>
          <w:sz w:val="24"/>
          <w:highlight w:val="none"/>
          <w14:textFill>
            <w14:solidFill>
              <w14:schemeClr w14:val="tx1"/>
            </w14:solidFill>
          </w14:textFill>
        </w:rPr>
        <w:t>公告期限：_______________________________________</w:t>
      </w:r>
    </w:p>
    <w:p w14:paraId="12217D90">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采购结果公告:</w:t>
      </w:r>
      <w:r>
        <w:rPr>
          <w:rFonts w:hint="eastAsia" w:ascii="仿宋" w:hAnsi="仿宋" w:eastAsia="仿宋" w:cs="仿宋"/>
          <w:color w:val="000000" w:themeColor="text1"/>
          <w:sz w:val="24"/>
          <w:highlight w:val="none"/>
          <w:u w:val="single"/>
          <w14:textFill>
            <w14:solidFill>
              <w14:schemeClr w14:val="tx1"/>
            </w14:solidFill>
          </w14:textFill>
        </w:rPr>
        <w:t>是/否</w:t>
      </w:r>
      <w:r>
        <w:rPr>
          <w:rFonts w:hint="eastAsia" w:ascii="仿宋" w:hAnsi="仿宋" w:eastAsia="仿宋" w:cs="仿宋"/>
          <w:color w:val="000000" w:themeColor="text1"/>
          <w:sz w:val="24"/>
          <w:highlight w:val="none"/>
          <w14:textFill>
            <w14:solidFill>
              <w14:schemeClr w14:val="tx1"/>
            </w14:solidFill>
          </w14:textFill>
        </w:rPr>
        <w:t>公告期限：_______________________________________</w:t>
      </w:r>
    </w:p>
    <w:p w14:paraId="109E2C2A">
      <w:pPr>
        <w:spacing w:line="360" w:lineRule="auto"/>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三、质疑基本情况</w:t>
      </w:r>
    </w:p>
    <w:p w14:paraId="37B8ACD5">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投诉人于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提出质疑，质疑事项为：______________________________________________________________________</w:t>
      </w:r>
    </w:p>
    <w:p w14:paraId="4A2A5493">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采购人/代理机构于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日,就质疑事项作出了答复/没有在法定期限内作出答复。</w:t>
      </w:r>
    </w:p>
    <w:p w14:paraId="69E8EF1A">
      <w:pPr>
        <w:spacing w:line="360" w:lineRule="auto"/>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四、投诉事项具体内容</w:t>
      </w:r>
    </w:p>
    <w:p w14:paraId="40122C4E">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投诉事项 1：_______________________________________________________</w:t>
      </w:r>
    </w:p>
    <w:p w14:paraId="07C4ACE1">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事实依据：_________________________________________________________</w:t>
      </w:r>
    </w:p>
    <w:p w14:paraId="4A5B8CA4">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法律依据：_________________________________________________________</w:t>
      </w:r>
    </w:p>
    <w:p w14:paraId="1F22B7C5">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投诉事项2</w:t>
      </w:r>
    </w:p>
    <w:p w14:paraId="63D59BA0">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2FF2943F">
      <w:pPr>
        <w:spacing w:line="360" w:lineRule="auto"/>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五、与投诉事项相关的投诉请求</w:t>
      </w:r>
    </w:p>
    <w:p w14:paraId="06B4FC93">
      <w:pPr>
        <w:spacing w:line="360" w:lineRule="auto"/>
        <w:ind w:firstLine="480" w:firstLineChars="200"/>
        <w:jc w:val="left"/>
        <w:rPr>
          <w:rFonts w:hint="eastAsia"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请求：____________________________________________________________</w:t>
      </w:r>
    </w:p>
    <w:p w14:paraId="18A4B93E">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签字(签章)：                   公章：                      </w:t>
      </w:r>
    </w:p>
    <w:p w14:paraId="081B7355">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日期：    </w:t>
      </w:r>
    </w:p>
    <w:p w14:paraId="3DE9D482">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投诉书制作说明：</w:t>
      </w:r>
    </w:p>
    <w:p w14:paraId="6BFA9CBD">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1.投诉人提起投诉时，应当提交投诉书和必要的证明材料，并按照被投诉人和与投诉事项有关的投标人数量提供投诉书副本。</w:t>
      </w:r>
    </w:p>
    <w:p w14:paraId="1FF8AB8B">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仿宋" w:hAnsi="仿宋" w:eastAsia="仿宋" w:cs="仿宋"/>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597AE594">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3.投诉人若对项目的某一分包进行投诉，投诉书应列明具体分包号。</w:t>
      </w:r>
    </w:p>
    <w:p w14:paraId="7FE72B76">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4.投诉书应简要列明质疑事项，质疑函、质疑答复等作为附件材料提供。</w:t>
      </w:r>
    </w:p>
    <w:p w14:paraId="056ABC8C">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5.投诉书的投诉事项应具体、明确，并有必要的事实依据和法律依据。</w:t>
      </w:r>
    </w:p>
    <w:p w14:paraId="05908FC1">
      <w:pPr>
        <w:widowControl/>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6.投诉书的投诉请求应与投诉事项相关。</w:t>
      </w:r>
    </w:p>
    <w:p w14:paraId="36B961EC">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2F342518">
      <w:pPr>
        <w:keepNext w:val="0"/>
        <w:keepLines w:val="0"/>
        <w:pageBreakBefore w:val="0"/>
        <w:widowControl/>
        <w:kinsoku/>
        <w:wordWrap/>
        <w:overflowPunct/>
        <w:topLinePunct w:val="0"/>
        <w:autoSpaceDE/>
        <w:autoSpaceDN/>
        <w:bidi w:val="0"/>
        <w:adjustRightInd/>
        <w:snapToGrid/>
        <w:spacing w:line="480" w:lineRule="auto"/>
        <w:ind w:left="420" w:leftChars="200"/>
        <w:textAlignment w:val="auto"/>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九</w:t>
      </w:r>
      <w:r>
        <w:rPr>
          <w:rFonts w:hint="eastAsia" w:ascii="仿宋" w:hAnsi="仿宋" w:eastAsia="仿宋" w:cs="仿宋"/>
          <w:b/>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采购项目需要落实的政府采购政策</w:t>
      </w:r>
    </w:p>
    <w:p w14:paraId="094910D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1.中小企业</w:t>
      </w:r>
    </w:p>
    <w:p w14:paraId="68744DA0">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1.1根据《关于印发&lt;政府采购促进中小企业发展管理办法&gt;的通知》财库【2020】46号文）的规定，在政府采购活动中，</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提供的货物、工程或者服务符合下列情形的，享受本办法规定的中小企业扶持政策：</w:t>
      </w:r>
    </w:p>
    <w:p w14:paraId="316081F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（1）在货物采购项目中，货物由中小企业制造，即货物由中小企业生产且使用该中小企业商号或者注册商标；</w:t>
      </w:r>
    </w:p>
    <w:p w14:paraId="3F0BC22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（2）在工程采购项目中，工程由中小企业承建，即工程施工单位为中小企业；</w:t>
      </w:r>
    </w:p>
    <w:p w14:paraId="508163F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1DB5413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在货物采购项目中，</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提供的货物既有中小企业制造货物，也有大型企业制造货物的，不享受本办法规定的中小企业扶持政策。</w:t>
      </w:r>
    </w:p>
    <w:p w14:paraId="09DD4FF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2694B3E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1.2中小企业参加政府采购活动，应当出具本办法规定的《中小企业声明函》（详见第</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章《响应文件格式》），否则不得享受相关中小企业扶持政策。</w:t>
      </w:r>
    </w:p>
    <w:p w14:paraId="5AE6CFC0">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1.3依据本办法规定享受扶持政策获得政府采购合同的，小微企业不得将合同分包给大中型企业，中型企业不得将合同分包给大型企业。</w:t>
      </w:r>
    </w:p>
    <w:p w14:paraId="1FAC6364">
      <w:pPr>
        <w:widowControl/>
        <w:shd w:val="clear" w:color="auto" w:fill="auto"/>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本规定所称中小企业划分标准，是指国务院有关部门根据企业从业人员、营业收入、资产总额等指标制定的中小企业划型标准：</w:t>
      </w:r>
    </w:p>
    <w:p w14:paraId="7D0566A3">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农、林、牧、渔业。营业收入20000万元以下的为中小微型企业。其中，营业收入500万元及以上的为中型企业，营业收入50万元及以上的为小型企业，营业收入50万元以下的为微型企业。</w:t>
      </w:r>
    </w:p>
    <w:p w14:paraId="61A272C8">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A77FD2">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E6CD90">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D4D092">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D5E084">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32728D0">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AA662DA">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CA00D7">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088CD2">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374623">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B3E4C23">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E892A1">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84A4CD">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FA882D">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4F257F">
      <w:pPr>
        <w:widowControl/>
        <w:numPr>
          <w:ilvl w:val="255"/>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其他未列明行业。从业人员300人以下的为中小微型企业。其中，从业人员100人及以上的为中型企业；从业人员10人及以上的为小型企业；从业人员10人以下的为微型企业。</w:t>
      </w:r>
    </w:p>
    <w:p w14:paraId="256D4F5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2.监狱企业</w:t>
      </w:r>
    </w:p>
    <w:p w14:paraId="459B4CB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E9018C9">
      <w:pPr>
        <w:keepNext w:val="0"/>
        <w:keepLines w:val="0"/>
        <w:pageBreakBefore w:val="0"/>
        <w:widowControl/>
        <w:numPr>
          <w:ilvl w:val="255"/>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残疾人福利性单位</w:t>
      </w:r>
    </w:p>
    <w:p w14:paraId="5AE51B07">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3.1根据《财政部 民政部 中国残疾人联合会关于促进残疾人就业政府采购政策的通知》，享受政府采购支持政策的残疾人福利性单位应当同时满足以下条件：</w:t>
      </w:r>
    </w:p>
    <w:p w14:paraId="2F5668A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（1）安置的残疾人占本单位在职职工人数的比例不低于25%（含25%），并且安置的残疾人人数不少于10人（含10人）；</w:t>
      </w:r>
    </w:p>
    <w:p w14:paraId="17992C70">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（2）依法与安置的每位残疾人签订了一年以上（含一年）的劳动合同或服务协议；</w:t>
      </w:r>
    </w:p>
    <w:p w14:paraId="7FE4839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（3）为安置的每位残疾人按月足额缴纳了基本养老保险、基本医疗保险、失业保险、工伤保险和生育保险等社会保险费；</w:t>
      </w:r>
    </w:p>
    <w:p w14:paraId="2B077E3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BD6485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2890DF4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F672D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3.2符合条件的残疾人福利性单位在参加政府采购活动时，应当提供《残疾人福利性单位声明函》，并对声明的真实性负责。</w:t>
      </w:r>
    </w:p>
    <w:p w14:paraId="7A9194E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监狱企业和残疾人福利性单位视同小型、微型企业。</w:t>
      </w:r>
    </w:p>
    <w:p w14:paraId="7CCBFD5E">
      <w:pPr>
        <w:pStyle w:val="2"/>
        <w:numPr>
          <w:ilvl w:val="0"/>
          <w:numId w:val="0"/>
        </w:numPr>
        <w:spacing w:before="0"/>
        <w:rPr>
          <w:rFonts w:hint="eastAsia" w:ascii="仿宋" w:hAnsi="仿宋" w:eastAsia="仿宋" w:cs="仿宋"/>
          <w:color w:val="000000" w:themeColor="text1"/>
          <w:kern w:val="2"/>
          <w:szCs w:val="36"/>
          <w:highlight w:val="none"/>
          <w14:textFill>
            <w14:solidFill>
              <w14:schemeClr w14:val="tx1"/>
            </w14:solidFill>
          </w14:textFill>
        </w:rPr>
      </w:pPr>
      <w:bookmarkStart w:id="282" w:name="_Toc85096132"/>
      <w:r>
        <w:rPr>
          <w:rFonts w:hint="eastAsia" w:ascii="仿宋" w:hAnsi="仿宋" w:eastAsia="仿宋" w:cs="仿宋"/>
          <w:color w:val="000000" w:themeColor="text1"/>
          <w:kern w:val="2"/>
          <w:szCs w:val="36"/>
          <w:highlight w:val="none"/>
          <w14:textFill>
            <w14:solidFill>
              <w14:schemeClr w14:val="tx1"/>
            </w14:solidFill>
          </w14:textFill>
        </w:rPr>
        <w:br w:type="page"/>
      </w:r>
      <w:bookmarkStart w:id="283" w:name="_Toc9652"/>
      <w:bookmarkStart w:id="284" w:name="_Toc20541"/>
      <w:bookmarkStart w:id="285" w:name="_Toc27995"/>
      <w:r>
        <w:rPr>
          <w:rFonts w:hint="eastAsia" w:ascii="仿宋" w:hAnsi="仿宋" w:eastAsia="仿宋" w:cs="仿宋"/>
          <w:color w:val="000000" w:themeColor="text1"/>
          <w:kern w:val="2"/>
          <w:szCs w:val="36"/>
          <w:highlight w:val="none"/>
          <w14:textFill>
            <w14:solidFill>
              <w14:schemeClr w14:val="tx1"/>
            </w14:solidFill>
          </w14:textFill>
        </w:rPr>
        <w:t>第三章 评标办法</w:t>
      </w:r>
      <w:bookmarkEnd w:id="283"/>
      <w:bookmarkEnd w:id="284"/>
      <w:bookmarkEnd w:id="285"/>
    </w:p>
    <w:p w14:paraId="53C91011">
      <w:pPr>
        <w:pStyle w:val="3"/>
        <w:numPr>
          <w:ilvl w:val="0"/>
          <w:numId w:val="0"/>
        </w:numPr>
        <w:tabs>
          <w:tab w:val="left" w:pos="360"/>
          <w:tab w:val="clear" w:pos="3999"/>
        </w:tabs>
        <w:spacing w:line="460" w:lineRule="exact"/>
        <w:rPr>
          <w:rFonts w:hint="eastAsia" w:ascii="仿宋" w:hAnsi="仿宋" w:eastAsia="仿宋" w:cs="仿宋"/>
          <w:color w:val="000000" w:themeColor="text1"/>
          <w:sz w:val="24"/>
          <w:highlight w:val="none"/>
          <w14:textFill>
            <w14:solidFill>
              <w14:schemeClr w14:val="tx1"/>
            </w14:solidFill>
          </w14:textFill>
        </w:rPr>
      </w:pPr>
      <w:bookmarkStart w:id="286" w:name="_Toc85096159"/>
      <w:bookmarkStart w:id="287" w:name="_Toc438160917"/>
      <w:bookmarkStart w:id="288" w:name="_Toc18039"/>
      <w:bookmarkStart w:id="289" w:name="_Toc493494641"/>
      <w:r>
        <w:rPr>
          <w:rFonts w:hint="eastAsia" w:ascii="仿宋" w:hAnsi="仿宋" w:eastAsia="仿宋" w:cs="仿宋"/>
          <w:color w:val="000000" w:themeColor="text1"/>
          <w:sz w:val="28"/>
          <w:szCs w:val="28"/>
          <w:highlight w:val="none"/>
          <w14:textFill>
            <w14:solidFill>
              <w14:schemeClr w14:val="tx1"/>
            </w14:solidFill>
          </w14:textFill>
        </w:rPr>
        <w:t>一、评标办法前附表</w:t>
      </w:r>
      <w:bookmarkEnd w:id="286"/>
      <w:bookmarkEnd w:id="287"/>
      <w:bookmarkEnd w:id="288"/>
      <w:bookmarkEnd w:id="289"/>
    </w:p>
    <w:p w14:paraId="2635AE49">
      <w:pPr>
        <w:spacing w:line="360" w:lineRule="auto"/>
        <w:ind w:firstLine="482" w:firstLineChars="200"/>
        <w:outlineLvl w:val="2"/>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b/>
          <w:color w:val="000000" w:themeColor="text1"/>
          <w:kern w:val="0"/>
          <w:sz w:val="24"/>
          <w:highlight w:val="none"/>
          <w14:textFill>
            <w14:solidFill>
              <w14:schemeClr w14:val="tx1"/>
            </w14:solidFill>
          </w14:textFill>
        </w:rPr>
        <w:t>资格审查</w:t>
      </w:r>
    </w:p>
    <w:p w14:paraId="673A5916">
      <w:pPr>
        <w:spacing w:line="360" w:lineRule="auto"/>
        <w:ind w:firstLine="480" w:firstLineChars="200"/>
        <w:jc w:val="left"/>
        <w:outlineLvl w:val="9"/>
        <w:rPr>
          <w:rFonts w:hint="eastAsia" w:ascii="仿宋" w:hAnsi="仿宋" w:eastAsia="仿宋" w:cs="仿宋"/>
          <w:b w:val="0"/>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0"/>
          <w:sz w:val="24"/>
          <w:highlight w:val="none"/>
          <w:lang w:val="en-US" w:eastAsia="zh-CN"/>
          <w14:textFill>
            <w14:solidFill>
              <w14:schemeClr w14:val="tx1"/>
            </w14:solidFill>
          </w14:textFill>
        </w:rPr>
        <w:t>落实曲靖市财政局文件 曲财采[2023]16号 曲靖市财政局关于对政府采购投标人基本资格条件试行“承诺+信用管理”准入管理制的通知，投标人实行自愿原则并应当以书面形式作出资格信用承诺。投标人未提供资格信用承诺的，应当按照《中华人民共和国政府采购法》及其实施条例的相关规定提供相应的证明材料。存在不良信用记录的投标人，在信用修复前不适用承诺制。开标现场代理机构将对投标信誉进行在线查询，如有不符合投标人资格要求第1条第（七）款的，资格审查不予通过。</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617"/>
        <w:gridCol w:w="3135"/>
        <w:gridCol w:w="3339"/>
      </w:tblGrid>
      <w:tr w14:paraId="5EA3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359" w:type="pct"/>
            <w:vMerge w:val="restart"/>
            <w:noWrap w:val="0"/>
            <w:vAlign w:val="center"/>
          </w:tcPr>
          <w:p w14:paraId="28777D64">
            <w:pPr>
              <w:spacing w:line="360" w:lineRule="auto"/>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序 号</w:t>
            </w:r>
          </w:p>
        </w:tc>
        <w:tc>
          <w:tcPr>
            <w:tcW w:w="4640" w:type="pct"/>
            <w:gridSpan w:val="3"/>
            <w:tcBorders>
              <w:bottom w:val="single" w:color="auto" w:sz="4" w:space="0"/>
            </w:tcBorders>
            <w:noWrap w:val="0"/>
            <w:vAlign w:val="center"/>
          </w:tcPr>
          <w:p w14:paraId="3A5781B5">
            <w:pPr>
              <w:spacing w:line="360" w:lineRule="auto"/>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审 查 标 准</w:t>
            </w:r>
          </w:p>
        </w:tc>
      </w:tr>
      <w:tr w14:paraId="1C77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9" w:type="pct"/>
            <w:vMerge w:val="continue"/>
            <w:noWrap w:val="0"/>
            <w:vAlign w:val="center"/>
          </w:tcPr>
          <w:p w14:paraId="06F86235">
            <w:pPr>
              <w:spacing w:line="360" w:lineRule="auto"/>
              <w:jc w:val="center"/>
              <w:rPr>
                <w:rFonts w:hint="eastAsia" w:ascii="仿宋" w:hAnsi="仿宋" w:eastAsia="仿宋" w:cs="仿宋"/>
                <w:color w:val="000000" w:themeColor="text1"/>
                <w:kern w:val="0"/>
                <w:sz w:val="24"/>
                <w:highlight w:val="none"/>
                <w:lang w:eastAsia="zh-CN"/>
                <w14:textFill>
                  <w14:solidFill>
                    <w14:schemeClr w14:val="tx1"/>
                  </w14:solidFill>
                </w14:textFill>
              </w:rPr>
            </w:pPr>
          </w:p>
        </w:tc>
        <w:tc>
          <w:tcPr>
            <w:tcW w:w="927" w:type="pct"/>
            <w:tcBorders>
              <w:top w:val="single" w:color="auto" w:sz="4" w:space="0"/>
              <w:left w:val="single" w:color="auto" w:sz="4" w:space="0"/>
              <w:right w:val="single" w:color="auto" w:sz="4" w:space="0"/>
            </w:tcBorders>
            <w:noWrap w:val="0"/>
            <w:vAlign w:val="center"/>
          </w:tcPr>
          <w:p w14:paraId="131FDF56">
            <w:pPr>
              <w:spacing w:line="360"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类型</w:t>
            </w:r>
          </w:p>
        </w:tc>
        <w:tc>
          <w:tcPr>
            <w:tcW w:w="1798" w:type="pct"/>
            <w:tcBorders>
              <w:top w:val="single" w:color="auto" w:sz="4" w:space="0"/>
              <w:left w:val="single" w:color="auto" w:sz="4" w:space="0"/>
              <w:right w:val="single" w:color="auto" w:sz="4" w:space="0"/>
            </w:tcBorders>
            <w:noWrap w:val="0"/>
            <w:vAlign w:val="center"/>
          </w:tcPr>
          <w:p w14:paraId="2936112B">
            <w:pPr>
              <w:spacing w:line="360"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审查要求</w:t>
            </w:r>
          </w:p>
        </w:tc>
        <w:tc>
          <w:tcPr>
            <w:tcW w:w="1915" w:type="pct"/>
            <w:tcBorders>
              <w:top w:val="single" w:color="auto" w:sz="4" w:space="0"/>
              <w:left w:val="single" w:color="auto" w:sz="4" w:space="0"/>
              <w:right w:val="single" w:color="auto" w:sz="4" w:space="0"/>
            </w:tcBorders>
            <w:noWrap w:val="0"/>
            <w:vAlign w:val="center"/>
          </w:tcPr>
          <w:p w14:paraId="23C64BD6">
            <w:pPr>
              <w:spacing w:line="360"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要求说明</w:t>
            </w:r>
          </w:p>
        </w:tc>
      </w:tr>
      <w:tr w14:paraId="07C9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9" w:type="pct"/>
            <w:tcBorders>
              <w:right w:val="single" w:color="auto" w:sz="4" w:space="0"/>
            </w:tcBorders>
            <w:noWrap w:val="0"/>
            <w:vAlign w:val="center"/>
          </w:tcPr>
          <w:p w14:paraId="15BC118D">
            <w:pPr>
              <w:spacing w:line="360" w:lineRule="auto"/>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w:t>
            </w:r>
          </w:p>
        </w:tc>
        <w:tc>
          <w:tcPr>
            <w:tcW w:w="927" w:type="pct"/>
            <w:tcBorders>
              <w:top w:val="single" w:color="auto" w:sz="4" w:space="0"/>
              <w:left w:val="single" w:color="auto" w:sz="4" w:space="0"/>
              <w:right w:val="single" w:color="auto" w:sz="4" w:space="0"/>
            </w:tcBorders>
            <w:noWrap w:val="0"/>
            <w:vAlign w:val="center"/>
          </w:tcPr>
          <w:p w14:paraId="5C2C25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基本资质</w:t>
            </w:r>
          </w:p>
        </w:tc>
        <w:tc>
          <w:tcPr>
            <w:tcW w:w="1798" w:type="pct"/>
            <w:tcBorders>
              <w:top w:val="single" w:color="auto" w:sz="4" w:space="0"/>
              <w:left w:val="single" w:color="auto" w:sz="4" w:space="0"/>
              <w:right w:val="single" w:color="auto" w:sz="4" w:space="0"/>
            </w:tcBorders>
            <w:noWrap w:val="0"/>
            <w:vAlign w:val="center"/>
          </w:tcPr>
          <w:p w14:paraId="372F476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满足《中华人民共和国政府采购法》第二十二条规定</w:t>
            </w:r>
          </w:p>
        </w:tc>
        <w:tc>
          <w:tcPr>
            <w:tcW w:w="1915" w:type="pct"/>
            <w:tcBorders>
              <w:top w:val="single" w:color="auto" w:sz="4" w:space="0"/>
              <w:left w:val="single" w:color="auto" w:sz="4" w:space="0"/>
              <w:right w:val="single" w:color="auto" w:sz="4" w:space="0"/>
            </w:tcBorders>
            <w:noWrap w:val="0"/>
            <w:vAlign w:val="center"/>
          </w:tcPr>
          <w:p w14:paraId="2C42C4C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提供了符合要求的资格条件承诺函</w:t>
            </w:r>
          </w:p>
        </w:tc>
      </w:tr>
      <w:tr w14:paraId="627A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9" w:type="pct"/>
            <w:tcBorders>
              <w:right w:val="single" w:color="auto" w:sz="4" w:space="0"/>
            </w:tcBorders>
            <w:noWrap w:val="0"/>
            <w:vAlign w:val="center"/>
          </w:tcPr>
          <w:p w14:paraId="59B106E6">
            <w:pPr>
              <w:spacing w:line="360" w:lineRule="auto"/>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2</w:t>
            </w:r>
          </w:p>
        </w:tc>
        <w:tc>
          <w:tcPr>
            <w:tcW w:w="927" w:type="pct"/>
            <w:tcBorders>
              <w:top w:val="single" w:color="auto" w:sz="4" w:space="0"/>
              <w:left w:val="single" w:color="auto" w:sz="4" w:space="0"/>
              <w:right w:val="single" w:color="auto" w:sz="4" w:space="0"/>
            </w:tcBorders>
            <w:noWrap w:val="0"/>
            <w:vAlign w:val="center"/>
          </w:tcPr>
          <w:p w14:paraId="675773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i w:val="0"/>
                <w:iCs w:val="0"/>
                <w:caps w:val="0"/>
                <w:color w:val="000000" w:themeColor="text1"/>
                <w:spacing w:val="0"/>
                <w:sz w:val="22"/>
                <w:szCs w:val="22"/>
                <w:highlight w:val="none"/>
                <w:shd w:val="clear" w:fill="FFFFFF"/>
                <w14:textFill>
                  <w14:solidFill>
                    <w14:schemeClr w14:val="tx1"/>
                  </w14:solidFill>
                </w14:textFill>
              </w:rPr>
              <w:t>特定资格要求</w:t>
            </w:r>
          </w:p>
        </w:tc>
        <w:tc>
          <w:tcPr>
            <w:tcW w:w="1798" w:type="pct"/>
            <w:tcBorders>
              <w:top w:val="single" w:color="auto" w:sz="4" w:space="0"/>
              <w:left w:val="single" w:color="auto" w:sz="4" w:space="0"/>
              <w:right w:val="single" w:color="auto" w:sz="4" w:space="0"/>
            </w:tcBorders>
            <w:noWrap w:val="0"/>
            <w:vAlign w:val="center"/>
          </w:tcPr>
          <w:p w14:paraId="2CC5B48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color w:val="000000" w:themeColor="text1"/>
                <w:sz w:val="24"/>
                <w:highlight w:val="none"/>
                <w:lang w:val="en-US" w:eastAsia="zh-CN" w:bidi="ar"/>
                <w14:textFill>
                  <w14:solidFill>
                    <w14:schemeClr w14:val="tx1"/>
                  </w14:solidFill>
                </w14:textFill>
              </w:rPr>
            </w:pPr>
            <w:r>
              <w:rPr>
                <w:rFonts w:hint="default" w:ascii="仿宋" w:hAnsi="仿宋" w:eastAsia="仿宋" w:cs="仿宋"/>
                <w:color w:val="000000" w:themeColor="text1"/>
                <w:sz w:val="24"/>
                <w:highlight w:val="none"/>
                <w:lang w:val="en-US" w:eastAsia="zh-CN" w:bidi="ar"/>
                <w14:textFill>
                  <w14:solidFill>
                    <w14:schemeClr w14:val="tx1"/>
                  </w14:solidFill>
                </w14:textFill>
              </w:rPr>
              <w:t>投标人必须提供计量认证证书（CMA）、食品检验机构资质认定证书（CMAF）（已取得两证合一的企业只用提供CMA证），提供证书扫描件。</w:t>
            </w:r>
          </w:p>
        </w:tc>
        <w:tc>
          <w:tcPr>
            <w:tcW w:w="1915" w:type="pct"/>
            <w:tcBorders>
              <w:top w:val="single" w:color="auto" w:sz="4" w:space="0"/>
              <w:left w:val="single" w:color="auto" w:sz="4" w:space="0"/>
              <w:right w:val="single" w:color="auto" w:sz="4" w:space="0"/>
            </w:tcBorders>
            <w:noWrap w:val="0"/>
            <w:vAlign w:val="center"/>
          </w:tcPr>
          <w:p w14:paraId="14B156A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提供证明材料真实有效</w:t>
            </w:r>
          </w:p>
        </w:tc>
      </w:tr>
    </w:tbl>
    <w:p w14:paraId="7F588CCB">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p>
    <w:p w14:paraId="23B3FEBA">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p>
    <w:p w14:paraId="2D918D6A">
      <w:pPr>
        <w:spacing w:line="360" w:lineRule="auto"/>
        <w:ind w:firstLine="482" w:firstLineChars="200"/>
        <w:outlineLvl w:val="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2.符合性审查</w:t>
      </w:r>
    </w:p>
    <w:tbl>
      <w:tblPr>
        <w:tblStyle w:val="29"/>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747"/>
        <w:gridCol w:w="2747"/>
        <w:gridCol w:w="2749"/>
      </w:tblGrid>
      <w:tr w14:paraId="042D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850" w:type="dxa"/>
            <w:noWrap w:val="0"/>
            <w:vAlign w:val="center"/>
          </w:tcPr>
          <w:p w14:paraId="278E1580">
            <w:pPr>
              <w:spacing w:line="360" w:lineRule="auto"/>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序 号</w:t>
            </w:r>
          </w:p>
        </w:tc>
        <w:tc>
          <w:tcPr>
            <w:tcW w:w="2747" w:type="dxa"/>
            <w:noWrap w:val="0"/>
            <w:vAlign w:val="center"/>
          </w:tcPr>
          <w:p w14:paraId="682A60B3">
            <w:pPr>
              <w:spacing w:line="360" w:lineRule="auto"/>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类型</w:t>
            </w:r>
          </w:p>
        </w:tc>
        <w:tc>
          <w:tcPr>
            <w:tcW w:w="2747" w:type="dxa"/>
            <w:noWrap w:val="0"/>
            <w:vAlign w:val="center"/>
          </w:tcPr>
          <w:p w14:paraId="5E198248">
            <w:pPr>
              <w:spacing w:line="360" w:lineRule="auto"/>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审查要求</w:t>
            </w:r>
          </w:p>
        </w:tc>
        <w:tc>
          <w:tcPr>
            <w:tcW w:w="2749" w:type="dxa"/>
            <w:noWrap w:val="0"/>
            <w:vAlign w:val="center"/>
          </w:tcPr>
          <w:p w14:paraId="1EA84B46">
            <w:pPr>
              <w:spacing w:line="360" w:lineRule="auto"/>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要求说明</w:t>
            </w:r>
          </w:p>
        </w:tc>
      </w:tr>
      <w:tr w14:paraId="1BC5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noWrap w:val="0"/>
            <w:vAlign w:val="center"/>
          </w:tcPr>
          <w:p w14:paraId="6F67A036">
            <w:pPr>
              <w:spacing w:line="36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w:t>
            </w:r>
          </w:p>
        </w:tc>
        <w:tc>
          <w:tcPr>
            <w:tcW w:w="2747" w:type="dxa"/>
            <w:noWrap w:val="0"/>
            <w:vAlign w:val="center"/>
          </w:tcPr>
          <w:p w14:paraId="72A58932">
            <w:pPr>
              <w:spacing w:line="36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报价</w:t>
            </w:r>
          </w:p>
        </w:tc>
        <w:tc>
          <w:tcPr>
            <w:tcW w:w="2747" w:type="dxa"/>
            <w:noWrap w:val="0"/>
            <w:vAlign w:val="center"/>
          </w:tcPr>
          <w:p w14:paraId="42BE6DBA">
            <w:pPr>
              <w:spacing w:line="36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投标文件中对同一项目只有一个有效报价，并且报价不超过</w:t>
            </w:r>
            <w:r>
              <w:rPr>
                <w:rFonts w:hint="eastAsia" w:ascii="仿宋" w:hAnsi="仿宋" w:eastAsia="仿宋" w:cs="仿宋"/>
                <w:color w:val="000000" w:themeColor="text1"/>
                <w:kern w:val="0"/>
                <w:sz w:val="24"/>
                <w:highlight w:val="none"/>
                <w:lang w:val="en-US" w:eastAsia="zh-CN"/>
                <w14:textFill>
                  <w14:solidFill>
                    <w14:schemeClr w14:val="tx1"/>
                  </w14:solidFill>
                </w14:textFill>
              </w:rPr>
              <w:t>最高限价</w:t>
            </w:r>
          </w:p>
        </w:tc>
        <w:tc>
          <w:tcPr>
            <w:tcW w:w="2749" w:type="dxa"/>
            <w:noWrap w:val="0"/>
            <w:vAlign w:val="center"/>
          </w:tcPr>
          <w:p w14:paraId="1C015957">
            <w:pPr>
              <w:spacing w:line="36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w:t>
            </w:r>
          </w:p>
        </w:tc>
      </w:tr>
      <w:tr w14:paraId="67AD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restart"/>
            <w:noWrap w:val="0"/>
            <w:vAlign w:val="center"/>
          </w:tcPr>
          <w:p w14:paraId="5318D838">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p>
        </w:tc>
        <w:tc>
          <w:tcPr>
            <w:tcW w:w="2747" w:type="dxa"/>
            <w:vMerge w:val="restart"/>
            <w:noWrap w:val="0"/>
            <w:vAlign w:val="center"/>
          </w:tcPr>
          <w:p w14:paraId="531E9259">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技术</w:t>
            </w:r>
          </w:p>
        </w:tc>
        <w:tc>
          <w:tcPr>
            <w:tcW w:w="2747" w:type="dxa"/>
            <w:noWrap w:val="0"/>
            <w:vAlign w:val="center"/>
          </w:tcPr>
          <w:p w14:paraId="1BB924E9">
            <w:pPr>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投标文件未附有采购人不能接受的条件</w:t>
            </w:r>
          </w:p>
        </w:tc>
        <w:tc>
          <w:tcPr>
            <w:tcW w:w="2749" w:type="dxa"/>
            <w:noWrap w:val="0"/>
            <w:vAlign w:val="center"/>
          </w:tcPr>
          <w:p w14:paraId="7904F64D">
            <w:pPr>
              <w:spacing w:line="36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r>
      <w:tr w14:paraId="3B14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continue"/>
            <w:noWrap w:val="0"/>
            <w:vAlign w:val="center"/>
          </w:tcPr>
          <w:p w14:paraId="30217BD7">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747" w:type="dxa"/>
            <w:vMerge w:val="continue"/>
            <w:noWrap w:val="0"/>
            <w:vAlign w:val="center"/>
          </w:tcPr>
          <w:p w14:paraId="5CB347CF">
            <w:pPr>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2747" w:type="dxa"/>
            <w:noWrap w:val="0"/>
            <w:vAlign w:val="center"/>
          </w:tcPr>
          <w:p w14:paraId="5982FD0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投标文件未附有法律、法规和采购文件规定的其他无效情形</w:t>
            </w:r>
          </w:p>
        </w:tc>
        <w:tc>
          <w:tcPr>
            <w:tcW w:w="2749" w:type="dxa"/>
            <w:noWrap w:val="0"/>
            <w:vAlign w:val="center"/>
          </w:tcPr>
          <w:p w14:paraId="51736385">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14:paraId="2556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restart"/>
            <w:noWrap w:val="0"/>
            <w:vAlign w:val="center"/>
          </w:tcPr>
          <w:p w14:paraId="490A504F">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w:t>
            </w:r>
          </w:p>
        </w:tc>
        <w:tc>
          <w:tcPr>
            <w:tcW w:w="2747" w:type="dxa"/>
            <w:vMerge w:val="restart"/>
            <w:noWrap w:val="0"/>
            <w:vAlign w:val="center"/>
          </w:tcPr>
          <w:p w14:paraId="6980C000">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商务</w:t>
            </w:r>
          </w:p>
        </w:tc>
        <w:tc>
          <w:tcPr>
            <w:tcW w:w="2747" w:type="dxa"/>
            <w:noWrap w:val="0"/>
            <w:vAlign w:val="center"/>
          </w:tcPr>
          <w:p w14:paraId="4BC07584">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按照采购文件规定签署、盖章</w:t>
            </w:r>
          </w:p>
        </w:tc>
        <w:tc>
          <w:tcPr>
            <w:tcW w:w="2749" w:type="dxa"/>
            <w:noWrap w:val="0"/>
            <w:vAlign w:val="center"/>
          </w:tcPr>
          <w:p w14:paraId="1E32AE75">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14:paraId="16DB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continue"/>
            <w:noWrap w:val="0"/>
            <w:vAlign w:val="center"/>
          </w:tcPr>
          <w:p w14:paraId="26B0CEAF">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747" w:type="dxa"/>
            <w:vMerge w:val="continue"/>
            <w:noWrap w:val="0"/>
            <w:vAlign w:val="center"/>
          </w:tcPr>
          <w:p w14:paraId="05611D1F">
            <w:pPr>
              <w:spacing w:line="360" w:lineRule="auto"/>
              <w:jc w:val="left"/>
              <w:rPr>
                <w:rFonts w:hint="eastAsia" w:ascii="仿宋" w:hAnsi="仿宋" w:eastAsia="仿宋" w:cs="仿宋"/>
                <w:color w:val="000000" w:themeColor="text1"/>
                <w:sz w:val="24"/>
                <w:highlight w:val="none"/>
                <w:lang w:bidi="ar"/>
                <w14:textFill>
                  <w14:solidFill>
                    <w14:schemeClr w14:val="tx1"/>
                  </w14:solidFill>
                </w14:textFill>
              </w:rPr>
            </w:pPr>
          </w:p>
        </w:tc>
        <w:tc>
          <w:tcPr>
            <w:tcW w:w="2747" w:type="dxa"/>
            <w:noWrap w:val="0"/>
            <w:vAlign w:val="center"/>
          </w:tcPr>
          <w:p w14:paraId="2D8EDDEF">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按规定的格式填写，内容全面、完整、字迹清晰可辨</w:t>
            </w:r>
          </w:p>
        </w:tc>
        <w:tc>
          <w:tcPr>
            <w:tcW w:w="2749" w:type="dxa"/>
            <w:noWrap w:val="0"/>
            <w:vAlign w:val="center"/>
          </w:tcPr>
          <w:p w14:paraId="6A5AAE21">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14:paraId="58B5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continue"/>
            <w:noWrap w:val="0"/>
            <w:vAlign w:val="center"/>
          </w:tcPr>
          <w:p w14:paraId="54D1B601">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747" w:type="dxa"/>
            <w:vMerge w:val="continue"/>
            <w:noWrap w:val="0"/>
            <w:vAlign w:val="center"/>
          </w:tcPr>
          <w:p w14:paraId="55408191">
            <w:pPr>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2747" w:type="dxa"/>
            <w:noWrap w:val="0"/>
            <w:vAlign w:val="center"/>
          </w:tcPr>
          <w:p w14:paraId="52641BB2">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按采购内容进行整体投标，数量符合要求，没有缺项、漏项</w:t>
            </w:r>
          </w:p>
        </w:tc>
        <w:tc>
          <w:tcPr>
            <w:tcW w:w="2749" w:type="dxa"/>
            <w:noWrap w:val="0"/>
            <w:vAlign w:val="center"/>
          </w:tcPr>
          <w:p w14:paraId="6B5ACE0F">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14:paraId="4EDF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continue"/>
            <w:noWrap w:val="0"/>
            <w:vAlign w:val="center"/>
          </w:tcPr>
          <w:p w14:paraId="74A55315">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747" w:type="dxa"/>
            <w:vMerge w:val="continue"/>
            <w:noWrap w:val="0"/>
            <w:vAlign w:val="center"/>
          </w:tcPr>
          <w:p w14:paraId="68A3E7D7">
            <w:pPr>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2747" w:type="dxa"/>
            <w:noWrap w:val="0"/>
            <w:vAlign w:val="center"/>
          </w:tcPr>
          <w:p w14:paraId="64401F62">
            <w:pPr>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合同履行期限满足采购文件要求</w:t>
            </w:r>
          </w:p>
        </w:tc>
        <w:tc>
          <w:tcPr>
            <w:tcW w:w="2749" w:type="dxa"/>
            <w:noWrap w:val="0"/>
            <w:vAlign w:val="center"/>
          </w:tcPr>
          <w:p w14:paraId="26DFC0A8">
            <w:pPr>
              <w:spacing w:line="36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r>
      <w:tr w14:paraId="1AF0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continue"/>
            <w:noWrap w:val="0"/>
            <w:vAlign w:val="center"/>
          </w:tcPr>
          <w:p w14:paraId="06085BF1">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747" w:type="dxa"/>
            <w:vMerge w:val="continue"/>
            <w:noWrap w:val="0"/>
            <w:vAlign w:val="center"/>
          </w:tcPr>
          <w:p w14:paraId="6CAD1D7D">
            <w:pPr>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2747" w:type="dxa"/>
            <w:noWrap w:val="0"/>
            <w:vAlign w:val="center"/>
          </w:tcPr>
          <w:p w14:paraId="6BC279FB">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质量承诺满足采购文件要求</w:t>
            </w:r>
          </w:p>
        </w:tc>
        <w:tc>
          <w:tcPr>
            <w:tcW w:w="2749" w:type="dxa"/>
            <w:noWrap w:val="0"/>
            <w:vAlign w:val="center"/>
          </w:tcPr>
          <w:p w14:paraId="13C80D67">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14:paraId="7B31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0" w:type="dxa"/>
            <w:vMerge w:val="continue"/>
            <w:noWrap w:val="0"/>
            <w:vAlign w:val="center"/>
          </w:tcPr>
          <w:p w14:paraId="2E07D9DB">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747" w:type="dxa"/>
            <w:vMerge w:val="continue"/>
            <w:noWrap w:val="0"/>
            <w:vAlign w:val="center"/>
          </w:tcPr>
          <w:p w14:paraId="32C92A99">
            <w:pPr>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2747" w:type="dxa"/>
            <w:noWrap w:val="0"/>
            <w:vAlign w:val="center"/>
          </w:tcPr>
          <w:p w14:paraId="151C324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按照采购文件规定签署、盖章</w:t>
            </w:r>
          </w:p>
        </w:tc>
        <w:tc>
          <w:tcPr>
            <w:tcW w:w="2749" w:type="dxa"/>
            <w:noWrap w:val="0"/>
            <w:vAlign w:val="center"/>
          </w:tcPr>
          <w:p w14:paraId="1B4A145A">
            <w:pPr>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bl>
    <w:p w14:paraId="1B959958">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p>
    <w:p w14:paraId="54FC988B">
      <w:pPr>
        <w:spacing w:line="360" w:lineRule="auto"/>
        <w:ind w:firstLine="482" w:firstLineChars="200"/>
        <w:outlineLvl w:val="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3.详细评审（满分100分）</w:t>
      </w:r>
      <w:bookmarkStart w:id="290" w:name="_Toc432230682"/>
      <w:bookmarkStart w:id="291" w:name="_Toc438160918"/>
      <w:bookmarkStart w:id="292" w:name="_Toc7974"/>
      <w:bookmarkStart w:id="293" w:name="_Toc8961"/>
      <w:bookmarkStart w:id="294" w:name="_Toc431280116"/>
    </w:p>
    <w:p w14:paraId="340287BD">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评审因素的量化指标如下：</w:t>
      </w:r>
    </w:p>
    <w:tbl>
      <w:tblPr>
        <w:tblStyle w:val="2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7"/>
      </w:tblGrid>
      <w:tr w14:paraId="6563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137" w:type="dxa"/>
            <w:gridSpan w:val="2"/>
            <w:shd w:val="clear" w:color="auto" w:fill="FFFFFF" w:themeFill="background1"/>
            <w:noWrap w:val="0"/>
            <w:vAlign w:val="center"/>
          </w:tcPr>
          <w:p w14:paraId="0E92698D">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投标报价F1（满分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bCs/>
                <w:color w:val="000000" w:themeColor="text1"/>
                <w:sz w:val="24"/>
                <w:szCs w:val="24"/>
                <w:highlight w:val="none"/>
                <w14:textFill>
                  <w14:solidFill>
                    <w14:schemeClr w14:val="tx1"/>
                  </w14:solidFill>
                </w14:textFill>
              </w:rPr>
              <w:t>分）</w:t>
            </w:r>
          </w:p>
        </w:tc>
      </w:tr>
      <w:tr w14:paraId="29DF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137" w:type="dxa"/>
            <w:gridSpan w:val="2"/>
            <w:shd w:val="clear" w:color="auto" w:fill="FEFEFE"/>
            <w:noWrap w:val="0"/>
            <w:vAlign w:val="center"/>
          </w:tcPr>
          <w:p w14:paraId="4342A3E5">
            <w:pPr>
              <w:adjustRightInd w:val="0"/>
              <w:spacing w:line="360" w:lineRule="auto"/>
              <w:jc w:val="left"/>
              <w:rPr>
                <w:rFonts w:hint="eastAsia" w:ascii="仿宋" w:hAnsi="仿宋" w:eastAsia="仿宋" w:cs="仿宋"/>
                <w:color w:val="000000" w:themeColor="text1"/>
                <w:sz w:val="24"/>
                <w:szCs w:val="24"/>
                <w:highlight w:val="none"/>
                <w:lang w:val="en-US"/>
                <w14:textFill>
                  <w14:solidFill>
                    <w14:schemeClr w14:val="tx1"/>
                  </w14:solidFill>
                </w14:textFill>
              </w:rPr>
            </w:pPr>
            <w:bookmarkStart w:id="416" w:name="_GoBack"/>
            <w:r>
              <w:rPr>
                <w:rFonts w:hint="eastAsia" w:ascii="仿宋" w:hAnsi="仿宋" w:eastAsia="仿宋" w:cs="仿宋"/>
                <w:color w:val="000000" w:themeColor="text1"/>
                <w:sz w:val="24"/>
                <w:szCs w:val="24"/>
                <w:highlight w:val="none"/>
                <w14:textFill>
                  <w14:solidFill>
                    <w14:schemeClr w14:val="tx1"/>
                  </w14:solidFill>
                </w14:textFill>
              </w:rPr>
              <w:t>投标报价得分计算公式=该投标人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批次/</w:t>
            </w:r>
            <w:r>
              <w:rPr>
                <w:rFonts w:hint="eastAsia" w:ascii="仿宋" w:hAnsi="仿宋" w:eastAsia="仿宋" w:cs="仿宋"/>
                <w:color w:val="000000" w:themeColor="text1"/>
                <w:sz w:val="24"/>
                <w:szCs w:val="24"/>
                <w:highlight w:val="none"/>
                <w14:textFill>
                  <w14:solidFill>
                    <w14:schemeClr w14:val="tx1"/>
                  </w14:solidFill>
                </w14:textFill>
              </w:rPr>
              <w:t>评标基准</w:t>
            </w:r>
            <w:r>
              <w:rPr>
                <w:rFonts w:hint="eastAsia" w:ascii="仿宋" w:hAnsi="仿宋" w:eastAsia="仿宋" w:cs="仿宋"/>
                <w:color w:val="000000" w:themeColor="text1"/>
                <w:sz w:val="24"/>
                <w:szCs w:val="24"/>
                <w:highlight w:val="none"/>
                <w:lang w:val="en-US" w:eastAsia="zh-CN"/>
                <w14:textFill>
                  <w14:solidFill>
                    <w14:schemeClr w14:val="tx1"/>
                  </w14:solidFill>
                </w14:textFill>
              </w:rPr>
              <w:t>批次</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p w14:paraId="1FFDD144">
            <w:pPr>
              <w:adjustRightInd w:val="0"/>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即：F1=[（B1，B2，…，Bn）</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C]×</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p w14:paraId="4DD31A7F">
            <w:pPr>
              <w:adjustRightInd w:val="0"/>
              <w:spacing w:line="360"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每个标段的价格不变，投标人提供大于或等于采购要求的监督抽检批次，提供的批次服务最多，其报价得满分。</w:t>
            </w:r>
          </w:p>
          <w:p w14:paraId="7A68663B">
            <w:pPr>
              <w:adjustRightIn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注：C为评标基准</w:t>
            </w:r>
            <w:r>
              <w:rPr>
                <w:rFonts w:hint="eastAsia" w:ascii="仿宋" w:hAnsi="仿宋" w:eastAsia="仿宋" w:cs="仿宋"/>
                <w:color w:val="000000" w:themeColor="text1"/>
                <w:sz w:val="24"/>
                <w:szCs w:val="24"/>
                <w:highlight w:val="none"/>
                <w:lang w:val="en-US" w:eastAsia="zh-CN"/>
                <w14:textFill>
                  <w14:solidFill>
                    <w14:schemeClr w14:val="tx1"/>
                  </w14:solidFill>
                </w14:textFill>
              </w:rPr>
              <w:t>批次</w:t>
            </w:r>
            <w:r>
              <w:rPr>
                <w:rFonts w:hint="eastAsia" w:ascii="仿宋" w:hAnsi="仿宋" w:eastAsia="仿宋" w:cs="仿宋"/>
                <w:color w:val="000000" w:themeColor="text1"/>
                <w:sz w:val="24"/>
                <w:szCs w:val="24"/>
                <w:highlight w:val="none"/>
                <w14:textFill>
                  <w14:solidFill>
                    <w14:schemeClr w14:val="tx1"/>
                  </w14:solidFill>
                </w14:textFill>
              </w:rPr>
              <w:t>，即满足采购文件要求且</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提供的批次服务最多</w:t>
            </w:r>
            <w:r>
              <w:rPr>
                <w:rFonts w:hint="eastAsia" w:ascii="仿宋" w:hAnsi="仿宋" w:eastAsia="仿宋" w:cs="仿宋"/>
                <w:color w:val="000000" w:themeColor="text1"/>
                <w:sz w:val="24"/>
                <w:szCs w:val="24"/>
                <w:highlight w:val="none"/>
                <w14:textFill>
                  <w14:solidFill>
                    <w14:schemeClr w14:val="tx1"/>
                  </w14:solidFill>
                </w14:textFill>
              </w:rPr>
              <w:t>的投标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批次</w:t>
            </w:r>
            <w:r>
              <w:rPr>
                <w:rFonts w:hint="eastAsia" w:ascii="仿宋" w:hAnsi="仿宋" w:eastAsia="仿宋" w:cs="仿宋"/>
                <w:color w:val="000000" w:themeColor="text1"/>
                <w:sz w:val="24"/>
                <w:szCs w:val="24"/>
                <w:highlight w:val="none"/>
                <w14:textFill>
                  <w14:solidFill>
                    <w14:schemeClr w14:val="tx1"/>
                  </w14:solidFill>
                </w14:textFill>
              </w:rPr>
              <w:t>；B1，B2，…，Bn为经审查合格满足采购文件要求的各有效投标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批次</w:t>
            </w:r>
            <w:r>
              <w:rPr>
                <w:rFonts w:hint="eastAsia" w:ascii="仿宋" w:hAnsi="仿宋" w:eastAsia="仿宋" w:cs="仿宋"/>
                <w:color w:val="000000" w:themeColor="text1"/>
                <w:sz w:val="24"/>
                <w:szCs w:val="24"/>
                <w:highlight w:val="none"/>
                <w14:textFill>
                  <w14:solidFill>
                    <w14:schemeClr w14:val="tx1"/>
                  </w14:solidFill>
                </w14:textFill>
              </w:rPr>
              <w:t>。</w:t>
            </w:r>
          </w:p>
          <w:bookmarkEnd w:id="416"/>
          <w:p w14:paraId="6AEDA6D7">
            <w:pPr>
              <w:adjustRightInd w:val="0"/>
              <w:spacing w:line="360"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本项目不属于专门面向中小微企业采购，评审时，小微型企业、监狱企业、残疾人福利性单位报价给予10%的扣除；采购标的对应的中小企业划分标准所属行业：其他未列明行业。</w:t>
            </w:r>
          </w:p>
        </w:tc>
      </w:tr>
      <w:tr w14:paraId="53D4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137" w:type="dxa"/>
            <w:gridSpan w:val="2"/>
            <w:shd w:val="clear" w:color="auto" w:fill="FEFEFE"/>
            <w:noWrap w:val="0"/>
            <w:vAlign w:val="center"/>
          </w:tcPr>
          <w:p w14:paraId="69A3AB9B">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技术部分F</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（满分</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b/>
                <w:color w:val="000000" w:themeColor="text1"/>
                <w:sz w:val="24"/>
                <w:szCs w:val="24"/>
                <w:highlight w:val="none"/>
                <w14:textFill>
                  <w14:solidFill>
                    <w14:schemeClr w14:val="tx1"/>
                  </w14:solidFill>
                </w14:textFill>
              </w:rPr>
              <w:t>分)</w:t>
            </w:r>
          </w:p>
        </w:tc>
      </w:tr>
      <w:tr w14:paraId="38EF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800" w:type="dxa"/>
            <w:shd w:val="clear" w:color="auto" w:fill="FEFEFE"/>
            <w:noWrap w:val="0"/>
            <w:vAlign w:val="center"/>
          </w:tcPr>
          <w:p w14:paraId="3EEB3F24">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rPr>
              <w:t>服务方案（满分18分）</w:t>
            </w:r>
          </w:p>
        </w:tc>
        <w:tc>
          <w:tcPr>
            <w:tcW w:w="7337" w:type="dxa"/>
            <w:shd w:val="clear" w:color="auto" w:fill="FEFEFE"/>
            <w:noWrap w:val="0"/>
            <w:vAlign w:val="center"/>
          </w:tcPr>
          <w:p w14:paraId="41A00548">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根据投标文件中提供的服务方案进行评审评分，在“①食品抽样方案、②食品检测方案、③食品抽检监</w:t>
            </w:r>
            <w:r>
              <w:rPr>
                <w:rFonts w:hint="eastAsia" w:ascii="仿宋" w:hAnsi="仿宋" w:eastAsia="仿宋" w:cs="仿宋"/>
                <w:color w:val="auto"/>
                <w:sz w:val="24"/>
                <w:szCs w:val="24"/>
                <w:highlight w:val="none"/>
                <w:lang w:val="en-US" w:eastAsia="zh-CN"/>
              </w:rPr>
              <w:t>测数据统计分析</w:t>
            </w:r>
            <w:r>
              <w:rPr>
                <w:rFonts w:hint="eastAsia" w:ascii="仿宋" w:hAnsi="仿宋" w:eastAsia="仿宋" w:cs="仿宋"/>
                <w:color w:val="auto"/>
                <w:sz w:val="24"/>
                <w:szCs w:val="24"/>
                <w:highlight w:val="none"/>
              </w:rPr>
              <w:t>方案、④服务保障措施、⑤质量控制方案</w:t>
            </w:r>
            <w:r>
              <w:rPr>
                <w:rFonts w:hint="eastAsia" w:ascii="仿宋" w:hAnsi="仿宋" w:eastAsia="仿宋" w:cs="仿宋"/>
                <w:color w:val="auto"/>
                <w:sz w:val="24"/>
                <w:szCs w:val="24"/>
                <w:highlight w:val="none"/>
                <w:lang w:eastAsia="zh-CN"/>
              </w:rPr>
              <w:t>、⑥</w:t>
            </w:r>
            <w:r>
              <w:rPr>
                <w:rFonts w:hint="eastAsia" w:ascii="仿宋" w:hAnsi="仿宋" w:eastAsia="仿宋" w:cs="仿宋"/>
                <w:color w:val="auto"/>
                <w:sz w:val="24"/>
                <w:szCs w:val="24"/>
                <w:highlight w:val="none"/>
                <w:lang w:val="en-US" w:eastAsia="zh-CN"/>
              </w:rPr>
              <w:t>服务管理与考核要求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项内容，以上</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项内容在“完整性、合理性、时间性、专业性、</w:t>
            </w:r>
            <w:r>
              <w:rPr>
                <w:rFonts w:hint="eastAsia" w:ascii="仿宋" w:hAnsi="仿宋" w:eastAsia="仿宋" w:cs="仿宋"/>
                <w:color w:val="auto"/>
                <w:sz w:val="24"/>
                <w:szCs w:val="24"/>
                <w:highlight w:val="none"/>
                <w:lang w:val="en-US" w:eastAsia="zh-CN"/>
              </w:rPr>
              <w:t>科学性</w:t>
            </w:r>
            <w:r>
              <w:rPr>
                <w:rFonts w:hint="eastAsia" w:ascii="仿宋" w:hAnsi="仿宋" w:eastAsia="仿宋" w:cs="仿宋"/>
                <w:color w:val="auto"/>
                <w:sz w:val="24"/>
                <w:szCs w:val="24"/>
                <w:highlight w:val="none"/>
              </w:rPr>
              <w:t>、可行性”6个方面，</w:t>
            </w:r>
            <w:r>
              <w:rPr>
                <w:rFonts w:hint="eastAsia" w:ascii="仿宋" w:hAnsi="仿宋" w:eastAsia="仿宋" w:cs="仿宋"/>
                <w:color w:val="auto"/>
                <w:sz w:val="24"/>
                <w:szCs w:val="24"/>
                <w:highlight w:val="none"/>
                <w:lang w:eastAsia="zh-CN"/>
              </w:rPr>
              <w:t>每项内容为</w:t>
            </w:r>
            <w:r>
              <w:rPr>
                <w:rFonts w:hint="eastAsia" w:ascii="仿宋" w:hAnsi="仿宋" w:eastAsia="仿宋" w:cs="仿宋"/>
                <w:color w:val="auto"/>
                <w:sz w:val="24"/>
                <w:szCs w:val="24"/>
                <w:highlight w:val="none"/>
                <w:lang w:val="en-US" w:eastAsia="zh-CN"/>
              </w:rPr>
              <w:t>3分，满分为18分，</w:t>
            </w:r>
            <w:r>
              <w:rPr>
                <w:rFonts w:hint="eastAsia" w:ascii="仿宋" w:hAnsi="仿宋" w:eastAsia="仿宋" w:cs="仿宋"/>
                <w:color w:val="auto"/>
                <w:sz w:val="24"/>
                <w:szCs w:val="24"/>
                <w:highlight w:val="none"/>
              </w:rPr>
              <w:t>有1个方面内容存在</w:t>
            </w:r>
            <w:r>
              <w:rPr>
                <w:rFonts w:hint="eastAsia" w:ascii="仿宋" w:hAnsi="仿宋" w:eastAsia="仿宋" w:cs="仿宋"/>
                <w:color w:val="auto"/>
                <w:kern w:val="0"/>
                <w:sz w:val="24"/>
                <w:szCs w:val="24"/>
                <w:highlight w:val="none"/>
                <w:lang w:bidi="ar"/>
              </w:rPr>
              <w:t>缺陷</w:t>
            </w:r>
            <w:r>
              <w:rPr>
                <w:rFonts w:hint="eastAsia" w:ascii="仿宋" w:hAnsi="仿宋" w:eastAsia="仿宋" w:cs="仿宋"/>
                <w:color w:val="auto"/>
                <w:sz w:val="24"/>
                <w:szCs w:val="24"/>
                <w:highlight w:val="none"/>
              </w:rPr>
              <w:t>的扣0.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2CDFBFC0">
            <w:pPr>
              <w:spacing w:line="36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t>注：缺陷是指：①针对性不足：与项目实际情况不匹配、不符合项目特点、不适用于本项目或与本项目采购要求不相符；</w:t>
            </w:r>
          </w:p>
          <w:p w14:paraId="0A525DE7">
            <w:pPr>
              <w:spacing w:line="36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t>②过于简略：内容过于简单而不能对采购需求做出足够响应；</w:t>
            </w:r>
          </w:p>
          <w:p w14:paraId="3C2EF86C">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auto"/>
                <w:kern w:val="0"/>
                <w:sz w:val="24"/>
                <w:szCs w:val="24"/>
                <w:highlight w:val="none"/>
                <w:shd w:val="clear" w:color="auto" w:fill="FFFFFF"/>
              </w:rPr>
              <w:t>③错误：文字表述、技术描述、引用、图表制作有明显错误。</w:t>
            </w:r>
          </w:p>
        </w:tc>
      </w:tr>
      <w:tr w14:paraId="71F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800" w:type="dxa"/>
            <w:shd w:val="clear" w:color="auto" w:fill="FEFEFE"/>
            <w:noWrap w:val="0"/>
            <w:vAlign w:val="center"/>
          </w:tcPr>
          <w:p w14:paraId="0193E6E3">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rPr>
              <w:t>投入项目人员及实验室检验设备（满分32分）</w:t>
            </w:r>
          </w:p>
        </w:tc>
        <w:tc>
          <w:tcPr>
            <w:tcW w:w="7337" w:type="dxa"/>
            <w:shd w:val="clear" w:color="auto" w:fill="FEFEFE"/>
            <w:noWrap w:val="0"/>
            <w:vAlign w:val="center"/>
          </w:tcPr>
          <w:p w14:paraId="0C46D6F9">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1、拟投入本项目的采样人员：从事食品抽样工作1年以上并经考核合格在10人的基础上每增加1人加0.2分，最多加至4分。</w:t>
            </w:r>
          </w:p>
          <w:p w14:paraId="35760CF8">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（注：需提供人员考核合格证、毕业证、社保证明扫描件。）</w:t>
            </w:r>
          </w:p>
          <w:p w14:paraId="31D6D87C">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2、拟投入本项目的快检人员：从事快检工作1年以上并经考核合格的人员在5人的基础上每增加1人加0.5分，最多加至3分。</w:t>
            </w:r>
          </w:p>
          <w:p w14:paraId="4456DECB">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3、参与本项目的主要检测技术人员具备职称要求：（5分）</w:t>
            </w:r>
          </w:p>
          <w:p w14:paraId="315FDF7C">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投入本项目的主要技术人员具有中级职称5人的得3分，每增加1人加0.2分，最高加至4分。具有高级职称1人得0.5分，最多得1分。</w:t>
            </w:r>
          </w:p>
          <w:p w14:paraId="3B3BB8A1">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(注：提供以上人员职称证书和社保证明材料扫描件）。</w:t>
            </w:r>
          </w:p>
          <w:p w14:paraId="712F1470">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4、要求具有足够对应食品抽检监测的必须设备及取样设备等：（10分）</w:t>
            </w:r>
          </w:p>
          <w:p w14:paraId="3860820A">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设备总价值壹仟万元的得2分，在壹仟万元的基础上每增加贰佰万元加1分，最高加至10分；壹仟万元以下不得分。</w:t>
            </w:r>
          </w:p>
          <w:p w14:paraId="255166C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注：提供设备发票和图片等证明材料扫描件，分类汇总实验室设备仪器、抽样和快速检测设备的相关证明资料。</w:t>
            </w:r>
          </w:p>
          <w:p w14:paraId="3A90C9C3">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5、可投入此项目的采样车辆：（10分）</w:t>
            </w:r>
          </w:p>
          <w:p w14:paraId="5367BBF2">
            <w:pPr>
              <w:widowControl/>
              <w:spacing w:line="360" w:lineRule="auto"/>
              <w:ind w:left="21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供应商配置车载冷藏装置的专用抽样车辆3辆得2分，每增加1辆加1分，最高加至10分。</w:t>
            </w:r>
          </w:p>
          <w:p w14:paraId="7BD058B6">
            <w:pPr>
              <w:pStyle w:val="11"/>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color w:val="auto"/>
                <w:spacing w:val="0"/>
                <w:sz w:val="24"/>
                <w:szCs w:val="24"/>
                <w:highlight w:val="none"/>
                <w:lang w:val="zh-CN"/>
              </w:rPr>
              <w:t>（注：供应商自有车辆需提供车辆购买发票、</w:t>
            </w:r>
            <w:r>
              <w:rPr>
                <w:rFonts w:hint="eastAsia" w:ascii="仿宋" w:hAnsi="仿宋" w:eastAsia="仿宋" w:cs="仿宋"/>
                <w:b w:val="0"/>
                <w:color w:val="auto"/>
                <w:spacing w:val="0"/>
                <w:sz w:val="24"/>
                <w:szCs w:val="24"/>
                <w:highlight w:val="none"/>
              </w:rPr>
              <w:t>冷藏装置</w:t>
            </w:r>
            <w:r>
              <w:rPr>
                <w:rFonts w:hint="eastAsia" w:ascii="仿宋" w:hAnsi="仿宋" w:eastAsia="仿宋" w:cs="仿宋"/>
                <w:b w:val="0"/>
                <w:color w:val="auto"/>
                <w:spacing w:val="0"/>
                <w:sz w:val="24"/>
                <w:szCs w:val="24"/>
                <w:highlight w:val="none"/>
                <w:lang w:val="zh-CN"/>
              </w:rPr>
              <w:t>购买发票原件扫描件及实物照片；非自有车辆和</w:t>
            </w:r>
            <w:r>
              <w:rPr>
                <w:rFonts w:hint="eastAsia" w:ascii="仿宋" w:hAnsi="仿宋" w:eastAsia="仿宋" w:cs="仿宋"/>
                <w:b w:val="0"/>
                <w:color w:val="auto"/>
                <w:spacing w:val="0"/>
                <w:sz w:val="24"/>
                <w:szCs w:val="24"/>
                <w:highlight w:val="none"/>
              </w:rPr>
              <w:t>冷藏装置的，需提供租赁车辆合同及发票原件扫描件</w:t>
            </w:r>
            <w:r>
              <w:rPr>
                <w:rFonts w:hint="eastAsia" w:ascii="仿宋" w:hAnsi="仿宋" w:eastAsia="仿宋" w:cs="仿宋"/>
                <w:b w:val="0"/>
                <w:color w:val="auto"/>
                <w:spacing w:val="0"/>
                <w:sz w:val="24"/>
                <w:szCs w:val="24"/>
                <w:highlight w:val="none"/>
                <w:lang w:val="zh-CN"/>
              </w:rPr>
              <w:t>及实物照片，且租期需一年以上，未提供不得分。）</w:t>
            </w:r>
          </w:p>
        </w:tc>
      </w:tr>
      <w:tr w14:paraId="1179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800" w:type="dxa"/>
            <w:shd w:val="clear" w:color="auto" w:fill="FEFEFE"/>
            <w:noWrap w:val="0"/>
            <w:vAlign w:val="center"/>
          </w:tcPr>
          <w:p w14:paraId="1F36E0B1">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kern w:val="0"/>
                <w:sz w:val="24"/>
                <w:szCs w:val="24"/>
                <w:highlight w:val="none"/>
              </w:rPr>
              <w:t>快检设备（</w:t>
            </w:r>
            <w:r>
              <w:rPr>
                <w:rFonts w:hint="eastAsia" w:ascii="仿宋" w:hAnsi="仿宋" w:eastAsia="仿宋" w:cs="仿宋"/>
                <w:color w:val="auto"/>
                <w:sz w:val="24"/>
                <w:szCs w:val="24"/>
                <w:highlight w:val="none"/>
              </w:rPr>
              <w:t>满分</w:t>
            </w:r>
            <w:r>
              <w:rPr>
                <w:rFonts w:hint="eastAsia" w:ascii="仿宋" w:hAnsi="仿宋" w:eastAsia="仿宋" w:cs="仿宋"/>
                <w:color w:val="auto"/>
                <w:kern w:val="0"/>
                <w:sz w:val="24"/>
                <w:szCs w:val="24"/>
                <w:highlight w:val="none"/>
              </w:rPr>
              <w:t>5分）</w:t>
            </w:r>
          </w:p>
        </w:tc>
        <w:tc>
          <w:tcPr>
            <w:tcW w:w="7337" w:type="dxa"/>
            <w:shd w:val="clear" w:color="auto" w:fill="FEFEFE"/>
            <w:noWrap w:val="0"/>
            <w:vAlign w:val="center"/>
          </w:tcPr>
          <w:p w14:paraId="12E8F2DE">
            <w:pPr>
              <w:widowControl/>
              <w:spacing w:line="360" w:lineRule="auto"/>
              <w:ind w:left="21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具备快速检测设备</w:t>
            </w:r>
            <w:r>
              <w:rPr>
                <w:rFonts w:hint="eastAsia" w:ascii="仿宋" w:hAnsi="仿宋" w:eastAsia="仿宋" w:cs="仿宋"/>
                <w:color w:val="auto"/>
                <w:sz w:val="24"/>
                <w:szCs w:val="24"/>
                <w:highlight w:val="none"/>
              </w:rPr>
              <w:t>在5台的基础上每增加1台加1分，最多加至5分</w:t>
            </w:r>
            <w:r>
              <w:rPr>
                <w:rFonts w:hint="eastAsia" w:ascii="仿宋" w:hAnsi="仿宋" w:eastAsia="仿宋" w:cs="仿宋"/>
                <w:color w:val="auto"/>
                <w:sz w:val="24"/>
                <w:szCs w:val="24"/>
                <w:highlight w:val="none"/>
                <w:lang w:val="zh-CN"/>
              </w:rPr>
              <w:t>，5台</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val="zh-CN"/>
              </w:rPr>
              <w:t>以下不得分。</w:t>
            </w:r>
            <w:r>
              <w:rPr>
                <w:rFonts w:hint="eastAsia" w:ascii="仿宋" w:hAnsi="仿宋" w:eastAsia="仿宋" w:cs="仿宋"/>
                <w:color w:val="auto"/>
                <w:sz w:val="24"/>
                <w:szCs w:val="24"/>
                <w:highlight w:val="none"/>
              </w:rPr>
              <w:t xml:space="preserve">        </w:t>
            </w:r>
          </w:p>
          <w:p w14:paraId="393312FA">
            <w:pPr>
              <w:widowControl/>
              <w:spacing w:line="360" w:lineRule="auto"/>
              <w:ind w:left="240" w:leftChars="0" w:hanging="240" w:hangingChars="1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lang w:val="zh-CN"/>
              </w:rPr>
              <w:t>（注：提供每台设备图片及购置发票等证明材料）。</w:t>
            </w:r>
          </w:p>
        </w:tc>
      </w:tr>
      <w:tr w14:paraId="77FC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800" w:type="dxa"/>
            <w:shd w:val="clear" w:color="auto" w:fill="FEFEFE"/>
            <w:noWrap w:val="0"/>
            <w:vAlign w:val="center"/>
          </w:tcPr>
          <w:p w14:paraId="3E12ED33">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kern w:val="0"/>
                <w:sz w:val="24"/>
                <w:szCs w:val="24"/>
                <w:highlight w:val="none"/>
              </w:rPr>
              <w:t>快速检测试剂性能保证（</w:t>
            </w:r>
            <w:r>
              <w:rPr>
                <w:rFonts w:hint="eastAsia" w:ascii="仿宋" w:hAnsi="仿宋" w:eastAsia="仿宋" w:cs="仿宋"/>
                <w:color w:val="auto"/>
                <w:sz w:val="24"/>
                <w:szCs w:val="24"/>
                <w:highlight w:val="none"/>
              </w:rPr>
              <w:t>满分</w:t>
            </w:r>
            <w:r>
              <w:rPr>
                <w:rFonts w:hint="eastAsia" w:ascii="仿宋" w:hAnsi="仿宋" w:eastAsia="仿宋" w:cs="仿宋"/>
                <w:color w:val="auto"/>
                <w:kern w:val="0"/>
                <w:sz w:val="24"/>
                <w:szCs w:val="24"/>
                <w:highlight w:val="none"/>
              </w:rPr>
              <w:t>5分）</w:t>
            </w:r>
          </w:p>
        </w:tc>
        <w:tc>
          <w:tcPr>
            <w:tcW w:w="7337" w:type="dxa"/>
            <w:shd w:val="clear" w:color="auto" w:fill="FEFEFE"/>
            <w:noWrap w:val="0"/>
            <w:vAlign w:val="center"/>
          </w:tcPr>
          <w:p w14:paraId="5E55399B">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投标人应有完善的采购系统并需对所采购试剂有产品评价能力，以确保服务质量。要求投标文件中提供相关证明材料及类似产品评价经历证明，未提供不得分。</w:t>
            </w:r>
          </w:p>
          <w:p w14:paraId="0E4E01C4">
            <w:pPr>
              <w:widowControl/>
              <w:spacing w:line="360" w:lineRule="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auto"/>
                <w:sz w:val="24"/>
                <w:szCs w:val="24"/>
                <w:highlight w:val="none"/>
                <w:lang w:val="zh-CN"/>
              </w:rPr>
              <w:t>（注：类似产品评价经历证明材料原件扫描件，根据投标人提供的材料进行比对打分。）</w:t>
            </w:r>
          </w:p>
        </w:tc>
      </w:tr>
      <w:tr w14:paraId="1033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00" w:type="dxa"/>
            <w:shd w:val="clear" w:color="auto" w:fill="FEFEFE"/>
            <w:noWrap w:val="0"/>
            <w:vAlign w:val="center"/>
          </w:tcPr>
          <w:p w14:paraId="5D546F73">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kern w:val="0"/>
                <w:sz w:val="24"/>
                <w:szCs w:val="24"/>
                <w:highlight w:val="none"/>
              </w:rPr>
              <w:t>检测项目覆盖率评分（</w:t>
            </w:r>
            <w:r>
              <w:rPr>
                <w:rFonts w:hint="eastAsia" w:ascii="仿宋" w:hAnsi="仿宋" w:eastAsia="仿宋" w:cs="仿宋"/>
                <w:color w:val="auto"/>
                <w:sz w:val="24"/>
                <w:szCs w:val="24"/>
                <w:highlight w:val="none"/>
              </w:rPr>
              <w:t>满分</w:t>
            </w:r>
            <w:r>
              <w:rPr>
                <w:rFonts w:hint="eastAsia" w:ascii="仿宋" w:hAnsi="仿宋" w:eastAsia="仿宋" w:cs="仿宋"/>
                <w:color w:val="auto"/>
                <w:kern w:val="0"/>
                <w:sz w:val="24"/>
                <w:szCs w:val="24"/>
                <w:highlight w:val="none"/>
              </w:rPr>
              <w:t>5分）</w:t>
            </w:r>
          </w:p>
        </w:tc>
        <w:tc>
          <w:tcPr>
            <w:tcW w:w="7337" w:type="dxa"/>
            <w:shd w:val="clear" w:color="auto" w:fill="FEFEFE"/>
            <w:noWrap w:val="0"/>
            <w:vAlign w:val="center"/>
          </w:tcPr>
          <w:p w14:paraId="411491F0">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根据覆盖率按《食品安全抽检品种及项目表》中的食品细类（四级）和食品亚类（二级）来评分，对应每项抽检项目完全响应则默认覆盖，对应抽检项目不完全响应(缺项)默认不覆盖。</w:t>
            </w:r>
          </w:p>
          <w:p w14:paraId="45CEC860">
            <w:pPr>
              <w:widowControl/>
              <w:spacing w:line="360" w:lineRule="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auto"/>
                <w:sz w:val="24"/>
                <w:szCs w:val="24"/>
                <w:highlight w:val="none"/>
              </w:rPr>
              <w:t>覆盖率达到96%的得1分，每增加1%加1分，最高加至5分。覆盖率在95%及以下的不得分。</w:t>
            </w:r>
          </w:p>
        </w:tc>
      </w:tr>
      <w:tr w14:paraId="20B4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800" w:type="dxa"/>
            <w:shd w:val="clear" w:color="auto" w:fill="FEFEFE"/>
            <w:noWrap w:val="0"/>
            <w:vAlign w:val="center"/>
          </w:tcPr>
          <w:p w14:paraId="50CFA8FC">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抽样系统录入能力（满分5分）</w:t>
            </w:r>
          </w:p>
        </w:tc>
        <w:tc>
          <w:tcPr>
            <w:tcW w:w="7337" w:type="dxa"/>
            <w:shd w:val="clear" w:color="auto" w:fill="FEFEFE"/>
            <w:noWrap w:val="0"/>
            <w:vAlign w:val="center"/>
          </w:tcPr>
          <w:p w14:paraId="496A98E9">
            <w:pPr>
              <w:pStyle w:val="11"/>
              <w:spacing w:line="360" w:lineRule="auto"/>
              <w:rPr>
                <w:rFonts w:hint="eastAsia" w:ascii="仿宋" w:hAnsi="仿宋" w:eastAsia="仿宋" w:cs="仿宋"/>
                <w:b w:val="0"/>
                <w:color w:val="auto"/>
                <w:spacing w:val="0"/>
                <w:sz w:val="24"/>
                <w:szCs w:val="24"/>
                <w:highlight w:val="none"/>
                <w:lang w:val="zh-CN"/>
              </w:rPr>
            </w:pPr>
            <w:r>
              <w:rPr>
                <w:rFonts w:hint="eastAsia" w:ascii="仿宋" w:hAnsi="仿宋" w:eastAsia="仿宋" w:cs="仿宋"/>
                <w:b w:val="0"/>
                <w:color w:val="auto"/>
                <w:spacing w:val="0"/>
                <w:sz w:val="24"/>
                <w:szCs w:val="24"/>
                <w:highlight w:val="none"/>
                <w:lang w:val="zh-CN"/>
              </w:rPr>
              <w:t>具备运用国家食品安全抽检监测信息系统（国抽APP）进行现场电子抽样的能力，实现样品信息填报、同步提交至国家食品安全抽样检验信息系统任务大平台、并实时打印抽样单。</w:t>
            </w:r>
          </w:p>
          <w:p w14:paraId="6775ED9A">
            <w:pPr>
              <w:pStyle w:val="11"/>
              <w:spacing w:line="360" w:lineRule="auto"/>
              <w:rPr>
                <w:rFonts w:hint="eastAsia" w:ascii="仿宋" w:hAnsi="仿宋" w:eastAsia="仿宋" w:cs="仿宋"/>
                <w:b w:val="0"/>
                <w:color w:val="auto"/>
                <w:spacing w:val="0"/>
                <w:sz w:val="24"/>
                <w:szCs w:val="24"/>
                <w:highlight w:val="none"/>
                <w:lang w:val="zh-CN"/>
              </w:rPr>
            </w:pPr>
            <w:r>
              <w:rPr>
                <w:rFonts w:hint="eastAsia" w:ascii="仿宋" w:hAnsi="仿宋" w:eastAsia="仿宋" w:cs="仿宋"/>
                <w:b w:val="0"/>
                <w:color w:val="auto"/>
                <w:spacing w:val="0"/>
                <w:sz w:val="24"/>
                <w:szCs w:val="24"/>
                <w:highlight w:val="none"/>
                <w:lang w:val="zh-CN"/>
              </w:rPr>
              <w:t>提供现场抽样及校验设备5套的得</w:t>
            </w:r>
            <w:r>
              <w:rPr>
                <w:rFonts w:hint="eastAsia" w:ascii="仿宋" w:hAnsi="仿宋" w:eastAsia="仿宋" w:cs="仿宋"/>
                <w:b w:val="0"/>
                <w:color w:val="auto"/>
                <w:spacing w:val="0"/>
                <w:sz w:val="24"/>
                <w:szCs w:val="24"/>
                <w:highlight w:val="none"/>
              </w:rPr>
              <w:t>1</w:t>
            </w:r>
            <w:r>
              <w:rPr>
                <w:rFonts w:hint="eastAsia" w:ascii="仿宋" w:hAnsi="仿宋" w:eastAsia="仿宋" w:cs="仿宋"/>
                <w:b w:val="0"/>
                <w:color w:val="auto"/>
                <w:spacing w:val="0"/>
                <w:sz w:val="24"/>
                <w:szCs w:val="24"/>
                <w:highlight w:val="none"/>
                <w:lang w:val="zh-CN"/>
              </w:rPr>
              <w:t>分，每增加1套加0.5分，最高加至</w:t>
            </w:r>
            <w:r>
              <w:rPr>
                <w:rFonts w:hint="eastAsia" w:ascii="仿宋" w:hAnsi="仿宋" w:eastAsia="仿宋" w:cs="仿宋"/>
                <w:b w:val="0"/>
                <w:color w:val="auto"/>
                <w:spacing w:val="0"/>
                <w:sz w:val="24"/>
                <w:szCs w:val="24"/>
                <w:highlight w:val="none"/>
              </w:rPr>
              <w:t>5</w:t>
            </w:r>
            <w:r>
              <w:rPr>
                <w:rFonts w:hint="eastAsia" w:ascii="仿宋" w:hAnsi="仿宋" w:eastAsia="仿宋" w:cs="仿宋"/>
                <w:b w:val="0"/>
                <w:color w:val="auto"/>
                <w:spacing w:val="0"/>
                <w:sz w:val="24"/>
                <w:szCs w:val="24"/>
                <w:highlight w:val="none"/>
                <w:lang w:val="zh-CN"/>
              </w:rPr>
              <w:t>分，5套以下不得分。</w:t>
            </w:r>
          </w:p>
          <w:p w14:paraId="7696B220">
            <w:pPr>
              <w:pStyle w:val="11"/>
              <w:spacing w:line="360" w:lineRule="auto"/>
              <w:rPr>
                <w:rFonts w:hint="eastAsia" w:ascii="仿宋" w:hAnsi="仿宋" w:eastAsia="仿宋" w:cs="仿宋"/>
                <w:color w:val="auto"/>
                <w:sz w:val="24"/>
                <w:szCs w:val="24"/>
                <w:highlight w:val="none"/>
              </w:rPr>
            </w:pPr>
            <w:r>
              <w:rPr>
                <w:rFonts w:hint="eastAsia" w:ascii="仿宋" w:hAnsi="仿宋" w:eastAsia="仿宋" w:cs="仿宋"/>
                <w:b w:val="0"/>
                <w:color w:val="auto"/>
                <w:spacing w:val="0"/>
                <w:sz w:val="24"/>
                <w:szCs w:val="24"/>
                <w:highlight w:val="none"/>
                <w:lang w:val="zh-CN"/>
              </w:rPr>
              <w:t>（</w:t>
            </w:r>
            <w:r>
              <w:rPr>
                <w:rFonts w:hint="eastAsia" w:ascii="仿宋" w:hAnsi="仿宋" w:eastAsia="仿宋" w:cs="仿宋"/>
                <w:b w:val="0"/>
                <w:color w:val="auto"/>
                <w:spacing w:val="0"/>
                <w:sz w:val="24"/>
                <w:szCs w:val="24"/>
                <w:highlight w:val="none"/>
              </w:rPr>
              <w:t>注：</w:t>
            </w:r>
            <w:r>
              <w:rPr>
                <w:rFonts w:hint="eastAsia" w:ascii="仿宋" w:hAnsi="仿宋" w:eastAsia="仿宋" w:cs="仿宋"/>
                <w:b w:val="0"/>
                <w:color w:val="auto"/>
                <w:spacing w:val="0"/>
                <w:sz w:val="24"/>
                <w:szCs w:val="24"/>
                <w:highlight w:val="none"/>
                <w:lang w:val="zh-CN"/>
              </w:rPr>
              <w:t>提供每套设备发票及图片等证明材料</w:t>
            </w:r>
            <w:r>
              <w:rPr>
                <w:rFonts w:hint="eastAsia" w:ascii="仿宋" w:hAnsi="仿宋" w:eastAsia="仿宋" w:cs="仿宋"/>
                <w:b w:val="0"/>
                <w:color w:val="auto"/>
                <w:spacing w:val="0"/>
                <w:sz w:val="24"/>
                <w:szCs w:val="24"/>
                <w:highlight w:val="none"/>
              </w:rPr>
              <w:t>扫描件</w:t>
            </w:r>
            <w:r>
              <w:rPr>
                <w:rFonts w:hint="eastAsia" w:ascii="仿宋" w:hAnsi="仿宋" w:eastAsia="仿宋" w:cs="仿宋"/>
                <w:b w:val="0"/>
                <w:color w:val="auto"/>
                <w:spacing w:val="0"/>
                <w:sz w:val="24"/>
                <w:szCs w:val="24"/>
                <w:highlight w:val="none"/>
                <w:lang w:val="zh-CN"/>
              </w:rPr>
              <w:t>）。</w:t>
            </w:r>
          </w:p>
        </w:tc>
      </w:tr>
      <w:tr w14:paraId="00CA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37" w:type="dxa"/>
            <w:gridSpan w:val="2"/>
            <w:shd w:val="clear" w:color="auto" w:fill="FEFEFE"/>
            <w:noWrap w:val="0"/>
            <w:vAlign w:val="center"/>
          </w:tcPr>
          <w:p w14:paraId="636D50F5">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商务部分F</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（满分</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b/>
                <w:color w:val="000000" w:themeColor="text1"/>
                <w:sz w:val="24"/>
                <w:szCs w:val="24"/>
                <w:highlight w:val="none"/>
                <w14:textFill>
                  <w14:solidFill>
                    <w14:schemeClr w14:val="tx1"/>
                  </w14:solidFill>
                </w14:textFill>
              </w:rPr>
              <w:t>分）</w:t>
            </w:r>
          </w:p>
        </w:tc>
      </w:tr>
      <w:tr w14:paraId="1DEB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00" w:type="dxa"/>
            <w:shd w:val="clear" w:color="auto" w:fill="FEFEFE"/>
            <w:noWrap w:val="0"/>
            <w:vAlign w:val="center"/>
          </w:tcPr>
          <w:p w14:paraId="56DDD411">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rPr>
              <w:t>样品储存场所（满分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337" w:type="dxa"/>
            <w:shd w:val="clear" w:color="auto" w:fill="FEFEFE"/>
            <w:noWrap w:val="0"/>
            <w:vAlign w:val="top"/>
          </w:tcPr>
          <w:p w14:paraId="6AA1594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具备冷藏及冷冻食品保存专用冷库：</w:t>
            </w:r>
          </w:p>
          <w:p w14:paraId="7B79686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容积100立方米的得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分，每增加50立方米加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分，最多加至</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5F89F168">
            <w:pPr>
              <w:pStyle w:val="11"/>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auto"/>
                <w:spacing w:val="0"/>
                <w:sz w:val="24"/>
                <w:szCs w:val="24"/>
                <w:highlight w:val="none"/>
              </w:rPr>
              <w:t>注：提供证明材料</w:t>
            </w:r>
          </w:p>
        </w:tc>
      </w:tr>
      <w:tr w14:paraId="04D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00" w:type="dxa"/>
            <w:shd w:val="clear" w:color="auto" w:fill="FEFEFE"/>
            <w:noWrap w:val="0"/>
            <w:vAlign w:val="center"/>
          </w:tcPr>
          <w:p w14:paraId="667823F2">
            <w:pPr>
              <w:spacing w:line="360" w:lineRule="auto"/>
              <w:jc w:val="cente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bookmarkStart w:id="295" w:name="_Toc59809735"/>
            <w:bookmarkStart w:id="296" w:name="_Toc85096160"/>
            <w:bookmarkStart w:id="297" w:name="_Toc12968"/>
            <w:r>
              <w:rPr>
                <w:rFonts w:hint="eastAsia" w:ascii="仿宋" w:hAnsi="仿宋" w:eastAsia="仿宋" w:cs="仿宋"/>
                <w:color w:val="auto"/>
                <w:sz w:val="24"/>
                <w:szCs w:val="24"/>
                <w:highlight w:val="none"/>
              </w:rPr>
              <w:t>应急方案评审（满分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337" w:type="dxa"/>
            <w:shd w:val="clear" w:color="auto" w:fill="FEFEFE"/>
            <w:noWrap w:val="0"/>
            <w:vAlign w:val="center"/>
          </w:tcPr>
          <w:p w14:paraId="51145414">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文件中提供的应急方案进行评审评分，在“①可能存在的应急情况或临时任务、②应急方案、③技术支持服务、④响应时间、⑤应急措施”5项内容，以上5项内容在“完整性、合理性、时间性、专业性、实用性、可行性”6个方面，</w:t>
            </w:r>
            <w:r>
              <w:rPr>
                <w:rFonts w:hint="eastAsia" w:ascii="仿宋" w:hAnsi="仿宋" w:eastAsia="仿宋" w:cs="仿宋"/>
                <w:color w:val="auto"/>
                <w:sz w:val="24"/>
                <w:szCs w:val="24"/>
                <w:highlight w:val="none"/>
                <w:lang w:eastAsia="zh-CN"/>
              </w:rPr>
              <w:t>每项内容为</w:t>
            </w:r>
            <w:r>
              <w:rPr>
                <w:rFonts w:hint="eastAsia" w:ascii="仿宋" w:hAnsi="仿宋" w:eastAsia="仿宋" w:cs="仿宋"/>
                <w:color w:val="auto"/>
                <w:sz w:val="24"/>
                <w:szCs w:val="24"/>
                <w:highlight w:val="none"/>
                <w:lang w:val="en-US" w:eastAsia="zh-CN"/>
              </w:rPr>
              <w:t>2分，满分为10分，</w:t>
            </w:r>
            <w:r>
              <w:rPr>
                <w:rFonts w:hint="eastAsia" w:ascii="仿宋" w:hAnsi="仿宋" w:eastAsia="仿宋" w:cs="仿宋"/>
                <w:color w:val="auto"/>
                <w:sz w:val="24"/>
                <w:szCs w:val="24"/>
                <w:highlight w:val="none"/>
              </w:rPr>
              <w:t>有1个方面内容存在</w:t>
            </w:r>
            <w:r>
              <w:rPr>
                <w:rFonts w:hint="eastAsia" w:ascii="仿宋" w:hAnsi="仿宋" w:eastAsia="仿宋" w:cs="仿宋"/>
                <w:color w:val="auto"/>
                <w:kern w:val="0"/>
                <w:sz w:val="24"/>
                <w:szCs w:val="24"/>
                <w:highlight w:val="none"/>
                <w:lang w:bidi="ar"/>
              </w:rPr>
              <w:t>缺陷</w:t>
            </w:r>
            <w:r>
              <w:rPr>
                <w:rFonts w:hint="eastAsia" w:ascii="仿宋" w:hAnsi="仿宋" w:eastAsia="仿宋" w:cs="仿宋"/>
                <w:color w:val="auto"/>
                <w:sz w:val="24"/>
                <w:szCs w:val="24"/>
                <w:highlight w:val="none"/>
              </w:rPr>
              <w:t>的扣0.5分。</w:t>
            </w:r>
          </w:p>
          <w:p w14:paraId="3851F559">
            <w:pPr>
              <w:spacing w:line="36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t>注：缺陷是指：①针对性不足：与项目实际情况不匹配、不符合项目特点、不适用于本项目或与本项目采购要求不相符；</w:t>
            </w:r>
          </w:p>
          <w:p w14:paraId="6DFD2C50">
            <w:pPr>
              <w:spacing w:line="36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t>②过于简略：内容过于简单而不能对采购需求做出足够响应；</w:t>
            </w:r>
          </w:p>
          <w:p w14:paraId="27D3BFCF">
            <w:pPr>
              <w:spacing w:line="36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t>③错误：文字表述、技术描述、引用、图表制作有明显错误；</w:t>
            </w:r>
          </w:p>
          <w:p w14:paraId="7F667E66">
            <w:pPr>
              <w:spacing w:line="360" w:lineRule="auto"/>
              <w:jc w:val="left"/>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auto"/>
                <w:kern w:val="0"/>
                <w:sz w:val="24"/>
                <w:szCs w:val="24"/>
                <w:highlight w:val="none"/>
                <w:shd w:val="clear" w:color="auto" w:fill="FFFFFF"/>
              </w:rPr>
              <w:t>（2）以评审专家结合项目实际情况和投标文件独立评审为准。</w:t>
            </w:r>
          </w:p>
        </w:tc>
      </w:tr>
      <w:tr w14:paraId="3023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00" w:type="dxa"/>
            <w:shd w:val="clear" w:color="auto" w:fill="FEFEFE"/>
            <w:noWrap w:val="0"/>
            <w:vAlign w:val="center"/>
          </w:tcPr>
          <w:p w14:paraId="6A2944C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服务能力评审（满分5分）</w:t>
            </w:r>
          </w:p>
        </w:tc>
        <w:tc>
          <w:tcPr>
            <w:tcW w:w="7337" w:type="dxa"/>
            <w:shd w:val="clear" w:color="auto" w:fill="FEFEFE"/>
            <w:noWrap w:val="0"/>
            <w:vAlign w:val="center"/>
          </w:tcPr>
          <w:p w14:paraId="3FCF83D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投标人每承担过一项类似服务得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分，满分5分。</w:t>
            </w:r>
          </w:p>
          <w:p w14:paraId="00DB77FA">
            <w:pPr>
              <w:spacing w:line="360" w:lineRule="auto"/>
              <w:jc w:val="left"/>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color w:val="auto"/>
                <w:sz w:val="24"/>
                <w:szCs w:val="24"/>
                <w:highlight w:val="none"/>
              </w:rPr>
              <w:t>注：根据投标人所提供的相关证明材料（中标/成交通知书或合同/协议书扫描件）打分，以政府委托文件或为准，未提供不得分。</w:t>
            </w:r>
          </w:p>
        </w:tc>
      </w:tr>
      <w:bookmarkEnd w:id="290"/>
      <w:bookmarkEnd w:id="291"/>
      <w:bookmarkEnd w:id="292"/>
      <w:bookmarkEnd w:id="293"/>
      <w:bookmarkEnd w:id="294"/>
    </w:tbl>
    <w:p w14:paraId="20EAE055">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二、评标程序</w:t>
      </w:r>
      <w:bookmarkEnd w:id="295"/>
      <w:bookmarkEnd w:id="296"/>
      <w:bookmarkEnd w:id="297"/>
    </w:p>
    <w:p w14:paraId="56F45206">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资格审查→符合性审查→详细评审</w:t>
      </w:r>
    </w:p>
    <w:p w14:paraId="75664AEC">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1.资格审查</w:t>
      </w:r>
    </w:p>
    <w:p w14:paraId="0ED4004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由采购人或采购代理机构对投标人进行资格审查，有一项不符合审查标准的，视为资格审查不通过，不进入下一评标程序。</w:t>
      </w:r>
    </w:p>
    <w:p w14:paraId="0EB47FCB">
      <w:pPr>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2.符合性审查</w:t>
      </w:r>
    </w:p>
    <w:p w14:paraId="4E840AF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由评标委员会对投标文件进行符合性审查，有一项不符合审查标准的，视为符合性审查不通过，不进入下一评标程序。</w:t>
      </w:r>
    </w:p>
    <w:p w14:paraId="7A2E9ACC">
      <w:pPr>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3.详细评审</w:t>
      </w:r>
    </w:p>
    <w:p w14:paraId="6E00368F">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由评标委员会按本章规定的评分因素进行综合评分。</w:t>
      </w:r>
    </w:p>
    <w:p w14:paraId="51AFF8E0">
      <w:pPr>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4.投标文件的澄清或补正</w:t>
      </w:r>
    </w:p>
    <w:p w14:paraId="0DB586EB">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对投标文件中含义不明确、同类问题表述不一致或者有明显文字和计算错误的内容，评标委员会可以书面形式（应当由评标委员会专家签字）要求投标人做出必要的澄清、说明或者补正，评标委员会不接受投标人主动提出的澄清、说明或补正。投标人的澄清、说明或者补正不得超出采购文件要求的范围或者改变投标文件的实质性内容。澄清、说明或者补正应当采用书面形式，由其法定代表人或委托代理人签字或盖章确认。投标人的澄清文件是投标文件的组成部分，评标委员会对投标人提交的澄清、说明或补正有疑问的，可以要求投标人进一步澄清、说明或补正，直至达到评标委员会的评审要求。</w:t>
      </w:r>
    </w:p>
    <w:p w14:paraId="5F959D1A">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298" w:name="_Toc85096161"/>
      <w:bookmarkStart w:id="299" w:name="_Toc10041"/>
      <w:r>
        <w:rPr>
          <w:rFonts w:hint="eastAsia" w:ascii="仿宋" w:hAnsi="仿宋" w:eastAsia="仿宋" w:cs="仿宋"/>
          <w:color w:val="000000" w:themeColor="text1"/>
          <w:sz w:val="28"/>
          <w:szCs w:val="28"/>
          <w:highlight w:val="none"/>
          <w14:textFill>
            <w14:solidFill>
              <w14:schemeClr w14:val="tx1"/>
            </w14:solidFill>
          </w14:textFill>
        </w:rPr>
        <w:t>三、评标方法</w:t>
      </w:r>
      <w:bookmarkEnd w:id="298"/>
      <w:bookmarkEnd w:id="299"/>
    </w:p>
    <w:p w14:paraId="2EB52A49">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本次评标采用综合评分法，采购文件中没有规定的评标标准不得作为评审的依据。评标时，评标委员会各成员应当独立对每个投标人的投标文件进行评价，并汇总每个投标人的得分。</w:t>
      </w:r>
    </w:p>
    <w:p w14:paraId="159BE355">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300" w:name="_Toc489869424"/>
      <w:bookmarkStart w:id="301" w:name="_Toc18046"/>
      <w:bookmarkStart w:id="302" w:name="_Toc438160921"/>
      <w:bookmarkStart w:id="303" w:name="_Toc489869496"/>
      <w:bookmarkStart w:id="304" w:name="_Toc85096162"/>
      <w:bookmarkStart w:id="305" w:name="_Toc431278543"/>
      <w:bookmarkStart w:id="306" w:name="_Toc432230685"/>
      <w:bookmarkStart w:id="307" w:name="_Toc431280119"/>
      <w:bookmarkStart w:id="308" w:name="_Toc32522"/>
      <w:bookmarkStart w:id="309" w:name="_Toc23554"/>
      <w:r>
        <w:rPr>
          <w:rFonts w:hint="eastAsia" w:ascii="仿宋" w:hAnsi="仿宋" w:eastAsia="仿宋" w:cs="仿宋"/>
          <w:color w:val="000000" w:themeColor="text1"/>
          <w:sz w:val="28"/>
          <w:szCs w:val="28"/>
          <w:highlight w:val="none"/>
          <w14:textFill>
            <w14:solidFill>
              <w14:schemeClr w14:val="tx1"/>
            </w14:solidFill>
          </w14:textFill>
        </w:rPr>
        <w:t>四、分值构成</w:t>
      </w:r>
      <w:bookmarkEnd w:id="300"/>
      <w:bookmarkEnd w:id="301"/>
      <w:bookmarkEnd w:id="302"/>
      <w:bookmarkEnd w:id="303"/>
      <w:bookmarkEnd w:id="304"/>
      <w:bookmarkEnd w:id="305"/>
      <w:bookmarkEnd w:id="306"/>
      <w:bookmarkEnd w:id="307"/>
      <w:bookmarkEnd w:id="308"/>
      <w:bookmarkEnd w:id="309"/>
    </w:p>
    <w:p w14:paraId="37F030B3">
      <w:pPr>
        <w:adjustRightIn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 F1投标报价部分评分(详见评分标准）</w:t>
      </w:r>
    </w:p>
    <w:p w14:paraId="4DF0756F">
      <w:pPr>
        <w:adjustRightIn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 F2技术部分评分(详见评分标准）</w:t>
      </w:r>
    </w:p>
    <w:p w14:paraId="6135228C">
      <w:pPr>
        <w:adjustRightIn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 F3商务部分评分(详见评分标准）</w:t>
      </w:r>
    </w:p>
    <w:p w14:paraId="2058C0BD">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投标人的综合得分= F1+F2+F3</w:t>
      </w:r>
    </w:p>
    <w:p w14:paraId="3EC91FB9">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310" w:name="_Toc432230686"/>
      <w:bookmarkStart w:id="311" w:name="_Toc3938"/>
      <w:bookmarkStart w:id="312" w:name="_Toc85096163"/>
      <w:bookmarkStart w:id="313" w:name="_Toc489869425"/>
      <w:bookmarkStart w:id="314" w:name="_Toc431278544"/>
      <w:bookmarkStart w:id="315" w:name="_Toc489869497"/>
      <w:bookmarkStart w:id="316" w:name="_Toc438160922"/>
      <w:bookmarkStart w:id="317" w:name="_Toc4463"/>
      <w:bookmarkStart w:id="318" w:name="_Toc431280120"/>
      <w:bookmarkStart w:id="319" w:name="_Toc29752"/>
      <w:r>
        <w:rPr>
          <w:rFonts w:hint="eastAsia" w:ascii="仿宋" w:hAnsi="仿宋" w:eastAsia="仿宋" w:cs="仿宋"/>
          <w:color w:val="000000" w:themeColor="text1"/>
          <w:sz w:val="28"/>
          <w:szCs w:val="28"/>
          <w:highlight w:val="none"/>
          <w14:textFill>
            <w14:solidFill>
              <w14:schemeClr w14:val="tx1"/>
            </w14:solidFill>
          </w14:textFill>
        </w:rPr>
        <w:t>五、评分要求</w:t>
      </w:r>
      <w:bookmarkEnd w:id="310"/>
      <w:bookmarkEnd w:id="311"/>
      <w:bookmarkEnd w:id="312"/>
      <w:bookmarkEnd w:id="313"/>
      <w:bookmarkEnd w:id="314"/>
      <w:bookmarkEnd w:id="315"/>
      <w:bookmarkEnd w:id="316"/>
      <w:bookmarkEnd w:id="317"/>
      <w:bookmarkEnd w:id="318"/>
      <w:bookmarkEnd w:id="319"/>
    </w:p>
    <w:p w14:paraId="16AAE820">
      <w:pPr>
        <w:tabs>
          <w:tab w:val="left" w:pos="540"/>
        </w:tabs>
        <w:adjustRightIn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评标委员会成员对自己的评审意见承担法律责任。对评审报告有异议的，应当在评审报告上签署不同意见，并说明理由，否则视为同意评审报告。评标委员会成员对需要共同认定的事项存在争议的，按照少数服从多数的原则做出结论，持不同意见的评标委员会成员应当在评标报告上签署不同意见并说明理由，否则视为同意。</w:t>
      </w:r>
    </w:p>
    <w:p w14:paraId="7D1B6784">
      <w:pPr>
        <w:tabs>
          <w:tab w:val="left" w:pos="540"/>
        </w:tabs>
        <w:adjustRightIn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A2E4E25">
      <w:pPr>
        <w:tabs>
          <w:tab w:val="left" w:pos="540"/>
        </w:tabs>
        <w:adjustRightIn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3.统计分数原则：评标委员会各成员评标打分汇总后，取平均值得出每个投标人的最后得分（保留小数点后两位）。</w:t>
      </w:r>
      <w:r>
        <w:rPr>
          <w:rFonts w:hint="eastAsia" w:ascii="仿宋" w:hAnsi="仿宋" w:eastAsia="仿宋" w:cs="仿宋"/>
          <w:color w:val="000000" w:themeColor="text1"/>
          <w:sz w:val="24"/>
          <w:highlight w:val="none"/>
          <w14:textFill>
            <w14:solidFill>
              <w14:schemeClr w14:val="tx1"/>
            </w14:solidFill>
          </w14:textFill>
        </w:rPr>
        <w:t>评标总得分相等时，按投标报价由低到高顺序排列；评标总得分相等且投标报价相同时，按技术部分得分高低顺序排列；所有得分均相等的，按主要技术指标高优先的顺序推荐。</w:t>
      </w:r>
    </w:p>
    <w:p w14:paraId="0480ED4C">
      <w:pPr>
        <w:pStyle w:val="3"/>
        <w:numPr>
          <w:ilvl w:val="0"/>
          <w:numId w:val="0"/>
        </w:numPr>
        <w:tabs>
          <w:tab w:val="left" w:pos="360"/>
          <w:tab w:val="clear" w:pos="3999"/>
        </w:tabs>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320" w:name="_Toc25876"/>
      <w:bookmarkStart w:id="321" w:name="_Toc1856"/>
      <w:bookmarkStart w:id="322" w:name="_Toc489869498"/>
      <w:bookmarkStart w:id="323" w:name="_Toc431280121"/>
      <w:bookmarkStart w:id="324" w:name="_Toc432230687"/>
      <w:bookmarkStart w:id="325" w:name="_Toc489869426"/>
      <w:bookmarkStart w:id="326" w:name="_Toc85096164"/>
      <w:bookmarkStart w:id="327" w:name="_Toc438160923"/>
      <w:bookmarkStart w:id="328" w:name="_Toc13467"/>
      <w:r>
        <w:rPr>
          <w:rFonts w:hint="eastAsia" w:ascii="仿宋" w:hAnsi="仿宋" w:eastAsia="仿宋" w:cs="仿宋"/>
          <w:color w:val="000000" w:themeColor="text1"/>
          <w:sz w:val="28"/>
          <w:szCs w:val="28"/>
          <w:highlight w:val="none"/>
          <w14:textFill>
            <w14:solidFill>
              <w14:schemeClr w14:val="tx1"/>
            </w14:solidFill>
          </w14:textFill>
        </w:rPr>
        <w:t>六、评标结果</w:t>
      </w:r>
      <w:bookmarkEnd w:id="320"/>
      <w:bookmarkEnd w:id="321"/>
      <w:bookmarkEnd w:id="322"/>
      <w:bookmarkEnd w:id="323"/>
      <w:bookmarkEnd w:id="324"/>
      <w:bookmarkEnd w:id="325"/>
      <w:bookmarkEnd w:id="326"/>
      <w:bookmarkEnd w:id="327"/>
      <w:bookmarkEnd w:id="328"/>
    </w:p>
    <w:p w14:paraId="038CE08D">
      <w:pPr>
        <w:tabs>
          <w:tab w:val="left" w:pos="540"/>
        </w:tabs>
        <w:adjustRightIn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1.评标委员会按得分由高到低顺序推荐中标候选人三人，并编写书面评标报告。</w:t>
      </w:r>
    </w:p>
    <w:p w14:paraId="25308AE3">
      <w:pPr>
        <w:tabs>
          <w:tab w:val="left" w:pos="540"/>
        </w:tabs>
        <w:adjustRightIn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329" w:name="_Toc70252960"/>
      <w:bookmarkStart w:id="330" w:name="_Toc32033"/>
      <w:bookmarkStart w:id="331" w:name="_Toc67040143"/>
      <w:bookmarkStart w:id="332" w:name="_Toc68082703"/>
      <w:bookmarkStart w:id="333" w:name="_Toc66970028"/>
      <w:bookmarkStart w:id="334" w:name="_Toc85096165"/>
      <w:bookmarkStart w:id="335" w:name="_Toc70253076"/>
      <w:bookmarkStart w:id="336" w:name="_Toc66692295"/>
      <w:r>
        <w:rPr>
          <w:rFonts w:hint="eastAsia" w:ascii="仿宋" w:hAnsi="仿宋" w:eastAsia="仿宋" w:cs="仿宋"/>
          <w:color w:val="000000" w:themeColor="text1"/>
          <w:sz w:val="24"/>
          <w:highlight w:val="none"/>
          <w14:textFill>
            <w14:solidFill>
              <w14:schemeClr w14:val="tx1"/>
            </w14:solidFill>
          </w14:textFill>
        </w:rPr>
        <w:t>2.评标委员会根据全体评标成员签字的原始评标记录和评标结果编写评标报告。评标报告应当包括以下内容：</w:t>
      </w:r>
      <w:bookmarkEnd w:id="329"/>
      <w:bookmarkEnd w:id="330"/>
      <w:bookmarkEnd w:id="331"/>
      <w:bookmarkEnd w:id="332"/>
      <w:bookmarkEnd w:id="333"/>
      <w:bookmarkEnd w:id="334"/>
      <w:bookmarkEnd w:id="335"/>
      <w:bookmarkEnd w:id="336"/>
    </w:p>
    <w:p w14:paraId="14955A66">
      <w:pPr>
        <w:widowControl/>
        <w:shd w:val="clear" w:color="auto" w:fill="FFFFFF"/>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（1）招标公告刊登的媒体名称、开标日期和地点；</w:t>
      </w:r>
    </w:p>
    <w:p w14:paraId="0FC3CCCC">
      <w:pPr>
        <w:widowControl/>
        <w:shd w:val="clear" w:color="auto" w:fill="FFFFFF"/>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（2）投标人名单和评标委员会成员名单；</w:t>
      </w:r>
    </w:p>
    <w:p w14:paraId="0AEBBC18">
      <w:pPr>
        <w:widowControl/>
        <w:shd w:val="clear" w:color="auto" w:fill="FFFFFF"/>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（3）评标方法和标准；</w:t>
      </w:r>
    </w:p>
    <w:p w14:paraId="285B2520">
      <w:pPr>
        <w:widowControl/>
        <w:shd w:val="clear" w:color="auto" w:fill="FFFFFF"/>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（4）开标记录和评标情况及说明，包括无效投标人名单及原因；</w:t>
      </w:r>
    </w:p>
    <w:p w14:paraId="3DADCA03">
      <w:pPr>
        <w:widowControl/>
        <w:shd w:val="clear" w:color="auto" w:fill="FFFFFF"/>
        <w:spacing w:line="36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（5）评标结果，确定的中标候选人名单或者经采购人委托直接确定的中标人；</w:t>
      </w:r>
    </w:p>
    <w:p w14:paraId="5010975B">
      <w:pPr>
        <w:widowControl/>
        <w:shd w:val="clear" w:color="auto" w:fill="FFFFFF"/>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（6）其他需要说明的情</w:t>
      </w:r>
      <w:r>
        <w:rPr>
          <w:rFonts w:hint="eastAsia" w:ascii="仿宋" w:hAnsi="仿宋" w:eastAsia="仿宋" w:cs="仿宋"/>
          <w:color w:val="000000" w:themeColor="text1"/>
          <w:kern w:val="0"/>
          <w:sz w:val="24"/>
          <w:highlight w:val="none"/>
          <w14:textFill>
            <w14:solidFill>
              <w14:schemeClr w14:val="tx1"/>
            </w14:solidFill>
          </w14:textFill>
        </w:rPr>
        <w:t>况，包括评标过程中投标人根据评标委员会要求进行的澄清、说明或者补正，评标委员会成员的更换等。</w:t>
      </w:r>
    </w:p>
    <w:p w14:paraId="4AA88EC7">
      <w:pPr>
        <w:spacing w:line="600" w:lineRule="auto"/>
        <w:ind w:left="0" w:leftChars="0" w:firstLine="0" w:firstLineChars="0"/>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Cs w:val="36"/>
          <w:highlight w:val="none"/>
          <w14:textFill>
            <w14:solidFill>
              <w14:schemeClr w14:val="tx1"/>
            </w14:solidFill>
          </w14:textFill>
        </w:rPr>
        <w:br w:type="page"/>
      </w:r>
      <w:bookmarkStart w:id="337" w:name="_Toc27190"/>
      <w:bookmarkStart w:id="338" w:name="_Toc14977"/>
      <w:bookmarkStart w:id="339" w:name="_Toc27710"/>
      <w:r>
        <w:rPr>
          <w:rFonts w:hint="eastAsia" w:ascii="仿宋" w:hAnsi="仿宋" w:eastAsia="仿宋" w:cs="仿宋"/>
          <w:b/>
          <w:bCs/>
          <w:color w:val="000000" w:themeColor="text1"/>
          <w:kern w:val="2"/>
          <w:sz w:val="36"/>
          <w:szCs w:val="36"/>
          <w:highlight w:val="none"/>
          <w14:textFill>
            <w14:solidFill>
              <w14:schemeClr w14:val="tx1"/>
            </w14:solidFill>
          </w14:textFill>
        </w:rPr>
        <w:t>第四章 合同书样式及主要条款</w:t>
      </w:r>
      <w:bookmarkEnd w:id="17"/>
      <w:bookmarkEnd w:id="18"/>
      <w:bookmarkEnd w:id="19"/>
      <w:r>
        <w:rPr>
          <w:rFonts w:hint="eastAsia" w:ascii="仿宋" w:hAnsi="仿宋" w:eastAsia="仿宋" w:cs="仿宋"/>
          <w:b/>
          <w:bCs/>
          <w:color w:val="000000" w:themeColor="text1"/>
          <w:kern w:val="2"/>
          <w:sz w:val="36"/>
          <w:szCs w:val="36"/>
          <w:highlight w:val="none"/>
          <w14:textFill>
            <w14:solidFill>
              <w14:schemeClr w14:val="tx1"/>
            </w14:solidFill>
          </w14:textFill>
        </w:rPr>
        <w:t>（参考）</w:t>
      </w:r>
      <w:bookmarkEnd w:id="282"/>
      <w:bookmarkEnd w:id="337"/>
      <w:bookmarkEnd w:id="338"/>
      <w:bookmarkEnd w:id="339"/>
      <w:bookmarkStart w:id="340" w:name="_Toc24972"/>
      <w:bookmarkStart w:id="341" w:name="_Toc85096167"/>
      <w:bookmarkStart w:id="342" w:name="_Toc24932"/>
    </w:p>
    <w:p w14:paraId="1539BC8A">
      <w:pPr>
        <w:pStyle w:val="3"/>
        <w:keepNext/>
        <w:keepLines w:val="0"/>
        <w:pageBreakBefore w:val="0"/>
        <w:widowControl w:val="0"/>
        <w:numPr>
          <w:ilvl w:val="0"/>
          <w:numId w:val="0"/>
        </w:numPr>
        <w:tabs>
          <w:tab w:val="left" w:pos="360"/>
        </w:tabs>
        <w:kinsoku/>
        <w:wordWrap/>
        <w:overflowPunct/>
        <w:topLinePunct w:val="0"/>
        <w:autoSpaceDE/>
        <w:autoSpaceDN/>
        <w:bidi w:val="0"/>
        <w:adjustRightInd w:val="0"/>
        <w:snapToGrid w:val="0"/>
        <w:jc w:val="center"/>
        <w:textAlignment w:val="baseline"/>
        <w:rPr>
          <w:rFonts w:hint="eastAsia" w:ascii="仿宋" w:hAnsi="仿宋" w:eastAsia="仿宋" w:cs="仿宋"/>
          <w:b/>
          <w:bCs/>
          <w:color w:val="000000"/>
          <w:sz w:val="36"/>
          <w:highlight w:val="none"/>
        </w:rPr>
      </w:pPr>
      <w:bookmarkStart w:id="343" w:name="_Toc19796"/>
      <w:bookmarkStart w:id="344" w:name="_Toc26437"/>
      <w:bookmarkStart w:id="345" w:name="_Toc28184"/>
      <w:bookmarkStart w:id="346" w:name="_Toc213141091"/>
      <w:r>
        <w:rPr>
          <w:rFonts w:hint="eastAsia" w:ascii="仿宋" w:hAnsi="仿宋" w:eastAsia="仿宋" w:cs="仿宋"/>
          <w:b/>
          <w:bCs/>
          <w:color w:val="000000"/>
          <w:sz w:val="36"/>
          <w:highlight w:val="none"/>
        </w:rPr>
        <w:t>合同条款前附表</w:t>
      </w:r>
      <w:bookmarkEnd w:id="343"/>
      <w:bookmarkEnd w:id="344"/>
      <w:bookmarkEnd w:id="345"/>
      <w:bookmarkEnd w:id="346"/>
    </w:p>
    <w:tbl>
      <w:tblPr>
        <w:tblStyle w:val="29"/>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960"/>
      </w:tblGrid>
      <w:tr w14:paraId="185A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2" w:type="dxa"/>
            <w:noWrap w:val="0"/>
            <w:vAlign w:val="center"/>
          </w:tcPr>
          <w:p w14:paraId="7C30982F">
            <w:pPr>
              <w:pStyle w:val="15"/>
              <w:ind w:firstLine="241" w:firstLineChars="1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7960" w:type="dxa"/>
            <w:noWrap w:val="0"/>
            <w:vAlign w:val="center"/>
          </w:tcPr>
          <w:p w14:paraId="667BD0B3">
            <w:pPr>
              <w:pStyle w:val="15"/>
              <w:ind w:firstLine="241" w:firstLineChars="100"/>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内      容</w:t>
            </w:r>
          </w:p>
        </w:tc>
      </w:tr>
      <w:tr w14:paraId="2A61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122" w:type="dxa"/>
            <w:noWrap w:val="0"/>
            <w:vAlign w:val="center"/>
          </w:tcPr>
          <w:p w14:paraId="1CCFBCF8">
            <w:pPr>
              <w:pStyle w:val="15"/>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960" w:type="dxa"/>
            <w:noWrap w:val="0"/>
            <w:vAlign w:val="center"/>
          </w:tcPr>
          <w:p w14:paraId="74EA07AB">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eastAsia="zh-CN"/>
              </w:rPr>
              <w:t>完成抽样及检测时限为11月20日前，除2027年两节两会专项和其它另有安排外</w:t>
            </w:r>
            <w:r>
              <w:rPr>
                <w:rFonts w:hint="eastAsia" w:ascii="仿宋" w:hAnsi="仿宋" w:eastAsia="仿宋" w:cs="仿宋"/>
                <w:sz w:val="24"/>
                <w:szCs w:val="24"/>
                <w:highlight w:val="none"/>
              </w:rPr>
              <w:t>。</w:t>
            </w:r>
          </w:p>
        </w:tc>
      </w:tr>
      <w:tr w14:paraId="7A27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122" w:type="dxa"/>
            <w:noWrap w:val="0"/>
            <w:vAlign w:val="center"/>
          </w:tcPr>
          <w:p w14:paraId="5182ED71">
            <w:pPr>
              <w:pStyle w:val="15"/>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7960" w:type="dxa"/>
            <w:noWrap w:val="0"/>
            <w:vAlign w:val="center"/>
          </w:tcPr>
          <w:p w14:paraId="5BB5E595">
            <w:pPr>
              <w:tabs>
                <w:tab w:val="left" w:pos="693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付款方式：</w:t>
            </w:r>
          </w:p>
          <w:p w14:paraId="33EBC97E">
            <w:pPr>
              <w:tabs>
                <w:tab w:val="left" w:pos="6930"/>
              </w:tabs>
              <w:spacing w:line="360" w:lineRule="auto"/>
              <w:rPr>
                <w:rFonts w:hint="eastAsia" w:ascii="仿宋" w:hAnsi="仿宋" w:eastAsia="仿宋" w:cs="仿宋"/>
                <w:highlight w:val="none"/>
              </w:rPr>
            </w:pPr>
            <w:r>
              <w:rPr>
                <w:rFonts w:hint="eastAsia" w:ascii="仿宋" w:hAnsi="仿宋" w:eastAsia="仿宋" w:cs="仿宋"/>
                <w:sz w:val="24"/>
                <w:highlight w:val="none"/>
              </w:rPr>
              <w:t>抽检任务完成后，承检机构提供相关抽检费用清单等，并按相关财务制度要求结算。由委托方根据实际工作情况进行结算，结算金额以实际支出为准。</w:t>
            </w:r>
          </w:p>
        </w:tc>
      </w:tr>
      <w:tr w14:paraId="453C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1122" w:type="dxa"/>
            <w:noWrap w:val="0"/>
            <w:vAlign w:val="center"/>
          </w:tcPr>
          <w:p w14:paraId="5B4DEF51">
            <w:pPr>
              <w:pStyle w:val="15"/>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7960" w:type="dxa"/>
            <w:noWrap w:val="0"/>
            <w:vAlign w:val="center"/>
          </w:tcPr>
          <w:p w14:paraId="100C28D3">
            <w:pPr>
              <w:tabs>
                <w:tab w:val="left" w:pos="693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其它要求：</w:t>
            </w:r>
          </w:p>
          <w:p w14:paraId="137E6050">
            <w:pPr>
              <w:tabs>
                <w:tab w:val="left" w:pos="693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（1）承检机构必须严格按照法律规定进行检验检测，并保障检验检测数据准确可靠，对所出具的检验报告承担法律责任。</w:t>
            </w:r>
          </w:p>
          <w:p w14:paraId="3C8FD0D8">
            <w:pPr>
              <w:tabs>
                <w:tab w:val="left" w:pos="6930"/>
              </w:tabs>
              <w:spacing w:line="360" w:lineRule="auto"/>
              <w:rPr>
                <w:rFonts w:hint="eastAsia" w:ascii="仿宋" w:hAnsi="仿宋" w:eastAsia="仿宋" w:cs="仿宋"/>
                <w:highlight w:val="none"/>
              </w:rPr>
            </w:pPr>
            <w:r>
              <w:rPr>
                <w:rFonts w:hint="eastAsia" w:ascii="仿宋" w:hAnsi="仿宋" w:eastAsia="仿宋" w:cs="仿宋"/>
                <w:sz w:val="24"/>
                <w:highlight w:val="none"/>
              </w:rPr>
              <w:t>（2）承检机构在抽样时必须按照法律规定，进行样品购买并按时付费，一但出现有未付费情况，甲方有权终止合同并追究相关法律责任。</w:t>
            </w:r>
          </w:p>
        </w:tc>
      </w:tr>
    </w:tbl>
    <w:p w14:paraId="624111CD">
      <w:pPr>
        <w:rPr>
          <w:rFonts w:ascii="宋体"/>
          <w:b/>
          <w:bCs/>
          <w:color w:val="000000"/>
          <w:highlight w:val="none"/>
        </w:rPr>
      </w:pPr>
    </w:p>
    <w:p w14:paraId="6BA250C5">
      <w:pPr>
        <w:rPr>
          <w:rFonts w:ascii="宋体"/>
          <w:bCs/>
          <w:color w:val="000000"/>
          <w:sz w:val="24"/>
          <w:highlight w:val="none"/>
        </w:rPr>
      </w:pPr>
    </w:p>
    <w:p w14:paraId="4D4D7E54">
      <w:pPr>
        <w:spacing w:line="360" w:lineRule="auto"/>
        <w:rPr>
          <w:rFonts w:hint="eastAsia" w:ascii="仿宋" w:hAnsi="仿宋" w:eastAsia="仿宋" w:cs="仿宋"/>
          <w:b/>
          <w:bCs/>
          <w:highlight w:val="none"/>
        </w:rPr>
      </w:pPr>
      <w:r>
        <w:rPr>
          <w:rFonts w:hint="eastAsia" w:ascii="宋体"/>
          <w:color w:val="000000"/>
          <w:sz w:val="44"/>
          <w:highlight w:val="none"/>
        </w:rPr>
        <w:br w:type="page"/>
      </w:r>
      <w:r>
        <w:rPr>
          <w:rFonts w:hint="eastAsia" w:ascii="仿宋" w:hAnsi="仿宋" w:eastAsia="仿宋" w:cs="仿宋"/>
          <w:color w:val="000000"/>
          <w:sz w:val="44"/>
          <w:highlight w:val="none"/>
        </w:rPr>
        <w:t xml:space="preserve">  </w:t>
      </w:r>
      <w:r>
        <w:rPr>
          <w:rFonts w:hint="eastAsia" w:ascii="仿宋" w:hAnsi="仿宋" w:eastAsia="仿宋" w:cs="仿宋"/>
          <w:b/>
          <w:bCs/>
          <w:highlight w:val="none"/>
        </w:rPr>
        <w:t>（</w:t>
      </w:r>
      <w:r>
        <w:rPr>
          <w:rFonts w:hint="eastAsia" w:ascii="仿宋" w:hAnsi="仿宋" w:eastAsia="仿宋" w:cs="仿宋"/>
          <w:b/>
          <w:sz w:val="30"/>
          <w:szCs w:val="30"/>
          <w:highlight w:val="none"/>
        </w:rPr>
        <w:t>本合同仅供参考，最终合同以甲乙双方协商确定为准）</w:t>
      </w:r>
    </w:p>
    <w:tbl>
      <w:tblPr>
        <w:tblStyle w:val="29"/>
        <w:tblW w:w="0" w:type="auto"/>
        <w:jc w:val="center"/>
        <w:tblLayout w:type="fixed"/>
        <w:tblCellMar>
          <w:top w:w="0" w:type="dxa"/>
          <w:left w:w="0" w:type="dxa"/>
          <w:bottom w:w="0" w:type="dxa"/>
          <w:right w:w="0" w:type="dxa"/>
        </w:tblCellMar>
      </w:tblPr>
      <w:tblGrid>
        <w:gridCol w:w="9748"/>
      </w:tblGrid>
      <w:tr w14:paraId="7A380D9B">
        <w:tblPrEx>
          <w:tblCellMar>
            <w:top w:w="0" w:type="dxa"/>
            <w:left w:w="0" w:type="dxa"/>
            <w:bottom w:w="0" w:type="dxa"/>
            <w:right w:w="0" w:type="dxa"/>
          </w:tblCellMar>
        </w:tblPrEx>
        <w:trPr>
          <w:jc w:val="center"/>
        </w:trPr>
        <w:tc>
          <w:tcPr>
            <w:tcW w:w="9748" w:type="dxa"/>
            <w:noWrap w:val="0"/>
            <w:vAlign w:val="center"/>
          </w:tcPr>
          <w:p w14:paraId="3B3BCC1D">
            <w:pPr>
              <w:tabs>
                <w:tab w:val="left" w:pos="1590"/>
                <w:tab w:val="left" w:pos="3409"/>
                <w:tab w:val="left" w:pos="4847"/>
                <w:tab w:val="left" w:pos="5711"/>
                <w:tab w:val="left" w:pos="7020"/>
                <w:tab w:val="left" w:pos="7891"/>
              </w:tabs>
              <w:ind w:firstLine="1680" w:firstLineChars="800"/>
              <w:rPr>
                <w:rFonts w:hint="eastAsia" w:ascii="仿宋" w:hAnsi="仿宋" w:eastAsia="仿宋" w:cs="仿宋"/>
                <w:szCs w:val="18"/>
                <w:highlight w:val="none"/>
              </w:rPr>
            </w:pPr>
            <w:r>
              <w:rPr>
                <w:rFonts w:hint="eastAsia" w:ascii="仿宋" w:hAnsi="仿宋" w:eastAsia="仿宋" w:cs="仿宋"/>
                <w:highlight w:val="none"/>
              </w:rPr>
              <w:t xml:space="preserve">合同编号：                           招标编号： </w:t>
            </w:r>
          </w:p>
        </w:tc>
      </w:tr>
    </w:tbl>
    <w:p w14:paraId="160D01BB">
      <w:pPr>
        <w:spacing w:line="360" w:lineRule="auto"/>
        <w:ind w:firstLine="690" w:firstLineChars="177"/>
        <w:jc w:val="center"/>
        <w:rPr>
          <w:rFonts w:hint="eastAsia" w:ascii="仿宋" w:hAnsi="仿宋" w:eastAsia="仿宋" w:cs="仿宋"/>
          <w:sz w:val="39"/>
          <w:szCs w:val="39"/>
          <w:highlight w:val="none"/>
        </w:rPr>
      </w:pPr>
    </w:p>
    <w:p w14:paraId="726DE29B">
      <w:pPr>
        <w:spacing w:line="360" w:lineRule="auto"/>
        <w:ind w:firstLine="690" w:firstLineChars="177"/>
        <w:jc w:val="center"/>
        <w:rPr>
          <w:rFonts w:hint="eastAsia" w:ascii="仿宋" w:hAnsi="仿宋" w:eastAsia="仿宋" w:cs="仿宋"/>
          <w:sz w:val="39"/>
          <w:szCs w:val="39"/>
          <w:highlight w:val="none"/>
        </w:rPr>
      </w:pPr>
      <w:r>
        <w:rPr>
          <w:rFonts w:hint="eastAsia" w:ascii="仿宋" w:hAnsi="仿宋" w:eastAsia="仿宋" w:cs="仿宋"/>
          <w:sz w:val="39"/>
          <w:szCs w:val="39"/>
          <w:highlight w:val="none"/>
        </w:rPr>
        <w:t>云南省政府采购</w:t>
      </w:r>
    </w:p>
    <w:p w14:paraId="771FBDE1">
      <w:pPr>
        <w:spacing w:after="240"/>
        <w:rPr>
          <w:rFonts w:hint="eastAsia" w:ascii="仿宋" w:hAnsi="仿宋" w:eastAsia="仿宋" w:cs="仿宋"/>
          <w:sz w:val="18"/>
          <w:szCs w:val="18"/>
          <w:highlight w:val="none"/>
        </w:rPr>
      </w:pPr>
    </w:p>
    <w:p w14:paraId="0E4682D7">
      <w:pPr>
        <w:spacing w:after="240"/>
        <w:jc w:val="center"/>
        <w:rPr>
          <w:rFonts w:hint="eastAsia" w:ascii="仿宋" w:hAnsi="仿宋" w:eastAsia="仿宋" w:cs="仿宋"/>
          <w:sz w:val="33"/>
          <w:szCs w:val="33"/>
          <w:highlight w:val="none"/>
        </w:rPr>
      </w:pPr>
      <w:r>
        <w:rPr>
          <w:rFonts w:hint="eastAsia" w:ascii="仿宋" w:hAnsi="仿宋" w:eastAsia="仿宋" w:cs="仿宋"/>
          <w:sz w:val="33"/>
          <w:szCs w:val="33"/>
          <w:highlight w:val="none"/>
        </w:rPr>
        <w:t>（委托采购）</w:t>
      </w:r>
    </w:p>
    <w:p w14:paraId="109E3394">
      <w:pPr>
        <w:pStyle w:val="11"/>
        <w:rPr>
          <w:rFonts w:hint="eastAsia" w:ascii="仿宋" w:hAnsi="仿宋" w:eastAsia="仿宋" w:cs="仿宋"/>
          <w:highlight w:val="none"/>
        </w:rPr>
      </w:pPr>
    </w:p>
    <w:p w14:paraId="620DEBAC">
      <w:pPr>
        <w:pStyle w:val="11"/>
        <w:rPr>
          <w:rFonts w:hint="eastAsia" w:ascii="仿宋" w:hAnsi="仿宋" w:eastAsia="仿宋" w:cs="仿宋"/>
          <w:highlight w:val="none"/>
        </w:rPr>
      </w:pPr>
    </w:p>
    <w:p w14:paraId="75E17860">
      <w:pPr>
        <w:spacing w:after="240"/>
        <w:jc w:val="center"/>
        <w:rPr>
          <w:rFonts w:hint="eastAsia" w:ascii="仿宋" w:hAnsi="仿宋" w:eastAsia="仿宋" w:cs="仿宋"/>
          <w:sz w:val="18"/>
          <w:szCs w:val="18"/>
          <w:highlight w:val="none"/>
        </w:rPr>
      </w:pPr>
      <w:r>
        <w:rPr>
          <w:rFonts w:hint="eastAsia" w:ascii="仿宋" w:hAnsi="仿宋" w:eastAsia="仿宋" w:cs="仿宋"/>
          <w:sz w:val="63"/>
          <w:szCs w:val="63"/>
          <w:highlight w:val="none"/>
        </w:rPr>
        <w:t>合</w:t>
      </w:r>
    </w:p>
    <w:p w14:paraId="0677CACA">
      <w:pPr>
        <w:spacing w:after="240"/>
        <w:jc w:val="center"/>
        <w:rPr>
          <w:rFonts w:hint="eastAsia" w:ascii="仿宋" w:hAnsi="仿宋" w:eastAsia="仿宋" w:cs="仿宋"/>
          <w:sz w:val="18"/>
          <w:szCs w:val="18"/>
          <w:highlight w:val="none"/>
        </w:rPr>
      </w:pPr>
      <w:r>
        <w:rPr>
          <w:rFonts w:hint="eastAsia" w:ascii="仿宋" w:hAnsi="仿宋" w:eastAsia="仿宋" w:cs="仿宋"/>
          <w:sz w:val="63"/>
          <w:szCs w:val="63"/>
          <w:highlight w:val="none"/>
        </w:rPr>
        <w:t>同</w:t>
      </w:r>
    </w:p>
    <w:p w14:paraId="62AC414E">
      <w:pPr>
        <w:spacing w:after="240"/>
        <w:jc w:val="center"/>
        <w:rPr>
          <w:rFonts w:hint="eastAsia" w:ascii="仿宋" w:hAnsi="仿宋" w:eastAsia="仿宋" w:cs="仿宋"/>
          <w:sz w:val="63"/>
          <w:szCs w:val="63"/>
          <w:highlight w:val="none"/>
        </w:rPr>
      </w:pPr>
      <w:r>
        <w:rPr>
          <w:rFonts w:hint="eastAsia" w:ascii="仿宋" w:hAnsi="仿宋" w:eastAsia="仿宋" w:cs="仿宋"/>
          <w:sz w:val="63"/>
          <w:szCs w:val="63"/>
          <w:highlight w:val="none"/>
        </w:rPr>
        <w:t>书</w:t>
      </w:r>
    </w:p>
    <w:p w14:paraId="6C7FE521">
      <w:pPr>
        <w:pStyle w:val="11"/>
        <w:rPr>
          <w:rFonts w:hint="eastAsia" w:ascii="仿宋" w:hAnsi="仿宋" w:eastAsia="仿宋" w:cs="仿宋"/>
          <w:highlight w:val="none"/>
        </w:rPr>
      </w:pPr>
    </w:p>
    <w:p w14:paraId="28CF9F3B">
      <w:pPr>
        <w:rPr>
          <w:rFonts w:hint="eastAsia" w:ascii="仿宋" w:hAnsi="仿宋" w:eastAsia="仿宋" w:cs="仿宋"/>
          <w:highlight w:val="none"/>
        </w:rPr>
      </w:pPr>
    </w:p>
    <w:p w14:paraId="0514CB9E">
      <w:pPr>
        <w:pStyle w:val="11"/>
        <w:rPr>
          <w:rFonts w:hint="eastAsia" w:ascii="仿宋" w:hAnsi="仿宋" w:eastAsia="仿宋" w:cs="仿宋"/>
          <w:highlight w:val="none"/>
        </w:rPr>
      </w:pPr>
    </w:p>
    <w:p w14:paraId="2922B3FB">
      <w:pPr>
        <w:spacing w:after="240"/>
        <w:jc w:val="center"/>
        <w:rPr>
          <w:rFonts w:hint="eastAsia" w:ascii="仿宋" w:hAnsi="仿宋" w:eastAsia="仿宋" w:cs="仿宋"/>
          <w:b/>
          <w:bCs/>
          <w:sz w:val="27"/>
          <w:szCs w:val="27"/>
          <w:highlight w:val="none"/>
        </w:rPr>
      </w:pPr>
    </w:p>
    <w:p w14:paraId="43D96761">
      <w:pPr>
        <w:spacing w:after="240"/>
        <w:jc w:val="center"/>
        <w:rPr>
          <w:rFonts w:hint="eastAsia" w:ascii="仿宋" w:hAnsi="仿宋" w:eastAsia="仿宋" w:cs="仿宋"/>
          <w:b/>
          <w:bCs/>
          <w:sz w:val="27"/>
          <w:szCs w:val="27"/>
          <w:highlight w:val="none"/>
        </w:rPr>
      </w:pPr>
    </w:p>
    <w:p w14:paraId="46D20BD6">
      <w:pPr>
        <w:spacing w:after="240"/>
        <w:jc w:val="center"/>
        <w:rPr>
          <w:rFonts w:hint="eastAsia" w:ascii="仿宋" w:hAnsi="仿宋" w:eastAsia="仿宋" w:cs="仿宋"/>
          <w:b/>
          <w:bCs/>
          <w:sz w:val="27"/>
          <w:szCs w:val="27"/>
          <w:highlight w:val="none"/>
        </w:rPr>
      </w:pPr>
      <w:r>
        <w:rPr>
          <w:rFonts w:hint="eastAsia" w:ascii="仿宋" w:hAnsi="仿宋" w:eastAsia="仿宋" w:cs="仿宋"/>
          <w:b/>
          <w:bCs/>
          <w:sz w:val="27"/>
          <w:szCs w:val="27"/>
          <w:highlight w:val="none"/>
        </w:rPr>
        <w:t>签订地点:曲靖市</w:t>
      </w:r>
    </w:p>
    <w:p w14:paraId="36B4656F">
      <w:pPr>
        <w:spacing w:after="240"/>
        <w:jc w:val="center"/>
        <w:rPr>
          <w:rFonts w:hint="eastAsia" w:ascii="仿宋" w:hAnsi="仿宋" w:eastAsia="仿宋" w:cs="仿宋"/>
          <w:b/>
          <w:bCs/>
          <w:sz w:val="27"/>
          <w:szCs w:val="27"/>
          <w:highlight w:val="none"/>
        </w:rPr>
      </w:pPr>
      <w:r>
        <w:rPr>
          <w:rFonts w:hint="eastAsia" w:ascii="仿宋" w:hAnsi="仿宋" w:eastAsia="仿宋" w:cs="仿宋"/>
          <w:b/>
          <w:bCs/>
          <w:sz w:val="27"/>
          <w:szCs w:val="27"/>
          <w:highlight w:val="none"/>
        </w:rPr>
        <w:t xml:space="preserve">签订日期:    年  月  日 </w:t>
      </w:r>
    </w:p>
    <w:p w14:paraId="16D42077">
      <w:pPr>
        <w:pStyle w:val="11"/>
        <w:rPr>
          <w:rFonts w:hint="eastAsia" w:ascii="仿宋" w:hAnsi="仿宋" w:eastAsia="仿宋" w:cs="仿宋"/>
          <w:highlight w:val="none"/>
        </w:rPr>
      </w:pPr>
    </w:p>
    <w:p w14:paraId="56A38F62">
      <w:pPr>
        <w:spacing w:line="400" w:lineRule="exact"/>
        <w:ind w:firstLine="498" w:firstLineChars="236"/>
        <w:rPr>
          <w:rFonts w:hint="eastAsia" w:ascii="仿宋" w:hAnsi="仿宋" w:eastAsia="仿宋" w:cs="仿宋"/>
          <w:b/>
          <w:highlight w:val="none"/>
        </w:rPr>
      </w:pPr>
      <w:r>
        <w:rPr>
          <w:rFonts w:hint="eastAsia" w:ascii="仿宋" w:hAnsi="仿宋" w:eastAsia="仿宋" w:cs="仿宋"/>
          <w:b/>
          <w:highlight w:val="none"/>
        </w:rPr>
        <w:br w:type="page"/>
      </w:r>
    </w:p>
    <w:p w14:paraId="2C12B8BC">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甲方（采购人公章）名称：曲靖市市场监督管理局</w:t>
      </w:r>
    </w:p>
    <w:p w14:paraId="0A205555">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地址：曲靖市经济开发区学府路</w:t>
      </w:r>
    </w:p>
    <w:p w14:paraId="25736E88">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邮编：655500</w:t>
      </w:r>
    </w:p>
    <w:p w14:paraId="51BA438C">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法定代表人或委托代理人：</w:t>
      </w:r>
    </w:p>
    <w:p w14:paraId="548254B1">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项目（技术）负责人：</w:t>
      </w:r>
    </w:p>
    <w:p w14:paraId="79119916">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电话：</w:t>
      </w:r>
    </w:p>
    <w:p w14:paraId="3710236C">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签订日期：</w:t>
      </w:r>
    </w:p>
    <w:p w14:paraId="34AEBE5F">
      <w:pPr>
        <w:spacing w:line="400" w:lineRule="exact"/>
        <w:ind w:left="1619" w:leftChars="771" w:firstLine="566" w:firstLineChars="236"/>
        <w:rPr>
          <w:rFonts w:hint="eastAsia" w:ascii="仿宋" w:hAnsi="仿宋" w:eastAsia="仿宋" w:cs="仿宋"/>
          <w:sz w:val="24"/>
          <w:highlight w:val="none"/>
        </w:rPr>
      </w:pPr>
    </w:p>
    <w:p w14:paraId="2FC0F21A">
      <w:pPr>
        <w:spacing w:line="400" w:lineRule="exact"/>
        <w:ind w:left="1619" w:leftChars="771" w:firstLine="566" w:firstLineChars="236"/>
        <w:rPr>
          <w:rFonts w:hint="eastAsia" w:ascii="仿宋" w:hAnsi="仿宋" w:eastAsia="仿宋" w:cs="仿宋"/>
          <w:sz w:val="24"/>
          <w:highlight w:val="none"/>
        </w:rPr>
      </w:pPr>
    </w:p>
    <w:p w14:paraId="1C2BA607">
      <w:pPr>
        <w:spacing w:line="400" w:lineRule="exact"/>
        <w:ind w:firstLine="566" w:firstLineChars="236"/>
        <w:rPr>
          <w:rFonts w:hint="eastAsia" w:ascii="仿宋" w:hAnsi="仿宋" w:eastAsia="仿宋" w:cs="仿宋"/>
          <w:sz w:val="24"/>
          <w:highlight w:val="none"/>
        </w:rPr>
      </w:pPr>
    </w:p>
    <w:p w14:paraId="6CA0945D">
      <w:pPr>
        <w:spacing w:line="400" w:lineRule="exact"/>
        <w:ind w:firstLine="566" w:firstLineChars="236"/>
        <w:rPr>
          <w:rFonts w:hint="eastAsia" w:ascii="仿宋" w:hAnsi="仿宋" w:eastAsia="仿宋" w:cs="仿宋"/>
          <w:sz w:val="24"/>
          <w:highlight w:val="none"/>
        </w:rPr>
      </w:pPr>
    </w:p>
    <w:p w14:paraId="5C346682">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 xml:space="preserve">乙方（供应商公章）名称： </w:t>
      </w:r>
    </w:p>
    <w:p w14:paraId="4BFD892F">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地址：</w:t>
      </w:r>
    </w:p>
    <w:p w14:paraId="2AD4D8E4">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邮编：</w:t>
      </w:r>
    </w:p>
    <w:p w14:paraId="0D3E6CFA">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法定代表人或委托代理人：</w:t>
      </w:r>
    </w:p>
    <w:p w14:paraId="0B8A8139">
      <w:pPr>
        <w:spacing w:line="400" w:lineRule="exact"/>
        <w:ind w:left="1619" w:leftChars="771" w:firstLine="1356" w:firstLineChars="565"/>
        <w:jc w:val="left"/>
        <w:rPr>
          <w:rFonts w:hint="eastAsia" w:ascii="仿宋" w:hAnsi="仿宋" w:eastAsia="仿宋" w:cs="仿宋"/>
          <w:sz w:val="24"/>
          <w:highlight w:val="none"/>
        </w:rPr>
      </w:pPr>
      <w:r>
        <w:rPr>
          <w:rFonts w:hint="eastAsia" w:ascii="仿宋" w:hAnsi="仿宋" w:eastAsia="仿宋" w:cs="仿宋"/>
          <w:sz w:val="24"/>
          <w:highlight w:val="none"/>
        </w:rPr>
        <w:t>经办人：            </w:t>
      </w:r>
    </w:p>
    <w:p w14:paraId="08EE66E5">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电话：</w:t>
      </w:r>
    </w:p>
    <w:p w14:paraId="6EFAD57D">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签订日期：</w:t>
      </w:r>
    </w:p>
    <w:p w14:paraId="4A9A3689">
      <w:pPr>
        <w:spacing w:line="400" w:lineRule="exact"/>
        <w:ind w:left="1619" w:leftChars="771" w:firstLine="566" w:firstLineChars="236"/>
        <w:rPr>
          <w:rFonts w:hint="eastAsia" w:ascii="仿宋" w:hAnsi="仿宋" w:eastAsia="仿宋" w:cs="仿宋"/>
          <w:sz w:val="24"/>
          <w:highlight w:val="none"/>
        </w:rPr>
      </w:pPr>
    </w:p>
    <w:p w14:paraId="14908A51">
      <w:pPr>
        <w:spacing w:line="400" w:lineRule="exact"/>
        <w:ind w:left="1619" w:leftChars="771" w:firstLine="566" w:firstLineChars="236"/>
        <w:rPr>
          <w:rFonts w:hint="eastAsia" w:ascii="仿宋" w:hAnsi="仿宋" w:eastAsia="仿宋" w:cs="仿宋"/>
          <w:sz w:val="24"/>
          <w:highlight w:val="none"/>
        </w:rPr>
      </w:pPr>
    </w:p>
    <w:p w14:paraId="40679B36">
      <w:pPr>
        <w:spacing w:line="400" w:lineRule="exact"/>
        <w:ind w:firstLine="566" w:firstLineChars="236"/>
        <w:rPr>
          <w:rFonts w:hint="eastAsia" w:ascii="仿宋" w:hAnsi="仿宋" w:eastAsia="仿宋" w:cs="仿宋"/>
          <w:sz w:val="24"/>
          <w:highlight w:val="none"/>
        </w:rPr>
      </w:pPr>
    </w:p>
    <w:p w14:paraId="125F7622">
      <w:pPr>
        <w:spacing w:line="400" w:lineRule="exact"/>
        <w:ind w:firstLine="566" w:firstLineChars="236"/>
        <w:rPr>
          <w:rFonts w:hint="eastAsia" w:ascii="仿宋" w:hAnsi="仿宋" w:eastAsia="仿宋" w:cs="仿宋"/>
          <w:sz w:val="24"/>
          <w:highlight w:val="none"/>
        </w:rPr>
      </w:pPr>
    </w:p>
    <w:p w14:paraId="27A4C3E6">
      <w:pPr>
        <w:pStyle w:val="11"/>
        <w:rPr>
          <w:rFonts w:hint="eastAsia" w:ascii="仿宋" w:hAnsi="仿宋" w:eastAsia="仿宋" w:cs="仿宋"/>
          <w:highlight w:val="none"/>
        </w:rPr>
      </w:pPr>
    </w:p>
    <w:p w14:paraId="09882E35">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 xml:space="preserve">丙方（鉴证方公章）名称： </w:t>
      </w:r>
    </w:p>
    <w:p w14:paraId="5959F6C6">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地址：</w:t>
      </w:r>
    </w:p>
    <w:p w14:paraId="43807BF1">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邮编：</w:t>
      </w:r>
    </w:p>
    <w:p w14:paraId="62E8CCA3">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法定代表人或委托代理人：</w:t>
      </w:r>
    </w:p>
    <w:p w14:paraId="4598D8A5">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经办人：              </w:t>
      </w:r>
    </w:p>
    <w:p w14:paraId="46464274">
      <w:pPr>
        <w:spacing w:line="400" w:lineRule="exact"/>
        <w:ind w:left="1619" w:leftChars="771" w:firstLine="1356" w:firstLineChars="565"/>
        <w:rPr>
          <w:rFonts w:hint="eastAsia" w:ascii="仿宋" w:hAnsi="仿宋" w:eastAsia="仿宋" w:cs="仿宋"/>
          <w:sz w:val="24"/>
          <w:highlight w:val="none"/>
        </w:rPr>
      </w:pPr>
      <w:r>
        <w:rPr>
          <w:rFonts w:hint="eastAsia" w:ascii="仿宋" w:hAnsi="仿宋" w:eastAsia="仿宋" w:cs="仿宋"/>
          <w:sz w:val="24"/>
          <w:highlight w:val="none"/>
        </w:rPr>
        <w:t>电话：</w:t>
      </w:r>
    </w:p>
    <w:p w14:paraId="1FE62087">
      <w:pPr>
        <w:widowControl/>
        <w:spacing w:line="360" w:lineRule="auto"/>
        <w:ind w:firstLine="480" w:firstLineChars="200"/>
        <w:jc w:val="left"/>
        <w:rPr>
          <w:rFonts w:hint="eastAsia" w:ascii="仿宋" w:hAnsi="仿宋" w:eastAsia="仿宋" w:cs="仿宋"/>
          <w:color w:val="000000"/>
          <w:kern w:val="0"/>
          <w:sz w:val="24"/>
          <w:highlight w:val="none"/>
          <w:lang w:bidi="ar"/>
        </w:rPr>
      </w:pPr>
    </w:p>
    <w:p w14:paraId="377FD900">
      <w:pPr>
        <w:widowControl/>
        <w:spacing w:line="360" w:lineRule="auto"/>
        <w:ind w:firstLine="480" w:firstLineChars="200"/>
        <w:jc w:val="left"/>
        <w:rPr>
          <w:rFonts w:hint="eastAsia" w:ascii="仿宋" w:hAnsi="仿宋" w:eastAsia="仿宋" w:cs="仿宋"/>
          <w:color w:val="000000"/>
          <w:kern w:val="0"/>
          <w:sz w:val="24"/>
          <w:highlight w:val="none"/>
          <w:lang w:bidi="ar"/>
        </w:rPr>
      </w:pPr>
    </w:p>
    <w:p w14:paraId="031B781E">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23835D8E">
      <w:pPr>
        <w:keepNext w:val="0"/>
        <w:keepLines w:val="0"/>
        <w:pageBreakBefore w:val="0"/>
        <w:widowControl/>
        <w:kinsoku/>
        <w:wordWrap/>
        <w:overflowPunct/>
        <w:topLinePunct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根据《中华人民共和国民法典》的有关规定，经双方协商，本着平等互利和诚实信用的原则，一致同意签订本合同如下。 </w:t>
      </w:r>
    </w:p>
    <w:p w14:paraId="0629C08F">
      <w:pPr>
        <w:keepNext w:val="0"/>
        <w:keepLines w:val="0"/>
        <w:pageBreakBefore w:val="0"/>
        <w:kinsoku/>
        <w:wordWrap/>
        <w:overflowPunct/>
        <w:topLinePunct w:val="0"/>
        <w:bidi w:val="0"/>
        <w:adjustRightInd w:val="0"/>
        <w:snapToGrid w:val="0"/>
        <w:spacing w:line="360" w:lineRule="auto"/>
        <w:ind w:firstLine="480" w:firstLineChars="200"/>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一、委托事项：</w:t>
      </w:r>
    </w:p>
    <w:p w14:paraId="7DAF02AE">
      <w:pPr>
        <w:keepNext w:val="0"/>
        <w:keepLines w:val="0"/>
        <w:pageBreakBefore w:val="0"/>
        <w:kinsoku/>
        <w:wordWrap/>
        <w:overflowPunct/>
        <w:topLinePunct w:val="0"/>
        <w:bidi w:val="0"/>
        <w:adjustRightInd w:val="0"/>
        <w:snapToGrid w:val="0"/>
        <w:spacing w:line="360" w:lineRule="auto"/>
        <w:ind w:firstLine="480" w:firstLineChars="200"/>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2026</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eastAsia="zh-CN"/>
        </w:rPr>
        <w:t>市级</w:t>
      </w:r>
      <w:r>
        <w:rPr>
          <w:rFonts w:hint="eastAsia" w:ascii="仿宋" w:hAnsi="仿宋" w:eastAsia="仿宋" w:cs="仿宋"/>
          <w:bCs/>
          <w:sz w:val="24"/>
          <w:szCs w:val="24"/>
          <w:highlight w:val="none"/>
        </w:rPr>
        <w:t>专项食品安全抽检任务服务项目</w:t>
      </w:r>
    </w:p>
    <w:p w14:paraId="001CF71E">
      <w:pPr>
        <w:keepNext w:val="0"/>
        <w:keepLines w:val="0"/>
        <w:pageBreakBefore w:val="0"/>
        <w:kinsoku/>
        <w:wordWrap/>
        <w:overflowPunct/>
        <w:topLinePunct w:val="0"/>
        <w:bidi w:val="0"/>
        <w:adjustRightInd w:val="0"/>
        <w:snapToGrid w:val="0"/>
        <w:spacing w:line="360" w:lineRule="auto"/>
        <w:ind w:firstLine="480" w:firstLineChars="200"/>
        <w:jc w:val="left"/>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二、委托检验产品：</w:t>
      </w:r>
    </w:p>
    <w:p w14:paraId="310790B5">
      <w:pPr>
        <w:keepNext w:val="0"/>
        <w:keepLines w:val="0"/>
        <w:pageBreakBefore w:val="0"/>
        <w:kinsoku/>
        <w:wordWrap/>
        <w:overflowPunct/>
        <w:topLinePunct w:val="0"/>
        <w:bidi w:val="0"/>
        <w:adjustRightInd w:val="0"/>
        <w:snapToGrid w:val="0"/>
        <w:spacing w:line="360" w:lineRule="auto"/>
        <w:ind w:firstLine="480" w:firstLineChars="200"/>
        <w:jc w:val="left"/>
        <w:rPr>
          <w:rFonts w:hint="eastAsia" w:ascii="仿宋" w:hAnsi="仿宋" w:eastAsia="仿宋" w:cs="仿宋"/>
          <w:bCs/>
          <w:color w:val="FF0000"/>
          <w:sz w:val="24"/>
          <w:szCs w:val="24"/>
          <w:highlight w:val="none"/>
        </w:rPr>
      </w:pPr>
      <w:r>
        <w:rPr>
          <w:rFonts w:hint="eastAsia" w:ascii="仿宋" w:hAnsi="仿宋" w:eastAsia="仿宋" w:cs="仿宋"/>
          <w:color w:val="auto"/>
          <w:sz w:val="24"/>
          <w:szCs w:val="24"/>
          <w:highlight w:val="none"/>
        </w:rPr>
        <w:t>按照省局的规定，重点对辖区内小作坊食品、小副</w:t>
      </w:r>
      <w:r>
        <w:rPr>
          <w:rFonts w:hint="eastAsia" w:ascii="仿宋" w:hAnsi="仿宋" w:eastAsia="仿宋" w:cs="仿宋"/>
          <w:color w:val="auto"/>
          <w:sz w:val="24"/>
          <w:szCs w:val="24"/>
          <w:highlight w:val="none"/>
          <w:lang w:eastAsia="zh-CN"/>
        </w:rPr>
        <w:t>食品店食品等</w:t>
      </w: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个食品大类，重点加大对食用农产品、散装白酒（含自制泡酒）、糕点、方便食品、餐具、粮食加工品、食用油、蜂蜜、肉制品等高风险食品的抽检力度。</w:t>
      </w:r>
    </w:p>
    <w:p w14:paraId="4091EF95">
      <w:pPr>
        <w:keepNext w:val="0"/>
        <w:keepLines w:val="0"/>
        <w:pageBreakBefore w:val="0"/>
        <w:kinsoku/>
        <w:wordWrap/>
        <w:overflowPunct/>
        <w:topLinePunct w:val="0"/>
        <w:bidi w:val="0"/>
        <w:adjustRightInd w:val="0"/>
        <w:snapToGrid w:val="0"/>
        <w:spacing w:line="360" w:lineRule="auto"/>
        <w:ind w:firstLine="480" w:firstLineChars="200"/>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三、检验费用及交付方式：</w:t>
      </w:r>
    </w:p>
    <w:p w14:paraId="3A4267B9">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抽检任务完成后，承检机构提供相关抽检费用清单等，并按相关财务制度要求结算。由委托方根据实际工作情况进行结算，结算金额以实际支出为准。本协议期限为</w:t>
      </w:r>
      <w:r>
        <w:rPr>
          <w:rFonts w:hint="eastAsia" w:ascii="仿宋" w:hAnsi="仿宋" w:eastAsia="仿宋" w:cs="仿宋"/>
          <w:bCs/>
          <w:sz w:val="24"/>
          <w:szCs w:val="24"/>
          <w:highlight w:val="none"/>
          <w:lang w:eastAsia="zh-CN"/>
        </w:rPr>
        <w:t>市</w:t>
      </w:r>
      <w:r>
        <w:rPr>
          <w:rFonts w:hint="eastAsia" w:ascii="仿宋" w:hAnsi="仿宋" w:eastAsia="仿宋" w:cs="仿宋"/>
          <w:bCs/>
          <w:sz w:val="24"/>
          <w:szCs w:val="24"/>
          <w:highlight w:val="none"/>
        </w:rPr>
        <w:t>抽完成抽样及检测时限为1</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月20日前。</w:t>
      </w:r>
    </w:p>
    <w:p w14:paraId="60AC8E41">
      <w:pPr>
        <w:keepNext w:val="0"/>
        <w:keepLines w:val="0"/>
        <w:pageBreakBefore w:val="0"/>
        <w:kinsoku/>
        <w:wordWrap/>
        <w:overflowPunct/>
        <w:topLinePunct w:val="0"/>
        <w:bidi w:val="0"/>
        <w:adjustRightInd w:val="0"/>
        <w:snapToGrid w:val="0"/>
        <w:spacing w:line="360" w:lineRule="auto"/>
        <w:ind w:firstLine="480" w:firstLineChars="200"/>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四、权利和义务</w:t>
      </w:r>
    </w:p>
    <w:p w14:paraId="5D961E1E">
      <w:pPr>
        <w:keepNext w:val="0"/>
        <w:keepLines w:val="0"/>
        <w:pageBreakBefore w:val="0"/>
        <w:kinsoku/>
        <w:wordWrap/>
        <w:overflowPunct/>
        <w:topLinePunct w:val="0"/>
        <w:bidi w:val="0"/>
        <w:adjustRightInd w:val="0"/>
        <w:snapToGrid w:val="0"/>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(一)甲方</w:t>
      </w:r>
    </w:p>
    <w:p w14:paraId="25058695">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1、甲方负责按时向乙方传达工作计划，明确抽样区域、抽样品种、抽样批次、你送我检活动等事项，明确抽样、检验程序及工作要求。</w:t>
      </w:r>
    </w:p>
    <w:p w14:paraId="20EA2091">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定期督促乙方上报质量分析报告、样品信息汇总表、不合格样品信息汇总表及检验结果汇总表。督促所有抽检信息录入系统，对抽检录入事项进行抽查，发现问题的，立即进行纠正，涉及违法违规的，将终止合同，并追究相关法律责任。</w:t>
      </w:r>
    </w:p>
    <w:p w14:paraId="29051E76">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3、根据上级部门有关要求对抽检计划适时修订并及时通知抽样单位，对需要调整的抽样、检验事项及时与乙方沟通。</w:t>
      </w:r>
    </w:p>
    <w:p w14:paraId="25762024">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4、做好各县局与抽样单位之间协调工作，保障抽样工作顺利完成。</w:t>
      </w:r>
    </w:p>
    <w:p w14:paraId="58BFBF95">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5、按约定的期限和方式支付抽检费用。</w:t>
      </w:r>
    </w:p>
    <w:p w14:paraId="36DCF14F">
      <w:pPr>
        <w:keepNext w:val="0"/>
        <w:keepLines w:val="0"/>
        <w:pageBreakBefore w:val="0"/>
        <w:kinsoku/>
        <w:wordWrap/>
        <w:overflowPunct/>
        <w:topLinePunct w:val="0"/>
        <w:bidi w:val="0"/>
        <w:adjustRightInd w:val="0"/>
        <w:snapToGrid w:val="0"/>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(二)乙方</w:t>
      </w:r>
    </w:p>
    <w:p w14:paraId="7172BB61">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照甲方下达工作计划完成抽样、检验和数据上报工作，完成食品抽检所有的系统信息录入。根据抽样计划，准备好抽样相关的辅助耗材。安排具有资质、熟悉抽样事项的人员实施抽样。配合完成中标所在县份及市局的快速检测工作。</w:t>
      </w:r>
    </w:p>
    <w:p w14:paraId="35960328">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2、抽样费用支付。乙方必须根据《食品安全抽样检验管理办法》第三章第十二条的规定，按时支付样品购买费。凡是发现有未支付样品购买费用的，一经查实为抽样人员责任的，将取消乙方抽样资格。</w:t>
      </w:r>
    </w:p>
    <w:p w14:paraId="1625C12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均衡抽检。要求以问题发现为导向，各类监督抽检普通食品、食用农产品不合格率大于省局的考核指标。按照均衡性原则，总局规定的时限进行抽样，四个季度抽样进度为一季度20%，二、三季度各30%，四季度20%，因财政经费未严格落实的，将第一季度任务均衡分摊到二、三季度实施。</w:t>
      </w:r>
    </w:p>
    <w:p w14:paraId="3A49A42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4、快速检测要求。中标抽样任务的单位，负责承担所有县份的“你</w:t>
      </w:r>
      <w:r>
        <w:rPr>
          <w:rFonts w:hint="eastAsia" w:ascii="仿宋" w:hAnsi="仿宋" w:eastAsia="仿宋" w:cs="仿宋"/>
          <w:sz w:val="24"/>
          <w:szCs w:val="24"/>
          <w:highlight w:val="none"/>
          <w:lang w:eastAsia="zh-CN"/>
        </w:rPr>
        <w:t>点</w:t>
      </w:r>
      <w:r>
        <w:rPr>
          <w:rFonts w:hint="eastAsia" w:ascii="仿宋" w:hAnsi="仿宋" w:eastAsia="仿宋" w:cs="仿宋"/>
          <w:sz w:val="24"/>
          <w:szCs w:val="24"/>
          <w:highlight w:val="none"/>
        </w:rPr>
        <w:t>我检”快速检测工作，配合各地监管部门开展宣传活动，按时上报快速检测相关报表。</w:t>
      </w:r>
    </w:p>
    <w:p w14:paraId="1042B82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5、严格抽样规定。</w:t>
      </w:r>
    </w:p>
    <w:p w14:paraId="78D9608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一是严格按照</w:t>
      </w:r>
      <w:r>
        <w:rPr>
          <w:rFonts w:hint="eastAsia" w:ascii="仿宋" w:hAnsi="仿宋" w:eastAsia="仿宋" w:cs="仿宋"/>
          <w:sz w:val="24"/>
          <w:szCs w:val="24"/>
          <w:highlight w:val="none"/>
          <w:lang w:eastAsia="zh-CN"/>
        </w:rPr>
        <w:t>2026</w:t>
      </w:r>
      <w:r>
        <w:rPr>
          <w:rFonts w:hint="eastAsia" w:ascii="仿宋" w:hAnsi="仿宋" w:eastAsia="仿宋" w:cs="仿宋"/>
          <w:sz w:val="24"/>
          <w:szCs w:val="24"/>
          <w:highlight w:val="none"/>
        </w:rPr>
        <w:t>年国抽实施细则规定的抽样要求进行数量确定，生产环节抽样，严格按照随机抽样方式进行，保障独立包装、抽样数量满足要求，不得以任何理由减少抽样数量；</w:t>
      </w:r>
    </w:p>
    <w:p w14:paraId="2B83F11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二是为落实广泛覆盖的要求，防范重复抽样，严格执行在同一季度内抽样要求：同一生产许可证同一食品大类不超过3批次，同一经营单位不同食品大类总数不超过10批次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同一单位同一食品大类不超过3批次，同一生产批号只抽1批次。在各级各类抽检中，同一生产企业一年内达到3批次及以上不合格的食品，将作为核查处置重点对象，列入下年度重点抽检事项和考核、监管重点。餐饮单位经营和自加工的食品，同一季度内总计不得超过2批次，自消毒餐具同一季度内只能抽1批次，同一餐饮单位同一季度内，抽检总数不超过6批次。原则上同一生产经营单位年内抽检总数不超过40批次，根据以往抽检情况，要控制大型超市和连锁企业的抽检批次量，加大农贸市场、批发市场、中小型超市、副食店、专营店、便利店、各型餐饮单位等业态的抽检批次。进一步加大农村地区、校园及周边、城乡结合部、农贸市场、批发市场的抽检覆盖面，农村比例大于30%，城乡结合部大于15%，餐饮具在餐饮食品中的抽检比例不超过20%。省级财政保障的食用农产品抽检对象应重点关注辖区内的蔬菜批发市场、流通量占比较大的农贸市场、集中交易市场；</w:t>
      </w:r>
    </w:p>
    <w:p w14:paraId="301EC03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三是</w:t>
      </w:r>
      <w:r>
        <w:rPr>
          <w:rFonts w:hint="eastAsia" w:ascii="仿宋" w:hAnsi="仿宋" w:eastAsia="仿宋" w:cs="仿宋"/>
          <w:sz w:val="24"/>
          <w:szCs w:val="24"/>
          <w:highlight w:val="none"/>
          <w:lang w:eastAsia="zh-CN"/>
        </w:rPr>
        <w:t>2026</w:t>
      </w:r>
      <w:r>
        <w:rPr>
          <w:rFonts w:hint="eastAsia" w:ascii="仿宋" w:hAnsi="仿宋" w:eastAsia="仿宋" w:cs="仿宋"/>
          <w:sz w:val="24"/>
          <w:szCs w:val="24"/>
          <w:highlight w:val="none"/>
        </w:rPr>
        <w:t>年抽样品种要尽量覆盖辖区内所有生产经营的食品大类，市、县级不组织对特殊医学配方食品、特殊膳食食品、婴幼儿配方食品等特殊食品进行抽检，要进行品种广泛覆盖抽检，重点加大对食用农产品、散装白酒（含自制泡酒）、糕点、方便食品、餐饮加工食品、餐具、粮食加工品、食用油、蜂蜜、肉制品等高风险食品、消费量大的抽检力度；四是食品生产企业（含小作坊）、食用农产品、冷链食品等开展监督抽检工作时，要严格落实监管部门执法人员抽样或陪同抽样的要求，在一些高风险场所，如学校、工地、养老机构、中央厨房、集中供餐配送单位、白酒小作坊等也应安排陪同抽样。凡是要求陪同抽样的，抽样单上必须由监管人员签字，一人一签，严禁由第三方抽样人员代签，一人多签等违规程序出现。</w:t>
      </w:r>
    </w:p>
    <w:p w14:paraId="528C0C34">
      <w:pPr>
        <w:pStyle w:val="7"/>
        <w:keepNext w:val="0"/>
        <w:keepLines w:val="0"/>
        <w:pageBreakBefore w:val="0"/>
        <w:kinsoku/>
        <w:wordWrap/>
        <w:overflowPunct/>
        <w:topLinePunct w:val="0"/>
        <w:bidi w:val="0"/>
        <w:adjustRightInd w:val="0"/>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6、严格抽样程序。各抽样单位、监管部门严格按照抽样程序开展抽样工作，保障抽样工作合法合规。一是严格执行抽样程序规定，按照实施细则的要求进行抽样；二是认真核对样品的真实性，确保被抽样品不出现因抽样过程造成的异议，不能判定样品真实性的，不在抽样文书上明确其准确信息；三是取样、封样、签字等核心事项，必须在被抽样单位人员陪同下进行，尽力避免出现抽样过程异议。核对无误的抽样单，由在场的抽样人员、监管人员和被抽样单位人员签字，所签的字要能看清能辨认出准确的字，不能辨认的签字，由签字人在签名后括弧内写正楷的名字；四是抽样过程中检样和被样要分开封样，在封条上明显区分。采用无菌抽样的，要防范盛装容器受到污染，盛装容器、采样工具、人员、服装等要按照规定进行消毒，抽样过程中防范样品受到污染或出现影响检验结果的情况出现；五是严格系统部署，规定抽样批次，防范出现同一季度内超批次抽样情况出现。若有违反，将视情况给予警告，多次出现问题的，将取消其承检资格，并不得在下年度参与市局任务投标。</w:t>
      </w:r>
    </w:p>
    <w:p w14:paraId="306D67A2">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检验要求。严格开展检验及检测工作。严格按照法律法规的要求，进行监督抽检检验和快速检测，保障检验的程序合法，检验数据无错误。严格按照国抽实施细则的规定进行检验，确保检验和快速检测数据的真实性。</w:t>
      </w:r>
    </w:p>
    <w:p w14:paraId="6BD01442">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工作纪律。未经组织的市场监管部门同意，承检机构不得进行任何形式的分包或者转包检验和检测任务。市局对一旦发现承检机构有数据造假、不支付样品购买费、吃拿卡要、私自发布抽检信息、向被抽样单位泄露检验结果信息等违规行为的，市局将立即停止其承检工作。</w:t>
      </w:r>
    </w:p>
    <w:p w14:paraId="476350E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数据分析。做好数据统计分析工作。各承检机构部门要加强抽检监测数据统计分析，建立完善抽检监测数据分析工作机制，按照市场监管部门的要求，按月编制抽检监测数据统计分析报告，并按程序和要求通报普遍性问题，科学分析研判食品安全风险发生规律，发掘食品安全风险隐患，不断创新手段深挖抽检监测数据价值。按月上报质量分析报告、合格样品信息汇总表、不合格样品信息汇总表及检验结果汇总表。参与监管部门组织的风险分析和风险交流，为风险预警提供参考数据和相关信息。</w:t>
      </w:r>
    </w:p>
    <w:p w14:paraId="197E235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抽样影像。按照甲方计划及抽样规则开展抽样，并保证抽样样品信息的真实、可靠。在抽样过程中，影像留存要贯穿抽样的全过程，要专门安排人员对抽样过程进行影像留存，可以拍照或录像，在采样过程中根据实际抽样情况，确定录像事项。采用拍照方式的，现场照片应包括被抽样单位总体外观（或大门），被抽样品存放场所及样品存放状况，抽样人员选取样品，被抽样单位签字，封样，样品同抽样人员（或监管人员）和被抽样单位人员合照，经营证照等，照片要在7张以上。凡是监管人员陪同抽样的，原则上要有监管人员要着制服或佩戴执法证，提交的</w:t>
      </w:r>
      <w:r>
        <w:rPr>
          <w:rFonts w:hint="eastAsia" w:ascii="仿宋" w:hAnsi="仿宋" w:eastAsia="仿宋" w:cs="仿宋"/>
          <w:sz w:val="24"/>
          <w:szCs w:val="24"/>
          <w:highlight w:val="none"/>
          <w:lang w:eastAsia="zh-CN"/>
        </w:rPr>
        <w:t>照片时</w:t>
      </w:r>
      <w:r>
        <w:rPr>
          <w:rFonts w:hint="eastAsia" w:ascii="仿宋" w:hAnsi="仿宋" w:eastAsia="仿宋" w:cs="仿宋"/>
          <w:sz w:val="24"/>
          <w:szCs w:val="24"/>
          <w:highlight w:val="none"/>
        </w:rPr>
        <w:t>要有监管人员在现场开展检查的照片。第三方的抽样人员，应佩戴工作证，着专业工作服。所拍摄的照片，要清晰，能看清被拍摄样品的全貌和详细信息，有人员的照片，要能清晰看清人员的面貌。如乙方在抽样过程中出现困难和问题，不能解决的，联系甲方进行处理。</w:t>
      </w:r>
    </w:p>
    <w:p w14:paraId="299C80A1">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12、数据应用。任务承检机构不得泄露甲方一切委托抽样的数据信息。未经甲方许可，不得以任何形式使用抽样数据。</w:t>
      </w:r>
    </w:p>
    <w:p w14:paraId="6AE1BE88">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考核指标要求。本招标方案中的监督抽检的检验数和抽样数均为招标任务数为最低数，在省局出台不合格率、数据质量等考核指标后，若完成最低招标数后，相关考核未达到考核的要求的，必须继续开展抽样及检测工作，直至达到考核要求</w:t>
      </w:r>
      <w:r>
        <w:rPr>
          <w:rFonts w:hint="eastAsia" w:ascii="仿宋" w:hAnsi="仿宋" w:eastAsia="仿宋" w:cs="仿宋"/>
          <w:sz w:val="24"/>
          <w:szCs w:val="24"/>
          <w:highlight w:val="none"/>
          <w:lang w:eastAsia="zh-CN"/>
        </w:rPr>
        <w:t>为止</w:t>
      </w:r>
      <w:r>
        <w:rPr>
          <w:rFonts w:hint="eastAsia" w:ascii="仿宋" w:hAnsi="仿宋" w:eastAsia="仿宋" w:cs="仿宋"/>
          <w:sz w:val="24"/>
          <w:szCs w:val="24"/>
          <w:highlight w:val="none"/>
        </w:rPr>
        <w:t>。具体后续抽样及检验工作由市局根据考核指标和任务进程进行确定。</w:t>
      </w:r>
    </w:p>
    <w:p w14:paraId="63ACF16F">
      <w:pPr>
        <w:pStyle w:val="7"/>
        <w:keepNext w:val="0"/>
        <w:keepLines w:val="0"/>
        <w:pageBreakBefore w:val="0"/>
        <w:kinsoku/>
        <w:wordWrap/>
        <w:overflowPunct/>
        <w:topLinePunct w:val="0"/>
        <w:bidi w:val="0"/>
        <w:adjustRightInd w:val="0"/>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14、检验报告出具。承检机构所出具的不合格报告，具有法律效力，应严格对待，制作严谨，确保检验报告内容和数据无误。经审核无误的检验数据，按照规定出具检验结果和检验报告。检验数据要严格按照系统部署的要求进行填报，检验机构按照系统部署的检验项目、检验方法、判定依据开展检验工作，检验数据经多级审核无误后再提交系统。涉及不合格的检验，还要同时提交检验结果告知书。在上传不合格（问题）检验报告前，要严格核对检验报告的内容与抽样单的信息是否完全一致，反复审核无误后，制作检验报告并上传。各级各类合格检验报告，原则上不再提供给生产经营者，特殊情况需要检验报告的，按照谁组织谁负责的原则，根据抽样检验情况进行办理。</w:t>
      </w:r>
    </w:p>
    <w:p w14:paraId="589533EB">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15、备份样品的处置。各承检机构按照《云南省市场监督管理局食品安全抽检样品处置制度（试行）》的规定，合理对备份样品进行处置。对不合格样品应采用科学研究和销毁的处置方式。对合格样品，应根据实际情况，采用捐赠、拍卖、科学研究、销毁等方式进行处置。各单位按时上报备份样品再利用情况。</w:t>
      </w:r>
    </w:p>
    <w:p w14:paraId="1784E649">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16、数据质量管控。</w:t>
      </w:r>
      <w:r>
        <w:rPr>
          <w:rFonts w:hint="eastAsia" w:ascii="仿宋" w:hAnsi="仿宋" w:eastAsia="仿宋" w:cs="仿宋"/>
          <w:sz w:val="24"/>
          <w:szCs w:val="24"/>
          <w:highlight w:val="none"/>
          <w:lang w:eastAsia="zh-CN"/>
        </w:rPr>
        <w:t>2026</w:t>
      </w:r>
      <w:r>
        <w:rPr>
          <w:rFonts w:hint="eastAsia" w:ascii="仿宋" w:hAnsi="仿宋" w:eastAsia="仿宋" w:cs="仿宋"/>
          <w:sz w:val="24"/>
          <w:szCs w:val="24"/>
          <w:highlight w:val="none"/>
        </w:rPr>
        <w:t>年的数据质量已列入考核事项，省局考核数据准确率要达到90%以上。各抽样单位和检验机构要严格对抽样数据和检验数据的管控，原则上应保障我市</w:t>
      </w:r>
      <w:r>
        <w:rPr>
          <w:rFonts w:hint="eastAsia" w:ascii="仿宋" w:hAnsi="仿宋" w:eastAsia="仿宋" w:cs="仿宋"/>
          <w:sz w:val="24"/>
          <w:szCs w:val="24"/>
          <w:highlight w:val="none"/>
          <w:lang w:eastAsia="zh-CN"/>
        </w:rPr>
        <w:t>2026</w:t>
      </w:r>
      <w:r>
        <w:rPr>
          <w:rFonts w:hint="eastAsia" w:ascii="仿宋" w:hAnsi="仿宋" w:eastAsia="仿宋" w:cs="仿宋"/>
          <w:sz w:val="24"/>
          <w:szCs w:val="24"/>
          <w:highlight w:val="none"/>
        </w:rPr>
        <w:t>年的数据正确率稳定在95%以上。凡是造成我市抽检数据准确率未达90%的，将对应考核扣分，并列入下年度招标考核事项，对服务满意程度进行打分重点事项。</w:t>
      </w:r>
    </w:p>
    <w:p w14:paraId="68D9D7F0">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17、按照抽样检验管理办法的有关规定，承担监管部门参与抽样人员的伙食费用。监管人员每人每天不超过50元，人员不得超过2人。</w:t>
      </w:r>
    </w:p>
    <w:p w14:paraId="5B2DDDB8">
      <w:pPr>
        <w:keepNext w:val="0"/>
        <w:keepLines w:val="0"/>
        <w:pageBreakBefore w:val="0"/>
        <w:kinsoku/>
        <w:wordWrap/>
        <w:overflowPunct/>
        <w:topLinePunct w:val="0"/>
        <w:bidi w:val="0"/>
        <w:adjustRightInd w:val="0"/>
        <w:snapToGrid w:val="0"/>
        <w:spacing w:line="360" w:lineRule="auto"/>
        <w:ind w:firstLine="480" w:firstLineChars="200"/>
        <w:textAlignment w:val="baseline"/>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14:paraId="0150D725">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甲、乙双方任一方出现违约，另一方有权终止本协议，并由违约方独自承担可能带来的违约后果；一方违约的，应当赔偿对方的损失及实现债权的费用(包括但不限于财产保全费、鉴定费、公证费、差旅费、评估费、拍卖费、律师代理费等)。</w:t>
      </w:r>
    </w:p>
    <w:p w14:paraId="03288C95">
      <w:pPr>
        <w:keepNext w:val="0"/>
        <w:keepLines w:val="0"/>
        <w:pageBreakBefore w:val="0"/>
        <w:kinsoku/>
        <w:wordWrap/>
        <w:overflowPunct/>
        <w:topLinePunct w:val="0"/>
        <w:bidi w:val="0"/>
        <w:adjustRightInd w:val="0"/>
        <w:snapToGrid w:val="0"/>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2、甲、乙方在履行协议期间发生违法行为的，自行承担法律责任。</w:t>
      </w:r>
    </w:p>
    <w:p w14:paraId="7673ECFC">
      <w:pPr>
        <w:keepNext w:val="0"/>
        <w:keepLines w:val="0"/>
        <w:pageBreakBefore w:val="0"/>
        <w:kinsoku/>
        <w:wordWrap/>
        <w:overflowPunct/>
        <w:topLinePunct w:val="0"/>
        <w:bidi w:val="0"/>
        <w:adjustRightInd w:val="0"/>
        <w:snapToGrid w:val="0"/>
        <w:spacing w:line="360" w:lineRule="auto"/>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六、不可抗力</w:t>
      </w:r>
    </w:p>
    <w:p w14:paraId="5CDAD0DE">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由于不可抗力的原因不能履行合同时，应及时向乙方及见证方通报不能履行或不能完全履行的理由；乙方由于不可抗力的原因不能履行合同时，应及时向甲方及见证方通报不能履行或不能完全履行的理由；在取得有关主管机关证明以后，可以签订延期履行、部分履行补充合同或者不履行合同，并根据情况可部分或全部</w:t>
      </w:r>
      <w:r>
        <w:rPr>
          <w:rFonts w:hint="eastAsia" w:ascii="仿宋" w:hAnsi="仿宋" w:eastAsia="仿宋" w:cs="仿宋"/>
          <w:sz w:val="24"/>
          <w:szCs w:val="24"/>
          <w:highlight w:val="none"/>
          <w:lang w:eastAsia="zh-CN"/>
        </w:rPr>
        <w:t>免于</w:t>
      </w:r>
      <w:r>
        <w:rPr>
          <w:rFonts w:hint="eastAsia" w:ascii="仿宋" w:hAnsi="仿宋" w:eastAsia="仿宋" w:cs="仿宋"/>
          <w:sz w:val="24"/>
          <w:szCs w:val="24"/>
          <w:highlight w:val="none"/>
        </w:rPr>
        <w:t>承担违约责任。</w:t>
      </w:r>
    </w:p>
    <w:p w14:paraId="5D788E3D">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七、合同纠纷处理方式：因本合同或与本合同有关的一切事项发生争议，由双方友好协商解决。协商不成的，任何一方均可向甲方住所地有管辖权的人民法院提起诉讼。</w:t>
      </w:r>
      <w:r>
        <w:rPr>
          <w:rFonts w:hint="eastAsia" w:ascii="仿宋" w:hAnsi="仿宋" w:eastAsia="仿宋" w:cs="仿宋"/>
          <w:sz w:val="24"/>
          <w:szCs w:val="24"/>
          <w:highlight w:val="none"/>
          <w:lang w:val="zh-TW"/>
        </w:rPr>
        <w:t>且诉讼过程中所发生的诉讼费、保全费、公告费、评估费、鉴定费、拍卖费、差旅费、律师代理费等全部费用均由违约方承担。</w:t>
      </w:r>
    </w:p>
    <w:p w14:paraId="675D6FEA">
      <w:pPr>
        <w:keepNext w:val="0"/>
        <w:keepLines w:val="0"/>
        <w:pageBreakBefore w:val="0"/>
        <w:kinsoku/>
        <w:wordWrap/>
        <w:overflowPunct/>
        <w:topLinePunct w:val="0"/>
        <w:bidi w:val="0"/>
        <w:adjustRightInd w:val="0"/>
        <w:snapToGrid w:val="0"/>
        <w:spacing w:line="360" w:lineRule="auto"/>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八、其他约定</w:t>
      </w:r>
    </w:p>
    <w:p w14:paraId="40D52815">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（1）本采购项目的</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、中标人的投标文件以及相关的澄清确认函（如果有的话）均为本合同不可分割的一部分，与本合同具有同等法律效力。</w:t>
      </w:r>
    </w:p>
    <w:p w14:paraId="64DF0477">
      <w:pPr>
        <w:keepNext w:val="0"/>
        <w:keepLines w:val="0"/>
        <w:pageBreakBefore w:val="0"/>
        <w:kinsoku/>
        <w:wordWrap/>
        <w:overflowPunct/>
        <w:topLinePunct w:val="0"/>
        <w:bidi w:val="0"/>
        <w:adjustRightInd w:val="0"/>
        <w:snapToGrid w:val="0"/>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（2）本合同未尽事宜，双方另行补充。</w:t>
      </w:r>
    </w:p>
    <w:p w14:paraId="64FEB003">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（3）本合同一式五份，经双方授权代表签字并盖章后生效。甲方执二份、乙方执二份，合同备案一份，具有同等效力。</w:t>
      </w:r>
    </w:p>
    <w:p w14:paraId="1AC7972A">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九、本合同经甲乙双方盖章签字后生效。</w:t>
      </w:r>
    </w:p>
    <w:p w14:paraId="6B699F15">
      <w:pPr>
        <w:keepNext w:val="0"/>
        <w:keepLines w:val="0"/>
        <w:pageBreakBefore w:val="0"/>
        <w:tabs>
          <w:tab w:val="left" w:pos="6930"/>
        </w:tabs>
        <w:kinsoku/>
        <w:wordWrap/>
        <w:overflowPunct/>
        <w:topLinePunct w:val="0"/>
        <w:bidi w:val="0"/>
        <w:adjustRightInd w:val="0"/>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十、本合同不可分割之部分：</w:t>
      </w:r>
    </w:p>
    <w:p w14:paraId="7B92995B">
      <w:pPr>
        <w:keepNext w:val="0"/>
        <w:keepLines w:val="0"/>
        <w:pageBreakBefore w:val="0"/>
        <w:widowControl/>
        <w:kinsoku/>
        <w:wordWrap/>
        <w:overflowPunct/>
        <w:topLinePunct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eastAsia="zh-CN" w:bidi="ar"/>
        </w:rPr>
        <w:t>招标文件</w:t>
      </w:r>
      <w:r>
        <w:rPr>
          <w:rFonts w:hint="eastAsia" w:ascii="仿宋" w:hAnsi="仿宋" w:eastAsia="仿宋" w:cs="仿宋"/>
          <w:color w:val="000000"/>
          <w:kern w:val="0"/>
          <w:sz w:val="24"/>
          <w:szCs w:val="24"/>
          <w:highlight w:val="none"/>
          <w:lang w:bidi="ar"/>
        </w:rPr>
        <w:t xml:space="preserve">及补遗或澄清；中标人的投标文件及澄清；中标通知书；合同书附件均为合同的有效组成部分，与本合同具有同等法律效力。 </w:t>
      </w:r>
    </w:p>
    <w:p w14:paraId="58A87056">
      <w:pPr>
        <w:keepNext w:val="0"/>
        <w:keepLines w:val="0"/>
        <w:pageBreakBefore w:val="0"/>
        <w:widowControl/>
        <w:kinsoku/>
        <w:wordWrap/>
        <w:overflowPunct/>
        <w:topLinePunct w:val="0"/>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2、在执行本合同的过程中，所有经双方签署确认的文件(包括会议纪要、补充协议、 往来信函)即成为本合同的有效组成部分。 </w:t>
      </w:r>
    </w:p>
    <w:p w14:paraId="3B967698">
      <w:pPr>
        <w:keepNext w:val="0"/>
        <w:keepLines w:val="0"/>
        <w:pageBreakBefore w:val="0"/>
        <w:widowControl/>
        <w:kinsoku/>
        <w:wordWrap/>
        <w:overflowPunct/>
        <w:topLinePunct w:val="0"/>
        <w:bidi w:val="0"/>
        <w:adjustRightInd w:val="0"/>
        <w:snapToGrid w:val="0"/>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3、如一方地址、电话、传真号码有变更， 应在变更当日内书面通知对方，否则，应承担相应责任。 </w:t>
      </w:r>
    </w:p>
    <w:p w14:paraId="44706C63">
      <w:pPr>
        <w:keepNext w:val="0"/>
        <w:keepLines w:val="0"/>
        <w:pageBreakBefore w:val="0"/>
        <w:widowControl/>
        <w:kinsoku/>
        <w:wordWrap/>
        <w:overflowPunct/>
        <w:topLinePunct w:val="0"/>
        <w:bidi w:val="0"/>
        <w:adjustRightInd w:val="0"/>
        <w:snapToGrid w:val="0"/>
        <w:spacing w:line="360" w:lineRule="auto"/>
        <w:ind w:firstLine="480" w:firstLineChars="200"/>
        <w:jc w:val="left"/>
        <w:outlineLvl w:val="9"/>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4、乙方不得部分或全部转让其应履行的合同项下的义务。</w:t>
      </w:r>
    </w:p>
    <w:p w14:paraId="2B22C4F0">
      <w:pPr>
        <w:rPr>
          <w:rFonts w:hint="eastAsia" w:ascii="仿宋" w:hAnsi="仿宋" w:eastAsia="仿宋" w:cs="仿宋"/>
          <w:sz w:val="24"/>
          <w:highlight w:val="none"/>
        </w:rPr>
      </w:pPr>
    </w:p>
    <w:p w14:paraId="102D82CC">
      <w:pPr>
        <w:pStyle w:val="11"/>
        <w:rPr>
          <w:rFonts w:hint="eastAsia" w:ascii="仿宋" w:hAnsi="仿宋" w:eastAsia="仿宋" w:cs="仿宋"/>
          <w:sz w:val="24"/>
          <w:szCs w:val="24"/>
          <w:highlight w:val="none"/>
        </w:rPr>
      </w:pPr>
    </w:p>
    <w:p w14:paraId="17079F07">
      <w:pPr>
        <w:spacing w:line="360" w:lineRule="auto"/>
        <w:ind w:firstLine="540" w:firstLineChars="225"/>
        <w:rPr>
          <w:rFonts w:hint="eastAsia" w:ascii="仿宋" w:hAnsi="仿宋" w:eastAsia="仿宋" w:cs="仿宋"/>
          <w:kern w:val="0"/>
          <w:sz w:val="24"/>
          <w:highlight w:val="none"/>
        </w:rPr>
      </w:pPr>
    </w:p>
    <w:p w14:paraId="437E5B25">
      <w:pPr>
        <w:spacing w:line="360" w:lineRule="auto"/>
        <w:ind w:firstLine="540" w:firstLineChars="225"/>
        <w:rPr>
          <w:rFonts w:hint="eastAsia" w:ascii="仿宋" w:hAnsi="仿宋" w:eastAsia="仿宋" w:cs="仿宋"/>
          <w:kern w:val="0"/>
          <w:sz w:val="24"/>
          <w:highlight w:val="none"/>
        </w:rPr>
      </w:pPr>
    </w:p>
    <w:p w14:paraId="490DE213">
      <w:pPr>
        <w:spacing w:line="360" w:lineRule="auto"/>
        <w:ind w:firstLine="540" w:firstLineChars="225"/>
        <w:rPr>
          <w:rFonts w:hint="eastAsia" w:ascii="仿宋" w:hAnsi="仿宋" w:eastAsia="仿宋" w:cs="仿宋"/>
          <w:kern w:val="0"/>
          <w:sz w:val="24"/>
          <w:highlight w:val="none"/>
        </w:rPr>
      </w:pPr>
    </w:p>
    <w:p w14:paraId="3D29A00D">
      <w:pPr>
        <w:spacing w:line="360" w:lineRule="auto"/>
        <w:ind w:firstLine="540" w:firstLineChars="225"/>
        <w:rPr>
          <w:rFonts w:hint="eastAsia" w:ascii="仿宋" w:hAnsi="仿宋" w:eastAsia="仿宋" w:cs="仿宋"/>
          <w:kern w:val="0"/>
          <w:sz w:val="24"/>
          <w:highlight w:val="none"/>
        </w:rPr>
      </w:pPr>
    </w:p>
    <w:p w14:paraId="658FC629">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甲方：</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乙方：</w:t>
      </w:r>
    </w:p>
    <w:p w14:paraId="35C67036">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地址：</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地址：</w:t>
      </w:r>
    </w:p>
    <w:p w14:paraId="7F6CCB33">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邮政编码： </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 xml:space="preserve">   邮政编码：</w:t>
      </w:r>
    </w:p>
    <w:p w14:paraId="32676C33">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法定代表人： </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法定代表人：</w:t>
      </w:r>
    </w:p>
    <w:p w14:paraId="306AE3AE">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委托代理人： </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 xml:space="preserve">委托代理人：  </w:t>
      </w:r>
    </w:p>
    <w:p w14:paraId="32B47DD3">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电话：</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电话：</w:t>
      </w:r>
    </w:p>
    <w:p w14:paraId="78C7F1E1">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开户银行：</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开户银行：</w:t>
      </w:r>
    </w:p>
    <w:p w14:paraId="2EF085CD">
      <w:pPr>
        <w:spacing w:line="360" w:lineRule="auto"/>
        <w:ind w:firstLine="540" w:firstLineChars="225"/>
        <w:rPr>
          <w:rFonts w:hint="eastAsia" w:ascii="仿宋" w:hAnsi="仿宋" w:eastAsia="仿宋" w:cs="仿宋"/>
          <w:kern w:val="0"/>
          <w:sz w:val="24"/>
          <w:highlight w:val="none"/>
        </w:rPr>
      </w:pPr>
      <w:r>
        <w:rPr>
          <w:rStyle w:val="42"/>
          <w:rFonts w:hint="eastAsia" w:ascii="仿宋" w:hAnsi="仿宋" w:eastAsia="仿宋" w:cs="仿宋"/>
          <w:kern w:val="0"/>
          <w:sz w:val="24"/>
          <w:highlight w:val="none"/>
        </w:rPr>
        <w:t>账号</w:t>
      </w:r>
      <w:r>
        <w:rPr>
          <w:rFonts w:hint="eastAsia" w:ascii="仿宋" w:hAnsi="仿宋" w:eastAsia="仿宋" w:cs="仿宋"/>
          <w:kern w:val="0"/>
          <w:sz w:val="24"/>
          <w:highlight w:val="none"/>
        </w:rPr>
        <w:t>：</w:t>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Fonts w:hint="eastAsia" w:ascii="仿宋" w:hAnsi="仿宋" w:eastAsia="仿宋" w:cs="仿宋"/>
          <w:kern w:val="0"/>
          <w:sz w:val="24"/>
          <w:highlight w:val="none"/>
        </w:rPr>
        <w:tab/>
      </w:r>
      <w:r>
        <w:rPr>
          <w:rStyle w:val="42"/>
          <w:rFonts w:hint="eastAsia" w:ascii="仿宋" w:hAnsi="仿宋" w:eastAsia="仿宋" w:cs="仿宋"/>
          <w:kern w:val="0"/>
          <w:sz w:val="24"/>
          <w:highlight w:val="none"/>
        </w:rPr>
        <w:t>账号</w:t>
      </w:r>
      <w:r>
        <w:rPr>
          <w:rFonts w:hint="eastAsia" w:ascii="仿宋" w:hAnsi="仿宋" w:eastAsia="仿宋" w:cs="仿宋"/>
          <w:kern w:val="0"/>
          <w:sz w:val="24"/>
          <w:highlight w:val="none"/>
        </w:rPr>
        <w:t>：</w:t>
      </w:r>
    </w:p>
    <w:p w14:paraId="1C84415B">
      <w:pPr>
        <w:rPr>
          <w:rFonts w:hint="eastAsia" w:ascii="宋体" w:hAnsi="宋体" w:cs="宋体"/>
          <w:sz w:val="24"/>
          <w:highlight w:val="none"/>
        </w:rPr>
      </w:pPr>
    </w:p>
    <w:p w14:paraId="3F4498B9">
      <w:pPr>
        <w:spacing w:line="360" w:lineRule="auto"/>
        <w:ind w:firstLine="922" w:firstLineChars="255"/>
        <w:jc w:val="center"/>
        <w:rPr>
          <w:rFonts w:hint="eastAsia" w:ascii="宋体" w:hAnsi="宋体" w:cs="宋体"/>
          <w:b/>
          <w:bCs/>
          <w:sz w:val="30"/>
          <w:szCs w:val="30"/>
          <w:highlight w:val="none"/>
        </w:rPr>
      </w:pPr>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br w:type="page"/>
      </w:r>
      <w:r>
        <w:rPr>
          <w:rFonts w:hint="eastAsia" w:ascii="仿宋" w:hAnsi="仿宋" w:eastAsia="仿宋" w:cs="仿宋"/>
          <w:b/>
          <w:bCs/>
          <w:sz w:val="32"/>
          <w:szCs w:val="32"/>
          <w:highlight w:val="none"/>
        </w:rPr>
        <w:t>廉政合同</w:t>
      </w:r>
    </w:p>
    <w:p w14:paraId="4A5A2CC7">
      <w:pPr>
        <w:pStyle w:val="37"/>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合同名称：                                                    </w:t>
      </w:r>
    </w:p>
    <w:p w14:paraId="0642E412">
      <w:pPr>
        <w:pStyle w:val="37"/>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 </w:t>
      </w:r>
    </w:p>
    <w:p w14:paraId="44A8369F">
      <w:pPr>
        <w:pStyle w:val="37"/>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 方： </w:t>
      </w:r>
    </w:p>
    <w:p w14:paraId="4F4C5DE1">
      <w:pPr>
        <w:pStyle w:val="37"/>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1AA93C60">
      <w:pPr>
        <w:pStyle w:val="37"/>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合同金额： </w:t>
      </w:r>
    </w:p>
    <w:p w14:paraId="74824FED">
      <w:pPr>
        <w:pStyle w:val="37"/>
        <w:spacing w:line="360" w:lineRule="auto"/>
        <w:ind w:firstLine="6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根据廉政建设有关要求，为促进甲乙双方廉洁高效合作，增强甲乙双方人员的廉洁从业意识，明确甲乙双方的廉政责任和义务，防止违法违纪行为发生，特签订如下廉政合同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24E75978">
      <w:pPr>
        <w:pStyle w:val="37"/>
        <w:spacing w:line="360" w:lineRule="auto"/>
        <w:ind w:firstLine="6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在履行合同过程中，不得接受乙方赠送的礼品、礼金、有价证券、信用卡及其他支付凭证；不得接受乙方任何好处费及回扣；不得向乙方报销任何应由甲方支付的费用；不得借用、租用乙方的交通、通讯工具及其它物品；不得接受乙方邀请的各种庆典、旅游和娱乐活动。</w:t>
      </w:r>
    </w:p>
    <w:p w14:paraId="0D5CC431">
      <w:pPr>
        <w:pStyle w:val="37"/>
        <w:spacing w:line="360" w:lineRule="auto"/>
        <w:ind w:firstLine="6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二、甲方人员向乙方索贿或因索贿不成给乙方造成损失的，将追究当事人责任。 </w:t>
      </w:r>
    </w:p>
    <w:p w14:paraId="47B7A61A">
      <w:pPr>
        <w:pStyle w:val="37"/>
        <w:spacing w:line="360" w:lineRule="auto"/>
        <w:ind w:firstLine="6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三、甲方工作人员的配偶、亲属、子女，不得承包或从事与该项目有关的业务活动；不得向乙方推荐分包单位。 </w:t>
      </w:r>
    </w:p>
    <w:p w14:paraId="6092CB8A">
      <w:pPr>
        <w:pStyle w:val="37"/>
        <w:spacing w:line="360" w:lineRule="auto"/>
        <w:ind w:firstLine="6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不得邀请可能对甲方人员履行工作职责有影响的吃、玩或向甲方赠送礼品、礼金、有价证券、信用卡及其他支付凭证或物品。不得为甲方工作人员在交通、通讯工具及生活方面提供方便；不得为甲方工作人员的配偶、子女及有利害关系人员安排工作或劳务。</w:t>
      </w:r>
    </w:p>
    <w:p w14:paraId="5227B69B">
      <w:pPr>
        <w:pStyle w:val="37"/>
        <w:spacing w:line="360" w:lineRule="auto"/>
        <w:ind w:firstLine="6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五、甲乙双方法定代表人和分管领导、经办部门和经办人员要严格履行廉政合同，严格把关，相互监督，自查自纠。 </w:t>
      </w:r>
    </w:p>
    <w:p w14:paraId="50CB518C">
      <w:pPr>
        <w:pStyle w:val="37"/>
        <w:spacing w:line="360" w:lineRule="auto"/>
        <w:ind w:firstLine="6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六、甲方工作人员有违反本合同第一、二、三条行为的，按照管理权限，依据国家、国家局的相关规定给予党纪、政纪处分或组织处理；涉嫌犯罪的，移交司法机关处理。 </w:t>
      </w:r>
    </w:p>
    <w:p w14:paraId="7016BC0B">
      <w:pPr>
        <w:pStyle w:val="37"/>
        <w:spacing w:line="360" w:lineRule="auto"/>
        <w:ind w:firstLine="6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七、乙方工作人员有违反本合同第四条行为的，一经发现，甲方可向乙方提出处理建议，同时视情节可在2年内拒绝乙方参加甲方组织的招投标活动；被</w:t>
      </w:r>
      <w:r>
        <w:rPr>
          <w:rFonts w:hint="eastAsia" w:ascii="仿宋" w:hAnsi="仿宋" w:eastAsia="仿宋" w:cs="仿宋"/>
          <w:color w:val="auto"/>
          <w:sz w:val="24"/>
          <w:szCs w:val="24"/>
          <w:highlight w:val="none"/>
          <w:lang w:eastAsia="zh-CN"/>
        </w:rPr>
        <w:t>纪检监察机关</w:t>
      </w:r>
      <w:r>
        <w:rPr>
          <w:rFonts w:hint="eastAsia" w:ascii="仿宋" w:hAnsi="仿宋" w:eastAsia="仿宋" w:cs="仿宋"/>
          <w:color w:val="auto"/>
          <w:sz w:val="24"/>
          <w:szCs w:val="24"/>
          <w:highlight w:val="none"/>
        </w:rPr>
        <w:t xml:space="preserve">或司法机关立案查处的，在5年内不得参与甲方组织的任何招投标活动。 </w:t>
      </w:r>
    </w:p>
    <w:p w14:paraId="1A4BCDF3">
      <w:pPr>
        <w:pStyle w:val="37"/>
        <w:spacing w:line="360" w:lineRule="auto"/>
        <w:ind w:firstLine="6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八、乙方在履行合同过程中贿赂甲方人员，被纪检监察、司法机关立案查处的，甲方有权</w:t>
      </w:r>
      <w:r>
        <w:rPr>
          <w:rFonts w:hint="eastAsia" w:ascii="仿宋" w:hAnsi="仿宋" w:eastAsia="仿宋" w:cs="仿宋"/>
          <w:color w:val="auto"/>
          <w:sz w:val="24"/>
          <w:szCs w:val="24"/>
          <w:highlight w:val="none"/>
          <w:lang w:eastAsia="zh-CN"/>
        </w:rPr>
        <w:t>终止</w:t>
      </w:r>
      <w:r>
        <w:rPr>
          <w:rFonts w:hint="eastAsia" w:ascii="仿宋" w:hAnsi="仿宋" w:eastAsia="仿宋" w:cs="仿宋"/>
          <w:color w:val="auto"/>
          <w:sz w:val="24"/>
          <w:szCs w:val="24"/>
          <w:highlight w:val="none"/>
        </w:rPr>
        <w:t xml:space="preserve">经济合同，由此给甲方造成的损失以及所发生的一切费用均由乙方承担。 </w:t>
      </w:r>
    </w:p>
    <w:p w14:paraId="4D065D43">
      <w:pPr>
        <w:pStyle w:val="37"/>
        <w:spacing w:line="360" w:lineRule="auto"/>
        <w:ind w:firstLine="62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九、本合同作为经济合同的附件，自甲乙双方签字后即生效。 </w:t>
      </w:r>
    </w:p>
    <w:p w14:paraId="62AADA67">
      <w:pPr>
        <w:pStyle w:val="37"/>
        <w:spacing w:line="360" w:lineRule="auto"/>
        <w:ind w:firstLine="6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十、本合同签订的份数与经济合同签订的份数相同，以随档审批和备查。 </w:t>
      </w:r>
    </w:p>
    <w:p w14:paraId="194BDBAE">
      <w:pPr>
        <w:pStyle w:val="37"/>
        <w:ind w:firstLine="620"/>
        <w:rPr>
          <w:rFonts w:hint="eastAsia" w:ascii="仿宋" w:hAnsi="仿宋" w:eastAsia="仿宋" w:cs="仿宋"/>
          <w:color w:val="auto"/>
          <w:sz w:val="24"/>
          <w:szCs w:val="24"/>
          <w:highlight w:val="none"/>
        </w:rPr>
      </w:pPr>
    </w:p>
    <w:p w14:paraId="3E31F1A1">
      <w:pPr>
        <w:pStyle w:val="37"/>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甲方单位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（公章）                     乙方单位：（公章） </w:t>
      </w:r>
    </w:p>
    <w:p w14:paraId="4F71A4DD">
      <w:pPr>
        <w:pStyle w:val="37"/>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甲方代表：                            乙方代表： </w:t>
      </w:r>
    </w:p>
    <w:p w14:paraId="26BD0E60">
      <w:pPr>
        <w:spacing w:line="480" w:lineRule="auto"/>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highlight w:val="none"/>
        </w:rPr>
        <w:t xml:space="preserve">时间：                                时间： </w:t>
      </w:r>
    </w:p>
    <w:p w14:paraId="57A88123">
      <w:pP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br w:type="page"/>
      </w:r>
    </w:p>
    <w:p w14:paraId="26AB5609">
      <w:pPr>
        <w:jc w:val="center"/>
        <w:outlineLvl w:val="0"/>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bookmarkStart w:id="347" w:name="_Toc31754"/>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t>第五章 投标文件参考格式</w:t>
      </w:r>
      <w:bookmarkEnd w:id="340"/>
      <w:bookmarkEnd w:id="341"/>
      <w:bookmarkEnd w:id="342"/>
      <w:bookmarkEnd w:id="347"/>
    </w:p>
    <w:p w14:paraId="07E2B00D">
      <w:pPr>
        <w:spacing w:line="360" w:lineRule="auto"/>
        <w:jc w:val="center"/>
        <w:rPr>
          <w:rFonts w:hint="eastAsia" w:ascii="仿宋" w:hAnsi="仿宋" w:eastAsia="仿宋" w:cs="仿宋"/>
          <w:color w:val="000000" w:themeColor="text1"/>
          <w:sz w:val="50"/>
          <w:szCs w:val="50"/>
          <w:highlight w:val="none"/>
          <w:u w:val="single"/>
          <w:lang w:eastAsia="zh-CN"/>
          <w14:textFill>
            <w14:solidFill>
              <w14:schemeClr w14:val="tx1"/>
            </w14:solidFill>
          </w14:textFill>
        </w:rPr>
      </w:pPr>
    </w:p>
    <w:p w14:paraId="355FA40B">
      <w:pPr>
        <w:spacing w:line="360" w:lineRule="auto"/>
        <w:jc w:val="center"/>
        <w:rPr>
          <w:rFonts w:hint="eastAsia" w:ascii="仿宋" w:hAnsi="仿宋" w:eastAsia="仿宋" w:cs="仿宋"/>
          <w:color w:val="000000" w:themeColor="text1"/>
          <w:sz w:val="50"/>
          <w:szCs w:val="50"/>
          <w:highlight w:val="none"/>
          <w:lang w:eastAsia="zh-CN"/>
          <w14:textFill>
            <w14:solidFill>
              <w14:schemeClr w14:val="tx1"/>
            </w14:solidFill>
          </w14:textFill>
        </w:rPr>
      </w:pPr>
      <w:r>
        <w:rPr>
          <w:rFonts w:hint="eastAsia" w:ascii="仿宋" w:hAnsi="仿宋" w:eastAsia="仿宋" w:cs="仿宋"/>
          <w:color w:val="000000" w:themeColor="text1"/>
          <w:sz w:val="50"/>
          <w:szCs w:val="50"/>
          <w:highlight w:val="none"/>
          <w:u w:val="single"/>
          <w:lang w:val="en-US" w:eastAsia="zh-CN"/>
          <w14:textFill>
            <w14:solidFill>
              <w14:schemeClr w14:val="tx1"/>
            </w14:solidFill>
          </w14:textFill>
        </w:rPr>
        <w:t>（包件名称）</w:t>
      </w:r>
    </w:p>
    <w:p w14:paraId="69913C5C">
      <w:pPr>
        <w:spacing w:line="360" w:lineRule="auto"/>
        <w:rPr>
          <w:rFonts w:hint="eastAsia" w:ascii="仿宋" w:hAnsi="仿宋" w:eastAsia="仿宋" w:cs="仿宋"/>
          <w:color w:val="000000" w:themeColor="text1"/>
          <w:highlight w:val="none"/>
          <w14:textFill>
            <w14:solidFill>
              <w14:schemeClr w14:val="tx1"/>
            </w14:solidFill>
          </w14:textFill>
        </w:rPr>
      </w:pPr>
    </w:p>
    <w:p w14:paraId="61A39632">
      <w:pPr>
        <w:spacing w:line="360" w:lineRule="auto"/>
        <w:rPr>
          <w:rFonts w:hint="eastAsia" w:ascii="仿宋" w:hAnsi="仿宋" w:eastAsia="仿宋" w:cs="仿宋"/>
          <w:color w:val="000000" w:themeColor="text1"/>
          <w:highlight w:val="none"/>
          <w14:textFill>
            <w14:solidFill>
              <w14:schemeClr w14:val="tx1"/>
            </w14:solidFill>
          </w14:textFill>
        </w:rPr>
      </w:pPr>
    </w:p>
    <w:p w14:paraId="50B4813D">
      <w:pPr>
        <w:spacing w:line="360" w:lineRule="auto"/>
        <w:rPr>
          <w:rFonts w:hint="eastAsia" w:ascii="仿宋" w:hAnsi="仿宋" w:eastAsia="仿宋" w:cs="仿宋"/>
          <w:color w:val="000000" w:themeColor="text1"/>
          <w:highlight w:val="none"/>
          <w14:textFill>
            <w14:solidFill>
              <w14:schemeClr w14:val="tx1"/>
            </w14:solidFill>
          </w14:textFill>
        </w:rPr>
      </w:pPr>
    </w:p>
    <w:p w14:paraId="3D56BE78">
      <w:pPr>
        <w:pStyle w:val="15"/>
        <w:spacing w:line="360" w:lineRule="auto"/>
        <w:jc w:val="center"/>
        <w:rPr>
          <w:rFonts w:hint="eastAsia" w:ascii="仿宋" w:hAnsi="仿宋" w:eastAsia="仿宋" w:cs="仿宋"/>
          <w:b/>
          <w:bCs/>
          <w:color w:val="000000" w:themeColor="text1"/>
          <w:kern w:val="0"/>
          <w:sz w:val="110"/>
          <w:szCs w:val="110"/>
          <w:highlight w:val="none"/>
          <w14:textFill>
            <w14:solidFill>
              <w14:schemeClr w14:val="tx1"/>
            </w14:solidFill>
          </w14:textFill>
        </w:rPr>
      </w:pPr>
      <w:r>
        <w:rPr>
          <w:rFonts w:hint="eastAsia" w:ascii="仿宋" w:hAnsi="仿宋" w:eastAsia="仿宋" w:cs="仿宋"/>
          <w:b/>
          <w:bCs/>
          <w:color w:val="000000" w:themeColor="text1"/>
          <w:kern w:val="0"/>
          <w:sz w:val="110"/>
          <w:szCs w:val="110"/>
          <w:highlight w:val="none"/>
          <w14:textFill>
            <w14:solidFill>
              <w14:schemeClr w14:val="tx1"/>
            </w14:solidFill>
          </w14:textFill>
        </w:rPr>
        <w:t>投 标 文 件</w:t>
      </w:r>
    </w:p>
    <w:p w14:paraId="46501BB0">
      <w:pPr>
        <w:pStyle w:val="15"/>
        <w:spacing w:line="360" w:lineRule="auto"/>
        <w:jc w:val="center"/>
        <w:rPr>
          <w:rFonts w:hint="eastAsia" w:ascii="仿宋" w:hAnsi="仿宋" w:eastAsia="仿宋" w:cs="仿宋"/>
          <w:b/>
          <w:bCs/>
          <w:color w:val="000000" w:themeColor="text1"/>
          <w:kern w:val="0"/>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kern w:val="0"/>
          <w:sz w:val="36"/>
          <w:szCs w:val="36"/>
          <w:highlight w:val="none"/>
          <w:lang w:val="en-US" w:eastAsia="zh-CN"/>
          <w14:textFill>
            <w14:solidFill>
              <w14:schemeClr w14:val="tx1"/>
            </w14:solidFill>
          </w14:textFill>
        </w:rPr>
        <w:t>包件编号</w:t>
      </w:r>
      <w:r>
        <w:rPr>
          <w:rFonts w:hint="eastAsia" w:ascii="仿宋" w:hAnsi="仿宋" w:eastAsia="仿宋" w:cs="仿宋"/>
          <w:b/>
          <w:bCs/>
          <w:color w:val="000000" w:themeColor="text1"/>
          <w:kern w:val="0"/>
          <w:sz w:val="36"/>
          <w:szCs w:val="36"/>
          <w:highlight w:val="none"/>
          <w14:textFill>
            <w14:solidFill>
              <w14:schemeClr w14:val="tx1"/>
            </w14:solidFill>
          </w14:textFill>
        </w:rPr>
        <w:t>：</w:t>
      </w:r>
      <w:r>
        <w:rPr>
          <w:rFonts w:hint="eastAsia" w:ascii="仿宋" w:hAnsi="仿宋" w:eastAsia="仿宋" w:cs="仿宋"/>
          <w:b/>
          <w:bCs/>
          <w:color w:val="000000" w:themeColor="text1"/>
          <w:kern w:val="0"/>
          <w:sz w:val="36"/>
          <w:szCs w:val="36"/>
          <w:highlight w:val="none"/>
          <w:lang w:val="en-US" w:eastAsia="zh-CN"/>
          <w14:textFill>
            <w14:solidFill>
              <w14:schemeClr w14:val="tx1"/>
            </w14:solidFill>
          </w14:textFill>
        </w:rPr>
        <w:t xml:space="preserve"> QJZC2026-G3-00586-yngl-0006</w:t>
      </w:r>
    </w:p>
    <w:p w14:paraId="7D1A8A9E">
      <w:pPr>
        <w:pStyle w:val="15"/>
        <w:spacing w:line="360" w:lineRule="auto"/>
        <w:jc w:val="center"/>
        <w:rPr>
          <w:rFonts w:hint="eastAsia" w:ascii="仿宋" w:hAnsi="仿宋" w:eastAsia="仿宋" w:cs="仿宋"/>
          <w:b/>
          <w:bCs/>
          <w:color w:val="000000" w:themeColor="text1"/>
          <w:kern w:val="0"/>
          <w:sz w:val="36"/>
          <w:szCs w:val="36"/>
          <w:highlight w:val="none"/>
          <w:u w:val="single"/>
          <w:lang w:eastAsia="zh-CN"/>
          <w14:textFill>
            <w14:solidFill>
              <w14:schemeClr w14:val="tx1"/>
            </w14:solidFill>
          </w14:textFill>
        </w:rPr>
      </w:pPr>
    </w:p>
    <w:p w14:paraId="402BE9F9">
      <w:pPr>
        <w:pStyle w:val="15"/>
        <w:spacing w:line="360" w:lineRule="auto"/>
        <w:ind w:firstLine="482" w:firstLineChars="200"/>
        <w:jc w:val="center"/>
        <w:rPr>
          <w:rFonts w:hint="eastAsia" w:ascii="仿宋" w:hAnsi="仿宋" w:eastAsia="仿宋" w:cs="仿宋"/>
          <w:b/>
          <w:color w:val="000000" w:themeColor="text1"/>
          <w:kern w:val="0"/>
          <w:sz w:val="24"/>
          <w:highlight w:val="none"/>
          <w14:textFill>
            <w14:solidFill>
              <w14:schemeClr w14:val="tx1"/>
            </w14:solidFill>
          </w14:textFill>
        </w:rPr>
      </w:pPr>
    </w:p>
    <w:p w14:paraId="14D057CC">
      <w:pPr>
        <w:pStyle w:val="15"/>
        <w:spacing w:line="360" w:lineRule="auto"/>
        <w:rPr>
          <w:rFonts w:hint="eastAsia" w:ascii="仿宋" w:hAnsi="仿宋" w:eastAsia="仿宋" w:cs="仿宋"/>
          <w:b/>
          <w:color w:val="000000" w:themeColor="text1"/>
          <w:kern w:val="0"/>
          <w:sz w:val="24"/>
          <w:highlight w:val="none"/>
          <w14:textFill>
            <w14:solidFill>
              <w14:schemeClr w14:val="tx1"/>
            </w14:solidFill>
          </w14:textFill>
        </w:rPr>
      </w:pPr>
    </w:p>
    <w:p w14:paraId="68338852">
      <w:pPr>
        <w:pStyle w:val="15"/>
        <w:spacing w:line="360" w:lineRule="auto"/>
        <w:rPr>
          <w:rFonts w:hint="eastAsia" w:ascii="仿宋" w:hAnsi="仿宋" w:eastAsia="仿宋" w:cs="仿宋"/>
          <w:b/>
          <w:color w:val="000000" w:themeColor="text1"/>
          <w:kern w:val="0"/>
          <w:sz w:val="24"/>
          <w:highlight w:val="none"/>
          <w14:textFill>
            <w14:solidFill>
              <w14:schemeClr w14:val="tx1"/>
            </w14:solidFill>
          </w14:textFill>
        </w:rPr>
      </w:pPr>
    </w:p>
    <w:p w14:paraId="0C625A72">
      <w:pPr>
        <w:pStyle w:val="15"/>
        <w:spacing w:line="360" w:lineRule="auto"/>
        <w:rPr>
          <w:rFonts w:hint="eastAsia" w:ascii="仿宋" w:hAnsi="仿宋" w:eastAsia="仿宋" w:cs="仿宋"/>
          <w:b/>
          <w:color w:val="000000" w:themeColor="text1"/>
          <w:kern w:val="0"/>
          <w:sz w:val="24"/>
          <w:highlight w:val="none"/>
          <w14:textFill>
            <w14:solidFill>
              <w14:schemeClr w14:val="tx1"/>
            </w14:solidFill>
          </w14:textFill>
        </w:rPr>
      </w:pPr>
    </w:p>
    <w:p w14:paraId="47EEF4B0">
      <w:pPr>
        <w:rPr>
          <w:rFonts w:hint="eastAsia" w:ascii="仿宋" w:hAnsi="仿宋" w:eastAsia="仿宋" w:cs="仿宋"/>
          <w:color w:val="000000" w:themeColor="text1"/>
          <w:highlight w:val="none"/>
          <w14:textFill>
            <w14:solidFill>
              <w14:schemeClr w14:val="tx1"/>
            </w14:solidFill>
          </w14:textFill>
        </w:rPr>
      </w:pPr>
    </w:p>
    <w:p w14:paraId="713C2565">
      <w:pPr>
        <w:rPr>
          <w:rFonts w:hint="eastAsia" w:ascii="仿宋" w:hAnsi="仿宋" w:eastAsia="仿宋" w:cs="仿宋"/>
          <w:color w:val="000000" w:themeColor="text1"/>
          <w:highlight w:val="none"/>
          <w14:textFill>
            <w14:solidFill>
              <w14:schemeClr w14:val="tx1"/>
            </w14:solidFill>
          </w14:textFill>
        </w:rPr>
      </w:pPr>
    </w:p>
    <w:p w14:paraId="2B7A6B47">
      <w:pPr>
        <w:rPr>
          <w:rFonts w:hint="eastAsia" w:ascii="仿宋" w:hAnsi="仿宋" w:eastAsia="仿宋" w:cs="仿宋"/>
          <w:color w:val="000000" w:themeColor="text1"/>
          <w:highlight w:val="none"/>
          <w14:textFill>
            <w14:solidFill>
              <w14:schemeClr w14:val="tx1"/>
            </w14:solidFill>
          </w14:textFill>
        </w:rPr>
      </w:pPr>
    </w:p>
    <w:p w14:paraId="245BDA7F">
      <w:pPr>
        <w:spacing w:line="600" w:lineRule="exact"/>
        <w:ind w:firstLine="562" w:firstLineChars="200"/>
        <w:rPr>
          <w:rFonts w:hint="eastAsia" w:ascii="仿宋" w:hAnsi="仿宋" w:eastAsia="仿宋" w:cs="仿宋"/>
          <w:b/>
          <w:bCs/>
          <w:color w:val="000000" w:themeColor="text1"/>
          <w:kern w:val="0"/>
          <w:sz w:val="28"/>
          <w:szCs w:val="28"/>
          <w:highlight w:val="none"/>
          <w:u w:val="singl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投标人全称：</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14:textFill>
            <w14:solidFill>
              <w14:schemeClr w14:val="tx1"/>
            </w14:solidFill>
          </w14:textFill>
        </w:rPr>
        <w:t>(</w:t>
      </w:r>
      <w:r>
        <w:rPr>
          <w:rFonts w:hint="eastAsia" w:ascii="仿宋" w:hAnsi="仿宋" w:eastAsia="仿宋" w:cs="仿宋"/>
          <w:b/>
          <w:bCs/>
          <w:color w:val="000000" w:themeColor="text1"/>
          <w:kern w:val="0"/>
          <w:sz w:val="28"/>
          <w:szCs w:val="28"/>
          <w:highlight w:val="none"/>
          <w:lang w:eastAsia="zh-CN"/>
          <w14:textFill>
            <w14:solidFill>
              <w14:schemeClr w14:val="tx1"/>
            </w14:solidFill>
          </w14:textFill>
        </w:rPr>
        <w:t>电子签章</w:t>
      </w:r>
      <w:r>
        <w:rPr>
          <w:rFonts w:hint="eastAsia" w:ascii="仿宋" w:hAnsi="仿宋" w:eastAsia="仿宋" w:cs="仿宋"/>
          <w:b/>
          <w:bCs/>
          <w:color w:val="000000" w:themeColor="text1"/>
          <w:kern w:val="0"/>
          <w:sz w:val="28"/>
          <w:szCs w:val="28"/>
          <w:highlight w:val="none"/>
          <w14:textFill>
            <w14:solidFill>
              <w14:schemeClr w14:val="tx1"/>
            </w14:solidFill>
          </w14:textFill>
        </w:rPr>
        <w:t>)</w:t>
      </w:r>
    </w:p>
    <w:p w14:paraId="45C45564">
      <w:pPr>
        <w:pStyle w:val="15"/>
        <w:spacing w:line="600" w:lineRule="exact"/>
        <w:ind w:firstLine="562" w:firstLineChars="200"/>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法定代表人</w:t>
      </w: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或授权委托人</w:t>
      </w:r>
      <w:r>
        <w:rPr>
          <w:rFonts w:hint="eastAsia" w:ascii="仿宋" w:hAnsi="仿宋" w:eastAsia="仿宋" w:cs="仿宋"/>
          <w:b/>
          <w:bCs/>
          <w:color w:val="000000" w:themeColor="text1"/>
          <w:kern w:val="0"/>
          <w:sz w:val="28"/>
          <w:szCs w:val="28"/>
          <w:highlight w:val="none"/>
          <w14:textFill>
            <w14:solidFill>
              <w14:schemeClr w14:val="tx1"/>
            </w14:solidFill>
          </w14:textFill>
        </w:rPr>
        <w:t>：</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14:textFill>
            <w14:solidFill>
              <w14:schemeClr w14:val="tx1"/>
            </w14:solidFill>
          </w14:textFill>
        </w:rPr>
        <w:t>（电子签章）</w:t>
      </w:r>
    </w:p>
    <w:p w14:paraId="2A2FFCDB">
      <w:pPr>
        <w:spacing w:line="600" w:lineRule="exact"/>
        <w:ind w:firstLine="562" w:firstLineChars="200"/>
        <w:rPr>
          <w:rFonts w:hint="eastAsia" w:ascii="仿宋" w:hAnsi="仿宋" w:eastAsia="仿宋" w:cs="仿宋"/>
          <w:b/>
          <w:bCs/>
          <w:color w:val="000000" w:themeColor="text1"/>
          <w:kern w:val="0"/>
          <w:sz w:val="28"/>
          <w:szCs w:val="28"/>
          <w:highlight w:val="none"/>
          <w:u w:val="singl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公司地址：</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p>
    <w:p w14:paraId="63E03044">
      <w:pPr>
        <w:spacing w:line="600" w:lineRule="exact"/>
        <w:ind w:firstLine="562" w:firstLineChars="200"/>
        <w:rPr>
          <w:rFonts w:hint="eastAsia" w:ascii="仿宋" w:hAnsi="仿宋" w:eastAsia="仿宋" w:cs="仿宋"/>
          <w:b/>
          <w:bCs/>
          <w:color w:val="000000" w:themeColor="text1"/>
          <w:kern w:val="0"/>
          <w:sz w:val="28"/>
          <w:szCs w:val="28"/>
          <w:highlight w:val="none"/>
          <w:u w:val="singl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联系人：</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14:textFill>
            <w14:solidFill>
              <w14:schemeClr w14:val="tx1"/>
            </w14:solidFill>
          </w14:textFill>
        </w:rPr>
        <w:t>联系电话：</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ab/>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p>
    <w:p w14:paraId="7F878F39">
      <w:pPr>
        <w:spacing w:line="600" w:lineRule="exact"/>
        <w:ind w:firstLine="562" w:firstLineChars="200"/>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日</w:t>
      </w: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14:textFill>
            <w14:solidFill>
              <w14:schemeClr w14:val="tx1"/>
            </w14:solidFill>
          </w14:textFill>
        </w:rPr>
        <w:t>期：</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14:textFill>
            <w14:solidFill>
              <w14:schemeClr w14:val="tx1"/>
            </w14:solidFill>
          </w14:textFill>
        </w:rPr>
        <w:t>年</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14:textFill>
            <w14:solidFill>
              <w14:schemeClr w14:val="tx1"/>
            </w14:solidFill>
          </w14:textFill>
        </w:rPr>
        <w:t>月</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kern w:val="0"/>
          <w:sz w:val="28"/>
          <w:szCs w:val="28"/>
          <w:highlight w:val="none"/>
          <w14:textFill>
            <w14:solidFill>
              <w14:schemeClr w14:val="tx1"/>
            </w14:solidFill>
          </w14:textFill>
        </w:rPr>
        <w:t>日</w:t>
      </w:r>
    </w:p>
    <w:p w14:paraId="4B4C8D42">
      <w:pPr>
        <w:spacing w:line="600" w:lineRule="exact"/>
        <w:rPr>
          <w:rFonts w:hint="eastAsia" w:ascii="仿宋" w:hAnsi="仿宋" w:eastAsia="仿宋" w:cs="仿宋"/>
          <w:b/>
          <w:bCs/>
          <w:color w:val="000000" w:themeColor="text1"/>
          <w:sz w:val="32"/>
          <w:szCs w:val="32"/>
          <w:highlight w:val="none"/>
          <w14:textFill>
            <w14:solidFill>
              <w14:schemeClr w14:val="tx1"/>
            </w14:solidFill>
          </w14:textFill>
        </w:rPr>
      </w:pPr>
    </w:p>
    <w:p w14:paraId="4770BF63">
      <w:pPr>
        <w:rPr>
          <w:rFonts w:hint="eastAsia" w:ascii="仿宋" w:hAnsi="仿宋" w:eastAsia="仿宋" w:cs="仿宋"/>
          <w:color w:val="000000" w:themeColor="text1"/>
          <w:sz w:val="32"/>
          <w:szCs w:val="32"/>
          <w:highlight w:val="none"/>
          <w14:textFill>
            <w14:solidFill>
              <w14:schemeClr w14:val="tx1"/>
            </w14:solidFill>
          </w14:textFill>
        </w:rPr>
      </w:pPr>
      <w:bookmarkStart w:id="348" w:name="_Toc66970031"/>
      <w:bookmarkStart w:id="349" w:name="_Toc85096168"/>
      <w:bookmarkStart w:id="350" w:name="_Toc23126"/>
      <w:r>
        <w:rPr>
          <w:rFonts w:hint="eastAsia" w:ascii="仿宋" w:hAnsi="仿宋" w:eastAsia="仿宋" w:cs="仿宋"/>
          <w:color w:val="000000" w:themeColor="text1"/>
          <w:sz w:val="32"/>
          <w:szCs w:val="32"/>
          <w:highlight w:val="none"/>
          <w14:textFill>
            <w14:solidFill>
              <w14:schemeClr w14:val="tx1"/>
            </w14:solidFill>
          </w14:textFill>
        </w:rPr>
        <w:br w:type="page"/>
      </w:r>
    </w:p>
    <w:p w14:paraId="2EB5FDC1">
      <w:pPr>
        <w:pStyle w:val="3"/>
        <w:numPr>
          <w:ilvl w:val="0"/>
          <w:numId w:val="0"/>
        </w:numPr>
        <w:tabs>
          <w:tab w:val="left" w:pos="360"/>
          <w:tab w:val="clear" w:pos="3999"/>
        </w:tabs>
        <w:spacing w:line="4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开标（唱标）一览表</w:t>
      </w:r>
      <w:bookmarkEnd w:id="348"/>
      <w:bookmarkEnd w:id="349"/>
      <w:bookmarkEnd w:id="350"/>
    </w:p>
    <w:p w14:paraId="37ECD979">
      <w:pPr>
        <w:pStyle w:val="15"/>
        <w:spacing w:line="600" w:lineRule="auto"/>
        <w:ind w:left="423" w:leftChars="-200" w:hanging="843" w:hangingChars="350"/>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包件名称：</w:t>
      </w:r>
    </w:p>
    <w:p w14:paraId="02728996">
      <w:pPr>
        <w:pStyle w:val="15"/>
        <w:spacing w:line="600" w:lineRule="auto"/>
        <w:ind w:left="423" w:leftChars="-200" w:hanging="843" w:hangingChars="35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包件编号</w:t>
      </w:r>
      <w:r>
        <w:rPr>
          <w:rFonts w:hint="eastAsia" w:ascii="仿宋" w:hAnsi="仿宋" w:eastAsia="仿宋" w:cs="仿宋"/>
          <w:b/>
          <w:color w:val="000000" w:themeColor="text1"/>
          <w:sz w:val="24"/>
          <w:highlight w:val="none"/>
          <w14:textFill>
            <w14:solidFill>
              <w14:schemeClr w14:val="tx1"/>
            </w14:solidFill>
          </w14:textFill>
        </w:rPr>
        <w:t xml:space="preserve">：                        </w:t>
      </w:r>
    </w:p>
    <w:tbl>
      <w:tblPr>
        <w:tblStyle w:val="2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145"/>
        <w:gridCol w:w="5235"/>
      </w:tblGrid>
      <w:tr w14:paraId="7D47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862" w:type="dxa"/>
            <w:noWrap w:val="0"/>
            <w:vAlign w:val="center"/>
          </w:tcPr>
          <w:p w14:paraId="1DB814FD">
            <w:pPr>
              <w:pStyle w:val="24"/>
              <w:widowControl w:val="0"/>
              <w:spacing w:before="0" w:beforeAutospacing="0" w:after="0" w:afterAutospacing="0"/>
              <w:jc w:val="center"/>
              <w:rPr>
                <w:rFonts w:hint="eastAsia" w:ascii="仿宋" w:hAnsi="仿宋" w:eastAsia="仿宋" w:cs="仿宋"/>
                <w:b/>
                <w:color w:val="000000" w:themeColor="text1"/>
                <w:kern w:val="2"/>
                <w:sz w:val="24"/>
                <w:highlight w:val="none"/>
                <w14:textFill>
                  <w14:solidFill>
                    <w14:schemeClr w14:val="tx1"/>
                  </w14:solidFill>
                </w14:textFill>
              </w:rPr>
            </w:pPr>
            <w:r>
              <w:rPr>
                <w:rFonts w:hint="eastAsia" w:ascii="仿宋" w:hAnsi="仿宋" w:eastAsia="仿宋" w:cs="仿宋"/>
                <w:b/>
                <w:color w:val="000000" w:themeColor="text1"/>
                <w:kern w:val="2"/>
                <w:sz w:val="24"/>
                <w:highlight w:val="none"/>
                <w14:textFill>
                  <w14:solidFill>
                    <w14:schemeClr w14:val="tx1"/>
                  </w14:solidFill>
                </w14:textFill>
              </w:rPr>
              <w:t>序号</w:t>
            </w:r>
          </w:p>
        </w:tc>
        <w:tc>
          <w:tcPr>
            <w:tcW w:w="3145" w:type="dxa"/>
            <w:noWrap w:val="0"/>
            <w:vAlign w:val="center"/>
          </w:tcPr>
          <w:p w14:paraId="20AD908D">
            <w:pPr>
              <w:pStyle w:val="24"/>
              <w:widowControl w:val="0"/>
              <w:spacing w:before="0" w:beforeAutospacing="0" w:after="0" w:afterAutospacing="0"/>
              <w:jc w:val="center"/>
              <w:rPr>
                <w:rFonts w:hint="eastAsia" w:ascii="仿宋" w:hAnsi="仿宋" w:eastAsia="仿宋" w:cs="仿宋"/>
                <w:b/>
                <w:color w:val="000000" w:themeColor="text1"/>
                <w:spacing w:val="-20"/>
                <w:sz w:val="24"/>
                <w:highlight w:val="none"/>
                <w14:textFill>
                  <w14:solidFill>
                    <w14:schemeClr w14:val="tx1"/>
                  </w14:solidFill>
                </w14:textFill>
              </w:rPr>
            </w:pPr>
            <w:r>
              <w:rPr>
                <w:rFonts w:hint="eastAsia" w:ascii="仿宋" w:hAnsi="仿宋" w:eastAsia="仿宋" w:cs="仿宋"/>
                <w:b/>
                <w:color w:val="000000" w:themeColor="text1"/>
                <w:kern w:val="2"/>
                <w:sz w:val="24"/>
                <w:highlight w:val="none"/>
                <w14:textFill>
                  <w14:solidFill>
                    <w14:schemeClr w14:val="tx1"/>
                  </w14:solidFill>
                </w14:textFill>
              </w:rPr>
              <w:t>项目</w:t>
            </w:r>
          </w:p>
        </w:tc>
        <w:tc>
          <w:tcPr>
            <w:tcW w:w="5235" w:type="dxa"/>
            <w:noWrap w:val="0"/>
            <w:vAlign w:val="center"/>
          </w:tcPr>
          <w:p w14:paraId="2702ECF6">
            <w:pPr>
              <w:pStyle w:val="24"/>
              <w:widowControl w:val="0"/>
              <w:spacing w:before="0" w:beforeAutospacing="0" w:after="0" w:afterAutospacing="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金额</w:t>
            </w:r>
          </w:p>
        </w:tc>
      </w:tr>
      <w:tr w14:paraId="7569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2" w:type="dxa"/>
            <w:noWrap w:val="0"/>
            <w:vAlign w:val="center"/>
          </w:tcPr>
          <w:p w14:paraId="1A7688B6">
            <w:pPr>
              <w:pStyle w:val="24"/>
              <w:widowControl w:val="0"/>
              <w:spacing w:before="0" w:beforeAutospacing="0" w:after="0" w:afterAutospacing="0"/>
              <w:jc w:val="center"/>
              <w:rPr>
                <w:rFonts w:hint="eastAsia" w:ascii="仿宋" w:hAnsi="仿宋" w:eastAsia="仿宋" w:cs="仿宋"/>
                <w:color w:val="000000" w:themeColor="text1"/>
                <w:kern w:val="2"/>
                <w:sz w:val="24"/>
                <w:highlight w:val="none"/>
                <w14:textFill>
                  <w14:solidFill>
                    <w14:schemeClr w14:val="tx1"/>
                  </w14:solidFill>
                </w14:textFill>
              </w:rPr>
            </w:pPr>
            <w:r>
              <w:rPr>
                <w:rFonts w:hint="eastAsia" w:ascii="仿宋" w:hAnsi="仿宋" w:eastAsia="仿宋" w:cs="仿宋"/>
                <w:color w:val="000000" w:themeColor="text1"/>
                <w:kern w:val="2"/>
                <w:sz w:val="24"/>
                <w:highlight w:val="none"/>
                <w14:textFill>
                  <w14:solidFill>
                    <w14:schemeClr w14:val="tx1"/>
                  </w14:solidFill>
                </w14:textFill>
              </w:rPr>
              <w:t>1</w:t>
            </w:r>
          </w:p>
        </w:tc>
        <w:tc>
          <w:tcPr>
            <w:tcW w:w="3145" w:type="dxa"/>
            <w:noWrap w:val="0"/>
            <w:vAlign w:val="center"/>
          </w:tcPr>
          <w:p w14:paraId="7AC4F631">
            <w:pPr>
              <w:pStyle w:val="24"/>
              <w:widowControl w:val="0"/>
              <w:spacing w:before="0" w:beforeAutospacing="0" w:after="0" w:afterAutospacing="0"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投标批次</w:t>
            </w:r>
          </w:p>
        </w:tc>
        <w:tc>
          <w:tcPr>
            <w:tcW w:w="5235" w:type="dxa"/>
            <w:noWrap w:val="0"/>
            <w:vAlign w:val="center"/>
          </w:tcPr>
          <w:p w14:paraId="5C458492">
            <w:pPr>
              <w:pStyle w:val="24"/>
              <w:widowControl w:val="0"/>
              <w:spacing w:before="0" w:beforeAutospacing="0" w:after="0" w:afterAutospacing="0" w:line="360" w:lineRule="auto"/>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抽检：</w:t>
            </w:r>
            <w:r>
              <w:rPr>
                <w:rFonts w:hint="eastAsia" w:ascii="仿宋" w:hAnsi="仿宋" w:eastAsia="仿宋" w:cs="仿宋"/>
                <w:color w:val="000000" w:themeColor="text1"/>
                <w:sz w:val="24"/>
                <w:highlight w:val="none"/>
                <w:u w:val="none"/>
                <w:lang w:val="en-US" w:eastAsia="zh-CN"/>
                <w14:textFill>
                  <w14:solidFill>
                    <w14:schemeClr w14:val="tx1"/>
                  </w14:solidFill>
                </w14:textFill>
              </w:rPr>
              <w:t xml:space="preserve">         批次</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2DE91650">
            <w:pPr>
              <w:pStyle w:val="24"/>
              <w:widowControl w:val="0"/>
              <w:spacing w:before="0" w:beforeAutospacing="0" w:after="0" w:afterAutospacing="0" w:line="360" w:lineRule="auto"/>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快检：         </w:t>
            </w:r>
            <w:r>
              <w:rPr>
                <w:rFonts w:hint="eastAsia" w:ascii="仿宋" w:hAnsi="仿宋" w:eastAsia="仿宋" w:cs="仿宋"/>
                <w:color w:val="000000" w:themeColor="text1"/>
                <w:sz w:val="24"/>
                <w:highlight w:val="none"/>
                <w:u w:val="none"/>
                <w:lang w:val="en-US" w:eastAsia="zh-CN"/>
                <w14:textFill>
                  <w14:solidFill>
                    <w14:schemeClr w14:val="tx1"/>
                  </w14:solidFill>
                </w14:textFill>
              </w:rPr>
              <w:t>批次</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214E0C8D">
            <w:pPr>
              <w:pStyle w:val="24"/>
              <w:widowControl w:val="0"/>
              <w:spacing w:before="0" w:beforeAutospacing="0" w:after="0" w:afterAutospacing="0" w:line="360" w:lineRule="auto"/>
              <w:ind w:firstLine="240" w:firstLineChars="100"/>
              <w:jc w:val="both"/>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合计：         批次。</w:t>
            </w:r>
          </w:p>
        </w:tc>
      </w:tr>
      <w:tr w14:paraId="03FC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2" w:type="dxa"/>
            <w:noWrap w:val="0"/>
            <w:vAlign w:val="center"/>
          </w:tcPr>
          <w:p w14:paraId="46821CF2">
            <w:pPr>
              <w:pStyle w:val="24"/>
              <w:widowControl w:val="0"/>
              <w:spacing w:before="0" w:beforeAutospacing="0" w:after="0" w:afterAutospacing="0"/>
              <w:jc w:val="center"/>
              <w:rPr>
                <w:rFonts w:hint="eastAsia" w:ascii="仿宋" w:hAnsi="仿宋" w:eastAsia="仿宋" w:cs="仿宋"/>
                <w:color w:val="000000" w:themeColor="text1"/>
                <w:kern w:val="2"/>
                <w:sz w:val="24"/>
                <w:highlight w:val="none"/>
                <w14:textFill>
                  <w14:solidFill>
                    <w14:schemeClr w14:val="tx1"/>
                  </w14:solidFill>
                </w14:textFill>
              </w:rPr>
            </w:pPr>
            <w:r>
              <w:rPr>
                <w:rFonts w:hint="eastAsia" w:ascii="仿宋" w:hAnsi="仿宋" w:eastAsia="仿宋" w:cs="仿宋"/>
                <w:color w:val="000000" w:themeColor="text1"/>
                <w:kern w:val="2"/>
                <w:sz w:val="24"/>
                <w:highlight w:val="none"/>
                <w14:textFill>
                  <w14:solidFill>
                    <w14:schemeClr w14:val="tx1"/>
                  </w14:solidFill>
                </w14:textFill>
              </w:rPr>
              <w:t>2</w:t>
            </w:r>
          </w:p>
        </w:tc>
        <w:tc>
          <w:tcPr>
            <w:tcW w:w="3145" w:type="dxa"/>
            <w:noWrap w:val="0"/>
            <w:vAlign w:val="center"/>
          </w:tcPr>
          <w:p w14:paraId="399B0BE9">
            <w:pPr>
              <w:pStyle w:val="24"/>
              <w:widowControl w:val="0"/>
              <w:spacing w:before="0" w:beforeAutospacing="0" w:after="0" w:afterAutospacing="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合同履行期限</w:t>
            </w:r>
          </w:p>
        </w:tc>
        <w:tc>
          <w:tcPr>
            <w:tcW w:w="5235" w:type="dxa"/>
            <w:noWrap w:val="0"/>
            <w:vAlign w:val="center"/>
          </w:tcPr>
          <w:p w14:paraId="315806BF">
            <w:pPr>
              <w:widowControl/>
              <w:jc w:val="left"/>
              <w:rPr>
                <w:rFonts w:hint="eastAsia" w:ascii="仿宋" w:hAnsi="仿宋" w:eastAsia="仿宋" w:cs="仿宋"/>
                <w:color w:val="000000" w:themeColor="text1"/>
                <w:sz w:val="24"/>
                <w:highlight w:val="none"/>
                <w14:textFill>
                  <w14:solidFill>
                    <w14:schemeClr w14:val="tx1"/>
                  </w14:solidFill>
                </w14:textFill>
              </w:rPr>
            </w:pPr>
          </w:p>
        </w:tc>
      </w:tr>
      <w:tr w14:paraId="0A17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2" w:type="dxa"/>
            <w:noWrap w:val="0"/>
            <w:vAlign w:val="center"/>
          </w:tcPr>
          <w:p w14:paraId="2E5D2E10">
            <w:pPr>
              <w:pStyle w:val="24"/>
              <w:widowControl w:val="0"/>
              <w:spacing w:before="0" w:beforeAutospacing="0" w:after="0" w:afterAutospacing="0"/>
              <w:jc w:val="center"/>
              <w:rPr>
                <w:rFonts w:hint="eastAsia" w:ascii="仿宋" w:hAnsi="仿宋" w:eastAsia="仿宋" w:cs="仿宋"/>
                <w:color w:val="000000" w:themeColor="text1"/>
                <w:kern w:val="2"/>
                <w:sz w:val="24"/>
                <w:highlight w:val="none"/>
                <w14:textFill>
                  <w14:solidFill>
                    <w14:schemeClr w14:val="tx1"/>
                  </w14:solidFill>
                </w14:textFill>
              </w:rPr>
            </w:pPr>
            <w:r>
              <w:rPr>
                <w:rFonts w:hint="eastAsia" w:ascii="仿宋" w:hAnsi="仿宋" w:eastAsia="仿宋" w:cs="仿宋"/>
                <w:color w:val="000000" w:themeColor="text1"/>
                <w:kern w:val="2"/>
                <w:sz w:val="24"/>
                <w:highlight w:val="none"/>
                <w14:textFill>
                  <w14:solidFill>
                    <w14:schemeClr w14:val="tx1"/>
                  </w14:solidFill>
                </w14:textFill>
              </w:rPr>
              <w:t>3</w:t>
            </w:r>
          </w:p>
        </w:tc>
        <w:tc>
          <w:tcPr>
            <w:tcW w:w="3145" w:type="dxa"/>
            <w:noWrap w:val="0"/>
            <w:vAlign w:val="center"/>
          </w:tcPr>
          <w:p w14:paraId="09180C0E">
            <w:pPr>
              <w:pStyle w:val="24"/>
              <w:widowControl w:val="0"/>
              <w:spacing w:before="0" w:beforeAutospacing="0" w:after="0" w:afterAutospacing="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质量承诺</w:t>
            </w:r>
          </w:p>
        </w:tc>
        <w:tc>
          <w:tcPr>
            <w:tcW w:w="5235" w:type="dxa"/>
            <w:noWrap w:val="0"/>
            <w:vAlign w:val="center"/>
          </w:tcPr>
          <w:p w14:paraId="2D01D14A">
            <w:pPr>
              <w:pStyle w:val="24"/>
              <w:widowControl w:val="0"/>
              <w:spacing w:before="0" w:beforeAutospacing="0" w:after="0" w:afterAutospacing="0"/>
              <w:jc w:val="both"/>
              <w:rPr>
                <w:rFonts w:hint="eastAsia" w:ascii="仿宋" w:hAnsi="仿宋" w:eastAsia="仿宋" w:cs="仿宋"/>
                <w:color w:val="000000" w:themeColor="text1"/>
                <w:kern w:val="2"/>
                <w:sz w:val="24"/>
                <w:highlight w:val="none"/>
                <w14:textFill>
                  <w14:solidFill>
                    <w14:schemeClr w14:val="tx1"/>
                  </w14:solidFill>
                </w14:textFill>
              </w:rPr>
            </w:pPr>
          </w:p>
        </w:tc>
      </w:tr>
      <w:tr w14:paraId="3182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2" w:type="dxa"/>
            <w:noWrap w:val="0"/>
            <w:vAlign w:val="center"/>
          </w:tcPr>
          <w:p w14:paraId="53741519">
            <w:pPr>
              <w:pStyle w:val="24"/>
              <w:widowControl w:val="0"/>
              <w:spacing w:before="0" w:beforeAutospacing="0" w:after="0" w:afterAutospacing="0"/>
              <w:jc w:val="center"/>
              <w:rPr>
                <w:rFonts w:hint="eastAsia" w:ascii="仿宋" w:hAnsi="仿宋" w:eastAsia="仿宋" w:cs="仿宋"/>
                <w:color w:val="000000" w:themeColor="text1"/>
                <w:kern w:val="2"/>
                <w:sz w:val="24"/>
                <w:highlight w:val="none"/>
                <w14:textFill>
                  <w14:solidFill>
                    <w14:schemeClr w14:val="tx1"/>
                  </w14:solidFill>
                </w14:textFill>
              </w:rPr>
            </w:pPr>
            <w:r>
              <w:rPr>
                <w:rFonts w:hint="eastAsia" w:ascii="仿宋" w:hAnsi="仿宋" w:eastAsia="仿宋" w:cs="仿宋"/>
                <w:color w:val="000000" w:themeColor="text1"/>
                <w:kern w:val="2"/>
                <w:sz w:val="24"/>
                <w:highlight w:val="none"/>
                <w:lang w:val="en-US" w:eastAsia="zh-CN"/>
                <w14:textFill>
                  <w14:solidFill>
                    <w14:schemeClr w14:val="tx1"/>
                  </w14:solidFill>
                </w14:textFill>
              </w:rPr>
              <w:t>4</w:t>
            </w:r>
          </w:p>
        </w:tc>
        <w:tc>
          <w:tcPr>
            <w:tcW w:w="3145" w:type="dxa"/>
            <w:noWrap w:val="0"/>
            <w:vAlign w:val="center"/>
          </w:tcPr>
          <w:p w14:paraId="2E8A47AF">
            <w:pPr>
              <w:pStyle w:val="24"/>
              <w:widowControl w:val="0"/>
              <w:spacing w:before="0" w:beforeAutospacing="0" w:after="0" w:afterAutospacing="0"/>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服务地点</w:t>
            </w:r>
          </w:p>
        </w:tc>
        <w:tc>
          <w:tcPr>
            <w:tcW w:w="5235" w:type="dxa"/>
            <w:noWrap w:val="0"/>
            <w:vAlign w:val="center"/>
          </w:tcPr>
          <w:p w14:paraId="6F4FC04A">
            <w:pPr>
              <w:pStyle w:val="24"/>
              <w:widowControl w:val="0"/>
              <w:spacing w:before="0" w:beforeAutospacing="0" w:after="0" w:afterAutospacing="0"/>
              <w:jc w:val="both"/>
              <w:rPr>
                <w:rFonts w:hint="eastAsia" w:ascii="仿宋" w:hAnsi="仿宋" w:eastAsia="仿宋" w:cs="仿宋"/>
                <w:color w:val="000000" w:themeColor="text1"/>
                <w:kern w:val="2"/>
                <w:sz w:val="24"/>
                <w:highlight w:val="none"/>
                <w14:textFill>
                  <w14:solidFill>
                    <w14:schemeClr w14:val="tx1"/>
                  </w14:solidFill>
                </w14:textFill>
              </w:rPr>
            </w:pPr>
          </w:p>
        </w:tc>
      </w:tr>
      <w:tr w14:paraId="0311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2" w:type="dxa"/>
            <w:noWrap w:val="0"/>
            <w:vAlign w:val="center"/>
          </w:tcPr>
          <w:p w14:paraId="211115FC">
            <w:pPr>
              <w:pStyle w:val="24"/>
              <w:widowControl w:val="0"/>
              <w:spacing w:before="0" w:beforeAutospacing="0" w:after="0" w:afterAutospacing="0"/>
              <w:jc w:val="center"/>
              <w:rPr>
                <w:rFonts w:hint="eastAsia" w:ascii="仿宋" w:hAnsi="仿宋" w:eastAsia="仿宋" w:cs="仿宋"/>
                <w:color w:val="000000" w:themeColor="text1"/>
                <w:kern w:val="2"/>
                <w:sz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highlight w:val="none"/>
                <w:lang w:val="en-US" w:eastAsia="zh-CN"/>
                <w14:textFill>
                  <w14:solidFill>
                    <w14:schemeClr w14:val="tx1"/>
                  </w14:solidFill>
                </w14:textFill>
              </w:rPr>
              <w:t>5</w:t>
            </w:r>
          </w:p>
        </w:tc>
        <w:tc>
          <w:tcPr>
            <w:tcW w:w="3145" w:type="dxa"/>
            <w:noWrap w:val="0"/>
            <w:vAlign w:val="center"/>
          </w:tcPr>
          <w:p w14:paraId="2612BAF2">
            <w:pPr>
              <w:pStyle w:val="24"/>
              <w:widowControl w:val="0"/>
              <w:spacing w:before="0" w:beforeAutospacing="0" w:after="0" w:afterAutospacing="0"/>
              <w:jc w:val="center"/>
              <w:rPr>
                <w:rFonts w:hint="eastAsia" w:ascii="仿宋" w:hAnsi="仿宋" w:eastAsia="仿宋" w:cs="仿宋"/>
                <w:color w:val="000000" w:themeColor="text1"/>
                <w:kern w:val="2"/>
                <w:sz w:val="24"/>
                <w:highlight w:val="none"/>
                <w14:textFill>
                  <w14:solidFill>
                    <w14:schemeClr w14:val="tx1"/>
                  </w14:solidFill>
                </w14:textFill>
              </w:rPr>
            </w:pPr>
            <w:r>
              <w:rPr>
                <w:rFonts w:hint="eastAsia" w:ascii="仿宋" w:hAnsi="仿宋" w:eastAsia="仿宋" w:cs="仿宋"/>
                <w:color w:val="000000" w:themeColor="text1"/>
                <w:kern w:val="2"/>
                <w:sz w:val="24"/>
                <w:highlight w:val="none"/>
                <w14:textFill>
                  <w14:solidFill>
                    <w14:schemeClr w14:val="tx1"/>
                  </w14:solidFill>
                </w14:textFill>
              </w:rPr>
              <w:t>备</w:t>
            </w:r>
            <w:r>
              <w:rPr>
                <w:rFonts w:hint="eastAsia" w:ascii="仿宋" w:hAnsi="仿宋" w:eastAsia="仿宋" w:cs="仿宋"/>
                <w:color w:val="000000" w:themeColor="text1"/>
                <w:kern w:val="2"/>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2"/>
                <w:sz w:val="24"/>
                <w:highlight w:val="none"/>
                <w14:textFill>
                  <w14:solidFill>
                    <w14:schemeClr w14:val="tx1"/>
                  </w14:solidFill>
                </w14:textFill>
              </w:rPr>
              <w:t>注</w:t>
            </w:r>
          </w:p>
        </w:tc>
        <w:tc>
          <w:tcPr>
            <w:tcW w:w="5235" w:type="dxa"/>
            <w:noWrap w:val="0"/>
            <w:vAlign w:val="center"/>
          </w:tcPr>
          <w:p w14:paraId="63D6DBF9">
            <w:pPr>
              <w:spacing w:line="460" w:lineRule="exact"/>
              <w:rPr>
                <w:rFonts w:hint="eastAsia" w:ascii="仿宋" w:hAnsi="仿宋" w:eastAsia="仿宋" w:cs="仿宋"/>
                <w:color w:val="000000" w:themeColor="text1"/>
                <w:sz w:val="24"/>
                <w:highlight w:val="none"/>
                <w14:textFill>
                  <w14:solidFill>
                    <w14:schemeClr w14:val="tx1"/>
                  </w14:solidFill>
                </w14:textFill>
              </w:rPr>
            </w:pPr>
          </w:p>
        </w:tc>
      </w:tr>
    </w:tbl>
    <w:p w14:paraId="703FAE77">
      <w:pPr>
        <w:pStyle w:val="15"/>
        <w:spacing w:line="360" w:lineRule="auto"/>
        <w:ind w:left="420" w:leftChars="200"/>
        <w:jc w:val="left"/>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kern w:val="0"/>
          <w:sz w:val="24"/>
          <w:szCs w:val="24"/>
          <w:highlight w:val="none"/>
          <w14:textFill>
            <w14:solidFill>
              <w14:schemeClr w14:val="tx1"/>
            </w14:solidFill>
          </w14:textFill>
        </w:rPr>
        <w:t>注：</w:t>
      </w:r>
      <w:r>
        <w:rPr>
          <w:rFonts w:hint="eastAsia" w:ascii="仿宋" w:hAnsi="仿宋" w:eastAsia="仿宋" w:cs="仿宋"/>
          <w:b/>
          <w:bCs w:val="0"/>
          <w:color w:val="000000" w:themeColor="text1"/>
          <w:sz w:val="24"/>
          <w:szCs w:val="24"/>
          <w:highlight w:val="none"/>
          <w14:textFill>
            <w14:solidFill>
              <w14:schemeClr w14:val="tx1"/>
            </w14:solidFill>
          </w14:textFill>
        </w:rPr>
        <w:t>投标</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批次为抽检批次与快件批次的合计，抽检批次和快件批次不得低于每项的最低批次数量，否则按废标处理</w:t>
      </w:r>
      <w:r>
        <w:rPr>
          <w:rFonts w:hint="eastAsia" w:ascii="仿宋" w:hAnsi="仿宋" w:eastAsia="仿宋" w:cs="仿宋"/>
          <w:b/>
          <w:bCs w:val="0"/>
          <w:color w:val="000000" w:themeColor="text1"/>
          <w:sz w:val="24"/>
          <w:szCs w:val="24"/>
          <w:highlight w:val="none"/>
          <w14:textFill>
            <w14:solidFill>
              <w14:schemeClr w14:val="tx1"/>
            </w14:solidFill>
          </w14:textFill>
        </w:rPr>
        <w:t>。</w:t>
      </w:r>
    </w:p>
    <w:p w14:paraId="7B886EAC">
      <w:pPr>
        <w:rPr>
          <w:rFonts w:hint="eastAsia" w:ascii="仿宋" w:hAnsi="仿宋" w:eastAsia="仿宋" w:cs="仿宋"/>
          <w:color w:val="000000" w:themeColor="text1"/>
          <w:sz w:val="24"/>
          <w:highlight w:val="none"/>
          <w14:textFill>
            <w14:solidFill>
              <w14:schemeClr w14:val="tx1"/>
            </w14:solidFill>
          </w14:textFill>
        </w:rPr>
      </w:pPr>
    </w:p>
    <w:p w14:paraId="6AC0A4AF">
      <w:pPr>
        <w:pStyle w:val="15"/>
        <w:spacing w:line="560" w:lineRule="exact"/>
        <w:rPr>
          <w:rFonts w:hint="eastAsia" w:ascii="仿宋" w:hAnsi="仿宋" w:eastAsia="仿宋" w:cs="仿宋"/>
          <w:color w:val="000000" w:themeColor="text1"/>
          <w:sz w:val="24"/>
          <w:szCs w:val="24"/>
          <w:highlight w:val="none"/>
          <w14:textFill>
            <w14:solidFill>
              <w14:schemeClr w14:val="tx1"/>
            </w14:solidFill>
          </w14:textFill>
        </w:rPr>
      </w:pPr>
    </w:p>
    <w:p w14:paraId="0261CF2C">
      <w:pPr>
        <w:pStyle w:val="15"/>
        <w:spacing w:line="560" w:lineRule="exact"/>
        <w:rPr>
          <w:rFonts w:hint="eastAsia" w:ascii="仿宋" w:hAnsi="仿宋" w:eastAsia="仿宋" w:cs="仿宋"/>
          <w:color w:val="000000" w:themeColor="text1"/>
          <w:sz w:val="24"/>
          <w:szCs w:val="24"/>
          <w:highlight w:val="none"/>
          <w14:textFill>
            <w14:solidFill>
              <w14:schemeClr w14:val="tx1"/>
            </w14:solidFill>
          </w14:textFill>
        </w:rPr>
      </w:pPr>
    </w:p>
    <w:p w14:paraId="1BEECAF7">
      <w:pPr>
        <w:pStyle w:val="15"/>
        <w:spacing w:line="560" w:lineRule="exact"/>
        <w:rPr>
          <w:rFonts w:hint="eastAsia" w:ascii="仿宋" w:hAnsi="仿宋" w:eastAsia="仿宋" w:cs="仿宋"/>
          <w:color w:val="000000" w:themeColor="text1"/>
          <w:sz w:val="24"/>
          <w:szCs w:val="24"/>
          <w:highlight w:val="none"/>
          <w14:textFill>
            <w14:solidFill>
              <w14:schemeClr w14:val="tx1"/>
            </w14:solidFill>
          </w14:textFill>
        </w:rPr>
      </w:pPr>
    </w:p>
    <w:p w14:paraId="10C2AAA2">
      <w:pPr>
        <w:pStyle w:val="15"/>
        <w:spacing w:line="56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投标人全称：</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58B54958">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（电子签章）</w:t>
      </w:r>
    </w:p>
    <w:p w14:paraId="43412413">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0D59CA5E">
      <w:pPr>
        <w:widowControl/>
        <w:jc w:val="center"/>
        <w:outlineLvl w:val="1"/>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bookmarkStart w:id="351" w:name="_Toc85096169"/>
      <w:r>
        <w:rPr>
          <w:rFonts w:hint="eastAsia" w:ascii="仿宋" w:hAnsi="仿宋" w:eastAsia="仿宋" w:cs="仿宋"/>
          <w:b/>
          <w:color w:val="000000" w:themeColor="text1"/>
          <w:sz w:val="32"/>
          <w:szCs w:val="32"/>
          <w:highlight w:val="none"/>
          <w14:textFill>
            <w14:solidFill>
              <w14:schemeClr w14:val="tx1"/>
            </w14:solidFill>
          </w14:textFill>
        </w:rPr>
        <w:t>目  录</w:t>
      </w:r>
      <w:bookmarkEnd w:id="351"/>
    </w:p>
    <w:p w14:paraId="7EC7343B">
      <w:pPr>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352" w:name="_Toc438160899"/>
      <w:bookmarkStart w:id="353" w:name="_Toc415745006"/>
      <w:bookmarkStart w:id="354" w:name="_Toc19361"/>
      <w:bookmarkStart w:id="355" w:name="_Toc431280096"/>
      <w:bookmarkStart w:id="356" w:name="_Toc493494622"/>
      <w:bookmarkStart w:id="357" w:name="_Toc431279932"/>
      <w:bookmarkStart w:id="358" w:name="_Toc11309"/>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投标人根据采购文件内容自行拟定目录并编制页码</w:t>
      </w:r>
    </w:p>
    <w:p w14:paraId="699F306F">
      <w:pP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14:paraId="6648B98F">
      <w:pPr>
        <w:spacing w:line="360" w:lineRule="auto"/>
        <w:ind w:firstLine="480"/>
        <w:rPr>
          <w:rFonts w:hint="eastAsia" w:ascii="仿宋" w:hAnsi="仿宋" w:eastAsia="仿宋" w:cs="仿宋"/>
          <w:color w:val="000000" w:themeColor="text1"/>
          <w:highlight w:val="none"/>
          <w14:textFill>
            <w14:solidFill>
              <w14:schemeClr w14:val="tx1"/>
            </w14:solidFill>
          </w14:textFill>
        </w:rPr>
      </w:pPr>
      <w:bookmarkStart w:id="359" w:name="_Toc85096170"/>
      <w:bookmarkStart w:id="360" w:name="_Toc17382"/>
    </w:p>
    <w:p w14:paraId="62FAEF31">
      <w:pPr>
        <w:rPr>
          <w:rFonts w:hint="eastAsia" w:ascii="仿宋" w:hAnsi="仿宋" w:eastAsia="仿宋" w:cs="仿宋"/>
          <w:color w:val="000000" w:themeColor="text1"/>
          <w:highlight w:val="none"/>
          <w14:textFill>
            <w14:solidFill>
              <w14:schemeClr w14:val="tx1"/>
            </w14:solidFill>
          </w14:textFill>
        </w:rPr>
      </w:pPr>
    </w:p>
    <w:p w14:paraId="38002E16">
      <w:pPr>
        <w:pStyle w:val="11"/>
        <w:rPr>
          <w:rFonts w:hint="eastAsia" w:ascii="仿宋" w:hAnsi="仿宋" w:eastAsia="仿宋" w:cs="仿宋"/>
          <w:color w:val="000000" w:themeColor="text1"/>
          <w:highlight w:val="none"/>
          <w14:textFill>
            <w14:solidFill>
              <w14:schemeClr w14:val="tx1"/>
            </w14:solidFill>
          </w14:textFill>
        </w:rPr>
      </w:pPr>
    </w:p>
    <w:p w14:paraId="6C8119C5">
      <w:pPr>
        <w:rPr>
          <w:rFonts w:hint="eastAsia" w:ascii="仿宋" w:hAnsi="仿宋" w:eastAsia="仿宋" w:cs="仿宋"/>
          <w:color w:val="000000" w:themeColor="text1"/>
          <w:highlight w:val="none"/>
          <w14:textFill>
            <w14:solidFill>
              <w14:schemeClr w14:val="tx1"/>
            </w14:solidFill>
          </w14:textFill>
        </w:rPr>
      </w:pPr>
    </w:p>
    <w:p w14:paraId="15F5B553">
      <w:pPr>
        <w:pStyle w:val="11"/>
        <w:jc w:val="center"/>
        <w:rPr>
          <w:rFonts w:hint="eastAsia" w:ascii="仿宋" w:hAnsi="仿宋" w:eastAsia="仿宋" w:cs="仿宋"/>
          <w:color w:val="000000" w:themeColor="text1"/>
          <w:highlight w:val="none"/>
          <w14:textFill>
            <w14:solidFill>
              <w14:schemeClr w14:val="tx1"/>
            </w14:solidFill>
          </w14:textFill>
        </w:rPr>
      </w:pPr>
    </w:p>
    <w:p w14:paraId="743E2190">
      <w:pPr>
        <w:rPr>
          <w:rFonts w:hint="eastAsia" w:ascii="仿宋" w:hAnsi="仿宋" w:eastAsia="仿宋" w:cs="仿宋"/>
          <w:color w:val="000000" w:themeColor="text1"/>
          <w:highlight w:val="none"/>
          <w14:textFill>
            <w14:solidFill>
              <w14:schemeClr w14:val="tx1"/>
            </w14:solidFill>
          </w14:textFill>
        </w:rPr>
      </w:pPr>
    </w:p>
    <w:p w14:paraId="38BAD91B">
      <w:pPr>
        <w:rPr>
          <w:rFonts w:hint="eastAsia" w:ascii="仿宋" w:hAnsi="仿宋" w:eastAsia="仿宋" w:cs="仿宋"/>
          <w:color w:val="000000" w:themeColor="text1"/>
          <w:highlight w:val="none"/>
          <w14:textFill>
            <w14:solidFill>
              <w14:schemeClr w14:val="tx1"/>
            </w14:solidFill>
          </w14:textFill>
        </w:rPr>
      </w:pPr>
    </w:p>
    <w:p w14:paraId="4B26B0E6">
      <w:pPr>
        <w:rPr>
          <w:rFonts w:hint="eastAsia" w:ascii="仿宋" w:hAnsi="仿宋" w:eastAsia="仿宋" w:cs="仿宋"/>
          <w:color w:val="000000" w:themeColor="text1"/>
          <w:highlight w:val="none"/>
          <w14:textFill>
            <w14:solidFill>
              <w14:schemeClr w14:val="tx1"/>
            </w14:solidFill>
          </w14:textFill>
        </w:rPr>
      </w:pPr>
    </w:p>
    <w:p w14:paraId="15F332EB">
      <w:pPr>
        <w:rPr>
          <w:rFonts w:hint="eastAsia" w:ascii="仿宋" w:hAnsi="仿宋" w:eastAsia="仿宋" w:cs="仿宋"/>
          <w:color w:val="000000" w:themeColor="text1"/>
          <w:highlight w:val="none"/>
          <w14:textFill>
            <w14:solidFill>
              <w14:schemeClr w14:val="tx1"/>
            </w14:solidFill>
          </w14:textFill>
        </w:rPr>
      </w:pPr>
    </w:p>
    <w:p w14:paraId="3FF7FFDD">
      <w:pPr>
        <w:rPr>
          <w:rFonts w:hint="eastAsia" w:ascii="仿宋" w:hAnsi="仿宋" w:eastAsia="仿宋" w:cs="仿宋"/>
          <w:color w:val="000000" w:themeColor="text1"/>
          <w:highlight w:val="none"/>
          <w14:textFill>
            <w14:solidFill>
              <w14:schemeClr w14:val="tx1"/>
            </w14:solidFill>
          </w14:textFill>
        </w:rPr>
      </w:pPr>
    </w:p>
    <w:p w14:paraId="5F99ECD4">
      <w:pPr>
        <w:rPr>
          <w:rFonts w:hint="eastAsia" w:ascii="仿宋" w:hAnsi="仿宋" w:eastAsia="仿宋" w:cs="仿宋"/>
          <w:color w:val="000000" w:themeColor="text1"/>
          <w:highlight w:val="none"/>
          <w14:textFill>
            <w14:solidFill>
              <w14:schemeClr w14:val="tx1"/>
            </w14:solidFill>
          </w14:textFill>
        </w:rPr>
      </w:pPr>
    </w:p>
    <w:p w14:paraId="0C2AE98A">
      <w:pPr>
        <w:rPr>
          <w:rFonts w:hint="eastAsia" w:ascii="仿宋" w:hAnsi="仿宋" w:eastAsia="仿宋" w:cs="仿宋"/>
          <w:color w:val="000000" w:themeColor="text1"/>
          <w:highlight w:val="none"/>
          <w14:textFill>
            <w14:solidFill>
              <w14:schemeClr w14:val="tx1"/>
            </w14:solidFill>
          </w14:textFill>
        </w:rPr>
      </w:pPr>
    </w:p>
    <w:p w14:paraId="499E53D8">
      <w:pPr>
        <w:rPr>
          <w:rFonts w:hint="eastAsia" w:ascii="仿宋" w:hAnsi="仿宋" w:eastAsia="仿宋" w:cs="仿宋"/>
          <w:color w:val="000000" w:themeColor="text1"/>
          <w:highlight w:val="none"/>
          <w14:textFill>
            <w14:solidFill>
              <w14:schemeClr w14:val="tx1"/>
            </w14:solidFill>
          </w14:textFill>
        </w:rPr>
      </w:pPr>
    </w:p>
    <w:p w14:paraId="7CBA4327">
      <w:pPr>
        <w:rPr>
          <w:rFonts w:hint="eastAsia" w:ascii="仿宋" w:hAnsi="仿宋" w:eastAsia="仿宋" w:cs="仿宋"/>
          <w:color w:val="000000" w:themeColor="text1"/>
          <w:highlight w:val="none"/>
          <w14:textFill>
            <w14:solidFill>
              <w14:schemeClr w14:val="tx1"/>
            </w14:solidFill>
          </w14:textFill>
        </w:rPr>
      </w:pPr>
    </w:p>
    <w:p w14:paraId="1D7F0289">
      <w:pPr>
        <w:jc w:val="center"/>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kern w:val="2"/>
          <w:sz w:val="48"/>
          <w:szCs w:val="48"/>
          <w:highlight w:val="none"/>
          <w:lang w:val="en-US" w:eastAsia="zh-CN" w:bidi="ar-SA"/>
          <w14:textFill>
            <w14:solidFill>
              <w14:schemeClr w14:val="tx1"/>
            </w14:solidFill>
          </w14:textFill>
        </w:rPr>
        <w:t>第一部分 资格审查部分</w:t>
      </w:r>
    </w:p>
    <w:p w14:paraId="043E26AF">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p>
    <w:p w14:paraId="4A6637EF">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outlineLvl w:val="2"/>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14:textFill>
            <w14:solidFill>
              <w14:schemeClr w14:val="tx1"/>
            </w14:solidFill>
          </w14:textFill>
        </w:rPr>
        <w:t>资格条件承诺函</w:t>
      </w:r>
    </w:p>
    <w:p w14:paraId="358AB41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w:t>
      </w:r>
      <w:r>
        <w:rPr>
          <w:rFonts w:hint="eastAsia" w:ascii="仿宋" w:hAnsi="仿宋" w:eastAsia="仿宋" w:cs="仿宋"/>
          <w:b/>
          <w:bCs/>
          <w:color w:val="000000" w:themeColor="text1"/>
          <w:sz w:val="24"/>
          <w:szCs w:val="24"/>
          <w:highlight w:val="none"/>
          <w:u w:val="single"/>
          <w14:textFill>
            <w14:solidFill>
              <w14:schemeClr w14:val="tx1"/>
            </w14:solidFill>
          </w14:textFill>
        </w:rPr>
        <w:t>（</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投标人</w:t>
      </w:r>
      <w:r>
        <w:rPr>
          <w:rFonts w:hint="eastAsia" w:ascii="仿宋" w:hAnsi="仿宋" w:eastAsia="仿宋" w:cs="仿宋"/>
          <w:b/>
          <w:bCs/>
          <w:color w:val="000000" w:themeColor="text1"/>
          <w:sz w:val="24"/>
          <w:szCs w:val="24"/>
          <w:highlight w:val="none"/>
          <w:u w:val="single"/>
          <w14:textFill>
            <w14:solidFill>
              <w14:schemeClr w14:val="tx1"/>
            </w14:solidFill>
          </w14:textFill>
        </w:rPr>
        <w:t>名称）</w:t>
      </w:r>
      <w:r>
        <w:rPr>
          <w:rFonts w:hint="eastAsia" w:ascii="仿宋" w:hAnsi="仿宋" w:eastAsia="仿宋" w:cs="仿宋"/>
          <w:color w:val="000000" w:themeColor="text1"/>
          <w:sz w:val="24"/>
          <w:szCs w:val="24"/>
          <w:highlight w:val="none"/>
          <w14:textFill>
            <w14:solidFill>
              <w14:schemeClr w14:val="tx1"/>
            </w14:solidFill>
          </w14:textFill>
        </w:rPr>
        <w:t>符合《中华人民共和国政府采购法》第二十二条规定条件，具体包括：</w:t>
      </w:r>
    </w:p>
    <w:p w14:paraId="272AF6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1.具有独立承担民事责任的能力；</w:t>
      </w:r>
    </w:p>
    <w:p w14:paraId="11C3F5B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2.具有良好的商业信誉和健全的财务会计制度；</w:t>
      </w:r>
    </w:p>
    <w:p w14:paraId="7751BE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3.有依法缴纳税收和社会保障资金的良好记录；</w:t>
      </w:r>
    </w:p>
    <w:p w14:paraId="3B36CC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4.具有履行合同所必需的设备和专业技术能力；</w:t>
      </w:r>
    </w:p>
    <w:p w14:paraId="416426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5.参加本次政府采购活动前三年内，在经营活动中没有重大违法记录；</w:t>
      </w:r>
    </w:p>
    <w:p w14:paraId="23717F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6.不存在违反《中华人民共和国政府采购法实施条例》第十八条“单位负责人为同一人或者存在直接控股、管理关系的不同</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，不得参加同一合同项下的政府采购活动。除单一来源采购项目外，为采购项目提供整体设计、规范编制或者项目管理、监理、检测等服务的</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，不得再参加该采购项目的其他采购活动。”规定的情形；</w:t>
      </w:r>
    </w:p>
    <w:p w14:paraId="067577A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7.在投标（响应）截止日期前未被列入失信被执行人名单、重大税收违法案件当事人名单、政府采购严重违法失信行为记录名单。</w:t>
      </w:r>
    </w:p>
    <w:p w14:paraId="3B5BC3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我方对上述承诺的真实性负责，接受社会公众监督，如需检查核验，自愿接受采购单位（采购代理机构）的检查核验，配合提供相关证明材料，证明符合《中华人民共和国政府采购法》规定的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基本资格条件。如有虚假，愿依法承担相应责任。</w:t>
      </w:r>
    </w:p>
    <w:p w14:paraId="41E569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特此承诺。    </w:t>
      </w:r>
    </w:p>
    <w:p w14:paraId="2D745E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1F098D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投标人全称：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5B44E4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日     期：</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年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月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4BB5BC07">
      <w:pPr>
        <w:jc w:val="center"/>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br w:type="page"/>
      </w:r>
    </w:p>
    <w:p w14:paraId="0429D835">
      <w:pPr>
        <w:keepNext w:val="0"/>
        <w:keepLines w:val="0"/>
        <w:pageBreakBefore w:val="0"/>
        <w:widowControl w:val="0"/>
        <w:numPr>
          <w:ilvl w:val="0"/>
          <w:numId w:val="4"/>
        </w:numPr>
        <w:kinsoku/>
        <w:wordWrap/>
        <w:overflowPunct/>
        <w:topLinePunct w:val="0"/>
        <w:autoSpaceDE/>
        <w:autoSpaceDN/>
        <w:bidi w:val="0"/>
        <w:adjustRightInd/>
        <w:snapToGrid/>
        <w:spacing w:line="480" w:lineRule="auto"/>
        <w:jc w:val="center"/>
        <w:textAlignment w:val="auto"/>
        <w:outlineLvl w:val="2"/>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落实政府采购政策相关材料</w:t>
      </w:r>
    </w:p>
    <w:p w14:paraId="6A2DA88C">
      <w:pPr>
        <w:spacing w:before="191" w:line="360" w:lineRule="auto"/>
        <w:jc w:val="center"/>
        <w:outlineLvl w:val="3"/>
        <w:rPr>
          <w:rFonts w:hint="eastAsia" w:ascii="仿宋" w:hAnsi="仿宋" w:eastAsia="仿宋" w:cs="仿宋"/>
          <w:b/>
          <w:bCs/>
          <w:color w:val="000000" w:themeColor="text1"/>
          <w:spacing w:val="2"/>
          <w:sz w:val="32"/>
          <w:szCs w:val="32"/>
          <w:highlight w:val="none"/>
          <w14:textFill>
            <w14:solidFill>
              <w14:schemeClr w14:val="tx1"/>
            </w14:solidFill>
          </w14:textFill>
        </w:rPr>
      </w:pPr>
      <w:r>
        <w:rPr>
          <w:rFonts w:hint="eastAsia" w:ascii="仿宋" w:hAnsi="仿宋" w:eastAsia="仿宋" w:cs="仿宋"/>
          <w:b/>
          <w:bCs/>
          <w:color w:val="000000" w:themeColor="text1"/>
          <w:spacing w:val="2"/>
          <w:sz w:val="32"/>
          <w:szCs w:val="32"/>
          <w:highlight w:val="none"/>
          <w14:textFill>
            <w14:solidFill>
              <w14:schemeClr w14:val="tx1"/>
            </w14:solidFill>
          </w14:textFill>
        </w:rPr>
        <w:t>中小企业声明函（工程、服务）</w:t>
      </w:r>
    </w:p>
    <w:p w14:paraId="65F15FD9">
      <w:pPr>
        <w:pStyle w:val="11"/>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jc w:val="left"/>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本公司（联合体）郑重声明，根据《政府采购促进中小</w:t>
      </w:r>
      <w:r>
        <w:rPr>
          <w:rFonts w:hint="eastAsia" w:ascii="仿宋" w:hAnsi="仿宋" w:eastAsia="仿宋" w:cs="仿宋"/>
          <w:color w:val="000000" w:themeColor="text1"/>
          <w:spacing w:val="4"/>
          <w:sz w:val="24"/>
          <w:szCs w:val="24"/>
          <w:highlight w:val="none"/>
          <w14:textFill>
            <w14:solidFill>
              <w14:schemeClr w14:val="tx1"/>
            </w14:solidFill>
          </w14:textFill>
        </w:rPr>
        <w:t>企业发展管理办法》（财库﹝2020﹞46号）的规</w:t>
      </w:r>
      <w:r>
        <w:rPr>
          <w:rFonts w:hint="eastAsia" w:ascii="仿宋" w:hAnsi="仿宋" w:eastAsia="仿宋" w:cs="仿宋"/>
          <w:color w:val="000000" w:themeColor="text1"/>
          <w:spacing w:val="3"/>
          <w:sz w:val="24"/>
          <w:szCs w:val="24"/>
          <w:highlight w:val="none"/>
          <w14:textFill>
            <w14:solidFill>
              <w14:schemeClr w14:val="tx1"/>
            </w14:solidFill>
          </w14:textFill>
        </w:rPr>
        <w:t>定，本公司</w:t>
      </w:r>
      <w:r>
        <w:rPr>
          <w:rFonts w:hint="eastAsia" w:ascii="仿宋" w:hAnsi="仿宋" w:eastAsia="仿宋" w:cs="仿宋"/>
          <w:color w:val="000000" w:themeColor="text1"/>
          <w:spacing w:val="-1"/>
          <w:sz w:val="24"/>
          <w:szCs w:val="24"/>
          <w:highlight w:val="none"/>
          <w14:textFill>
            <w14:solidFill>
              <w14:schemeClr w14:val="tx1"/>
            </w14:solidFill>
          </w14:textFill>
        </w:rPr>
        <w:t>（联合体）参加</w:t>
      </w:r>
      <w:r>
        <w:rPr>
          <w:rFonts w:hint="eastAsia" w:ascii="仿宋" w:hAnsi="仿宋" w:eastAsia="仿宋" w:cs="仿宋"/>
          <w:i/>
          <w:iCs/>
          <w:color w:val="000000" w:themeColor="text1"/>
          <w:spacing w:val="-1"/>
          <w:sz w:val="24"/>
          <w:szCs w:val="24"/>
          <w:highlight w:val="none"/>
          <w:u w:val="single" w:color="auto"/>
          <w14:textFill>
            <w14:solidFill>
              <w14:schemeClr w14:val="tx1"/>
            </w14:solidFill>
          </w14:textFill>
        </w:rPr>
        <w:t>（单位名称）</w:t>
      </w:r>
      <w:r>
        <w:rPr>
          <w:rFonts w:hint="eastAsia" w:ascii="仿宋" w:hAnsi="仿宋" w:eastAsia="仿宋" w:cs="仿宋"/>
          <w:color w:val="000000" w:themeColor="text1"/>
          <w:spacing w:val="-1"/>
          <w:sz w:val="24"/>
          <w:szCs w:val="24"/>
          <w:highlight w:val="none"/>
          <w14:textFill>
            <w14:solidFill>
              <w14:schemeClr w14:val="tx1"/>
            </w14:solidFill>
          </w14:textFill>
        </w:rPr>
        <w:t>的</w:t>
      </w:r>
      <w:r>
        <w:rPr>
          <w:rFonts w:hint="eastAsia" w:ascii="仿宋" w:hAnsi="仿宋" w:eastAsia="仿宋" w:cs="仿宋"/>
          <w:i/>
          <w:iCs/>
          <w:color w:val="000000" w:themeColor="text1"/>
          <w:spacing w:val="-1"/>
          <w:sz w:val="24"/>
          <w:szCs w:val="24"/>
          <w:highlight w:val="none"/>
          <w:u w:val="single" w:color="auto"/>
          <w14:textFill>
            <w14:solidFill>
              <w14:schemeClr w14:val="tx1"/>
            </w14:solidFill>
          </w14:textFill>
        </w:rPr>
        <w:t>（项目名称）</w:t>
      </w:r>
      <w:r>
        <w:rPr>
          <w:rFonts w:hint="eastAsia" w:ascii="仿宋" w:hAnsi="仿宋" w:eastAsia="仿宋" w:cs="仿宋"/>
          <w:color w:val="000000" w:themeColor="text1"/>
          <w:spacing w:val="-1"/>
          <w:sz w:val="24"/>
          <w:szCs w:val="24"/>
          <w:highlight w:val="none"/>
          <w14:textFill>
            <w14:solidFill>
              <w14:schemeClr w14:val="tx1"/>
            </w14:solidFill>
          </w14:textFill>
        </w:rPr>
        <w:t>采购活动，工</w:t>
      </w:r>
      <w:r>
        <w:rPr>
          <w:rFonts w:hint="eastAsia" w:ascii="仿宋" w:hAnsi="仿宋" w:eastAsia="仿宋" w:cs="仿宋"/>
          <w:color w:val="000000" w:themeColor="text1"/>
          <w:spacing w:val="8"/>
          <w:sz w:val="24"/>
          <w:szCs w:val="24"/>
          <w:highlight w:val="none"/>
          <w14:textFill>
            <w14:solidFill>
              <w14:schemeClr w14:val="tx1"/>
            </w14:solidFill>
          </w14:textFill>
        </w:rPr>
        <w:t>程的施工单位全部为符合政策要求的中小企业（或者：服务全部由符合政策要求的中小企业承接）。相关企业（含联合体中的中小企业、签订分包意向协议的中小企业）的具体情</w:t>
      </w:r>
      <w:r>
        <w:rPr>
          <w:rFonts w:hint="eastAsia" w:ascii="仿宋" w:hAnsi="仿宋" w:eastAsia="仿宋" w:cs="仿宋"/>
          <w:color w:val="000000" w:themeColor="text1"/>
          <w:spacing w:val="1"/>
          <w:sz w:val="24"/>
          <w:szCs w:val="24"/>
          <w:highlight w:val="none"/>
          <w14:textFill>
            <w14:solidFill>
              <w14:schemeClr w14:val="tx1"/>
            </w14:solidFill>
          </w14:textFill>
        </w:rPr>
        <w:t>况如下：</w:t>
      </w:r>
    </w:p>
    <w:p w14:paraId="69C81B58">
      <w:pPr>
        <w:pStyle w:val="11"/>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color w:val="000000" w:themeColor="text1"/>
          <w:spacing w:val="0"/>
          <w:sz w:val="24"/>
          <w:szCs w:val="24"/>
          <w:highlight w:val="none"/>
          <w14:textFill>
            <w14:solidFill>
              <w14:schemeClr w14:val="tx1"/>
            </w14:solidFill>
          </w14:textFill>
        </w:rPr>
      </w:pPr>
      <w:r>
        <w:rPr>
          <w:rFonts w:hint="eastAsia" w:ascii="仿宋" w:hAnsi="仿宋" w:eastAsia="仿宋" w:cs="仿宋"/>
          <w:color w:val="000000" w:themeColor="text1"/>
          <w:spacing w:val="0"/>
          <w:sz w:val="24"/>
          <w:szCs w:val="24"/>
          <w:highlight w:val="none"/>
          <w14:textFill>
            <w14:solidFill>
              <w14:schemeClr w14:val="tx1"/>
            </w14:solidFill>
          </w14:textFill>
        </w:rPr>
        <w:t>1.</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（标的名称</w:t>
      </w:r>
      <w:r>
        <w:rPr>
          <w:rFonts w:hint="eastAsia" w:ascii="仿宋" w:hAnsi="仿宋" w:eastAsia="仿宋" w:cs="仿宋"/>
          <w:i/>
          <w:iCs/>
          <w:color w:val="000000" w:themeColor="text1"/>
          <w:spacing w:val="0"/>
          <w:w w:val="97"/>
          <w:sz w:val="24"/>
          <w:szCs w:val="24"/>
          <w:highlight w:val="none"/>
          <w:u w:val="single" w:color="auto"/>
          <w14:textFill>
            <w14:solidFill>
              <w14:schemeClr w14:val="tx1"/>
            </w14:solidFill>
          </w14:textFill>
        </w:rPr>
        <w:t>）</w:t>
      </w:r>
      <w:r>
        <w:rPr>
          <w:rFonts w:hint="eastAsia" w:ascii="仿宋" w:hAnsi="仿宋" w:eastAsia="仿宋" w:cs="仿宋"/>
          <w:color w:val="000000" w:themeColor="text1"/>
          <w:spacing w:val="0"/>
          <w:w w:val="97"/>
          <w:sz w:val="24"/>
          <w:szCs w:val="24"/>
          <w:highlight w:val="none"/>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属于</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（采购文件中明确的所属行业</w:t>
      </w:r>
      <w:r>
        <w:rPr>
          <w:rFonts w:hint="eastAsia" w:ascii="仿宋" w:hAnsi="仿宋" w:eastAsia="仿宋" w:cs="仿宋"/>
          <w:i/>
          <w:iCs/>
          <w:color w:val="000000" w:themeColor="text1"/>
          <w:spacing w:val="0"/>
          <w:w w:val="97"/>
          <w:sz w:val="24"/>
          <w:szCs w:val="24"/>
          <w:highlight w:val="none"/>
          <w14:textFill>
            <w14:solidFill>
              <w14:schemeClr w14:val="tx1"/>
            </w14:solidFill>
          </w14:textFill>
        </w:rPr>
        <w:t>）</w:t>
      </w:r>
      <w:r>
        <w:rPr>
          <w:rFonts w:hint="eastAsia" w:ascii="仿宋" w:hAnsi="仿宋" w:eastAsia="仿宋" w:cs="仿宋"/>
          <w:color w:val="000000" w:themeColor="text1"/>
          <w:spacing w:val="0"/>
          <w:w w:val="97"/>
          <w:sz w:val="24"/>
          <w:szCs w:val="24"/>
          <w:highlight w:val="none"/>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承建（承接）企业为</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（企业名称</w:t>
      </w:r>
      <w:r>
        <w:rPr>
          <w:rFonts w:hint="eastAsia" w:ascii="仿宋" w:hAnsi="仿宋" w:eastAsia="仿宋" w:cs="仿宋"/>
          <w:i/>
          <w:iCs/>
          <w:color w:val="000000" w:themeColor="text1"/>
          <w:spacing w:val="0"/>
          <w:w w:val="96"/>
          <w:sz w:val="24"/>
          <w:szCs w:val="24"/>
          <w:highlight w:val="none"/>
          <w14:textFill>
            <w14:solidFill>
              <w14:schemeClr w14:val="tx1"/>
            </w14:solidFill>
          </w14:textFill>
        </w:rPr>
        <w:t>）</w:t>
      </w:r>
      <w:r>
        <w:rPr>
          <w:rFonts w:hint="eastAsia" w:ascii="仿宋" w:hAnsi="仿宋" w:eastAsia="仿宋" w:cs="仿宋"/>
          <w:color w:val="000000" w:themeColor="text1"/>
          <w:spacing w:val="0"/>
          <w:w w:val="96"/>
          <w:sz w:val="24"/>
          <w:szCs w:val="24"/>
          <w:highlight w:val="none"/>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从业人员</w:t>
      </w:r>
      <w:r>
        <w:rPr>
          <w:rFonts w:hint="eastAsia" w:ascii="仿宋" w:hAnsi="仿宋" w:eastAsia="仿宋" w:cs="仿宋"/>
          <w:color w:val="000000" w:themeColor="text1"/>
          <w:spacing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14:textFill>
            <w14:solidFill>
              <w14:schemeClr w14:val="tx1"/>
            </w14:solidFill>
          </w14:textFill>
        </w:rPr>
        <w:t>人，营业收入为</w:t>
      </w:r>
      <w:r>
        <w:rPr>
          <w:rFonts w:hint="eastAsia" w:ascii="仿宋" w:hAnsi="仿宋" w:eastAsia="仿宋" w:cs="仿宋"/>
          <w:color w:val="000000" w:themeColor="text1"/>
          <w:spacing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14:textFill>
            <w14:solidFill>
              <w14:schemeClr w14:val="tx1"/>
            </w14:solidFill>
          </w14:textFill>
        </w:rPr>
        <w:t>万元，资产总额为</w:t>
      </w:r>
      <w:r>
        <w:rPr>
          <w:rFonts w:hint="eastAsia" w:ascii="仿宋" w:hAnsi="仿宋" w:eastAsia="仿宋" w:cs="仿宋"/>
          <w:color w:val="000000" w:themeColor="text1"/>
          <w:spacing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14:textFill>
            <w14:solidFill>
              <w14:schemeClr w14:val="tx1"/>
            </w14:solidFill>
          </w14:textFill>
        </w:rPr>
        <w:t>万元</w:t>
      </w:r>
      <w:r>
        <w:rPr>
          <w:rFonts w:hint="eastAsia" w:ascii="仿宋" w:hAnsi="仿宋" w:eastAsia="仿宋" w:cs="仿宋"/>
          <w:color w:val="000000" w:themeColor="text1"/>
          <w:spacing w:val="0"/>
          <w:sz w:val="24"/>
          <w:szCs w:val="24"/>
          <w:highlight w:val="none"/>
          <w:vertAlign w:val="superscript"/>
          <w14:textFill>
            <w14:solidFill>
              <w14:schemeClr w14:val="tx1"/>
            </w14:solidFill>
          </w14:textFill>
        </w:rPr>
        <w:t>1</w:t>
      </w:r>
      <w:r>
        <w:rPr>
          <w:rFonts w:hint="eastAsia" w:ascii="仿宋" w:hAnsi="仿宋" w:eastAsia="仿宋" w:cs="仿宋"/>
          <w:color w:val="000000" w:themeColor="text1"/>
          <w:spacing w:val="0"/>
          <w:sz w:val="24"/>
          <w:szCs w:val="24"/>
          <w:highlight w:val="none"/>
          <w14:textFill>
            <w14:solidFill>
              <w14:schemeClr w14:val="tx1"/>
            </w14:solidFill>
          </w14:textFill>
        </w:rPr>
        <w:t>，属于</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（中型企业、小型企业、微型企业</w:t>
      </w:r>
      <w:r>
        <w:rPr>
          <w:rFonts w:hint="eastAsia" w:ascii="仿宋" w:hAnsi="仿宋" w:eastAsia="仿宋" w:cs="仿宋"/>
          <w:i/>
          <w:iCs/>
          <w:color w:val="000000" w:themeColor="text1"/>
          <w:spacing w:val="0"/>
          <w:w w:val="97"/>
          <w:sz w:val="24"/>
          <w:szCs w:val="24"/>
          <w:highlight w:val="none"/>
          <w14:textFill>
            <w14:solidFill>
              <w14:schemeClr w14:val="tx1"/>
            </w14:solidFill>
          </w14:textFill>
        </w:rPr>
        <w:t>）</w:t>
      </w:r>
      <w:r>
        <w:rPr>
          <w:rFonts w:hint="eastAsia" w:ascii="仿宋" w:hAnsi="仿宋" w:eastAsia="仿宋" w:cs="仿宋"/>
          <w:color w:val="000000" w:themeColor="text1"/>
          <w:spacing w:val="0"/>
          <w:w w:val="97"/>
          <w:sz w:val="24"/>
          <w:szCs w:val="24"/>
          <w:highlight w:val="none"/>
          <w14:textFill>
            <w14:solidFill>
              <w14:schemeClr w14:val="tx1"/>
            </w14:solidFill>
          </w14:textFill>
        </w:rPr>
        <w:t>；</w:t>
      </w:r>
    </w:p>
    <w:p w14:paraId="70AD1FB1">
      <w:pPr>
        <w:pStyle w:val="11"/>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color w:val="000000" w:themeColor="text1"/>
          <w:spacing w:val="0"/>
          <w:sz w:val="24"/>
          <w:szCs w:val="24"/>
          <w:highlight w:val="none"/>
          <w14:textFill>
            <w14:solidFill>
              <w14:schemeClr w14:val="tx1"/>
            </w14:solidFill>
          </w14:textFill>
        </w:rPr>
      </w:pPr>
      <w:r>
        <w:rPr>
          <w:rFonts w:hint="eastAsia" w:ascii="仿宋" w:hAnsi="仿宋" w:eastAsia="仿宋" w:cs="仿宋"/>
          <w:color w:val="000000" w:themeColor="text1"/>
          <w:spacing w:val="0"/>
          <w:sz w:val="24"/>
          <w:szCs w:val="24"/>
          <w:highlight w:val="none"/>
          <w14:textFill>
            <w14:solidFill>
              <w14:schemeClr w14:val="tx1"/>
            </w14:solidFill>
          </w14:textFill>
        </w:rPr>
        <w:t>2.</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（标的名称</w:t>
      </w:r>
      <w:r>
        <w:rPr>
          <w:rFonts w:hint="eastAsia" w:ascii="仿宋" w:hAnsi="仿宋" w:eastAsia="仿宋" w:cs="仿宋"/>
          <w:i/>
          <w:iCs/>
          <w:color w:val="000000" w:themeColor="text1"/>
          <w:spacing w:val="0"/>
          <w:w w:val="96"/>
          <w:sz w:val="24"/>
          <w:szCs w:val="24"/>
          <w:highlight w:val="none"/>
          <w:u w:val="single" w:color="auto"/>
          <w14:textFill>
            <w14:solidFill>
              <w14:schemeClr w14:val="tx1"/>
            </w14:solidFill>
          </w14:textFill>
        </w:rPr>
        <w:t>）</w:t>
      </w:r>
      <w:r>
        <w:rPr>
          <w:rFonts w:hint="eastAsia" w:ascii="仿宋" w:hAnsi="仿宋" w:eastAsia="仿宋" w:cs="仿宋"/>
          <w:color w:val="000000" w:themeColor="text1"/>
          <w:spacing w:val="0"/>
          <w:w w:val="96"/>
          <w:sz w:val="24"/>
          <w:szCs w:val="24"/>
          <w:highlight w:val="none"/>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属于</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（采购文件中明确的所属行业</w:t>
      </w:r>
      <w:r>
        <w:rPr>
          <w:rFonts w:hint="eastAsia" w:ascii="仿宋" w:hAnsi="仿宋" w:eastAsia="仿宋" w:cs="仿宋"/>
          <w:i/>
          <w:iCs/>
          <w:color w:val="000000" w:themeColor="text1"/>
          <w:spacing w:val="0"/>
          <w:w w:val="96"/>
          <w:sz w:val="24"/>
          <w:szCs w:val="24"/>
          <w:highlight w:val="none"/>
          <w14:textFill>
            <w14:solidFill>
              <w14:schemeClr w14:val="tx1"/>
            </w14:solidFill>
          </w14:textFill>
        </w:rPr>
        <w:t>）</w:t>
      </w:r>
      <w:r>
        <w:rPr>
          <w:rFonts w:hint="eastAsia" w:ascii="仿宋" w:hAnsi="仿宋" w:eastAsia="仿宋" w:cs="仿宋"/>
          <w:color w:val="000000" w:themeColor="text1"/>
          <w:spacing w:val="0"/>
          <w:w w:val="96"/>
          <w:sz w:val="24"/>
          <w:szCs w:val="24"/>
          <w:highlight w:val="none"/>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承建（承接）企业为</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（企业名称</w:t>
      </w:r>
      <w:r>
        <w:rPr>
          <w:rFonts w:hint="eastAsia" w:ascii="仿宋" w:hAnsi="仿宋" w:eastAsia="仿宋" w:cs="仿宋"/>
          <w:i/>
          <w:iCs/>
          <w:color w:val="000000" w:themeColor="text1"/>
          <w:spacing w:val="0"/>
          <w:w w:val="96"/>
          <w:sz w:val="24"/>
          <w:szCs w:val="24"/>
          <w:highlight w:val="none"/>
          <w14:textFill>
            <w14:solidFill>
              <w14:schemeClr w14:val="tx1"/>
            </w14:solidFill>
          </w14:textFill>
        </w:rPr>
        <w:t>）</w:t>
      </w:r>
      <w:r>
        <w:rPr>
          <w:rFonts w:hint="eastAsia" w:ascii="仿宋" w:hAnsi="仿宋" w:eastAsia="仿宋" w:cs="仿宋"/>
          <w:color w:val="000000" w:themeColor="text1"/>
          <w:spacing w:val="0"/>
          <w:w w:val="96"/>
          <w:sz w:val="24"/>
          <w:szCs w:val="24"/>
          <w:highlight w:val="none"/>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从业人员</w:t>
      </w:r>
      <w:r>
        <w:rPr>
          <w:rFonts w:hint="eastAsia" w:ascii="仿宋" w:hAnsi="仿宋" w:eastAsia="仿宋" w:cs="仿宋"/>
          <w:color w:val="000000" w:themeColor="text1"/>
          <w:spacing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14:textFill>
            <w14:solidFill>
              <w14:schemeClr w14:val="tx1"/>
            </w14:solidFill>
          </w14:textFill>
        </w:rPr>
        <w:t>人，营业收入为</w:t>
      </w:r>
      <w:r>
        <w:rPr>
          <w:rFonts w:hint="eastAsia" w:ascii="仿宋" w:hAnsi="仿宋" w:eastAsia="仿宋" w:cs="仿宋"/>
          <w:color w:val="000000" w:themeColor="text1"/>
          <w:spacing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14:textFill>
            <w14:solidFill>
              <w14:schemeClr w14:val="tx1"/>
            </w14:solidFill>
          </w14:textFill>
        </w:rPr>
        <w:t>万元，资产总额为</w:t>
      </w:r>
      <w:r>
        <w:rPr>
          <w:rFonts w:hint="eastAsia" w:ascii="仿宋" w:hAnsi="仿宋" w:eastAsia="仿宋" w:cs="仿宋"/>
          <w:color w:val="000000" w:themeColor="text1"/>
          <w:spacing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14:textFill>
            <w14:solidFill>
              <w14:schemeClr w14:val="tx1"/>
            </w14:solidFill>
          </w14:textFill>
        </w:rPr>
        <w:t>万元，属于</w:t>
      </w:r>
      <w:r>
        <w:rPr>
          <w:rFonts w:hint="eastAsia" w:ascii="仿宋" w:hAnsi="仿宋" w:eastAsia="仿宋" w:cs="仿宋"/>
          <w:i/>
          <w:iCs/>
          <w:color w:val="000000" w:themeColor="text1"/>
          <w:spacing w:val="0"/>
          <w:sz w:val="24"/>
          <w:szCs w:val="24"/>
          <w:highlight w:val="none"/>
          <w:u w:val="single" w:color="auto"/>
          <w14:textFill>
            <w14:solidFill>
              <w14:schemeClr w14:val="tx1"/>
            </w14:solidFill>
          </w14:textFill>
        </w:rPr>
        <w:t>（中型企业、小型企业、微型企业</w:t>
      </w:r>
      <w:r>
        <w:rPr>
          <w:rFonts w:hint="eastAsia" w:ascii="仿宋" w:hAnsi="仿宋" w:eastAsia="仿宋" w:cs="仿宋"/>
          <w:i/>
          <w:iCs/>
          <w:color w:val="000000" w:themeColor="text1"/>
          <w:spacing w:val="0"/>
          <w:w w:val="97"/>
          <w:sz w:val="24"/>
          <w:szCs w:val="24"/>
          <w:highlight w:val="none"/>
          <w14:textFill>
            <w14:solidFill>
              <w14:schemeClr w14:val="tx1"/>
            </w14:solidFill>
          </w14:textFill>
        </w:rPr>
        <w:t>）</w:t>
      </w:r>
      <w:r>
        <w:rPr>
          <w:rFonts w:hint="eastAsia" w:ascii="仿宋" w:hAnsi="仿宋" w:eastAsia="仿宋" w:cs="仿宋"/>
          <w:color w:val="000000" w:themeColor="text1"/>
          <w:spacing w:val="0"/>
          <w:w w:val="97"/>
          <w:sz w:val="24"/>
          <w:szCs w:val="24"/>
          <w:highlight w:val="none"/>
          <w14:textFill>
            <w14:solidFill>
              <w14:schemeClr w14:val="tx1"/>
            </w14:solidFill>
          </w14:textFill>
        </w:rPr>
        <w:t>；</w:t>
      </w:r>
    </w:p>
    <w:p w14:paraId="6406662F">
      <w:pPr>
        <w:pStyle w:val="11"/>
        <w:keepNext w:val="0"/>
        <w:keepLines w:val="0"/>
        <w:pageBreakBefore w:val="0"/>
        <w:widowControl/>
        <w:kinsoku/>
        <w:wordWrap/>
        <w:overflowPunct/>
        <w:topLinePunct w:val="0"/>
        <w:autoSpaceDE w:val="0"/>
        <w:autoSpaceDN w:val="0"/>
        <w:bidi w:val="0"/>
        <w:adjustRightInd w:val="0"/>
        <w:snapToGrid w:val="0"/>
        <w:spacing w:line="360" w:lineRule="auto"/>
        <w:ind w:right="0" w:firstLine="448" w:firstLineChars="200"/>
        <w:jc w:val="left"/>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position w:val="4"/>
          <w:sz w:val="24"/>
          <w:szCs w:val="24"/>
          <w:highlight w:val="none"/>
          <w14:textFill>
            <w14:solidFill>
              <w14:schemeClr w14:val="tx1"/>
            </w14:solidFill>
          </w14:textFill>
        </w:rPr>
        <w:t>……</w:t>
      </w:r>
    </w:p>
    <w:p w14:paraId="6A83B83C">
      <w:pPr>
        <w:pStyle w:val="11"/>
        <w:keepNext w:val="0"/>
        <w:keepLines w:val="0"/>
        <w:pageBreakBefore w:val="0"/>
        <w:widowControl/>
        <w:kinsoku/>
        <w:wordWrap/>
        <w:overflowPunct/>
        <w:topLinePunct w:val="0"/>
        <w:autoSpaceDE w:val="0"/>
        <w:autoSpaceDN w:val="0"/>
        <w:bidi w:val="0"/>
        <w:adjustRightInd w:val="0"/>
        <w:snapToGrid w:val="0"/>
        <w:spacing w:line="360" w:lineRule="auto"/>
        <w:ind w:left="0" w:firstLine="448" w:firstLineChars="200"/>
        <w:textAlignment w:val="baseline"/>
        <w:rPr>
          <w:rFonts w:hint="eastAsia" w:ascii="仿宋" w:hAnsi="仿宋" w:eastAsia="仿宋" w:cs="仿宋"/>
          <w:color w:val="000000" w:themeColor="text1"/>
          <w:spacing w:val="-8"/>
          <w:position w:val="4"/>
          <w:sz w:val="24"/>
          <w:szCs w:val="24"/>
          <w:highlight w:val="none"/>
          <w14:textFill>
            <w14:solidFill>
              <w14:schemeClr w14:val="tx1"/>
            </w14:solidFill>
          </w14:textFill>
        </w:rPr>
      </w:pPr>
      <w:r>
        <w:rPr>
          <w:rFonts w:hint="eastAsia" w:ascii="仿宋" w:hAnsi="仿宋" w:eastAsia="仿宋" w:cs="仿宋"/>
          <w:color w:val="000000" w:themeColor="text1"/>
          <w:spacing w:val="-8"/>
          <w:position w:val="4"/>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1900C437">
      <w:pPr>
        <w:pStyle w:val="11"/>
        <w:keepNext w:val="0"/>
        <w:keepLines w:val="0"/>
        <w:pageBreakBefore w:val="0"/>
        <w:widowControl/>
        <w:kinsoku/>
        <w:wordWrap/>
        <w:overflowPunct/>
        <w:topLinePunct w:val="0"/>
        <w:autoSpaceDE w:val="0"/>
        <w:autoSpaceDN w:val="0"/>
        <w:bidi w:val="0"/>
        <w:adjustRightInd w:val="0"/>
        <w:snapToGrid w:val="0"/>
        <w:spacing w:line="360" w:lineRule="auto"/>
        <w:ind w:left="0" w:firstLine="448" w:firstLineChars="200"/>
        <w:textAlignment w:val="baseline"/>
        <w:rPr>
          <w:rFonts w:hint="eastAsia" w:ascii="仿宋" w:hAnsi="仿宋" w:eastAsia="仿宋" w:cs="仿宋"/>
          <w:color w:val="000000" w:themeColor="text1"/>
          <w:spacing w:val="-8"/>
          <w:position w:val="4"/>
          <w:sz w:val="24"/>
          <w:szCs w:val="24"/>
          <w:highlight w:val="none"/>
          <w14:textFill>
            <w14:solidFill>
              <w14:schemeClr w14:val="tx1"/>
            </w14:solidFill>
          </w14:textFill>
        </w:rPr>
      </w:pPr>
      <w:r>
        <w:rPr>
          <w:rFonts w:hint="eastAsia" w:ascii="仿宋" w:hAnsi="仿宋" w:eastAsia="仿宋" w:cs="仿宋"/>
          <w:color w:val="000000" w:themeColor="text1"/>
          <w:spacing w:val="-8"/>
          <w:position w:val="4"/>
          <w:sz w:val="24"/>
          <w:szCs w:val="24"/>
          <w:highlight w:val="none"/>
          <w14:textFill>
            <w14:solidFill>
              <w14:schemeClr w14:val="tx1"/>
            </w14:solidFill>
          </w14:textFill>
        </w:rPr>
        <w:t>本企业对上述声明内容的真实性负责。如有虚假，将依法承担相应责任。</w:t>
      </w:r>
    </w:p>
    <w:p w14:paraId="0EA034B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color w:val="000000" w:themeColor="text1"/>
          <w:spacing w:val="6"/>
          <w:sz w:val="24"/>
          <w:szCs w:val="24"/>
          <w:highlight w:val="none"/>
          <w14:textFill>
            <w14:solidFill>
              <w14:schemeClr w14:val="tx1"/>
            </w14:solidFill>
          </w14:textFill>
        </w:rPr>
      </w:pPr>
    </w:p>
    <w:p w14:paraId="4516346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57" w:firstLineChars="1372"/>
        <w:textAlignment w:val="baseline"/>
        <w:rPr>
          <w:rFonts w:hint="eastAsia" w:ascii="仿宋" w:hAnsi="仿宋" w:eastAsia="仿宋" w:cs="仿宋"/>
          <w:color w:val="000000" w:themeColor="text1"/>
          <w:spacing w:val="6"/>
          <w:sz w:val="24"/>
          <w:szCs w:val="24"/>
          <w:highlight w:val="none"/>
          <w14:textFill>
            <w14:solidFill>
              <w14:schemeClr w14:val="tx1"/>
            </w14:solidFill>
          </w14:textFill>
        </w:rPr>
      </w:pPr>
    </w:p>
    <w:p w14:paraId="3CA73331">
      <w:pPr>
        <w:keepNext w:val="0"/>
        <w:keepLines w:val="0"/>
        <w:pageBreakBefore w:val="0"/>
        <w:widowControl w:val="0"/>
        <w:kinsoku/>
        <w:wordWrap/>
        <w:overflowPunct/>
        <w:topLinePunct w:val="0"/>
        <w:autoSpaceDE/>
        <w:autoSpaceDN/>
        <w:bidi w:val="0"/>
        <w:adjustRightInd/>
        <w:snapToGrid/>
        <w:spacing w:line="520" w:lineRule="exact"/>
        <w:ind w:firstLine="2880" w:firstLineChars="1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投标人全称：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电子签章</w:t>
      </w:r>
      <w:r>
        <w:rPr>
          <w:rFonts w:hint="eastAsia" w:ascii="仿宋" w:hAnsi="仿宋" w:eastAsia="仿宋" w:cs="仿宋"/>
          <w:color w:val="auto"/>
          <w:sz w:val="24"/>
          <w:szCs w:val="24"/>
          <w:highlight w:val="none"/>
        </w:rPr>
        <w:t>）</w:t>
      </w:r>
    </w:p>
    <w:p w14:paraId="2E8C4A8F">
      <w:pPr>
        <w:keepNext w:val="0"/>
        <w:keepLines w:val="0"/>
        <w:pageBreakBefore w:val="0"/>
        <w:widowControl w:val="0"/>
        <w:kinsoku/>
        <w:wordWrap/>
        <w:overflowPunct/>
        <w:topLinePunct w:val="0"/>
        <w:autoSpaceDE/>
        <w:autoSpaceDN/>
        <w:bidi w:val="0"/>
        <w:adjustRightInd/>
        <w:snapToGrid/>
        <w:spacing w:line="520" w:lineRule="exact"/>
        <w:ind w:firstLine="2880" w:firstLineChars="1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65D1C462">
      <w:pPr>
        <w:keepNext w:val="0"/>
        <w:keepLines w:val="0"/>
        <w:pageBreakBefore w:val="0"/>
        <w:widowControl w:val="0"/>
        <w:kinsoku/>
        <w:wordWrap/>
        <w:overflowPunct/>
        <w:topLinePunct w:val="0"/>
        <w:autoSpaceDE/>
        <w:autoSpaceDN/>
        <w:bidi w:val="0"/>
        <w:adjustRightInd/>
        <w:snapToGrid/>
        <w:spacing w:line="520" w:lineRule="exact"/>
        <w:ind w:firstLine="2880" w:firstLineChars="1200"/>
        <w:textAlignment w:val="auto"/>
        <w:rPr>
          <w:rFonts w:hint="eastAsia" w:ascii="仿宋" w:hAnsi="仿宋" w:eastAsia="仿宋" w:cs="仿宋"/>
          <w:color w:val="auto"/>
          <w:sz w:val="24"/>
          <w:szCs w:val="24"/>
          <w:highlight w:val="none"/>
        </w:rPr>
      </w:pPr>
    </w:p>
    <w:p w14:paraId="4B3A2435">
      <w:pPr>
        <w:spacing w:before="0" w:line="263" w:lineRule="auto"/>
        <w:ind w:left="0" w:right="0" w:rightChars="0" w:firstLine="0"/>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pacing w:val="-1"/>
          <w:sz w:val="18"/>
          <w:szCs w:val="18"/>
          <w:highlight w:val="none"/>
          <w:lang w:val="en-US" w:eastAsia="zh-CN"/>
          <w14:textFill>
            <w14:solidFill>
              <w14:schemeClr w14:val="tx1"/>
            </w14:solidFill>
          </w14:textFill>
        </w:rPr>
        <w:t>1.</w:t>
      </w:r>
      <w:r>
        <w:rPr>
          <w:rFonts w:hint="eastAsia" w:ascii="仿宋" w:hAnsi="仿宋" w:eastAsia="仿宋" w:cs="仿宋"/>
          <w:b/>
          <w:bCs/>
          <w:color w:val="000000" w:themeColor="text1"/>
          <w:spacing w:val="-1"/>
          <w:sz w:val="18"/>
          <w:szCs w:val="18"/>
          <w:highlight w:val="none"/>
          <w14:textFill>
            <w14:solidFill>
              <w14:schemeClr w14:val="tx1"/>
            </w14:solidFill>
          </w14:textFill>
        </w:rPr>
        <w:t>从业人员、营业收入、资产总额填报上一年度数据，无上一年度数据的新成立企业可不填报。</w:t>
      </w:r>
    </w:p>
    <w:p w14:paraId="048B398E">
      <w:pPr>
        <w:pStyle w:val="11"/>
        <w:spacing w:after="0" w:line="360" w:lineRule="auto"/>
        <w:jc w:val="center"/>
        <w:outlineLvl w:val="3"/>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pacing w:val="6"/>
          <w:sz w:val="24"/>
          <w:szCs w:val="20"/>
          <w:highlight w:val="none"/>
          <w14:textFill>
            <w14:solidFill>
              <w14:schemeClr w14:val="tx1"/>
            </w14:solidFill>
          </w14:textFill>
        </w:rPr>
        <w:br w:type="page"/>
      </w:r>
      <w:r>
        <w:rPr>
          <w:rFonts w:hint="eastAsia" w:ascii="仿宋" w:hAnsi="仿宋" w:eastAsia="仿宋" w:cs="仿宋"/>
          <w:b/>
          <w:color w:val="000000" w:themeColor="text1"/>
          <w:kern w:val="2"/>
          <w:sz w:val="32"/>
          <w:szCs w:val="32"/>
          <w:highlight w:val="none"/>
          <w:lang w:val="en-US" w:eastAsia="zh-CN" w:bidi="ar-SA"/>
          <w14:textFill>
            <w14:solidFill>
              <w14:schemeClr w14:val="tx1"/>
            </w14:solidFill>
          </w14:textFill>
        </w:rPr>
        <w:t>监狱企业证明文件</w:t>
      </w:r>
    </w:p>
    <w:p w14:paraId="48524A98">
      <w:pPr>
        <w:spacing w:line="360" w:lineRule="auto"/>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6B46B8">
      <w:pPr>
        <w:spacing w:line="360" w:lineRule="auto"/>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447598D8">
      <w:pPr>
        <w:widowControl/>
        <w:spacing w:line="600" w:lineRule="exact"/>
        <w:ind w:firstLine="402" w:firstLineChars="200"/>
        <w:rPr>
          <w:rFonts w:hint="eastAsia" w:ascii="仿宋" w:hAnsi="仿宋" w:eastAsia="仿宋" w:cs="仿宋"/>
          <w:b/>
          <w:color w:val="000000" w:themeColor="text1"/>
          <w:sz w:val="22"/>
          <w:szCs w:val="28"/>
          <w:highlight w:val="none"/>
          <w14:textFill>
            <w14:solidFill>
              <w14:schemeClr w14:val="tx1"/>
            </w14:solidFill>
          </w14:textFill>
        </w:rPr>
      </w:pPr>
      <w:r>
        <w:rPr>
          <w:rFonts w:hint="eastAsia" w:ascii="仿宋" w:hAnsi="仿宋" w:eastAsia="仿宋" w:cs="仿宋"/>
          <w:b/>
          <w:color w:val="000000" w:themeColor="text1"/>
          <w:sz w:val="20"/>
          <w:szCs w:val="20"/>
          <w:highlight w:val="none"/>
          <w14:textFill>
            <w14:solidFill>
              <w14:schemeClr w14:val="tx1"/>
            </w14:solidFill>
          </w14:textFill>
        </w:rPr>
        <w:t>注：符合《财政部 司法部关于政府采购支持监狱企业发展有关问题的通知》（财库[2014]68号）价格扣减条件的投标人须提交，符合条件的监狱企业在参加政府采购活动时，应当按《财政部 司法部关于政府采购支持监狱企业发展有关问题的通知》（财库[2014]68号）提供规定的《监狱企业证明文件》，并对证明文件的真实性负责。</w:t>
      </w:r>
    </w:p>
    <w:p w14:paraId="35332AB7">
      <w:pPr>
        <w:widowControl/>
        <w:spacing w:line="360" w:lineRule="auto"/>
        <w:rPr>
          <w:rFonts w:hint="eastAsia" w:ascii="仿宋" w:hAnsi="仿宋" w:eastAsia="仿宋" w:cs="仿宋"/>
          <w:b/>
          <w:color w:val="000000" w:themeColor="text1"/>
          <w:highlight w:val="none"/>
          <w14:textFill>
            <w14:solidFill>
              <w14:schemeClr w14:val="tx1"/>
            </w14:solidFill>
          </w14:textFill>
        </w:rPr>
      </w:pPr>
    </w:p>
    <w:p w14:paraId="0048F48A">
      <w:pPr>
        <w:widowControl/>
        <w:spacing w:line="360" w:lineRule="auto"/>
        <w:jc w:val="left"/>
        <w:rPr>
          <w:rFonts w:hint="eastAsia" w:ascii="仿宋" w:hAnsi="仿宋" w:eastAsia="仿宋" w:cs="仿宋"/>
          <w:b/>
          <w:color w:val="000000" w:themeColor="text1"/>
          <w:highlight w:val="none"/>
          <w14:textFill>
            <w14:solidFill>
              <w14:schemeClr w14:val="tx1"/>
            </w14:solidFill>
          </w14:textFill>
        </w:rPr>
      </w:pPr>
    </w:p>
    <w:p w14:paraId="3E801D98">
      <w:pPr>
        <w:pStyle w:val="5"/>
        <w:numPr>
          <w:ilvl w:val="0"/>
          <w:numId w:val="0"/>
        </w:numPr>
        <w:tabs>
          <w:tab w:val="left" w:pos="360"/>
        </w:tabs>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r>
        <w:rPr>
          <w:rFonts w:hint="eastAsia" w:ascii="仿宋" w:hAnsi="仿宋" w:eastAsia="仿宋" w:cs="仿宋"/>
          <w:color w:val="000000" w:themeColor="text1"/>
          <w:sz w:val="32"/>
          <w:szCs w:val="32"/>
          <w:highlight w:val="none"/>
          <w14:textFill>
            <w14:solidFill>
              <w14:schemeClr w14:val="tx1"/>
            </w14:solidFill>
          </w14:textFill>
        </w:rPr>
        <w:t>残疾人福利性单位声明函</w:t>
      </w:r>
    </w:p>
    <w:p w14:paraId="22D6B2B3">
      <w:pPr>
        <w:widowControl/>
        <w:shd w:val="clear" w:color="auto" w:fill="FFFFFF"/>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CFE769">
      <w:pPr>
        <w:widowControl/>
        <w:shd w:val="clear" w:color="auto" w:fill="FFFFFF"/>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本单位对上述声明的真实性负责。如有虚假，将依法承担相应责任。</w:t>
      </w:r>
    </w:p>
    <w:p w14:paraId="2A8B8B64">
      <w:pPr>
        <w:pStyle w:val="15"/>
        <w:spacing w:line="360" w:lineRule="auto"/>
        <w:ind w:firstLine="3740" w:firstLineChars="1700"/>
        <w:rPr>
          <w:rFonts w:hint="eastAsia" w:ascii="仿宋" w:hAnsi="仿宋" w:eastAsia="仿宋" w:cs="仿宋"/>
          <w:color w:val="000000" w:themeColor="text1"/>
          <w:sz w:val="22"/>
          <w:szCs w:val="22"/>
          <w:highlight w:val="none"/>
          <w14:textFill>
            <w14:solidFill>
              <w14:schemeClr w14:val="tx1"/>
            </w14:solidFill>
          </w14:textFill>
        </w:rPr>
      </w:pPr>
    </w:p>
    <w:p w14:paraId="15F87668">
      <w:pPr>
        <w:pStyle w:val="15"/>
        <w:spacing w:line="600" w:lineRule="exact"/>
        <w:ind w:firstLine="3520" w:firstLineChars="1600"/>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投标人全称：</w:t>
      </w:r>
      <w:r>
        <w:rPr>
          <w:rFonts w:hint="eastAsia" w:ascii="仿宋" w:hAnsi="仿宋" w:eastAsia="仿宋" w:cs="仿宋"/>
          <w:color w:val="000000" w:themeColor="text1"/>
          <w:kern w:val="0"/>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eastAsia="zh-CN"/>
          <w14:textFill>
            <w14:solidFill>
              <w14:schemeClr w14:val="tx1"/>
            </w14:solidFill>
          </w14:textFill>
        </w:rPr>
        <w:t>电子签章</w:t>
      </w:r>
      <w:r>
        <w:rPr>
          <w:rFonts w:hint="eastAsia" w:ascii="仿宋" w:hAnsi="仿宋" w:eastAsia="仿宋" w:cs="仿宋"/>
          <w:color w:val="000000" w:themeColor="text1"/>
          <w:sz w:val="22"/>
          <w:szCs w:val="22"/>
          <w:highlight w:val="none"/>
          <w14:textFill>
            <w14:solidFill>
              <w14:schemeClr w14:val="tx1"/>
            </w14:solidFill>
          </w14:textFill>
        </w:rPr>
        <w:t>）</w:t>
      </w:r>
    </w:p>
    <w:p w14:paraId="085F8E57">
      <w:pPr>
        <w:spacing w:line="600" w:lineRule="exact"/>
        <w:ind w:left="0" w:leftChars="0" w:firstLine="3520" w:firstLineChars="1600"/>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法定代表人</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（电子签章）</w:t>
      </w:r>
    </w:p>
    <w:p w14:paraId="5317A938">
      <w:pPr>
        <w:tabs>
          <w:tab w:val="left" w:pos="5580"/>
        </w:tabs>
        <w:spacing w:line="600" w:lineRule="exact"/>
        <w:ind w:firstLine="3520" w:firstLineChars="1600"/>
        <w:jc w:val="both"/>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 xml:space="preserve">日 </w:t>
      </w: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 xml:space="preserve"> 期：</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年</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月</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日</w:t>
      </w:r>
    </w:p>
    <w:p w14:paraId="70A8A124">
      <w:pPr>
        <w:pStyle w:val="27"/>
        <w:rPr>
          <w:rFonts w:hint="eastAsia" w:ascii="仿宋" w:hAnsi="仿宋" w:eastAsia="仿宋" w:cs="仿宋"/>
          <w:color w:val="000000" w:themeColor="text1"/>
          <w:sz w:val="22"/>
          <w:szCs w:val="28"/>
          <w:highlight w:val="none"/>
          <w:lang w:eastAsia="zh-CN"/>
          <w14:textFill>
            <w14:solidFill>
              <w14:schemeClr w14:val="tx1"/>
            </w14:solidFill>
          </w14:textFill>
        </w:rPr>
      </w:pPr>
    </w:p>
    <w:p w14:paraId="00E4B020">
      <w:pPr>
        <w:tabs>
          <w:tab w:val="left" w:pos="5580"/>
        </w:tabs>
        <w:spacing w:line="600" w:lineRule="exact"/>
        <w:ind w:firstLine="402" w:firstLineChars="200"/>
        <w:jc w:val="left"/>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kern w:val="0"/>
          <w:sz w:val="20"/>
          <w:szCs w:val="20"/>
          <w:highlight w:val="none"/>
          <w14:textFill>
            <w14:solidFill>
              <w14:schemeClr w14:val="tx1"/>
            </w14:solidFill>
          </w14:textFill>
        </w:rPr>
        <w:t>注：中标人为残疾人福利性单位的，其《残疾人福利性单位声明函》将随中标结果同时公告，接受社会监督。投标人提供的《残疾人福利性单位声明函》与事实不符的，依照《政府采购法》第七十七条第一款的规定追究法律责任。</w:t>
      </w:r>
    </w:p>
    <w:p w14:paraId="431A402D">
      <w:pPr>
        <w:rPr>
          <w:rFonts w:hint="eastAsia" w:ascii="仿宋" w:hAnsi="仿宋" w:eastAsia="仿宋" w:cs="仿宋"/>
          <w:color w:val="000000" w:themeColor="text1"/>
          <w:highlight w:val="none"/>
          <w:lang w:eastAsia="zh-CN"/>
          <w14:textFill>
            <w14:solidFill>
              <w14:schemeClr w14:val="tx1"/>
            </w14:solidFill>
          </w14:textFill>
        </w:rPr>
      </w:pPr>
    </w:p>
    <w:p w14:paraId="4E94D74A">
      <w:pPr>
        <w:spacing w:line="360" w:lineRule="auto"/>
        <w:ind w:firstLine="480"/>
        <w:rPr>
          <w:rFonts w:hint="eastAsia" w:ascii="仿宋" w:hAnsi="仿宋" w:eastAsia="仿宋" w:cs="仿宋"/>
          <w:color w:val="000000" w:themeColor="text1"/>
          <w:highlight w:val="none"/>
          <w:lang w:eastAsia="zh-CN"/>
          <w14:textFill>
            <w14:solidFill>
              <w14:schemeClr w14:val="tx1"/>
            </w14:solidFill>
          </w14:textFill>
        </w:rPr>
      </w:pPr>
    </w:p>
    <w:p w14:paraId="1A1BF01D">
      <w:pPr>
        <w:rPr>
          <w:rFonts w:hint="eastAsia" w:ascii="仿宋" w:hAnsi="仿宋" w:eastAsia="仿宋" w:cs="仿宋"/>
          <w:color w:val="000000" w:themeColor="text1"/>
          <w:highlight w:val="none"/>
          <w14:textFill>
            <w14:solidFill>
              <w14:schemeClr w14:val="tx1"/>
            </w14:solidFill>
          </w14:textFill>
        </w:rPr>
      </w:pPr>
    </w:p>
    <w:p w14:paraId="1B84E49E">
      <w:pPr>
        <w:pStyle w:val="11"/>
        <w:rPr>
          <w:rFonts w:hint="eastAsia" w:ascii="仿宋" w:hAnsi="仿宋" w:eastAsia="仿宋" w:cs="仿宋"/>
          <w:color w:val="000000" w:themeColor="text1"/>
          <w:highlight w:val="none"/>
          <w14:textFill>
            <w14:solidFill>
              <w14:schemeClr w14:val="tx1"/>
            </w14:solidFill>
          </w14:textFill>
        </w:rPr>
      </w:pPr>
    </w:p>
    <w:p w14:paraId="4A96CD99">
      <w:pPr>
        <w:rPr>
          <w:rFonts w:hint="eastAsia" w:ascii="仿宋" w:hAnsi="仿宋" w:eastAsia="仿宋" w:cs="仿宋"/>
          <w:color w:val="000000" w:themeColor="text1"/>
          <w:highlight w:val="none"/>
          <w14:textFill>
            <w14:solidFill>
              <w14:schemeClr w14:val="tx1"/>
            </w14:solidFill>
          </w14:textFill>
        </w:rPr>
      </w:pPr>
    </w:p>
    <w:p w14:paraId="4F338BA9">
      <w:pPr>
        <w:pStyle w:val="11"/>
        <w:jc w:val="center"/>
        <w:rPr>
          <w:rFonts w:hint="eastAsia" w:ascii="仿宋" w:hAnsi="仿宋" w:eastAsia="仿宋" w:cs="仿宋"/>
          <w:color w:val="000000" w:themeColor="text1"/>
          <w:highlight w:val="none"/>
          <w14:textFill>
            <w14:solidFill>
              <w14:schemeClr w14:val="tx1"/>
            </w14:solidFill>
          </w14:textFill>
        </w:rPr>
      </w:pPr>
    </w:p>
    <w:p w14:paraId="79199236">
      <w:pPr>
        <w:rPr>
          <w:rFonts w:hint="eastAsia" w:ascii="仿宋" w:hAnsi="仿宋" w:eastAsia="仿宋" w:cs="仿宋"/>
          <w:color w:val="000000" w:themeColor="text1"/>
          <w:highlight w:val="none"/>
          <w14:textFill>
            <w14:solidFill>
              <w14:schemeClr w14:val="tx1"/>
            </w14:solidFill>
          </w14:textFill>
        </w:rPr>
      </w:pPr>
    </w:p>
    <w:p w14:paraId="5B438F47">
      <w:pPr>
        <w:rPr>
          <w:rFonts w:hint="eastAsia" w:ascii="仿宋" w:hAnsi="仿宋" w:eastAsia="仿宋" w:cs="仿宋"/>
          <w:color w:val="000000" w:themeColor="text1"/>
          <w:highlight w:val="none"/>
          <w14:textFill>
            <w14:solidFill>
              <w14:schemeClr w14:val="tx1"/>
            </w14:solidFill>
          </w14:textFill>
        </w:rPr>
      </w:pPr>
    </w:p>
    <w:p w14:paraId="74F94438">
      <w:pPr>
        <w:rPr>
          <w:rFonts w:hint="eastAsia" w:ascii="仿宋" w:hAnsi="仿宋" w:eastAsia="仿宋" w:cs="仿宋"/>
          <w:color w:val="000000" w:themeColor="text1"/>
          <w:highlight w:val="none"/>
          <w14:textFill>
            <w14:solidFill>
              <w14:schemeClr w14:val="tx1"/>
            </w14:solidFill>
          </w14:textFill>
        </w:rPr>
      </w:pPr>
    </w:p>
    <w:p w14:paraId="4CEBCB0E">
      <w:pPr>
        <w:rPr>
          <w:rFonts w:hint="eastAsia" w:ascii="仿宋" w:hAnsi="仿宋" w:eastAsia="仿宋" w:cs="仿宋"/>
          <w:color w:val="000000" w:themeColor="text1"/>
          <w:highlight w:val="none"/>
          <w14:textFill>
            <w14:solidFill>
              <w14:schemeClr w14:val="tx1"/>
            </w14:solidFill>
          </w14:textFill>
        </w:rPr>
      </w:pPr>
    </w:p>
    <w:p w14:paraId="26391A35">
      <w:pPr>
        <w:rPr>
          <w:rFonts w:hint="eastAsia" w:ascii="仿宋" w:hAnsi="仿宋" w:eastAsia="仿宋" w:cs="仿宋"/>
          <w:color w:val="000000" w:themeColor="text1"/>
          <w:highlight w:val="none"/>
          <w14:textFill>
            <w14:solidFill>
              <w14:schemeClr w14:val="tx1"/>
            </w14:solidFill>
          </w14:textFill>
        </w:rPr>
      </w:pPr>
    </w:p>
    <w:p w14:paraId="678759F2">
      <w:pPr>
        <w:rPr>
          <w:rFonts w:hint="eastAsia" w:ascii="仿宋" w:hAnsi="仿宋" w:eastAsia="仿宋" w:cs="仿宋"/>
          <w:color w:val="000000" w:themeColor="text1"/>
          <w:highlight w:val="none"/>
          <w14:textFill>
            <w14:solidFill>
              <w14:schemeClr w14:val="tx1"/>
            </w14:solidFill>
          </w14:textFill>
        </w:rPr>
      </w:pPr>
    </w:p>
    <w:p w14:paraId="6812283D">
      <w:pPr>
        <w:rPr>
          <w:rFonts w:hint="eastAsia" w:ascii="仿宋" w:hAnsi="仿宋" w:eastAsia="仿宋" w:cs="仿宋"/>
          <w:color w:val="000000" w:themeColor="text1"/>
          <w:highlight w:val="none"/>
          <w14:textFill>
            <w14:solidFill>
              <w14:schemeClr w14:val="tx1"/>
            </w14:solidFill>
          </w14:textFill>
        </w:rPr>
      </w:pPr>
    </w:p>
    <w:p w14:paraId="28E1FA87">
      <w:pPr>
        <w:rPr>
          <w:rFonts w:hint="eastAsia" w:ascii="仿宋" w:hAnsi="仿宋" w:eastAsia="仿宋" w:cs="仿宋"/>
          <w:color w:val="000000" w:themeColor="text1"/>
          <w:highlight w:val="none"/>
          <w14:textFill>
            <w14:solidFill>
              <w14:schemeClr w14:val="tx1"/>
            </w14:solidFill>
          </w14:textFill>
        </w:rPr>
      </w:pPr>
    </w:p>
    <w:p w14:paraId="751AE9DE">
      <w:pPr>
        <w:rPr>
          <w:rFonts w:hint="eastAsia" w:ascii="仿宋" w:hAnsi="仿宋" w:eastAsia="仿宋" w:cs="仿宋"/>
          <w:color w:val="000000" w:themeColor="text1"/>
          <w:highlight w:val="none"/>
          <w14:textFill>
            <w14:solidFill>
              <w14:schemeClr w14:val="tx1"/>
            </w14:solidFill>
          </w14:textFill>
        </w:rPr>
      </w:pPr>
    </w:p>
    <w:p w14:paraId="0FC708D4">
      <w:pPr>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color w:val="000000" w:themeColor="text1"/>
          <w:sz w:val="48"/>
          <w:szCs w:val="48"/>
          <w:highlight w:val="none"/>
          <w14:textFill>
            <w14:solidFill>
              <w14:schemeClr w14:val="tx1"/>
            </w14:solidFill>
          </w14:textFill>
        </w:rPr>
        <w:br w:type="page"/>
      </w:r>
    </w:p>
    <w:p w14:paraId="5AB99F16">
      <w:pPr>
        <w:numPr>
          <w:ilvl w:val="0"/>
          <w:numId w:val="4"/>
        </w:numPr>
        <w:ind w:left="0" w:leftChars="0" w:firstLine="0" w:firstLineChars="0"/>
        <w:jc w:val="center"/>
        <w:outlineLvl w:val="2"/>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特定资格要求相关证明材料</w:t>
      </w:r>
    </w:p>
    <w:p w14:paraId="60C3DFE6">
      <w:pPr>
        <w:spacing w:line="360" w:lineRule="auto"/>
        <w:ind w:firstLine="482" w:firstLineChars="200"/>
        <w:jc w:val="left"/>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投标人必须提供计量认证证书（CMA）、食品检验机构资质认定证书（CMAF）（已取得两证合一的企业只用提供CMA证），提供证书扫描件。</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14:paraId="2009E0EA">
      <w:pPr>
        <w:spacing w:line="360" w:lineRule="auto"/>
        <w:ind w:firstLine="480"/>
        <w:rPr>
          <w:rFonts w:hint="eastAsia" w:ascii="仿宋" w:hAnsi="仿宋" w:eastAsia="仿宋" w:cs="仿宋"/>
          <w:color w:val="000000" w:themeColor="text1"/>
          <w:highlight w:val="none"/>
          <w14:textFill>
            <w14:solidFill>
              <w14:schemeClr w14:val="tx1"/>
            </w14:solidFill>
          </w14:textFill>
        </w:rPr>
      </w:pPr>
      <w:bookmarkStart w:id="361" w:name="_Toc8798"/>
      <w:bookmarkStart w:id="362" w:name="_Toc85096180"/>
    </w:p>
    <w:p w14:paraId="39A8F37F">
      <w:pPr>
        <w:rPr>
          <w:rFonts w:hint="eastAsia" w:ascii="仿宋" w:hAnsi="仿宋" w:eastAsia="仿宋" w:cs="仿宋"/>
          <w:color w:val="000000" w:themeColor="text1"/>
          <w:highlight w:val="none"/>
          <w14:textFill>
            <w14:solidFill>
              <w14:schemeClr w14:val="tx1"/>
            </w14:solidFill>
          </w14:textFill>
        </w:rPr>
      </w:pPr>
    </w:p>
    <w:p w14:paraId="77866BAB">
      <w:pPr>
        <w:pStyle w:val="11"/>
        <w:rPr>
          <w:rFonts w:hint="eastAsia" w:ascii="仿宋" w:hAnsi="仿宋" w:eastAsia="仿宋" w:cs="仿宋"/>
          <w:color w:val="000000" w:themeColor="text1"/>
          <w:highlight w:val="none"/>
          <w14:textFill>
            <w14:solidFill>
              <w14:schemeClr w14:val="tx1"/>
            </w14:solidFill>
          </w14:textFill>
        </w:rPr>
      </w:pPr>
    </w:p>
    <w:p w14:paraId="29A5D87A">
      <w:pPr>
        <w:rPr>
          <w:rFonts w:hint="eastAsia" w:ascii="仿宋" w:hAnsi="仿宋" w:eastAsia="仿宋" w:cs="仿宋"/>
          <w:color w:val="000000" w:themeColor="text1"/>
          <w:highlight w:val="none"/>
          <w14:textFill>
            <w14:solidFill>
              <w14:schemeClr w14:val="tx1"/>
            </w14:solidFill>
          </w14:textFill>
        </w:rPr>
      </w:pPr>
    </w:p>
    <w:p w14:paraId="2508236F">
      <w:pPr>
        <w:pStyle w:val="11"/>
        <w:jc w:val="center"/>
        <w:rPr>
          <w:rFonts w:hint="eastAsia" w:ascii="仿宋" w:hAnsi="仿宋" w:eastAsia="仿宋" w:cs="仿宋"/>
          <w:color w:val="000000" w:themeColor="text1"/>
          <w:highlight w:val="none"/>
          <w14:textFill>
            <w14:solidFill>
              <w14:schemeClr w14:val="tx1"/>
            </w14:solidFill>
          </w14:textFill>
        </w:rPr>
      </w:pPr>
    </w:p>
    <w:p w14:paraId="2514055E">
      <w:pPr>
        <w:rPr>
          <w:rFonts w:hint="eastAsia" w:ascii="仿宋" w:hAnsi="仿宋" w:eastAsia="仿宋" w:cs="仿宋"/>
          <w:color w:val="000000" w:themeColor="text1"/>
          <w:highlight w:val="none"/>
          <w14:textFill>
            <w14:solidFill>
              <w14:schemeClr w14:val="tx1"/>
            </w14:solidFill>
          </w14:textFill>
        </w:rPr>
      </w:pPr>
    </w:p>
    <w:p w14:paraId="13830531">
      <w:pPr>
        <w:rPr>
          <w:rFonts w:hint="eastAsia" w:ascii="仿宋" w:hAnsi="仿宋" w:eastAsia="仿宋" w:cs="仿宋"/>
          <w:color w:val="000000" w:themeColor="text1"/>
          <w:highlight w:val="none"/>
          <w14:textFill>
            <w14:solidFill>
              <w14:schemeClr w14:val="tx1"/>
            </w14:solidFill>
          </w14:textFill>
        </w:rPr>
      </w:pPr>
    </w:p>
    <w:p w14:paraId="7E1E27C9">
      <w:pPr>
        <w:rPr>
          <w:rFonts w:hint="eastAsia" w:ascii="仿宋" w:hAnsi="仿宋" w:eastAsia="仿宋" w:cs="仿宋"/>
          <w:color w:val="000000" w:themeColor="text1"/>
          <w:highlight w:val="none"/>
          <w14:textFill>
            <w14:solidFill>
              <w14:schemeClr w14:val="tx1"/>
            </w14:solidFill>
          </w14:textFill>
        </w:rPr>
      </w:pPr>
    </w:p>
    <w:p w14:paraId="72C953F6">
      <w:pPr>
        <w:rPr>
          <w:rFonts w:hint="eastAsia" w:ascii="仿宋" w:hAnsi="仿宋" w:eastAsia="仿宋" w:cs="仿宋"/>
          <w:color w:val="000000" w:themeColor="text1"/>
          <w:highlight w:val="none"/>
          <w14:textFill>
            <w14:solidFill>
              <w14:schemeClr w14:val="tx1"/>
            </w14:solidFill>
          </w14:textFill>
        </w:rPr>
      </w:pPr>
    </w:p>
    <w:p w14:paraId="6AFA6BEB">
      <w:pPr>
        <w:rPr>
          <w:rFonts w:hint="eastAsia" w:ascii="仿宋" w:hAnsi="仿宋" w:eastAsia="仿宋" w:cs="仿宋"/>
          <w:color w:val="000000" w:themeColor="text1"/>
          <w:highlight w:val="none"/>
          <w14:textFill>
            <w14:solidFill>
              <w14:schemeClr w14:val="tx1"/>
            </w14:solidFill>
          </w14:textFill>
        </w:rPr>
      </w:pPr>
    </w:p>
    <w:p w14:paraId="7B2E1792">
      <w:pPr>
        <w:rPr>
          <w:rFonts w:hint="eastAsia" w:ascii="仿宋" w:hAnsi="仿宋" w:eastAsia="仿宋" w:cs="仿宋"/>
          <w:color w:val="000000" w:themeColor="text1"/>
          <w:highlight w:val="none"/>
          <w14:textFill>
            <w14:solidFill>
              <w14:schemeClr w14:val="tx1"/>
            </w14:solidFill>
          </w14:textFill>
        </w:rPr>
      </w:pPr>
    </w:p>
    <w:p w14:paraId="54FB5BF4">
      <w:pPr>
        <w:rPr>
          <w:rFonts w:hint="eastAsia" w:ascii="仿宋" w:hAnsi="仿宋" w:eastAsia="仿宋" w:cs="仿宋"/>
          <w:color w:val="000000" w:themeColor="text1"/>
          <w:highlight w:val="none"/>
          <w14:textFill>
            <w14:solidFill>
              <w14:schemeClr w14:val="tx1"/>
            </w14:solidFill>
          </w14:textFill>
        </w:rPr>
      </w:pPr>
    </w:p>
    <w:p w14:paraId="0C1E8895">
      <w:pPr>
        <w:rPr>
          <w:rFonts w:hint="eastAsia" w:ascii="仿宋" w:hAnsi="仿宋" w:eastAsia="仿宋" w:cs="仿宋"/>
          <w:color w:val="000000" w:themeColor="text1"/>
          <w:highlight w:val="none"/>
          <w14:textFill>
            <w14:solidFill>
              <w14:schemeClr w14:val="tx1"/>
            </w14:solidFill>
          </w14:textFill>
        </w:rPr>
      </w:pPr>
    </w:p>
    <w:p w14:paraId="0B8E16BF">
      <w:pPr>
        <w:rPr>
          <w:rFonts w:hint="eastAsia" w:ascii="仿宋" w:hAnsi="仿宋" w:eastAsia="仿宋" w:cs="仿宋"/>
          <w:color w:val="000000" w:themeColor="text1"/>
          <w:highlight w:val="none"/>
          <w14:textFill>
            <w14:solidFill>
              <w14:schemeClr w14:val="tx1"/>
            </w14:solidFill>
          </w14:textFill>
        </w:rPr>
      </w:pPr>
    </w:p>
    <w:p w14:paraId="6CBD39A0">
      <w:pPr>
        <w:jc w:val="center"/>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kern w:val="2"/>
          <w:sz w:val="48"/>
          <w:szCs w:val="48"/>
          <w:highlight w:val="none"/>
          <w:lang w:val="en-US" w:eastAsia="zh-CN" w:bidi="ar-SA"/>
          <w14:textFill>
            <w14:solidFill>
              <w14:schemeClr w14:val="tx1"/>
            </w14:solidFill>
          </w14:textFill>
        </w:rPr>
        <w:t>第二部分 技术部分</w:t>
      </w:r>
    </w:p>
    <w:p w14:paraId="1650F0B7">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p>
    <w:bookmarkEnd w:id="361"/>
    <w:bookmarkEnd w:id="362"/>
    <w:p w14:paraId="1D7C65BE">
      <w:pPr>
        <w:widowControl/>
        <w:ind w:firstLine="420" w:firstLineChars="0"/>
        <w:jc w:val="left"/>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bookmarkStart w:id="363" w:name="_Toc85096182"/>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未提供格式的内容投标人根据采购文件要求和评标办法规定自拟格，但至少应包含以下内容：服务方案、投入项目人员及实验室检验设备、快检设备、快速检测试剂性能保证、检测项目覆盖率评分、抽样系统录入能力。</w:t>
      </w:r>
    </w:p>
    <w:bookmarkEnd w:id="363"/>
    <w:p w14:paraId="5E00018B">
      <w:pPr>
        <w:rPr>
          <w:rFonts w:hint="eastAsia" w:ascii="仿宋" w:hAnsi="仿宋" w:eastAsia="仿宋" w:cs="仿宋"/>
          <w:color w:val="000000" w:themeColor="text1"/>
          <w:highlight w:val="none"/>
          <w14:textFill>
            <w14:solidFill>
              <w14:schemeClr w14:val="tx1"/>
            </w14:solidFill>
          </w14:textFill>
        </w:rPr>
      </w:pPr>
      <w:bookmarkStart w:id="364" w:name="_Toc85096184"/>
      <w:bookmarkStart w:id="365" w:name="_Hlk485978218"/>
    </w:p>
    <w:bookmarkEnd w:id="364"/>
    <w:bookmarkEnd w:id="365"/>
    <w:p w14:paraId="51AD7917">
      <w:pPr>
        <w:rPr>
          <w:rFonts w:hint="eastAsia" w:ascii="宋体" w:hAnsi="宋体" w:cs="宋体"/>
          <w:b/>
          <w:sz w:val="32"/>
          <w:szCs w:val="32"/>
          <w:highlight w:val="none"/>
        </w:rPr>
      </w:pPr>
      <w:bookmarkStart w:id="366" w:name="_Toc23379"/>
      <w:bookmarkStart w:id="367" w:name="_Toc25214"/>
      <w:bookmarkStart w:id="368" w:name="_Toc85096185"/>
      <w:r>
        <w:rPr>
          <w:rFonts w:hint="eastAsia" w:ascii="宋体" w:hAnsi="宋体" w:cs="宋体"/>
          <w:b/>
          <w:sz w:val="32"/>
          <w:szCs w:val="32"/>
          <w:highlight w:val="none"/>
        </w:rPr>
        <w:br w:type="page"/>
      </w:r>
    </w:p>
    <w:p w14:paraId="6EB78671">
      <w:pPr>
        <w:widowControl/>
        <w:shd w:val="clear" w:color="auto" w:fill="FFFFFF"/>
        <w:spacing w:line="270" w:lineRule="atLeast"/>
        <w:jc w:val="center"/>
        <w:rPr>
          <w:rFonts w:hint="eastAsia" w:ascii="宋体" w:hAnsi="宋体" w:cs="宋体"/>
          <w:b/>
          <w:sz w:val="32"/>
          <w:szCs w:val="32"/>
          <w:highlight w:val="none"/>
        </w:rPr>
      </w:pPr>
      <w:r>
        <w:rPr>
          <w:rFonts w:hint="eastAsia" w:ascii="宋体" w:hAnsi="宋体" w:cs="宋体"/>
          <w:b/>
          <w:sz w:val="32"/>
          <w:szCs w:val="32"/>
          <w:highlight w:val="none"/>
        </w:rPr>
        <w:t>投入本项目设备及车辆清单</w:t>
      </w:r>
      <w:bookmarkEnd w:id="366"/>
      <w:bookmarkEnd w:id="367"/>
    </w:p>
    <w:p w14:paraId="23FDCE48">
      <w:pPr>
        <w:pStyle w:val="15"/>
        <w:ind w:firstLine="240" w:firstLineChars="100"/>
        <w:rPr>
          <w:rFonts w:hint="eastAsia" w:hAnsi="宋体" w:cs="宋体"/>
          <w:bCs/>
          <w:sz w:val="24"/>
          <w:highlight w:val="none"/>
        </w:rPr>
      </w:pPr>
    </w:p>
    <w:p w14:paraId="41033F9C">
      <w:pPr>
        <w:pStyle w:val="15"/>
        <w:spacing w:line="360" w:lineRule="auto"/>
        <w:ind w:firstLine="240" w:firstLineChars="1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包件</w:t>
      </w:r>
      <w:r>
        <w:rPr>
          <w:rFonts w:hint="eastAsia" w:ascii="仿宋" w:hAnsi="仿宋" w:eastAsia="仿宋" w:cs="仿宋"/>
          <w:bCs/>
          <w:sz w:val="24"/>
          <w:szCs w:val="24"/>
          <w:highlight w:val="none"/>
        </w:rPr>
        <w:t>名称：</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包件</w:t>
      </w:r>
      <w:r>
        <w:rPr>
          <w:rFonts w:hint="eastAsia" w:ascii="仿宋" w:hAnsi="仿宋" w:eastAsia="仿宋" w:cs="仿宋"/>
          <w:bCs/>
          <w:sz w:val="24"/>
          <w:szCs w:val="24"/>
          <w:highlight w:val="none"/>
        </w:rPr>
        <w:t>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418"/>
        <w:gridCol w:w="1835"/>
        <w:gridCol w:w="1656"/>
        <w:gridCol w:w="1558"/>
        <w:gridCol w:w="1985"/>
      </w:tblGrid>
      <w:tr w14:paraId="7E1A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54" w:type="dxa"/>
            <w:noWrap w:val="0"/>
            <w:vAlign w:val="center"/>
          </w:tcPr>
          <w:p w14:paraId="6B2DBA0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418" w:type="dxa"/>
            <w:noWrap w:val="0"/>
            <w:vAlign w:val="center"/>
          </w:tcPr>
          <w:p w14:paraId="5BAC8B26">
            <w:pPr>
              <w:pStyle w:val="61"/>
              <w:keepNext w:val="0"/>
              <w:adjustRightInd/>
              <w:spacing w:before="0" w:after="0" w:line="360" w:lineRule="auto"/>
              <w:rPr>
                <w:rFonts w:hint="eastAsia" w:ascii="仿宋" w:hAnsi="仿宋" w:eastAsia="仿宋" w:cs="仿宋"/>
                <w:spacing w:val="0"/>
                <w:kern w:val="2"/>
                <w:sz w:val="24"/>
                <w:szCs w:val="24"/>
                <w:highlight w:val="none"/>
              </w:rPr>
            </w:pPr>
            <w:r>
              <w:rPr>
                <w:rFonts w:hint="eastAsia" w:ascii="仿宋" w:hAnsi="仿宋" w:eastAsia="仿宋" w:cs="仿宋"/>
                <w:spacing w:val="0"/>
                <w:kern w:val="2"/>
                <w:sz w:val="24"/>
                <w:szCs w:val="24"/>
                <w:highlight w:val="none"/>
              </w:rPr>
              <w:t>设备名称</w:t>
            </w:r>
          </w:p>
        </w:tc>
        <w:tc>
          <w:tcPr>
            <w:tcW w:w="1835" w:type="dxa"/>
            <w:noWrap w:val="0"/>
            <w:vAlign w:val="center"/>
          </w:tcPr>
          <w:p w14:paraId="31D5608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规格型号</w:t>
            </w:r>
          </w:p>
        </w:tc>
        <w:tc>
          <w:tcPr>
            <w:tcW w:w="1656" w:type="dxa"/>
            <w:noWrap w:val="0"/>
            <w:vAlign w:val="center"/>
          </w:tcPr>
          <w:p w14:paraId="6EAB0F6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购买年限</w:t>
            </w:r>
          </w:p>
        </w:tc>
        <w:tc>
          <w:tcPr>
            <w:tcW w:w="1558" w:type="dxa"/>
            <w:noWrap w:val="0"/>
            <w:vAlign w:val="center"/>
          </w:tcPr>
          <w:p w14:paraId="6366224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985" w:type="dxa"/>
            <w:noWrap w:val="0"/>
            <w:vAlign w:val="center"/>
          </w:tcPr>
          <w:p w14:paraId="7A55089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4837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54" w:type="dxa"/>
            <w:noWrap w:val="0"/>
            <w:vAlign w:val="center"/>
          </w:tcPr>
          <w:p w14:paraId="717F89D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18" w:type="dxa"/>
            <w:noWrap w:val="0"/>
            <w:vAlign w:val="center"/>
          </w:tcPr>
          <w:p w14:paraId="3FB4F0E7">
            <w:pPr>
              <w:pStyle w:val="61"/>
              <w:keepNext w:val="0"/>
              <w:adjustRightInd/>
              <w:spacing w:before="0" w:after="0" w:line="360" w:lineRule="auto"/>
              <w:rPr>
                <w:rFonts w:hint="eastAsia" w:ascii="仿宋" w:hAnsi="仿宋" w:eastAsia="仿宋" w:cs="仿宋"/>
                <w:spacing w:val="0"/>
                <w:kern w:val="2"/>
                <w:sz w:val="24"/>
                <w:szCs w:val="24"/>
                <w:highlight w:val="none"/>
              </w:rPr>
            </w:pPr>
          </w:p>
        </w:tc>
        <w:tc>
          <w:tcPr>
            <w:tcW w:w="1835" w:type="dxa"/>
            <w:noWrap w:val="0"/>
            <w:vAlign w:val="center"/>
          </w:tcPr>
          <w:p w14:paraId="65AE0F2E">
            <w:pPr>
              <w:spacing w:line="360" w:lineRule="auto"/>
              <w:jc w:val="center"/>
              <w:rPr>
                <w:rFonts w:hint="eastAsia" w:ascii="仿宋" w:hAnsi="仿宋" w:eastAsia="仿宋" w:cs="仿宋"/>
                <w:sz w:val="24"/>
                <w:szCs w:val="24"/>
                <w:highlight w:val="none"/>
              </w:rPr>
            </w:pPr>
          </w:p>
        </w:tc>
        <w:tc>
          <w:tcPr>
            <w:tcW w:w="1656" w:type="dxa"/>
            <w:noWrap w:val="0"/>
            <w:vAlign w:val="center"/>
          </w:tcPr>
          <w:p w14:paraId="7533A93A">
            <w:pPr>
              <w:spacing w:line="360" w:lineRule="auto"/>
              <w:jc w:val="center"/>
              <w:rPr>
                <w:rFonts w:hint="eastAsia" w:ascii="仿宋" w:hAnsi="仿宋" w:eastAsia="仿宋" w:cs="仿宋"/>
                <w:sz w:val="24"/>
                <w:szCs w:val="24"/>
                <w:highlight w:val="none"/>
              </w:rPr>
            </w:pPr>
          </w:p>
        </w:tc>
        <w:tc>
          <w:tcPr>
            <w:tcW w:w="1558" w:type="dxa"/>
            <w:noWrap w:val="0"/>
            <w:vAlign w:val="center"/>
          </w:tcPr>
          <w:p w14:paraId="4EFCBE02">
            <w:pPr>
              <w:spacing w:line="360" w:lineRule="auto"/>
              <w:jc w:val="center"/>
              <w:rPr>
                <w:rFonts w:hint="eastAsia" w:ascii="仿宋" w:hAnsi="仿宋" w:eastAsia="仿宋" w:cs="仿宋"/>
                <w:sz w:val="24"/>
                <w:szCs w:val="24"/>
                <w:highlight w:val="none"/>
              </w:rPr>
            </w:pPr>
          </w:p>
        </w:tc>
        <w:tc>
          <w:tcPr>
            <w:tcW w:w="1985" w:type="dxa"/>
            <w:noWrap w:val="0"/>
            <w:vAlign w:val="center"/>
          </w:tcPr>
          <w:p w14:paraId="3DD998F0">
            <w:pPr>
              <w:spacing w:line="360" w:lineRule="auto"/>
              <w:jc w:val="center"/>
              <w:rPr>
                <w:rFonts w:hint="eastAsia" w:ascii="仿宋" w:hAnsi="仿宋" w:eastAsia="仿宋" w:cs="仿宋"/>
                <w:sz w:val="24"/>
                <w:szCs w:val="24"/>
                <w:highlight w:val="none"/>
              </w:rPr>
            </w:pPr>
          </w:p>
        </w:tc>
      </w:tr>
      <w:tr w14:paraId="1277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0E224AF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09FD82">
            <w:pPr>
              <w:pStyle w:val="61"/>
              <w:keepNext w:val="0"/>
              <w:adjustRightInd/>
              <w:spacing w:before="0" w:after="0" w:line="360" w:lineRule="auto"/>
              <w:rPr>
                <w:rFonts w:hint="eastAsia" w:ascii="仿宋" w:hAnsi="仿宋" w:eastAsia="仿宋" w:cs="仿宋"/>
                <w:spacing w:val="0"/>
                <w:kern w:val="2"/>
                <w:sz w:val="24"/>
                <w:szCs w:val="24"/>
                <w:highlight w:val="none"/>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6172AE82">
            <w:pPr>
              <w:spacing w:line="360" w:lineRule="auto"/>
              <w:jc w:val="center"/>
              <w:rPr>
                <w:rFonts w:hint="eastAsia" w:ascii="仿宋" w:hAnsi="仿宋" w:eastAsia="仿宋" w:cs="仿宋"/>
                <w:sz w:val="24"/>
                <w:szCs w:val="24"/>
                <w:highlight w:val="none"/>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959159B">
            <w:pPr>
              <w:spacing w:line="360" w:lineRule="auto"/>
              <w:jc w:val="center"/>
              <w:rPr>
                <w:rFonts w:hint="eastAsia" w:ascii="仿宋" w:hAnsi="仿宋" w:eastAsia="仿宋" w:cs="仿宋"/>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A80BF82">
            <w:pPr>
              <w:spacing w:line="360" w:lineRule="auto"/>
              <w:jc w:val="center"/>
              <w:rPr>
                <w:rFonts w:hint="eastAsia" w:ascii="仿宋" w:hAnsi="仿宋" w:eastAsia="仿宋" w:cs="仿宋"/>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23AD72D">
            <w:pPr>
              <w:spacing w:line="360" w:lineRule="auto"/>
              <w:jc w:val="center"/>
              <w:rPr>
                <w:rFonts w:hint="eastAsia" w:ascii="仿宋" w:hAnsi="仿宋" w:eastAsia="仿宋" w:cs="仿宋"/>
                <w:sz w:val="24"/>
                <w:szCs w:val="24"/>
                <w:highlight w:val="none"/>
              </w:rPr>
            </w:pPr>
          </w:p>
        </w:tc>
      </w:tr>
      <w:tr w14:paraId="328E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07FF6FB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B58F42">
            <w:pPr>
              <w:pStyle w:val="61"/>
              <w:keepNext w:val="0"/>
              <w:adjustRightInd/>
              <w:spacing w:before="0" w:after="0" w:line="360" w:lineRule="auto"/>
              <w:rPr>
                <w:rFonts w:hint="eastAsia" w:ascii="仿宋" w:hAnsi="仿宋" w:eastAsia="仿宋" w:cs="仿宋"/>
                <w:spacing w:val="0"/>
                <w:kern w:val="2"/>
                <w:sz w:val="24"/>
                <w:szCs w:val="24"/>
                <w:highlight w:val="none"/>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536AA362">
            <w:pPr>
              <w:spacing w:line="360" w:lineRule="auto"/>
              <w:jc w:val="center"/>
              <w:rPr>
                <w:rFonts w:hint="eastAsia" w:ascii="仿宋" w:hAnsi="仿宋" w:eastAsia="仿宋" w:cs="仿宋"/>
                <w:sz w:val="24"/>
                <w:szCs w:val="24"/>
                <w:highlight w:val="none"/>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C12473D">
            <w:pPr>
              <w:spacing w:line="360" w:lineRule="auto"/>
              <w:jc w:val="center"/>
              <w:rPr>
                <w:rFonts w:hint="eastAsia" w:ascii="仿宋" w:hAnsi="仿宋" w:eastAsia="仿宋" w:cs="仿宋"/>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4FA8B50B">
            <w:pPr>
              <w:spacing w:line="360" w:lineRule="auto"/>
              <w:jc w:val="center"/>
              <w:rPr>
                <w:rFonts w:hint="eastAsia" w:ascii="仿宋" w:hAnsi="仿宋" w:eastAsia="仿宋" w:cs="仿宋"/>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0A8C6E8">
            <w:pPr>
              <w:spacing w:line="360" w:lineRule="auto"/>
              <w:jc w:val="center"/>
              <w:rPr>
                <w:rFonts w:hint="eastAsia" w:ascii="仿宋" w:hAnsi="仿宋" w:eastAsia="仿宋" w:cs="仿宋"/>
                <w:sz w:val="24"/>
                <w:szCs w:val="24"/>
                <w:highlight w:val="none"/>
              </w:rPr>
            </w:pPr>
          </w:p>
        </w:tc>
      </w:tr>
    </w:tbl>
    <w:p w14:paraId="0649853D">
      <w:pPr>
        <w:pStyle w:val="2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注：填写本表并附设备彩色图片和购置发票等证明材料的扫描件。</w:t>
      </w:r>
    </w:p>
    <w:p w14:paraId="769C8396">
      <w:pPr>
        <w:pStyle w:val="15"/>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p>
    <w:p w14:paraId="18900E14">
      <w:pPr>
        <w:pStyle w:val="15"/>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投标人全称：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36CCF9EB">
      <w:pPr>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（电子签章）</w:t>
      </w:r>
    </w:p>
    <w:p w14:paraId="54334E5F">
      <w:pPr>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656B2830">
      <w:pPr>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End w:id="352"/>
      <w:bookmarkEnd w:id="353"/>
      <w:bookmarkEnd w:id="354"/>
      <w:bookmarkEnd w:id="355"/>
      <w:bookmarkEnd w:id="356"/>
      <w:bookmarkEnd w:id="357"/>
      <w:bookmarkEnd w:id="358"/>
      <w:bookmarkEnd w:id="359"/>
      <w:bookmarkEnd w:id="360"/>
      <w:bookmarkEnd w:id="368"/>
      <w:bookmarkStart w:id="369" w:name="_Toc85096171"/>
    </w:p>
    <w:p w14:paraId="157B8694">
      <w:pPr>
        <w:widowControl/>
        <w:shd w:val="clear" w:color="auto" w:fill="FFFFFF"/>
        <w:spacing w:line="270" w:lineRule="atLeast"/>
        <w:jc w:val="center"/>
        <w:rPr>
          <w:rFonts w:hint="eastAsia" w:ascii="宋体" w:hAnsi="宋体" w:cs="宋体"/>
          <w:b/>
          <w:sz w:val="32"/>
          <w:szCs w:val="32"/>
          <w:highlight w:val="none"/>
        </w:rPr>
      </w:pPr>
      <w:bookmarkStart w:id="370" w:name="_Toc29741"/>
      <w:bookmarkStart w:id="371" w:name="_Toc16094"/>
      <w:r>
        <w:rPr>
          <w:rFonts w:hint="eastAsia" w:ascii="宋体" w:hAnsi="宋体" w:cs="宋体"/>
          <w:b/>
          <w:sz w:val="32"/>
          <w:szCs w:val="32"/>
          <w:highlight w:val="none"/>
        </w:rPr>
        <w:t>项目负责人及相关人员情况表</w:t>
      </w:r>
      <w:bookmarkEnd w:id="370"/>
      <w:bookmarkEnd w:id="371"/>
    </w:p>
    <w:p w14:paraId="608CFAAE">
      <w:pPr>
        <w:pStyle w:val="15"/>
        <w:ind w:firstLine="240" w:firstLineChars="100"/>
        <w:rPr>
          <w:rFonts w:hint="eastAsia" w:hAnsi="宋体" w:cs="宋体"/>
          <w:bCs/>
          <w:sz w:val="24"/>
          <w:highlight w:val="none"/>
        </w:rPr>
      </w:pPr>
      <w:r>
        <w:rPr>
          <w:rFonts w:hint="eastAsia" w:hAnsi="宋体" w:cs="宋体"/>
          <w:bCs/>
          <w:sz w:val="24"/>
          <w:highlight w:val="none"/>
        </w:rPr>
        <w:t xml:space="preserve">  </w:t>
      </w:r>
    </w:p>
    <w:p w14:paraId="64D602AC">
      <w:pPr>
        <w:pStyle w:val="15"/>
        <w:ind w:firstLine="240" w:firstLineChars="1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包件</w:t>
      </w:r>
      <w:r>
        <w:rPr>
          <w:rFonts w:hint="eastAsia" w:ascii="仿宋" w:hAnsi="仿宋" w:eastAsia="仿宋" w:cs="仿宋"/>
          <w:bCs/>
          <w:sz w:val="24"/>
          <w:szCs w:val="24"/>
          <w:highlight w:val="none"/>
        </w:rPr>
        <w:t>名称：</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包件</w:t>
      </w:r>
      <w:r>
        <w:rPr>
          <w:rFonts w:hint="eastAsia" w:ascii="仿宋" w:hAnsi="仿宋" w:eastAsia="仿宋" w:cs="仿宋"/>
          <w:bCs/>
          <w:sz w:val="24"/>
          <w:szCs w:val="24"/>
          <w:highlight w:val="none"/>
        </w:rPr>
        <w:t>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74F65F1F">
      <w:pPr>
        <w:rPr>
          <w:rFonts w:hint="eastAsia"/>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57"/>
        <w:gridCol w:w="805"/>
        <w:gridCol w:w="805"/>
        <w:gridCol w:w="1397"/>
        <w:gridCol w:w="1179"/>
        <w:gridCol w:w="1225"/>
        <w:gridCol w:w="2062"/>
      </w:tblGrid>
      <w:tr w14:paraId="0E3D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noWrap w:val="0"/>
            <w:vAlign w:val="center"/>
          </w:tcPr>
          <w:p w14:paraId="6B90726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57" w:type="dxa"/>
            <w:noWrap w:val="0"/>
            <w:vAlign w:val="center"/>
          </w:tcPr>
          <w:p w14:paraId="27529705">
            <w:pPr>
              <w:pStyle w:val="61"/>
              <w:keepNext w:val="0"/>
              <w:adjustRightInd/>
              <w:spacing w:before="0" w:after="0" w:line="360" w:lineRule="auto"/>
              <w:rPr>
                <w:rFonts w:hint="eastAsia" w:ascii="仿宋" w:hAnsi="仿宋" w:eastAsia="仿宋" w:cs="仿宋"/>
                <w:spacing w:val="0"/>
                <w:kern w:val="2"/>
                <w:sz w:val="24"/>
                <w:szCs w:val="24"/>
                <w:highlight w:val="none"/>
              </w:rPr>
            </w:pPr>
            <w:r>
              <w:rPr>
                <w:rFonts w:hint="eastAsia" w:ascii="仿宋" w:hAnsi="仿宋" w:eastAsia="仿宋" w:cs="仿宋"/>
                <w:spacing w:val="0"/>
                <w:kern w:val="2"/>
                <w:sz w:val="24"/>
                <w:szCs w:val="24"/>
                <w:highlight w:val="none"/>
              </w:rPr>
              <w:t>姓名</w:t>
            </w:r>
          </w:p>
        </w:tc>
        <w:tc>
          <w:tcPr>
            <w:tcW w:w="805" w:type="dxa"/>
            <w:noWrap w:val="0"/>
            <w:vAlign w:val="center"/>
          </w:tcPr>
          <w:p w14:paraId="12CBCEA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年龄</w:t>
            </w:r>
          </w:p>
        </w:tc>
        <w:tc>
          <w:tcPr>
            <w:tcW w:w="805" w:type="dxa"/>
            <w:noWrap w:val="0"/>
            <w:vAlign w:val="center"/>
          </w:tcPr>
          <w:p w14:paraId="66ABF95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学历</w:t>
            </w:r>
          </w:p>
        </w:tc>
        <w:tc>
          <w:tcPr>
            <w:tcW w:w="1397" w:type="dxa"/>
            <w:noWrap w:val="0"/>
            <w:vAlign w:val="center"/>
          </w:tcPr>
          <w:p w14:paraId="775B42E8">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职务</w:t>
            </w:r>
            <w:r>
              <w:rPr>
                <w:rFonts w:hint="eastAsia" w:ascii="仿宋" w:hAnsi="仿宋" w:eastAsia="仿宋" w:cs="仿宋"/>
                <w:sz w:val="24"/>
                <w:szCs w:val="24"/>
                <w:highlight w:val="none"/>
                <w:lang w:val="en-US" w:eastAsia="zh-CN"/>
              </w:rPr>
              <w:t>/职称</w:t>
            </w:r>
          </w:p>
        </w:tc>
        <w:tc>
          <w:tcPr>
            <w:tcW w:w="1179" w:type="dxa"/>
            <w:noWrap w:val="0"/>
            <w:vAlign w:val="center"/>
          </w:tcPr>
          <w:p w14:paraId="03E712F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225" w:type="dxa"/>
            <w:noWrap w:val="0"/>
            <w:vAlign w:val="center"/>
          </w:tcPr>
          <w:p w14:paraId="0A4156F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2062" w:type="dxa"/>
            <w:noWrap w:val="0"/>
            <w:vAlign w:val="center"/>
          </w:tcPr>
          <w:p w14:paraId="758E2B7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曾主持/参与的同类项目经历</w:t>
            </w:r>
          </w:p>
        </w:tc>
      </w:tr>
      <w:tr w14:paraId="3A5D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noWrap w:val="0"/>
            <w:vAlign w:val="center"/>
          </w:tcPr>
          <w:p w14:paraId="13F6282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57" w:type="dxa"/>
            <w:noWrap w:val="0"/>
            <w:vAlign w:val="center"/>
          </w:tcPr>
          <w:p w14:paraId="2A27B672">
            <w:pPr>
              <w:pStyle w:val="61"/>
              <w:keepNext w:val="0"/>
              <w:adjustRightInd/>
              <w:spacing w:before="0" w:after="0" w:line="360" w:lineRule="auto"/>
              <w:rPr>
                <w:rFonts w:hint="eastAsia" w:ascii="仿宋" w:hAnsi="仿宋" w:eastAsia="仿宋" w:cs="仿宋"/>
                <w:spacing w:val="0"/>
                <w:kern w:val="2"/>
                <w:sz w:val="24"/>
                <w:szCs w:val="24"/>
                <w:highlight w:val="none"/>
              </w:rPr>
            </w:pPr>
          </w:p>
        </w:tc>
        <w:tc>
          <w:tcPr>
            <w:tcW w:w="805" w:type="dxa"/>
            <w:noWrap w:val="0"/>
            <w:vAlign w:val="center"/>
          </w:tcPr>
          <w:p w14:paraId="5DF42AEB">
            <w:pPr>
              <w:spacing w:line="360" w:lineRule="auto"/>
              <w:jc w:val="center"/>
              <w:rPr>
                <w:rFonts w:hint="eastAsia" w:ascii="仿宋" w:hAnsi="仿宋" w:eastAsia="仿宋" w:cs="仿宋"/>
                <w:sz w:val="24"/>
                <w:szCs w:val="24"/>
                <w:highlight w:val="none"/>
              </w:rPr>
            </w:pPr>
          </w:p>
        </w:tc>
        <w:tc>
          <w:tcPr>
            <w:tcW w:w="805" w:type="dxa"/>
            <w:noWrap w:val="0"/>
            <w:vAlign w:val="center"/>
          </w:tcPr>
          <w:p w14:paraId="04BF329B">
            <w:pPr>
              <w:spacing w:line="360" w:lineRule="auto"/>
              <w:jc w:val="center"/>
              <w:rPr>
                <w:rFonts w:hint="eastAsia" w:ascii="仿宋" w:hAnsi="仿宋" w:eastAsia="仿宋" w:cs="仿宋"/>
                <w:sz w:val="24"/>
                <w:szCs w:val="24"/>
                <w:highlight w:val="none"/>
              </w:rPr>
            </w:pPr>
          </w:p>
        </w:tc>
        <w:tc>
          <w:tcPr>
            <w:tcW w:w="1397" w:type="dxa"/>
            <w:noWrap w:val="0"/>
            <w:vAlign w:val="center"/>
          </w:tcPr>
          <w:p w14:paraId="2DFA3C93">
            <w:pPr>
              <w:spacing w:line="360" w:lineRule="auto"/>
              <w:jc w:val="center"/>
              <w:rPr>
                <w:rFonts w:hint="eastAsia" w:ascii="仿宋" w:hAnsi="仿宋" w:eastAsia="仿宋" w:cs="仿宋"/>
                <w:sz w:val="24"/>
                <w:szCs w:val="24"/>
                <w:highlight w:val="none"/>
              </w:rPr>
            </w:pPr>
          </w:p>
        </w:tc>
        <w:tc>
          <w:tcPr>
            <w:tcW w:w="1179" w:type="dxa"/>
            <w:noWrap w:val="0"/>
            <w:vAlign w:val="center"/>
          </w:tcPr>
          <w:p w14:paraId="0E5ECCA2">
            <w:pPr>
              <w:spacing w:line="360" w:lineRule="auto"/>
              <w:jc w:val="center"/>
              <w:rPr>
                <w:rFonts w:hint="eastAsia" w:ascii="仿宋" w:hAnsi="仿宋" w:eastAsia="仿宋" w:cs="仿宋"/>
                <w:sz w:val="24"/>
                <w:szCs w:val="24"/>
                <w:highlight w:val="none"/>
              </w:rPr>
            </w:pPr>
          </w:p>
        </w:tc>
        <w:tc>
          <w:tcPr>
            <w:tcW w:w="1225" w:type="dxa"/>
            <w:noWrap w:val="0"/>
            <w:vAlign w:val="center"/>
          </w:tcPr>
          <w:p w14:paraId="48193C33">
            <w:pPr>
              <w:spacing w:line="360" w:lineRule="auto"/>
              <w:jc w:val="center"/>
              <w:rPr>
                <w:rFonts w:hint="eastAsia" w:ascii="仿宋" w:hAnsi="仿宋" w:eastAsia="仿宋" w:cs="仿宋"/>
                <w:sz w:val="24"/>
                <w:szCs w:val="24"/>
                <w:highlight w:val="none"/>
              </w:rPr>
            </w:pPr>
          </w:p>
        </w:tc>
        <w:tc>
          <w:tcPr>
            <w:tcW w:w="2062" w:type="dxa"/>
            <w:noWrap w:val="0"/>
            <w:vAlign w:val="center"/>
          </w:tcPr>
          <w:p w14:paraId="008B4B09">
            <w:pPr>
              <w:spacing w:line="360" w:lineRule="auto"/>
              <w:jc w:val="center"/>
              <w:rPr>
                <w:rFonts w:hint="eastAsia" w:ascii="仿宋" w:hAnsi="仿宋" w:eastAsia="仿宋" w:cs="仿宋"/>
                <w:sz w:val="24"/>
                <w:szCs w:val="24"/>
                <w:highlight w:val="none"/>
              </w:rPr>
            </w:pPr>
          </w:p>
        </w:tc>
      </w:tr>
      <w:tr w14:paraId="73F9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5B8A93B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16894214">
            <w:pPr>
              <w:pStyle w:val="61"/>
              <w:keepNext w:val="0"/>
              <w:adjustRightInd/>
              <w:spacing w:before="0" w:after="0" w:line="360" w:lineRule="auto"/>
              <w:rPr>
                <w:rFonts w:hint="eastAsia" w:ascii="仿宋" w:hAnsi="仿宋" w:eastAsia="仿宋" w:cs="仿宋"/>
                <w:spacing w:val="0"/>
                <w:kern w:val="2"/>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99193D3">
            <w:pPr>
              <w:spacing w:line="360" w:lineRule="auto"/>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3070D5B">
            <w:pPr>
              <w:spacing w:line="360" w:lineRule="auto"/>
              <w:jc w:val="center"/>
              <w:rPr>
                <w:rFonts w:hint="eastAsia" w:ascii="仿宋" w:hAnsi="仿宋" w:eastAsia="仿宋" w:cs="仿宋"/>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3C8705E">
            <w:pPr>
              <w:spacing w:line="360" w:lineRule="auto"/>
              <w:jc w:val="center"/>
              <w:rPr>
                <w:rFonts w:hint="eastAsia" w:ascii="仿宋" w:hAnsi="仿宋" w:eastAsia="仿宋" w:cs="仿宋"/>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AF14663">
            <w:pPr>
              <w:spacing w:line="360" w:lineRule="auto"/>
              <w:jc w:val="center"/>
              <w:rPr>
                <w:rFonts w:hint="eastAsia" w:ascii="仿宋" w:hAnsi="仿宋" w:eastAsia="仿宋" w:cs="仿宋"/>
                <w:sz w:val="24"/>
                <w:szCs w:val="24"/>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495A213">
            <w:pPr>
              <w:spacing w:line="360" w:lineRule="auto"/>
              <w:jc w:val="center"/>
              <w:rPr>
                <w:rFonts w:hint="eastAsia" w:ascii="仿宋" w:hAnsi="仿宋" w:eastAsia="仿宋" w:cs="仿宋"/>
                <w:sz w:val="24"/>
                <w:szCs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0634C843">
            <w:pPr>
              <w:spacing w:line="360" w:lineRule="auto"/>
              <w:jc w:val="center"/>
              <w:rPr>
                <w:rFonts w:hint="eastAsia" w:ascii="仿宋" w:hAnsi="仿宋" w:eastAsia="仿宋" w:cs="仿宋"/>
                <w:sz w:val="24"/>
                <w:szCs w:val="24"/>
                <w:highlight w:val="none"/>
              </w:rPr>
            </w:pPr>
          </w:p>
        </w:tc>
      </w:tr>
      <w:tr w14:paraId="1928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19DBCB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7EE2B55">
            <w:pPr>
              <w:pStyle w:val="61"/>
              <w:keepNext w:val="0"/>
              <w:adjustRightInd/>
              <w:spacing w:before="0" w:after="0" w:line="360" w:lineRule="auto"/>
              <w:rPr>
                <w:rFonts w:hint="eastAsia" w:ascii="仿宋" w:hAnsi="仿宋" w:eastAsia="仿宋" w:cs="仿宋"/>
                <w:spacing w:val="0"/>
                <w:kern w:val="2"/>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4CA5B5CF">
            <w:pPr>
              <w:spacing w:line="360" w:lineRule="auto"/>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4BABF3F5">
            <w:pPr>
              <w:spacing w:line="360" w:lineRule="auto"/>
              <w:jc w:val="center"/>
              <w:rPr>
                <w:rFonts w:hint="eastAsia" w:ascii="仿宋" w:hAnsi="仿宋" w:eastAsia="仿宋" w:cs="仿宋"/>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373EE411">
            <w:pPr>
              <w:spacing w:line="360" w:lineRule="auto"/>
              <w:jc w:val="center"/>
              <w:rPr>
                <w:rFonts w:hint="eastAsia" w:ascii="仿宋" w:hAnsi="仿宋" w:eastAsia="仿宋" w:cs="仿宋"/>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540B351">
            <w:pPr>
              <w:spacing w:line="360" w:lineRule="auto"/>
              <w:jc w:val="center"/>
              <w:rPr>
                <w:rFonts w:hint="eastAsia" w:ascii="仿宋" w:hAnsi="仿宋" w:eastAsia="仿宋" w:cs="仿宋"/>
                <w:sz w:val="24"/>
                <w:szCs w:val="24"/>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99098CB">
            <w:pPr>
              <w:spacing w:line="360" w:lineRule="auto"/>
              <w:jc w:val="center"/>
              <w:rPr>
                <w:rFonts w:hint="eastAsia" w:ascii="仿宋" w:hAnsi="仿宋" w:eastAsia="仿宋" w:cs="仿宋"/>
                <w:sz w:val="24"/>
                <w:szCs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687B899">
            <w:pPr>
              <w:spacing w:line="360" w:lineRule="auto"/>
              <w:jc w:val="center"/>
              <w:rPr>
                <w:rFonts w:hint="eastAsia" w:ascii="仿宋" w:hAnsi="仿宋" w:eastAsia="仿宋" w:cs="仿宋"/>
                <w:sz w:val="24"/>
                <w:szCs w:val="24"/>
                <w:highlight w:val="none"/>
              </w:rPr>
            </w:pPr>
          </w:p>
        </w:tc>
      </w:tr>
    </w:tbl>
    <w:p w14:paraId="354955F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注：填写本表应附人员的职称证、检验证等证明材料的扫描件。</w:t>
      </w:r>
    </w:p>
    <w:p w14:paraId="09A58869">
      <w:pPr>
        <w:pStyle w:val="15"/>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p>
    <w:p w14:paraId="7B1EC191">
      <w:pPr>
        <w:pStyle w:val="15"/>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投标人全称：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041C324B">
      <w:pPr>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（电子签章）</w:t>
      </w:r>
    </w:p>
    <w:p w14:paraId="20B87014">
      <w:pPr>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34E492E7">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6F591C6B">
      <w:pPr>
        <w:spacing w:line="360" w:lineRule="auto"/>
        <w:ind w:firstLine="480"/>
        <w:rPr>
          <w:rFonts w:hint="eastAsia" w:ascii="仿宋" w:hAnsi="仿宋" w:eastAsia="仿宋" w:cs="仿宋"/>
          <w:color w:val="000000" w:themeColor="text1"/>
          <w:sz w:val="32"/>
          <w:szCs w:val="32"/>
          <w:highlight w:val="none"/>
          <w14:textFill>
            <w14:solidFill>
              <w14:schemeClr w14:val="tx1"/>
            </w14:solidFill>
          </w14:textFill>
        </w:rPr>
      </w:pPr>
    </w:p>
    <w:p w14:paraId="4DC00592">
      <w:pPr>
        <w:rPr>
          <w:rFonts w:hint="eastAsia" w:ascii="仿宋" w:hAnsi="仿宋" w:eastAsia="仿宋" w:cs="仿宋"/>
          <w:color w:val="000000" w:themeColor="text1"/>
          <w:highlight w:val="none"/>
          <w14:textFill>
            <w14:solidFill>
              <w14:schemeClr w14:val="tx1"/>
            </w14:solidFill>
          </w14:textFill>
        </w:rPr>
      </w:pPr>
    </w:p>
    <w:p w14:paraId="1A46A0C7">
      <w:pPr>
        <w:pStyle w:val="11"/>
        <w:rPr>
          <w:rFonts w:hint="eastAsia" w:ascii="仿宋" w:hAnsi="仿宋" w:eastAsia="仿宋" w:cs="仿宋"/>
          <w:color w:val="000000" w:themeColor="text1"/>
          <w:highlight w:val="none"/>
          <w14:textFill>
            <w14:solidFill>
              <w14:schemeClr w14:val="tx1"/>
            </w14:solidFill>
          </w14:textFill>
        </w:rPr>
      </w:pPr>
    </w:p>
    <w:p w14:paraId="1B0AFB2D">
      <w:pPr>
        <w:rPr>
          <w:rFonts w:hint="eastAsia" w:ascii="仿宋" w:hAnsi="仿宋" w:eastAsia="仿宋" w:cs="仿宋"/>
          <w:color w:val="000000" w:themeColor="text1"/>
          <w:highlight w:val="none"/>
          <w14:textFill>
            <w14:solidFill>
              <w14:schemeClr w14:val="tx1"/>
            </w14:solidFill>
          </w14:textFill>
        </w:rPr>
      </w:pPr>
    </w:p>
    <w:p w14:paraId="60797C24">
      <w:pPr>
        <w:pStyle w:val="11"/>
        <w:jc w:val="center"/>
        <w:rPr>
          <w:rFonts w:hint="eastAsia" w:ascii="仿宋" w:hAnsi="仿宋" w:eastAsia="仿宋" w:cs="仿宋"/>
          <w:color w:val="000000" w:themeColor="text1"/>
          <w:highlight w:val="none"/>
          <w14:textFill>
            <w14:solidFill>
              <w14:schemeClr w14:val="tx1"/>
            </w14:solidFill>
          </w14:textFill>
        </w:rPr>
      </w:pPr>
    </w:p>
    <w:p w14:paraId="277BF927">
      <w:pPr>
        <w:rPr>
          <w:rFonts w:hint="eastAsia" w:ascii="仿宋" w:hAnsi="仿宋" w:eastAsia="仿宋" w:cs="仿宋"/>
          <w:color w:val="000000" w:themeColor="text1"/>
          <w:highlight w:val="none"/>
          <w14:textFill>
            <w14:solidFill>
              <w14:schemeClr w14:val="tx1"/>
            </w14:solidFill>
          </w14:textFill>
        </w:rPr>
      </w:pPr>
    </w:p>
    <w:p w14:paraId="2617D864">
      <w:pPr>
        <w:rPr>
          <w:rFonts w:hint="eastAsia" w:ascii="仿宋" w:hAnsi="仿宋" w:eastAsia="仿宋" w:cs="仿宋"/>
          <w:color w:val="000000" w:themeColor="text1"/>
          <w:highlight w:val="none"/>
          <w14:textFill>
            <w14:solidFill>
              <w14:schemeClr w14:val="tx1"/>
            </w14:solidFill>
          </w14:textFill>
        </w:rPr>
      </w:pPr>
    </w:p>
    <w:p w14:paraId="1A5BCCF3">
      <w:pPr>
        <w:rPr>
          <w:rFonts w:hint="eastAsia" w:ascii="仿宋" w:hAnsi="仿宋" w:eastAsia="仿宋" w:cs="仿宋"/>
          <w:color w:val="000000" w:themeColor="text1"/>
          <w:highlight w:val="none"/>
          <w14:textFill>
            <w14:solidFill>
              <w14:schemeClr w14:val="tx1"/>
            </w14:solidFill>
          </w14:textFill>
        </w:rPr>
      </w:pPr>
    </w:p>
    <w:p w14:paraId="2B4EBEE0">
      <w:pPr>
        <w:rPr>
          <w:rFonts w:hint="eastAsia" w:ascii="仿宋" w:hAnsi="仿宋" w:eastAsia="仿宋" w:cs="仿宋"/>
          <w:color w:val="000000" w:themeColor="text1"/>
          <w:highlight w:val="none"/>
          <w14:textFill>
            <w14:solidFill>
              <w14:schemeClr w14:val="tx1"/>
            </w14:solidFill>
          </w14:textFill>
        </w:rPr>
      </w:pPr>
    </w:p>
    <w:p w14:paraId="527524A1">
      <w:pPr>
        <w:rPr>
          <w:rFonts w:hint="eastAsia" w:ascii="仿宋" w:hAnsi="仿宋" w:eastAsia="仿宋" w:cs="仿宋"/>
          <w:color w:val="000000" w:themeColor="text1"/>
          <w:highlight w:val="none"/>
          <w14:textFill>
            <w14:solidFill>
              <w14:schemeClr w14:val="tx1"/>
            </w14:solidFill>
          </w14:textFill>
        </w:rPr>
      </w:pPr>
    </w:p>
    <w:p w14:paraId="66EC9346">
      <w:pPr>
        <w:rPr>
          <w:rFonts w:hint="eastAsia" w:ascii="仿宋" w:hAnsi="仿宋" w:eastAsia="仿宋" w:cs="仿宋"/>
          <w:color w:val="000000" w:themeColor="text1"/>
          <w:highlight w:val="none"/>
          <w14:textFill>
            <w14:solidFill>
              <w14:schemeClr w14:val="tx1"/>
            </w14:solidFill>
          </w14:textFill>
        </w:rPr>
      </w:pPr>
    </w:p>
    <w:p w14:paraId="0CA1BF04">
      <w:pPr>
        <w:rPr>
          <w:rFonts w:hint="eastAsia" w:ascii="仿宋" w:hAnsi="仿宋" w:eastAsia="仿宋" w:cs="仿宋"/>
          <w:color w:val="000000" w:themeColor="text1"/>
          <w:highlight w:val="none"/>
          <w14:textFill>
            <w14:solidFill>
              <w14:schemeClr w14:val="tx1"/>
            </w14:solidFill>
          </w14:textFill>
        </w:rPr>
      </w:pPr>
    </w:p>
    <w:p w14:paraId="271A3743">
      <w:pPr>
        <w:rPr>
          <w:rFonts w:hint="eastAsia" w:ascii="仿宋" w:hAnsi="仿宋" w:eastAsia="仿宋" w:cs="仿宋"/>
          <w:color w:val="000000" w:themeColor="text1"/>
          <w:highlight w:val="none"/>
          <w14:textFill>
            <w14:solidFill>
              <w14:schemeClr w14:val="tx1"/>
            </w14:solidFill>
          </w14:textFill>
        </w:rPr>
      </w:pPr>
    </w:p>
    <w:p w14:paraId="44866761">
      <w:pPr>
        <w:rPr>
          <w:rFonts w:hint="eastAsia" w:ascii="仿宋" w:hAnsi="仿宋" w:eastAsia="仿宋" w:cs="仿宋"/>
          <w:color w:val="000000" w:themeColor="text1"/>
          <w:highlight w:val="none"/>
          <w14:textFill>
            <w14:solidFill>
              <w14:schemeClr w14:val="tx1"/>
            </w14:solidFill>
          </w14:textFill>
        </w:rPr>
      </w:pPr>
    </w:p>
    <w:p w14:paraId="0336E098">
      <w:pPr>
        <w:jc w:val="center"/>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kern w:val="2"/>
          <w:sz w:val="48"/>
          <w:szCs w:val="48"/>
          <w:highlight w:val="none"/>
          <w:lang w:val="en-US" w:eastAsia="zh-CN" w:bidi="ar-SA"/>
          <w14:textFill>
            <w14:solidFill>
              <w14:schemeClr w14:val="tx1"/>
            </w14:solidFill>
          </w14:textFill>
        </w:rPr>
        <w:t>第三部分 商务部分</w:t>
      </w:r>
    </w:p>
    <w:p w14:paraId="34B97203">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p>
    <w:p w14:paraId="2F2A8BBD">
      <w:pPr>
        <w:widowControl/>
        <w:numPr>
          <w:ilvl w:val="0"/>
          <w:numId w:val="5"/>
        </w:numPr>
        <w:jc w:val="center"/>
        <w:outlineLvl w:val="2"/>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分项报价表</w:t>
      </w:r>
      <w:bookmarkEnd w:id="369"/>
    </w:p>
    <w:p w14:paraId="49AAD567">
      <w:pPr>
        <w:widowControl/>
        <w:numPr>
          <w:ilvl w:val="0"/>
          <w:numId w:val="0"/>
        </w:numPr>
        <w:jc w:val="both"/>
        <w:outlineLvl w:val="9"/>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包件名称：</w:t>
      </w:r>
    </w:p>
    <w:p w14:paraId="527E89F6">
      <w:pPr>
        <w:widowControl/>
        <w:numPr>
          <w:ilvl w:val="0"/>
          <w:numId w:val="0"/>
        </w:numPr>
        <w:jc w:val="both"/>
        <w:outlineLvl w:val="9"/>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包件编号：</w:t>
      </w:r>
    </w:p>
    <w:tbl>
      <w:tblPr>
        <w:tblStyle w:val="29"/>
        <w:tblpPr w:leftFromText="180" w:rightFromText="180" w:vertAnchor="text" w:horzAnchor="page" w:tblpX="1632" w:tblpY="185"/>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85"/>
        <w:gridCol w:w="850"/>
        <w:gridCol w:w="851"/>
        <w:gridCol w:w="1276"/>
        <w:gridCol w:w="1275"/>
        <w:gridCol w:w="2421"/>
      </w:tblGrid>
      <w:tr w14:paraId="0EE7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50" w:type="dxa"/>
            <w:noWrap w:val="0"/>
            <w:vAlign w:val="center"/>
          </w:tcPr>
          <w:p w14:paraId="102F4B2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985" w:type="dxa"/>
            <w:noWrap w:val="0"/>
            <w:vAlign w:val="center"/>
          </w:tcPr>
          <w:p w14:paraId="5C91866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850" w:type="dxa"/>
            <w:noWrap w:val="0"/>
            <w:vAlign w:val="center"/>
          </w:tcPr>
          <w:p w14:paraId="0F3C495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851" w:type="dxa"/>
            <w:noWrap w:val="0"/>
            <w:vAlign w:val="center"/>
          </w:tcPr>
          <w:p w14:paraId="03F43BC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276" w:type="dxa"/>
            <w:noWrap w:val="0"/>
            <w:vAlign w:val="center"/>
          </w:tcPr>
          <w:p w14:paraId="0710660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综合单价（元）</w:t>
            </w:r>
          </w:p>
        </w:tc>
        <w:tc>
          <w:tcPr>
            <w:tcW w:w="1275" w:type="dxa"/>
            <w:noWrap w:val="0"/>
            <w:vAlign w:val="center"/>
          </w:tcPr>
          <w:p w14:paraId="563F10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合计（元）</w:t>
            </w:r>
          </w:p>
        </w:tc>
        <w:tc>
          <w:tcPr>
            <w:tcW w:w="2421" w:type="dxa"/>
            <w:noWrap w:val="0"/>
            <w:vAlign w:val="center"/>
          </w:tcPr>
          <w:p w14:paraId="5A3AE0A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543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50" w:type="dxa"/>
            <w:noWrap w:val="0"/>
            <w:vAlign w:val="center"/>
          </w:tcPr>
          <w:p w14:paraId="6A51556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985" w:type="dxa"/>
            <w:noWrap w:val="0"/>
            <w:vAlign w:val="center"/>
          </w:tcPr>
          <w:p w14:paraId="2B26EF64">
            <w:pPr>
              <w:jc w:val="center"/>
              <w:rPr>
                <w:rFonts w:hint="eastAsia" w:ascii="仿宋" w:hAnsi="仿宋" w:eastAsia="仿宋" w:cs="仿宋"/>
                <w:sz w:val="24"/>
                <w:szCs w:val="24"/>
                <w:highlight w:val="none"/>
              </w:rPr>
            </w:pPr>
          </w:p>
        </w:tc>
        <w:tc>
          <w:tcPr>
            <w:tcW w:w="850" w:type="dxa"/>
            <w:noWrap w:val="0"/>
            <w:vAlign w:val="center"/>
          </w:tcPr>
          <w:p w14:paraId="7EBB1A3D">
            <w:pPr>
              <w:jc w:val="center"/>
              <w:rPr>
                <w:rFonts w:hint="eastAsia" w:ascii="仿宋" w:hAnsi="仿宋" w:eastAsia="仿宋" w:cs="仿宋"/>
                <w:sz w:val="24"/>
                <w:szCs w:val="24"/>
                <w:highlight w:val="none"/>
              </w:rPr>
            </w:pPr>
          </w:p>
        </w:tc>
        <w:tc>
          <w:tcPr>
            <w:tcW w:w="851" w:type="dxa"/>
            <w:noWrap w:val="0"/>
            <w:vAlign w:val="center"/>
          </w:tcPr>
          <w:p w14:paraId="7747BF9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批次</w:t>
            </w:r>
          </w:p>
        </w:tc>
        <w:tc>
          <w:tcPr>
            <w:tcW w:w="1276" w:type="dxa"/>
            <w:noWrap w:val="0"/>
            <w:vAlign w:val="center"/>
          </w:tcPr>
          <w:p w14:paraId="16717730">
            <w:pPr>
              <w:jc w:val="center"/>
              <w:rPr>
                <w:rFonts w:hint="eastAsia" w:ascii="仿宋" w:hAnsi="仿宋" w:eastAsia="仿宋" w:cs="仿宋"/>
                <w:sz w:val="24"/>
                <w:szCs w:val="24"/>
                <w:highlight w:val="none"/>
              </w:rPr>
            </w:pPr>
          </w:p>
        </w:tc>
        <w:tc>
          <w:tcPr>
            <w:tcW w:w="1275" w:type="dxa"/>
            <w:noWrap w:val="0"/>
            <w:vAlign w:val="center"/>
          </w:tcPr>
          <w:p w14:paraId="4A4E2E05">
            <w:pPr>
              <w:jc w:val="center"/>
              <w:rPr>
                <w:rFonts w:hint="eastAsia" w:ascii="仿宋" w:hAnsi="仿宋" w:eastAsia="仿宋" w:cs="仿宋"/>
                <w:sz w:val="24"/>
                <w:szCs w:val="24"/>
                <w:highlight w:val="none"/>
              </w:rPr>
            </w:pPr>
          </w:p>
        </w:tc>
        <w:tc>
          <w:tcPr>
            <w:tcW w:w="2421" w:type="dxa"/>
            <w:vMerge w:val="restart"/>
            <w:noWrap w:val="0"/>
            <w:vAlign w:val="top"/>
          </w:tcPr>
          <w:p w14:paraId="62DD5FCB">
            <w:pPr>
              <w:pStyle w:val="12"/>
              <w:snapToGrid w:val="0"/>
              <w:rPr>
                <w:rFonts w:hint="eastAsia" w:ascii="仿宋" w:hAnsi="仿宋" w:eastAsia="仿宋" w:cs="仿宋"/>
                <w:spacing w:val="10"/>
                <w:sz w:val="24"/>
                <w:szCs w:val="24"/>
                <w:highlight w:val="none"/>
              </w:rPr>
            </w:pPr>
          </w:p>
          <w:p w14:paraId="158A11AF">
            <w:pPr>
              <w:pStyle w:val="12"/>
              <w:snapToGrid w:val="0"/>
              <w:spacing w:line="360" w:lineRule="auto"/>
              <w:ind w:firstLine="0"/>
              <w:jc w:val="center"/>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包含抽检过程中人员工资、食宿、车辆、样品采购、运输和检测和系统录入等费用。</w:t>
            </w:r>
          </w:p>
        </w:tc>
      </w:tr>
      <w:tr w14:paraId="6846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noWrap w:val="0"/>
            <w:vAlign w:val="center"/>
          </w:tcPr>
          <w:p w14:paraId="76191D3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985" w:type="dxa"/>
            <w:noWrap w:val="0"/>
            <w:vAlign w:val="center"/>
          </w:tcPr>
          <w:p w14:paraId="0BFE5A93">
            <w:pPr>
              <w:jc w:val="center"/>
              <w:rPr>
                <w:rFonts w:hint="eastAsia" w:ascii="仿宋" w:hAnsi="仿宋" w:eastAsia="仿宋" w:cs="仿宋"/>
                <w:sz w:val="24"/>
                <w:szCs w:val="24"/>
                <w:highlight w:val="none"/>
              </w:rPr>
            </w:pPr>
          </w:p>
        </w:tc>
        <w:tc>
          <w:tcPr>
            <w:tcW w:w="850" w:type="dxa"/>
            <w:noWrap w:val="0"/>
            <w:vAlign w:val="center"/>
          </w:tcPr>
          <w:p w14:paraId="654B9F25">
            <w:pPr>
              <w:jc w:val="center"/>
              <w:rPr>
                <w:rFonts w:hint="eastAsia" w:ascii="仿宋" w:hAnsi="仿宋" w:eastAsia="仿宋" w:cs="仿宋"/>
                <w:sz w:val="24"/>
                <w:szCs w:val="24"/>
                <w:highlight w:val="none"/>
              </w:rPr>
            </w:pPr>
          </w:p>
        </w:tc>
        <w:tc>
          <w:tcPr>
            <w:tcW w:w="851" w:type="dxa"/>
            <w:noWrap w:val="0"/>
            <w:vAlign w:val="center"/>
          </w:tcPr>
          <w:p w14:paraId="0ACB9DB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批次</w:t>
            </w:r>
          </w:p>
        </w:tc>
        <w:tc>
          <w:tcPr>
            <w:tcW w:w="1276" w:type="dxa"/>
            <w:noWrap w:val="0"/>
            <w:vAlign w:val="center"/>
          </w:tcPr>
          <w:p w14:paraId="399479DC">
            <w:pPr>
              <w:jc w:val="center"/>
              <w:rPr>
                <w:rFonts w:hint="eastAsia" w:ascii="仿宋" w:hAnsi="仿宋" w:eastAsia="仿宋" w:cs="仿宋"/>
                <w:sz w:val="24"/>
                <w:szCs w:val="24"/>
                <w:highlight w:val="none"/>
              </w:rPr>
            </w:pPr>
          </w:p>
        </w:tc>
        <w:tc>
          <w:tcPr>
            <w:tcW w:w="1275" w:type="dxa"/>
            <w:noWrap w:val="0"/>
            <w:vAlign w:val="center"/>
          </w:tcPr>
          <w:p w14:paraId="7EE4E2BA">
            <w:pPr>
              <w:jc w:val="center"/>
              <w:rPr>
                <w:rFonts w:hint="eastAsia" w:ascii="仿宋" w:hAnsi="仿宋" w:eastAsia="仿宋" w:cs="仿宋"/>
                <w:sz w:val="24"/>
                <w:szCs w:val="24"/>
                <w:highlight w:val="none"/>
              </w:rPr>
            </w:pPr>
          </w:p>
        </w:tc>
        <w:tc>
          <w:tcPr>
            <w:tcW w:w="2421" w:type="dxa"/>
            <w:vMerge w:val="continue"/>
            <w:noWrap w:val="0"/>
            <w:vAlign w:val="top"/>
          </w:tcPr>
          <w:p w14:paraId="33046904">
            <w:pPr>
              <w:pStyle w:val="12"/>
              <w:snapToGrid w:val="0"/>
              <w:rPr>
                <w:rFonts w:hint="eastAsia" w:ascii="仿宋" w:hAnsi="仿宋" w:eastAsia="仿宋" w:cs="仿宋"/>
                <w:spacing w:val="10"/>
                <w:sz w:val="24"/>
                <w:szCs w:val="24"/>
                <w:highlight w:val="none"/>
              </w:rPr>
            </w:pPr>
          </w:p>
        </w:tc>
      </w:tr>
      <w:tr w14:paraId="612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0" w:type="dxa"/>
            <w:noWrap w:val="0"/>
            <w:vAlign w:val="center"/>
          </w:tcPr>
          <w:p w14:paraId="4EBA712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985" w:type="dxa"/>
            <w:noWrap w:val="0"/>
            <w:vAlign w:val="center"/>
          </w:tcPr>
          <w:p w14:paraId="1CE8CEC6">
            <w:pPr>
              <w:widowControl/>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 xml:space="preserve"> ……</w:t>
            </w:r>
          </w:p>
        </w:tc>
        <w:tc>
          <w:tcPr>
            <w:tcW w:w="850" w:type="dxa"/>
            <w:noWrap w:val="0"/>
            <w:vAlign w:val="center"/>
          </w:tcPr>
          <w:p w14:paraId="65A04171">
            <w:pPr>
              <w:jc w:val="center"/>
              <w:rPr>
                <w:rFonts w:hint="eastAsia" w:ascii="仿宋" w:hAnsi="仿宋" w:eastAsia="仿宋" w:cs="仿宋"/>
                <w:sz w:val="24"/>
                <w:szCs w:val="24"/>
                <w:highlight w:val="none"/>
              </w:rPr>
            </w:pPr>
          </w:p>
        </w:tc>
        <w:tc>
          <w:tcPr>
            <w:tcW w:w="851" w:type="dxa"/>
            <w:noWrap w:val="0"/>
            <w:vAlign w:val="center"/>
          </w:tcPr>
          <w:p w14:paraId="07DD27F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批次</w:t>
            </w:r>
          </w:p>
        </w:tc>
        <w:tc>
          <w:tcPr>
            <w:tcW w:w="1276" w:type="dxa"/>
            <w:noWrap w:val="0"/>
            <w:vAlign w:val="center"/>
          </w:tcPr>
          <w:p w14:paraId="44854A63">
            <w:pPr>
              <w:jc w:val="center"/>
              <w:rPr>
                <w:rFonts w:hint="eastAsia" w:ascii="仿宋" w:hAnsi="仿宋" w:eastAsia="仿宋" w:cs="仿宋"/>
                <w:sz w:val="24"/>
                <w:szCs w:val="24"/>
                <w:highlight w:val="none"/>
              </w:rPr>
            </w:pPr>
          </w:p>
        </w:tc>
        <w:tc>
          <w:tcPr>
            <w:tcW w:w="1275" w:type="dxa"/>
            <w:noWrap w:val="0"/>
            <w:vAlign w:val="center"/>
          </w:tcPr>
          <w:p w14:paraId="1D80101C">
            <w:pPr>
              <w:jc w:val="center"/>
              <w:rPr>
                <w:rFonts w:hint="eastAsia" w:ascii="仿宋" w:hAnsi="仿宋" w:eastAsia="仿宋" w:cs="仿宋"/>
                <w:sz w:val="24"/>
                <w:szCs w:val="24"/>
                <w:highlight w:val="none"/>
              </w:rPr>
            </w:pPr>
          </w:p>
        </w:tc>
        <w:tc>
          <w:tcPr>
            <w:tcW w:w="2421" w:type="dxa"/>
            <w:vMerge w:val="continue"/>
            <w:noWrap w:val="0"/>
            <w:vAlign w:val="top"/>
          </w:tcPr>
          <w:p w14:paraId="026E3AD1">
            <w:pPr>
              <w:pStyle w:val="12"/>
              <w:snapToGrid w:val="0"/>
              <w:rPr>
                <w:rFonts w:hint="eastAsia" w:ascii="仿宋" w:hAnsi="仿宋" w:eastAsia="仿宋" w:cs="仿宋"/>
                <w:sz w:val="24"/>
                <w:szCs w:val="24"/>
                <w:highlight w:val="none"/>
              </w:rPr>
            </w:pPr>
          </w:p>
        </w:tc>
      </w:tr>
      <w:tr w14:paraId="5EC3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0" w:type="dxa"/>
            <w:noWrap w:val="0"/>
            <w:vAlign w:val="center"/>
          </w:tcPr>
          <w:p w14:paraId="1E16A38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985" w:type="dxa"/>
            <w:noWrap w:val="0"/>
            <w:vAlign w:val="center"/>
          </w:tcPr>
          <w:p w14:paraId="09EDAAD4">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管理费</w:t>
            </w:r>
          </w:p>
        </w:tc>
        <w:tc>
          <w:tcPr>
            <w:tcW w:w="850" w:type="dxa"/>
            <w:noWrap w:val="0"/>
            <w:vAlign w:val="center"/>
          </w:tcPr>
          <w:p w14:paraId="5773AB65">
            <w:pPr>
              <w:jc w:val="center"/>
              <w:rPr>
                <w:rFonts w:hint="eastAsia" w:ascii="仿宋" w:hAnsi="仿宋" w:eastAsia="仿宋" w:cs="仿宋"/>
                <w:sz w:val="24"/>
                <w:szCs w:val="24"/>
                <w:highlight w:val="none"/>
              </w:rPr>
            </w:pPr>
          </w:p>
        </w:tc>
        <w:tc>
          <w:tcPr>
            <w:tcW w:w="851" w:type="dxa"/>
            <w:noWrap w:val="0"/>
            <w:vAlign w:val="center"/>
          </w:tcPr>
          <w:p w14:paraId="0EC8C10F">
            <w:pPr>
              <w:jc w:val="center"/>
              <w:rPr>
                <w:rFonts w:hint="eastAsia" w:ascii="仿宋" w:hAnsi="仿宋" w:eastAsia="仿宋" w:cs="仿宋"/>
                <w:sz w:val="24"/>
                <w:szCs w:val="24"/>
                <w:highlight w:val="none"/>
              </w:rPr>
            </w:pPr>
          </w:p>
        </w:tc>
        <w:tc>
          <w:tcPr>
            <w:tcW w:w="1276" w:type="dxa"/>
            <w:noWrap w:val="0"/>
            <w:vAlign w:val="center"/>
          </w:tcPr>
          <w:p w14:paraId="1A2A8ADE">
            <w:pPr>
              <w:jc w:val="center"/>
              <w:rPr>
                <w:rFonts w:hint="eastAsia" w:ascii="仿宋" w:hAnsi="仿宋" w:eastAsia="仿宋" w:cs="仿宋"/>
                <w:sz w:val="24"/>
                <w:szCs w:val="24"/>
                <w:highlight w:val="none"/>
              </w:rPr>
            </w:pPr>
          </w:p>
        </w:tc>
        <w:tc>
          <w:tcPr>
            <w:tcW w:w="1275" w:type="dxa"/>
            <w:noWrap w:val="0"/>
            <w:vAlign w:val="center"/>
          </w:tcPr>
          <w:p w14:paraId="61594342">
            <w:pPr>
              <w:jc w:val="center"/>
              <w:rPr>
                <w:rFonts w:hint="eastAsia" w:ascii="仿宋" w:hAnsi="仿宋" w:eastAsia="仿宋" w:cs="仿宋"/>
                <w:sz w:val="24"/>
                <w:szCs w:val="24"/>
                <w:highlight w:val="none"/>
              </w:rPr>
            </w:pPr>
          </w:p>
        </w:tc>
        <w:tc>
          <w:tcPr>
            <w:tcW w:w="2421" w:type="dxa"/>
            <w:noWrap w:val="0"/>
            <w:vAlign w:val="top"/>
          </w:tcPr>
          <w:p w14:paraId="62F72113">
            <w:pPr>
              <w:pStyle w:val="12"/>
              <w:snapToGrid w:val="0"/>
              <w:rPr>
                <w:rFonts w:hint="eastAsia" w:ascii="仿宋" w:hAnsi="仿宋" w:eastAsia="仿宋" w:cs="仿宋"/>
                <w:sz w:val="24"/>
                <w:szCs w:val="24"/>
                <w:highlight w:val="none"/>
              </w:rPr>
            </w:pPr>
          </w:p>
        </w:tc>
      </w:tr>
      <w:tr w14:paraId="726D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0" w:type="dxa"/>
            <w:noWrap w:val="0"/>
            <w:vAlign w:val="center"/>
          </w:tcPr>
          <w:p w14:paraId="78521F8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985" w:type="dxa"/>
            <w:noWrap w:val="0"/>
            <w:vAlign w:val="center"/>
          </w:tcPr>
          <w:p w14:paraId="0978B82E">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利  润</w:t>
            </w:r>
          </w:p>
        </w:tc>
        <w:tc>
          <w:tcPr>
            <w:tcW w:w="850" w:type="dxa"/>
            <w:noWrap w:val="0"/>
            <w:vAlign w:val="center"/>
          </w:tcPr>
          <w:p w14:paraId="3614EA1B">
            <w:pPr>
              <w:jc w:val="center"/>
              <w:rPr>
                <w:rFonts w:hint="eastAsia" w:ascii="仿宋" w:hAnsi="仿宋" w:eastAsia="仿宋" w:cs="仿宋"/>
                <w:sz w:val="24"/>
                <w:szCs w:val="24"/>
                <w:highlight w:val="none"/>
              </w:rPr>
            </w:pPr>
          </w:p>
        </w:tc>
        <w:tc>
          <w:tcPr>
            <w:tcW w:w="851" w:type="dxa"/>
            <w:noWrap w:val="0"/>
            <w:vAlign w:val="center"/>
          </w:tcPr>
          <w:p w14:paraId="7FE12257">
            <w:pPr>
              <w:jc w:val="center"/>
              <w:rPr>
                <w:rFonts w:hint="eastAsia" w:ascii="仿宋" w:hAnsi="仿宋" w:eastAsia="仿宋" w:cs="仿宋"/>
                <w:sz w:val="24"/>
                <w:szCs w:val="24"/>
                <w:highlight w:val="none"/>
              </w:rPr>
            </w:pPr>
          </w:p>
        </w:tc>
        <w:tc>
          <w:tcPr>
            <w:tcW w:w="1276" w:type="dxa"/>
            <w:noWrap w:val="0"/>
            <w:vAlign w:val="center"/>
          </w:tcPr>
          <w:p w14:paraId="4899BBA7">
            <w:pPr>
              <w:jc w:val="center"/>
              <w:rPr>
                <w:rFonts w:hint="eastAsia" w:ascii="仿宋" w:hAnsi="仿宋" w:eastAsia="仿宋" w:cs="仿宋"/>
                <w:sz w:val="24"/>
                <w:szCs w:val="24"/>
                <w:highlight w:val="none"/>
              </w:rPr>
            </w:pPr>
          </w:p>
        </w:tc>
        <w:tc>
          <w:tcPr>
            <w:tcW w:w="1275" w:type="dxa"/>
            <w:noWrap w:val="0"/>
            <w:vAlign w:val="center"/>
          </w:tcPr>
          <w:p w14:paraId="149414D6">
            <w:pPr>
              <w:jc w:val="center"/>
              <w:rPr>
                <w:rFonts w:hint="eastAsia" w:ascii="仿宋" w:hAnsi="仿宋" w:eastAsia="仿宋" w:cs="仿宋"/>
                <w:sz w:val="24"/>
                <w:szCs w:val="24"/>
                <w:highlight w:val="none"/>
              </w:rPr>
            </w:pPr>
          </w:p>
        </w:tc>
        <w:tc>
          <w:tcPr>
            <w:tcW w:w="2421" w:type="dxa"/>
            <w:noWrap w:val="0"/>
            <w:vAlign w:val="center"/>
          </w:tcPr>
          <w:p w14:paraId="6CAA9BFC">
            <w:pPr>
              <w:jc w:val="center"/>
              <w:rPr>
                <w:rFonts w:hint="eastAsia" w:ascii="仿宋" w:hAnsi="仿宋" w:eastAsia="仿宋" w:cs="仿宋"/>
                <w:sz w:val="24"/>
                <w:szCs w:val="24"/>
                <w:highlight w:val="none"/>
              </w:rPr>
            </w:pPr>
          </w:p>
        </w:tc>
      </w:tr>
      <w:tr w14:paraId="6669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0" w:type="dxa"/>
            <w:noWrap w:val="0"/>
            <w:vAlign w:val="center"/>
          </w:tcPr>
          <w:p w14:paraId="1559358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985" w:type="dxa"/>
            <w:noWrap w:val="0"/>
            <w:vAlign w:val="center"/>
          </w:tcPr>
          <w:p w14:paraId="314A3D6F">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税  收</w:t>
            </w:r>
          </w:p>
        </w:tc>
        <w:tc>
          <w:tcPr>
            <w:tcW w:w="850" w:type="dxa"/>
            <w:noWrap w:val="0"/>
            <w:vAlign w:val="center"/>
          </w:tcPr>
          <w:p w14:paraId="588F419C">
            <w:pPr>
              <w:jc w:val="center"/>
              <w:rPr>
                <w:rFonts w:hint="eastAsia" w:ascii="仿宋" w:hAnsi="仿宋" w:eastAsia="仿宋" w:cs="仿宋"/>
                <w:sz w:val="24"/>
                <w:szCs w:val="24"/>
                <w:highlight w:val="none"/>
              </w:rPr>
            </w:pPr>
          </w:p>
        </w:tc>
        <w:tc>
          <w:tcPr>
            <w:tcW w:w="851" w:type="dxa"/>
            <w:noWrap w:val="0"/>
            <w:vAlign w:val="center"/>
          </w:tcPr>
          <w:p w14:paraId="7F1D15B7">
            <w:pPr>
              <w:jc w:val="center"/>
              <w:rPr>
                <w:rFonts w:hint="eastAsia" w:ascii="仿宋" w:hAnsi="仿宋" w:eastAsia="仿宋" w:cs="仿宋"/>
                <w:sz w:val="24"/>
                <w:szCs w:val="24"/>
                <w:highlight w:val="none"/>
              </w:rPr>
            </w:pPr>
          </w:p>
        </w:tc>
        <w:tc>
          <w:tcPr>
            <w:tcW w:w="1276" w:type="dxa"/>
            <w:noWrap w:val="0"/>
            <w:vAlign w:val="center"/>
          </w:tcPr>
          <w:p w14:paraId="1436A506">
            <w:pPr>
              <w:jc w:val="center"/>
              <w:rPr>
                <w:rFonts w:hint="eastAsia" w:ascii="仿宋" w:hAnsi="仿宋" w:eastAsia="仿宋" w:cs="仿宋"/>
                <w:sz w:val="24"/>
                <w:szCs w:val="24"/>
                <w:highlight w:val="none"/>
              </w:rPr>
            </w:pPr>
          </w:p>
        </w:tc>
        <w:tc>
          <w:tcPr>
            <w:tcW w:w="1275" w:type="dxa"/>
            <w:noWrap w:val="0"/>
            <w:vAlign w:val="center"/>
          </w:tcPr>
          <w:p w14:paraId="50668C63">
            <w:pPr>
              <w:jc w:val="center"/>
              <w:rPr>
                <w:rFonts w:hint="eastAsia" w:ascii="仿宋" w:hAnsi="仿宋" w:eastAsia="仿宋" w:cs="仿宋"/>
                <w:sz w:val="24"/>
                <w:szCs w:val="24"/>
                <w:highlight w:val="none"/>
              </w:rPr>
            </w:pPr>
          </w:p>
        </w:tc>
        <w:tc>
          <w:tcPr>
            <w:tcW w:w="2421" w:type="dxa"/>
            <w:noWrap w:val="0"/>
            <w:vAlign w:val="center"/>
          </w:tcPr>
          <w:p w14:paraId="1E8D8132">
            <w:pPr>
              <w:jc w:val="center"/>
              <w:rPr>
                <w:rFonts w:hint="eastAsia" w:ascii="仿宋" w:hAnsi="仿宋" w:eastAsia="仿宋" w:cs="仿宋"/>
                <w:sz w:val="24"/>
                <w:szCs w:val="24"/>
                <w:highlight w:val="none"/>
              </w:rPr>
            </w:pPr>
          </w:p>
        </w:tc>
      </w:tr>
      <w:tr w14:paraId="2480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0" w:type="dxa"/>
            <w:noWrap w:val="0"/>
            <w:vAlign w:val="center"/>
          </w:tcPr>
          <w:p w14:paraId="1AAEB86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985" w:type="dxa"/>
            <w:noWrap w:val="0"/>
            <w:vAlign w:val="center"/>
          </w:tcPr>
          <w:p w14:paraId="3722CF25">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其  他</w:t>
            </w:r>
          </w:p>
        </w:tc>
        <w:tc>
          <w:tcPr>
            <w:tcW w:w="850" w:type="dxa"/>
            <w:noWrap w:val="0"/>
            <w:vAlign w:val="center"/>
          </w:tcPr>
          <w:p w14:paraId="733F9EA9">
            <w:pPr>
              <w:jc w:val="center"/>
              <w:rPr>
                <w:rFonts w:hint="eastAsia" w:ascii="仿宋" w:hAnsi="仿宋" w:eastAsia="仿宋" w:cs="仿宋"/>
                <w:sz w:val="24"/>
                <w:szCs w:val="24"/>
                <w:highlight w:val="none"/>
              </w:rPr>
            </w:pPr>
          </w:p>
        </w:tc>
        <w:tc>
          <w:tcPr>
            <w:tcW w:w="851" w:type="dxa"/>
            <w:noWrap w:val="0"/>
            <w:vAlign w:val="center"/>
          </w:tcPr>
          <w:p w14:paraId="270BA30A">
            <w:pPr>
              <w:jc w:val="center"/>
              <w:rPr>
                <w:rFonts w:hint="eastAsia" w:ascii="仿宋" w:hAnsi="仿宋" w:eastAsia="仿宋" w:cs="仿宋"/>
                <w:sz w:val="24"/>
                <w:szCs w:val="24"/>
                <w:highlight w:val="none"/>
              </w:rPr>
            </w:pPr>
          </w:p>
        </w:tc>
        <w:tc>
          <w:tcPr>
            <w:tcW w:w="1276" w:type="dxa"/>
            <w:noWrap w:val="0"/>
            <w:vAlign w:val="center"/>
          </w:tcPr>
          <w:p w14:paraId="619DF662">
            <w:pPr>
              <w:jc w:val="center"/>
              <w:rPr>
                <w:rFonts w:hint="eastAsia" w:ascii="仿宋" w:hAnsi="仿宋" w:eastAsia="仿宋" w:cs="仿宋"/>
                <w:sz w:val="24"/>
                <w:szCs w:val="24"/>
                <w:highlight w:val="none"/>
              </w:rPr>
            </w:pPr>
          </w:p>
        </w:tc>
        <w:tc>
          <w:tcPr>
            <w:tcW w:w="1275" w:type="dxa"/>
            <w:noWrap w:val="0"/>
            <w:vAlign w:val="center"/>
          </w:tcPr>
          <w:p w14:paraId="5E6C27C3">
            <w:pPr>
              <w:jc w:val="center"/>
              <w:rPr>
                <w:rFonts w:hint="eastAsia" w:ascii="仿宋" w:hAnsi="仿宋" w:eastAsia="仿宋" w:cs="仿宋"/>
                <w:sz w:val="24"/>
                <w:szCs w:val="24"/>
                <w:highlight w:val="none"/>
              </w:rPr>
            </w:pPr>
          </w:p>
        </w:tc>
        <w:tc>
          <w:tcPr>
            <w:tcW w:w="2421" w:type="dxa"/>
            <w:noWrap w:val="0"/>
            <w:vAlign w:val="center"/>
          </w:tcPr>
          <w:p w14:paraId="75F447C7">
            <w:pPr>
              <w:jc w:val="center"/>
              <w:rPr>
                <w:rFonts w:hint="eastAsia" w:ascii="仿宋" w:hAnsi="仿宋" w:eastAsia="仿宋" w:cs="仿宋"/>
                <w:sz w:val="24"/>
                <w:szCs w:val="24"/>
                <w:highlight w:val="none"/>
              </w:rPr>
            </w:pPr>
          </w:p>
        </w:tc>
      </w:tr>
      <w:tr w14:paraId="2AAA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536" w:type="dxa"/>
            <w:gridSpan w:val="4"/>
            <w:noWrap w:val="0"/>
            <w:vAlign w:val="center"/>
          </w:tcPr>
          <w:p w14:paraId="6722B7F0">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总</w:t>
            </w:r>
            <w:r>
              <w:rPr>
                <w:rFonts w:hint="eastAsia" w:ascii="仿宋" w:hAnsi="仿宋" w:eastAsia="仿宋" w:cs="仿宋"/>
                <w:sz w:val="24"/>
                <w:szCs w:val="24"/>
                <w:highlight w:val="none"/>
                <w:lang w:val="en-US" w:eastAsia="zh-CN"/>
              </w:rPr>
              <w:t>投标批次</w:t>
            </w:r>
          </w:p>
        </w:tc>
        <w:tc>
          <w:tcPr>
            <w:tcW w:w="4972" w:type="dxa"/>
            <w:gridSpan w:val="3"/>
            <w:noWrap w:val="0"/>
            <w:vAlign w:val="center"/>
          </w:tcPr>
          <w:p w14:paraId="197F7351">
            <w:pPr>
              <w:jc w:val="center"/>
              <w:rPr>
                <w:rFonts w:hint="eastAsia" w:ascii="仿宋" w:hAnsi="仿宋" w:eastAsia="仿宋" w:cs="仿宋"/>
                <w:sz w:val="24"/>
                <w:szCs w:val="24"/>
                <w:highlight w:val="none"/>
              </w:rPr>
            </w:pPr>
          </w:p>
        </w:tc>
      </w:tr>
    </w:tbl>
    <w:p w14:paraId="6C89FCCC">
      <w:pPr>
        <w:spacing w:line="460" w:lineRule="exact"/>
        <w:ind w:right="-535" w:rightChars="-255"/>
        <w:rPr>
          <w:rFonts w:hint="eastAsia"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注：</w:t>
      </w:r>
      <w:r>
        <w:rPr>
          <w:rFonts w:hint="eastAsia" w:ascii="仿宋" w:hAnsi="仿宋" w:eastAsia="仿宋" w:cs="仿宋"/>
          <w:b/>
          <w:color w:val="000000" w:themeColor="text1"/>
          <w:szCs w:val="21"/>
          <w:highlight w:val="none"/>
          <w:lang w:val="en-US" w:eastAsia="zh-CN"/>
          <w14:textFill>
            <w14:solidFill>
              <w14:schemeClr w14:val="tx1"/>
            </w14:solidFill>
          </w14:textFill>
        </w:rPr>
        <w:t>1</w:t>
      </w:r>
      <w:r>
        <w:rPr>
          <w:rFonts w:hint="eastAsia" w:ascii="仿宋" w:hAnsi="仿宋" w:eastAsia="仿宋" w:cs="仿宋"/>
          <w:b/>
          <w:color w:val="000000" w:themeColor="text1"/>
          <w:szCs w:val="21"/>
          <w:highlight w:val="none"/>
          <w14:textFill>
            <w14:solidFill>
              <w14:schemeClr w14:val="tx1"/>
            </w14:solidFill>
          </w14:textFill>
        </w:rPr>
        <w:t>.分项报价表中的总价必须与开标（唱标）一览表中的报价相对应。</w:t>
      </w:r>
    </w:p>
    <w:p w14:paraId="18373148">
      <w:pPr>
        <w:numPr>
          <w:ilvl w:val="0"/>
          <w:numId w:val="6"/>
        </w:numPr>
        <w:tabs>
          <w:tab w:val="clear" w:pos="312"/>
        </w:tabs>
        <w:spacing w:line="460" w:lineRule="exact"/>
        <w:ind w:left="0" w:leftChars="0" w:right="-535" w:rightChars="-255" w:firstLine="0" w:firstLineChars="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报价超过采购预算金额的按废标处理。</w:t>
      </w:r>
    </w:p>
    <w:p w14:paraId="18221D43">
      <w:pPr>
        <w:numPr>
          <w:ilvl w:val="0"/>
          <w:numId w:val="6"/>
        </w:numPr>
        <w:tabs>
          <w:tab w:val="clear" w:pos="312"/>
        </w:tabs>
        <w:spacing w:line="460" w:lineRule="exact"/>
        <w:ind w:left="0" w:leftChars="0" w:right="-535" w:rightChars="-255" w:firstLine="0" w:firstLineChars="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报价包含抽检过程中人员工资、食宿、车辆、样品采购、运输和检测和系统录入等费用。</w:t>
      </w:r>
    </w:p>
    <w:p w14:paraId="27CEF6AB">
      <w:pPr>
        <w:pStyle w:val="15"/>
        <w:spacing w:line="500" w:lineRule="exact"/>
        <w:ind w:left="0" w:leftChars="0" w:firstLine="2100" w:firstLineChars="875"/>
        <w:jc w:val="both"/>
        <w:rPr>
          <w:rFonts w:hint="eastAsia" w:ascii="仿宋" w:hAnsi="仿宋" w:eastAsia="仿宋" w:cs="仿宋"/>
          <w:color w:val="000000" w:themeColor="text1"/>
          <w:sz w:val="24"/>
          <w:szCs w:val="24"/>
          <w:highlight w:val="none"/>
          <w14:textFill>
            <w14:solidFill>
              <w14:schemeClr w14:val="tx1"/>
            </w14:solidFill>
          </w14:textFill>
        </w:rPr>
      </w:pPr>
    </w:p>
    <w:p w14:paraId="0AF8ED45">
      <w:pPr>
        <w:pStyle w:val="15"/>
        <w:spacing w:line="500" w:lineRule="exact"/>
        <w:ind w:left="0" w:leftChars="0" w:firstLine="2100" w:firstLineChars="875"/>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投标人全称：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4231000F">
      <w:pPr>
        <w:spacing w:line="500" w:lineRule="exact"/>
        <w:ind w:left="0" w:leftChars="0" w:firstLine="2100" w:firstLineChars="875"/>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（电子签章）</w:t>
      </w:r>
    </w:p>
    <w:p w14:paraId="098E55C9">
      <w:pPr>
        <w:spacing w:line="500" w:lineRule="exact"/>
        <w:ind w:left="0" w:leftChars="0" w:firstLine="2100" w:firstLineChars="875"/>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27C8EF1D">
      <w:pPr>
        <w:spacing w:line="360" w:lineRule="auto"/>
        <w:jc w:val="center"/>
        <w:outlineLvl w:val="2"/>
        <w:rPr>
          <w:rFonts w:hint="eastAsia" w:ascii="仿宋" w:hAnsi="仿宋" w:eastAsia="仿宋" w:cs="仿宋"/>
          <w:b/>
          <w:color w:val="000000" w:themeColor="text1"/>
          <w:sz w:val="32"/>
          <w:szCs w:val="32"/>
          <w:highlight w:val="none"/>
          <w14:textFill>
            <w14:solidFill>
              <w14:schemeClr w14:val="tx1"/>
            </w14:solidFill>
          </w14:textFill>
        </w:rPr>
      </w:pPr>
      <w:bookmarkStart w:id="372" w:name="_Toc431279934"/>
      <w:bookmarkStart w:id="373" w:name="_Toc85096172"/>
      <w:bookmarkStart w:id="374" w:name="_Toc438160902"/>
      <w:bookmarkStart w:id="375" w:name="_Toc29385"/>
      <w:bookmarkStart w:id="376" w:name="_Toc432230663"/>
      <w:bookmarkStart w:id="377" w:name="_Toc493494624"/>
      <w:bookmarkStart w:id="378" w:name="_Toc29280"/>
      <w:bookmarkStart w:id="379" w:name="_Toc431280098"/>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二、法定代表人身份证明书</w:t>
      </w:r>
      <w:bookmarkEnd w:id="372"/>
      <w:bookmarkEnd w:id="373"/>
      <w:bookmarkEnd w:id="374"/>
      <w:bookmarkEnd w:id="375"/>
      <w:bookmarkEnd w:id="376"/>
      <w:bookmarkEnd w:id="377"/>
      <w:bookmarkEnd w:id="378"/>
      <w:bookmarkEnd w:id="379"/>
    </w:p>
    <w:p w14:paraId="09290183">
      <w:pPr>
        <w:spacing w:before="158" w:beforeLines="50" w:after="158" w:afterLines="50"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投标人名称：</w:t>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5FD0CAC2">
      <w:pPr>
        <w:spacing w:before="158" w:beforeLines="50" w:after="158" w:afterLines="50"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单位性质：</w:t>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p>
    <w:p w14:paraId="7DA1903E">
      <w:pPr>
        <w:spacing w:before="158" w:beforeLines="50" w:after="158" w:afterLines="50"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成立时间：</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日</w:t>
      </w:r>
    </w:p>
    <w:p w14:paraId="44E19283">
      <w:pPr>
        <w:spacing w:before="158" w:beforeLines="50" w:after="158" w:afterLines="50"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经营期限：</w:t>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ab/>
      </w:r>
    </w:p>
    <w:p w14:paraId="654A47B2">
      <w:pPr>
        <w:spacing w:before="158" w:beforeLines="50" w:after="158" w:afterLines="50"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姓名：</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性别：</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年龄：</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职务：</w:t>
      </w:r>
      <w:r>
        <w:rPr>
          <w:rFonts w:hint="eastAsia" w:ascii="仿宋" w:hAnsi="仿宋" w:eastAsia="仿宋" w:cs="仿宋"/>
          <w:color w:val="000000" w:themeColor="text1"/>
          <w:kern w:val="0"/>
          <w:sz w:val="24"/>
          <w:highlight w:val="none"/>
          <w:u w:val="single"/>
          <w14:textFill>
            <w14:solidFill>
              <w14:schemeClr w14:val="tx1"/>
            </w14:solidFill>
          </w14:textFill>
        </w:rPr>
        <w:tab/>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ab/>
      </w:r>
    </w:p>
    <w:p w14:paraId="0A840ED3">
      <w:pPr>
        <w:spacing w:before="158" w:beforeLines="50" w:after="158" w:afterLines="50"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系</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（投标人名称）的法定代表人。</w:t>
      </w:r>
    </w:p>
    <w:p w14:paraId="37E94CCA">
      <w:pPr>
        <w:spacing w:line="560" w:lineRule="exact"/>
        <w:ind w:firstLine="482" w:firstLineChars="2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b/>
          <w:color w:val="000000" w:themeColor="text1"/>
          <w:kern w:val="0"/>
          <w:sz w:val="24"/>
          <w:highlight w:val="none"/>
          <w:u w:val="single"/>
          <w14:textFill>
            <w14:solidFill>
              <w14:schemeClr w14:val="tx1"/>
            </w14:solidFill>
          </w14:textFill>
        </w:rPr>
        <w:t>后附法定代表人身份证扫描件，并加盖投标人</w:t>
      </w:r>
      <w:r>
        <w:rPr>
          <w:rFonts w:hint="eastAsia" w:ascii="仿宋" w:hAnsi="仿宋" w:eastAsia="仿宋" w:cs="仿宋"/>
          <w:b/>
          <w:color w:val="000000" w:themeColor="text1"/>
          <w:kern w:val="0"/>
          <w:sz w:val="24"/>
          <w:highlight w:val="none"/>
          <w:u w:val="single"/>
          <w:lang w:eastAsia="zh-CN"/>
          <w14:textFill>
            <w14:solidFill>
              <w14:schemeClr w14:val="tx1"/>
            </w14:solidFill>
          </w14:textFill>
        </w:rPr>
        <w:t>电子签章</w:t>
      </w:r>
      <w:r>
        <w:rPr>
          <w:rFonts w:hint="eastAsia" w:ascii="仿宋" w:hAnsi="仿宋" w:eastAsia="仿宋" w:cs="仿宋"/>
          <w:b/>
          <w:color w:val="000000" w:themeColor="text1"/>
          <w:kern w:val="0"/>
          <w:sz w:val="24"/>
          <w:highlight w:val="none"/>
          <w:u w:val="single"/>
          <w14:textFill>
            <w14:solidFill>
              <w14:schemeClr w14:val="tx1"/>
            </w14:solidFill>
          </w14:textFill>
        </w:rPr>
        <w:t>。</w:t>
      </w:r>
    </w:p>
    <w:p w14:paraId="4E6ADFC9">
      <w:pPr>
        <w:spacing w:line="360" w:lineRule="auto"/>
        <w:rPr>
          <w:rFonts w:hint="eastAsia" w:ascii="仿宋" w:hAnsi="仿宋" w:eastAsia="仿宋" w:cs="仿宋"/>
          <w:color w:val="000000" w:themeColor="text1"/>
          <w:kern w:val="0"/>
          <w:sz w:val="24"/>
          <w:highlight w:val="none"/>
          <w14:textFill>
            <w14:solidFill>
              <w14:schemeClr w14:val="tx1"/>
            </w14:solidFill>
          </w14:textFill>
        </w:rPr>
      </w:pPr>
    </w:p>
    <w:p w14:paraId="0FBF29F4">
      <w:pPr>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特此证明。</w:t>
      </w:r>
    </w:p>
    <w:p w14:paraId="2127EB52">
      <w:pPr>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07AA9154">
      <w:pPr>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p>
    <w:p w14:paraId="4F9A62F8">
      <w:pPr>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p>
    <w:p w14:paraId="7366E93C">
      <w:pPr>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p>
    <w:p w14:paraId="42701C25">
      <w:pPr>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p>
    <w:p w14:paraId="18392EFB">
      <w:pPr>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p>
    <w:p w14:paraId="4CFDE4C0">
      <w:pPr>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投标人全称：</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电子签章</w:t>
      </w:r>
      <w:r>
        <w:rPr>
          <w:rFonts w:hint="eastAsia" w:ascii="仿宋" w:hAnsi="仿宋" w:eastAsia="仿宋" w:cs="仿宋"/>
          <w:color w:val="000000" w:themeColor="text1"/>
          <w:sz w:val="24"/>
          <w:highlight w:val="none"/>
          <w14:textFill>
            <w14:solidFill>
              <w14:schemeClr w14:val="tx1"/>
            </w14:solidFill>
          </w14:textFill>
        </w:rPr>
        <w:t>）</w:t>
      </w:r>
    </w:p>
    <w:p w14:paraId="336BA910">
      <w:pPr>
        <w:widowControl/>
        <w:spacing w:line="360" w:lineRule="auto"/>
        <w:ind w:firstLine="480" w:firstLineChars="20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日      期：</w:t>
      </w:r>
      <w:r>
        <w:rPr>
          <w:rFonts w:hint="eastAsia" w:ascii="仿宋" w:hAnsi="仿宋" w:eastAsia="仿宋" w:cs="仿宋"/>
          <w:color w:val="000000" w:themeColor="text1"/>
          <w:kern w:val="0"/>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日</w:t>
      </w:r>
    </w:p>
    <w:p w14:paraId="47BFC64F">
      <w:pPr>
        <w:spacing w:line="360" w:lineRule="auto"/>
        <w:ind w:firstLine="560" w:firstLineChars="200"/>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502104D9">
      <w:pPr>
        <w:spacing w:line="360" w:lineRule="auto"/>
        <w:rPr>
          <w:rFonts w:hint="eastAsia" w:ascii="仿宋" w:hAnsi="仿宋" w:eastAsia="仿宋" w:cs="仿宋"/>
          <w:color w:val="000000" w:themeColor="text1"/>
          <w:kern w:val="0"/>
          <w:sz w:val="28"/>
          <w:szCs w:val="28"/>
          <w:highlight w:val="none"/>
          <w14:textFill>
            <w14:solidFill>
              <w14:schemeClr w14:val="tx1"/>
            </w14:solidFill>
          </w14:textFill>
        </w:rPr>
      </w:pPr>
    </w:p>
    <w:p w14:paraId="1739AA8B">
      <w:pPr>
        <w:spacing w:line="360" w:lineRule="auto"/>
        <w:jc w:val="center"/>
        <w:outlineLvl w:val="2"/>
        <w:rPr>
          <w:rFonts w:hint="eastAsia" w:ascii="仿宋" w:hAnsi="仿宋" w:eastAsia="仿宋" w:cs="仿宋"/>
          <w:b/>
          <w:color w:val="000000" w:themeColor="text1"/>
          <w:sz w:val="32"/>
          <w:szCs w:val="32"/>
          <w:highlight w:val="none"/>
          <w14:textFill>
            <w14:solidFill>
              <w14:schemeClr w14:val="tx1"/>
            </w14:solidFill>
          </w14:textFill>
        </w:rPr>
      </w:pPr>
      <w:bookmarkStart w:id="380" w:name="_Toc431279935"/>
      <w:bookmarkStart w:id="381" w:name="_Toc23959"/>
      <w:bookmarkStart w:id="382" w:name="_Toc14683"/>
      <w:bookmarkStart w:id="383" w:name="_Toc431280099"/>
      <w:bookmarkStart w:id="384" w:name="_Toc432230664"/>
      <w:r>
        <w:rPr>
          <w:rFonts w:hint="eastAsia" w:ascii="仿宋" w:hAnsi="仿宋" w:eastAsia="仿宋" w:cs="仿宋"/>
          <w:color w:val="000000" w:themeColor="text1"/>
          <w:kern w:val="0"/>
          <w:sz w:val="32"/>
          <w:szCs w:val="32"/>
          <w:highlight w:val="none"/>
          <w14:textFill>
            <w14:solidFill>
              <w14:schemeClr w14:val="tx1"/>
            </w14:solidFill>
          </w14:textFill>
        </w:rPr>
        <w:br w:type="page"/>
      </w:r>
      <w:bookmarkStart w:id="385" w:name="_Toc493494625"/>
      <w:bookmarkStart w:id="386" w:name="_Toc1097"/>
      <w:bookmarkStart w:id="387" w:name="_Toc12455"/>
      <w:bookmarkStart w:id="388" w:name="_Toc85096173"/>
      <w:bookmarkStart w:id="389" w:name="_Toc438160903"/>
      <w:r>
        <w:rPr>
          <w:rFonts w:hint="eastAsia" w:ascii="仿宋" w:hAnsi="仿宋" w:eastAsia="仿宋" w:cs="仿宋"/>
          <w:b/>
          <w:color w:val="000000" w:themeColor="text1"/>
          <w:sz w:val="32"/>
          <w:szCs w:val="32"/>
          <w:highlight w:val="none"/>
          <w14:textFill>
            <w14:solidFill>
              <w14:schemeClr w14:val="tx1"/>
            </w14:solidFill>
          </w14:textFill>
        </w:rPr>
        <w:t>三、法定代表人授权委托书</w:t>
      </w:r>
      <w:bookmarkEnd w:id="380"/>
      <w:bookmarkEnd w:id="381"/>
      <w:bookmarkEnd w:id="382"/>
      <w:bookmarkEnd w:id="383"/>
      <w:bookmarkEnd w:id="384"/>
      <w:bookmarkEnd w:id="385"/>
      <w:bookmarkEnd w:id="386"/>
      <w:bookmarkEnd w:id="387"/>
      <w:bookmarkEnd w:id="388"/>
      <w:bookmarkEnd w:id="389"/>
    </w:p>
    <w:p w14:paraId="7F69F102">
      <w:pPr>
        <w:pStyle w:val="15"/>
        <w:spacing w:before="317" w:beforeLines="100" w:after="317" w:afterLines="100" w:line="360" w:lineRule="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致：</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（采购人）</w:t>
      </w:r>
    </w:p>
    <w:p w14:paraId="2B6B3C77">
      <w:pPr>
        <w:pStyle w:val="24"/>
        <w:widowControl w:val="0"/>
        <w:spacing w:before="317" w:beforeLines="100" w:beforeAutospacing="0" w:after="317" w:afterLines="100" w:afterAutospacing="0" w:line="560" w:lineRule="exact"/>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bookmarkStart w:id="390" w:name="_Toc431279936"/>
      <w:bookmarkStart w:id="391" w:name="_Toc438160904"/>
      <w:bookmarkStart w:id="392" w:name="_Toc432230665"/>
      <w:bookmarkStart w:id="393" w:name="_Toc431280100"/>
      <w:bookmarkStart w:id="394" w:name="_Toc493494626"/>
      <w:bookmarkStart w:id="395" w:name="_Toc11716"/>
      <w:r>
        <w:rPr>
          <w:rFonts w:hint="eastAsia" w:ascii="仿宋" w:hAnsi="仿宋" w:eastAsia="仿宋" w:cs="仿宋"/>
          <w:color w:val="000000" w:themeColor="text1"/>
          <w:sz w:val="24"/>
          <w:highlight w:val="none"/>
          <w14:textFill>
            <w14:solidFill>
              <w14:schemeClr w14:val="tx1"/>
            </w14:solidFill>
          </w14:textFill>
        </w:rPr>
        <w:t>本人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（姓名）系</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（投标人名称）的法定代表人，现委托</w:t>
      </w:r>
      <w:r>
        <w:rPr>
          <w:rFonts w:hint="eastAsia" w:ascii="仿宋" w:hAnsi="仿宋" w:eastAsia="仿宋" w:cs="仿宋"/>
          <w:color w:val="000000" w:themeColor="text1"/>
          <w:sz w:val="24"/>
          <w:highlight w:val="none"/>
          <w:u w:val="single"/>
          <w14:textFill>
            <w14:solidFill>
              <w14:schemeClr w14:val="tx1"/>
            </w14:solidFill>
          </w14:textFill>
        </w:rPr>
        <w:t xml:space="preserve">             （姓名）</w:t>
      </w:r>
      <w:r>
        <w:rPr>
          <w:rFonts w:hint="eastAsia" w:ascii="仿宋" w:hAnsi="仿宋" w:eastAsia="仿宋" w:cs="仿宋"/>
          <w:color w:val="000000" w:themeColor="text1"/>
          <w:sz w:val="24"/>
          <w:highlight w:val="none"/>
          <w14:textFill>
            <w14:solidFill>
              <w14:schemeClr w14:val="tx1"/>
            </w14:solidFill>
          </w14:textFill>
        </w:rPr>
        <w:t>为本公司合法代理人，代理人根据授权，以我方名义签署、澄清确认、递交、撤回、修改就贵方组织的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包件名称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（包件编号）</w:t>
      </w:r>
      <w:r>
        <w:rPr>
          <w:rFonts w:hint="eastAsia" w:ascii="仿宋" w:hAnsi="仿宋" w:eastAsia="仿宋" w:cs="仿宋"/>
          <w:color w:val="000000" w:themeColor="text1"/>
          <w:sz w:val="24"/>
          <w:highlight w:val="none"/>
          <w14:textFill>
            <w14:solidFill>
              <w14:schemeClr w14:val="tx1"/>
            </w14:solidFill>
          </w14:textFill>
        </w:rPr>
        <w:t>，以本单位名义投标，签订合同和处理有关事宜，其法律后果由我方承担。</w:t>
      </w:r>
    </w:p>
    <w:p w14:paraId="5514A568">
      <w:pPr>
        <w:pStyle w:val="24"/>
        <w:widowControl w:val="0"/>
        <w:spacing w:before="317" w:beforeLines="100" w:beforeAutospacing="0" w:after="317" w:afterLines="100" w:afterAutospacing="0" w:line="560" w:lineRule="exact"/>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本委托书限期自</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日起到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日止。</w:t>
      </w:r>
    </w:p>
    <w:p w14:paraId="5C468A6C">
      <w:pPr>
        <w:pStyle w:val="24"/>
        <w:widowControl w:val="0"/>
        <w:spacing w:before="317" w:beforeLines="100" w:beforeAutospacing="0" w:after="317" w:afterLines="100" w:afterAutospacing="0" w:line="560" w:lineRule="exact"/>
        <w:ind w:firstLine="480" w:firstLineChars="200"/>
        <w:jc w:val="both"/>
        <w:rPr>
          <w:rFonts w:hint="eastAsia" w:ascii="仿宋" w:hAnsi="仿宋" w:eastAsia="仿宋" w:cs="仿宋"/>
          <w:color w:val="000000" w:themeColor="text1"/>
          <w:sz w:val="24"/>
          <w:highlight w:val="none"/>
          <w14:textFill>
            <w14:solidFill>
              <w14:schemeClr w14:val="tx1"/>
            </w14:solidFill>
          </w14:textFill>
        </w:rPr>
      </w:pPr>
    </w:p>
    <w:p w14:paraId="42B157B3">
      <w:pPr>
        <w:shd w:val="clear" w:color="auto" w:fill="FFFFFF"/>
        <w:spacing w:line="48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代理人无转委权，特此委托。             </w:t>
      </w:r>
    </w:p>
    <w:p w14:paraId="5DF1DDF4">
      <w:pPr>
        <w:pStyle w:val="24"/>
        <w:widowControl w:val="0"/>
        <w:spacing w:before="0" w:beforeAutospacing="0" w:after="0" w:afterAutospacing="0" w:line="560" w:lineRule="exact"/>
        <w:ind w:firstLine="482" w:firstLineChars="200"/>
        <w:jc w:val="both"/>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u w:val="single"/>
          <w14:textFill>
            <w14:solidFill>
              <w14:schemeClr w14:val="tx1"/>
            </w14:solidFill>
          </w14:textFill>
        </w:rPr>
        <w:t>后附授权代理人身份证扫描件，并加盖投标人</w:t>
      </w:r>
      <w:r>
        <w:rPr>
          <w:rFonts w:hint="eastAsia" w:ascii="仿宋" w:hAnsi="仿宋" w:eastAsia="仿宋" w:cs="仿宋"/>
          <w:b/>
          <w:color w:val="000000" w:themeColor="text1"/>
          <w:sz w:val="24"/>
          <w:highlight w:val="none"/>
          <w:u w:val="single"/>
          <w:lang w:eastAsia="zh-CN"/>
          <w14:textFill>
            <w14:solidFill>
              <w14:schemeClr w14:val="tx1"/>
            </w14:solidFill>
          </w14:textFill>
        </w:rPr>
        <w:t>电子签章</w:t>
      </w:r>
      <w:r>
        <w:rPr>
          <w:rFonts w:hint="eastAsia" w:ascii="仿宋" w:hAnsi="仿宋" w:eastAsia="仿宋" w:cs="仿宋"/>
          <w:b/>
          <w:color w:val="000000" w:themeColor="text1"/>
          <w:sz w:val="24"/>
          <w:highlight w:val="none"/>
          <w:u w:val="single"/>
          <w14:textFill>
            <w14:solidFill>
              <w14:schemeClr w14:val="tx1"/>
            </w14:solidFill>
          </w14:textFill>
        </w:rPr>
        <w:t>。</w:t>
      </w:r>
    </w:p>
    <w:p w14:paraId="2096B618">
      <w:pPr>
        <w:pStyle w:val="24"/>
        <w:widowControl w:val="0"/>
        <w:spacing w:before="0" w:beforeAutospacing="0" w:after="0" w:afterAutospacing="0" w:line="360" w:lineRule="auto"/>
        <w:jc w:val="both"/>
        <w:rPr>
          <w:rFonts w:hint="eastAsia" w:ascii="仿宋" w:hAnsi="仿宋" w:eastAsia="仿宋" w:cs="仿宋"/>
          <w:color w:val="000000" w:themeColor="text1"/>
          <w:sz w:val="24"/>
          <w:highlight w:val="none"/>
          <w14:textFill>
            <w14:solidFill>
              <w14:schemeClr w14:val="tx1"/>
            </w14:solidFill>
          </w14:textFill>
        </w:rPr>
      </w:pPr>
    </w:p>
    <w:p w14:paraId="286D2ECC">
      <w:pPr>
        <w:pStyle w:val="24"/>
        <w:widowControl w:val="0"/>
        <w:spacing w:before="158" w:beforeLines="50" w:beforeAutospacing="0" w:after="158" w:afterLines="50" w:afterAutospacing="0" w:line="360" w:lineRule="auto"/>
        <w:ind w:firstLine="4675" w:firstLineChars="1948"/>
        <w:jc w:val="both"/>
        <w:rPr>
          <w:rFonts w:hint="eastAsia" w:ascii="仿宋" w:hAnsi="仿宋" w:eastAsia="仿宋" w:cs="仿宋"/>
          <w:color w:val="000000" w:themeColor="text1"/>
          <w:sz w:val="24"/>
          <w:highlight w:val="none"/>
          <w14:textFill>
            <w14:solidFill>
              <w14:schemeClr w14:val="tx1"/>
            </w14:solidFill>
          </w14:textFill>
        </w:rPr>
      </w:pPr>
    </w:p>
    <w:p w14:paraId="6466B9CC">
      <w:pPr>
        <w:pStyle w:val="24"/>
        <w:widowControl w:val="0"/>
        <w:spacing w:before="0" w:beforeAutospacing="0" w:after="0" w:afterAutospacing="0" w:line="600" w:lineRule="exact"/>
        <w:ind w:firstLine="2880" w:firstLineChars="1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r>
        <w:rPr>
          <w:rFonts w:hint="eastAsia" w:ascii="仿宋" w:hAnsi="仿宋" w:eastAsia="仿宋" w:cs="仿宋"/>
          <w:color w:val="000000" w:themeColor="text1"/>
          <w:sz w:val="24"/>
          <w:highlight w:val="none"/>
          <w:lang w:val="en-US" w:eastAsia="zh-CN"/>
          <w14:textFill>
            <w14:solidFill>
              <w14:schemeClr w14:val="tx1"/>
            </w14:solidFill>
          </w14:textFill>
        </w:rPr>
        <w:t>全称</w:t>
      </w:r>
      <w:r>
        <w:rPr>
          <w:rFonts w:hint="eastAsia" w:ascii="仿宋" w:hAnsi="仿宋" w:eastAsia="仿宋" w:cs="仿宋"/>
          <w:color w:val="000000" w:themeColor="text1"/>
          <w:kern w:val="2"/>
          <w:sz w:val="24"/>
          <w:highlight w:val="none"/>
          <w14:textFill>
            <w14:solidFill>
              <w14:schemeClr w14:val="tx1"/>
            </w14:solidFill>
          </w14:textFill>
        </w:rPr>
        <w:t>：</w:t>
      </w:r>
      <w:r>
        <w:rPr>
          <w:rFonts w:hint="eastAsia" w:ascii="仿宋" w:hAnsi="仿宋" w:eastAsia="仿宋" w:cs="仿宋"/>
          <w:color w:val="000000" w:themeColor="text1"/>
          <w:kern w:val="2"/>
          <w:sz w:val="24"/>
          <w:highlight w:val="none"/>
          <w:u w:val="single"/>
          <w14:textFill>
            <w14:solidFill>
              <w14:schemeClr w14:val="tx1"/>
            </w14:solidFill>
          </w14:textFill>
        </w:rPr>
        <w:t xml:space="preserve">                   </w:t>
      </w:r>
      <w:r>
        <w:rPr>
          <w:rFonts w:hint="eastAsia" w:ascii="仿宋" w:hAnsi="仿宋" w:eastAsia="仿宋" w:cs="仿宋"/>
          <w:color w:val="000000" w:themeColor="text1"/>
          <w:kern w:val="2"/>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2"/>
          <w:sz w:val="24"/>
          <w:highlight w:val="none"/>
          <w14:textFill>
            <w14:solidFill>
              <w14:schemeClr w14:val="tx1"/>
            </w14:solidFill>
          </w14:textFill>
        </w:rPr>
        <w:t>（</w:t>
      </w:r>
      <w:r>
        <w:rPr>
          <w:rFonts w:hint="eastAsia" w:ascii="仿宋" w:hAnsi="仿宋" w:eastAsia="仿宋" w:cs="仿宋"/>
          <w:bCs/>
          <w:color w:val="000000" w:themeColor="text1"/>
          <w:kern w:val="2"/>
          <w:sz w:val="24"/>
          <w:highlight w:val="none"/>
          <w:lang w:eastAsia="zh-CN"/>
          <w14:textFill>
            <w14:solidFill>
              <w14:schemeClr w14:val="tx1"/>
            </w14:solidFill>
          </w14:textFill>
        </w:rPr>
        <w:t>电子签章</w:t>
      </w:r>
      <w:r>
        <w:rPr>
          <w:rFonts w:hint="eastAsia" w:ascii="仿宋" w:hAnsi="仿宋" w:eastAsia="仿宋" w:cs="仿宋"/>
          <w:color w:val="000000" w:themeColor="text1"/>
          <w:kern w:val="2"/>
          <w:sz w:val="24"/>
          <w:highlight w:val="none"/>
          <w14:textFill>
            <w14:solidFill>
              <w14:schemeClr w14:val="tx1"/>
            </w14:solidFill>
          </w14:textFill>
        </w:rPr>
        <w:t>）</w:t>
      </w:r>
    </w:p>
    <w:p w14:paraId="66BDBE33">
      <w:pPr>
        <w:pStyle w:val="24"/>
        <w:widowControl w:val="0"/>
        <w:spacing w:before="0" w:beforeAutospacing="0" w:after="0" w:afterAutospacing="0" w:line="600" w:lineRule="exact"/>
        <w:ind w:firstLine="2880" w:firstLineChars="1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Cs/>
          <w:color w:val="000000" w:themeColor="text1"/>
          <w:kern w:val="2"/>
          <w:sz w:val="24"/>
          <w:highlight w:val="none"/>
          <w14:textFill>
            <w14:solidFill>
              <w14:schemeClr w14:val="tx1"/>
            </w14:solidFill>
          </w14:textFill>
        </w:rPr>
        <w:t>电子签章</w:t>
      </w:r>
      <w:r>
        <w:rPr>
          <w:rFonts w:hint="eastAsia" w:ascii="仿宋" w:hAnsi="仿宋" w:eastAsia="仿宋" w:cs="仿宋"/>
          <w:color w:val="000000" w:themeColor="text1"/>
          <w:sz w:val="24"/>
          <w:highlight w:val="none"/>
          <w14:textFill>
            <w14:solidFill>
              <w14:schemeClr w14:val="tx1"/>
            </w14:solidFill>
          </w14:textFill>
        </w:rPr>
        <w:t>）</w:t>
      </w:r>
    </w:p>
    <w:p w14:paraId="33F79FE8">
      <w:pPr>
        <w:pStyle w:val="24"/>
        <w:widowControl w:val="0"/>
        <w:spacing w:before="0" w:beforeAutospacing="0" w:after="0" w:afterAutospacing="0" w:line="600" w:lineRule="exact"/>
        <w:ind w:firstLine="2880" w:firstLineChars="1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lang w:val="en-US" w:eastAsia="zh-CN"/>
          <w14:textFill>
            <w14:solidFill>
              <w14:schemeClr w14:val="tx1"/>
            </w14:solidFill>
          </w14:textFill>
        </w:rPr>
        <w:t>身份证号：</w:t>
      </w:r>
      <w:r>
        <w:rPr>
          <w:rFonts w:hint="eastAsia" w:ascii="仿宋" w:hAnsi="仿宋" w:eastAsia="仿宋" w:cs="仿宋"/>
          <w:color w:val="000000" w:themeColor="text1"/>
          <w:kern w:val="2"/>
          <w:sz w:val="24"/>
          <w:highlight w:val="none"/>
          <w:u w:val="single"/>
          <w14:textFill>
            <w14:solidFill>
              <w14:schemeClr w14:val="tx1"/>
            </w14:solidFill>
          </w14:textFill>
        </w:rPr>
        <w:t xml:space="preserve">                   </w:t>
      </w:r>
      <w:r>
        <w:rPr>
          <w:rFonts w:hint="eastAsia" w:ascii="仿宋" w:hAnsi="仿宋" w:eastAsia="仿宋" w:cs="仿宋"/>
          <w:color w:val="000000" w:themeColor="text1"/>
          <w:kern w:val="2"/>
          <w:sz w:val="24"/>
          <w:highlight w:val="none"/>
          <w:u w:val="single"/>
          <w:lang w:val="en-US" w:eastAsia="zh-CN"/>
          <w14:textFill>
            <w14:solidFill>
              <w14:schemeClr w14:val="tx1"/>
            </w14:solidFill>
          </w14:textFill>
        </w:rPr>
        <w:t xml:space="preserve">      </w:t>
      </w:r>
    </w:p>
    <w:p w14:paraId="6D9C5477">
      <w:pPr>
        <w:pStyle w:val="24"/>
        <w:widowControl w:val="0"/>
        <w:spacing w:before="0" w:beforeAutospacing="0" w:after="0" w:afterAutospacing="0" w:line="600" w:lineRule="exact"/>
        <w:ind w:firstLine="2880" w:firstLineChars="1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授权委托代理人：</w:t>
      </w:r>
      <w:r>
        <w:rPr>
          <w:rFonts w:hint="eastAsia" w:ascii="仿宋" w:hAnsi="仿宋" w:eastAsia="仿宋" w:cs="仿宋"/>
          <w:color w:val="000000" w:themeColor="text1"/>
          <w:kern w:val="2"/>
          <w:sz w:val="24"/>
          <w:highlight w:val="none"/>
          <w:u w:val="single"/>
          <w14:textFill>
            <w14:solidFill>
              <w14:schemeClr w14:val="tx1"/>
            </w14:solidFill>
          </w14:textFill>
        </w:rPr>
        <w:t xml:space="preserve">              </w:t>
      </w:r>
      <w:r>
        <w:rPr>
          <w:rFonts w:hint="eastAsia" w:ascii="仿宋" w:hAnsi="仿宋" w:eastAsia="仿宋" w:cs="仿宋"/>
          <w:color w:val="000000" w:themeColor="text1"/>
          <w:kern w:val="2"/>
          <w:sz w:val="24"/>
          <w:highlight w:val="none"/>
          <w:u w:val="single"/>
          <w:lang w:eastAsia="zh-CN"/>
          <w14:textFill>
            <w14:solidFill>
              <w14:schemeClr w14:val="tx1"/>
            </w14:solidFill>
          </w14:textFill>
        </w:rPr>
        <w:t>（</w:t>
      </w:r>
      <w:r>
        <w:rPr>
          <w:rFonts w:hint="eastAsia" w:ascii="仿宋" w:hAnsi="仿宋" w:eastAsia="仿宋" w:cs="仿宋"/>
          <w:color w:val="000000" w:themeColor="text1"/>
          <w:kern w:val="2"/>
          <w:sz w:val="24"/>
          <w:highlight w:val="none"/>
          <w:u w:val="none"/>
          <w:lang w:val="en-US" w:eastAsia="zh-CN"/>
          <w14:textFill>
            <w14:solidFill>
              <w14:schemeClr w14:val="tx1"/>
            </w14:solidFill>
          </w14:textFill>
        </w:rPr>
        <w:t>签字或电子签章</w:t>
      </w:r>
      <w:r>
        <w:rPr>
          <w:rFonts w:hint="eastAsia" w:ascii="仿宋" w:hAnsi="仿宋" w:eastAsia="仿宋" w:cs="仿宋"/>
          <w:color w:val="000000" w:themeColor="text1"/>
          <w:kern w:val="2"/>
          <w:sz w:val="24"/>
          <w:highlight w:val="none"/>
          <w:u w:val="none"/>
          <w:lang w:eastAsia="zh-CN"/>
          <w14:textFill>
            <w14:solidFill>
              <w14:schemeClr w14:val="tx1"/>
            </w14:solidFill>
          </w14:textFill>
        </w:rPr>
        <w:t>）</w:t>
      </w:r>
    </w:p>
    <w:p w14:paraId="6AA9CD32">
      <w:pPr>
        <w:pStyle w:val="24"/>
        <w:widowControl w:val="0"/>
        <w:spacing w:before="0" w:beforeAutospacing="0" w:after="0" w:afterAutospacing="0" w:line="600" w:lineRule="exact"/>
        <w:ind w:firstLine="2880" w:firstLineChars="1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授权委托代理人身份证号：</w:t>
      </w:r>
      <w:r>
        <w:rPr>
          <w:rFonts w:hint="eastAsia" w:ascii="仿宋" w:hAnsi="仿宋" w:eastAsia="仿宋" w:cs="仿宋"/>
          <w:color w:val="000000" w:themeColor="text1"/>
          <w:kern w:val="2"/>
          <w:sz w:val="24"/>
          <w:highlight w:val="none"/>
          <w:u w:val="single"/>
          <w14:textFill>
            <w14:solidFill>
              <w14:schemeClr w14:val="tx1"/>
            </w14:solidFill>
          </w14:textFill>
        </w:rPr>
        <w:t xml:space="preserve">                   </w:t>
      </w:r>
    </w:p>
    <w:p w14:paraId="0DE7B3E3">
      <w:pPr>
        <w:pStyle w:val="24"/>
        <w:widowControl w:val="0"/>
        <w:spacing w:before="0" w:beforeAutospacing="0" w:after="0" w:afterAutospacing="0" w:line="560" w:lineRule="exact"/>
        <w:ind w:firstLine="2880" w:firstLineChars="1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bookmarkEnd w:id="390"/>
    <w:bookmarkEnd w:id="391"/>
    <w:bookmarkEnd w:id="392"/>
    <w:bookmarkEnd w:id="393"/>
    <w:bookmarkEnd w:id="394"/>
    <w:bookmarkEnd w:id="395"/>
    <w:p w14:paraId="5BDC3F5C">
      <w:pPr>
        <w:jc w:val="center"/>
        <w:outlineLvl w:val="9"/>
        <w:rPr>
          <w:rFonts w:hint="eastAsia" w:ascii="仿宋" w:hAnsi="仿宋" w:eastAsia="仿宋" w:cs="仿宋"/>
          <w:color w:val="000000" w:themeColor="text1"/>
          <w:sz w:val="28"/>
          <w:szCs w:val="28"/>
          <w:highlight w:val="none"/>
          <w14:textFill>
            <w14:solidFill>
              <w14:schemeClr w14:val="tx1"/>
            </w14:solidFill>
          </w14:textFill>
        </w:rPr>
        <w:sectPr>
          <w:footerReference r:id="rId5" w:type="default"/>
          <w:pgSz w:w="11906" w:h="16838"/>
          <w:pgMar w:top="1440" w:right="1701" w:bottom="1440" w:left="1701" w:header="720" w:footer="720" w:gutter="0"/>
          <w:pgBorders>
            <w:top w:val="none" w:sz="0" w:space="0"/>
            <w:left w:val="none" w:sz="0" w:space="0"/>
            <w:bottom w:val="none" w:sz="0" w:space="0"/>
            <w:right w:val="none" w:sz="0" w:space="0"/>
          </w:pgBorders>
          <w:pgNumType w:fmt="decimal" w:start="3"/>
          <w:cols w:space="720" w:num="1"/>
          <w:docGrid w:type="lines" w:linePitch="317" w:charSpace="0"/>
        </w:sectPr>
      </w:pPr>
      <w:bookmarkStart w:id="396" w:name="_Toc28457"/>
      <w:bookmarkStart w:id="397" w:name="_Toc5757"/>
      <w:bookmarkStart w:id="398" w:name="_Toc431280103"/>
      <w:bookmarkStart w:id="399" w:name="_Toc431279939"/>
      <w:bookmarkStart w:id="400" w:name="_Toc415745014"/>
      <w:bookmarkStart w:id="401" w:name="_Toc402339526"/>
    </w:p>
    <w:bookmarkEnd w:id="396"/>
    <w:bookmarkEnd w:id="397"/>
    <w:bookmarkEnd w:id="398"/>
    <w:bookmarkEnd w:id="399"/>
    <w:p w14:paraId="5ED1D03B">
      <w:pPr>
        <w:spacing w:line="360" w:lineRule="auto"/>
        <w:jc w:val="center"/>
        <w:outlineLvl w:val="2"/>
        <w:rPr>
          <w:rFonts w:hint="eastAsia" w:ascii="仿宋" w:hAnsi="仿宋" w:eastAsia="仿宋" w:cs="仿宋"/>
          <w:b/>
          <w:color w:val="000000" w:themeColor="text1"/>
          <w:sz w:val="32"/>
          <w:szCs w:val="32"/>
          <w:highlight w:val="none"/>
          <w14:textFill>
            <w14:solidFill>
              <w14:schemeClr w14:val="tx1"/>
            </w14:solidFill>
          </w14:textFill>
        </w:rPr>
      </w:pPr>
      <w:bookmarkStart w:id="402" w:name="_Toc85096177"/>
      <w:bookmarkStart w:id="403" w:name="_Toc26557"/>
      <w:bookmarkStart w:id="404" w:name="_Toc432230669"/>
      <w:bookmarkStart w:id="405" w:name="_Toc431279940"/>
      <w:bookmarkStart w:id="406" w:name="_Toc431280104"/>
      <w:r>
        <w:rPr>
          <w:rFonts w:hint="eastAsia" w:ascii="仿宋" w:hAnsi="仿宋" w:eastAsia="仿宋" w:cs="仿宋"/>
          <w:b/>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b/>
          <w:color w:val="000000" w:themeColor="text1"/>
          <w:sz w:val="32"/>
          <w:szCs w:val="32"/>
          <w:highlight w:val="none"/>
          <w14:textFill>
            <w14:solidFill>
              <w14:schemeClr w14:val="tx1"/>
            </w14:solidFill>
          </w14:textFill>
        </w:rPr>
        <w:t>、投标人基本情况表</w:t>
      </w:r>
      <w:bookmarkEnd w:id="402"/>
      <w:bookmarkEnd w:id="403"/>
      <w:bookmarkEnd w:id="404"/>
      <w:bookmarkEnd w:id="405"/>
      <w:bookmarkEnd w:id="406"/>
    </w:p>
    <w:tbl>
      <w:tblPr>
        <w:tblStyle w:val="2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1335"/>
        <w:gridCol w:w="2217"/>
        <w:gridCol w:w="1301"/>
        <w:gridCol w:w="1687"/>
      </w:tblGrid>
      <w:tr w14:paraId="2D96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51402615">
            <w:pPr>
              <w:autoSpaceDE w:val="0"/>
              <w:autoSpaceDN w:val="0"/>
              <w:adjustRightInd w:val="0"/>
              <w:spacing w:line="360" w:lineRule="auto"/>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w:t>
            </w:r>
            <w:r>
              <w:rPr>
                <w:rFonts w:hint="eastAsia" w:ascii="仿宋" w:hAnsi="仿宋" w:eastAsia="仿宋" w:cs="仿宋"/>
                <w:color w:val="000000" w:themeColor="text1"/>
                <w:kern w:val="0"/>
                <w:sz w:val="24"/>
                <w:highlight w:val="none"/>
                <w:lang w:val="en-US" w:eastAsia="zh-CN"/>
                <w14:textFill>
                  <w14:solidFill>
                    <w14:schemeClr w14:val="tx1"/>
                  </w14:solidFill>
                </w14:textFill>
              </w:rPr>
              <w:t>全称</w:t>
            </w:r>
          </w:p>
        </w:tc>
        <w:tc>
          <w:tcPr>
            <w:tcW w:w="6540" w:type="dxa"/>
            <w:gridSpan w:val="4"/>
            <w:noWrap w:val="0"/>
            <w:vAlign w:val="center"/>
          </w:tcPr>
          <w:p w14:paraId="771C8F85">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6944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74C3D2A0">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注册地址</w:t>
            </w:r>
          </w:p>
        </w:tc>
        <w:tc>
          <w:tcPr>
            <w:tcW w:w="3552" w:type="dxa"/>
            <w:gridSpan w:val="2"/>
            <w:noWrap w:val="0"/>
            <w:vAlign w:val="center"/>
          </w:tcPr>
          <w:p w14:paraId="64A36BD9">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c>
          <w:tcPr>
            <w:tcW w:w="1301" w:type="dxa"/>
            <w:noWrap w:val="0"/>
            <w:vAlign w:val="center"/>
          </w:tcPr>
          <w:p w14:paraId="4AEC6663">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邮政编码</w:t>
            </w:r>
          </w:p>
        </w:tc>
        <w:tc>
          <w:tcPr>
            <w:tcW w:w="1687" w:type="dxa"/>
            <w:noWrap w:val="0"/>
            <w:vAlign w:val="center"/>
          </w:tcPr>
          <w:p w14:paraId="783C9EB2">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091E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restart"/>
            <w:noWrap w:val="0"/>
            <w:vAlign w:val="center"/>
          </w:tcPr>
          <w:p w14:paraId="6CC03B6B">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联系方式</w:t>
            </w:r>
          </w:p>
        </w:tc>
        <w:tc>
          <w:tcPr>
            <w:tcW w:w="1335" w:type="dxa"/>
            <w:noWrap w:val="0"/>
            <w:vAlign w:val="center"/>
          </w:tcPr>
          <w:p w14:paraId="2FDDAF20">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联系人</w:t>
            </w:r>
          </w:p>
        </w:tc>
        <w:tc>
          <w:tcPr>
            <w:tcW w:w="2217" w:type="dxa"/>
            <w:noWrap w:val="0"/>
            <w:vAlign w:val="center"/>
          </w:tcPr>
          <w:p w14:paraId="474A7766">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c>
          <w:tcPr>
            <w:tcW w:w="1301" w:type="dxa"/>
            <w:noWrap w:val="0"/>
            <w:vAlign w:val="center"/>
          </w:tcPr>
          <w:p w14:paraId="7773E525">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p>
        </w:tc>
        <w:tc>
          <w:tcPr>
            <w:tcW w:w="1687" w:type="dxa"/>
            <w:noWrap w:val="0"/>
            <w:vAlign w:val="center"/>
          </w:tcPr>
          <w:p w14:paraId="5FF0E7BD">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2B05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noWrap w:val="0"/>
            <w:vAlign w:val="center"/>
          </w:tcPr>
          <w:p w14:paraId="2F8B8F82">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335" w:type="dxa"/>
            <w:noWrap w:val="0"/>
            <w:vAlign w:val="center"/>
          </w:tcPr>
          <w:p w14:paraId="5E318172">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传 真</w:t>
            </w:r>
          </w:p>
        </w:tc>
        <w:tc>
          <w:tcPr>
            <w:tcW w:w="2217" w:type="dxa"/>
            <w:noWrap w:val="0"/>
            <w:vAlign w:val="center"/>
          </w:tcPr>
          <w:p w14:paraId="5BD7BA71">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c>
          <w:tcPr>
            <w:tcW w:w="1301" w:type="dxa"/>
            <w:noWrap w:val="0"/>
            <w:vAlign w:val="center"/>
          </w:tcPr>
          <w:p w14:paraId="67B89EBE">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网 址</w:t>
            </w:r>
          </w:p>
        </w:tc>
        <w:tc>
          <w:tcPr>
            <w:tcW w:w="1687" w:type="dxa"/>
            <w:noWrap w:val="0"/>
            <w:vAlign w:val="center"/>
          </w:tcPr>
          <w:p w14:paraId="4849B4A6">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12A8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30434785">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w:t>
            </w:r>
          </w:p>
        </w:tc>
        <w:tc>
          <w:tcPr>
            <w:tcW w:w="1335" w:type="dxa"/>
            <w:noWrap w:val="0"/>
            <w:vAlign w:val="center"/>
          </w:tcPr>
          <w:p w14:paraId="2928B7BC">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姓名</w:t>
            </w:r>
          </w:p>
        </w:tc>
        <w:tc>
          <w:tcPr>
            <w:tcW w:w="2217" w:type="dxa"/>
            <w:noWrap w:val="0"/>
            <w:vAlign w:val="center"/>
          </w:tcPr>
          <w:p w14:paraId="06752C8E">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c>
          <w:tcPr>
            <w:tcW w:w="1301" w:type="dxa"/>
            <w:noWrap w:val="0"/>
            <w:vAlign w:val="center"/>
          </w:tcPr>
          <w:p w14:paraId="6537BC81">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p>
        </w:tc>
        <w:tc>
          <w:tcPr>
            <w:tcW w:w="1687" w:type="dxa"/>
            <w:noWrap w:val="0"/>
            <w:vAlign w:val="center"/>
          </w:tcPr>
          <w:p w14:paraId="06DFC402">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5797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6301DA88">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成立时间</w:t>
            </w:r>
          </w:p>
        </w:tc>
        <w:tc>
          <w:tcPr>
            <w:tcW w:w="3552" w:type="dxa"/>
            <w:gridSpan w:val="2"/>
            <w:noWrap w:val="0"/>
            <w:vAlign w:val="center"/>
          </w:tcPr>
          <w:p w14:paraId="5D8141FC">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c>
          <w:tcPr>
            <w:tcW w:w="1301" w:type="dxa"/>
            <w:noWrap w:val="0"/>
            <w:vAlign w:val="center"/>
          </w:tcPr>
          <w:p w14:paraId="3A0BA89C">
            <w:pPr>
              <w:autoSpaceDE w:val="0"/>
              <w:autoSpaceDN w:val="0"/>
              <w:adjustRightInd w:val="0"/>
              <w:spacing w:line="360" w:lineRule="auto"/>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员工总数</w:t>
            </w:r>
          </w:p>
        </w:tc>
        <w:tc>
          <w:tcPr>
            <w:tcW w:w="1687" w:type="dxa"/>
            <w:noWrap w:val="0"/>
            <w:vAlign w:val="center"/>
          </w:tcPr>
          <w:p w14:paraId="6616230A">
            <w:pPr>
              <w:autoSpaceDE w:val="0"/>
              <w:autoSpaceDN w:val="0"/>
              <w:adjustRightInd w:val="0"/>
              <w:spacing w:line="360" w:lineRule="auto"/>
              <w:jc w:val="both"/>
              <w:rPr>
                <w:rFonts w:hint="eastAsia" w:ascii="仿宋" w:hAnsi="仿宋" w:eastAsia="仿宋" w:cs="仿宋"/>
                <w:color w:val="000000" w:themeColor="text1"/>
                <w:kern w:val="0"/>
                <w:sz w:val="24"/>
                <w:highlight w:val="none"/>
                <w14:textFill>
                  <w14:solidFill>
                    <w14:schemeClr w14:val="tx1"/>
                  </w14:solidFill>
                </w14:textFill>
              </w:rPr>
            </w:pPr>
          </w:p>
        </w:tc>
      </w:tr>
      <w:tr w14:paraId="7054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454FA764">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统一社会信用代码</w:t>
            </w:r>
          </w:p>
        </w:tc>
        <w:tc>
          <w:tcPr>
            <w:tcW w:w="6540" w:type="dxa"/>
            <w:gridSpan w:val="4"/>
            <w:noWrap w:val="0"/>
            <w:vAlign w:val="center"/>
          </w:tcPr>
          <w:p w14:paraId="5B664CAD">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3078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08DD69E3">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注册资金</w:t>
            </w:r>
          </w:p>
        </w:tc>
        <w:tc>
          <w:tcPr>
            <w:tcW w:w="6540" w:type="dxa"/>
            <w:gridSpan w:val="4"/>
            <w:noWrap w:val="0"/>
            <w:vAlign w:val="center"/>
          </w:tcPr>
          <w:p w14:paraId="3CE4F624">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51F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3A1F6B3E">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开户银行</w:t>
            </w:r>
          </w:p>
        </w:tc>
        <w:tc>
          <w:tcPr>
            <w:tcW w:w="6540" w:type="dxa"/>
            <w:gridSpan w:val="4"/>
            <w:noWrap w:val="0"/>
            <w:vAlign w:val="center"/>
          </w:tcPr>
          <w:p w14:paraId="09D8A3A5">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6E45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noWrap w:val="0"/>
            <w:vAlign w:val="center"/>
          </w:tcPr>
          <w:p w14:paraId="5544A147">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账号</w:t>
            </w:r>
          </w:p>
        </w:tc>
        <w:tc>
          <w:tcPr>
            <w:tcW w:w="6540" w:type="dxa"/>
            <w:gridSpan w:val="4"/>
            <w:noWrap w:val="0"/>
            <w:vAlign w:val="center"/>
          </w:tcPr>
          <w:p w14:paraId="3D183626">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6049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60" w:type="dxa"/>
            <w:noWrap w:val="0"/>
            <w:vAlign w:val="center"/>
          </w:tcPr>
          <w:p w14:paraId="37AA9A6E">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经营范围</w:t>
            </w:r>
          </w:p>
        </w:tc>
        <w:tc>
          <w:tcPr>
            <w:tcW w:w="6540" w:type="dxa"/>
            <w:gridSpan w:val="4"/>
            <w:noWrap w:val="0"/>
            <w:vAlign w:val="center"/>
          </w:tcPr>
          <w:p w14:paraId="411DADB4">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r w14:paraId="4626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260" w:type="dxa"/>
            <w:noWrap w:val="0"/>
            <w:vAlign w:val="center"/>
          </w:tcPr>
          <w:p w14:paraId="6B628E8C">
            <w:pPr>
              <w:autoSpaceDE w:val="0"/>
              <w:autoSpaceDN w:val="0"/>
              <w:adjustRightInd w:val="0"/>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备注</w:t>
            </w:r>
          </w:p>
        </w:tc>
        <w:tc>
          <w:tcPr>
            <w:tcW w:w="6540" w:type="dxa"/>
            <w:gridSpan w:val="4"/>
            <w:noWrap w:val="0"/>
            <w:vAlign w:val="center"/>
          </w:tcPr>
          <w:p w14:paraId="4A4641B4">
            <w:pPr>
              <w:autoSpaceDE w:val="0"/>
              <w:autoSpaceDN w:val="0"/>
              <w:adjustRightInd w:val="0"/>
              <w:spacing w:line="360" w:lineRule="auto"/>
              <w:jc w:val="left"/>
              <w:rPr>
                <w:rFonts w:hint="eastAsia" w:ascii="仿宋" w:hAnsi="仿宋" w:eastAsia="仿宋" w:cs="仿宋"/>
                <w:color w:val="000000" w:themeColor="text1"/>
                <w:kern w:val="0"/>
                <w:sz w:val="24"/>
                <w:highlight w:val="none"/>
                <w14:textFill>
                  <w14:solidFill>
                    <w14:schemeClr w14:val="tx1"/>
                  </w14:solidFill>
                </w14:textFill>
              </w:rPr>
            </w:pPr>
          </w:p>
        </w:tc>
      </w:tr>
    </w:tbl>
    <w:p w14:paraId="4D7C0A90">
      <w:pPr>
        <w:widowControl/>
        <w:jc w:val="center"/>
        <w:rPr>
          <w:rFonts w:hint="eastAsia" w:ascii="仿宋" w:hAnsi="仿宋" w:eastAsia="仿宋" w:cs="仿宋"/>
          <w:color w:val="000000" w:themeColor="text1"/>
          <w:szCs w:val="21"/>
          <w:highlight w:val="none"/>
          <w:lang w:val="en-US" w:eastAsia="zh-CN"/>
          <w14:textFill>
            <w14:solidFill>
              <w14:schemeClr w14:val="tx1"/>
            </w14:solidFill>
          </w14:textFill>
        </w:rPr>
      </w:pPr>
    </w:p>
    <w:p w14:paraId="6A6D953A">
      <w:pPr>
        <w:widowControl/>
        <w:jc w:val="left"/>
        <w:rPr>
          <w:rFonts w:hint="eastAsia" w:ascii="仿宋" w:hAnsi="仿宋" w:eastAsia="仿宋" w:cs="仿宋"/>
          <w:color w:val="000000" w:themeColor="text1"/>
          <w:szCs w:val="21"/>
          <w:highlight w:val="none"/>
          <w:lang w:val="en-US" w:eastAsia="zh-CN"/>
          <w14:textFill>
            <w14:solidFill>
              <w14:schemeClr w14:val="tx1"/>
            </w14:solidFill>
          </w14:textFill>
        </w:rPr>
        <w:sectPr>
          <w:pgSz w:w="11906" w:h="16838"/>
          <w:pgMar w:top="1440" w:right="1701" w:bottom="1440" w:left="1701" w:header="720" w:footer="720" w:gutter="0"/>
          <w:pgBorders>
            <w:top w:val="none" w:sz="0" w:space="0"/>
            <w:left w:val="none" w:sz="0" w:space="0"/>
            <w:bottom w:val="none" w:sz="0" w:space="0"/>
            <w:right w:val="none" w:sz="0" w:space="0"/>
          </w:pgBorders>
          <w:pgNumType w:fmt="decimal"/>
          <w:cols w:space="720" w:num="1"/>
          <w:docGrid w:type="lines" w:linePitch="317" w:charSpace="0"/>
        </w:sectPr>
      </w:pPr>
      <w:r>
        <w:rPr>
          <w:rFonts w:hint="eastAsia" w:ascii="仿宋" w:hAnsi="仿宋" w:eastAsia="仿宋" w:cs="仿宋"/>
          <w:b/>
          <w:bCs/>
          <w:color w:val="000000" w:themeColor="text1"/>
          <w:szCs w:val="21"/>
          <w:highlight w:val="none"/>
          <w:lang w:val="en-US" w:eastAsia="zh-CN"/>
          <w14:textFill>
            <w14:solidFill>
              <w14:schemeClr w14:val="tx1"/>
            </w14:solidFill>
          </w14:textFill>
        </w:rPr>
        <w:t>后附：营业执照、开户许可证等</w:t>
      </w:r>
    </w:p>
    <w:p w14:paraId="35F5399F">
      <w:pPr>
        <w:pStyle w:val="4"/>
        <w:numPr>
          <w:ilvl w:val="0"/>
          <w:numId w:val="0"/>
        </w:numPr>
        <w:tabs>
          <w:tab w:val="left" w:pos="3999"/>
        </w:tabs>
        <w:spacing w:line="240" w:lineRule="auto"/>
        <w:jc w:val="center"/>
        <w:outlineLvl w:val="2"/>
        <w:rPr>
          <w:rFonts w:hint="eastAsia" w:ascii="仿宋" w:hAnsi="仿宋" w:eastAsia="仿宋" w:cs="仿宋"/>
          <w:color w:val="000000"/>
          <w:sz w:val="32"/>
          <w:szCs w:val="32"/>
          <w:highlight w:val="none"/>
        </w:rPr>
      </w:pPr>
      <w:bookmarkStart w:id="407" w:name="_Toc8052"/>
      <w:bookmarkStart w:id="408" w:name="_Toc85096178"/>
      <w:r>
        <w:rPr>
          <w:rFonts w:hint="eastAsia" w:ascii="仿宋" w:hAnsi="仿宋" w:eastAsia="仿宋" w:cs="仿宋"/>
          <w:b/>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b/>
          <w:color w:val="000000" w:themeColor="text1"/>
          <w:sz w:val="32"/>
          <w:szCs w:val="32"/>
          <w:highlight w:val="none"/>
          <w14:textFill>
            <w14:solidFill>
              <w14:schemeClr w14:val="tx1"/>
            </w14:solidFill>
          </w14:textFill>
        </w:rPr>
        <w:t>、</w:t>
      </w:r>
      <w:bookmarkStart w:id="409" w:name="_Toc23982"/>
      <w:bookmarkStart w:id="410" w:name="_Toc445993930"/>
      <w:bookmarkStart w:id="411" w:name="_Toc232509437"/>
      <w:bookmarkStart w:id="412" w:name="_Toc10038940"/>
      <w:r>
        <w:rPr>
          <w:rFonts w:hint="eastAsia" w:ascii="仿宋" w:hAnsi="仿宋" w:eastAsia="仿宋" w:cs="仿宋"/>
          <w:color w:val="000000"/>
          <w:sz w:val="32"/>
          <w:szCs w:val="32"/>
          <w:highlight w:val="none"/>
        </w:rPr>
        <w:t>投标函</w:t>
      </w:r>
      <w:bookmarkEnd w:id="409"/>
      <w:bookmarkEnd w:id="410"/>
      <w:bookmarkEnd w:id="411"/>
      <w:bookmarkEnd w:id="412"/>
    </w:p>
    <w:p w14:paraId="2E4CF9FB">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lang w:eastAsia="zh-CN"/>
        </w:rPr>
        <w:t>（</w:t>
      </w:r>
      <w:r>
        <w:rPr>
          <w:rFonts w:hint="eastAsia" w:ascii="仿宋" w:hAnsi="仿宋" w:eastAsia="仿宋" w:cs="仿宋"/>
          <w:color w:val="000000"/>
          <w:kern w:val="0"/>
          <w:sz w:val="24"/>
          <w:highlight w:val="none"/>
          <w:u w:val="single"/>
          <w:lang w:val="en-US" w:eastAsia="zh-CN"/>
        </w:rPr>
        <w:t>采购人名称</w:t>
      </w:r>
      <w:r>
        <w:rPr>
          <w:rFonts w:hint="eastAsia" w:ascii="仿宋" w:hAnsi="仿宋" w:eastAsia="仿宋" w:cs="仿宋"/>
          <w:color w:val="000000"/>
          <w:kern w:val="0"/>
          <w:sz w:val="24"/>
          <w:highlight w:val="none"/>
          <w:u w:val="single"/>
          <w:lang w:eastAsia="zh-CN"/>
        </w:rPr>
        <w:t>）</w:t>
      </w:r>
      <w:r>
        <w:rPr>
          <w:rFonts w:hint="eastAsia" w:ascii="仿宋" w:hAnsi="仿宋" w:eastAsia="仿宋" w:cs="仿宋"/>
          <w:color w:val="000000"/>
          <w:kern w:val="0"/>
          <w:sz w:val="24"/>
          <w:highlight w:val="none"/>
          <w:u w:val="single"/>
        </w:rPr>
        <w:t xml:space="preserve">   </w:t>
      </w:r>
    </w:p>
    <w:p w14:paraId="1C47C76F">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根据贵方为</w:t>
      </w:r>
      <w:r>
        <w:rPr>
          <w:rFonts w:hint="eastAsia" w:ascii="仿宋" w:hAnsi="仿宋" w:eastAsia="仿宋" w:cs="仿宋"/>
          <w:color w:val="000000"/>
          <w:kern w:val="0"/>
          <w:sz w:val="24"/>
          <w:highlight w:val="none"/>
          <w:u w:val="single"/>
        </w:rPr>
        <w:t>（</w:t>
      </w:r>
      <w:r>
        <w:rPr>
          <w:rFonts w:hint="eastAsia" w:ascii="仿宋" w:hAnsi="仿宋" w:eastAsia="仿宋" w:cs="仿宋"/>
          <w:color w:val="000000"/>
          <w:kern w:val="0"/>
          <w:sz w:val="24"/>
          <w:highlight w:val="none"/>
          <w:u w:val="single"/>
          <w:lang w:val="en-US" w:eastAsia="zh-CN"/>
        </w:rPr>
        <w:t>包件名称</w:t>
      </w:r>
      <w:r>
        <w:rPr>
          <w:rFonts w:hint="eastAsia" w:ascii="仿宋" w:hAnsi="仿宋" w:eastAsia="仿宋" w:cs="仿宋"/>
          <w:color w:val="000000"/>
          <w:kern w:val="0"/>
          <w:sz w:val="24"/>
          <w:highlight w:val="none"/>
          <w:u w:val="single"/>
        </w:rPr>
        <w:t>）</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包件</w:t>
      </w:r>
      <w:r>
        <w:rPr>
          <w:rFonts w:hint="eastAsia" w:ascii="仿宋" w:hAnsi="仿宋" w:eastAsia="仿宋" w:cs="仿宋"/>
          <w:color w:val="000000"/>
          <w:kern w:val="0"/>
          <w:sz w:val="24"/>
          <w:highlight w:val="none"/>
        </w:rPr>
        <w:t>编号：</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）项目招标，</w:t>
      </w:r>
      <w:r>
        <w:rPr>
          <w:rFonts w:hint="eastAsia" w:ascii="仿宋" w:hAnsi="仿宋" w:eastAsia="仿宋" w:cs="仿宋"/>
          <w:color w:val="000000"/>
          <w:kern w:val="0"/>
          <w:sz w:val="24"/>
          <w:highlight w:val="none"/>
          <w:lang w:val="en-US" w:eastAsia="zh-CN"/>
        </w:rPr>
        <w:t>我方</w:t>
      </w:r>
      <w:r>
        <w:rPr>
          <w:rFonts w:hint="eastAsia" w:ascii="仿宋" w:hAnsi="仿宋" w:eastAsia="仿宋" w:cs="仿宋"/>
          <w:color w:val="000000"/>
          <w:kern w:val="0"/>
          <w:sz w:val="24"/>
          <w:highlight w:val="none"/>
        </w:rPr>
        <w:t>正式授权下述签字人</w:t>
      </w:r>
      <w:r>
        <w:rPr>
          <w:rFonts w:hint="eastAsia" w:ascii="仿宋" w:hAnsi="仿宋" w:eastAsia="仿宋" w:cs="仿宋"/>
          <w:color w:val="000000"/>
          <w:kern w:val="0"/>
          <w:sz w:val="24"/>
          <w:highlight w:val="none"/>
          <w:u w:val="single"/>
        </w:rPr>
        <w:t>（姓名和职务）</w:t>
      </w:r>
      <w:r>
        <w:rPr>
          <w:rFonts w:hint="eastAsia" w:ascii="仿宋" w:hAnsi="仿宋" w:eastAsia="仿宋" w:cs="仿宋"/>
          <w:color w:val="000000"/>
          <w:kern w:val="0"/>
          <w:sz w:val="24"/>
          <w:highlight w:val="none"/>
        </w:rPr>
        <w:t>全权代表投标人</w:t>
      </w:r>
      <w:r>
        <w:rPr>
          <w:rFonts w:hint="eastAsia" w:ascii="仿宋" w:hAnsi="仿宋" w:eastAsia="仿宋" w:cs="仿宋"/>
          <w:color w:val="000000"/>
          <w:kern w:val="0"/>
          <w:sz w:val="24"/>
          <w:highlight w:val="none"/>
          <w:u w:val="single"/>
        </w:rPr>
        <w:t>（投标人全称）</w:t>
      </w:r>
      <w:r>
        <w:rPr>
          <w:rFonts w:hint="eastAsia" w:ascii="仿宋" w:hAnsi="仿宋" w:eastAsia="仿宋" w:cs="仿宋"/>
          <w:color w:val="000000"/>
          <w:kern w:val="0"/>
          <w:sz w:val="24"/>
          <w:highlight w:val="none"/>
        </w:rPr>
        <w:t>参加投标。</w:t>
      </w:r>
    </w:p>
    <w:p w14:paraId="18ACE3BE">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据此函，签字人兹宣布同意如下：</w:t>
      </w:r>
    </w:p>
    <w:p w14:paraId="6A3A8789">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1、按</w:t>
      </w:r>
      <w:r>
        <w:rPr>
          <w:rFonts w:hint="eastAsia" w:ascii="仿宋" w:hAnsi="仿宋" w:eastAsia="仿宋" w:cs="仿宋"/>
          <w:color w:val="000000"/>
          <w:kern w:val="0"/>
          <w:sz w:val="24"/>
          <w:highlight w:val="none"/>
          <w:lang w:eastAsia="zh-CN"/>
        </w:rPr>
        <w:t>招标文件</w:t>
      </w:r>
      <w:r>
        <w:rPr>
          <w:rFonts w:hint="eastAsia" w:ascii="仿宋" w:hAnsi="仿宋" w:eastAsia="仿宋" w:cs="仿宋"/>
          <w:color w:val="000000"/>
          <w:kern w:val="0"/>
          <w:sz w:val="24"/>
          <w:highlight w:val="none"/>
        </w:rPr>
        <w:t>采购需求和开标一览表，</w:t>
      </w:r>
      <w:r>
        <w:rPr>
          <w:rFonts w:hint="eastAsia" w:ascii="仿宋" w:hAnsi="仿宋" w:eastAsia="仿宋" w:cs="仿宋"/>
          <w:color w:val="000000"/>
          <w:kern w:val="0"/>
          <w:sz w:val="24"/>
          <w:highlight w:val="none"/>
          <w:lang w:eastAsia="zh-CN"/>
        </w:rPr>
        <w:t>投标批次</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lang w:eastAsia="zh-CN"/>
        </w:rPr>
        <w:t>批次</w:t>
      </w:r>
      <w:r>
        <w:rPr>
          <w:rFonts w:hint="eastAsia" w:ascii="仿宋" w:hAnsi="仿宋" w:eastAsia="仿宋" w:cs="仿宋"/>
          <w:color w:val="000000"/>
          <w:kern w:val="0"/>
          <w:sz w:val="24"/>
          <w:highlight w:val="none"/>
        </w:rPr>
        <w:t>；合同履行期限：</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；服务地点：</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；服务质量承诺：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p>
    <w:p w14:paraId="51AA353D">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2、我方同意在投标人须知规定的开标日期起遵循本投标文件，并在投标人须知第17条规定的投标文件有效期满之前均具有约束力。如果我方投标被接受，则至合同履行完、质保期满为止，本投标函保持有效。</w:t>
      </w:r>
    </w:p>
    <w:p w14:paraId="556481BE">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3、我方承诺已经具备《中华人民共和国政府采购法》中规定的参加政府采购活动的投标人应当具备的条件。</w:t>
      </w:r>
    </w:p>
    <w:p w14:paraId="4B6DE550">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4、如我方投标被接受，将保证忠实地执行买卖双方所签经济合同，在合同规定期限内完成服务（或完工），并承担合同规定的责任义务。</w:t>
      </w:r>
    </w:p>
    <w:p w14:paraId="2E36EFE3">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5、我方已详细审核</w:t>
      </w:r>
      <w:r>
        <w:rPr>
          <w:rFonts w:hint="eastAsia" w:ascii="仿宋" w:hAnsi="仿宋" w:eastAsia="仿宋" w:cs="仿宋"/>
          <w:color w:val="000000"/>
          <w:kern w:val="0"/>
          <w:sz w:val="24"/>
          <w:highlight w:val="none"/>
          <w:lang w:eastAsia="zh-CN"/>
        </w:rPr>
        <w:t>招标文件</w:t>
      </w:r>
      <w:r>
        <w:rPr>
          <w:rFonts w:hint="eastAsia" w:ascii="仿宋" w:hAnsi="仿宋" w:eastAsia="仿宋" w:cs="仿宋"/>
          <w:color w:val="000000"/>
          <w:kern w:val="0"/>
          <w:sz w:val="24"/>
          <w:highlight w:val="none"/>
        </w:rPr>
        <w:t>，我方知道必须放弃提出含糊不清或误解问题的权利。</w:t>
      </w:r>
    </w:p>
    <w:p w14:paraId="2E4E8DA5">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6、如果在投标文件有效期内撤回投标或者有其他违约行为，我将承担违约责任。</w:t>
      </w:r>
    </w:p>
    <w:p w14:paraId="4F1605D6">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7、同意贵方要求提供与本投标有关的任何数据或资料。</w:t>
      </w:r>
    </w:p>
    <w:p w14:paraId="27C398E6">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8、我方完全理解贵方不一定要接受最低报价的投标人为中标人的行为。</w:t>
      </w:r>
    </w:p>
    <w:p w14:paraId="090098EF">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9、若贵方需要，我方愿意提供我方作出的一切承诺的证明材料。</w:t>
      </w:r>
    </w:p>
    <w:p w14:paraId="55C83DC2">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与本投标有关的正式通讯地址为：</w:t>
      </w:r>
    </w:p>
    <w:p w14:paraId="1203559C">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地址：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电话：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传真：</w:t>
      </w:r>
      <w:r>
        <w:rPr>
          <w:rFonts w:hint="eastAsia" w:ascii="仿宋" w:hAnsi="仿宋" w:eastAsia="仿宋" w:cs="仿宋"/>
          <w:color w:val="000000"/>
          <w:kern w:val="0"/>
          <w:sz w:val="24"/>
          <w:highlight w:val="none"/>
          <w:u w:val="single"/>
        </w:rPr>
        <w:t>　　　　</w:t>
      </w:r>
    </w:p>
    <w:p w14:paraId="7A725CC6">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开户名称：</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开户银行：</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lang w:eastAsia="zh-CN"/>
        </w:rPr>
        <w:t>账号</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u w:val="single"/>
        </w:rPr>
        <w:t xml:space="preserve">                </w:t>
      </w:r>
    </w:p>
    <w:p w14:paraId="57B80AA8">
      <w:pPr>
        <w:pStyle w:val="15"/>
        <w:spacing w:line="360" w:lineRule="auto"/>
        <w:ind w:firstLine="204" w:firstLineChars="85"/>
        <w:rPr>
          <w:rFonts w:hint="eastAsia" w:ascii="仿宋" w:hAnsi="仿宋" w:eastAsia="仿宋" w:cs="仿宋"/>
          <w:color w:val="000000"/>
          <w:kern w:val="0"/>
          <w:sz w:val="24"/>
          <w:szCs w:val="24"/>
          <w:highlight w:val="none"/>
        </w:rPr>
      </w:pPr>
    </w:p>
    <w:p w14:paraId="03726B61">
      <w:pPr>
        <w:pStyle w:val="15"/>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投标人（</w:t>
      </w:r>
      <w:r>
        <w:rPr>
          <w:rFonts w:hint="eastAsia" w:ascii="仿宋" w:hAnsi="仿宋" w:eastAsia="仿宋" w:cs="仿宋"/>
          <w:color w:val="000000"/>
          <w:kern w:val="0"/>
          <w:sz w:val="24"/>
          <w:szCs w:val="24"/>
          <w:highlight w:val="none"/>
          <w:lang w:val="en-US" w:eastAsia="zh-CN"/>
        </w:rPr>
        <w:t>电子签章</w:t>
      </w:r>
      <w:r>
        <w:rPr>
          <w:rFonts w:hint="eastAsia" w:ascii="仿宋" w:hAnsi="仿宋" w:eastAsia="仿宋" w:cs="仿宋"/>
          <w:color w:val="000000"/>
          <w:kern w:val="0"/>
          <w:sz w:val="24"/>
          <w:szCs w:val="24"/>
          <w:highlight w:val="none"/>
        </w:rPr>
        <w:t>）：</w:t>
      </w:r>
    </w:p>
    <w:p w14:paraId="01227A92">
      <w:pPr>
        <w:pStyle w:val="15"/>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法定代表人或委托代理人（电子</w:t>
      </w:r>
      <w:r>
        <w:rPr>
          <w:rFonts w:hint="eastAsia" w:ascii="仿宋" w:hAnsi="仿宋" w:eastAsia="仿宋" w:cs="仿宋"/>
          <w:color w:val="000000"/>
          <w:kern w:val="0"/>
          <w:sz w:val="24"/>
          <w:szCs w:val="24"/>
          <w:highlight w:val="none"/>
          <w:lang w:val="en-US" w:eastAsia="zh-CN"/>
        </w:rPr>
        <w:t>签章</w:t>
      </w:r>
      <w:r>
        <w:rPr>
          <w:rFonts w:hint="eastAsia" w:ascii="仿宋" w:hAnsi="仿宋" w:eastAsia="仿宋" w:cs="仿宋"/>
          <w:color w:val="000000"/>
          <w:kern w:val="0"/>
          <w:sz w:val="24"/>
          <w:szCs w:val="24"/>
          <w:highlight w:val="none"/>
        </w:rPr>
        <w:t>）：</w:t>
      </w:r>
    </w:p>
    <w:p w14:paraId="1FCB19AF">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kern w:val="0"/>
          <w:sz w:val="24"/>
          <w:szCs w:val="24"/>
          <w:highlight w:val="none"/>
        </w:rPr>
        <w:t>日期：</w:t>
      </w:r>
    </w:p>
    <w:p w14:paraId="376CB98F">
      <w:pP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bookmarkEnd w:id="400"/>
    <w:bookmarkEnd w:id="401"/>
    <w:bookmarkEnd w:id="407"/>
    <w:bookmarkEnd w:id="408"/>
    <w:p w14:paraId="68FFC24C">
      <w:pPr>
        <w:jc w:val="center"/>
        <w:outlineLvl w:val="2"/>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bookmarkStart w:id="413" w:name="_Toc21546"/>
      <w:bookmarkStart w:id="414" w:name="_Toc5694"/>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t>六、样品储存场所</w:t>
      </w:r>
    </w:p>
    <w:p w14:paraId="222A4B30">
      <w:pP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br w:type="page"/>
      </w:r>
    </w:p>
    <w:p w14:paraId="6F428CAB">
      <w:pPr>
        <w:jc w:val="center"/>
        <w:outlineLvl w:val="2"/>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t>七、应急方案</w:t>
      </w:r>
    </w:p>
    <w:p w14:paraId="02ADFF8C">
      <w:pP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br w:type="page"/>
      </w:r>
    </w:p>
    <w:p w14:paraId="4A0F4599">
      <w:pPr>
        <w:jc w:val="center"/>
        <w:outlineLvl w:val="2"/>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t>八、服务能力</w:t>
      </w:r>
    </w:p>
    <w:p w14:paraId="570A3E2F">
      <w:pPr>
        <w:pStyle w:val="15"/>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包件</w:t>
      </w:r>
      <w:r>
        <w:rPr>
          <w:rFonts w:hint="eastAsia" w:ascii="仿宋" w:hAnsi="仿宋" w:eastAsia="仿宋" w:cs="仿宋"/>
          <w:bCs/>
          <w:sz w:val="24"/>
          <w:szCs w:val="24"/>
          <w:highlight w:val="none"/>
        </w:rPr>
        <w:t>名称：</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包件</w:t>
      </w:r>
      <w:r>
        <w:rPr>
          <w:rFonts w:hint="eastAsia" w:ascii="仿宋" w:hAnsi="仿宋" w:eastAsia="仿宋" w:cs="仿宋"/>
          <w:bCs/>
          <w:sz w:val="24"/>
          <w:szCs w:val="24"/>
          <w:highlight w:val="none"/>
        </w:rPr>
        <w:t>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tbl>
      <w:tblPr>
        <w:tblStyle w:val="29"/>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640"/>
        <w:gridCol w:w="1350"/>
        <w:gridCol w:w="1701"/>
        <w:gridCol w:w="1867"/>
        <w:gridCol w:w="1761"/>
        <w:gridCol w:w="640"/>
      </w:tblGrid>
      <w:tr w14:paraId="70CD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0" w:type="dxa"/>
            <w:noWrap w:val="0"/>
            <w:vAlign w:val="center"/>
          </w:tcPr>
          <w:p w14:paraId="3F28554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640" w:type="dxa"/>
            <w:noWrap w:val="0"/>
            <w:vAlign w:val="center"/>
          </w:tcPr>
          <w:p w14:paraId="688FE9F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用户单位</w:t>
            </w:r>
          </w:p>
        </w:tc>
        <w:tc>
          <w:tcPr>
            <w:tcW w:w="1350" w:type="dxa"/>
            <w:noWrap w:val="0"/>
            <w:vAlign w:val="center"/>
          </w:tcPr>
          <w:p w14:paraId="02AE8E6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701" w:type="dxa"/>
            <w:noWrap w:val="0"/>
            <w:vAlign w:val="center"/>
          </w:tcPr>
          <w:p w14:paraId="745612B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项目承接时间</w:t>
            </w:r>
          </w:p>
        </w:tc>
        <w:tc>
          <w:tcPr>
            <w:tcW w:w="1867" w:type="dxa"/>
            <w:noWrap w:val="0"/>
            <w:vAlign w:val="center"/>
          </w:tcPr>
          <w:p w14:paraId="10BC98D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服务范围、内容</w:t>
            </w:r>
          </w:p>
        </w:tc>
        <w:tc>
          <w:tcPr>
            <w:tcW w:w="1761" w:type="dxa"/>
            <w:noWrap w:val="0"/>
            <w:vAlign w:val="center"/>
          </w:tcPr>
          <w:p w14:paraId="38603D3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w:t>
            </w:r>
          </w:p>
        </w:tc>
        <w:tc>
          <w:tcPr>
            <w:tcW w:w="640" w:type="dxa"/>
            <w:noWrap w:val="0"/>
            <w:vAlign w:val="center"/>
          </w:tcPr>
          <w:p w14:paraId="16645CF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11CF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67E4D36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40" w:type="dxa"/>
            <w:noWrap w:val="0"/>
            <w:vAlign w:val="center"/>
          </w:tcPr>
          <w:p w14:paraId="6AF96B72">
            <w:pPr>
              <w:rPr>
                <w:rFonts w:hint="eastAsia" w:ascii="仿宋" w:hAnsi="仿宋" w:eastAsia="仿宋" w:cs="仿宋"/>
                <w:sz w:val="24"/>
                <w:szCs w:val="24"/>
                <w:highlight w:val="none"/>
              </w:rPr>
            </w:pPr>
          </w:p>
        </w:tc>
        <w:tc>
          <w:tcPr>
            <w:tcW w:w="1350" w:type="dxa"/>
            <w:noWrap w:val="0"/>
            <w:vAlign w:val="center"/>
          </w:tcPr>
          <w:p w14:paraId="3B035E7E">
            <w:pPr>
              <w:rPr>
                <w:rFonts w:hint="eastAsia" w:ascii="仿宋" w:hAnsi="仿宋" w:eastAsia="仿宋" w:cs="仿宋"/>
                <w:sz w:val="24"/>
                <w:szCs w:val="24"/>
                <w:highlight w:val="none"/>
              </w:rPr>
            </w:pPr>
          </w:p>
        </w:tc>
        <w:tc>
          <w:tcPr>
            <w:tcW w:w="1701" w:type="dxa"/>
            <w:noWrap w:val="0"/>
            <w:vAlign w:val="center"/>
          </w:tcPr>
          <w:p w14:paraId="54DCD5DE">
            <w:pPr>
              <w:rPr>
                <w:rFonts w:hint="eastAsia" w:ascii="仿宋" w:hAnsi="仿宋" w:eastAsia="仿宋" w:cs="仿宋"/>
                <w:sz w:val="24"/>
                <w:szCs w:val="24"/>
                <w:highlight w:val="none"/>
              </w:rPr>
            </w:pPr>
          </w:p>
        </w:tc>
        <w:tc>
          <w:tcPr>
            <w:tcW w:w="1867" w:type="dxa"/>
            <w:noWrap w:val="0"/>
            <w:vAlign w:val="center"/>
          </w:tcPr>
          <w:p w14:paraId="32E9C71C">
            <w:pPr>
              <w:rPr>
                <w:rFonts w:hint="eastAsia" w:ascii="仿宋" w:hAnsi="仿宋" w:eastAsia="仿宋" w:cs="仿宋"/>
                <w:sz w:val="24"/>
                <w:szCs w:val="24"/>
                <w:highlight w:val="none"/>
              </w:rPr>
            </w:pPr>
          </w:p>
        </w:tc>
        <w:tc>
          <w:tcPr>
            <w:tcW w:w="1761" w:type="dxa"/>
            <w:noWrap w:val="0"/>
            <w:vAlign w:val="center"/>
          </w:tcPr>
          <w:p w14:paraId="177EB4A8">
            <w:pPr>
              <w:rPr>
                <w:rFonts w:hint="eastAsia" w:ascii="仿宋" w:hAnsi="仿宋" w:eastAsia="仿宋" w:cs="仿宋"/>
                <w:sz w:val="24"/>
                <w:szCs w:val="24"/>
                <w:highlight w:val="none"/>
              </w:rPr>
            </w:pPr>
          </w:p>
        </w:tc>
        <w:tc>
          <w:tcPr>
            <w:tcW w:w="640" w:type="dxa"/>
            <w:noWrap w:val="0"/>
            <w:vAlign w:val="center"/>
          </w:tcPr>
          <w:p w14:paraId="60593189">
            <w:pPr>
              <w:rPr>
                <w:rFonts w:hint="eastAsia" w:ascii="仿宋" w:hAnsi="仿宋" w:eastAsia="仿宋" w:cs="仿宋"/>
                <w:sz w:val="24"/>
                <w:szCs w:val="24"/>
                <w:highlight w:val="none"/>
              </w:rPr>
            </w:pPr>
          </w:p>
        </w:tc>
      </w:tr>
      <w:tr w14:paraId="44DE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2B682DD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640" w:type="dxa"/>
            <w:noWrap w:val="0"/>
            <w:vAlign w:val="center"/>
          </w:tcPr>
          <w:p w14:paraId="41C93DD2">
            <w:pPr>
              <w:rPr>
                <w:rFonts w:hint="eastAsia" w:ascii="仿宋" w:hAnsi="仿宋" w:eastAsia="仿宋" w:cs="仿宋"/>
                <w:sz w:val="24"/>
                <w:szCs w:val="24"/>
                <w:highlight w:val="none"/>
              </w:rPr>
            </w:pPr>
          </w:p>
        </w:tc>
        <w:tc>
          <w:tcPr>
            <w:tcW w:w="1350" w:type="dxa"/>
            <w:noWrap w:val="0"/>
            <w:vAlign w:val="center"/>
          </w:tcPr>
          <w:p w14:paraId="779E4B66">
            <w:pPr>
              <w:rPr>
                <w:rFonts w:hint="eastAsia" w:ascii="仿宋" w:hAnsi="仿宋" w:eastAsia="仿宋" w:cs="仿宋"/>
                <w:sz w:val="24"/>
                <w:szCs w:val="24"/>
                <w:highlight w:val="none"/>
              </w:rPr>
            </w:pPr>
          </w:p>
        </w:tc>
        <w:tc>
          <w:tcPr>
            <w:tcW w:w="1701" w:type="dxa"/>
            <w:noWrap w:val="0"/>
            <w:vAlign w:val="center"/>
          </w:tcPr>
          <w:p w14:paraId="3FD1B243">
            <w:pPr>
              <w:rPr>
                <w:rFonts w:hint="eastAsia" w:ascii="仿宋" w:hAnsi="仿宋" w:eastAsia="仿宋" w:cs="仿宋"/>
                <w:sz w:val="24"/>
                <w:szCs w:val="24"/>
                <w:highlight w:val="none"/>
              </w:rPr>
            </w:pPr>
          </w:p>
        </w:tc>
        <w:tc>
          <w:tcPr>
            <w:tcW w:w="1867" w:type="dxa"/>
            <w:noWrap w:val="0"/>
            <w:vAlign w:val="center"/>
          </w:tcPr>
          <w:p w14:paraId="15BFFA32">
            <w:pPr>
              <w:rPr>
                <w:rFonts w:hint="eastAsia" w:ascii="仿宋" w:hAnsi="仿宋" w:eastAsia="仿宋" w:cs="仿宋"/>
                <w:sz w:val="24"/>
                <w:szCs w:val="24"/>
                <w:highlight w:val="none"/>
              </w:rPr>
            </w:pPr>
          </w:p>
        </w:tc>
        <w:tc>
          <w:tcPr>
            <w:tcW w:w="1761" w:type="dxa"/>
            <w:noWrap w:val="0"/>
            <w:vAlign w:val="center"/>
          </w:tcPr>
          <w:p w14:paraId="5BCA7EB6">
            <w:pPr>
              <w:rPr>
                <w:rFonts w:hint="eastAsia" w:ascii="仿宋" w:hAnsi="仿宋" w:eastAsia="仿宋" w:cs="仿宋"/>
                <w:sz w:val="24"/>
                <w:szCs w:val="24"/>
                <w:highlight w:val="none"/>
              </w:rPr>
            </w:pPr>
          </w:p>
        </w:tc>
        <w:tc>
          <w:tcPr>
            <w:tcW w:w="640" w:type="dxa"/>
            <w:noWrap w:val="0"/>
            <w:vAlign w:val="center"/>
          </w:tcPr>
          <w:p w14:paraId="7C19F576">
            <w:pPr>
              <w:rPr>
                <w:rFonts w:hint="eastAsia" w:ascii="仿宋" w:hAnsi="仿宋" w:eastAsia="仿宋" w:cs="仿宋"/>
                <w:sz w:val="24"/>
                <w:szCs w:val="24"/>
                <w:highlight w:val="none"/>
              </w:rPr>
            </w:pPr>
          </w:p>
        </w:tc>
      </w:tr>
      <w:tr w14:paraId="35F5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319AFDB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640" w:type="dxa"/>
            <w:noWrap w:val="0"/>
            <w:vAlign w:val="center"/>
          </w:tcPr>
          <w:p w14:paraId="1EF2FE96">
            <w:pPr>
              <w:rPr>
                <w:rFonts w:hint="eastAsia" w:ascii="仿宋" w:hAnsi="仿宋" w:eastAsia="仿宋" w:cs="仿宋"/>
                <w:sz w:val="24"/>
                <w:szCs w:val="24"/>
                <w:highlight w:val="none"/>
              </w:rPr>
            </w:pPr>
          </w:p>
        </w:tc>
        <w:tc>
          <w:tcPr>
            <w:tcW w:w="1350" w:type="dxa"/>
            <w:noWrap w:val="0"/>
            <w:vAlign w:val="center"/>
          </w:tcPr>
          <w:p w14:paraId="398C006F">
            <w:pPr>
              <w:rPr>
                <w:rFonts w:hint="eastAsia" w:ascii="仿宋" w:hAnsi="仿宋" w:eastAsia="仿宋" w:cs="仿宋"/>
                <w:sz w:val="24"/>
                <w:szCs w:val="24"/>
                <w:highlight w:val="none"/>
              </w:rPr>
            </w:pPr>
          </w:p>
        </w:tc>
        <w:tc>
          <w:tcPr>
            <w:tcW w:w="1701" w:type="dxa"/>
            <w:noWrap w:val="0"/>
            <w:vAlign w:val="center"/>
          </w:tcPr>
          <w:p w14:paraId="7C2B40BE">
            <w:pPr>
              <w:rPr>
                <w:rFonts w:hint="eastAsia" w:ascii="仿宋" w:hAnsi="仿宋" w:eastAsia="仿宋" w:cs="仿宋"/>
                <w:sz w:val="24"/>
                <w:szCs w:val="24"/>
                <w:highlight w:val="none"/>
              </w:rPr>
            </w:pPr>
          </w:p>
        </w:tc>
        <w:tc>
          <w:tcPr>
            <w:tcW w:w="1867" w:type="dxa"/>
            <w:noWrap w:val="0"/>
            <w:vAlign w:val="center"/>
          </w:tcPr>
          <w:p w14:paraId="58C4DE03">
            <w:pPr>
              <w:rPr>
                <w:rFonts w:hint="eastAsia" w:ascii="仿宋" w:hAnsi="仿宋" w:eastAsia="仿宋" w:cs="仿宋"/>
                <w:sz w:val="24"/>
                <w:szCs w:val="24"/>
                <w:highlight w:val="none"/>
              </w:rPr>
            </w:pPr>
          </w:p>
        </w:tc>
        <w:tc>
          <w:tcPr>
            <w:tcW w:w="1761" w:type="dxa"/>
            <w:noWrap w:val="0"/>
            <w:vAlign w:val="center"/>
          </w:tcPr>
          <w:p w14:paraId="07E519ED">
            <w:pPr>
              <w:rPr>
                <w:rFonts w:hint="eastAsia" w:ascii="仿宋" w:hAnsi="仿宋" w:eastAsia="仿宋" w:cs="仿宋"/>
                <w:sz w:val="24"/>
                <w:szCs w:val="24"/>
                <w:highlight w:val="none"/>
              </w:rPr>
            </w:pPr>
          </w:p>
        </w:tc>
        <w:tc>
          <w:tcPr>
            <w:tcW w:w="640" w:type="dxa"/>
            <w:noWrap w:val="0"/>
            <w:vAlign w:val="center"/>
          </w:tcPr>
          <w:p w14:paraId="1B11B559">
            <w:pPr>
              <w:rPr>
                <w:rFonts w:hint="eastAsia" w:ascii="仿宋" w:hAnsi="仿宋" w:eastAsia="仿宋" w:cs="仿宋"/>
                <w:sz w:val="24"/>
                <w:szCs w:val="24"/>
                <w:highlight w:val="none"/>
              </w:rPr>
            </w:pPr>
          </w:p>
        </w:tc>
      </w:tr>
      <w:tr w14:paraId="0275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0BB910D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640" w:type="dxa"/>
            <w:noWrap w:val="0"/>
            <w:vAlign w:val="center"/>
          </w:tcPr>
          <w:p w14:paraId="5615BE7A">
            <w:pPr>
              <w:rPr>
                <w:rFonts w:hint="eastAsia" w:ascii="仿宋" w:hAnsi="仿宋" w:eastAsia="仿宋" w:cs="仿宋"/>
                <w:sz w:val="24"/>
                <w:szCs w:val="24"/>
                <w:highlight w:val="none"/>
              </w:rPr>
            </w:pPr>
          </w:p>
        </w:tc>
        <w:tc>
          <w:tcPr>
            <w:tcW w:w="1350" w:type="dxa"/>
            <w:noWrap w:val="0"/>
            <w:vAlign w:val="center"/>
          </w:tcPr>
          <w:p w14:paraId="3A2758D2">
            <w:pPr>
              <w:rPr>
                <w:rFonts w:hint="eastAsia" w:ascii="仿宋" w:hAnsi="仿宋" w:eastAsia="仿宋" w:cs="仿宋"/>
                <w:sz w:val="24"/>
                <w:szCs w:val="24"/>
                <w:highlight w:val="none"/>
              </w:rPr>
            </w:pPr>
          </w:p>
        </w:tc>
        <w:tc>
          <w:tcPr>
            <w:tcW w:w="1701" w:type="dxa"/>
            <w:noWrap w:val="0"/>
            <w:vAlign w:val="center"/>
          </w:tcPr>
          <w:p w14:paraId="53CA0AFB">
            <w:pPr>
              <w:rPr>
                <w:rFonts w:hint="eastAsia" w:ascii="仿宋" w:hAnsi="仿宋" w:eastAsia="仿宋" w:cs="仿宋"/>
                <w:sz w:val="24"/>
                <w:szCs w:val="24"/>
                <w:highlight w:val="none"/>
              </w:rPr>
            </w:pPr>
          </w:p>
        </w:tc>
        <w:tc>
          <w:tcPr>
            <w:tcW w:w="1867" w:type="dxa"/>
            <w:noWrap w:val="0"/>
            <w:vAlign w:val="center"/>
          </w:tcPr>
          <w:p w14:paraId="092D6D4B">
            <w:pPr>
              <w:rPr>
                <w:rFonts w:hint="eastAsia" w:ascii="仿宋" w:hAnsi="仿宋" w:eastAsia="仿宋" w:cs="仿宋"/>
                <w:sz w:val="24"/>
                <w:szCs w:val="24"/>
                <w:highlight w:val="none"/>
              </w:rPr>
            </w:pPr>
          </w:p>
        </w:tc>
        <w:tc>
          <w:tcPr>
            <w:tcW w:w="1761" w:type="dxa"/>
            <w:noWrap w:val="0"/>
            <w:vAlign w:val="center"/>
          </w:tcPr>
          <w:p w14:paraId="14361A38">
            <w:pPr>
              <w:rPr>
                <w:rFonts w:hint="eastAsia" w:ascii="仿宋" w:hAnsi="仿宋" w:eastAsia="仿宋" w:cs="仿宋"/>
                <w:sz w:val="24"/>
                <w:szCs w:val="24"/>
                <w:highlight w:val="none"/>
              </w:rPr>
            </w:pPr>
          </w:p>
        </w:tc>
        <w:tc>
          <w:tcPr>
            <w:tcW w:w="640" w:type="dxa"/>
            <w:noWrap w:val="0"/>
            <w:vAlign w:val="center"/>
          </w:tcPr>
          <w:p w14:paraId="2C21343B">
            <w:pPr>
              <w:rPr>
                <w:rFonts w:hint="eastAsia" w:ascii="仿宋" w:hAnsi="仿宋" w:eastAsia="仿宋" w:cs="仿宋"/>
                <w:sz w:val="24"/>
                <w:szCs w:val="24"/>
                <w:highlight w:val="none"/>
              </w:rPr>
            </w:pPr>
          </w:p>
        </w:tc>
      </w:tr>
      <w:tr w14:paraId="574F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72ACF574">
            <w:pPr>
              <w:rPr>
                <w:rFonts w:hint="eastAsia" w:ascii="仿宋" w:hAnsi="仿宋" w:eastAsia="仿宋" w:cs="仿宋"/>
                <w:sz w:val="24"/>
                <w:szCs w:val="24"/>
                <w:highlight w:val="none"/>
              </w:rPr>
            </w:pPr>
          </w:p>
        </w:tc>
        <w:tc>
          <w:tcPr>
            <w:tcW w:w="1640" w:type="dxa"/>
            <w:noWrap w:val="0"/>
            <w:vAlign w:val="center"/>
          </w:tcPr>
          <w:p w14:paraId="74DC8C7E">
            <w:pPr>
              <w:rPr>
                <w:rFonts w:hint="eastAsia" w:ascii="仿宋" w:hAnsi="仿宋" w:eastAsia="仿宋" w:cs="仿宋"/>
                <w:sz w:val="24"/>
                <w:szCs w:val="24"/>
                <w:highlight w:val="none"/>
              </w:rPr>
            </w:pPr>
          </w:p>
        </w:tc>
        <w:tc>
          <w:tcPr>
            <w:tcW w:w="1350" w:type="dxa"/>
            <w:noWrap w:val="0"/>
            <w:vAlign w:val="center"/>
          </w:tcPr>
          <w:p w14:paraId="1ED9A363">
            <w:pPr>
              <w:rPr>
                <w:rFonts w:hint="eastAsia" w:ascii="仿宋" w:hAnsi="仿宋" w:eastAsia="仿宋" w:cs="仿宋"/>
                <w:sz w:val="24"/>
                <w:szCs w:val="24"/>
                <w:highlight w:val="none"/>
              </w:rPr>
            </w:pPr>
          </w:p>
        </w:tc>
        <w:tc>
          <w:tcPr>
            <w:tcW w:w="1701" w:type="dxa"/>
            <w:noWrap w:val="0"/>
            <w:vAlign w:val="center"/>
          </w:tcPr>
          <w:p w14:paraId="0AD8B9E8">
            <w:pPr>
              <w:rPr>
                <w:rFonts w:hint="eastAsia" w:ascii="仿宋" w:hAnsi="仿宋" w:eastAsia="仿宋" w:cs="仿宋"/>
                <w:sz w:val="24"/>
                <w:szCs w:val="24"/>
                <w:highlight w:val="none"/>
              </w:rPr>
            </w:pPr>
          </w:p>
        </w:tc>
        <w:tc>
          <w:tcPr>
            <w:tcW w:w="1867" w:type="dxa"/>
            <w:noWrap w:val="0"/>
            <w:vAlign w:val="center"/>
          </w:tcPr>
          <w:p w14:paraId="7886D1E6">
            <w:pPr>
              <w:rPr>
                <w:rFonts w:hint="eastAsia" w:ascii="仿宋" w:hAnsi="仿宋" w:eastAsia="仿宋" w:cs="仿宋"/>
                <w:sz w:val="24"/>
                <w:szCs w:val="24"/>
                <w:highlight w:val="none"/>
              </w:rPr>
            </w:pPr>
          </w:p>
        </w:tc>
        <w:tc>
          <w:tcPr>
            <w:tcW w:w="1761" w:type="dxa"/>
            <w:noWrap w:val="0"/>
            <w:vAlign w:val="center"/>
          </w:tcPr>
          <w:p w14:paraId="0125131C">
            <w:pPr>
              <w:rPr>
                <w:rFonts w:hint="eastAsia" w:ascii="仿宋" w:hAnsi="仿宋" w:eastAsia="仿宋" w:cs="仿宋"/>
                <w:sz w:val="24"/>
                <w:szCs w:val="24"/>
                <w:highlight w:val="none"/>
              </w:rPr>
            </w:pPr>
          </w:p>
        </w:tc>
        <w:tc>
          <w:tcPr>
            <w:tcW w:w="640" w:type="dxa"/>
            <w:noWrap w:val="0"/>
            <w:vAlign w:val="center"/>
          </w:tcPr>
          <w:p w14:paraId="087550B4">
            <w:pPr>
              <w:rPr>
                <w:rFonts w:hint="eastAsia" w:ascii="仿宋" w:hAnsi="仿宋" w:eastAsia="仿宋" w:cs="仿宋"/>
                <w:sz w:val="24"/>
                <w:szCs w:val="24"/>
                <w:highlight w:val="none"/>
              </w:rPr>
            </w:pPr>
          </w:p>
        </w:tc>
      </w:tr>
      <w:tr w14:paraId="246C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2BD3E0FF">
            <w:pPr>
              <w:rPr>
                <w:rFonts w:hint="eastAsia" w:ascii="仿宋" w:hAnsi="仿宋" w:eastAsia="仿宋" w:cs="仿宋"/>
                <w:sz w:val="24"/>
                <w:szCs w:val="24"/>
                <w:highlight w:val="none"/>
              </w:rPr>
            </w:pPr>
          </w:p>
        </w:tc>
        <w:tc>
          <w:tcPr>
            <w:tcW w:w="1640" w:type="dxa"/>
            <w:noWrap w:val="0"/>
            <w:vAlign w:val="center"/>
          </w:tcPr>
          <w:p w14:paraId="05B15323">
            <w:pPr>
              <w:rPr>
                <w:rFonts w:hint="eastAsia" w:ascii="仿宋" w:hAnsi="仿宋" w:eastAsia="仿宋" w:cs="仿宋"/>
                <w:sz w:val="24"/>
                <w:szCs w:val="24"/>
                <w:highlight w:val="none"/>
              </w:rPr>
            </w:pPr>
          </w:p>
        </w:tc>
        <w:tc>
          <w:tcPr>
            <w:tcW w:w="1350" w:type="dxa"/>
            <w:noWrap w:val="0"/>
            <w:vAlign w:val="center"/>
          </w:tcPr>
          <w:p w14:paraId="4CC091B7">
            <w:pPr>
              <w:rPr>
                <w:rFonts w:hint="eastAsia" w:ascii="仿宋" w:hAnsi="仿宋" w:eastAsia="仿宋" w:cs="仿宋"/>
                <w:sz w:val="24"/>
                <w:szCs w:val="24"/>
                <w:highlight w:val="none"/>
              </w:rPr>
            </w:pPr>
          </w:p>
        </w:tc>
        <w:tc>
          <w:tcPr>
            <w:tcW w:w="1701" w:type="dxa"/>
            <w:noWrap w:val="0"/>
            <w:vAlign w:val="center"/>
          </w:tcPr>
          <w:p w14:paraId="4161843B">
            <w:pPr>
              <w:rPr>
                <w:rFonts w:hint="eastAsia" w:ascii="仿宋" w:hAnsi="仿宋" w:eastAsia="仿宋" w:cs="仿宋"/>
                <w:sz w:val="24"/>
                <w:szCs w:val="24"/>
                <w:highlight w:val="none"/>
              </w:rPr>
            </w:pPr>
          </w:p>
        </w:tc>
        <w:tc>
          <w:tcPr>
            <w:tcW w:w="1867" w:type="dxa"/>
            <w:noWrap w:val="0"/>
            <w:vAlign w:val="center"/>
          </w:tcPr>
          <w:p w14:paraId="426EF489">
            <w:pPr>
              <w:rPr>
                <w:rFonts w:hint="eastAsia" w:ascii="仿宋" w:hAnsi="仿宋" w:eastAsia="仿宋" w:cs="仿宋"/>
                <w:sz w:val="24"/>
                <w:szCs w:val="24"/>
                <w:highlight w:val="none"/>
              </w:rPr>
            </w:pPr>
          </w:p>
        </w:tc>
        <w:tc>
          <w:tcPr>
            <w:tcW w:w="1761" w:type="dxa"/>
            <w:noWrap w:val="0"/>
            <w:vAlign w:val="center"/>
          </w:tcPr>
          <w:p w14:paraId="2F3D5CCD">
            <w:pPr>
              <w:rPr>
                <w:rFonts w:hint="eastAsia" w:ascii="仿宋" w:hAnsi="仿宋" w:eastAsia="仿宋" w:cs="仿宋"/>
                <w:sz w:val="24"/>
                <w:szCs w:val="24"/>
                <w:highlight w:val="none"/>
              </w:rPr>
            </w:pPr>
          </w:p>
        </w:tc>
        <w:tc>
          <w:tcPr>
            <w:tcW w:w="640" w:type="dxa"/>
            <w:noWrap w:val="0"/>
            <w:vAlign w:val="center"/>
          </w:tcPr>
          <w:p w14:paraId="362B39BE">
            <w:pPr>
              <w:rPr>
                <w:rFonts w:hint="eastAsia" w:ascii="仿宋" w:hAnsi="仿宋" w:eastAsia="仿宋" w:cs="仿宋"/>
                <w:sz w:val="24"/>
                <w:szCs w:val="24"/>
                <w:highlight w:val="none"/>
              </w:rPr>
            </w:pPr>
          </w:p>
        </w:tc>
      </w:tr>
      <w:tr w14:paraId="3B33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689678B5">
            <w:pPr>
              <w:rPr>
                <w:rFonts w:hint="eastAsia" w:ascii="仿宋" w:hAnsi="仿宋" w:eastAsia="仿宋" w:cs="仿宋"/>
                <w:sz w:val="24"/>
                <w:szCs w:val="24"/>
                <w:highlight w:val="none"/>
              </w:rPr>
            </w:pPr>
          </w:p>
        </w:tc>
        <w:tc>
          <w:tcPr>
            <w:tcW w:w="1640" w:type="dxa"/>
            <w:noWrap w:val="0"/>
            <w:vAlign w:val="center"/>
          </w:tcPr>
          <w:p w14:paraId="439CCDA7">
            <w:pPr>
              <w:rPr>
                <w:rFonts w:hint="eastAsia" w:ascii="仿宋" w:hAnsi="仿宋" w:eastAsia="仿宋" w:cs="仿宋"/>
                <w:sz w:val="24"/>
                <w:szCs w:val="24"/>
                <w:highlight w:val="none"/>
              </w:rPr>
            </w:pPr>
          </w:p>
        </w:tc>
        <w:tc>
          <w:tcPr>
            <w:tcW w:w="1350" w:type="dxa"/>
            <w:noWrap w:val="0"/>
            <w:vAlign w:val="center"/>
          </w:tcPr>
          <w:p w14:paraId="339F5263">
            <w:pPr>
              <w:rPr>
                <w:rFonts w:hint="eastAsia" w:ascii="仿宋" w:hAnsi="仿宋" w:eastAsia="仿宋" w:cs="仿宋"/>
                <w:sz w:val="24"/>
                <w:szCs w:val="24"/>
                <w:highlight w:val="none"/>
              </w:rPr>
            </w:pPr>
          </w:p>
        </w:tc>
        <w:tc>
          <w:tcPr>
            <w:tcW w:w="1701" w:type="dxa"/>
            <w:noWrap w:val="0"/>
            <w:vAlign w:val="center"/>
          </w:tcPr>
          <w:p w14:paraId="495F4381">
            <w:pPr>
              <w:rPr>
                <w:rFonts w:hint="eastAsia" w:ascii="仿宋" w:hAnsi="仿宋" w:eastAsia="仿宋" w:cs="仿宋"/>
                <w:sz w:val="24"/>
                <w:szCs w:val="24"/>
                <w:highlight w:val="none"/>
              </w:rPr>
            </w:pPr>
          </w:p>
        </w:tc>
        <w:tc>
          <w:tcPr>
            <w:tcW w:w="1867" w:type="dxa"/>
            <w:noWrap w:val="0"/>
            <w:vAlign w:val="center"/>
          </w:tcPr>
          <w:p w14:paraId="389C79D8">
            <w:pPr>
              <w:rPr>
                <w:rFonts w:hint="eastAsia" w:ascii="仿宋" w:hAnsi="仿宋" w:eastAsia="仿宋" w:cs="仿宋"/>
                <w:sz w:val="24"/>
                <w:szCs w:val="24"/>
                <w:highlight w:val="none"/>
              </w:rPr>
            </w:pPr>
          </w:p>
        </w:tc>
        <w:tc>
          <w:tcPr>
            <w:tcW w:w="1761" w:type="dxa"/>
            <w:noWrap w:val="0"/>
            <w:vAlign w:val="center"/>
          </w:tcPr>
          <w:p w14:paraId="446E7E25">
            <w:pPr>
              <w:rPr>
                <w:rFonts w:hint="eastAsia" w:ascii="仿宋" w:hAnsi="仿宋" w:eastAsia="仿宋" w:cs="仿宋"/>
                <w:sz w:val="24"/>
                <w:szCs w:val="24"/>
                <w:highlight w:val="none"/>
              </w:rPr>
            </w:pPr>
          </w:p>
        </w:tc>
        <w:tc>
          <w:tcPr>
            <w:tcW w:w="640" w:type="dxa"/>
            <w:noWrap w:val="0"/>
            <w:vAlign w:val="center"/>
          </w:tcPr>
          <w:p w14:paraId="750689E6">
            <w:pPr>
              <w:rPr>
                <w:rFonts w:hint="eastAsia" w:ascii="仿宋" w:hAnsi="仿宋" w:eastAsia="仿宋" w:cs="仿宋"/>
                <w:sz w:val="24"/>
                <w:szCs w:val="24"/>
                <w:highlight w:val="none"/>
              </w:rPr>
            </w:pPr>
          </w:p>
        </w:tc>
      </w:tr>
      <w:tr w14:paraId="47E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6A11C463">
            <w:pPr>
              <w:rPr>
                <w:rFonts w:hint="eastAsia" w:ascii="仿宋" w:hAnsi="仿宋" w:eastAsia="仿宋" w:cs="仿宋"/>
                <w:sz w:val="24"/>
                <w:szCs w:val="24"/>
                <w:highlight w:val="none"/>
              </w:rPr>
            </w:pPr>
          </w:p>
        </w:tc>
        <w:tc>
          <w:tcPr>
            <w:tcW w:w="1640" w:type="dxa"/>
            <w:noWrap w:val="0"/>
            <w:vAlign w:val="center"/>
          </w:tcPr>
          <w:p w14:paraId="029F9517">
            <w:pPr>
              <w:rPr>
                <w:rFonts w:hint="eastAsia" w:ascii="仿宋" w:hAnsi="仿宋" w:eastAsia="仿宋" w:cs="仿宋"/>
                <w:sz w:val="24"/>
                <w:szCs w:val="24"/>
                <w:highlight w:val="none"/>
              </w:rPr>
            </w:pPr>
          </w:p>
        </w:tc>
        <w:tc>
          <w:tcPr>
            <w:tcW w:w="1350" w:type="dxa"/>
            <w:noWrap w:val="0"/>
            <w:vAlign w:val="center"/>
          </w:tcPr>
          <w:p w14:paraId="5CEAAB0F">
            <w:pPr>
              <w:rPr>
                <w:rFonts w:hint="eastAsia" w:ascii="仿宋" w:hAnsi="仿宋" w:eastAsia="仿宋" w:cs="仿宋"/>
                <w:sz w:val="24"/>
                <w:szCs w:val="24"/>
                <w:highlight w:val="none"/>
              </w:rPr>
            </w:pPr>
          </w:p>
        </w:tc>
        <w:tc>
          <w:tcPr>
            <w:tcW w:w="1701" w:type="dxa"/>
            <w:noWrap w:val="0"/>
            <w:vAlign w:val="center"/>
          </w:tcPr>
          <w:p w14:paraId="720CE4F8">
            <w:pPr>
              <w:rPr>
                <w:rFonts w:hint="eastAsia" w:ascii="仿宋" w:hAnsi="仿宋" w:eastAsia="仿宋" w:cs="仿宋"/>
                <w:sz w:val="24"/>
                <w:szCs w:val="24"/>
                <w:highlight w:val="none"/>
              </w:rPr>
            </w:pPr>
          </w:p>
        </w:tc>
        <w:tc>
          <w:tcPr>
            <w:tcW w:w="1867" w:type="dxa"/>
            <w:noWrap w:val="0"/>
            <w:vAlign w:val="center"/>
          </w:tcPr>
          <w:p w14:paraId="3DA88831">
            <w:pPr>
              <w:rPr>
                <w:rFonts w:hint="eastAsia" w:ascii="仿宋" w:hAnsi="仿宋" w:eastAsia="仿宋" w:cs="仿宋"/>
                <w:sz w:val="24"/>
                <w:szCs w:val="24"/>
                <w:highlight w:val="none"/>
              </w:rPr>
            </w:pPr>
          </w:p>
        </w:tc>
        <w:tc>
          <w:tcPr>
            <w:tcW w:w="1761" w:type="dxa"/>
            <w:noWrap w:val="0"/>
            <w:vAlign w:val="center"/>
          </w:tcPr>
          <w:p w14:paraId="4FF0A953">
            <w:pPr>
              <w:rPr>
                <w:rFonts w:hint="eastAsia" w:ascii="仿宋" w:hAnsi="仿宋" w:eastAsia="仿宋" w:cs="仿宋"/>
                <w:sz w:val="24"/>
                <w:szCs w:val="24"/>
                <w:highlight w:val="none"/>
              </w:rPr>
            </w:pPr>
          </w:p>
        </w:tc>
        <w:tc>
          <w:tcPr>
            <w:tcW w:w="640" w:type="dxa"/>
            <w:noWrap w:val="0"/>
            <w:vAlign w:val="center"/>
          </w:tcPr>
          <w:p w14:paraId="2ABDA935">
            <w:pPr>
              <w:rPr>
                <w:rFonts w:hint="eastAsia" w:ascii="仿宋" w:hAnsi="仿宋" w:eastAsia="仿宋" w:cs="仿宋"/>
                <w:sz w:val="24"/>
                <w:szCs w:val="24"/>
                <w:highlight w:val="none"/>
              </w:rPr>
            </w:pPr>
          </w:p>
        </w:tc>
      </w:tr>
      <w:tr w14:paraId="29E6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noWrap w:val="0"/>
            <w:vAlign w:val="center"/>
          </w:tcPr>
          <w:p w14:paraId="72D52626">
            <w:pPr>
              <w:rPr>
                <w:rFonts w:hint="eastAsia" w:ascii="仿宋" w:hAnsi="仿宋" w:eastAsia="仿宋" w:cs="仿宋"/>
                <w:sz w:val="24"/>
                <w:szCs w:val="24"/>
                <w:highlight w:val="none"/>
              </w:rPr>
            </w:pPr>
          </w:p>
        </w:tc>
        <w:tc>
          <w:tcPr>
            <w:tcW w:w="1640" w:type="dxa"/>
            <w:noWrap w:val="0"/>
            <w:vAlign w:val="center"/>
          </w:tcPr>
          <w:p w14:paraId="2403EA3B">
            <w:pPr>
              <w:rPr>
                <w:rFonts w:hint="eastAsia" w:ascii="仿宋" w:hAnsi="仿宋" w:eastAsia="仿宋" w:cs="仿宋"/>
                <w:sz w:val="24"/>
                <w:szCs w:val="24"/>
                <w:highlight w:val="none"/>
              </w:rPr>
            </w:pPr>
          </w:p>
        </w:tc>
        <w:tc>
          <w:tcPr>
            <w:tcW w:w="1350" w:type="dxa"/>
            <w:noWrap w:val="0"/>
            <w:vAlign w:val="center"/>
          </w:tcPr>
          <w:p w14:paraId="65516D7F">
            <w:pPr>
              <w:rPr>
                <w:rFonts w:hint="eastAsia" w:ascii="仿宋" w:hAnsi="仿宋" w:eastAsia="仿宋" w:cs="仿宋"/>
                <w:sz w:val="24"/>
                <w:szCs w:val="24"/>
                <w:highlight w:val="none"/>
              </w:rPr>
            </w:pPr>
          </w:p>
        </w:tc>
        <w:tc>
          <w:tcPr>
            <w:tcW w:w="1701" w:type="dxa"/>
            <w:noWrap w:val="0"/>
            <w:vAlign w:val="center"/>
          </w:tcPr>
          <w:p w14:paraId="171FC7F0">
            <w:pPr>
              <w:rPr>
                <w:rFonts w:hint="eastAsia" w:ascii="仿宋" w:hAnsi="仿宋" w:eastAsia="仿宋" w:cs="仿宋"/>
                <w:sz w:val="24"/>
                <w:szCs w:val="24"/>
                <w:highlight w:val="none"/>
              </w:rPr>
            </w:pPr>
          </w:p>
        </w:tc>
        <w:tc>
          <w:tcPr>
            <w:tcW w:w="1867" w:type="dxa"/>
            <w:noWrap w:val="0"/>
            <w:vAlign w:val="center"/>
          </w:tcPr>
          <w:p w14:paraId="580EFE5E">
            <w:pPr>
              <w:rPr>
                <w:rFonts w:hint="eastAsia" w:ascii="仿宋" w:hAnsi="仿宋" w:eastAsia="仿宋" w:cs="仿宋"/>
                <w:sz w:val="24"/>
                <w:szCs w:val="24"/>
                <w:highlight w:val="none"/>
              </w:rPr>
            </w:pPr>
          </w:p>
        </w:tc>
        <w:tc>
          <w:tcPr>
            <w:tcW w:w="1761" w:type="dxa"/>
            <w:noWrap w:val="0"/>
            <w:vAlign w:val="center"/>
          </w:tcPr>
          <w:p w14:paraId="36916B80">
            <w:pPr>
              <w:rPr>
                <w:rFonts w:hint="eastAsia" w:ascii="仿宋" w:hAnsi="仿宋" w:eastAsia="仿宋" w:cs="仿宋"/>
                <w:sz w:val="24"/>
                <w:szCs w:val="24"/>
                <w:highlight w:val="none"/>
              </w:rPr>
            </w:pPr>
          </w:p>
        </w:tc>
        <w:tc>
          <w:tcPr>
            <w:tcW w:w="640" w:type="dxa"/>
            <w:noWrap w:val="0"/>
            <w:vAlign w:val="center"/>
          </w:tcPr>
          <w:p w14:paraId="72C70DA7">
            <w:pPr>
              <w:rPr>
                <w:rFonts w:hint="eastAsia" w:ascii="仿宋" w:hAnsi="仿宋" w:eastAsia="仿宋" w:cs="仿宋"/>
                <w:sz w:val="24"/>
                <w:szCs w:val="24"/>
                <w:highlight w:val="none"/>
              </w:rPr>
            </w:pPr>
          </w:p>
        </w:tc>
      </w:tr>
    </w:tbl>
    <w:p w14:paraId="4766CBDE">
      <w:pPr>
        <w:pStyle w:val="7"/>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备注：表中所列的业绩请提供相关证明材料（附合同协议书或中标通知书）扫描件，并加盖投标单位公章。服务满意度提供客户的评价资料。</w:t>
      </w:r>
    </w:p>
    <w:p w14:paraId="16461D6F">
      <w:pPr>
        <w:adjustRightInd w:val="0"/>
        <w:snapToGrid w:val="0"/>
        <w:spacing w:before="165" w:beforeLines="50" w:line="360" w:lineRule="auto"/>
        <w:ind w:firstLine="240" w:firstLineChars="100"/>
        <w:rPr>
          <w:rFonts w:hint="eastAsia" w:ascii="仿宋" w:hAnsi="仿宋" w:eastAsia="仿宋" w:cs="仿宋"/>
          <w:bCs/>
          <w:sz w:val="24"/>
          <w:szCs w:val="24"/>
          <w:highlight w:val="none"/>
        </w:rPr>
      </w:pPr>
    </w:p>
    <w:p w14:paraId="7DC95731">
      <w:pPr>
        <w:adjustRightInd w:val="0"/>
        <w:snapToGrid w:val="0"/>
        <w:spacing w:line="276" w:lineRule="auto"/>
        <w:rPr>
          <w:rFonts w:hint="eastAsia" w:ascii="仿宋" w:hAnsi="仿宋" w:eastAsia="仿宋" w:cs="仿宋"/>
          <w:b/>
          <w:sz w:val="24"/>
          <w:szCs w:val="24"/>
          <w:highlight w:val="none"/>
        </w:rPr>
      </w:pPr>
    </w:p>
    <w:p w14:paraId="7EFB07D2">
      <w:pPr>
        <w:pStyle w:val="15"/>
        <w:spacing w:line="480" w:lineRule="auto"/>
        <w:ind w:firstLine="204" w:firstLineChars="85"/>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投标人（</w:t>
      </w:r>
      <w:r>
        <w:rPr>
          <w:rFonts w:hint="eastAsia" w:ascii="仿宋" w:hAnsi="仿宋" w:eastAsia="仿宋" w:cs="仿宋"/>
          <w:color w:val="000000"/>
          <w:kern w:val="0"/>
          <w:sz w:val="24"/>
          <w:szCs w:val="24"/>
          <w:highlight w:val="none"/>
          <w:lang w:val="en-US" w:eastAsia="zh-CN"/>
        </w:rPr>
        <w:t>电子签章</w:t>
      </w:r>
      <w:r>
        <w:rPr>
          <w:rFonts w:hint="eastAsia" w:ascii="仿宋" w:hAnsi="仿宋" w:eastAsia="仿宋" w:cs="仿宋"/>
          <w:color w:val="000000"/>
          <w:kern w:val="0"/>
          <w:sz w:val="24"/>
          <w:szCs w:val="24"/>
          <w:highlight w:val="none"/>
        </w:rPr>
        <w:t>）：</w:t>
      </w:r>
    </w:p>
    <w:p w14:paraId="0245A6DC">
      <w:pPr>
        <w:pStyle w:val="15"/>
        <w:spacing w:line="480" w:lineRule="auto"/>
        <w:ind w:firstLine="204" w:firstLineChars="85"/>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法定代表人或委托代理人（</w:t>
      </w:r>
      <w:r>
        <w:rPr>
          <w:rFonts w:hint="eastAsia" w:ascii="仿宋" w:hAnsi="仿宋" w:eastAsia="仿宋" w:cs="仿宋"/>
          <w:color w:val="000000"/>
          <w:kern w:val="0"/>
          <w:sz w:val="24"/>
          <w:szCs w:val="24"/>
          <w:highlight w:val="none"/>
          <w:lang w:val="en-US" w:eastAsia="zh-CN"/>
        </w:rPr>
        <w:t>电子签章</w:t>
      </w:r>
      <w:r>
        <w:rPr>
          <w:rFonts w:hint="eastAsia" w:ascii="仿宋" w:hAnsi="仿宋" w:eastAsia="仿宋" w:cs="仿宋"/>
          <w:color w:val="000000"/>
          <w:kern w:val="0"/>
          <w:sz w:val="24"/>
          <w:szCs w:val="24"/>
          <w:highlight w:val="none"/>
        </w:rPr>
        <w:t>）：</w:t>
      </w:r>
    </w:p>
    <w:p w14:paraId="39C4016D">
      <w:pPr>
        <w:pStyle w:val="15"/>
        <w:spacing w:line="480" w:lineRule="auto"/>
        <w:ind w:firstLine="240" w:firstLineChars="1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日期</w:t>
      </w:r>
      <w:r>
        <w:rPr>
          <w:rFonts w:hint="eastAsia" w:ascii="仿宋" w:hAnsi="仿宋" w:eastAsia="仿宋" w:cs="仿宋"/>
          <w:color w:val="000000"/>
          <w:kern w:val="0"/>
          <w:sz w:val="24"/>
          <w:szCs w:val="24"/>
          <w:highlight w:val="none"/>
          <w:lang w:eastAsia="zh-CN"/>
        </w:rPr>
        <w:t>：</w:t>
      </w:r>
    </w:p>
    <w:p w14:paraId="530F810D">
      <w:pP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p>
    <w:p w14:paraId="1DC5E9E7">
      <w:pP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br w:type="page"/>
      </w:r>
    </w:p>
    <w:p w14:paraId="41677737">
      <w:pPr>
        <w:keepNext w:val="0"/>
        <w:keepLines w:val="0"/>
        <w:pageBreakBefore w:val="0"/>
        <w:numPr>
          <w:ilvl w:val="0"/>
          <w:numId w:val="0"/>
        </w:numPr>
        <w:overflowPunct/>
        <w:topLinePunct w:val="0"/>
        <w:autoSpaceDN/>
        <w:bidi w:val="0"/>
        <w:adjustRightInd/>
        <w:snapToGrid/>
        <w:spacing w:line="360" w:lineRule="auto"/>
        <w:jc w:val="center"/>
        <w:textAlignment w:val="auto"/>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bookmarkStart w:id="415" w:name="_Toc23603"/>
      <w:r>
        <w:rPr>
          <w:rFonts w:hint="eastAsia" w:ascii="仿宋" w:hAnsi="仿宋" w:eastAsia="仿宋" w:cs="仿宋"/>
          <w:b/>
          <w:color w:val="000000" w:themeColor="text1"/>
          <w:kern w:val="2"/>
          <w:sz w:val="36"/>
          <w:szCs w:val="36"/>
          <w:highlight w:val="none"/>
          <w:lang w:val="en-US" w:eastAsia="zh-CN" w:bidi="ar-SA"/>
          <w14:textFill>
            <w14:solidFill>
              <w14:schemeClr w14:val="tx1"/>
            </w14:solidFill>
          </w14:textFill>
        </w:rPr>
        <w:t>第六章</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6"/>
          <w:szCs w:val="36"/>
          <w:highlight w:val="none"/>
          <w14:textFill>
            <w14:solidFill>
              <w14:schemeClr w14:val="tx1"/>
            </w14:solidFill>
          </w14:textFill>
        </w:rPr>
        <w:t>采购需求</w:t>
      </w:r>
      <w:bookmarkEnd w:id="413"/>
      <w:bookmarkEnd w:id="414"/>
      <w:bookmarkEnd w:id="415"/>
    </w:p>
    <w:p w14:paraId="475194B8">
      <w:pPr>
        <w:spacing w:line="480" w:lineRule="auto"/>
        <w:ind w:firstLine="482" w:firstLineChars="200"/>
        <w:jc w:val="center"/>
        <w:outlineLvl w:val="1"/>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2026年市级食品安全抽检任务采购需求</w:t>
      </w:r>
    </w:p>
    <w:p w14:paraId="2DAEF120">
      <w:pPr>
        <w:spacing w:line="48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抽检</w:t>
      </w:r>
      <w:r>
        <w:rPr>
          <w:rFonts w:hint="eastAsia" w:ascii="仿宋" w:hAnsi="仿宋" w:eastAsia="仿宋" w:cs="仿宋"/>
          <w:sz w:val="24"/>
          <w:szCs w:val="24"/>
          <w:highlight w:val="none"/>
        </w:rPr>
        <w:t>任务数包括对曲靖市辖区内所有县区的省抽及省抽食用农产品专项抽检任务进行抽样、检测及快速检测，监督抽检总任务数为≥</w:t>
      </w:r>
      <w:r>
        <w:rPr>
          <w:rFonts w:hint="eastAsia" w:ascii="仿宋" w:hAnsi="仿宋" w:eastAsia="仿宋" w:cs="仿宋"/>
          <w:sz w:val="24"/>
          <w:szCs w:val="24"/>
          <w:highlight w:val="none"/>
          <w:lang w:val="en-US" w:eastAsia="zh-CN"/>
        </w:rPr>
        <w:t>2042</w:t>
      </w:r>
      <w:r>
        <w:rPr>
          <w:rFonts w:hint="eastAsia" w:ascii="仿宋" w:hAnsi="仿宋" w:eastAsia="仿宋" w:cs="仿宋"/>
          <w:sz w:val="24"/>
          <w:szCs w:val="24"/>
          <w:highlight w:val="none"/>
        </w:rPr>
        <w:t>批次，快速检测</w:t>
      </w:r>
      <w:r>
        <w:rPr>
          <w:rFonts w:hint="eastAsia" w:ascii="仿宋" w:hAnsi="仿宋" w:eastAsia="仿宋" w:cs="仿宋"/>
          <w:sz w:val="24"/>
          <w:szCs w:val="24"/>
          <w:highlight w:val="none"/>
          <w:lang w:val="en-US" w:eastAsia="zh-CN"/>
        </w:rPr>
        <w:t>2042</w:t>
      </w:r>
      <w:r>
        <w:rPr>
          <w:rFonts w:hint="eastAsia" w:ascii="仿宋" w:hAnsi="仿宋" w:eastAsia="仿宋" w:cs="仿宋"/>
          <w:sz w:val="24"/>
          <w:szCs w:val="24"/>
          <w:highlight w:val="none"/>
        </w:rPr>
        <w:t>批次。预算金额（最高限价）（含税）：¥</w:t>
      </w:r>
      <w:r>
        <w:rPr>
          <w:rFonts w:hint="eastAsia" w:ascii="仿宋" w:hAnsi="仿宋" w:eastAsia="仿宋" w:cs="仿宋"/>
          <w:sz w:val="24"/>
          <w:szCs w:val="24"/>
          <w:highlight w:val="none"/>
          <w:lang w:val="en-US" w:eastAsia="zh-CN"/>
        </w:rPr>
        <w:t>1306880</w:t>
      </w:r>
      <w:r>
        <w:rPr>
          <w:rFonts w:hint="eastAsia" w:ascii="仿宋" w:hAnsi="仿宋" w:eastAsia="仿宋" w:cs="仿宋"/>
          <w:sz w:val="24"/>
          <w:szCs w:val="24"/>
          <w:highlight w:val="none"/>
        </w:rPr>
        <w:t>.00元</w:t>
      </w:r>
    </w:p>
    <w:p w14:paraId="23C79EBD">
      <w:pPr>
        <w:spacing w:line="48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包：¥</w:t>
      </w:r>
      <w:r>
        <w:rPr>
          <w:rFonts w:hint="eastAsia" w:ascii="仿宋" w:hAnsi="仿宋" w:eastAsia="仿宋" w:cs="仿宋"/>
          <w:sz w:val="24"/>
          <w:szCs w:val="24"/>
          <w:highlight w:val="none"/>
          <w:lang w:val="en-US" w:eastAsia="zh-CN"/>
        </w:rPr>
        <w:t>480000.00</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lang w:eastAsia="zh-CN"/>
        </w:rPr>
        <w:t>：</w:t>
      </w:r>
      <w:r>
        <w:rPr>
          <w:rFonts w:hint="eastAsia" w:ascii="仿宋" w:hAnsi="仿宋" w:eastAsia="仿宋" w:cs="仿宋"/>
          <w:color w:val="000000" w:themeColor="text1"/>
          <w:sz w:val="24"/>
          <w:szCs w:val="24"/>
          <w:highlight w:val="none"/>
          <w:lang w:eastAsia="zh-CN"/>
          <w14:textFill>
            <w14:solidFill>
              <w14:schemeClr w14:val="tx1"/>
            </w14:solidFill>
          </w14:textFill>
        </w:rPr>
        <w:t>肆</w:t>
      </w:r>
      <w:r>
        <w:rPr>
          <w:rFonts w:hint="eastAsia" w:ascii="仿宋" w:hAnsi="仿宋" w:eastAsia="仿宋" w:cs="仿宋"/>
          <w:sz w:val="24"/>
          <w:szCs w:val="24"/>
          <w:highlight w:val="none"/>
        </w:rPr>
        <w:t>拾</w:t>
      </w:r>
      <w:r>
        <w:rPr>
          <w:rFonts w:hint="eastAsia" w:ascii="仿宋" w:hAnsi="仿宋" w:eastAsia="仿宋" w:cs="仿宋"/>
          <w:sz w:val="24"/>
          <w:szCs w:val="24"/>
          <w:highlight w:val="none"/>
          <w:lang w:eastAsia="zh-CN"/>
        </w:rPr>
        <w:t>捌</w:t>
      </w:r>
      <w:r>
        <w:rPr>
          <w:rFonts w:hint="eastAsia" w:ascii="仿宋" w:hAnsi="仿宋" w:eastAsia="仿宋" w:cs="仿宋"/>
          <w:sz w:val="24"/>
          <w:szCs w:val="24"/>
          <w:highlight w:val="none"/>
        </w:rPr>
        <w:t>万元整）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抽</w:t>
      </w:r>
      <w:r>
        <w:rPr>
          <w:rFonts w:hint="eastAsia" w:ascii="仿宋" w:hAnsi="仿宋" w:eastAsia="仿宋" w:cs="仿宋"/>
          <w:sz w:val="24"/>
          <w:szCs w:val="24"/>
          <w:highlight w:val="none"/>
          <w:lang w:eastAsia="zh-CN"/>
        </w:rPr>
        <w:t>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750</w:t>
      </w:r>
      <w:r>
        <w:rPr>
          <w:rFonts w:hint="eastAsia" w:ascii="仿宋" w:hAnsi="仿宋" w:eastAsia="仿宋" w:cs="仿宋"/>
          <w:sz w:val="24"/>
          <w:szCs w:val="24"/>
          <w:highlight w:val="none"/>
        </w:rPr>
        <w:t>批次（包括2027年两节两会专项</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批次</w:t>
      </w:r>
      <w:r>
        <w:rPr>
          <w:rFonts w:hint="eastAsia" w:ascii="仿宋" w:hAnsi="仿宋" w:eastAsia="仿宋" w:cs="仿宋"/>
          <w:sz w:val="24"/>
          <w:szCs w:val="24"/>
          <w:highlight w:val="none"/>
          <w:lang w:eastAsia="zh-CN"/>
        </w:rPr>
        <w:t>、网络餐饮食品</w:t>
      </w:r>
      <w:r>
        <w:rPr>
          <w:rFonts w:hint="eastAsia" w:ascii="仿宋" w:hAnsi="仿宋" w:eastAsia="仿宋" w:cs="仿宋"/>
          <w:sz w:val="24"/>
          <w:szCs w:val="24"/>
          <w:highlight w:val="none"/>
        </w:rPr>
        <w:t>专项</w:t>
      </w:r>
      <w:r>
        <w:rPr>
          <w:rFonts w:hint="eastAsia" w:ascii="仿宋" w:hAnsi="仿宋" w:eastAsia="仿宋" w:cs="仿宋"/>
          <w:sz w:val="24"/>
          <w:szCs w:val="24"/>
          <w:highlight w:val="none"/>
          <w:lang w:val="en-US" w:eastAsia="zh-CN"/>
        </w:rPr>
        <w:t>200</w:t>
      </w:r>
      <w:r>
        <w:rPr>
          <w:rFonts w:hint="eastAsia" w:ascii="仿宋" w:hAnsi="仿宋" w:eastAsia="仿宋" w:cs="仿宋"/>
          <w:sz w:val="24"/>
          <w:szCs w:val="24"/>
          <w:highlight w:val="none"/>
        </w:rPr>
        <w:t>批次</w:t>
      </w:r>
      <w:r>
        <w:rPr>
          <w:rFonts w:hint="eastAsia" w:ascii="仿宋" w:hAnsi="仿宋" w:eastAsia="仿宋" w:cs="仿宋"/>
          <w:sz w:val="24"/>
          <w:szCs w:val="24"/>
          <w:highlight w:val="none"/>
          <w:lang w:eastAsia="zh-CN"/>
        </w:rPr>
        <w:t>、肉制品</w:t>
      </w:r>
      <w:r>
        <w:rPr>
          <w:rFonts w:hint="eastAsia" w:ascii="仿宋" w:hAnsi="仿宋" w:eastAsia="仿宋" w:cs="仿宋"/>
          <w:sz w:val="24"/>
          <w:szCs w:val="24"/>
          <w:highlight w:val="none"/>
        </w:rPr>
        <w:t>专项</w:t>
      </w:r>
      <w:r>
        <w:rPr>
          <w:rFonts w:hint="eastAsia" w:ascii="仿宋" w:hAnsi="仿宋" w:eastAsia="仿宋" w:cs="仿宋"/>
          <w:sz w:val="24"/>
          <w:szCs w:val="24"/>
          <w:highlight w:val="none"/>
          <w:lang w:val="en-US" w:eastAsia="zh-CN"/>
        </w:rPr>
        <w:t>200</w:t>
      </w:r>
      <w:r>
        <w:rPr>
          <w:rFonts w:hint="eastAsia" w:ascii="仿宋" w:hAnsi="仿宋" w:eastAsia="仿宋" w:cs="仿宋"/>
          <w:sz w:val="24"/>
          <w:szCs w:val="24"/>
          <w:highlight w:val="none"/>
        </w:rPr>
        <w:t>批次</w:t>
      </w:r>
      <w:r>
        <w:rPr>
          <w:rFonts w:hint="eastAsia" w:ascii="仿宋" w:hAnsi="仿宋" w:eastAsia="仿宋" w:cs="仿宋"/>
          <w:sz w:val="24"/>
          <w:szCs w:val="24"/>
          <w:highlight w:val="none"/>
          <w:lang w:eastAsia="zh-CN"/>
        </w:rPr>
        <w:t>、</w:t>
      </w:r>
      <w:r>
        <w:rPr>
          <w:rFonts w:hint="eastAsia" w:ascii="仿宋" w:hAnsi="仿宋" w:eastAsia="仿宋" w:cs="仿宋"/>
          <w:color w:val="000000" w:themeColor="text1"/>
          <w:sz w:val="24"/>
          <w:szCs w:val="24"/>
          <w:highlight w:val="none"/>
          <w:lang w:eastAsia="zh-CN"/>
          <w14:textFill>
            <w14:solidFill>
              <w14:schemeClr w14:val="tx1"/>
            </w14:solidFill>
          </w14:textFill>
        </w:rPr>
        <w:t>散装白酒</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、糕点（粽子、月饼）</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sz w:val="24"/>
          <w:szCs w:val="24"/>
          <w:highlight w:val="none"/>
          <w:lang w:eastAsia="zh-CN"/>
        </w:rPr>
        <w:t>米粉制品</w:t>
      </w:r>
      <w:r>
        <w:rPr>
          <w:rFonts w:hint="eastAsia" w:ascii="仿宋" w:hAnsi="仿宋" w:eastAsia="仿宋" w:cs="仿宋"/>
          <w:sz w:val="24"/>
          <w:szCs w:val="24"/>
          <w:highlight w:val="none"/>
        </w:rPr>
        <w:t>专项</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批次），快速检测≥</w:t>
      </w:r>
      <w:r>
        <w:rPr>
          <w:rFonts w:hint="eastAsia" w:ascii="仿宋" w:hAnsi="仿宋" w:eastAsia="仿宋" w:cs="仿宋"/>
          <w:sz w:val="24"/>
          <w:szCs w:val="24"/>
          <w:highlight w:val="none"/>
          <w:lang w:val="en-US" w:eastAsia="zh-CN"/>
        </w:rPr>
        <w:t>750</w:t>
      </w:r>
      <w:r>
        <w:rPr>
          <w:rFonts w:hint="eastAsia" w:ascii="仿宋" w:hAnsi="仿宋" w:eastAsia="仿宋" w:cs="仿宋"/>
          <w:sz w:val="24"/>
          <w:szCs w:val="24"/>
          <w:highlight w:val="none"/>
        </w:rPr>
        <w:t>批次；</w:t>
      </w:r>
    </w:p>
    <w:p w14:paraId="75113B45">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包：</w:t>
      </w:r>
      <w:r>
        <w:rPr>
          <w:rFonts w:hint="eastAsia" w:ascii="仿宋" w:hAnsi="仿宋" w:eastAsia="仿宋" w:cs="仿宋"/>
          <w:color w:val="000000" w:themeColor="text1"/>
          <w:sz w:val="24"/>
          <w:szCs w:val="24"/>
          <w:highlight w:val="none"/>
          <w:lang w:val="en-US" w:eastAsia="zh-CN"/>
          <w14:textFill>
            <w14:solidFill>
              <w14:schemeClr w14:val="tx1"/>
            </w14:solidFill>
          </w14:textFill>
        </w:rPr>
        <w:t>¥418008.00</w:t>
      </w:r>
      <w:r>
        <w:rPr>
          <w:rFonts w:hint="eastAsia" w:ascii="仿宋" w:hAnsi="仿宋" w:eastAsia="仿宋" w:cs="仿宋"/>
          <w:color w:val="000000" w:themeColor="text1"/>
          <w:sz w:val="24"/>
          <w:szCs w:val="24"/>
          <w:highlight w:val="none"/>
          <w14:textFill>
            <w14:solidFill>
              <w14:schemeClr w14:val="tx1"/>
            </w14:solidFill>
          </w14:textFill>
        </w:rPr>
        <w:t>元（大写：</w:t>
      </w:r>
      <w:r>
        <w:rPr>
          <w:rFonts w:hint="eastAsia" w:ascii="仿宋" w:hAnsi="仿宋" w:eastAsia="仿宋" w:cs="仿宋"/>
          <w:color w:val="000000" w:themeColor="text1"/>
          <w:sz w:val="24"/>
          <w:szCs w:val="24"/>
          <w:highlight w:val="none"/>
          <w:lang w:eastAsia="zh-CN"/>
          <w14:textFill>
            <w14:solidFill>
              <w14:schemeClr w14:val="tx1"/>
            </w14:solidFill>
          </w14:textFill>
        </w:rPr>
        <w:t>肆</w:t>
      </w:r>
      <w:r>
        <w:rPr>
          <w:rFonts w:hint="eastAsia" w:ascii="仿宋" w:hAnsi="仿宋" w:eastAsia="仿宋" w:cs="仿宋"/>
          <w:color w:val="000000" w:themeColor="text1"/>
          <w:sz w:val="24"/>
          <w:szCs w:val="24"/>
          <w:highlight w:val="none"/>
          <w14:textFill>
            <w14:solidFill>
              <w14:schemeClr w14:val="tx1"/>
            </w14:solidFill>
          </w14:textFill>
        </w:rPr>
        <w:t>拾</w:t>
      </w:r>
      <w:r>
        <w:rPr>
          <w:rFonts w:hint="eastAsia" w:ascii="仿宋" w:hAnsi="仿宋" w:eastAsia="仿宋" w:cs="仿宋"/>
          <w:color w:val="000000" w:themeColor="text1"/>
          <w:sz w:val="24"/>
          <w:szCs w:val="24"/>
          <w:highlight w:val="none"/>
          <w:lang w:eastAsia="zh-CN"/>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万</w:t>
      </w:r>
      <w:r>
        <w:rPr>
          <w:rFonts w:hint="eastAsia" w:ascii="仿宋" w:hAnsi="仿宋" w:eastAsia="仿宋" w:cs="仿宋"/>
          <w:sz w:val="24"/>
          <w:szCs w:val="24"/>
          <w:highlight w:val="none"/>
          <w:lang w:eastAsia="zh-CN"/>
        </w:rPr>
        <w:t>捌</w:t>
      </w:r>
      <w:r>
        <w:rPr>
          <w:rFonts w:hint="eastAsia" w:ascii="仿宋" w:hAnsi="仿宋" w:eastAsia="仿宋" w:cs="仿宋"/>
          <w:color w:val="000000" w:themeColor="text1"/>
          <w:sz w:val="24"/>
          <w:szCs w:val="24"/>
          <w:highlight w:val="none"/>
          <w14:textFill>
            <w14:solidFill>
              <w14:schemeClr w14:val="tx1"/>
            </w14:solidFill>
          </w14:textFill>
        </w:rPr>
        <w:t>仟</w:t>
      </w:r>
      <w:r>
        <w:rPr>
          <w:rFonts w:hint="eastAsia" w:ascii="仿宋" w:hAnsi="仿宋" w:eastAsia="仿宋" w:cs="仿宋"/>
          <w:sz w:val="24"/>
          <w:szCs w:val="24"/>
          <w:highlight w:val="none"/>
          <w:lang w:eastAsia="zh-CN"/>
        </w:rPr>
        <w:t>捌</w:t>
      </w:r>
      <w:r>
        <w:rPr>
          <w:rFonts w:hint="eastAsia" w:ascii="仿宋" w:hAnsi="仿宋" w:eastAsia="仿宋" w:cs="仿宋"/>
          <w:color w:val="000000" w:themeColor="text1"/>
          <w:sz w:val="24"/>
          <w:szCs w:val="24"/>
          <w:highlight w:val="none"/>
          <w:lang w:eastAsia="zh-CN"/>
          <w14:textFill>
            <w14:solidFill>
              <w14:schemeClr w14:val="tx1"/>
            </w14:solidFill>
          </w14:textFill>
        </w:rPr>
        <w:t>零</w:t>
      </w:r>
      <w:r>
        <w:rPr>
          <w:rFonts w:hint="eastAsia" w:ascii="仿宋" w:hAnsi="仿宋" w:eastAsia="仿宋" w:cs="仿宋"/>
          <w:color w:val="000000" w:themeColor="text1"/>
          <w:sz w:val="24"/>
          <w:szCs w:val="24"/>
          <w:highlight w:val="none"/>
          <w14:textFill>
            <w14:solidFill>
              <w14:schemeClr w14:val="tx1"/>
            </w14:solidFill>
          </w14:textFill>
        </w:rPr>
        <w:t>元整）抽</w:t>
      </w:r>
      <w:r>
        <w:rPr>
          <w:rFonts w:hint="eastAsia" w:ascii="仿宋" w:hAnsi="仿宋" w:eastAsia="仿宋" w:cs="仿宋"/>
          <w:color w:val="000000" w:themeColor="text1"/>
          <w:sz w:val="24"/>
          <w:szCs w:val="24"/>
          <w:highlight w:val="none"/>
          <w:lang w:eastAsia="zh-CN"/>
          <w14:textFill>
            <w14:solidFill>
              <w14:schemeClr w14:val="tx1"/>
            </w14:solidFill>
          </w14:textFill>
        </w:rPr>
        <w:t>检</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654</w:t>
      </w:r>
      <w:r>
        <w:rPr>
          <w:rFonts w:hint="eastAsia" w:ascii="仿宋" w:hAnsi="仿宋" w:eastAsia="仿宋" w:cs="仿宋"/>
          <w:color w:val="000000" w:themeColor="text1"/>
          <w:sz w:val="24"/>
          <w:szCs w:val="24"/>
          <w:highlight w:val="none"/>
          <w14:textFill>
            <w14:solidFill>
              <w14:schemeClr w14:val="tx1"/>
            </w14:solidFill>
          </w14:textFill>
        </w:rPr>
        <w:t>批次（包括秋季校园食品专项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300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、农村食品</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200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、食用植物油</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、粮食专项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54批次</w:t>
      </w:r>
      <w:r>
        <w:rPr>
          <w:rFonts w:hint="eastAsia" w:ascii="仿宋" w:hAnsi="仿宋" w:eastAsia="仿宋" w:cs="仿宋"/>
          <w:color w:val="000000" w:themeColor="text1"/>
          <w:sz w:val="24"/>
          <w:szCs w:val="24"/>
          <w:highlight w:val="none"/>
          <w14:textFill>
            <w14:solidFill>
              <w14:schemeClr w14:val="tx1"/>
            </w14:solidFill>
          </w14:textFill>
        </w:rPr>
        <w:t>），快速检测≥</w:t>
      </w:r>
      <w:r>
        <w:rPr>
          <w:rFonts w:hint="eastAsia" w:ascii="仿宋" w:hAnsi="仿宋" w:eastAsia="仿宋" w:cs="仿宋"/>
          <w:color w:val="000000" w:themeColor="text1"/>
          <w:sz w:val="24"/>
          <w:szCs w:val="24"/>
          <w:highlight w:val="none"/>
          <w:lang w:val="en-US" w:eastAsia="zh-CN"/>
          <w14:textFill>
            <w14:solidFill>
              <w14:schemeClr w14:val="tx1"/>
            </w14:solidFill>
          </w14:textFill>
        </w:rPr>
        <w:t>654</w:t>
      </w:r>
      <w:r>
        <w:rPr>
          <w:rFonts w:hint="eastAsia" w:ascii="仿宋" w:hAnsi="仿宋" w:eastAsia="仿宋" w:cs="仿宋"/>
          <w:color w:val="000000" w:themeColor="text1"/>
          <w:sz w:val="24"/>
          <w:szCs w:val="24"/>
          <w:highlight w:val="none"/>
          <w14:textFill>
            <w14:solidFill>
              <w14:schemeClr w14:val="tx1"/>
            </w14:solidFill>
          </w14:textFill>
        </w:rPr>
        <w:t>批次；</w:t>
      </w:r>
    </w:p>
    <w:p w14:paraId="43392158">
      <w:pPr>
        <w:keepNext w:val="0"/>
        <w:keepLines w:val="0"/>
        <w:pageBreakBefore w:val="0"/>
        <w:kinsoku/>
        <w:wordWrap/>
        <w:overflowPunct/>
        <w:topLinePunct w:val="0"/>
        <w:autoSpaceDN/>
        <w:bidi w:val="0"/>
        <w:adjustRightInd w:val="0"/>
        <w:snapToGrid w:val="0"/>
        <w:spacing w:line="48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包：</w:t>
      </w:r>
      <w:r>
        <w:rPr>
          <w:rFonts w:hint="eastAsia" w:ascii="仿宋" w:hAnsi="仿宋" w:eastAsia="仿宋" w:cs="仿宋"/>
          <w:color w:val="000000" w:themeColor="text1"/>
          <w:sz w:val="24"/>
          <w:szCs w:val="24"/>
          <w:highlight w:val="none"/>
          <w:lang w:val="en-US" w:eastAsia="zh-CN"/>
          <w14:textFill>
            <w14:solidFill>
              <w14:schemeClr w14:val="tx1"/>
            </w14:solidFill>
          </w14:textFill>
        </w:rPr>
        <w:t>¥410880.00</w:t>
      </w:r>
      <w:r>
        <w:rPr>
          <w:rFonts w:hint="eastAsia" w:ascii="仿宋" w:hAnsi="仿宋" w:eastAsia="仿宋" w:cs="仿宋"/>
          <w:color w:val="000000" w:themeColor="text1"/>
          <w:sz w:val="24"/>
          <w:szCs w:val="24"/>
          <w:highlight w:val="none"/>
          <w14:textFill>
            <w14:solidFill>
              <w14:schemeClr w14:val="tx1"/>
            </w14:solidFill>
          </w14:textFill>
        </w:rPr>
        <w:t>元（大写：</w:t>
      </w:r>
      <w:r>
        <w:rPr>
          <w:rFonts w:hint="eastAsia" w:ascii="仿宋" w:hAnsi="仿宋" w:eastAsia="仿宋" w:cs="仿宋"/>
          <w:color w:val="000000" w:themeColor="text1"/>
          <w:sz w:val="24"/>
          <w:szCs w:val="24"/>
          <w:highlight w:val="none"/>
          <w:lang w:eastAsia="zh-CN"/>
          <w14:textFill>
            <w14:solidFill>
              <w14:schemeClr w14:val="tx1"/>
            </w14:solidFill>
          </w14:textFill>
        </w:rPr>
        <w:t>肆</w:t>
      </w:r>
      <w:r>
        <w:rPr>
          <w:rFonts w:hint="eastAsia" w:ascii="仿宋" w:hAnsi="仿宋" w:eastAsia="仿宋" w:cs="仿宋"/>
          <w:color w:val="000000" w:themeColor="text1"/>
          <w:sz w:val="24"/>
          <w:szCs w:val="24"/>
          <w:highlight w:val="none"/>
          <w14:textFill>
            <w14:solidFill>
              <w14:schemeClr w14:val="tx1"/>
            </w14:solidFill>
          </w14:textFill>
        </w:rPr>
        <w:t>拾</w:t>
      </w:r>
      <w:r>
        <w:rPr>
          <w:rFonts w:hint="eastAsia" w:ascii="仿宋" w:hAnsi="仿宋" w:eastAsia="仿宋" w:cs="仿宋"/>
          <w:color w:val="000000" w:themeColor="text1"/>
          <w:sz w:val="24"/>
          <w:szCs w:val="24"/>
          <w:highlight w:val="none"/>
          <w:lang w:eastAsia="zh-CN"/>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万</w:t>
      </w:r>
      <w:r>
        <w:rPr>
          <w:rFonts w:hint="eastAsia" w:ascii="仿宋" w:hAnsi="仿宋" w:eastAsia="仿宋" w:cs="仿宋"/>
          <w:color w:val="000000" w:themeColor="text1"/>
          <w:sz w:val="24"/>
          <w:szCs w:val="24"/>
          <w:highlight w:val="none"/>
          <w:lang w:eastAsia="zh-CN"/>
          <w14:textFill>
            <w14:solidFill>
              <w14:schemeClr w14:val="tx1"/>
            </w14:solidFill>
          </w14:textFill>
        </w:rPr>
        <w:t>零捌佰捌拾</w:t>
      </w:r>
      <w:r>
        <w:rPr>
          <w:rFonts w:hint="eastAsia" w:ascii="仿宋" w:hAnsi="仿宋" w:eastAsia="仿宋" w:cs="仿宋"/>
          <w:color w:val="000000" w:themeColor="text1"/>
          <w:sz w:val="24"/>
          <w:szCs w:val="24"/>
          <w:highlight w:val="none"/>
          <w14:textFill>
            <w14:solidFill>
              <w14:schemeClr w14:val="tx1"/>
            </w14:solidFill>
          </w14:textFill>
        </w:rPr>
        <w:t>元整）抽</w:t>
      </w:r>
      <w:r>
        <w:rPr>
          <w:rFonts w:hint="eastAsia" w:ascii="仿宋" w:hAnsi="仿宋" w:eastAsia="仿宋" w:cs="仿宋"/>
          <w:color w:val="000000" w:themeColor="text1"/>
          <w:sz w:val="24"/>
          <w:szCs w:val="24"/>
          <w:highlight w:val="none"/>
          <w:lang w:eastAsia="zh-CN"/>
          <w14:textFill>
            <w14:solidFill>
              <w14:schemeClr w14:val="tx1"/>
            </w14:solidFill>
          </w14:textFill>
        </w:rPr>
        <w:t>检</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642</w:t>
      </w:r>
      <w:r>
        <w:rPr>
          <w:rFonts w:hint="eastAsia" w:ascii="仿宋" w:hAnsi="仿宋" w:eastAsia="仿宋" w:cs="仿宋"/>
          <w:color w:val="000000" w:themeColor="text1"/>
          <w:sz w:val="24"/>
          <w:szCs w:val="24"/>
          <w:highlight w:val="none"/>
          <w14:textFill>
            <w14:solidFill>
              <w14:schemeClr w14:val="tx1"/>
            </w14:solidFill>
          </w14:textFill>
        </w:rPr>
        <w:t>批次（包括国庆中秋专项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150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、一老一小</w:t>
      </w:r>
      <w:r>
        <w:rPr>
          <w:rFonts w:hint="eastAsia" w:ascii="仿宋" w:hAnsi="仿宋" w:eastAsia="仿宋" w:cs="仿宋"/>
          <w:color w:val="000000" w:themeColor="text1"/>
          <w:sz w:val="24"/>
          <w:szCs w:val="24"/>
          <w:highlight w:val="none"/>
          <w14:textFill>
            <w14:solidFill>
              <w14:schemeClr w14:val="tx1"/>
            </w14:solidFill>
          </w14:textFill>
        </w:rPr>
        <w:t>食品专项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120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、旅游食品</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、你点我检</w:t>
      </w:r>
      <w:r>
        <w:rPr>
          <w:rFonts w:hint="eastAsia" w:ascii="仿宋" w:hAnsi="仿宋" w:eastAsia="仿宋" w:cs="仿宋"/>
          <w:color w:val="000000" w:themeColor="text1"/>
          <w:sz w:val="24"/>
          <w:szCs w:val="24"/>
          <w:highlight w:val="none"/>
          <w14:textFill>
            <w14:solidFill>
              <w14:schemeClr w14:val="tx1"/>
            </w14:solidFill>
          </w14:textFill>
        </w:rPr>
        <w:t>专项</w:t>
      </w:r>
      <w:r>
        <w:rPr>
          <w:rFonts w:hint="eastAsia" w:ascii="仿宋" w:hAnsi="仿宋" w:eastAsia="仿宋" w:cs="仿宋"/>
          <w:color w:val="000000" w:themeColor="text1"/>
          <w:sz w:val="24"/>
          <w:szCs w:val="24"/>
          <w:highlight w:val="none"/>
          <w:lang w:val="en-US" w:eastAsia="zh-CN"/>
          <w14:textFill>
            <w14:solidFill>
              <w14:schemeClr w14:val="tx1"/>
            </w14:solidFill>
          </w14:textFill>
        </w:rPr>
        <w:t>200</w:t>
      </w:r>
      <w:r>
        <w:rPr>
          <w:rFonts w:hint="eastAsia" w:ascii="仿宋" w:hAnsi="仿宋" w:eastAsia="仿宋" w:cs="仿宋"/>
          <w:color w:val="000000" w:themeColor="text1"/>
          <w:sz w:val="24"/>
          <w:szCs w:val="24"/>
          <w:highlight w:val="none"/>
          <w14:textFill>
            <w14:solidFill>
              <w14:schemeClr w14:val="tx1"/>
            </w14:solidFill>
          </w14:textFill>
        </w:rPr>
        <w:t>批次</w:t>
      </w:r>
      <w:r>
        <w:rPr>
          <w:rFonts w:hint="eastAsia" w:ascii="仿宋" w:hAnsi="仿宋" w:eastAsia="仿宋" w:cs="仿宋"/>
          <w:color w:val="000000" w:themeColor="text1"/>
          <w:sz w:val="24"/>
          <w:szCs w:val="24"/>
          <w:highlight w:val="none"/>
          <w:lang w:eastAsia="zh-CN"/>
          <w14:textFill>
            <w14:solidFill>
              <w14:schemeClr w14:val="tx1"/>
            </w14:solidFill>
          </w14:textFill>
        </w:rPr>
        <w:t>、定期抽检（含跟踪抽检）</w:t>
      </w:r>
      <w:r>
        <w:rPr>
          <w:rFonts w:hint="eastAsia" w:ascii="仿宋" w:hAnsi="仿宋" w:eastAsia="仿宋" w:cs="仿宋"/>
          <w:color w:val="000000" w:themeColor="text1"/>
          <w:sz w:val="24"/>
          <w:szCs w:val="24"/>
          <w:highlight w:val="none"/>
          <w:lang w:val="en-US" w:eastAsia="zh-CN"/>
          <w14:textFill>
            <w14:solidFill>
              <w14:schemeClr w14:val="tx1"/>
            </w14:solidFill>
          </w14:textFill>
        </w:rPr>
        <w:t>122批次</w:t>
      </w:r>
      <w:r>
        <w:rPr>
          <w:rFonts w:hint="eastAsia" w:ascii="仿宋" w:hAnsi="仿宋" w:eastAsia="仿宋" w:cs="仿宋"/>
          <w:color w:val="000000" w:themeColor="text1"/>
          <w:sz w:val="24"/>
          <w:szCs w:val="24"/>
          <w:highlight w:val="none"/>
          <w14:textFill>
            <w14:solidFill>
              <w14:schemeClr w14:val="tx1"/>
            </w14:solidFill>
          </w14:textFill>
        </w:rPr>
        <w:t>），快速检测≥</w:t>
      </w:r>
      <w:r>
        <w:rPr>
          <w:rFonts w:hint="eastAsia" w:ascii="仿宋" w:hAnsi="仿宋" w:eastAsia="仿宋" w:cs="仿宋"/>
          <w:color w:val="000000" w:themeColor="text1"/>
          <w:sz w:val="24"/>
          <w:szCs w:val="24"/>
          <w:highlight w:val="none"/>
          <w:lang w:val="en-US" w:eastAsia="zh-CN"/>
          <w14:textFill>
            <w14:solidFill>
              <w14:schemeClr w14:val="tx1"/>
            </w14:solidFill>
          </w14:textFill>
        </w:rPr>
        <w:t>642</w:t>
      </w:r>
      <w:r>
        <w:rPr>
          <w:rFonts w:hint="eastAsia" w:ascii="仿宋" w:hAnsi="仿宋" w:eastAsia="仿宋" w:cs="仿宋"/>
          <w:color w:val="000000" w:themeColor="text1"/>
          <w:sz w:val="24"/>
          <w:szCs w:val="24"/>
          <w:highlight w:val="none"/>
          <w14:textFill>
            <w14:solidFill>
              <w14:schemeClr w14:val="tx1"/>
            </w14:solidFill>
          </w14:textFill>
        </w:rPr>
        <w:t>批次。</w:t>
      </w:r>
    </w:p>
    <w:p w14:paraId="53D7F535">
      <w:pPr>
        <w:pStyle w:val="11"/>
        <w:spacing w:line="480" w:lineRule="auto"/>
        <w:ind w:firstLine="480" w:firstLineChars="200"/>
        <w:outlineLvl w:val="1"/>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一、工作目标</w:t>
      </w:r>
    </w:p>
    <w:p w14:paraId="6E39C540">
      <w:pPr>
        <w:pStyle w:val="11"/>
        <w:spacing w:line="480" w:lineRule="auto"/>
        <w:ind w:firstLine="480" w:firstLineChars="20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以习近平新时代中国特色社会主义思想为指导，以落实“四个最严”为根本遵循，以让人民吃得放心为目标，以推进“双随机、一公开”为手段，以创新食品安全监管方式为动力，以发现食品安全问题为导向，核查处置联动为保障，有效防控苗头性、系统性、区域性和行业性食品安全风险隐患，进一步落实企业食品安全主体责任，巩固食品安全稳定向好的态势，满足全</w:t>
      </w:r>
      <w:r>
        <w:rPr>
          <w:rFonts w:hint="eastAsia" w:ascii="仿宋" w:hAnsi="仿宋" w:eastAsia="仿宋" w:cs="仿宋"/>
          <w:b w:val="0"/>
          <w:bCs/>
          <w:sz w:val="24"/>
          <w:szCs w:val="24"/>
          <w:highlight w:val="none"/>
          <w:lang w:eastAsia="zh-CN"/>
        </w:rPr>
        <w:t>市</w:t>
      </w:r>
      <w:r>
        <w:rPr>
          <w:rFonts w:hint="eastAsia" w:ascii="仿宋" w:hAnsi="仿宋" w:eastAsia="仿宋" w:cs="仿宋"/>
          <w:b w:val="0"/>
          <w:bCs/>
          <w:sz w:val="24"/>
          <w:szCs w:val="24"/>
          <w:highlight w:val="none"/>
        </w:rPr>
        <w:t>人民群众美好生活对安全健康食品的需要，促进食品产业有序健康发展</w:t>
      </w:r>
      <w:r>
        <w:rPr>
          <w:rFonts w:hint="eastAsia" w:ascii="仿宋" w:hAnsi="仿宋" w:eastAsia="仿宋" w:cs="仿宋"/>
          <w:b w:val="0"/>
          <w:bCs/>
          <w:sz w:val="24"/>
          <w:szCs w:val="24"/>
          <w:highlight w:val="none"/>
          <w:lang w:eastAsia="zh-CN"/>
        </w:rPr>
        <w:t>。</w:t>
      </w:r>
    </w:p>
    <w:p w14:paraId="4E099E43">
      <w:pPr>
        <w:pStyle w:val="11"/>
        <w:spacing w:line="480" w:lineRule="auto"/>
        <w:ind w:firstLine="480" w:firstLineChars="200"/>
        <w:outlineLvl w:val="1"/>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二</w:t>
      </w:r>
      <w:r>
        <w:rPr>
          <w:rFonts w:hint="eastAsia" w:ascii="仿宋" w:hAnsi="仿宋" w:eastAsia="仿宋" w:cs="仿宋"/>
          <w:b w:val="0"/>
          <w:bCs/>
          <w:sz w:val="24"/>
          <w:szCs w:val="24"/>
          <w:highlight w:val="none"/>
        </w:rPr>
        <w:t>、工作任务</w:t>
      </w:r>
    </w:p>
    <w:p w14:paraId="09B9BEC1">
      <w:pPr>
        <w:pStyle w:val="11"/>
        <w:spacing w:line="480" w:lineRule="auto"/>
        <w:ind w:firstLine="480" w:firstLineChars="20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根据我市任务计划，</w:t>
      </w:r>
      <w:r>
        <w:rPr>
          <w:rFonts w:hint="eastAsia" w:ascii="仿宋" w:hAnsi="仿宋" w:eastAsia="仿宋" w:cs="仿宋"/>
          <w:b w:val="0"/>
          <w:bCs/>
          <w:sz w:val="24"/>
          <w:szCs w:val="24"/>
          <w:highlight w:val="none"/>
          <w:lang w:eastAsia="zh-CN"/>
        </w:rPr>
        <w:t>全市计划抽检≥</w:t>
      </w:r>
      <w:r>
        <w:rPr>
          <w:rFonts w:hint="eastAsia" w:ascii="仿宋" w:hAnsi="仿宋" w:eastAsia="仿宋" w:cs="仿宋"/>
          <w:b w:val="0"/>
          <w:bCs/>
          <w:sz w:val="24"/>
          <w:szCs w:val="24"/>
          <w:highlight w:val="none"/>
          <w:lang w:val="en-US" w:eastAsia="zh-CN"/>
        </w:rPr>
        <w:t>2042批次，包括16个专项。</w:t>
      </w:r>
    </w:p>
    <w:p w14:paraId="56449E65">
      <w:pPr>
        <w:pStyle w:val="11"/>
        <w:spacing w:line="48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（一）</w:t>
      </w:r>
      <w:r>
        <w:rPr>
          <w:rFonts w:hint="eastAsia" w:ascii="仿宋" w:hAnsi="仿宋" w:eastAsia="仿宋" w:cs="仿宋"/>
          <w:b w:val="0"/>
          <w:bCs/>
          <w:sz w:val="24"/>
          <w:szCs w:val="24"/>
          <w:highlight w:val="none"/>
        </w:rPr>
        <w:t>抽检对象。重点对辖区内小作坊食品、小副食店、小摊贩、小餐饮、散装食品、食用农产品等进行抽样，数量</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2042</w:t>
      </w:r>
      <w:r>
        <w:rPr>
          <w:rFonts w:hint="eastAsia" w:ascii="仿宋" w:hAnsi="仿宋" w:eastAsia="仿宋" w:cs="仿宋"/>
          <w:b w:val="0"/>
          <w:bCs/>
          <w:sz w:val="24"/>
          <w:szCs w:val="24"/>
          <w:highlight w:val="none"/>
        </w:rPr>
        <w:t>批次。抽检的食品主要包括</w:t>
      </w:r>
      <w:r>
        <w:rPr>
          <w:rFonts w:hint="eastAsia" w:ascii="仿宋" w:hAnsi="仿宋" w:eastAsia="仿宋" w:cs="仿宋"/>
          <w:b w:val="0"/>
          <w:bCs/>
          <w:sz w:val="24"/>
          <w:szCs w:val="24"/>
          <w:highlight w:val="none"/>
          <w:lang w:val="en-US" w:eastAsia="zh-CN"/>
        </w:rPr>
        <w:t>32</w:t>
      </w:r>
      <w:r>
        <w:rPr>
          <w:rFonts w:hint="eastAsia" w:ascii="仿宋" w:hAnsi="仿宋" w:eastAsia="仿宋" w:cs="仿宋"/>
          <w:b w:val="0"/>
          <w:bCs/>
          <w:sz w:val="24"/>
          <w:szCs w:val="24"/>
          <w:highlight w:val="none"/>
        </w:rPr>
        <w:t>个食品大类，重点加大对食用农产品、散装白酒(含自制泡酒)、糕点、方便食品、餐具、粮食加工品、食用油、蜂蜜、肉制品等高风险食品的抽检力度</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（抽样数量分配详见附件1</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w:t>
      </w:r>
    </w:p>
    <w:p w14:paraId="692A3176">
      <w:pPr>
        <w:pStyle w:val="11"/>
        <w:spacing w:line="480" w:lineRule="auto"/>
        <w:ind w:firstLine="480" w:firstLineChars="20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（二）</w:t>
      </w:r>
      <w:r>
        <w:rPr>
          <w:rFonts w:hint="eastAsia" w:ascii="仿宋" w:hAnsi="仿宋" w:eastAsia="仿宋" w:cs="仿宋"/>
          <w:b w:val="0"/>
          <w:bCs/>
          <w:sz w:val="24"/>
          <w:szCs w:val="24"/>
          <w:highlight w:val="none"/>
        </w:rPr>
        <w:t>抽检时间和频次。</w:t>
      </w:r>
      <w:r>
        <w:rPr>
          <w:rFonts w:hint="eastAsia" w:ascii="仿宋" w:hAnsi="仿宋" w:eastAsia="仿宋" w:cs="仿宋"/>
          <w:b w:val="0"/>
          <w:bCs/>
          <w:sz w:val="24"/>
          <w:szCs w:val="24"/>
          <w:highlight w:val="none"/>
          <w:lang w:eastAsia="zh-CN"/>
        </w:rPr>
        <w:t>待市局招标工作结束后即开始抽样工作，在食品加工小作坊、食用农产品、学校等单位抽样时，需要进行陪同抽样。按照均衡原则实施抽检工作，按月实施抽检任务。</w:t>
      </w:r>
      <w:r>
        <w:rPr>
          <w:rFonts w:hint="eastAsia" w:ascii="仿宋" w:hAnsi="仿宋" w:eastAsia="仿宋" w:cs="仿宋"/>
          <w:b w:val="0"/>
          <w:bCs/>
          <w:sz w:val="24"/>
          <w:szCs w:val="24"/>
          <w:highlight w:val="none"/>
        </w:rPr>
        <w:t>一个季度内，同一经营场所样品抽取不能超过10批次，一个季度内，同一生产许可证同一食品大类样品抽取不能超过3批次，一个季度内，同一批样品抽取不能超过1批次</w:t>
      </w:r>
      <w:r>
        <w:rPr>
          <w:rFonts w:hint="eastAsia" w:ascii="仿宋" w:hAnsi="仿宋" w:eastAsia="仿宋" w:cs="仿宋"/>
          <w:b w:val="0"/>
          <w:bCs/>
          <w:sz w:val="24"/>
          <w:szCs w:val="24"/>
          <w:highlight w:val="none"/>
          <w:lang w:eastAsia="zh-CN"/>
        </w:rPr>
        <w:t>。今年</w:t>
      </w:r>
      <w:r>
        <w:rPr>
          <w:rFonts w:hint="eastAsia" w:ascii="仿宋" w:hAnsi="仿宋" w:eastAsia="仿宋" w:cs="仿宋"/>
          <w:b w:val="0"/>
          <w:bCs/>
          <w:sz w:val="24"/>
          <w:szCs w:val="24"/>
          <w:highlight w:val="none"/>
        </w:rPr>
        <w:t>继续推行“抽检分离”</w:t>
      </w:r>
      <w:r>
        <w:rPr>
          <w:rFonts w:hint="eastAsia" w:ascii="仿宋" w:hAnsi="仿宋" w:eastAsia="仿宋" w:cs="仿宋"/>
          <w:b w:val="0"/>
          <w:bCs/>
          <w:sz w:val="24"/>
          <w:szCs w:val="24"/>
          <w:highlight w:val="none"/>
          <w:lang w:eastAsia="zh-CN"/>
        </w:rPr>
        <w:t>，严格落实陪同抽样工作，在陪同抽样同时</w:t>
      </w:r>
      <w:r>
        <w:rPr>
          <w:rFonts w:hint="eastAsia" w:ascii="仿宋" w:hAnsi="仿宋" w:eastAsia="仿宋" w:cs="仿宋"/>
          <w:b w:val="0"/>
          <w:bCs/>
          <w:sz w:val="24"/>
          <w:szCs w:val="24"/>
          <w:highlight w:val="none"/>
        </w:rPr>
        <w:t>进行生产经营企业的日常巡查，对企业生产情况、库存情况、销售情况、销售台账检查、索证索票制度落实等相关工作进行现场检查</w:t>
      </w:r>
      <w:r>
        <w:rPr>
          <w:rFonts w:hint="eastAsia" w:ascii="仿宋" w:hAnsi="仿宋" w:eastAsia="仿宋" w:cs="仿宋"/>
          <w:b w:val="0"/>
          <w:bCs/>
          <w:sz w:val="24"/>
          <w:szCs w:val="24"/>
          <w:highlight w:val="none"/>
          <w:lang w:eastAsia="zh-CN"/>
        </w:rPr>
        <w:t>。</w:t>
      </w:r>
    </w:p>
    <w:p w14:paraId="0BBB967E">
      <w:pPr>
        <w:pStyle w:val="11"/>
        <w:spacing w:line="48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（三）</w:t>
      </w:r>
      <w:r>
        <w:rPr>
          <w:rFonts w:hint="eastAsia" w:ascii="仿宋" w:hAnsi="仿宋" w:eastAsia="仿宋" w:cs="仿宋"/>
          <w:b w:val="0"/>
          <w:bCs/>
          <w:sz w:val="24"/>
          <w:szCs w:val="24"/>
          <w:highlight w:val="none"/>
        </w:rPr>
        <w:t>抽检区域、环节和场所。</w:t>
      </w:r>
      <w:r>
        <w:rPr>
          <w:rFonts w:hint="eastAsia" w:ascii="仿宋" w:hAnsi="仿宋" w:eastAsia="仿宋" w:cs="仿宋"/>
          <w:b w:val="0"/>
          <w:bCs/>
          <w:sz w:val="24"/>
          <w:szCs w:val="24"/>
          <w:highlight w:val="none"/>
          <w:lang w:eastAsia="zh-CN"/>
        </w:rPr>
        <w:t>今年省抽的重点区域是农村地区、城乡结合部，农村地区抽样不少于</w:t>
      </w:r>
      <w:r>
        <w:rPr>
          <w:rFonts w:hint="eastAsia" w:ascii="仿宋" w:hAnsi="仿宋" w:eastAsia="仿宋" w:cs="仿宋"/>
          <w:b w:val="0"/>
          <w:bCs/>
          <w:sz w:val="24"/>
          <w:szCs w:val="24"/>
          <w:highlight w:val="none"/>
          <w:lang w:val="en-US" w:eastAsia="zh-CN"/>
        </w:rPr>
        <w:t>30%</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城乡结合部不少于</w:t>
      </w:r>
      <w:r>
        <w:rPr>
          <w:rFonts w:hint="eastAsia" w:ascii="仿宋" w:hAnsi="仿宋" w:eastAsia="仿宋" w:cs="仿宋"/>
          <w:b w:val="0"/>
          <w:bCs/>
          <w:sz w:val="24"/>
          <w:szCs w:val="24"/>
          <w:highlight w:val="none"/>
          <w:lang w:val="en-US" w:eastAsia="zh-CN"/>
        </w:rPr>
        <w:t>15%，以流通为主，小作坊、餐饮环节为辅。</w:t>
      </w:r>
      <w:r>
        <w:rPr>
          <w:rFonts w:hint="eastAsia" w:ascii="仿宋" w:hAnsi="仿宋" w:eastAsia="仿宋" w:cs="仿宋"/>
          <w:b w:val="0"/>
          <w:bCs/>
          <w:sz w:val="24"/>
          <w:szCs w:val="24"/>
          <w:highlight w:val="none"/>
          <w:lang w:eastAsia="zh-CN"/>
        </w:rPr>
        <w:t>食用农产品覆盖辖区内批发市场、农贸市场、农村集市。</w:t>
      </w:r>
      <w:r>
        <w:rPr>
          <w:rFonts w:hint="eastAsia" w:ascii="仿宋" w:hAnsi="仿宋" w:eastAsia="仿宋" w:cs="仿宋"/>
          <w:b w:val="0"/>
          <w:bCs/>
          <w:sz w:val="24"/>
          <w:szCs w:val="24"/>
          <w:highlight w:val="none"/>
        </w:rPr>
        <w:t>在餐饮环节进行采样的，应重点采集学校和托幼机构食堂以及中央厨房、集体用餐配送单位、旅游景区餐饮服务单位等的样品。</w:t>
      </w:r>
      <w:r>
        <w:rPr>
          <w:rFonts w:hint="eastAsia" w:ascii="仿宋" w:hAnsi="仿宋" w:eastAsia="仿宋" w:cs="仿宋"/>
          <w:b w:val="0"/>
          <w:bCs/>
          <w:sz w:val="24"/>
          <w:szCs w:val="24"/>
          <w:highlight w:val="none"/>
          <w:lang w:eastAsia="zh-CN"/>
        </w:rPr>
        <w:t>所有食品抽检均以问题为导向，提高问题发现率。</w:t>
      </w:r>
    </w:p>
    <w:p w14:paraId="53C865EE">
      <w:pPr>
        <w:pStyle w:val="11"/>
        <w:spacing w:line="48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四</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数据上报。</w:t>
      </w:r>
      <w:r>
        <w:rPr>
          <w:rFonts w:hint="eastAsia" w:ascii="仿宋" w:hAnsi="仿宋" w:eastAsia="仿宋" w:cs="仿宋"/>
          <w:b w:val="0"/>
          <w:bCs/>
          <w:sz w:val="24"/>
          <w:szCs w:val="24"/>
          <w:highlight w:val="none"/>
          <w:lang w:eastAsia="zh-CN"/>
        </w:rPr>
        <w:t>各抽样、检验机构按照规定，按时完成抽样、检验、不合格数据的提交。</w:t>
      </w:r>
      <w:r>
        <w:rPr>
          <w:rFonts w:hint="eastAsia" w:ascii="仿宋" w:hAnsi="仿宋" w:eastAsia="仿宋" w:cs="仿宋"/>
          <w:b w:val="0"/>
          <w:bCs/>
          <w:sz w:val="24"/>
          <w:szCs w:val="24"/>
          <w:highlight w:val="none"/>
          <w:lang w:val="en-US" w:eastAsia="zh-CN"/>
        </w:rPr>
        <w:t>省局将按月对辖区内开展的各级各类抽检数据进行抽查，根据抽查事项进行评分，抽查数据发现问题超过10%的，将进行考核扣分。各抽样单位和检验机构要严格对抽样数据和检验数据的管控，原则上应保障我市2026年的数据正确率稳定在95%以上。凡是造成我市抽检数据准确率未达90%的，将对应考核扣分，并列入下年度招标考核内。</w:t>
      </w:r>
    </w:p>
    <w:p w14:paraId="05F702F2">
      <w:pPr>
        <w:rPr>
          <w:rFonts w:hint="eastAsia" w:ascii="仿宋" w:hAnsi="仿宋" w:eastAsia="仿宋" w:cs="仿宋"/>
          <w:b w:val="0"/>
          <w:bCs/>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sz w:val="24"/>
          <w:szCs w:val="24"/>
          <w:highlight w:val="none"/>
          <w:lang w:val="en-US" w:eastAsia="zh-CN"/>
        </w:rPr>
        <w:br w:type="page"/>
      </w:r>
    </w:p>
    <w:p w14:paraId="63B18519">
      <w:pPr>
        <w:rPr>
          <w:rFonts w:hint="default" w:ascii="仿宋" w:hAnsi="仿宋" w:eastAsia="仿宋" w:cs="仿宋"/>
          <w:b/>
          <w:bCs/>
          <w:color w:val="000000" w:themeColor="text1"/>
          <w:sz w:val="24"/>
          <w:highlight w:val="none"/>
          <w:lang w:val="en-US" w:eastAsia="zh-CN"/>
          <w14:textFill>
            <w14:solidFill>
              <w14:schemeClr w14:val="tx1"/>
            </w14:solidFill>
          </w14:textFill>
        </w:rPr>
      </w:pPr>
    </w:p>
    <w:sectPr>
      <w:pgSz w:w="11906" w:h="16838"/>
      <w:pgMar w:top="1440" w:right="1803" w:bottom="1440" w:left="1603"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A8A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7E0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6B7E0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AEE9">
    <w:pPr>
      <w:pStyle w:val="17"/>
      <w:jc w:val="right"/>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2202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72202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BAAA">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4AFC9"/>
    <w:multiLevelType w:val="singleLevel"/>
    <w:tmpl w:val="BD34AFC9"/>
    <w:lvl w:ilvl="0" w:tentative="0">
      <w:start w:val="2"/>
      <w:numFmt w:val="decimal"/>
      <w:lvlText w:val="%1."/>
      <w:lvlJc w:val="left"/>
      <w:pPr>
        <w:tabs>
          <w:tab w:val="left" w:pos="312"/>
        </w:tabs>
      </w:pPr>
    </w:lvl>
  </w:abstractNum>
  <w:abstractNum w:abstractNumId="1">
    <w:nsid w:val="D443BE20"/>
    <w:multiLevelType w:val="singleLevel"/>
    <w:tmpl w:val="D443BE20"/>
    <w:lvl w:ilvl="0" w:tentative="0">
      <w:start w:val="2"/>
      <w:numFmt w:val="chineseCounting"/>
      <w:suff w:val="nothing"/>
      <w:lvlText w:val="（%1）"/>
      <w:lvlJc w:val="left"/>
      <w:rPr>
        <w:rFonts w:hint="eastAsia"/>
      </w:rPr>
    </w:lvl>
  </w:abstractNum>
  <w:abstractNum w:abstractNumId="2">
    <w:nsid w:val="EA899C10"/>
    <w:multiLevelType w:val="singleLevel"/>
    <w:tmpl w:val="EA899C10"/>
    <w:lvl w:ilvl="0" w:tentative="0">
      <w:start w:val="1"/>
      <w:numFmt w:val="chineseCounting"/>
      <w:suff w:val="nothing"/>
      <w:lvlText w:val="%1、"/>
      <w:lvlJc w:val="left"/>
      <w:rPr>
        <w:rFonts w:hint="eastAsia"/>
      </w:rPr>
    </w:lvl>
  </w:abstractNum>
  <w:abstractNum w:abstractNumId="3">
    <w:nsid w:val="00000012"/>
    <w:multiLevelType w:val="multilevel"/>
    <w:tmpl w:val="00000012"/>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3999"/>
        </w:tabs>
        <w:ind w:left="3999" w:hanging="596"/>
      </w:pPr>
      <w:rPr>
        <w:rFonts w:hint="default" w:ascii="Times New Roman" w:hAnsi="Times New Roman"/>
        <w:b/>
        <w:i w:val="0"/>
        <w:sz w:val="28"/>
      </w:rPr>
    </w:lvl>
    <w:lvl w:ilvl="2" w:tentative="0">
      <w:start w:val="1"/>
      <w:numFmt w:val="decimal"/>
      <w:lvlText w:val="%1.%2.%3"/>
      <w:lvlJc w:val="left"/>
      <w:pPr>
        <w:tabs>
          <w:tab w:val="left" w:pos="2177"/>
        </w:tabs>
        <w:ind w:left="2177" w:hanging="737"/>
      </w:pPr>
      <w:rPr>
        <w:rFonts w:hint="default" w:ascii="Times New Roman" w:hAnsi="Times New Roman"/>
        <w:b/>
        <w:i w:val="0"/>
        <w:sz w:val="24"/>
      </w:rPr>
    </w:lvl>
    <w:lvl w:ilvl="3" w:tentative="0">
      <w:start w:val="1"/>
      <w:numFmt w:val="decimal"/>
      <w:lvlText w:val="%1.%2.%3.%4"/>
      <w:lvlJc w:val="left"/>
      <w:pPr>
        <w:tabs>
          <w:tab w:val="left" w:pos="2518"/>
        </w:tabs>
        <w:ind w:left="2518"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FE61955"/>
    <w:multiLevelType w:val="multilevel"/>
    <w:tmpl w:val="0FE61955"/>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pStyle w:val="4"/>
      <w:isLgl/>
      <w:suff w:val="space"/>
      <w:lvlText w:val="%1.%2.%3"/>
      <w:lvlJc w:val="left"/>
      <w:pPr>
        <w:ind w:left="0" w:firstLine="0"/>
      </w:pPr>
    </w:lvl>
    <w:lvl w:ilvl="3" w:tentative="0">
      <w:start w:val="1"/>
      <w:numFmt w:val="decimal"/>
      <w:isLgl/>
      <w:suff w:val="space"/>
      <w:lvlText w:val="%1.%2.%3.%4"/>
      <w:lvlJc w:val="left"/>
      <w:pPr>
        <w:ind w:left="0" w:firstLine="0"/>
      </w:pPr>
    </w:lvl>
    <w:lvl w:ilvl="4" w:tentative="0">
      <w:start w:val="1"/>
      <w:numFmt w:val="decimal"/>
      <w:pStyle w:val="6"/>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591D3AC"/>
    <w:multiLevelType w:val="singleLevel"/>
    <w:tmpl w:val="1591D3AC"/>
    <w:lvl w:ilvl="0" w:tentative="0">
      <w:start w:val="4"/>
      <w:numFmt w:val="chineseCounting"/>
      <w:suff w:val="nothing"/>
      <w:lvlText w:val="%1、"/>
      <w:lvlJc w:val="left"/>
      <w:rPr>
        <w:rFonts w:hint="eastAsia"/>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zNjk4MjRlNGM2ZTgyZjJiOWY1MWQzMDRmYmUyZjYifQ=="/>
    <w:docVar w:name="KSO_WPS_MARK_KEY" w:val="ac50d95d-e696-4f44-b9bc-051d7aacfe14"/>
  </w:docVars>
  <w:rsids>
    <w:rsidRoot w:val="00861256"/>
    <w:rsid w:val="0007652A"/>
    <w:rsid w:val="000E216F"/>
    <w:rsid w:val="00133387"/>
    <w:rsid w:val="00164C26"/>
    <w:rsid w:val="002F0BAF"/>
    <w:rsid w:val="003305EB"/>
    <w:rsid w:val="00355AB9"/>
    <w:rsid w:val="004124A7"/>
    <w:rsid w:val="004E2C4D"/>
    <w:rsid w:val="00500DDF"/>
    <w:rsid w:val="005574FC"/>
    <w:rsid w:val="00610597"/>
    <w:rsid w:val="006E05BE"/>
    <w:rsid w:val="00861256"/>
    <w:rsid w:val="008E61D3"/>
    <w:rsid w:val="009427F0"/>
    <w:rsid w:val="00992FE5"/>
    <w:rsid w:val="00C6481D"/>
    <w:rsid w:val="00C75C58"/>
    <w:rsid w:val="00CF5970"/>
    <w:rsid w:val="013637D1"/>
    <w:rsid w:val="017F4E01"/>
    <w:rsid w:val="01F176F8"/>
    <w:rsid w:val="01FB6ACB"/>
    <w:rsid w:val="020250A8"/>
    <w:rsid w:val="020778CF"/>
    <w:rsid w:val="02184C85"/>
    <w:rsid w:val="022139FF"/>
    <w:rsid w:val="022950E4"/>
    <w:rsid w:val="026B3007"/>
    <w:rsid w:val="027807D9"/>
    <w:rsid w:val="02BA21E0"/>
    <w:rsid w:val="02DC3777"/>
    <w:rsid w:val="02ED4364"/>
    <w:rsid w:val="030E7E36"/>
    <w:rsid w:val="031E451D"/>
    <w:rsid w:val="034877EC"/>
    <w:rsid w:val="034D4E02"/>
    <w:rsid w:val="03623557"/>
    <w:rsid w:val="036F2FCB"/>
    <w:rsid w:val="037C6EE2"/>
    <w:rsid w:val="037C7496"/>
    <w:rsid w:val="038F541B"/>
    <w:rsid w:val="039842CF"/>
    <w:rsid w:val="039D7B38"/>
    <w:rsid w:val="03A34158"/>
    <w:rsid w:val="03C8257E"/>
    <w:rsid w:val="03DE0B78"/>
    <w:rsid w:val="03DE5A5A"/>
    <w:rsid w:val="04112D60"/>
    <w:rsid w:val="046F5756"/>
    <w:rsid w:val="04820ADC"/>
    <w:rsid w:val="04B3144C"/>
    <w:rsid w:val="04DC3769"/>
    <w:rsid w:val="04F62867"/>
    <w:rsid w:val="0530678A"/>
    <w:rsid w:val="053B129D"/>
    <w:rsid w:val="05412CA3"/>
    <w:rsid w:val="05592C6E"/>
    <w:rsid w:val="057154D9"/>
    <w:rsid w:val="059A4EC6"/>
    <w:rsid w:val="05A351AD"/>
    <w:rsid w:val="05B922DB"/>
    <w:rsid w:val="05C56ED2"/>
    <w:rsid w:val="05C649F8"/>
    <w:rsid w:val="05D2339D"/>
    <w:rsid w:val="060774EA"/>
    <w:rsid w:val="062A31D9"/>
    <w:rsid w:val="064F72E4"/>
    <w:rsid w:val="06640499"/>
    <w:rsid w:val="067C02E9"/>
    <w:rsid w:val="06D262E7"/>
    <w:rsid w:val="06D7510F"/>
    <w:rsid w:val="06DC1E82"/>
    <w:rsid w:val="06FC6923"/>
    <w:rsid w:val="072916E2"/>
    <w:rsid w:val="073C3285"/>
    <w:rsid w:val="07702E6D"/>
    <w:rsid w:val="079E3BC2"/>
    <w:rsid w:val="07BF600E"/>
    <w:rsid w:val="08273E74"/>
    <w:rsid w:val="08394889"/>
    <w:rsid w:val="08400D75"/>
    <w:rsid w:val="084A7B62"/>
    <w:rsid w:val="084F5179"/>
    <w:rsid w:val="085C7CBB"/>
    <w:rsid w:val="08614923"/>
    <w:rsid w:val="08646E76"/>
    <w:rsid w:val="08653993"/>
    <w:rsid w:val="08730E67"/>
    <w:rsid w:val="08754BB0"/>
    <w:rsid w:val="0889068B"/>
    <w:rsid w:val="08900FAF"/>
    <w:rsid w:val="08966904"/>
    <w:rsid w:val="08AA17AD"/>
    <w:rsid w:val="08AE1E9F"/>
    <w:rsid w:val="08B03E69"/>
    <w:rsid w:val="08C07E24"/>
    <w:rsid w:val="08DA64FD"/>
    <w:rsid w:val="09146145"/>
    <w:rsid w:val="093C74AB"/>
    <w:rsid w:val="09630EDC"/>
    <w:rsid w:val="09745C9C"/>
    <w:rsid w:val="09901726"/>
    <w:rsid w:val="09AB2B8E"/>
    <w:rsid w:val="09B74D83"/>
    <w:rsid w:val="09BF1E8A"/>
    <w:rsid w:val="09CF6571"/>
    <w:rsid w:val="09F03D6D"/>
    <w:rsid w:val="09F362A5"/>
    <w:rsid w:val="09F85FFA"/>
    <w:rsid w:val="0A0C3321"/>
    <w:rsid w:val="0A122902"/>
    <w:rsid w:val="0A1421D6"/>
    <w:rsid w:val="0A821583"/>
    <w:rsid w:val="0A9E1132"/>
    <w:rsid w:val="0AB12119"/>
    <w:rsid w:val="0ACB4443"/>
    <w:rsid w:val="0AD876A7"/>
    <w:rsid w:val="0AE65BFC"/>
    <w:rsid w:val="0B1B7594"/>
    <w:rsid w:val="0B260413"/>
    <w:rsid w:val="0B291CB1"/>
    <w:rsid w:val="0B2B5A29"/>
    <w:rsid w:val="0B316DB7"/>
    <w:rsid w:val="0B330D82"/>
    <w:rsid w:val="0B815649"/>
    <w:rsid w:val="0B870B9C"/>
    <w:rsid w:val="0B925AA8"/>
    <w:rsid w:val="0BA07238"/>
    <w:rsid w:val="0BA47589"/>
    <w:rsid w:val="0BC67500"/>
    <w:rsid w:val="0BD13F1E"/>
    <w:rsid w:val="0C000C64"/>
    <w:rsid w:val="0C0330F6"/>
    <w:rsid w:val="0C3152C1"/>
    <w:rsid w:val="0CAE6912"/>
    <w:rsid w:val="0CC223BD"/>
    <w:rsid w:val="0CF06F2A"/>
    <w:rsid w:val="0CF12CA2"/>
    <w:rsid w:val="0CF62067"/>
    <w:rsid w:val="0D006A41"/>
    <w:rsid w:val="0D162939"/>
    <w:rsid w:val="0D1D3A97"/>
    <w:rsid w:val="0D8A41DD"/>
    <w:rsid w:val="0DA41AC3"/>
    <w:rsid w:val="0DAE5536"/>
    <w:rsid w:val="0DEE2D3E"/>
    <w:rsid w:val="0E0B3F46"/>
    <w:rsid w:val="0E1053AA"/>
    <w:rsid w:val="0E4D215A"/>
    <w:rsid w:val="0E601CA7"/>
    <w:rsid w:val="0E747CB1"/>
    <w:rsid w:val="0E761121"/>
    <w:rsid w:val="0E927B6D"/>
    <w:rsid w:val="0EAA2F43"/>
    <w:rsid w:val="0ED4253A"/>
    <w:rsid w:val="0EDB32C2"/>
    <w:rsid w:val="0EDC7FB0"/>
    <w:rsid w:val="0EE62E29"/>
    <w:rsid w:val="0EE7435D"/>
    <w:rsid w:val="0EEE7499"/>
    <w:rsid w:val="0EF44384"/>
    <w:rsid w:val="0EF633A1"/>
    <w:rsid w:val="0F1B5DB5"/>
    <w:rsid w:val="0F357586"/>
    <w:rsid w:val="0F3F7CF5"/>
    <w:rsid w:val="0F4946D0"/>
    <w:rsid w:val="0F621479"/>
    <w:rsid w:val="0F65560C"/>
    <w:rsid w:val="0F865924"/>
    <w:rsid w:val="0F935477"/>
    <w:rsid w:val="0FA77648"/>
    <w:rsid w:val="0FB6788B"/>
    <w:rsid w:val="0FD74C59"/>
    <w:rsid w:val="0FE13200"/>
    <w:rsid w:val="0FF46F03"/>
    <w:rsid w:val="101E5B5C"/>
    <w:rsid w:val="10305890"/>
    <w:rsid w:val="10466FD5"/>
    <w:rsid w:val="10973B61"/>
    <w:rsid w:val="10C81EA4"/>
    <w:rsid w:val="10F92125"/>
    <w:rsid w:val="10FD4E52"/>
    <w:rsid w:val="11093D9B"/>
    <w:rsid w:val="113E3FDC"/>
    <w:rsid w:val="119A42A6"/>
    <w:rsid w:val="11A7551F"/>
    <w:rsid w:val="11FF6D90"/>
    <w:rsid w:val="120945EA"/>
    <w:rsid w:val="121A2353"/>
    <w:rsid w:val="12211934"/>
    <w:rsid w:val="12323B41"/>
    <w:rsid w:val="125C296C"/>
    <w:rsid w:val="12614426"/>
    <w:rsid w:val="12633CFA"/>
    <w:rsid w:val="12751C80"/>
    <w:rsid w:val="12762A05"/>
    <w:rsid w:val="12883761"/>
    <w:rsid w:val="12ED7A68"/>
    <w:rsid w:val="12F850B6"/>
    <w:rsid w:val="12FC7CAB"/>
    <w:rsid w:val="13370CE3"/>
    <w:rsid w:val="13465AC5"/>
    <w:rsid w:val="13816550"/>
    <w:rsid w:val="13A145AE"/>
    <w:rsid w:val="13CC6E3A"/>
    <w:rsid w:val="13CE750E"/>
    <w:rsid w:val="13CF7C5E"/>
    <w:rsid w:val="13CF7E21"/>
    <w:rsid w:val="14353475"/>
    <w:rsid w:val="143C2A55"/>
    <w:rsid w:val="143C4803"/>
    <w:rsid w:val="144164A5"/>
    <w:rsid w:val="14972381"/>
    <w:rsid w:val="14B52807"/>
    <w:rsid w:val="14CB3DD9"/>
    <w:rsid w:val="14CB5B87"/>
    <w:rsid w:val="14CF1B1B"/>
    <w:rsid w:val="14D0319D"/>
    <w:rsid w:val="14E86739"/>
    <w:rsid w:val="14F90946"/>
    <w:rsid w:val="15104145"/>
    <w:rsid w:val="151B5B0B"/>
    <w:rsid w:val="15381348"/>
    <w:rsid w:val="153E27FD"/>
    <w:rsid w:val="154020D1"/>
    <w:rsid w:val="15510782"/>
    <w:rsid w:val="15512530"/>
    <w:rsid w:val="15765797"/>
    <w:rsid w:val="15B32DE7"/>
    <w:rsid w:val="15E96C0C"/>
    <w:rsid w:val="16111CBF"/>
    <w:rsid w:val="16257519"/>
    <w:rsid w:val="162D4D4B"/>
    <w:rsid w:val="16334AF3"/>
    <w:rsid w:val="163416B5"/>
    <w:rsid w:val="163A7468"/>
    <w:rsid w:val="165322D8"/>
    <w:rsid w:val="165E3157"/>
    <w:rsid w:val="16664FB7"/>
    <w:rsid w:val="16873719"/>
    <w:rsid w:val="16B32E16"/>
    <w:rsid w:val="16BC6C56"/>
    <w:rsid w:val="16D01B7A"/>
    <w:rsid w:val="16F071FF"/>
    <w:rsid w:val="17000629"/>
    <w:rsid w:val="170B2BB3"/>
    <w:rsid w:val="17237EFC"/>
    <w:rsid w:val="17365E81"/>
    <w:rsid w:val="17372D12"/>
    <w:rsid w:val="17481711"/>
    <w:rsid w:val="175257C6"/>
    <w:rsid w:val="176C53FF"/>
    <w:rsid w:val="17712A16"/>
    <w:rsid w:val="177823F4"/>
    <w:rsid w:val="178F0834"/>
    <w:rsid w:val="17920BDE"/>
    <w:rsid w:val="17A667F9"/>
    <w:rsid w:val="17AA5F28"/>
    <w:rsid w:val="17B54E2F"/>
    <w:rsid w:val="17D55B1F"/>
    <w:rsid w:val="180513B0"/>
    <w:rsid w:val="18063F79"/>
    <w:rsid w:val="180C41B8"/>
    <w:rsid w:val="180C6BE2"/>
    <w:rsid w:val="183D68FA"/>
    <w:rsid w:val="185540E5"/>
    <w:rsid w:val="187327BD"/>
    <w:rsid w:val="18842C1C"/>
    <w:rsid w:val="18AD3F21"/>
    <w:rsid w:val="18B54B84"/>
    <w:rsid w:val="18CD23A4"/>
    <w:rsid w:val="18D70F9E"/>
    <w:rsid w:val="19061883"/>
    <w:rsid w:val="19197809"/>
    <w:rsid w:val="19287A4C"/>
    <w:rsid w:val="197E58BE"/>
    <w:rsid w:val="19805192"/>
    <w:rsid w:val="199131C9"/>
    <w:rsid w:val="19B13A28"/>
    <w:rsid w:val="19B805AD"/>
    <w:rsid w:val="19BF65B5"/>
    <w:rsid w:val="19C05ED6"/>
    <w:rsid w:val="19C86B39"/>
    <w:rsid w:val="19E73463"/>
    <w:rsid w:val="1A023DF9"/>
    <w:rsid w:val="1A0E7386"/>
    <w:rsid w:val="1A226249"/>
    <w:rsid w:val="1A2B7794"/>
    <w:rsid w:val="1A4A39F2"/>
    <w:rsid w:val="1A5A2585"/>
    <w:rsid w:val="1A683FD2"/>
    <w:rsid w:val="1A756B6F"/>
    <w:rsid w:val="1A9829AF"/>
    <w:rsid w:val="1A98475D"/>
    <w:rsid w:val="1AAE75D9"/>
    <w:rsid w:val="1ABD2416"/>
    <w:rsid w:val="1AD26D37"/>
    <w:rsid w:val="1B3F7C42"/>
    <w:rsid w:val="1B43291B"/>
    <w:rsid w:val="1B510593"/>
    <w:rsid w:val="1B636B19"/>
    <w:rsid w:val="1B8B6070"/>
    <w:rsid w:val="1B9F38C9"/>
    <w:rsid w:val="1BC15E50"/>
    <w:rsid w:val="1BD16179"/>
    <w:rsid w:val="1BD21EF1"/>
    <w:rsid w:val="1BDD465D"/>
    <w:rsid w:val="1BFD51C0"/>
    <w:rsid w:val="1C0F31F9"/>
    <w:rsid w:val="1C19367C"/>
    <w:rsid w:val="1C6609D2"/>
    <w:rsid w:val="1C697195"/>
    <w:rsid w:val="1C8E406A"/>
    <w:rsid w:val="1C964CCC"/>
    <w:rsid w:val="1C9F6277"/>
    <w:rsid w:val="1CA06471"/>
    <w:rsid w:val="1CAC44F0"/>
    <w:rsid w:val="1CBA4E5F"/>
    <w:rsid w:val="1CE27CF2"/>
    <w:rsid w:val="1CED1726"/>
    <w:rsid w:val="1CFD2E17"/>
    <w:rsid w:val="1D091942"/>
    <w:rsid w:val="1D232A04"/>
    <w:rsid w:val="1D34597E"/>
    <w:rsid w:val="1D501C9D"/>
    <w:rsid w:val="1D547061"/>
    <w:rsid w:val="1D5A03F0"/>
    <w:rsid w:val="1D6C59C4"/>
    <w:rsid w:val="1D835251"/>
    <w:rsid w:val="1D9456B0"/>
    <w:rsid w:val="1DB4365C"/>
    <w:rsid w:val="1DCF2045"/>
    <w:rsid w:val="1DF24184"/>
    <w:rsid w:val="1DF6436C"/>
    <w:rsid w:val="1DF93765"/>
    <w:rsid w:val="1DF95513"/>
    <w:rsid w:val="1E444B00"/>
    <w:rsid w:val="1E4A3FC0"/>
    <w:rsid w:val="1E4F15D7"/>
    <w:rsid w:val="1E5A5289"/>
    <w:rsid w:val="1E783D6F"/>
    <w:rsid w:val="1E7B6870"/>
    <w:rsid w:val="1EE91207"/>
    <w:rsid w:val="1EE937D9"/>
    <w:rsid w:val="1F242A63"/>
    <w:rsid w:val="1F2E5690"/>
    <w:rsid w:val="1F422EEA"/>
    <w:rsid w:val="1F8359DC"/>
    <w:rsid w:val="1F8E0402"/>
    <w:rsid w:val="1FB81D77"/>
    <w:rsid w:val="1FBEB40E"/>
    <w:rsid w:val="1FF64400"/>
    <w:rsid w:val="20012DA5"/>
    <w:rsid w:val="20044AE7"/>
    <w:rsid w:val="201274F0"/>
    <w:rsid w:val="202D1DEC"/>
    <w:rsid w:val="20346CD6"/>
    <w:rsid w:val="204D1B46"/>
    <w:rsid w:val="2056488D"/>
    <w:rsid w:val="20714F3E"/>
    <w:rsid w:val="20983709"/>
    <w:rsid w:val="20AC1CAF"/>
    <w:rsid w:val="20B87907"/>
    <w:rsid w:val="20CC48AD"/>
    <w:rsid w:val="20DD2F5F"/>
    <w:rsid w:val="20E62360"/>
    <w:rsid w:val="20E64474"/>
    <w:rsid w:val="20EF2BFD"/>
    <w:rsid w:val="211A2370"/>
    <w:rsid w:val="21250178"/>
    <w:rsid w:val="213F1FED"/>
    <w:rsid w:val="21555156"/>
    <w:rsid w:val="21667363"/>
    <w:rsid w:val="216D06F2"/>
    <w:rsid w:val="216E6218"/>
    <w:rsid w:val="217575A6"/>
    <w:rsid w:val="217C0935"/>
    <w:rsid w:val="217F0425"/>
    <w:rsid w:val="21B207FA"/>
    <w:rsid w:val="21BA76AF"/>
    <w:rsid w:val="21D267A7"/>
    <w:rsid w:val="21E169EA"/>
    <w:rsid w:val="21EB1616"/>
    <w:rsid w:val="22317971"/>
    <w:rsid w:val="223B07F0"/>
    <w:rsid w:val="227635D6"/>
    <w:rsid w:val="2298179E"/>
    <w:rsid w:val="22F4274D"/>
    <w:rsid w:val="23124A35"/>
    <w:rsid w:val="2342795C"/>
    <w:rsid w:val="234E54ED"/>
    <w:rsid w:val="2358717F"/>
    <w:rsid w:val="236A7D40"/>
    <w:rsid w:val="23711E4C"/>
    <w:rsid w:val="2378337E"/>
    <w:rsid w:val="23955CDE"/>
    <w:rsid w:val="23A93537"/>
    <w:rsid w:val="23C93BD9"/>
    <w:rsid w:val="23CB427A"/>
    <w:rsid w:val="240E27D9"/>
    <w:rsid w:val="24162A3F"/>
    <w:rsid w:val="241C1F5B"/>
    <w:rsid w:val="24233E30"/>
    <w:rsid w:val="24BE17E8"/>
    <w:rsid w:val="24D97E4C"/>
    <w:rsid w:val="251A293E"/>
    <w:rsid w:val="251B0465"/>
    <w:rsid w:val="251B2213"/>
    <w:rsid w:val="252A738D"/>
    <w:rsid w:val="2536704D"/>
    <w:rsid w:val="258E6E89"/>
    <w:rsid w:val="25984F90"/>
    <w:rsid w:val="25DA20CE"/>
    <w:rsid w:val="25DB44FE"/>
    <w:rsid w:val="25EB0C9E"/>
    <w:rsid w:val="25EB42DB"/>
    <w:rsid w:val="25ED1E01"/>
    <w:rsid w:val="25F62A1B"/>
    <w:rsid w:val="26117B50"/>
    <w:rsid w:val="26265313"/>
    <w:rsid w:val="26343282"/>
    <w:rsid w:val="26555BF8"/>
    <w:rsid w:val="26606A77"/>
    <w:rsid w:val="2660786E"/>
    <w:rsid w:val="2674607E"/>
    <w:rsid w:val="268F110A"/>
    <w:rsid w:val="269733A9"/>
    <w:rsid w:val="269A60C0"/>
    <w:rsid w:val="26A85D28"/>
    <w:rsid w:val="26AA3A98"/>
    <w:rsid w:val="271632DD"/>
    <w:rsid w:val="271B299E"/>
    <w:rsid w:val="272F01F7"/>
    <w:rsid w:val="273654B7"/>
    <w:rsid w:val="27644345"/>
    <w:rsid w:val="276460F3"/>
    <w:rsid w:val="27767BD4"/>
    <w:rsid w:val="27BD3A55"/>
    <w:rsid w:val="27C441CB"/>
    <w:rsid w:val="27CD5293"/>
    <w:rsid w:val="27E86D24"/>
    <w:rsid w:val="280D678A"/>
    <w:rsid w:val="280E7144"/>
    <w:rsid w:val="281178FD"/>
    <w:rsid w:val="281D62A2"/>
    <w:rsid w:val="282B4E63"/>
    <w:rsid w:val="283A2D1F"/>
    <w:rsid w:val="285A74F6"/>
    <w:rsid w:val="286640ED"/>
    <w:rsid w:val="28882A04"/>
    <w:rsid w:val="289D6D37"/>
    <w:rsid w:val="28BD5F52"/>
    <w:rsid w:val="28CF1C92"/>
    <w:rsid w:val="28CF3A40"/>
    <w:rsid w:val="28D42E04"/>
    <w:rsid w:val="28E079FB"/>
    <w:rsid w:val="28EA087A"/>
    <w:rsid w:val="28F2772E"/>
    <w:rsid w:val="28F33BD2"/>
    <w:rsid w:val="28F60FCD"/>
    <w:rsid w:val="290336EA"/>
    <w:rsid w:val="29227D7C"/>
    <w:rsid w:val="293021F5"/>
    <w:rsid w:val="293715E5"/>
    <w:rsid w:val="29420E69"/>
    <w:rsid w:val="29557630"/>
    <w:rsid w:val="29581C87"/>
    <w:rsid w:val="297F3DE7"/>
    <w:rsid w:val="29820AB2"/>
    <w:rsid w:val="29AF73CD"/>
    <w:rsid w:val="29BB2216"/>
    <w:rsid w:val="29E96D83"/>
    <w:rsid w:val="2A0D0CC4"/>
    <w:rsid w:val="2A241B69"/>
    <w:rsid w:val="2A2C73F1"/>
    <w:rsid w:val="2A2E29E8"/>
    <w:rsid w:val="2A3B3363"/>
    <w:rsid w:val="2A461AE0"/>
    <w:rsid w:val="2A57101D"/>
    <w:rsid w:val="2A571F3F"/>
    <w:rsid w:val="2A8645D2"/>
    <w:rsid w:val="2AA43E92"/>
    <w:rsid w:val="2AA95A6D"/>
    <w:rsid w:val="2AAF3B29"/>
    <w:rsid w:val="2AD90BA6"/>
    <w:rsid w:val="2AEA2DB3"/>
    <w:rsid w:val="2B105983"/>
    <w:rsid w:val="2B257C94"/>
    <w:rsid w:val="2B3A0ECB"/>
    <w:rsid w:val="2B6C0901"/>
    <w:rsid w:val="2B7E34FB"/>
    <w:rsid w:val="2BD63C77"/>
    <w:rsid w:val="2BF649B8"/>
    <w:rsid w:val="2BFA5278"/>
    <w:rsid w:val="2C0B2FE1"/>
    <w:rsid w:val="2C1652F6"/>
    <w:rsid w:val="2C2E4F21"/>
    <w:rsid w:val="2C532BDA"/>
    <w:rsid w:val="2C6F1E39"/>
    <w:rsid w:val="2CB847EB"/>
    <w:rsid w:val="2CC10BDF"/>
    <w:rsid w:val="2CDF446E"/>
    <w:rsid w:val="2CEB4BC0"/>
    <w:rsid w:val="2CF942C9"/>
    <w:rsid w:val="2D0A0DCC"/>
    <w:rsid w:val="2D0D68B9"/>
    <w:rsid w:val="2D480265"/>
    <w:rsid w:val="2D4F33A1"/>
    <w:rsid w:val="2D4F666C"/>
    <w:rsid w:val="2D67416E"/>
    <w:rsid w:val="2D67579C"/>
    <w:rsid w:val="2D684463"/>
    <w:rsid w:val="2D6E2CBE"/>
    <w:rsid w:val="2D9E7E85"/>
    <w:rsid w:val="2DA336ED"/>
    <w:rsid w:val="2DB24EFF"/>
    <w:rsid w:val="2DD80E6F"/>
    <w:rsid w:val="2DDE453D"/>
    <w:rsid w:val="2DDF4725"/>
    <w:rsid w:val="2DF976ED"/>
    <w:rsid w:val="2E0777D8"/>
    <w:rsid w:val="2E4C78E1"/>
    <w:rsid w:val="2E7B5041"/>
    <w:rsid w:val="2E7D6D0A"/>
    <w:rsid w:val="2E9E7F9A"/>
    <w:rsid w:val="2EAC5A5C"/>
    <w:rsid w:val="2EB77450"/>
    <w:rsid w:val="2EBE2687"/>
    <w:rsid w:val="2EC35DF5"/>
    <w:rsid w:val="2ED973C6"/>
    <w:rsid w:val="2EED10C4"/>
    <w:rsid w:val="2EEF6BEA"/>
    <w:rsid w:val="2F517901"/>
    <w:rsid w:val="2F590507"/>
    <w:rsid w:val="2F5C1DA5"/>
    <w:rsid w:val="2F650C5A"/>
    <w:rsid w:val="2F6B3D97"/>
    <w:rsid w:val="2F9E416C"/>
    <w:rsid w:val="2FC040E2"/>
    <w:rsid w:val="2FE9188B"/>
    <w:rsid w:val="302A3C52"/>
    <w:rsid w:val="304D497D"/>
    <w:rsid w:val="305331A8"/>
    <w:rsid w:val="306C5242"/>
    <w:rsid w:val="30731155"/>
    <w:rsid w:val="3079121D"/>
    <w:rsid w:val="308F4923"/>
    <w:rsid w:val="309061AB"/>
    <w:rsid w:val="30DF7CE7"/>
    <w:rsid w:val="30E65DCB"/>
    <w:rsid w:val="31271F3F"/>
    <w:rsid w:val="313108D5"/>
    <w:rsid w:val="314B6674"/>
    <w:rsid w:val="31C00E44"/>
    <w:rsid w:val="31F44517"/>
    <w:rsid w:val="31FB7654"/>
    <w:rsid w:val="320F75A3"/>
    <w:rsid w:val="321A18F8"/>
    <w:rsid w:val="322200F6"/>
    <w:rsid w:val="324070CC"/>
    <w:rsid w:val="324234D5"/>
    <w:rsid w:val="32496611"/>
    <w:rsid w:val="32555D3C"/>
    <w:rsid w:val="32584AA6"/>
    <w:rsid w:val="325C381C"/>
    <w:rsid w:val="3265618A"/>
    <w:rsid w:val="3268280F"/>
    <w:rsid w:val="328238D1"/>
    <w:rsid w:val="32847649"/>
    <w:rsid w:val="32C739DA"/>
    <w:rsid w:val="32E01A9D"/>
    <w:rsid w:val="32E14A9C"/>
    <w:rsid w:val="32F53FB6"/>
    <w:rsid w:val="331019ED"/>
    <w:rsid w:val="33301D41"/>
    <w:rsid w:val="333252F7"/>
    <w:rsid w:val="333F4B0A"/>
    <w:rsid w:val="334B460B"/>
    <w:rsid w:val="33552D94"/>
    <w:rsid w:val="335A65FC"/>
    <w:rsid w:val="336C49D9"/>
    <w:rsid w:val="337E0268"/>
    <w:rsid w:val="337E678E"/>
    <w:rsid w:val="337F42B4"/>
    <w:rsid w:val="3381002D"/>
    <w:rsid w:val="33D32486"/>
    <w:rsid w:val="33E74334"/>
    <w:rsid w:val="34080F51"/>
    <w:rsid w:val="340C3D9A"/>
    <w:rsid w:val="340F5638"/>
    <w:rsid w:val="341E587B"/>
    <w:rsid w:val="34621C0C"/>
    <w:rsid w:val="34785C11"/>
    <w:rsid w:val="34822447"/>
    <w:rsid w:val="349B511E"/>
    <w:rsid w:val="34CB5A03"/>
    <w:rsid w:val="34E97C37"/>
    <w:rsid w:val="34EB1C02"/>
    <w:rsid w:val="3504655A"/>
    <w:rsid w:val="351B4EA6"/>
    <w:rsid w:val="352E1AEE"/>
    <w:rsid w:val="353C420B"/>
    <w:rsid w:val="356919CE"/>
    <w:rsid w:val="358135CE"/>
    <w:rsid w:val="358D0F0B"/>
    <w:rsid w:val="35906305"/>
    <w:rsid w:val="35B77D36"/>
    <w:rsid w:val="35C16E06"/>
    <w:rsid w:val="35E328D9"/>
    <w:rsid w:val="35E4491B"/>
    <w:rsid w:val="35F057CC"/>
    <w:rsid w:val="35F66AB0"/>
    <w:rsid w:val="361707D4"/>
    <w:rsid w:val="3619454D"/>
    <w:rsid w:val="36212288"/>
    <w:rsid w:val="36221F7B"/>
    <w:rsid w:val="365732C7"/>
    <w:rsid w:val="366F0610"/>
    <w:rsid w:val="36853990"/>
    <w:rsid w:val="368B7C1B"/>
    <w:rsid w:val="36A858D0"/>
    <w:rsid w:val="36AE0394"/>
    <w:rsid w:val="36C4095C"/>
    <w:rsid w:val="36DE12F2"/>
    <w:rsid w:val="36F54FB9"/>
    <w:rsid w:val="37160A8C"/>
    <w:rsid w:val="37202397"/>
    <w:rsid w:val="373D426B"/>
    <w:rsid w:val="377063EE"/>
    <w:rsid w:val="377A54BF"/>
    <w:rsid w:val="378C3638"/>
    <w:rsid w:val="379F2C43"/>
    <w:rsid w:val="37C36E66"/>
    <w:rsid w:val="37CE1367"/>
    <w:rsid w:val="37D546F4"/>
    <w:rsid w:val="37D93983"/>
    <w:rsid w:val="380D1E8F"/>
    <w:rsid w:val="385271F5"/>
    <w:rsid w:val="386F2B4A"/>
    <w:rsid w:val="38BE762D"/>
    <w:rsid w:val="38CB784F"/>
    <w:rsid w:val="38E76B84"/>
    <w:rsid w:val="390C03B2"/>
    <w:rsid w:val="390E5EBF"/>
    <w:rsid w:val="392B4CC2"/>
    <w:rsid w:val="393671C3"/>
    <w:rsid w:val="39475874"/>
    <w:rsid w:val="39602492"/>
    <w:rsid w:val="39697600"/>
    <w:rsid w:val="397054E2"/>
    <w:rsid w:val="397A277F"/>
    <w:rsid w:val="39873EC3"/>
    <w:rsid w:val="39882115"/>
    <w:rsid w:val="399A7CBE"/>
    <w:rsid w:val="39AA68AB"/>
    <w:rsid w:val="39AC6891"/>
    <w:rsid w:val="39C12F31"/>
    <w:rsid w:val="39CB3DB0"/>
    <w:rsid w:val="39E70C2A"/>
    <w:rsid w:val="39EF3B1E"/>
    <w:rsid w:val="39FA6443"/>
    <w:rsid w:val="3A1C460B"/>
    <w:rsid w:val="3A226AA9"/>
    <w:rsid w:val="3A282FB0"/>
    <w:rsid w:val="3A6672F9"/>
    <w:rsid w:val="3A96260F"/>
    <w:rsid w:val="3AB47C10"/>
    <w:rsid w:val="3AD62A0C"/>
    <w:rsid w:val="3ADB44C6"/>
    <w:rsid w:val="3AE045A1"/>
    <w:rsid w:val="3B085D8A"/>
    <w:rsid w:val="3B2F65C0"/>
    <w:rsid w:val="3B5E2A01"/>
    <w:rsid w:val="3B5F6EA5"/>
    <w:rsid w:val="3B7010B2"/>
    <w:rsid w:val="3B974891"/>
    <w:rsid w:val="3BA40D5C"/>
    <w:rsid w:val="3BA725FA"/>
    <w:rsid w:val="3BB014AF"/>
    <w:rsid w:val="3BB57CC2"/>
    <w:rsid w:val="3BBD0825"/>
    <w:rsid w:val="3BEE1FD7"/>
    <w:rsid w:val="3C125D72"/>
    <w:rsid w:val="3C2105FF"/>
    <w:rsid w:val="3C2E6878"/>
    <w:rsid w:val="3C4F3DEA"/>
    <w:rsid w:val="3C9C1A33"/>
    <w:rsid w:val="3CBC20D5"/>
    <w:rsid w:val="3CC14EC9"/>
    <w:rsid w:val="3CCF3BB7"/>
    <w:rsid w:val="3CD1792F"/>
    <w:rsid w:val="3CD96D93"/>
    <w:rsid w:val="3CDE204C"/>
    <w:rsid w:val="3CE55537"/>
    <w:rsid w:val="3D192362"/>
    <w:rsid w:val="3D1F250C"/>
    <w:rsid w:val="3D2757A1"/>
    <w:rsid w:val="3D4F6AA6"/>
    <w:rsid w:val="3D8250CD"/>
    <w:rsid w:val="3D8726E3"/>
    <w:rsid w:val="3D995F73"/>
    <w:rsid w:val="3DA9265A"/>
    <w:rsid w:val="3DBA03C3"/>
    <w:rsid w:val="3DBB5E07"/>
    <w:rsid w:val="3DD671C7"/>
    <w:rsid w:val="3DEB2C72"/>
    <w:rsid w:val="3DEE4511"/>
    <w:rsid w:val="3DEF87FD"/>
    <w:rsid w:val="3E1C107E"/>
    <w:rsid w:val="3E8F1850"/>
    <w:rsid w:val="3E90381A"/>
    <w:rsid w:val="3E916B18"/>
    <w:rsid w:val="3EF93E23"/>
    <w:rsid w:val="3F073ADC"/>
    <w:rsid w:val="3F156FF3"/>
    <w:rsid w:val="3F2D57D3"/>
    <w:rsid w:val="3F3E6DD2"/>
    <w:rsid w:val="3F4D34B9"/>
    <w:rsid w:val="3F6A406B"/>
    <w:rsid w:val="3F730B09"/>
    <w:rsid w:val="3F8E1B07"/>
    <w:rsid w:val="3FF322B2"/>
    <w:rsid w:val="402406BD"/>
    <w:rsid w:val="402C6D67"/>
    <w:rsid w:val="40410F20"/>
    <w:rsid w:val="404D0088"/>
    <w:rsid w:val="405E6BA6"/>
    <w:rsid w:val="4095054D"/>
    <w:rsid w:val="40A13ABC"/>
    <w:rsid w:val="40A35A86"/>
    <w:rsid w:val="40CF687B"/>
    <w:rsid w:val="40D42ABA"/>
    <w:rsid w:val="40FD5713"/>
    <w:rsid w:val="414D154E"/>
    <w:rsid w:val="417B255F"/>
    <w:rsid w:val="418C02C8"/>
    <w:rsid w:val="419F03F0"/>
    <w:rsid w:val="42196B3E"/>
    <w:rsid w:val="422057A9"/>
    <w:rsid w:val="42401BEA"/>
    <w:rsid w:val="42562684"/>
    <w:rsid w:val="42750D5C"/>
    <w:rsid w:val="42825BA4"/>
    <w:rsid w:val="428F145D"/>
    <w:rsid w:val="42AB0C22"/>
    <w:rsid w:val="42DF08CC"/>
    <w:rsid w:val="42E45EE2"/>
    <w:rsid w:val="42F02AD9"/>
    <w:rsid w:val="42FC147E"/>
    <w:rsid w:val="431C078F"/>
    <w:rsid w:val="436C03B1"/>
    <w:rsid w:val="436F0FEC"/>
    <w:rsid w:val="437B05F4"/>
    <w:rsid w:val="438751EB"/>
    <w:rsid w:val="438C2802"/>
    <w:rsid w:val="43911BC6"/>
    <w:rsid w:val="4394082C"/>
    <w:rsid w:val="439B47F3"/>
    <w:rsid w:val="43B21B3C"/>
    <w:rsid w:val="43CB5B2C"/>
    <w:rsid w:val="43E76903"/>
    <w:rsid w:val="43E837B0"/>
    <w:rsid w:val="440A3726"/>
    <w:rsid w:val="4439400C"/>
    <w:rsid w:val="444237D4"/>
    <w:rsid w:val="44466E54"/>
    <w:rsid w:val="444906F3"/>
    <w:rsid w:val="444A0CB9"/>
    <w:rsid w:val="444C5D77"/>
    <w:rsid w:val="445D7CFA"/>
    <w:rsid w:val="44845ED6"/>
    <w:rsid w:val="44A21BB1"/>
    <w:rsid w:val="44A74221"/>
    <w:rsid w:val="44B32010"/>
    <w:rsid w:val="44B738AE"/>
    <w:rsid w:val="44C0263F"/>
    <w:rsid w:val="44C14902"/>
    <w:rsid w:val="44D97CC8"/>
    <w:rsid w:val="44F93EC7"/>
    <w:rsid w:val="44FF184A"/>
    <w:rsid w:val="451E56DB"/>
    <w:rsid w:val="452916DC"/>
    <w:rsid w:val="4588524B"/>
    <w:rsid w:val="459E05CA"/>
    <w:rsid w:val="45AB2CE7"/>
    <w:rsid w:val="45C1250B"/>
    <w:rsid w:val="45C83899"/>
    <w:rsid w:val="45D93B46"/>
    <w:rsid w:val="46402EA7"/>
    <w:rsid w:val="46731A57"/>
    <w:rsid w:val="46841EB6"/>
    <w:rsid w:val="468C0D6B"/>
    <w:rsid w:val="46B04A59"/>
    <w:rsid w:val="46C422B2"/>
    <w:rsid w:val="46CE1383"/>
    <w:rsid w:val="46EC35B7"/>
    <w:rsid w:val="46F25071"/>
    <w:rsid w:val="46F6107E"/>
    <w:rsid w:val="470937AE"/>
    <w:rsid w:val="474927B8"/>
    <w:rsid w:val="477D3B70"/>
    <w:rsid w:val="47844D39"/>
    <w:rsid w:val="479A0EB8"/>
    <w:rsid w:val="47D337A2"/>
    <w:rsid w:val="47EA7AF7"/>
    <w:rsid w:val="47FF05C5"/>
    <w:rsid w:val="48254FD3"/>
    <w:rsid w:val="48286871"/>
    <w:rsid w:val="48815BCA"/>
    <w:rsid w:val="489543CB"/>
    <w:rsid w:val="48A64365"/>
    <w:rsid w:val="48B84099"/>
    <w:rsid w:val="48D12A65"/>
    <w:rsid w:val="48EC789E"/>
    <w:rsid w:val="490B241B"/>
    <w:rsid w:val="491D5CAA"/>
    <w:rsid w:val="492B547A"/>
    <w:rsid w:val="493F20C4"/>
    <w:rsid w:val="49460ECB"/>
    <w:rsid w:val="49627B61"/>
    <w:rsid w:val="498700F0"/>
    <w:rsid w:val="498D4320"/>
    <w:rsid w:val="49922096"/>
    <w:rsid w:val="49AF0FF8"/>
    <w:rsid w:val="49C36851"/>
    <w:rsid w:val="49D32375"/>
    <w:rsid w:val="49DB1DED"/>
    <w:rsid w:val="49E52C6C"/>
    <w:rsid w:val="4A0D3F70"/>
    <w:rsid w:val="4A161077"/>
    <w:rsid w:val="4A232C8E"/>
    <w:rsid w:val="4A2D4613"/>
    <w:rsid w:val="4A4B0C92"/>
    <w:rsid w:val="4AA1777F"/>
    <w:rsid w:val="4AB12B4E"/>
    <w:rsid w:val="4AB50890"/>
    <w:rsid w:val="4AC96599"/>
    <w:rsid w:val="4AD14F9E"/>
    <w:rsid w:val="4AF049DC"/>
    <w:rsid w:val="4AF313B8"/>
    <w:rsid w:val="4B187071"/>
    <w:rsid w:val="4B223A4B"/>
    <w:rsid w:val="4B2B0B52"/>
    <w:rsid w:val="4B47119C"/>
    <w:rsid w:val="4B5856BF"/>
    <w:rsid w:val="4B942671"/>
    <w:rsid w:val="4BBC225C"/>
    <w:rsid w:val="4BCB40E3"/>
    <w:rsid w:val="4BCD1C09"/>
    <w:rsid w:val="4BD1347A"/>
    <w:rsid w:val="4BD173D8"/>
    <w:rsid w:val="4BD96178"/>
    <w:rsid w:val="4C082C41"/>
    <w:rsid w:val="4C12586E"/>
    <w:rsid w:val="4C365A00"/>
    <w:rsid w:val="4C6939BB"/>
    <w:rsid w:val="4C6A0226"/>
    <w:rsid w:val="4C6D0CF6"/>
    <w:rsid w:val="4CD11285"/>
    <w:rsid w:val="4CD77A52"/>
    <w:rsid w:val="4D115B26"/>
    <w:rsid w:val="4D1B2303"/>
    <w:rsid w:val="4D5B6845"/>
    <w:rsid w:val="4D986247"/>
    <w:rsid w:val="4DCA4E25"/>
    <w:rsid w:val="4DE21F57"/>
    <w:rsid w:val="4DED0341"/>
    <w:rsid w:val="4E127DA7"/>
    <w:rsid w:val="4E222204"/>
    <w:rsid w:val="4E4F2DA9"/>
    <w:rsid w:val="4E916F1E"/>
    <w:rsid w:val="4E964534"/>
    <w:rsid w:val="4E9764FE"/>
    <w:rsid w:val="4E9E29AE"/>
    <w:rsid w:val="4ED80FF1"/>
    <w:rsid w:val="4EF36A7A"/>
    <w:rsid w:val="4F0F42E7"/>
    <w:rsid w:val="4F307BC6"/>
    <w:rsid w:val="4F4421E2"/>
    <w:rsid w:val="4F4C3301"/>
    <w:rsid w:val="4F5166AD"/>
    <w:rsid w:val="4F7B5EDD"/>
    <w:rsid w:val="4F9842DC"/>
    <w:rsid w:val="4F9A0D8E"/>
    <w:rsid w:val="4F9B4127"/>
    <w:rsid w:val="4FC926E8"/>
    <w:rsid w:val="4FD11BDF"/>
    <w:rsid w:val="4FD35314"/>
    <w:rsid w:val="4FEC533C"/>
    <w:rsid w:val="50035120"/>
    <w:rsid w:val="501E0C85"/>
    <w:rsid w:val="50285660"/>
    <w:rsid w:val="50487579"/>
    <w:rsid w:val="50681F00"/>
    <w:rsid w:val="50707007"/>
    <w:rsid w:val="50AC1886"/>
    <w:rsid w:val="50E03CF0"/>
    <w:rsid w:val="50E579F5"/>
    <w:rsid w:val="50F43794"/>
    <w:rsid w:val="50F6750C"/>
    <w:rsid w:val="50FB2D75"/>
    <w:rsid w:val="51182810"/>
    <w:rsid w:val="51234079"/>
    <w:rsid w:val="513E0EB3"/>
    <w:rsid w:val="514069D9"/>
    <w:rsid w:val="516613C8"/>
    <w:rsid w:val="517047AB"/>
    <w:rsid w:val="518A5EA7"/>
    <w:rsid w:val="519756BF"/>
    <w:rsid w:val="51976F41"/>
    <w:rsid w:val="519C666D"/>
    <w:rsid w:val="51BF0246"/>
    <w:rsid w:val="51D535C6"/>
    <w:rsid w:val="51F36142"/>
    <w:rsid w:val="51F872B4"/>
    <w:rsid w:val="52041F3E"/>
    <w:rsid w:val="52100AA2"/>
    <w:rsid w:val="521045FE"/>
    <w:rsid w:val="52160CFB"/>
    <w:rsid w:val="525F7333"/>
    <w:rsid w:val="526E7576"/>
    <w:rsid w:val="527E3C5D"/>
    <w:rsid w:val="529A3DB5"/>
    <w:rsid w:val="529C40E3"/>
    <w:rsid w:val="52C81D0B"/>
    <w:rsid w:val="52CF6267"/>
    <w:rsid w:val="52EF6909"/>
    <w:rsid w:val="531620E8"/>
    <w:rsid w:val="534E7AD3"/>
    <w:rsid w:val="53513120"/>
    <w:rsid w:val="53514ECE"/>
    <w:rsid w:val="536B64FC"/>
    <w:rsid w:val="53732561"/>
    <w:rsid w:val="537B11CA"/>
    <w:rsid w:val="53807A02"/>
    <w:rsid w:val="53D855EF"/>
    <w:rsid w:val="53F71F19"/>
    <w:rsid w:val="53FF3B0F"/>
    <w:rsid w:val="54041F40"/>
    <w:rsid w:val="540B4280"/>
    <w:rsid w:val="543919E8"/>
    <w:rsid w:val="54414F42"/>
    <w:rsid w:val="545A0645"/>
    <w:rsid w:val="545C692F"/>
    <w:rsid w:val="545D2FF4"/>
    <w:rsid w:val="54685E78"/>
    <w:rsid w:val="54705828"/>
    <w:rsid w:val="54B15484"/>
    <w:rsid w:val="54C811C0"/>
    <w:rsid w:val="55130C04"/>
    <w:rsid w:val="553E5926"/>
    <w:rsid w:val="55592760"/>
    <w:rsid w:val="555E5554"/>
    <w:rsid w:val="556406F7"/>
    <w:rsid w:val="55676C2B"/>
    <w:rsid w:val="558A46C7"/>
    <w:rsid w:val="558F1CDD"/>
    <w:rsid w:val="55B41744"/>
    <w:rsid w:val="55B82A33"/>
    <w:rsid w:val="55B87486"/>
    <w:rsid w:val="55C37BD9"/>
    <w:rsid w:val="56102E1E"/>
    <w:rsid w:val="561F7505"/>
    <w:rsid w:val="5674155B"/>
    <w:rsid w:val="567B082D"/>
    <w:rsid w:val="56995D14"/>
    <w:rsid w:val="56E63178"/>
    <w:rsid w:val="57016C0B"/>
    <w:rsid w:val="570E0980"/>
    <w:rsid w:val="5728063B"/>
    <w:rsid w:val="57527466"/>
    <w:rsid w:val="57581B86"/>
    <w:rsid w:val="57684EDC"/>
    <w:rsid w:val="57D07B9E"/>
    <w:rsid w:val="57D1221C"/>
    <w:rsid w:val="57E722A5"/>
    <w:rsid w:val="57F56770"/>
    <w:rsid w:val="584E7C2E"/>
    <w:rsid w:val="585A4825"/>
    <w:rsid w:val="5875165E"/>
    <w:rsid w:val="588418A2"/>
    <w:rsid w:val="58900246"/>
    <w:rsid w:val="58CB127E"/>
    <w:rsid w:val="58F307D5"/>
    <w:rsid w:val="58FE4027"/>
    <w:rsid w:val="59150D0E"/>
    <w:rsid w:val="594352B9"/>
    <w:rsid w:val="59441031"/>
    <w:rsid w:val="596F2552"/>
    <w:rsid w:val="5975780A"/>
    <w:rsid w:val="5987789B"/>
    <w:rsid w:val="59C02DAD"/>
    <w:rsid w:val="59E72953"/>
    <w:rsid w:val="5A113609"/>
    <w:rsid w:val="5A160DC4"/>
    <w:rsid w:val="5A254928"/>
    <w:rsid w:val="5A3F620D"/>
    <w:rsid w:val="5A4968FF"/>
    <w:rsid w:val="5A4C4641"/>
    <w:rsid w:val="5A4E2167"/>
    <w:rsid w:val="5A8E4C59"/>
    <w:rsid w:val="5ADF1011"/>
    <w:rsid w:val="5AE6569F"/>
    <w:rsid w:val="5B13285B"/>
    <w:rsid w:val="5B1E5FDD"/>
    <w:rsid w:val="5B286E5C"/>
    <w:rsid w:val="5B294982"/>
    <w:rsid w:val="5B6A7673"/>
    <w:rsid w:val="5B762465"/>
    <w:rsid w:val="5B7A6F8C"/>
    <w:rsid w:val="5B8442E0"/>
    <w:rsid w:val="5B953DC6"/>
    <w:rsid w:val="5B9B762E"/>
    <w:rsid w:val="5BA9198F"/>
    <w:rsid w:val="5BC95525"/>
    <w:rsid w:val="5C1B076F"/>
    <w:rsid w:val="5C2018E1"/>
    <w:rsid w:val="5C272C70"/>
    <w:rsid w:val="5C7560D1"/>
    <w:rsid w:val="5C757E7F"/>
    <w:rsid w:val="5C8021B4"/>
    <w:rsid w:val="5C814A76"/>
    <w:rsid w:val="5CC46711"/>
    <w:rsid w:val="5CC95CE6"/>
    <w:rsid w:val="5CE70651"/>
    <w:rsid w:val="5CF54B1C"/>
    <w:rsid w:val="5D415FB3"/>
    <w:rsid w:val="5D4D7582"/>
    <w:rsid w:val="5D7C523D"/>
    <w:rsid w:val="5D8D744A"/>
    <w:rsid w:val="5DAA0729"/>
    <w:rsid w:val="5DB744C7"/>
    <w:rsid w:val="5DBD5EE3"/>
    <w:rsid w:val="5DC7295C"/>
    <w:rsid w:val="5DCF5207"/>
    <w:rsid w:val="5DEC4496"/>
    <w:rsid w:val="5DFD1CE4"/>
    <w:rsid w:val="5E2E29DB"/>
    <w:rsid w:val="5E451AD3"/>
    <w:rsid w:val="5E4C10B3"/>
    <w:rsid w:val="5E4E6BDA"/>
    <w:rsid w:val="5E521446"/>
    <w:rsid w:val="5E717A58"/>
    <w:rsid w:val="5E824AD5"/>
    <w:rsid w:val="5EA031AD"/>
    <w:rsid w:val="5EAB402C"/>
    <w:rsid w:val="5EB54C36"/>
    <w:rsid w:val="5EEC40AF"/>
    <w:rsid w:val="5EFD5F0A"/>
    <w:rsid w:val="5F0B0627"/>
    <w:rsid w:val="5F0F14B4"/>
    <w:rsid w:val="5F1C0A86"/>
    <w:rsid w:val="5F2E07B9"/>
    <w:rsid w:val="5F6442D1"/>
    <w:rsid w:val="5F7563E8"/>
    <w:rsid w:val="5F8B1EE7"/>
    <w:rsid w:val="5F924395"/>
    <w:rsid w:val="5FA34D03"/>
    <w:rsid w:val="5FA6034F"/>
    <w:rsid w:val="5FAA42E4"/>
    <w:rsid w:val="5FD321D6"/>
    <w:rsid w:val="5FDDAFC1"/>
    <w:rsid w:val="603B259F"/>
    <w:rsid w:val="603D6F06"/>
    <w:rsid w:val="605E6E7C"/>
    <w:rsid w:val="60636240"/>
    <w:rsid w:val="60854409"/>
    <w:rsid w:val="608A4211"/>
    <w:rsid w:val="60A24FBB"/>
    <w:rsid w:val="60A7357F"/>
    <w:rsid w:val="60B66CB8"/>
    <w:rsid w:val="60BA0556"/>
    <w:rsid w:val="60BC2F21"/>
    <w:rsid w:val="60C362AB"/>
    <w:rsid w:val="60C50252"/>
    <w:rsid w:val="60C86794"/>
    <w:rsid w:val="610D16F2"/>
    <w:rsid w:val="613227E3"/>
    <w:rsid w:val="616E2632"/>
    <w:rsid w:val="61876C6E"/>
    <w:rsid w:val="61B551C2"/>
    <w:rsid w:val="61B72CE8"/>
    <w:rsid w:val="61C3343B"/>
    <w:rsid w:val="61C51203"/>
    <w:rsid w:val="61C84EF5"/>
    <w:rsid w:val="61CD42B9"/>
    <w:rsid w:val="61D2367E"/>
    <w:rsid w:val="61DB51CE"/>
    <w:rsid w:val="621476C6"/>
    <w:rsid w:val="6220263B"/>
    <w:rsid w:val="622F03CD"/>
    <w:rsid w:val="62854B94"/>
    <w:rsid w:val="629F6DAD"/>
    <w:rsid w:val="62A019CE"/>
    <w:rsid w:val="62A3695D"/>
    <w:rsid w:val="62B92A90"/>
    <w:rsid w:val="62C751AC"/>
    <w:rsid w:val="62D161DE"/>
    <w:rsid w:val="62F6339C"/>
    <w:rsid w:val="62FF4D10"/>
    <w:rsid w:val="632F7DC1"/>
    <w:rsid w:val="63416FDE"/>
    <w:rsid w:val="635A2D6F"/>
    <w:rsid w:val="635D166D"/>
    <w:rsid w:val="637E1A26"/>
    <w:rsid w:val="63CB6F0A"/>
    <w:rsid w:val="63D25BB7"/>
    <w:rsid w:val="63EE0517"/>
    <w:rsid w:val="64022346"/>
    <w:rsid w:val="64195594"/>
    <w:rsid w:val="641E704E"/>
    <w:rsid w:val="642B52C7"/>
    <w:rsid w:val="64410F8F"/>
    <w:rsid w:val="64430278"/>
    <w:rsid w:val="6497295D"/>
    <w:rsid w:val="64986E00"/>
    <w:rsid w:val="649F01F4"/>
    <w:rsid w:val="64C2170E"/>
    <w:rsid w:val="64C25C2B"/>
    <w:rsid w:val="64C46FF1"/>
    <w:rsid w:val="64C80D68"/>
    <w:rsid w:val="64D129F3"/>
    <w:rsid w:val="64D23BA1"/>
    <w:rsid w:val="64EE4C72"/>
    <w:rsid w:val="650022C1"/>
    <w:rsid w:val="650049A6"/>
    <w:rsid w:val="6518584B"/>
    <w:rsid w:val="651E1C96"/>
    <w:rsid w:val="65233E10"/>
    <w:rsid w:val="65835D1E"/>
    <w:rsid w:val="65A672FB"/>
    <w:rsid w:val="65A90B99"/>
    <w:rsid w:val="65B25CA0"/>
    <w:rsid w:val="65B732B6"/>
    <w:rsid w:val="65C74EAB"/>
    <w:rsid w:val="65D8147F"/>
    <w:rsid w:val="65E645C1"/>
    <w:rsid w:val="65EB11B2"/>
    <w:rsid w:val="65F41873"/>
    <w:rsid w:val="660821A5"/>
    <w:rsid w:val="66373B74"/>
    <w:rsid w:val="66756CCD"/>
    <w:rsid w:val="668D4017"/>
    <w:rsid w:val="668F5FE1"/>
    <w:rsid w:val="66A63137"/>
    <w:rsid w:val="66AD46B9"/>
    <w:rsid w:val="66C11F13"/>
    <w:rsid w:val="66CA2B0B"/>
    <w:rsid w:val="66FB71D3"/>
    <w:rsid w:val="66FE4F15"/>
    <w:rsid w:val="671D539B"/>
    <w:rsid w:val="672A7AB8"/>
    <w:rsid w:val="673054A9"/>
    <w:rsid w:val="67397CFB"/>
    <w:rsid w:val="67550FD9"/>
    <w:rsid w:val="67580AC9"/>
    <w:rsid w:val="675A663C"/>
    <w:rsid w:val="677376B1"/>
    <w:rsid w:val="677D1CE1"/>
    <w:rsid w:val="679F04A6"/>
    <w:rsid w:val="67CB129B"/>
    <w:rsid w:val="67D22629"/>
    <w:rsid w:val="67EC1211"/>
    <w:rsid w:val="68024591"/>
    <w:rsid w:val="680D3662"/>
    <w:rsid w:val="6837248C"/>
    <w:rsid w:val="68745575"/>
    <w:rsid w:val="687A681D"/>
    <w:rsid w:val="68845055"/>
    <w:rsid w:val="688C4817"/>
    <w:rsid w:val="68AD274F"/>
    <w:rsid w:val="68D73E3F"/>
    <w:rsid w:val="68E02B24"/>
    <w:rsid w:val="690305C1"/>
    <w:rsid w:val="6908207B"/>
    <w:rsid w:val="690A7BA1"/>
    <w:rsid w:val="69117181"/>
    <w:rsid w:val="69151251"/>
    <w:rsid w:val="69164798"/>
    <w:rsid w:val="69217592"/>
    <w:rsid w:val="694A4441"/>
    <w:rsid w:val="694D7A8E"/>
    <w:rsid w:val="695157D0"/>
    <w:rsid w:val="69C02956"/>
    <w:rsid w:val="69DC3008"/>
    <w:rsid w:val="69F133E3"/>
    <w:rsid w:val="6A2F27A7"/>
    <w:rsid w:val="6A3D3FA6"/>
    <w:rsid w:val="6A575068"/>
    <w:rsid w:val="6A615EE7"/>
    <w:rsid w:val="6A6E40C0"/>
    <w:rsid w:val="6A8120E5"/>
    <w:rsid w:val="6AAC30B7"/>
    <w:rsid w:val="6AB9187F"/>
    <w:rsid w:val="6AB9362D"/>
    <w:rsid w:val="6AC344AB"/>
    <w:rsid w:val="6B0506F4"/>
    <w:rsid w:val="6B12325B"/>
    <w:rsid w:val="6B1C1E0E"/>
    <w:rsid w:val="6B43383E"/>
    <w:rsid w:val="6B576F98"/>
    <w:rsid w:val="6B6D7921"/>
    <w:rsid w:val="6B6E6DBE"/>
    <w:rsid w:val="6BA76CB4"/>
    <w:rsid w:val="6BAA7419"/>
    <w:rsid w:val="6BD61FBC"/>
    <w:rsid w:val="6C0310B4"/>
    <w:rsid w:val="6C0E5BFA"/>
    <w:rsid w:val="6C663340"/>
    <w:rsid w:val="6C866E26"/>
    <w:rsid w:val="6C8A1908"/>
    <w:rsid w:val="6CAB5127"/>
    <w:rsid w:val="6CC8224D"/>
    <w:rsid w:val="6CC934E6"/>
    <w:rsid w:val="6CCE7137"/>
    <w:rsid w:val="6CDF30F3"/>
    <w:rsid w:val="6CE51A98"/>
    <w:rsid w:val="6D2C27DC"/>
    <w:rsid w:val="6D2F5E28"/>
    <w:rsid w:val="6D4A2C62"/>
    <w:rsid w:val="6D4B0788"/>
    <w:rsid w:val="6D5133CE"/>
    <w:rsid w:val="6D594C53"/>
    <w:rsid w:val="6D98558E"/>
    <w:rsid w:val="6D9F43AD"/>
    <w:rsid w:val="6DC1668E"/>
    <w:rsid w:val="6DC742B3"/>
    <w:rsid w:val="6DFB3F5C"/>
    <w:rsid w:val="6E0472B5"/>
    <w:rsid w:val="6E146DCC"/>
    <w:rsid w:val="6E156E1C"/>
    <w:rsid w:val="6E294CF1"/>
    <w:rsid w:val="6E385F8C"/>
    <w:rsid w:val="6E4C47B8"/>
    <w:rsid w:val="6E7C509D"/>
    <w:rsid w:val="6E7F2DDF"/>
    <w:rsid w:val="6E7F46B5"/>
    <w:rsid w:val="6E871BDA"/>
    <w:rsid w:val="6EAE7835"/>
    <w:rsid w:val="6EBF28D9"/>
    <w:rsid w:val="6EBFF4D0"/>
    <w:rsid w:val="6ED053E9"/>
    <w:rsid w:val="6EDF2E7A"/>
    <w:rsid w:val="6EE844E0"/>
    <w:rsid w:val="6F035F5B"/>
    <w:rsid w:val="6F213E96"/>
    <w:rsid w:val="6F227A83"/>
    <w:rsid w:val="6F2319BD"/>
    <w:rsid w:val="6F585C4F"/>
    <w:rsid w:val="6FBC5229"/>
    <w:rsid w:val="6FBF3F5F"/>
    <w:rsid w:val="6FC26312"/>
    <w:rsid w:val="7033684D"/>
    <w:rsid w:val="704A2F79"/>
    <w:rsid w:val="70B14DA6"/>
    <w:rsid w:val="70DD3DED"/>
    <w:rsid w:val="70ED2282"/>
    <w:rsid w:val="70F133F4"/>
    <w:rsid w:val="70FA547E"/>
    <w:rsid w:val="71184E25"/>
    <w:rsid w:val="713A123F"/>
    <w:rsid w:val="71494FDF"/>
    <w:rsid w:val="715520AA"/>
    <w:rsid w:val="718A152F"/>
    <w:rsid w:val="718B4812"/>
    <w:rsid w:val="71C01745"/>
    <w:rsid w:val="71D84AA2"/>
    <w:rsid w:val="71E511AB"/>
    <w:rsid w:val="723839D1"/>
    <w:rsid w:val="72623998"/>
    <w:rsid w:val="72702A7D"/>
    <w:rsid w:val="727147ED"/>
    <w:rsid w:val="72874010"/>
    <w:rsid w:val="728C53D2"/>
    <w:rsid w:val="72A1574A"/>
    <w:rsid w:val="72D80D10"/>
    <w:rsid w:val="73065B7B"/>
    <w:rsid w:val="7306762B"/>
    <w:rsid w:val="73357F10"/>
    <w:rsid w:val="73732424"/>
    <w:rsid w:val="73993FFB"/>
    <w:rsid w:val="73A56E44"/>
    <w:rsid w:val="73BE1CB4"/>
    <w:rsid w:val="73D665C6"/>
    <w:rsid w:val="73D82552"/>
    <w:rsid w:val="73E84F83"/>
    <w:rsid w:val="74312486"/>
    <w:rsid w:val="746D7236"/>
    <w:rsid w:val="74B82BA7"/>
    <w:rsid w:val="74EB464B"/>
    <w:rsid w:val="74EE481B"/>
    <w:rsid w:val="74F42F06"/>
    <w:rsid w:val="750720FF"/>
    <w:rsid w:val="75265D63"/>
    <w:rsid w:val="75295853"/>
    <w:rsid w:val="7594463B"/>
    <w:rsid w:val="75A1188D"/>
    <w:rsid w:val="75A31161"/>
    <w:rsid w:val="75EA6D90"/>
    <w:rsid w:val="75F0152E"/>
    <w:rsid w:val="75FA2D4B"/>
    <w:rsid w:val="76013E56"/>
    <w:rsid w:val="761051CC"/>
    <w:rsid w:val="7616090E"/>
    <w:rsid w:val="762978CA"/>
    <w:rsid w:val="76404EF3"/>
    <w:rsid w:val="764861AD"/>
    <w:rsid w:val="76487F5B"/>
    <w:rsid w:val="769D2054"/>
    <w:rsid w:val="76C515AB"/>
    <w:rsid w:val="76C53B1E"/>
    <w:rsid w:val="76DB0A80"/>
    <w:rsid w:val="76E2215D"/>
    <w:rsid w:val="77065E4C"/>
    <w:rsid w:val="770C2884"/>
    <w:rsid w:val="77186165"/>
    <w:rsid w:val="7718792D"/>
    <w:rsid w:val="772E53A2"/>
    <w:rsid w:val="773A04DC"/>
    <w:rsid w:val="77445908"/>
    <w:rsid w:val="775336AC"/>
    <w:rsid w:val="77535F34"/>
    <w:rsid w:val="77547CB1"/>
    <w:rsid w:val="776C1A27"/>
    <w:rsid w:val="7779B95F"/>
    <w:rsid w:val="777C610E"/>
    <w:rsid w:val="77A6318B"/>
    <w:rsid w:val="77D71596"/>
    <w:rsid w:val="780600CD"/>
    <w:rsid w:val="781C344D"/>
    <w:rsid w:val="78C935D5"/>
    <w:rsid w:val="78E73AA0"/>
    <w:rsid w:val="79075EAB"/>
    <w:rsid w:val="791660EE"/>
    <w:rsid w:val="791D3F2D"/>
    <w:rsid w:val="792E168A"/>
    <w:rsid w:val="7935AF9F"/>
    <w:rsid w:val="79365B1E"/>
    <w:rsid w:val="79366790"/>
    <w:rsid w:val="7960768E"/>
    <w:rsid w:val="796230E1"/>
    <w:rsid w:val="79625812"/>
    <w:rsid w:val="798474FC"/>
    <w:rsid w:val="799534B7"/>
    <w:rsid w:val="799F7E92"/>
    <w:rsid w:val="79B002F1"/>
    <w:rsid w:val="79CD0899"/>
    <w:rsid w:val="79D55454"/>
    <w:rsid w:val="79E32474"/>
    <w:rsid w:val="79E9484A"/>
    <w:rsid w:val="79EE2BC7"/>
    <w:rsid w:val="79F75F20"/>
    <w:rsid w:val="7A016D9E"/>
    <w:rsid w:val="7A024D1C"/>
    <w:rsid w:val="7A2507CC"/>
    <w:rsid w:val="7A41719B"/>
    <w:rsid w:val="7A4D3D91"/>
    <w:rsid w:val="7A5A200A"/>
    <w:rsid w:val="7A6510DB"/>
    <w:rsid w:val="7ACA5855"/>
    <w:rsid w:val="7AE31BD5"/>
    <w:rsid w:val="7AFB1A3F"/>
    <w:rsid w:val="7B292109"/>
    <w:rsid w:val="7B3317F5"/>
    <w:rsid w:val="7B577645"/>
    <w:rsid w:val="7B7A2438"/>
    <w:rsid w:val="7B810197"/>
    <w:rsid w:val="7B811F45"/>
    <w:rsid w:val="7BD302C6"/>
    <w:rsid w:val="7BD55DED"/>
    <w:rsid w:val="7BEB1AB4"/>
    <w:rsid w:val="7BEE5100"/>
    <w:rsid w:val="7BFCC5C3"/>
    <w:rsid w:val="7BFE4E6D"/>
    <w:rsid w:val="7C684EB3"/>
    <w:rsid w:val="7C6B6751"/>
    <w:rsid w:val="7C6D071B"/>
    <w:rsid w:val="7CB9570E"/>
    <w:rsid w:val="7CE02C9B"/>
    <w:rsid w:val="7CE24E46"/>
    <w:rsid w:val="7D0A7ED2"/>
    <w:rsid w:val="7D0D7808"/>
    <w:rsid w:val="7D4F7E21"/>
    <w:rsid w:val="7DB6286E"/>
    <w:rsid w:val="7DC425BD"/>
    <w:rsid w:val="7DE70059"/>
    <w:rsid w:val="7DF033B2"/>
    <w:rsid w:val="7E2E7A36"/>
    <w:rsid w:val="7E432AAA"/>
    <w:rsid w:val="7E5441CA"/>
    <w:rsid w:val="7E582D05"/>
    <w:rsid w:val="7E65546B"/>
    <w:rsid w:val="7E675143"/>
    <w:rsid w:val="7E6B6EDC"/>
    <w:rsid w:val="7EAF08A4"/>
    <w:rsid w:val="7EB02B41"/>
    <w:rsid w:val="7EB77A2B"/>
    <w:rsid w:val="7EBE0DBA"/>
    <w:rsid w:val="7EC56DA6"/>
    <w:rsid w:val="7F323556"/>
    <w:rsid w:val="7F4339B5"/>
    <w:rsid w:val="7F671451"/>
    <w:rsid w:val="7F6C4CBA"/>
    <w:rsid w:val="7F7F9D4F"/>
    <w:rsid w:val="7F8A5140"/>
    <w:rsid w:val="7F8E4C30"/>
    <w:rsid w:val="7FAC3308"/>
    <w:rsid w:val="AF7F631A"/>
    <w:rsid w:val="BEFDD908"/>
    <w:rsid w:val="BFF79E0C"/>
    <w:rsid w:val="EBFE5407"/>
    <w:rsid w:val="FCEBFD7B"/>
    <w:rsid w:val="FD756666"/>
    <w:rsid w:val="FF76B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adjustRightInd w:val="0"/>
      <w:spacing w:before="120" w:line="360" w:lineRule="auto"/>
      <w:jc w:val="center"/>
      <w:textAlignment w:val="baseline"/>
      <w:outlineLvl w:val="0"/>
    </w:pPr>
    <w:rPr>
      <w:b/>
      <w:kern w:val="44"/>
      <w:sz w:val="36"/>
      <w:szCs w:val="20"/>
    </w:rPr>
  </w:style>
  <w:style w:type="paragraph" w:styleId="3">
    <w:name w:val="heading 2"/>
    <w:basedOn w:val="1"/>
    <w:next w:val="1"/>
    <w:link w:val="35"/>
    <w:qFormat/>
    <w:uiPriority w:val="9"/>
    <w:pPr>
      <w:keepNext/>
      <w:numPr>
        <w:ilvl w:val="1"/>
        <w:numId w:val="1"/>
      </w:numPr>
      <w:adjustRightInd w:val="0"/>
      <w:spacing w:line="360" w:lineRule="auto"/>
      <w:jc w:val="left"/>
      <w:textAlignment w:val="baseline"/>
      <w:outlineLvl w:val="1"/>
    </w:pPr>
    <w:rPr>
      <w:b/>
      <w:sz w:val="30"/>
    </w:rPr>
  </w:style>
  <w:style w:type="paragraph" w:styleId="4">
    <w:name w:val="heading 3"/>
    <w:basedOn w:val="1"/>
    <w:next w:val="1"/>
    <w:qFormat/>
    <w:uiPriority w:val="0"/>
    <w:pPr>
      <w:keepNext/>
      <w:keepLines/>
      <w:numPr>
        <w:ilvl w:val="2"/>
        <w:numId w:val="2"/>
      </w:numPr>
      <w:spacing w:line="360" w:lineRule="auto"/>
      <w:outlineLvl w:val="2"/>
    </w:pPr>
    <w:rPr>
      <w:rFonts w:hAnsi="宋体"/>
      <w:b/>
      <w:bCs/>
      <w:sz w:val="28"/>
    </w:rPr>
  </w:style>
  <w:style w:type="paragraph" w:styleId="5">
    <w:name w:val="heading 4"/>
    <w:basedOn w:val="1"/>
    <w:next w:val="1"/>
    <w:qFormat/>
    <w:uiPriority w:val="0"/>
    <w:pPr>
      <w:keepNext/>
      <w:keepLines/>
      <w:spacing w:line="360" w:lineRule="auto"/>
      <w:outlineLvl w:val="3"/>
    </w:pPr>
    <w:rPr>
      <w:rFonts w:ascii="Arial" w:hAnsi="Arial"/>
      <w:b/>
      <w:bCs/>
      <w:sz w:val="24"/>
      <w:szCs w:val="28"/>
    </w:rPr>
  </w:style>
  <w:style w:type="paragraph" w:styleId="6">
    <w:name w:val="heading 5"/>
    <w:basedOn w:val="1"/>
    <w:next w:val="1"/>
    <w:qFormat/>
    <w:uiPriority w:val="0"/>
    <w:pPr>
      <w:keepNext/>
      <w:keepLines/>
      <w:numPr>
        <w:ilvl w:val="4"/>
        <w:numId w:val="2"/>
      </w:numPr>
      <w:spacing w:line="360" w:lineRule="auto"/>
      <w:outlineLvl w:val="4"/>
    </w:pPr>
    <w:rPr>
      <w:rFonts w:hAnsi="宋体"/>
      <w:b/>
      <w:bCs/>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8">
    <w:name w:val="caption"/>
    <w:basedOn w:val="1"/>
    <w:next w:val="1"/>
    <w:unhideWhenUsed/>
    <w:qFormat/>
    <w:uiPriority w:val="35"/>
    <w:rPr>
      <w:rFonts w:ascii="Cambria" w:hAnsi="Cambria" w:eastAsia="黑体" w:cs="Times New Roman"/>
      <w:sz w:val="20"/>
      <w:szCs w:val="20"/>
    </w:rPr>
  </w:style>
  <w:style w:type="paragraph" w:styleId="9">
    <w:name w:val="Document Map"/>
    <w:basedOn w:val="1"/>
    <w:qFormat/>
    <w:uiPriority w:val="99"/>
    <w:pPr>
      <w:shd w:val="clear" w:color="auto" w:fill="000080"/>
    </w:pPr>
  </w:style>
  <w:style w:type="paragraph" w:styleId="10">
    <w:name w:val="annotation text"/>
    <w:basedOn w:val="1"/>
    <w:qFormat/>
    <w:uiPriority w:val="0"/>
    <w:pPr>
      <w:adjustRightInd w:val="0"/>
      <w:spacing w:line="360" w:lineRule="atLeast"/>
      <w:jc w:val="left"/>
      <w:textAlignment w:val="baseline"/>
    </w:pPr>
    <w:rPr>
      <w:kern w:val="0"/>
      <w:sz w:val="24"/>
      <w:szCs w:val="20"/>
    </w:rPr>
  </w:style>
  <w:style w:type="paragraph" w:styleId="11">
    <w:name w:val="Body Text"/>
    <w:basedOn w:val="1"/>
    <w:next w:val="1"/>
    <w:qFormat/>
    <w:uiPriority w:val="99"/>
    <w:pPr>
      <w:spacing w:after="120"/>
    </w:pPr>
  </w:style>
  <w:style w:type="paragraph" w:styleId="12">
    <w:name w:val="Body Text Indent"/>
    <w:basedOn w:val="1"/>
    <w:next w:val="13"/>
    <w:qFormat/>
    <w:uiPriority w:val="99"/>
    <w:pPr>
      <w:spacing w:line="200" w:lineRule="exact"/>
      <w:ind w:firstLine="301"/>
    </w:pPr>
    <w:rPr>
      <w:rFonts w:ascii="宋体"/>
      <w:spacing w:val="-4"/>
      <w:sz w:val="18"/>
      <w:szCs w:val="20"/>
    </w:rPr>
  </w:style>
  <w:style w:type="paragraph" w:styleId="13">
    <w:name w:val="envelope return"/>
    <w:basedOn w:val="1"/>
    <w:semiHidden/>
    <w:qFormat/>
    <w:uiPriority w:val="99"/>
    <w:pPr>
      <w:snapToGrid w:val="0"/>
      <w:jc w:val="both"/>
    </w:pPr>
    <w:rPr>
      <w:rFonts w:ascii="Arial" w:hAnsi="Arial" w:cs="Arial"/>
      <w:kern w:val="2"/>
      <w:sz w:val="21"/>
      <w:szCs w:val="24"/>
    </w:rPr>
  </w:style>
  <w:style w:type="paragraph" w:styleId="14">
    <w:name w:val="Block Text"/>
    <w:basedOn w:val="1"/>
    <w:next w:val="1"/>
    <w:qFormat/>
    <w:uiPriority w:val="0"/>
    <w:pPr>
      <w:spacing w:after="120"/>
      <w:ind w:left="1440" w:right="1440"/>
    </w:pPr>
  </w:style>
  <w:style w:type="paragraph" w:styleId="15">
    <w:name w:val="Plain Text"/>
    <w:basedOn w:val="1"/>
    <w:next w:val="1"/>
    <w:qFormat/>
    <w:uiPriority w:val="0"/>
    <w:rPr>
      <w:rFonts w:ascii="宋体" w:hAnsi="Courier New" w:eastAsia="楷体_GB2312"/>
      <w:sz w:val="26"/>
      <w:szCs w:val="20"/>
    </w:rPr>
  </w:style>
  <w:style w:type="paragraph" w:styleId="16">
    <w:name w:val="Body Text Indent 2"/>
    <w:basedOn w:val="1"/>
    <w:qFormat/>
    <w:uiPriority w:val="0"/>
    <w:pPr>
      <w:spacing w:after="120" w:line="480" w:lineRule="auto"/>
      <w:ind w:left="420" w:leftChars="200"/>
    </w:p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toc 9"/>
    <w:basedOn w:val="1"/>
    <w:next w:val="1"/>
    <w:qFormat/>
    <w:uiPriority w:val="39"/>
    <w:pPr>
      <w:ind w:left="1680"/>
      <w:jc w:val="left"/>
    </w:pPr>
    <w:rPr>
      <w:sz w:val="18"/>
      <w:szCs w:val="18"/>
    </w:rPr>
  </w:style>
  <w:style w:type="paragraph" w:styleId="22">
    <w:name w:val="Body Text 2"/>
    <w:basedOn w:val="1"/>
    <w:qFormat/>
    <w:uiPriority w:val="0"/>
    <w:rPr>
      <w:rFonts w:ascii="宋体"/>
      <w:sz w:val="13"/>
      <w:szCs w:val="20"/>
    </w:rPr>
  </w:style>
  <w:style w:type="paragraph" w:styleId="23">
    <w:name w:val="HTML Preformatted"/>
    <w:basedOn w:val="1"/>
    <w:unhideWhenUsed/>
    <w:qFormat/>
    <w:uiPriority w:val="99"/>
    <w:pPr>
      <w:spacing w:line="240" w:lineRule="auto"/>
      <w:ind w:firstLine="0" w:firstLineChars="0"/>
    </w:pPr>
    <w:rPr>
      <w:rFonts w:ascii="Courier New" w:hAnsi="Courier New" w:cs="Courier New"/>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kern w:val="0"/>
    </w:rPr>
  </w:style>
  <w:style w:type="paragraph" w:styleId="25">
    <w:name w:val="Title"/>
    <w:basedOn w:val="1"/>
    <w:next w:val="1"/>
    <w:qFormat/>
    <w:uiPriority w:val="10"/>
    <w:pPr>
      <w:spacing w:before="120" w:after="120"/>
      <w:ind w:firstLine="0" w:firstLineChars="0"/>
      <w:jc w:val="left"/>
      <w:outlineLvl w:val="0"/>
    </w:pPr>
    <w:rPr>
      <w:rFonts w:ascii="Cambria" w:hAnsi="Cambria" w:eastAsia="黑体" w:cs="Times New Roman"/>
      <w:bCs/>
      <w:sz w:val="36"/>
      <w:szCs w:val="32"/>
    </w:rPr>
  </w:style>
  <w:style w:type="paragraph" w:styleId="26">
    <w:name w:val="annotation subject"/>
    <w:basedOn w:val="10"/>
    <w:next w:val="1"/>
    <w:unhideWhenUsed/>
    <w:qFormat/>
    <w:uiPriority w:val="0"/>
    <w:pPr>
      <w:adjustRightInd/>
      <w:spacing w:line="240" w:lineRule="auto"/>
      <w:textAlignment w:val="auto"/>
    </w:pPr>
    <w:rPr>
      <w:b/>
      <w:bCs/>
      <w:kern w:val="2"/>
      <w:sz w:val="21"/>
      <w:szCs w:val="24"/>
    </w:rPr>
  </w:style>
  <w:style w:type="paragraph" w:styleId="27">
    <w:name w:val="Body Text First Indent"/>
    <w:basedOn w:val="11"/>
    <w:unhideWhenUsed/>
    <w:qFormat/>
    <w:uiPriority w:val="99"/>
    <w:pPr>
      <w:ind w:firstLine="420" w:firstLineChars="100"/>
    </w:pPr>
  </w:style>
  <w:style w:type="paragraph" w:styleId="28">
    <w:name w:val="Body Text First Indent 2"/>
    <w:basedOn w:val="12"/>
    <w:next w:val="1"/>
    <w:qFormat/>
    <w:uiPriority w:val="0"/>
    <w:pPr>
      <w:widowControl w:val="0"/>
      <w:ind w:firstLine="420" w:firstLineChars="200"/>
      <w:jc w:val="both"/>
    </w:pPr>
    <w:rPr>
      <w:kern w:val="2"/>
      <w:sz w:val="21"/>
      <w:szCs w:val="24"/>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qFormat/>
    <w:uiPriority w:val="0"/>
  </w:style>
  <w:style w:type="character" w:styleId="34">
    <w:name w:val="Hyperlink"/>
    <w:qFormat/>
    <w:uiPriority w:val="99"/>
    <w:rPr>
      <w:color w:val="0000FF"/>
      <w:u w:val="single"/>
    </w:rPr>
  </w:style>
  <w:style w:type="character" w:customStyle="1" w:styleId="35">
    <w:name w:val="标题 2 字符"/>
    <w:link w:val="3"/>
    <w:qFormat/>
    <w:uiPriority w:val="9"/>
    <w:rPr>
      <w:b/>
      <w:kern w:val="2"/>
      <w:sz w:val="30"/>
      <w:szCs w:val="24"/>
    </w:rPr>
  </w:style>
  <w:style w:type="paragraph" w:customStyle="1" w:styleId="36">
    <w:name w:val="Body text|1"/>
    <w:basedOn w:val="1"/>
    <w:qFormat/>
    <w:uiPriority w:val="99"/>
    <w:pPr>
      <w:spacing w:line="480" w:lineRule="auto"/>
    </w:pPr>
    <w:rPr>
      <w:rFonts w:ascii="宋体" w:hAnsi="宋体" w:cs="宋体"/>
      <w:sz w:val="22"/>
      <w:szCs w:val="22"/>
      <w:lang w:val="zh-TW" w:eastAsia="zh-TW"/>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NormalCharacter"/>
    <w:qFormat/>
    <w:uiPriority w:val="0"/>
  </w:style>
  <w:style w:type="paragraph" w:customStyle="1" w:styleId="40">
    <w:name w:val="正文样式"/>
    <w:basedOn w:val="1"/>
    <w:qFormat/>
    <w:uiPriority w:val="0"/>
    <w:pPr>
      <w:spacing w:line="360" w:lineRule="auto"/>
      <w:ind w:firstLine="567"/>
    </w:pPr>
    <w:rPr>
      <w:rFonts w:hAnsi="宋体"/>
      <w:kern w:val="0"/>
      <w:sz w:val="24"/>
    </w:rPr>
  </w:style>
  <w:style w:type="table" w:customStyle="1" w:styleId="41">
    <w:name w:val="Table Normal_0"/>
    <w:unhideWhenUsed/>
    <w:qFormat/>
    <w:uiPriority w:val="0"/>
    <w:rPr>
      <w:lang w:val="en-US" w:eastAsia="zh-CN" w:bidi="ar-SA"/>
    </w:rPr>
    <w:tblPr>
      <w:tblCellMar>
        <w:top w:w="0" w:type="dxa"/>
        <w:left w:w="0" w:type="dxa"/>
        <w:bottom w:w="0" w:type="dxa"/>
        <w:right w:w="0" w:type="dxa"/>
      </w:tblCellMar>
    </w:tblPr>
  </w:style>
  <w:style w:type="character" w:customStyle="1" w:styleId="42">
    <w:name w:val="grame"/>
    <w:qFormat/>
    <w:uiPriority w:val="0"/>
  </w:style>
  <w:style w:type="paragraph" w:customStyle="1" w:styleId="43">
    <w:name w:val="_Style 40"/>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样式1"/>
    <w:basedOn w:val="3"/>
    <w:link w:val="45"/>
    <w:qFormat/>
    <w:uiPriority w:val="0"/>
    <w:pPr>
      <w:tabs>
        <w:tab w:val="clear" w:pos="3999"/>
      </w:tabs>
      <w:spacing w:after="50"/>
      <w:ind w:left="0" w:firstLine="0"/>
      <w:jc w:val="left"/>
    </w:pPr>
  </w:style>
  <w:style w:type="character" w:customStyle="1" w:styleId="45">
    <w:name w:val="样式1 字符"/>
    <w:link w:val="44"/>
    <w:qFormat/>
    <w:uiPriority w:val="0"/>
  </w:style>
  <w:style w:type="paragraph" w:customStyle="1" w:styleId="46">
    <w:name w:val="图表目录1"/>
    <w:basedOn w:val="47"/>
    <w:next w:val="47"/>
    <w:qFormat/>
    <w:uiPriority w:val="0"/>
    <w:pPr>
      <w:spacing w:line="480" w:lineRule="exact"/>
      <w:ind w:left="200" w:leftChars="200" w:hanging="200" w:hangingChars="200"/>
    </w:pPr>
    <w:rPr>
      <w:color w:val="7030A0"/>
      <w:sz w:val="24"/>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46"/>
    <w:qFormat/>
    <w:uiPriority w:val="0"/>
    <w:rPr>
      <w:rFonts w:ascii="Calibri" w:hAnsi="Calibri" w:cs="宋体"/>
    </w:rPr>
  </w:style>
  <w:style w:type="character" w:customStyle="1" w:styleId="48">
    <w:name w:val="font51"/>
    <w:basedOn w:val="31"/>
    <w:qFormat/>
    <w:uiPriority w:val="0"/>
    <w:rPr>
      <w:rFonts w:hint="eastAsia" w:ascii="宋体" w:hAnsi="宋体" w:eastAsia="宋体" w:cs="宋体"/>
      <w:color w:val="000000"/>
      <w:sz w:val="20"/>
      <w:szCs w:val="20"/>
      <w:u w:val="none"/>
    </w:rPr>
  </w:style>
  <w:style w:type="paragraph" w:customStyle="1" w:styleId="49">
    <w:name w:val="_Style 2"/>
    <w:basedOn w:val="1"/>
    <w:qFormat/>
    <w:uiPriority w:val="0"/>
  </w:style>
  <w:style w:type="paragraph" w:customStyle="1" w:styleId="50">
    <w:name w:val="Table Text"/>
    <w:basedOn w:val="1"/>
    <w:semiHidden/>
    <w:qFormat/>
    <w:uiPriority w:val="0"/>
    <w:rPr>
      <w:rFonts w:ascii="宋体" w:hAnsi="宋体" w:eastAsia="宋体" w:cs="宋体"/>
      <w:sz w:val="20"/>
      <w:szCs w:val="20"/>
      <w:lang w:val="en-US" w:eastAsia="en-US" w:bidi="ar-SA"/>
    </w:rPr>
  </w:style>
  <w:style w:type="paragraph" w:customStyle="1" w:styleId="51">
    <w:name w:val="正文_4"/>
    <w:next w:val="28"/>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2">
    <w:name w:val="font41"/>
    <w:basedOn w:val="31"/>
    <w:qFormat/>
    <w:uiPriority w:val="0"/>
    <w:rPr>
      <w:rFonts w:hint="eastAsia" w:ascii="宋体" w:hAnsi="宋体" w:eastAsia="宋体" w:cs="宋体"/>
      <w:color w:val="000000"/>
      <w:sz w:val="22"/>
      <w:szCs w:val="22"/>
      <w:u w:val="none"/>
    </w:rPr>
  </w:style>
  <w:style w:type="paragraph" w:customStyle="1" w:styleId="53">
    <w:name w:val="公文正文"/>
    <w:basedOn w:val="7"/>
    <w:qFormat/>
    <w:uiPriority w:val="0"/>
    <w:pPr>
      <w:widowControl/>
      <w:spacing w:before="30" w:line="360" w:lineRule="auto"/>
      <w:ind w:firstLine="200" w:firstLineChars="200"/>
      <w:jc w:val="left"/>
    </w:pPr>
    <w:rPr>
      <w:rFonts w:ascii="Arial" w:hAnsi="Arial" w:eastAsia="方正仿宋_GBK"/>
      <w:spacing w:val="6"/>
      <w:sz w:val="30"/>
      <w:szCs w:val="28"/>
    </w:rPr>
  </w:style>
  <w:style w:type="paragraph" w:customStyle="1" w:styleId="54">
    <w:name w:val="xl23"/>
    <w:next w:val="2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character" w:customStyle="1" w:styleId="55">
    <w:name w:val="font11"/>
    <w:basedOn w:val="31"/>
    <w:qFormat/>
    <w:uiPriority w:val="0"/>
    <w:rPr>
      <w:rFonts w:hint="eastAsia" w:ascii="宋体" w:hAnsi="宋体" w:eastAsia="宋体" w:cs="宋体"/>
      <w:color w:val="000000"/>
      <w:sz w:val="21"/>
      <w:szCs w:val="21"/>
      <w:u w:val="none"/>
    </w:rPr>
  </w:style>
  <w:style w:type="paragraph" w:customStyle="1" w:styleId="56">
    <w:name w:val="列出段落2"/>
    <w:basedOn w:val="1"/>
    <w:qFormat/>
    <w:uiPriority w:val="34"/>
    <w:pPr>
      <w:spacing w:line="360" w:lineRule="atLeast"/>
      <w:ind w:firstLine="420"/>
      <w:jc w:val="left"/>
    </w:pPr>
    <w:rPr>
      <w:rFonts w:ascii="Tahoma" w:hAnsi="Tahoma"/>
      <w:color w:val="000000"/>
      <w:kern w:val="0"/>
      <w:sz w:val="24"/>
      <w:szCs w:val="20"/>
      <w:lang w:val="zh-CN"/>
    </w:rPr>
  </w:style>
  <w:style w:type="paragraph" w:customStyle="1" w:styleId="57">
    <w:name w:val="表格文字"/>
    <w:basedOn w:val="1"/>
    <w:qFormat/>
    <w:uiPriority w:val="0"/>
    <w:pPr>
      <w:spacing w:before="25" w:after="25"/>
      <w:jc w:val="left"/>
    </w:pPr>
    <w:rPr>
      <w:bCs/>
      <w:spacing w:val="10"/>
      <w:kern w:val="0"/>
      <w:sz w:val="24"/>
    </w:rPr>
  </w:style>
  <w:style w:type="paragraph" w:customStyle="1" w:styleId="58">
    <w:name w:val="A公文正文"/>
    <w:qFormat/>
    <w:uiPriority w:val="0"/>
    <w:pPr>
      <w:spacing w:line="580" w:lineRule="exact"/>
      <w:ind w:firstLine="880" w:firstLineChars="200"/>
      <w:jc w:val="both"/>
    </w:pPr>
    <w:rPr>
      <w:rFonts w:ascii="Times New Roman" w:hAnsi="Times New Roman" w:eastAsia="方正仿宋_GBK" w:cs="仿宋"/>
      <w:sz w:val="32"/>
      <w:szCs w:val="32"/>
      <w:lang w:val="en-US" w:eastAsia="zh-CN" w:bidi="ar-SA"/>
    </w:rPr>
  </w:style>
  <w:style w:type="paragraph" w:customStyle="1" w:styleId="59">
    <w:name w:val="Table Paragraph"/>
    <w:basedOn w:val="1"/>
    <w:qFormat/>
    <w:uiPriority w:val="0"/>
    <w:pPr>
      <w:framePr w:hSpace="180" w:wrap="around" w:vAnchor="text" w:hAnchor="page" w:xAlign="center" w:y="897"/>
      <w:suppressOverlap/>
      <w:autoSpaceDE w:val="0"/>
      <w:autoSpaceDN w:val="0"/>
      <w:spacing w:before="70" w:line="360" w:lineRule="auto"/>
      <w:jc w:val="left"/>
    </w:pPr>
    <w:rPr>
      <w:rFonts w:ascii="宋体" w:hAnsi="宋体" w:cs="华文中宋"/>
      <w:kern w:val="0"/>
      <w:sz w:val="24"/>
    </w:rPr>
  </w:style>
  <w:style w:type="character" w:customStyle="1" w:styleId="60">
    <w:name w:val="font31"/>
    <w:basedOn w:val="31"/>
    <w:qFormat/>
    <w:uiPriority w:val="0"/>
    <w:rPr>
      <w:rFonts w:hint="eastAsia" w:ascii="宋体" w:hAnsi="宋体" w:eastAsia="宋体" w:cs="宋体"/>
      <w:color w:val="000000"/>
      <w:sz w:val="22"/>
      <w:szCs w:val="22"/>
      <w:u w:val="none"/>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14490</Words>
  <Characters>17841</Characters>
  <Lines>474</Lines>
  <Paragraphs>133</Paragraphs>
  <TotalTime>54</TotalTime>
  <ScaleCrop>false</ScaleCrop>
  <LinksUpToDate>false</LinksUpToDate>
  <CharactersWithSpaces>18245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皮尔斯猪</cp:lastModifiedBy>
  <cp:lastPrinted>2025-04-28T01:00:00Z</cp:lastPrinted>
  <dcterms:modified xsi:type="dcterms:W3CDTF">2026-04-29T08:55:56Z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0E4E401042AC4A63947ACA9D51CC70E4_13</vt:lpwstr>
  </property>
  <property fmtid="{D5CDD505-2E9C-101B-9397-08002B2CF9AE}" pid="3" name="KSOProductBuildVer">
    <vt:lpwstr>2052-12.1.0.25865</vt:lpwstr>
  </property>
  <property fmtid="{D5CDD505-2E9C-101B-9397-08002B2CF9AE}" pid="4" name="KSOTemplateDocerSaveRecord">
    <vt:lpwstr>eyJoZGlkIjoiM2Y3NjljNjVhNzlmMTk1MDAzM2IwNTg3YjkxZjVhNTUiLCJ1c2VySWQiOiI3NTM2OTgxNDkifQ==</vt:lpwstr>
  </property>
</Properties>
</file>