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23D45">
      <w:pPr>
        <w:shd w:val="clear"/>
        <w:jc w:val="center"/>
        <w:rPr>
          <w:rFonts w:hint="eastAsia" w:ascii="仿宋" w:hAnsi="仿宋" w:eastAsia="仿宋" w:cs="仿宋"/>
          <w:b/>
          <w:color w:val="auto"/>
          <w:sz w:val="48"/>
          <w:szCs w:val="48"/>
          <w:highlight w:val="none"/>
          <w:lang w:eastAsia="zh-CN"/>
        </w:rPr>
      </w:pPr>
      <w:r>
        <w:rPr>
          <w:rFonts w:hint="eastAsia" w:ascii="仿宋" w:hAnsi="仿宋" w:eastAsia="仿宋" w:cs="仿宋"/>
          <w:b/>
          <w:color w:val="auto"/>
          <w:sz w:val="48"/>
          <w:szCs w:val="48"/>
          <w:highlight w:val="none"/>
          <w:lang w:eastAsia="zh-CN"/>
        </w:rPr>
        <w:t>嵊州市教育体育局市属学校综合安保服务采购项目</w:t>
      </w:r>
    </w:p>
    <w:p w14:paraId="33C0BDB5">
      <w:pPr>
        <w:shd w:val="clear"/>
        <w:jc w:val="center"/>
        <w:rPr>
          <w:rFonts w:hint="eastAsia" w:ascii="仿宋" w:hAnsi="仿宋" w:eastAsia="仿宋" w:cs="仿宋"/>
          <w:b/>
          <w:color w:val="auto"/>
          <w:sz w:val="32"/>
          <w:szCs w:val="32"/>
          <w:highlight w:val="none"/>
        </w:rPr>
      </w:pPr>
    </w:p>
    <w:p w14:paraId="6A0CA966">
      <w:pPr>
        <w:shd w:val="clear"/>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项目编号:</w:t>
      </w:r>
      <w:r>
        <w:rPr>
          <w:rFonts w:hint="eastAsia" w:ascii="仿宋" w:hAnsi="仿宋" w:eastAsia="仿宋" w:cs="仿宋"/>
          <w:b/>
          <w:color w:val="auto"/>
          <w:sz w:val="32"/>
          <w:szCs w:val="32"/>
          <w:highlight w:val="none"/>
          <w:lang w:eastAsia="zh-CN"/>
        </w:rPr>
        <w:t>330683263030010000010-SXWH2026-4-3</w:t>
      </w:r>
    </w:p>
    <w:p w14:paraId="07D1EE91">
      <w:pPr>
        <w:shd w:val="clear"/>
        <w:jc w:val="center"/>
        <w:outlineLvl w:val="0"/>
        <w:rPr>
          <w:rFonts w:hint="eastAsia" w:ascii="仿宋" w:hAnsi="仿宋" w:eastAsia="仿宋" w:cs="仿宋"/>
          <w:b/>
          <w:color w:val="auto"/>
          <w:sz w:val="52"/>
          <w:szCs w:val="52"/>
          <w:highlight w:val="none"/>
        </w:rPr>
      </w:pPr>
    </w:p>
    <w:p w14:paraId="29164FBD">
      <w:pPr>
        <w:shd w:val="clear"/>
        <w:jc w:val="center"/>
        <w:outlineLvl w:val="0"/>
        <w:rPr>
          <w:rFonts w:hint="eastAsia" w:ascii="仿宋" w:hAnsi="仿宋" w:eastAsia="仿宋" w:cs="仿宋"/>
          <w:b/>
          <w:color w:val="auto"/>
          <w:sz w:val="52"/>
          <w:szCs w:val="52"/>
          <w:highlight w:val="none"/>
        </w:rPr>
      </w:pPr>
    </w:p>
    <w:p w14:paraId="4BD858AA">
      <w:pPr>
        <w:shd w:val="clear"/>
        <w:jc w:val="center"/>
        <w:outlineLvl w:val="0"/>
        <w:rPr>
          <w:rFonts w:hint="eastAsia" w:ascii="仿宋" w:hAnsi="仿宋" w:eastAsia="仿宋" w:cs="仿宋"/>
          <w:b/>
          <w:color w:val="auto"/>
          <w:sz w:val="52"/>
          <w:szCs w:val="52"/>
          <w:highlight w:val="none"/>
        </w:rPr>
      </w:pPr>
    </w:p>
    <w:p w14:paraId="62171952">
      <w:pPr>
        <w:shd w:val="clear"/>
        <w:jc w:val="center"/>
        <w:outlineLvl w:val="0"/>
        <w:rPr>
          <w:rFonts w:hint="eastAsia" w:ascii="仿宋" w:hAnsi="仿宋" w:eastAsia="仿宋" w:cs="仿宋"/>
          <w:b/>
          <w:color w:val="auto"/>
          <w:sz w:val="52"/>
          <w:szCs w:val="52"/>
          <w:highlight w:val="none"/>
        </w:rPr>
      </w:pPr>
    </w:p>
    <w:p w14:paraId="7696328D">
      <w:pPr>
        <w:shd w:val="clear"/>
        <w:jc w:val="center"/>
        <w:outlineLvl w:val="0"/>
        <w:rPr>
          <w:rFonts w:hint="eastAsia" w:ascii="仿宋" w:hAnsi="仿宋" w:eastAsia="仿宋" w:cs="仿宋"/>
          <w:b/>
          <w:color w:val="auto"/>
          <w:sz w:val="52"/>
          <w:szCs w:val="52"/>
          <w:highlight w:val="none"/>
        </w:rPr>
      </w:pPr>
    </w:p>
    <w:p w14:paraId="3500307D">
      <w:pPr>
        <w:shd w:val="clear"/>
        <w:jc w:val="center"/>
        <w:outlineLvl w:val="0"/>
        <w:rPr>
          <w:rFonts w:hint="eastAsia" w:ascii="仿宋" w:hAnsi="仿宋" w:eastAsia="仿宋" w:cs="仿宋"/>
          <w:b/>
          <w:color w:val="auto"/>
          <w:sz w:val="56"/>
          <w:szCs w:val="56"/>
          <w:highlight w:val="none"/>
        </w:rPr>
      </w:pPr>
    </w:p>
    <w:p w14:paraId="3A5F2CBF">
      <w:pPr>
        <w:shd w:val="clear"/>
        <w:jc w:val="center"/>
        <w:outlineLvl w:val="0"/>
        <w:rPr>
          <w:rFonts w:hint="eastAsia" w:ascii="仿宋" w:hAnsi="仿宋" w:eastAsia="仿宋" w:cs="仿宋"/>
          <w:color w:val="auto"/>
          <w:sz w:val="44"/>
          <w:highlight w:val="none"/>
        </w:rPr>
      </w:pPr>
      <w:r>
        <w:rPr>
          <w:rFonts w:hint="eastAsia" w:ascii="仿宋" w:hAnsi="仿宋" w:eastAsia="仿宋" w:cs="仿宋"/>
          <w:b/>
          <w:color w:val="auto"/>
          <w:sz w:val="56"/>
          <w:szCs w:val="56"/>
          <w:highlight w:val="none"/>
        </w:rPr>
        <w:t>公开招标文件</w:t>
      </w:r>
    </w:p>
    <w:p w14:paraId="6F6783AA">
      <w:pPr>
        <w:shd w:val="clear"/>
        <w:adjustRightInd/>
        <w:spacing w:line="360" w:lineRule="auto"/>
        <w:jc w:val="center"/>
        <w:rPr>
          <w:color w:val="auto"/>
          <w:highlight w:val="none"/>
        </w:rPr>
      </w:pPr>
      <w:r>
        <w:rPr>
          <w:rFonts w:hint="eastAsia" w:ascii="仿宋" w:hAnsi="仿宋" w:eastAsia="仿宋" w:cs="仿宋"/>
          <w:b/>
          <w:color w:val="auto"/>
          <w:sz w:val="44"/>
          <w:szCs w:val="44"/>
          <w:highlight w:val="none"/>
        </w:rPr>
        <w:t>（电子招投标）</w:t>
      </w:r>
    </w:p>
    <w:p w14:paraId="6036F220">
      <w:pPr>
        <w:pStyle w:val="32"/>
        <w:shd w:val="clear"/>
        <w:rPr>
          <w:color w:val="auto"/>
          <w:highlight w:val="none"/>
        </w:rPr>
      </w:pPr>
    </w:p>
    <w:p w14:paraId="0E8701D0">
      <w:pPr>
        <w:pStyle w:val="32"/>
        <w:shd w:val="clear"/>
        <w:rPr>
          <w:color w:val="auto"/>
          <w:highlight w:val="none"/>
        </w:rPr>
      </w:pPr>
    </w:p>
    <w:p w14:paraId="647726FA">
      <w:pPr>
        <w:pStyle w:val="33"/>
        <w:shd w:val="clear"/>
        <w:rPr>
          <w:color w:val="auto"/>
          <w:highlight w:val="none"/>
        </w:rPr>
      </w:pPr>
    </w:p>
    <w:p w14:paraId="725A3C3D">
      <w:pPr>
        <w:shd w:val="clear"/>
        <w:rPr>
          <w:color w:val="auto"/>
          <w:highlight w:val="none"/>
        </w:rPr>
      </w:pPr>
    </w:p>
    <w:p w14:paraId="339BFAAD">
      <w:pPr>
        <w:shd w:val="clear"/>
        <w:rPr>
          <w:color w:val="auto"/>
          <w:highlight w:val="none"/>
        </w:rPr>
      </w:pPr>
    </w:p>
    <w:p w14:paraId="07A3D0A7">
      <w:pPr>
        <w:shd w:val="clear"/>
        <w:rPr>
          <w:color w:val="auto"/>
          <w:highlight w:val="none"/>
        </w:rPr>
      </w:pPr>
    </w:p>
    <w:p w14:paraId="13776D59">
      <w:pPr>
        <w:shd w:val="clear"/>
        <w:rPr>
          <w:color w:val="auto"/>
          <w:highlight w:val="none"/>
        </w:rPr>
      </w:pPr>
    </w:p>
    <w:p w14:paraId="6BD0E563">
      <w:pPr>
        <w:shd w:val="clear"/>
        <w:rPr>
          <w:color w:val="auto"/>
          <w:highlight w:val="none"/>
        </w:rPr>
      </w:pPr>
    </w:p>
    <w:p w14:paraId="795E0A43">
      <w:pPr>
        <w:shd w:val="clear"/>
        <w:rPr>
          <w:color w:val="auto"/>
          <w:highlight w:val="none"/>
        </w:rPr>
      </w:pPr>
    </w:p>
    <w:p w14:paraId="7A142783">
      <w:pPr>
        <w:shd w:val="clear"/>
        <w:rPr>
          <w:color w:val="auto"/>
          <w:highlight w:val="none"/>
        </w:rPr>
      </w:pPr>
    </w:p>
    <w:p w14:paraId="34A6D14F">
      <w:pPr>
        <w:pStyle w:val="32"/>
        <w:shd w:val="clear"/>
        <w:rPr>
          <w:color w:val="auto"/>
          <w:highlight w:val="none"/>
        </w:rPr>
      </w:pPr>
    </w:p>
    <w:p w14:paraId="57442993">
      <w:pPr>
        <w:pStyle w:val="32"/>
        <w:shd w:val="clear"/>
        <w:rPr>
          <w:color w:val="auto"/>
          <w:highlight w:val="none"/>
        </w:rPr>
      </w:pPr>
    </w:p>
    <w:p w14:paraId="403482C8">
      <w:pPr>
        <w:pStyle w:val="32"/>
        <w:shd w:val="clear"/>
        <w:rPr>
          <w:color w:val="auto"/>
          <w:highlight w:val="none"/>
        </w:rPr>
      </w:pPr>
    </w:p>
    <w:tbl>
      <w:tblPr>
        <w:tblStyle w:val="25"/>
        <w:tblW w:w="7919" w:type="dxa"/>
        <w:jc w:val="center"/>
        <w:tblLayout w:type="fixed"/>
        <w:tblCellMar>
          <w:top w:w="0" w:type="dxa"/>
          <w:left w:w="108" w:type="dxa"/>
          <w:bottom w:w="0" w:type="dxa"/>
          <w:right w:w="108" w:type="dxa"/>
        </w:tblCellMar>
      </w:tblPr>
      <w:tblGrid>
        <w:gridCol w:w="2533"/>
        <w:gridCol w:w="5386"/>
      </w:tblGrid>
      <w:tr w14:paraId="5A01F807">
        <w:tblPrEx>
          <w:tblCellMar>
            <w:top w:w="0" w:type="dxa"/>
            <w:left w:w="108" w:type="dxa"/>
            <w:bottom w:w="0" w:type="dxa"/>
            <w:right w:w="108" w:type="dxa"/>
          </w:tblCellMar>
        </w:tblPrEx>
        <w:trPr>
          <w:trHeight w:val="610" w:hRule="atLeast"/>
          <w:jc w:val="center"/>
        </w:trPr>
        <w:tc>
          <w:tcPr>
            <w:tcW w:w="2533" w:type="dxa"/>
          </w:tcPr>
          <w:p w14:paraId="63489F4E">
            <w:pPr>
              <w:shd w:val="clear"/>
              <w:spacing w:line="56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pacing w:val="93"/>
                <w:kern w:val="0"/>
                <w:sz w:val="32"/>
                <w:szCs w:val="32"/>
                <w:highlight w:val="none"/>
              </w:rPr>
              <w:t>采购单</w:t>
            </w:r>
            <w:r>
              <w:rPr>
                <w:rFonts w:hint="eastAsia" w:ascii="仿宋" w:hAnsi="仿宋" w:eastAsia="仿宋" w:cs="仿宋"/>
                <w:b/>
                <w:bCs/>
                <w:color w:val="auto"/>
                <w:spacing w:val="1"/>
                <w:kern w:val="0"/>
                <w:sz w:val="32"/>
                <w:szCs w:val="32"/>
                <w:highlight w:val="none"/>
              </w:rPr>
              <w:t>位</w:t>
            </w:r>
            <w:r>
              <w:rPr>
                <w:rFonts w:hint="eastAsia" w:ascii="仿宋" w:hAnsi="仿宋" w:eastAsia="仿宋" w:cs="仿宋"/>
                <w:b/>
                <w:bCs/>
                <w:color w:val="auto"/>
                <w:sz w:val="32"/>
                <w:szCs w:val="32"/>
                <w:highlight w:val="none"/>
              </w:rPr>
              <w:t>：</w:t>
            </w:r>
          </w:p>
        </w:tc>
        <w:tc>
          <w:tcPr>
            <w:tcW w:w="5386" w:type="dxa"/>
            <w:vAlign w:val="center"/>
          </w:tcPr>
          <w:p w14:paraId="001339EB">
            <w:pPr>
              <w:shd w:val="clear"/>
              <w:spacing w:line="560" w:lineRule="exact"/>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嵊州市教育体育局</w:t>
            </w:r>
          </w:p>
        </w:tc>
      </w:tr>
      <w:tr w14:paraId="10609A5B">
        <w:tblPrEx>
          <w:tblCellMar>
            <w:top w:w="0" w:type="dxa"/>
            <w:left w:w="108" w:type="dxa"/>
            <w:bottom w:w="0" w:type="dxa"/>
            <w:right w:w="108" w:type="dxa"/>
          </w:tblCellMar>
        </w:tblPrEx>
        <w:trPr>
          <w:trHeight w:val="610" w:hRule="atLeast"/>
          <w:jc w:val="center"/>
        </w:trPr>
        <w:tc>
          <w:tcPr>
            <w:tcW w:w="2533" w:type="dxa"/>
          </w:tcPr>
          <w:p w14:paraId="38FFC85D">
            <w:pPr>
              <w:shd w:val="clear"/>
              <w:spacing w:line="56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pacing w:val="0"/>
                <w:w w:val="87"/>
                <w:kern w:val="0"/>
                <w:sz w:val="32"/>
                <w:szCs w:val="32"/>
                <w:highlight w:val="none"/>
                <w:fitText w:val="1680" w:id="1725327250"/>
              </w:rPr>
              <w:t>采购代理机</w:t>
            </w:r>
            <w:r>
              <w:rPr>
                <w:rFonts w:hint="eastAsia" w:ascii="仿宋" w:hAnsi="仿宋" w:eastAsia="仿宋" w:cs="仿宋"/>
                <w:b/>
                <w:bCs/>
                <w:color w:val="auto"/>
                <w:spacing w:val="-3"/>
                <w:w w:val="87"/>
                <w:kern w:val="0"/>
                <w:sz w:val="32"/>
                <w:szCs w:val="32"/>
                <w:highlight w:val="none"/>
                <w:fitText w:val="1680" w:id="1725327250"/>
              </w:rPr>
              <w:t>构</w:t>
            </w:r>
            <w:r>
              <w:rPr>
                <w:rFonts w:hint="eastAsia" w:ascii="仿宋" w:hAnsi="仿宋" w:eastAsia="仿宋" w:cs="仿宋"/>
                <w:b/>
                <w:bCs/>
                <w:color w:val="auto"/>
                <w:sz w:val="32"/>
                <w:szCs w:val="32"/>
                <w:highlight w:val="none"/>
              </w:rPr>
              <w:t>：</w:t>
            </w:r>
          </w:p>
        </w:tc>
        <w:tc>
          <w:tcPr>
            <w:tcW w:w="5386" w:type="dxa"/>
          </w:tcPr>
          <w:p w14:paraId="4F0D431B">
            <w:pPr>
              <w:shd w:val="clear"/>
              <w:spacing w:line="56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绍兴市文汇项目管理有限公司</w:t>
            </w:r>
          </w:p>
        </w:tc>
      </w:tr>
      <w:tr w14:paraId="04A5E7AB">
        <w:tblPrEx>
          <w:tblCellMar>
            <w:top w:w="0" w:type="dxa"/>
            <w:left w:w="108" w:type="dxa"/>
            <w:bottom w:w="0" w:type="dxa"/>
            <w:right w:w="108" w:type="dxa"/>
          </w:tblCellMar>
        </w:tblPrEx>
        <w:trPr>
          <w:trHeight w:val="610" w:hRule="atLeast"/>
          <w:jc w:val="center"/>
        </w:trPr>
        <w:tc>
          <w:tcPr>
            <w:tcW w:w="2533" w:type="dxa"/>
            <w:vAlign w:val="center"/>
          </w:tcPr>
          <w:p w14:paraId="6A3A4487">
            <w:pPr>
              <w:shd w:val="clear"/>
              <w:spacing w:line="56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pacing w:val="66"/>
                <w:kern w:val="0"/>
                <w:sz w:val="32"/>
                <w:szCs w:val="32"/>
                <w:highlight w:val="none"/>
                <w:fitText w:val="1680" w:id="963535073"/>
              </w:rPr>
              <w:t>监督单</w:t>
            </w:r>
            <w:r>
              <w:rPr>
                <w:rFonts w:hint="eastAsia" w:ascii="仿宋" w:hAnsi="仿宋" w:eastAsia="仿宋" w:cs="仿宋"/>
                <w:b/>
                <w:bCs/>
                <w:color w:val="auto"/>
                <w:spacing w:val="2"/>
                <w:kern w:val="0"/>
                <w:sz w:val="32"/>
                <w:szCs w:val="32"/>
                <w:highlight w:val="none"/>
                <w:fitText w:val="1680" w:id="963535073"/>
              </w:rPr>
              <w:t>位</w:t>
            </w:r>
            <w:r>
              <w:rPr>
                <w:rFonts w:hint="eastAsia" w:ascii="仿宋" w:hAnsi="仿宋" w:eastAsia="仿宋" w:cs="仿宋"/>
                <w:b/>
                <w:bCs/>
                <w:color w:val="auto"/>
                <w:sz w:val="32"/>
                <w:szCs w:val="32"/>
                <w:highlight w:val="none"/>
              </w:rPr>
              <w:t>：</w:t>
            </w:r>
          </w:p>
        </w:tc>
        <w:tc>
          <w:tcPr>
            <w:tcW w:w="5386" w:type="dxa"/>
          </w:tcPr>
          <w:p w14:paraId="4948FC0E">
            <w:pPr>
              <w:shd w:val="clear"/>
              <w:spacing w:line="56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嵊州市采购监管</w:t>
            </w:r>
          </w:p>
        </w:tc>
      </w:tr>
      <w:tr w14:paraId="5DC3DEAA">
        <w:tblPrEx>
          <w:tblCellMar>
            <w:top w:w="0" w:type="dxa"/>
            <w:left w:w="108" w:type="dxa"/>
            <w:bottom w:w="0" w:type="dxa"/>
            <w:right w:w="108" w:type="dxa"/>
          </w:tblCellMar>
        </w:tblPrEx>
        <w:trPr>
          <w:trHeight w:val="610" w:hRule="atLeast"/>
          <w:jc w:val="center"/>
        </w:trPr>
        <w:tc>
          <w:tcPr>
            <w:tcW w:w="7919" w:type="dxa"/>
            <w:gridSpan w:val="2"/>
          </w:tcPr>
          <w:p w14:paraId="26B2720B">
            <w:pPr>
              <w:shd w:val="clear"/>
              <w:spacing w:line="56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二○二六年</w:t>
            </w:r>
            <w:r>
              <w:rPr>
                <w:rFonts w:hint="eastAsia" w:ascii="仿宋" w:hAnsi="仿宋" w:eastAsia="仿宋" w:cs="仿宋"/>
                <w:b/>
                <w:bCs/>
                <w:color w:val="auto"/>
                <w:sz w:val="32"/>
                <w:szCs w:val="32"/>
                <w:highlight w:val="none"/>
                <w:lang w:val="en-US" w:eastAsia="zh-CN"/>
              </w:rPr>
              <w:t>五</w:t>
            </w:r>
            <w:r>
              <w:rPr>
                <w:rFonts w:hint="eastAsia" w:ascii="仿宋" w:hAnsi="仿宋" w:eastAsia="仿宋" w:cs="仿宋"/>
                <w:b/>
                <w:bCs/>
                <w:color w:val="auto"/>
                <w:sz w:val="32"/>
                <w:szCs w:val="32"/>
                <w:highlight w:val="none"/>
              </w:rPr>
              <w:t>月</w:t>
            </w:r>
          </w:p>
        </w:tc>
      </w:tr>
    </w:tbl>
    <w:p w14:paraId="6629BF25">
      <w:pPr>
        <w:pStyle w:val="34"/>
        <w:shd w:val="clear"/>
        <w:rPr>
          <w:rFonts w:hint="eastAsia" w:ascii="仿宋" w:hAnsi="仿宋" w:eastAsia="仿宋" w:cs="仿宋"/>
          <w:color w:val="auto"/>
          <w:highlight w:val="none"/>
        </w:rPr>
        <w:sectPr>
          <w:headerReference r:id="rId4" w:type="first"/>
          <w:footerReference r:id="rId7" w:type="first"/>
          <w:headerReference r:id="rId3" w:type="default"/>
          <w:footerReference r:id="rId5" w:type="default"/>
          <w:footerReference r:id="rId6" w:type="even"/>
          <w:pgSz w:w="11906" w:h="16838"/>
          <w:pgMar w:top="1474" w:right="1519" w:bottom="1474" w:left="1678" w:header="851" w:footer="992" w:gutter="0"/>
          <w:cols w:space="720" w:num="1"/>
          <w:titlePg/>
          <w:docGrid w:linePitch="312" w:charSpace="0"/>
        </w:sectPr>
      </w:pPr>
    </w:p>
    <w:p w14:paraId="4665BF3E">
      <w:pPr>
        <w:pStyle w:val="34"/>
        <w:shd w:val="clear"/>
        <w:spacing w:before="0" w:after="0" w:line="360" w:lineRule="auto"/>
        <w:ind w:left="0" w:firstLine="0"/>
        <w:rPr>
          <w:rFonts w:hint="eastAsia" w:ascii="仿宋" w:hAnsi="仿宋" w:eastAsia="仿宋" w:cs="仿宋"/>
          <w:color w:val="auto"/>
          <w:highlight w:val="none"/>
        </w:rPr>
      </w:pPr>
    </w:p>
    <w:p w14:paraId="319EE159">
      <w:pPr>
        <w:shd w:val="clear"/>
        <w:spacing w:line="360" w:lineRule="auto"/>
        <w:jc w:val="center"/>
        <w:rPr>
          <w:rFonts w:hint="eastAsia" w:ascii="仿宋" w:hAnsi="仿宋" w:eastAsia="仿宋" w:cs="仿宋"/>
          <w:b/>
          <w:color w:val="auto"/>
          <w:sz w:val="44"/>
          <w:szCs w:val="44"/>
          <w:highlight w:val="none"/>
        </w:rPr>
      </w:pPr>
      <w:bookmarkStart w:id="0" w:name="_Hlt91233176"/>
      <w:bookmarkEnd w:id="0"/>
      <w:bookmarkStart w:id="1" w:name="_Toc91899869"/>
      <w:r>
        <w:rPr>
          <w:rFonts w:hint="eastAsia" w:ascii="仿宋" w:hAnsi="仿宋" w:eastAsia="仿宋" w:cs="仿宋"/>
          <w:b/>
          <w:color w:val="auto"/>
          <w:sz w:val="44"/>
          <w:szCs w:val="44"/>
          <w:highlight w:val="none"/>
        </w:rPr>
        <w:t>目录</w:t>
      </w:r>
    </w:p>
    <w:p w14:paraId="6C9F3723">
      <w:pPr>
        <w:shd w:val="clear"/>
        <w:spacing w:line="360" w:lineRule="auto"/>
        <w:jc w:val="center"/>
        <w:rPr>
          <w:rFonts w:hint="eastAsia" w:ascii="仿宋" w:hAnsi="仿宋" w:eastAsia="仿宋" w:cs="仿宋"/>
          <w:b/>
          <w:color w:val="auto"/>
          <w:sz w:val="44"/>
          <w:szCs w:val="44"/>
          <w:highlight w:val="none"/>
        </w:rPr>
      </w:pPr>
    </w:p>
    <w:p w14:paraId="7D81CAC5">
      <w:pPr>
        <w:shd w:val="clear"/>
        <w:spacing w:line="360" w:lineRule="auto"/>
        <w:jc w:val="center"/>
        <w:rPr>
          <w:rFonts w:hint="eastAsia" w:ascii="仿宋" w:hAnsi="仿宋" w:eastAsia="仿宋" w:cs="仿宋"/>
          <w:color w:val="auto"/>
          <w:highlight w:val="none"/>
        </w:rPr>
      </w:pPr>
    </w:p>
    <w:p w14:paraId="79FFF081">
      <w:pPr>
        <w:shd w:val="clear"/>
        <w:snapToGrid w:val="0"/>
        <w:spacing w:line="360" w:lineRule="auto"/>
        <w:ind w:firstLine="1807" w:firstLineChars="500"/>
        <w:jc w:val="lef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第一部分    招标公告</w:t>
      </w:r>
    </w:p>
    <w:p w14:paraId="1B08373E">
      <w:pPr>
        <w:shd w:val="clear"/>
        <w:snapToGrid w:val="0"/>
        <w:spacing w:line="360" w:lineRule="auto"/>
        <w:ind w:firstLine="1807" w:firstLineChars="500"/>
        <w:jc w:val="lef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第二部分    投标须知</w:t>
      </w:r>
    </w:p>
    <w:p w14:paraId="4ED3B204">
      <w:pPr>
        <w:shd w:val="clear"/>
        <w:snapToGrid w:val="0"/>
        <w:spacing w:line="360" w:lineRule="auto"/>
        <w:ind w:firstLine="1807" w:firstLineChars="500"/>
        <w:jc w:val="lef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第三部分    招标项目范围及要求</w:t>
      </w:r>
    </w:p>
    <w:p w14:paraId="3A8FD215">
      <w:pPr>
        <w:shd w:val="clear"/>
        <w:snapToGrid w:val="0"/>
        <w:spacing w:line="360" w:lineRule="auto"/>
        <w:ind w:firstLine="1807" w:firstLineChars="500"/>
        <w:jc w:val="lef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第四部分    合同的主要条款</w:t>
      </w:r>
    </w:p>
    <w:p w14:paraId="7C6C7696">
      <w:pPr>
        <w:shd w:val="clear"/>
        <w:snapToGrid w:val="0"/>
        <w:spacing w:line="360" w:lineRule="auto"/>
        <w:ind w:firstLine="1807" w:firstLineChars="500"/>
        <w:jc w:val="lef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第五部分    评标方法及标准</w:t>
      </w:r>
    </w:p>
    <w:p w14:paraId="59974095">
      <w:pPr>
        <w:shd w:val="clear"/>
        <w:snapToGrid w:val="0"/>
        <w:spacing w:line="360" w:lineRule="auto"/>
        <w:ind w:firstLine="1807" w:firstLineChars="500"/>
        <w:jc w:val="lef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第六部分    投标文件及其附件格式</w:t>
      </w:r>
    </w:p>
    <w:p w14:paraId="0B6EAE13">
      <w:pPr>
        <w:shd w:val="clear"/>
        <w:spacing w:line="360" w:lineRule="auto"/>
        <w:ind w:firstLine="549" w:firstLineChars="229"/>
        <w:rPr>
          <w:rFonts w:hint="eastAsia" w:ascii="仿宋" w:hAnsi="仿宋" w:eastAsia="仿宋" w:cs="仿宋"/>
          <w:color w:val="auto"/>
          <w:sz w:val="24"/>
          <w:highlight w:val="none"/>
        </w:rPr>
      </w:pPr>
    </w:p>
    <w:p w14:paraId="12CE48E2">
      <w:pPr>
        <w:shd w:val="clear"/>
        <w:spacing w:line="360" w:lineRule="auto"/>
        <w:ind w:firstLine="549" w:firstLineChars="229"/>
        <w:rPr>
          <w:rFonts w:hint="eastAsia" w:ascii="仿宋" w:hAnsi="仿宋" w:eastAsia="仿宋" w:cs="仿宋"/>
          <w:color w:val="auto"/>
          <w:sz w:val="24"/>
          <w:highlight w:val="none"/>
        </w:rPr>
      </w:pPr>
    </w:p>
    <w:p w14:paraId="4949CCA8">
      <w:pPr>
        <w:shd w:val="clear"/>
        <w:spacing w:line="360" w:lineRule="auto"/>
        <w:ind w:firstLine="549" w:firstLineChars="229"/>
        <w:rPr>
          <w:rFonts w:hint="eastAsia" w:ascii="仿宋" w:hAnsi="仿宋" w:eastAsia="仿宋" w:cs="仿宋"/>
          <w:color w:val="auto"/>
          <w:sz w:val="24"/>
          <w:highlight w:val="none"/>
        </w:rPr>
      </w:pPr>
    </w:p>
    <w:p w14:paraId="5F0C05ED">
      <w:pPr>
        <w:shd w:val="clear"/>
        <w:spacing w:line="360" w:lineRule="auto"/>
        <w:ind w:firstLine="549" w:firstLineChars="229"/>
        <w:rPr>
          <w:rFonts w:hint="eastAsia" w:ascii="仿宋" w:hAnsi="仿宋" w:eastAsia="仿宋" w:cs="仿宋"/>
          <w:color w:val="auto"/>
          <w:sz w:val="24"/>
          <w:highlight w:val="none"/>
        </w:rPr>
      </w:pPr>
    </w:p>
    <w:p w14:paraId="4B241C59">
      <w:pPr>
        <w:shd w:val="clear"/>
        <w:spacing w:line="360" w:lineRule="auto"/>
        <w:ind w:firstLine="549" w:firstLineChars="229"/>
        <w:rPr>
          <w:rFonts w:hint="eastAsia" w:ascii="仿宋" w:hAnsi="仿宋" w:eastAsia="仿宋" w:cs="仿宋"/>
          <w:color w:val="auto"/>
          <w:sz w:val="24"/>
          <w:highlight w:val="none"/>
        </w:rPr>
      </w:pPr>
    </w:p>
    <w:p w14:paraId="6288A856">
      <w:pPr>
        <w:shd w:val="clear"/>
        <w:spacing w:line="360" w:lineRule="auto"/>
        <w:ind w:firstLine="549" w:firstLineChars="229"/>
        <w:rPr>
          <w:rFonts w:hint="eastAsia" w:ascii="仿宋" w:hAnsi="仿宋" w:eastAsia="仿宋" w:cs="仿宋"/>
          <w:color w:val="auto"/>
          <w:sz w:val="24"/>
          <w:highlight w:val="none"/>
        </w:rPr>
      </w:pPr>
    </w:p>
    <w:p w14:paraId="3C05BE79">
      <w:pPr>
        <w:shd w:val="clear"/>
        <w:spacing w:line="360" w:lineRule="auto"/>
        <w:ind w:firstLine="549" w:firstLineChars="229"/>
        <w:rPr>
          <w:rFonts w:hint="eastAsia" w:ascii="仿宋" w:hAnsi="仿宋" w:eastAsia="仿宋" w:cs="仿宋"/>
          <w:color w:val="auto"/>
          <w:sz w:val="24"/>
          <w:highlight w:val="none"/>
        </w:rPr>
      </w:pPr>
    </w:p>
    <w:p w14:paraId="280C3BDF">
      <w:pPr>
        <w:shd w:val="clear"/>
        <w:spacing w:line="360" w:lineRule="auto"/>
        <w:ind w:firstLine="549" w:firstLineChars="229"/>
        <w:rPr>
          <w:rFonts w:hint="eastAsia" w:ascii="仿宋" w:hAnsi="仿宋" w:eastAsia="仿宋" w:cs="仿宋"/>
          <w:color w:val="auto"/>
          <w:sz w:val="24"/>
          <w:highlight w:val="none"/>
        </w:rPr>
      </w:pPr>
    </w:p>
    <w:p w14:paraId="1B0C459C">
      <w:pPr>
        <w:shd w:val="clear"/>
        <w:spacing w:line="360" w:lineRule="auto"/>
        <w:ind w:firstLine="549" w:firstLineChars="229"/>
        <w:rPr>
          <w:rFonts w:hint="eastAsia" w:ascii="仿宋" w:hAnsi="仿宋" w:eastAsia="仿宋" w:cs="仿宋"/>
          <w:color w:val="auto"/>
          <w:sz w:val="24"/>
          <w:highlight w:val="none"/>
        </w:rPr>
      </w:pPr>
    </w:p>
    <w:p w14:paraId="293968AF">
      <w:pPr>
        <w:shd w:val="clear"/>
        <w:spacing w:line="360" w:lineRule="auto"/>
        <w:ind w:firstLine="549" w:firstLineChars="229"/>
        <w:rPr>
          <w:rFonts w:hint="eastAsia" w:ascii="仿宋" w:hAnsi="仿宋" w:eastAsia="仿宋" w:cs="仿宋"/>
          <w:color w:val="auto"/>
          <w:sz w:val="24"/>
          <w:highlight w:val="none"/>
        </w:rPr>
      </w:pPr>
    </w:p>
    <w:p w14:paraId="737F4B2B">
      <w:pPr>
        <w:shd w:val="clear"/>
        <w:spacing w:line="360" w:lineRule="auto"/>
        <w:ind w:firstLine="549" w:firstLineChars="229"/>
        <w:rPr>
          <w:rFonts w:hint="eastAsia" w:ascii="仿宋" w:hAnsi="仿宋" w:eastAsia="仿宋" w:cs="仿宋"/>
          <w:color w:val="auto"/>
          <w:sz w:val="24"/>
          <w:highlight w:val="none"/>
        </w:rPr>
      </w:pPr>
    </w:p>
    <w:p w14:paraId="44C02830">
      <w:pPr>
        <w:shd w:val="clear"/>
        <w:spacing w:line="360" w:lineRule="auto"/>
        <w:rPr>
          <w:rFonts w:hint="eastAsia" w:ascii="仿宋" w:hAnsi="仿宋" w:eastAsia="仿宋" w:cs="仿宋"/>
          <w:color w:val="auto"/>
          <w:sz w:val="24"/>
          <w:highlight w:val="none"/>
        </w:rPr>
      </w:pPr>
    </w:p>
    <w:bookmarkEnd w:id="1"/>
    <w:p w14:paraId="4C51E1CC">
      <w:pPr>
        <w:shd w:val="clear"/>
        <w:adjustRightInd/>
        <w:spacing w:line="360" w:lineRule="auto"/>
        <w:outlineLvl w:val="0"/>
        <w:rPr>
          <w:rFonts w:hint="eastAsia" w:ascii="仿宋" w:hAnsi="仿宋" w:eastAsia="仿宋" w:cs="仿宋"/>
          <w:b/>
          <w:color w:val="auto"/>
          <w:sz w:val="36"/>
          <w:szCs w:val="20"/>
          <w:highlight w:val="none"/>
        </w:rPr>
      </w:pPr>
      <w:bookmarkStart w:id="2" w:name="第二部分"/>
      <w:bookmarkStart w:id="3" w:name="_Toc91899870"/>
      <w:bookmarkStart w:id="4" w:name="_Toc91899871"/>
    </w:p>
    <w:p w14:paraId="6C56ED3C">
      <w:pPr>
        <w:shd w:val="clear"/>
        <w:adjustRightInd/>
        <w:spacing w:line="360" w:lineRule="auto"/>
        <w:jc w:val="center"/>
        <w:outlineLvl w:val="0"/>
        <w:rPr>
          <w:rFonts w:hint="eastAsia" w:ascii="仿宋" w:hAnsi="仿宋" w:eastAsia="仿宋" w:cs="仿宋"/>
          <w:b/>
          <w:color w:val="auto"/>
          <w:sz w:val="36"/>
          <w:szCs w:val="20"/>
          <w:highlight w:val="none"/>
        </w:rPr>
      </w:pPr>
    </w:p>
    <w:p w14:paraId="4CC9D2CF">
      <w:pPr>
        <w:shd w:val="clear"/>
        <w:adjustRightInd/>
        <w:spacing w:line="360" w:lineRule="auto"/>
        <w:jc w:val="center"/>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第一部分 招标公告</w:t>
      </w:r>
    </w:p>
    <w:p w14:paraId="66DDEE72">
      <w:pPr>
        <w:pStyle w:val="12"/>
        <w:shd w:val="clear"/>
        <w:rPr>
          <w:color w:val="auto"/>
          <w:highlight w:val="none"/>
        </w:rPr>
      </w:pPr>
    </w:p>
    <w:p w14:paraId="1547D6CF">
      <w:pPr>
        <w:pBdr>
          <w:top w:val="single" w:color="auto" w:sz="4" w:space="1"/>
          <w:left w:val="single" w:color="auto" w:sz="4" w:space="4"/>
          <w:bottom w:val="single" w:color="auto" w:sz="4" w:space="1"/>
          <w:right w:val="single" w:color="auto" w:sz="4" w:space="4"/>
        </w:pBd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14:paraId="3BC116BE">
      <w:pPr>
        <w:pBdr>
          <w:top w:val="single" w:color="auto" w:sz="4" w:space="1"/>
          <w:left w:val="single" w:color="auto" w:sz="4" w:space="4"/>
          <w:bottom w:val="single" w:color="auto" w:sz="4" w:space="1"/>
          <w:right w:val="single" w:color="auto" w:sz="4" w:space="4"/>
        </w:pBdr>
        <w:shd w:val="clea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嵊州市教育体育局市属学校综合安保服务采购项目</w:t>
      </w:r>
      <w:r>
        <w:rPr>
          <w:rFonts w:hint="eastAsia" w:ascii="仿宋" w:hAnsi="仿宋" w:eastAsia="仿宋" w:cs="仿宋"/>
          <w:color w:val="auto"/>
          <w:sz w:val="24"/>
          <w:highlight w:val="none"/>
        </w:rPr>
        <w:t>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31"/>
          <w:rFonts w:hint="eastAsia" w:ascii="仿宋" w:hAnsi="仿宋" w:eastAsia="仿宋" w:cs="仿宋"/>
          <w:snapToGrid/>
          <w:color w:val="auto"/>
          <w:kern w:val="2"/>
          <w:sz w:val="24"/>
          <w:szCs w:val="24"/>
          <w:highlight w:val="none"/>
        </w:rPr>
        <w:t>https://www.zcygov.cn/）获取（下载）招标文件，并于2026年</w:t>
      </w:r>
      <w:r>
        <w:rPr>
          <w:rStyle w:val="31"/>
          <w:rFonts w:hint="eastAsia" w:ascii="仿宋" w:hAnsi="仿宋" w:eastAsia="仿宋" w:cs="仿宋"/>
          <w:snapToGrid/>
          <w:color w:val="auto"/>
          <w:kern w:val="2"/>
          <w:sz w:val="24"/>
          <w:szCs w:val="24"/>
          <w:highlight w:val="none"/>
          <w:lang w:val="en-US" w:eastAsia="zh-CN"/>
        </w:rPr>
        <w:t>6</w:t>
      </w:r>
      <w:r>
        <w:rPr>
          <w:rStyle w:val="31"/>
          <w:rFonts w:hint="eastAsia" w:ascii="仿宋" w:hAnsi="仿宋" w:eastAsia="仿宋" w:cs="仿宋"/>
          <w:snapToGrid/>
          <w:color w:val="auto"/>
          <w:kern w:val="2"/>
          <w:sz w:val="24"/>
          <w:szCs w:val="24"/>
          <w:highlight w:val="none"/>
        </w:rPr>
        <w:t>月</w:t>
      </w:r>
      <w:r>
        <w:rPr>
          <w:rStyle w:val="31"/>
          <w:rFonts w:hint="eastAsia" w:ascii="仿宋" w:hAnsi="仿宋" w:eastAsia="仿宋" w:cs="仿宋"/>
          <w:snapToGrid/>
          <w:color w:val="auto"/>
          <w:kern w:val="2"/>
          <w:sz w:val="24"/>
          <w:szCs w:val="24"/>
          <w:highlight w:val="none"/>
          <w:lang w:val="en-US" w:eastAsia="zh-CN"/>
        </w:rPr>
        <w:t>12</w:t>
      </w:r>
      <w:r>
        <w:rPr>
          <w:rStyle w:val="31"/>
          <w:rFonts w:hint="eastAsia" w:ascii="仿宋" w:hAnsi="仿宋" w:eastAsia="仿宋" w:cs="仿宋"/>
          <w:snapToGrid/>
          <w:color w:val="auto"/>
          <w:kern w:val="2"/>
          <w:sz w:val="24"/>
          <w:szCs w:val="24"/>
          <w:highlight w:val="none"/>
        </w:rPr>
        <w:t>日</w:t>
      </w:r>
      <w:r>
        <w:rPr>
          <w:rStyle w:val="31"/>
          <w:rFonts w:hint="eastAsia" w:ascii="仿宋" w:hAnsi="仿宋" w:eastAsia="仿宋" w:cs="仿宋"/>
          <w:snapToGrid/>
          <w:color w:val="auto"/>
          <w:kern w:val="2"/>
          <w:sz w:val="24"/>
          <w:szCs w:val="24"/>
          <w:highlight w:val="none"/>
          <w:lang w:val="en-US" w:eastAsia="zh-CN"/>
        </w:rPr>
        <w:t>09</w:t>
      </w:r>
      <w:r>
        <w:rPr>
          <w:rStyle w:val="31"/>
          <w:rFonts w:hint="eastAsia" w:ascii="仿宋" w:hAnsi="仿宋" w:eastAsia="仿宋" w:cs="仿宋"/>
          <w:snapToGrid/>
          <w:color w:val="auto"/>
          <w:kern w:val="2"/>
          <w:sz w:val="24"/>
          <w:szCs w:val="24"/>
          <w:highlight w:val="none"/>
        </w:rPr>
        <w:t>点00分</w:t>
      </w:r>
      <w:r>
        <w:rPr>
          <w:rStyle w:val="31"/>
          <w:rFonts w:hint="eastAsia" w:ascii="仿宋" w:hAnsi="仿宋" w:eastAsia="仿宋" w:cs="仿宋"/>
          <w:bCs/>
          <w:snapToGrid/>
          <w:color w:val="auto"/>
          <w:kern w:val="2"/>
          <w:sz w:val="24"/>
          <w:szCs w:val="24"/>
          <w:highlight w:val="none"/>
        </w:rPr>
        <w:t>00秒</w:t>
      </w:r>
      <w:r>
        <w:rPr>
          <w:rStyle w:val="31"/>
          <w:rFonts w:hint="eastAsia" w:ascii="仿宋" w:hAnsi="仿宋" w:eastAsia="仿宋" w:cs="仿宋"/>
          <w:bCs/>
          <w:snapToGrid/>
          <w:color w:val="auto"/>
          <w:kern w:val="2"/>
          <w:sz w:val="24"/>
          <w:szCs w:val="24"/>
          <w:highlight w:val="none"/>
        </w:rPr>
        <w:fldChar w:fldCharType="end"/>
      </w:r>
      <w:r>
        <w:rPr>
          <w:rFonts w:hint="eastAsia" w:ascii="仿宋" w:hAnsi="仿宋" w:eastAsia="仿宋" w:cs="仿宋"/>
          <w:bCs/>
          <w:color w:val="auto"/>
          <w:sz w:val="24"/>
          <w:highlight w:val="none"/>
        </w:rPr>
        <w:t>（北京时间）前</w:t>
      </w:r>
      <w:r>
        <w:rPr>
          <w:rFonts w:hint="eastAsia" w:ascii="仿宋" w:hAnsi="仿宋" w:eastAsia="仿宋" w:cs="仿宋"/>
          <w:color w:val="auto"/>
          <w:sz w:val="24"/>
          <w:highlight w:val="none"/>
        </w:rPr>
        <w:t>递交（上传）投标文件。</w:t>
      </w:r>
    </w:p>
    <w:p w14:paraId="672129CD">
      <w:pPr>
        <w:shd w:val="clea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一、项目基本情况                                            </w:t>
      </w:r>
    </w:p>
    <w:p w14:paraId="441224A6">
      <w:pPr>
        <w:shd w:val="clear"/>
        <w:spacing w:line="360" w:lineRule="auto"/>
        <w:ind w:firstLine="482" w:firstLineChars="200"/>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1.项目编号：</w:t>
      </w:r>
      <w:r>
        <w:rPr>
          <w:rFonts w:hint="eastAsia" w:ascii="仿宋" w:hAnsi="仿宋" w:eastAsia="仿宋" w:cs="仿宋"/>
          <w:bCs/>
          <w:color w:val="auto"/>
          <w:sz w:val="24"/>
          <w:highlight w:val="none"/>
          <w:lang w:eastAsia="zh-CN"/>
        </w:rPr>
        <w:t>330683263030010000010-SXWH2026-4-3</w:t>
      </w:r>
    </w:p>
    <w:p w14:paraId="14176E11">
      <w:pPr>
        <w:shd w:val="clear"/>
        <w:spacing w:line="360" w:lineRule="auto"/>
        <w:ind w:firstLine="482" w:firstLineChars="200"/>
        <w:rPr>
          <w:rFonts w:hint="eastAsia" w:ascii="仿宋" w:hAnsi="仿宋" w:eastAsia="仿宋" w:cs="仿宋"/>
          <w:bCs/>
          <w:color w:val="auto"/>
          <w:sz w:val="24"/>
          <w:highlight w:val="none"/>
          <w:lang w:eastAsia="zh-CN"/>
        </w:rPr>
      </w:pPr>
      <w:r>
        <w:rPr>
          <w:rFonts w:hint="eastAsia" w:ascii="仿宋" w:hAnsi="仿宋" w:eastAsia="仿宋" w:cs="仿宋"/>
          <w:b/>
          <w:color w:val="auto"/>
          <w:sz w:val="24"/>
          <w:highlight w:val="none"/>
        </w:rPr>
        <w:t>2.项目名称：</w:t>
      </w:r>
      <w:r>
        <w:rPr>
          <w:rFonts w:hint="eastAsia" w:ascii="仿宋" w:hAnsi="仿宋" w:eastAsia="仿宋" w:cs="仿宋"/>
          <w:bCs/>
          <w:color w:val="auto"/>
          <w:sz w:val="24"/>
          <w:highlight w:val="none"/>
          <w:lang w:eastAsia="zh-CN"/>
        </w:rPr>
        <w:t>嵊州市教育体育局市属学校综合安保服务采购项目</w:t>
      </w:r>
    </w:p>
    <w:p w14:paraId="78636466">
      <w:pPr>
        <w:shd w:val="clear"/>
        <w:spacing w:line="360" w:lineRule="auto"/>
        <w:ind w:firstLine="482" w:firstLineChars="20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rPr>
        <w:t>3.预算金额：</w:t>
      </w:r>
      <w:r>
        <w:rPr>
          <w:rFonts w:hint="eastAsia" w:ascii="仿宋" w:hAnsi="仿宋" w:eastAsia="仿宋" w:cs="仿宋"/>
          <w:b/>
          <w:color w:val="auto"/>
          <w:sz w:val="24"/>
          <w:highlight w:val="none"/>
          <w:lang w:val="en-US" w:eastAsia="zh-CN"/>
        </w:rPr>
        <w:t>标项一720万</w:t>
      </w:r>
      <w:r>
        <w:rPr>
          <w:rFonts w:hint="eastAsia" w:ascii="仿宋" w:hAnsi="仿宋" w:eastAsia="仿宋" w:cs="仿宋"/>
          <w:b/>
          <w:color w:val="auto"/>
          <w:sz w:val="24"/>
          <w:highlight w:val="none"/>
        </w:rPr>
        <w:t>元</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标项二666万元，标项三621万元</w:t>
      </w:r>
    </w:p>
    <w:p w14:paraId="54C006B8">
      <w:pPr>
        <w:shd w:val="clear"/>
        <w:spacing w:line="360" w:lineRule="auto"/>
        <w:ind w:firstLine="482" w:firstLineChars="200"/>
        <w:rPr>
          <w:rFonts w:hint="eastAsia" w:ascii="仿宋" w:hAnsi="仿宋" w:eastAsia="仿宋" w:cs="仿宋"/>
          <w:bCs/>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.采购需求：</w:t>
      </w:r>
      <w:r>
        <w:rPr>
          <w:rFonts w:hint="eastAsia" w:ascii="仿宋" w:hAnsi="仿宋" w:eastAsia="仿宋" w:cs="仿宋"/>
          <w:bCs/>
          <w:color w:val="auto"/>
          <w:sz w:val="24"/>
          <w:highlight w:val="none"/>
        </w:rPr>
        <w:t>详见第三部分招标项目范围及要求</w:t>
      </w:r>
    </w:p>
    <w:tbl>
      <w:tblPr>
        <w:tblStyle w:val="25"/>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3405"/>
        <w:gridCol w:w="1260"/>
        <w:gridCol w:w="1560"/>
        <w:gridCol w:w="1928"/>
      </w:tblGrid>
      <w:tr w14:paraId="2577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885" w:type="dxa"/>
            <w:vAlign w:val="center"/>
          </w:tcPr>
          <w:p w14:paraId="7D63C30C">
            <w:pPr>
              <w:shd w:val="clear"/>
              <w:spacing w:line="420" w:lineRule="exact"/>
              <w:jc w:val="center"/>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val="en-US" w:eastAsia="zh-CN"/>
              </w:rPr>
              <w:t>标项</w:t>
            </w:r>
          </w:p>
        </w:tc>
        <w:tc>
          <w:tcPr>
            <w:tcW w:w="3405" w:type="dxa"/>
            <w:vAlign w:val="center"/>
          </w:tcPr>
          <w:p w14:paraId="1AF1F144">
            <w:pPr>
              <w:shd w:val="clear"/>
              <w:spacing w:line="420" w:lineRule="exact"/>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标项名称</w:t>
            </w:r>
          </w:p>
        </w:tc>
        <w:tc>
          <w:tcPr>
            <w:tcW w:w="1260" w:type="dxa"/>
            <w:vAlign w:val="center"/>
          </w:tcPr>
          <w:p w14:paraId="0CF0D52D">
            <w:pPr>
              <w:shd w:val="clear"/>
              <w:spacing w:line="420" w:lineRule="exact"/>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服务期限</w:t>
            </w:r>
          </w:p>
        </w:tc>
        <w:tc>
          <w:tcPr>
            <w:tcW w:w="1560" w:type="dxa"/>
            <w:vAlign w:val="center"/>
          </w:tcPr>
          <w:p w14:paraId="574BBA19">
            <w:pPr>
              <w:shd w:val="clear"/>
              <w:spacing w:line="420" w:lineRule="exact"/>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预算金额</w:t>
            </w:r>
          </w:p>
        </w:tc>
        <w:tc>
          <w:tcPr>
            <w:tcW w:w="1928" w:type="dxa"/>
            <w:vAlign w:val="center"/>
          </w:tcPr>
          <w:p w14:paraId="7499BFB5">
            <w:pPr>
              <w:shd w:val="clear"/>
              <w:spacing w:line="420" w:lineRule="exact"/>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备注</w:t>
            </w:r>
          </w:p>
        </w:tc>
      </w:tr>
      <w:tr w14:paraId="2766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5" w:type="dxa"/>
            <w:vAlign w:val="center"/>
          </w:tcPr>
          <w:p w14:paraId="1A0F465C">
            <w:pPr>
              <w:shd w:val="clear"/>
              <w:spacing w:line="42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3405" w:type="dxa"/>
            <w:vAlign w:val="center"/>
          </w:tcPr>
          <w:p w14:paraId="01876347">
            <w:pPr>
              <w:pStyle w:val="5"/>
              <w:shd w:val="clear"/>
              <w:spacing w:line="420" w:lineRule="exact"/>
              <w:ind w:firstLine="0" w:firstLineChars="0"/>
              <w:jc w:val="center"/>
              <w:rPr>
                <w:rFonts w:hint="eastAsia" w:ascii="仿宋" w:hAnsi="仿宋" w:eastAsia="仿宋" w:cs="仿宋"/>
                <w:bCs/>
                <w:color w:val="auto"/>
                <w:sz w:val="24"/>
                <w:szCs w:val="24"/>
                <w:highlight w:val="none"/>
                <w:lang w:eastAsia="zh-CN"/>
              </w:rPr>
            </w:pPr>
            <w:r>
              <w:rPr>
                <w:rFonts w:hint="eastAsia" w:ascii="仿宋" w:hAnsi="仿宋" w:eastAsia="仿宋" w:cs="仿宋"/>
                <w:color w:val="auto"/>
                <w:sz w:val="24"/>
                <w:szCs w:val="24"/>
                <w:highlight w:val="none"/>
                <w:lang w:val="en-US" w:eastAsia="zh-CN"/>
              </w:rPr>
              <w:t>东北片区</w:t>
            </w:r>
            <w:r>
              <w:rPr>
                <w:rFonts w:hint="eastAsia" w:ascii="仿宋" w:hAnsi="仿宋" w:eastAsia="仿宋" w:cs="仿宋"/>
                <w:color w:val="auto"/>
                <w:sz w:val="24"/>
                <w:szCs w:val="24"/>
                <w:highlight w:val="none"/>
                <w:lang w:eastAsia="zh-CN"/>
              </w:rPr>
              <w:t>学校</w:t>
            </w:r>
            <w:r>
              <w:rPr>
                <w:rFonts w:hint="eastAsia" w:ascii="仿宋" w:hAnsi="仿宋" w:eastAsia="仿宋" w:cs="仿宋"/>
                <w:color w:val="auto"/>
                <w:sz w:val="24"/>
                <w:szCs w:val="24"/>
                <w:highlight w:val="none"/>
                <w:lang w:val="en-US" w:eastAsia="zh-CN"/>
              </w:rPr>
              <w:t>综合</w:t>
            </w:r>
            <w:r>
              <w:rPr>
                <w:rFonts w:hint="eastAsia" w:ascii="仿宋" w:hAnsi="仿宋" w:eastAsia="仿宋" w:cs="仿宋"/>
                <w:color w:val="auto"/>
                <w:sz w:val="24"/>
                <w:szCs w:val="24"/>
                <w:highlight w:val="none"/>
                <w:lang w:eastAsia="zh-CN"/>
              </w:rPr>
              <w:t>安保服务</w:t>
            </w:r>
          </w:p>
        </w:tc>
        <w:tc>
          <w:tcPr>
            <w:tcW w:w="1260" w:type="dxa"/>
            <w:vAlign w:val="center"/>
          </w:tcPr>
          <w:p w14:paraId="49B91D7C">
            <w:pPr>
              <w:shd w:val="clear"/>
              <w:spacing w:line="420" w:lineRule="exac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2年</w:t>
            </w:r>
          </w:p>
        </w:tc>
        <w:tc>
          <w:tcPr>
            <w:tcW w:w="1560" w:type="dxa"/>
            <w:vAlign w:val="center"/>
          </w:tcPr>
          <w:p w14:paraId="7BBC9BCD">
            <w:pPr>
              <w:shd w:val="clear"/>
              <w:spacing w:line="420" w:lineRule="exac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720万元</w:t>
            </w:r>
          </w:p>
        </w:tc>
        <w:tc>
          <w:tcPr>
            <w:tcW w:w="1928" w:type="dxa"/>
            <w:vMerge w:val="restart"/>
            <w:vAlign w:val="center"/>
          </w:tcPr>
          <w:p w14:paraId="65ED6B66">
            <w:pPr>
              <w:shd w:val="clear"/>
              <w:spacing w:line="42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本项目按单价报价，单价最高限价为45000元/人/年。</w:t>
            </w:r>
          </w:p>
        </w:tc>
      </w:tr>
      <w:tr w14:paraId="51EF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85" w:type="dxa"/>
            <w:vAlign w:val="center"/>
          </w:tcPr>
          <w:p w14:paraId="493C7E7A">
            <w:pPr>
              <w:shd w:val="clear"/>
              <w:spacing w:line="420" w:lineRule="exac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p>
        </w:tc>
        <w:tc>
          <w:tcPr>
            <w:tcW w:w="3405" w:type="dxa"/>
            <w:vAlign w:val="center"/>
          </w:tcPr>
          <w:p w14:paraId="568BFA95">
            <w:pPr>
              <w:pStyle w:val="5"/>
              <w:shd w:val="clear"/>
              <w:spacing w:line="420" w:lineRule="exact"/>
              <w:ind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val="en-US" w:eastAsia="zh-CN"/>
              </w:rPr>
              <w:t>中片区</w:t>
            </w:r>
            <w:r>
              <w:rPr>
                <w:rFonts w:hint="eastAsia" w:ascii="仿宋" w:hAnsi="仿宋" w:eastAsia="仿宋" w:cs="仿宋"/>
                <w:color w:val="auto"/>
                <w:sz w:val="24"/>
                <w:szCs w:val="24"/>
                <w:highlight w:val="none"/>
                <w:lang w:eastAsia="zh-CN"/>
              </w:rPr>
              <w:t>学校</w:t>
            </w:r>
            <w:r>
              <w:rPr>
                <w:rFonts w:hint="eastAsia" w:ascii="仿宋" w:hAnsi="仿宋" w:eastAsia="仿宋" w:cs="仿宋"/>
                <w:color w:val="auto"/>
                <w:sz w:val="24"/>
                <w:szCs w:val="24"/>
                <w:highlight w:val="none"/>
                <w:lang w:val="en-US" w:eastAsia="zh-CN"/>
              </w:rPr>
              <w:t>综合</w:t>
            </w:r>
            <w:r>
              <w:rPr>
                <w:rFonts w:hint="eastAsia" w:ascii="仿宋" w:hAnsi="仿宋" w:eastAsia="仿宋" w:cs="仿宋"/>
                <w:color w:val="auto"/>
                <w:sz w:val="24"/>
                <w:szCs w:val="24"/>
                <w:highlight w:val="none"/>
                <w:lang w:eastAsia="zh-CN"/>
              </w:rPr>
              <w:t>安保服务</w:t>
            </w:r>
          </w:p>
        </w:tc>
        <w:tc>
          <w:tcPr>
            <w:tcW w:w="1260" w:type="dxa"/>
            <w:vAlign w:val="center"/>
          </w:tcPr>
          <w:p w14:paraId="413E3ECB">
            <w:pPr>
              <w:shd w:val="clear"/>
              <w:spacing w:line="42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2年</w:t>
            </w:r>
          </w:p>
        </w:tc>
        <w:tc>
          <w:tcPr>
            <w:tcW w:w="1560" w:type="dxa"/>
            <w:vAlign w:val="center"/>
          </w:tcPr>
          <w:p w14:paraId="6E38D139">
            <w:pPr>
              <w:shd w:val="clear"/>
              <w:spacing w:line="420" w:lineRule="exac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666万元</w:t>
            </w:r>
          </w:p>
        </w:tc>
        <w:tc>
          <w:tcPr>
            <w:tcW w:w="1928" w:type="dxa"/>
            <w:vMerge w:val="continue"/>
            <w:vAlign w:val="center"/>
          </w:tcPr>
          <w:p w14:paraId="7E4777CD">
            <w:pPr>
              <w:shd w:val="clear"/>
              <w:spacing w:line="420" w:lineRule="exact"/>
              <w:jc w:val="center"/>
              <w:rPr>
                <w:rFonts w:hint="eastAsia" w:ascii="仿宋" w:hAnsi="仿宋" w:eastAsia="仿宋" w:cs="仿宋"/>
                <w:bCs/>
                <w:color w:val="auto"/>
                <w:sz w:val="24"/>
                <w:szCs w:val="24"/>
                <w:highlight w:val="none"/>
              </w:rPr>
            </w:pPr>
          </w:p>
        </w:tc>
      </w:tr>
      <w:tr w14:paraId="7313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85" w:type="dxa"/>
            <w:vAlign w:val="center"/>
          </w:tcPr>
          <w:p w14:paraId="74104779">
            <w:pPr>
              <w:shd w:val="clear"/>
              <w:spacing w:line="420" w:lineRule="exac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w:t>
            </w:r>
          </w:p>
        </w:tc>
        <w:tc>
          <w:tcPr>
            <w:tcW w:w="3405" w:type="dxa"/>
            <w:vAlign w:val="center"/>
          </w:tcPr>
          <w:p w14:paraId="188B3B88">
            <w:pPr>
              <w:pStyle w:val="5"/>
              <w:shd w:val="clear"/>
              <w:spacing w:line="420" w:lineRule="exact"/>
              <w:ind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val="en-US" w:eastAsia="zh-CN"/>
              </w:rPr>
              <w:t>西片区</w:t>
            </w:r>
            <w:r>
              <w:rPr>
                <w:rFonts w:hint="eastAsia" w:ascii="仿宋" w:hAnsi="仿宋" w:eastAsia="仿宋" w:cs="仿宋"/>
                <w:color w:val="auto"/>
                <w:sz w:val="24"/>
                <w:szCs w:val="24"/>
                <w:highlight w:val="none"/>
                <w:lang w:eastAsia="zh-CN"/>
              </w:rPr>
              <w:t>学校</w:t>
            </w:r>
            <w:r>
              <w:rPr>
                <w:rFonts w:hint="eastAsia" w:ascii="仿宋" w:hAnsi="仿宋" w:eastAsia="仿宋" w:cs="仿宋"/>
                <w:color w:val="auto"/>
                <w:sz w:val="24"/>
                <w:szCs w:val="24"/>
                <w:highlight w:val="none"/>
                <w:lang w:val="en-US" w:eastAsia="zh-CN"/>
              </w:rPr>
              <w:t>综合</w:t>
            </w:r>
            <w:r>
              <w:rPr>
                <w:rFonts w:hint="eastAsia" w:ascii="仿宋" w:hAnsi="仿宋" w:eastAsia="仿宋" w:cs="仿宋"/>
                <w:color w:val="auto"/>
                <w:sz w:val="24"/>
                <w:szCs w:val="24"/>
                <w:highlight w:val="none"/>
                <w:lang w:eastAsia="zh-CN"/>
              </w:rPr>
              <w:t>安保服务</w:t>
            </w:r>
          </w:p>
        </w:tc>
        <w:tc>
          <w:tcPr>
            <w:tcW w:w="1260" w:type="dxa"/>
            <w:vAlign w:val="center"/>
          </w:tcPr>
          <w:p w14:paraId="3503F9C5">
            <w:pPr>
              <w:shd w:val="clear"/>
              <w:spacing w:line="42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2年</w:t>
            </w:r>
          </w:p>
        </w:tc>
        <w:tc>
          <w:tcPr>
            <w:tcW w:w="1560" w:type="dxa"/>
            <w:vAlign w:val="center"/>
          </w:tcPr>
          <w:p w14:paraId="068A21F7">
            <w:pPr>
              <w:shd w:val="clear"/>
              <w:spacing w:line="420" w:lineRule="exac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621万元</w:t>
            </w:r>
          </w:p>
        </w:tc>
        <w:tc>
          <w:tcPr>
            <w:tcW w:w="1928" w:type="dxa"/>
            <w:vMerge w:val="continue"/>
            <w:vAlign w:val="center"/>
          </w:tcPr>
          <w:p w14:paraId="1D3C6CA1">
            <w:pPr>
              <w:shd w:val="clear"/>
              <w:spacing w:line="420" w:lineRule="exact"/>
              <w:jc w:val="center"/>
              <w:rPr>
                <w:rFonts w:hint="eastAsia" w:ascii="仿宋" w:hAnsi="仿宋" w:eastAsia="仿宋" w:cs="仿宋"/>
                <w:bCs/>
                <w:color w:val="auto"/>
                <w:sz w:val="24"/>
                <w:szCs w:val="24"/>
                <w:highlight w:val="none"/>
              </w:rPr>
            </w:pPr>
          </w:p>
        </w:tc>
      </w:tr>
      <w:tr w14:paraId="5921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038" w:type="dxa"/>
            <w:gridSpan w:val="5"/>
            <w:vAlign w:val="center"/>
          </w:tcPr>
          <w:p w14:paraId="604D3088">
            <w:pPr>
              <w:pStyle w:val="32"/>
              <w:widowControl/>
              <w:shd w:val="clear"/>
              <w:spacing w:line="380" w:lineRule="exact"/>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注：</w:t>
            </w:r>
            <w:r>
              <w:rPr>
                <w:rFonts w:hint="eastAsia" w:ascii="仿宋" w:hAnsi="仿宋" w:eastAsia="仿宋" w:cs="仿宋"/>
                <w:b/>
                <w:bCs/>
                <w:color w:val="auto"/>
                <w:sz w:val="24"/>
                <w:szCs w:val="24"/>
                <w:highlight w:val="none"/>
              </w:rPr>
              <w:t>（1）按照标项一、二、三依次开标，投标人可选择所有标项投标，但每个投标人只能中一个标项。</w:t>
            </w:r>
          </w:p>
          <w:p w14:paraId="333FA24C">
            <w:pPr>
              <w:pStyle w:val="32"/>
              <w:widowControl/>
              <w:shd w:val="clear"/>
              <w:spacing w:line="38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（2）各标项按照综合评分法评分，经评审后综合得分排名第一的为中标供应商。 </w:t>
            </w:r>
          </w:p>
          <w:p w14:paraId="29A7D2B1">
            <w:pPr>
              <w:pStyle w:val="32"/>
              <w:widowControl/>
              <w:shd w:val="clear"/>
              <w:spacing w:line="380" w:lineRule="exact"/>
              <w:ind w:firstLine="482" w:firstLineChars="200"/>
              <w:jc w:val="both"/>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（3）标项二、三中标说明：经评审，若标项二与标项一综合得分排名第一的为同一供应商，则标项二的中标供应商将顺延至综合得分排名第二的供应商，以此类推。</w:t>
            </w:r>
          </w:p>
        </w:tc>
      </w:tr>
    </w:tbl>
    <w:p w14:paraId="437C87F5">
      <w:pPr>
        <w:shd w:val="clea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.合同履行期限：</w:t>
      </w:r>
      <w:r>
        <w:rPr>
          <w:rFonts w:hint="eastAsia" w:ascii="仿宋" w:hAnsi="仿宋" w:eastAsia="仿宋" w:cs="仿宋"/>
          <w:bCs/>
          <w:color w:val="auto"/>
          <w:sz w:val="24"/>
          <w:highlight w:val="none"/>
        </w:rPr>
        <w:t>根据招标文件要求执行。</w:t>
      </w:r>
    </w:p>
    <w:p w14:paraId="11ECA84C">
      <w:pPr>
        <w:shd w:val="clear"/>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rPr>
        <w:t>.本项目接受联合体投标：</w:t>
      </w:r>
      <w:r>
        <w:rPr>
          <w:rFonts w:hint="eastAsia" w:ascii="仿宋" w:hAnsi="仿宋" w:eastAsia="仿宋" w:cs="仿宋"/>
          <w:b/>
          <w:bCs/>
          <w:color w:val="auto"/>
          <w:kern w:val="0"/>
          <w:sz w:val="24"/>
          <w:highlight w:val="none"/>
        </w:rPr>
        <w:t>□</w:t>
      </w:r>
      <w:r>
        <w:rPr>
          <w:rFonts w:hint="eastAsia" w:ascii="仿宋" w:hAnsi="仿宋" w:eastAsia="仿宋" w:cs="仿宋"/>
          <w:b/>
          <w:color w:val="auto"/>
          <w:sz w:val="24"/>
          <w:highlight w:val="none"/>
        </w:rPr>
        <w:t>是，</w:t>
      </w:r>
      <w:r>
        <w:rPr>
          <w:rFonts w:hint="eastAsia" w:ascii="仿宋" w:hAnsi="仿宋" w:eastAsia="仿宋" w:cs="仿宋"/>
          <w:b/>
          <w:bCs/>
          <w:color w:val="auto"/>
          <w:kern w:val="0"/>
          <w:sz w:val="24"/>
          <w:highlight w:val="none"/>
        </w:rPr>
        <w:t>☑</w:t>
      </w:r>
      <w:r>
        <w:rPr>
          <w:rFonts w:hint="eastAsia" w:ascii="仿宋" w:hAnsi="仿宋" w:eastAsia="仿宋" w:cs="仿宋"/>
          <w:b/>
          <w:color w:val="auto"/>
          <w:sz w:val="24"/>
          <w:highlight w:val="none"/>
        </w:rPr>
        <w:t>否。</w:t>
      </w:r>
    </w:p>
    <w:p w14:paraId="46F0C9ED">
      <w:pPr>
        <w:shd w:val="clea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二、申请人的资格要求：</w:t>
      </w:r>
    </w:p>
    <w:p w14:paraId="26305C81">
      <w:pPr>
        <w:shd w:val="clear"/>
        <w:spacing w:line="360" w:lineRule="auto"/>
        <w:ind w:firstLine="480" w:firstLineChars="200"/>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1.满足《中华人民共和国政府采购法》第二十二条规定；未被“信用中国”（www.creditchina.gov.cn)、中国政府采购网（www.ccgp.gov.cn）列入失信被执行人、重大税收违法失信主体、政府采购严重违法失信行为记录名单；</w:t>
      </w:r>
    </w:p>
    <w:p w14:paraId="5B1795CB">
      <w:pPr>
        <w:shd w:val="clear"/>
        <w:spacing w:line="360" w:lineRule="auto"/>
        <w:ind w:firstLine="480" w:firstLineChars="200"/>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2.落实政府采购政策需满足的资格要求：</w:t>
      </w:r>
    </w:p>
    <w:p w14:paraId="74D19157">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无</w:t>
      </w:r>
      <w:r>
        <w:rPr>
          <w:rFonts w:hint="eastAsia" w:ascii="仿宋" w:hAnsi="仿宋" w:eastAsia="仿宋" w:cs="仿宋"/>
          <w:snapToGrid w:val="0"/>
          <w:color w:val="auto"/>
          <w:kern w:val="28"/>
          <w:sz w:val="24"/>
          <w:szCs w:val="20"/>
          <w:highlight w:val="none"/>
        </w:rPr>
        <w:t>；</w:t>
      </w:r>
    </w:p>
    <w:p w14:paraId="0817D96E">
      <w:pPr>
        <w:shd w:val="clear"/>
        <w:spacing w:line="360" w:lineRule="auto"/>
        <w:ind w:firstLine="480" w:firstLineChars="200"/>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sym w:font="Wingdings" w:char="00FE"/>
      </w:r>
      <w:r>
        <w:rPr>
          <w:rFonts w:hint="eastAsia" w:ascii="仿宋" w:hAnsi="仿宋" w:eastAsia="仿宋" w:cs="仿宋"/>
          <w:snapToGrid w:val="0"/>
          <w:color w:val="auto"/>
          <w:kern w:val="28"/>
          <w:sz w:val="24"/>
          <w:szCs w:val="20"/>
          <w:highlight w:val="none"/>
        </w:rPr>
        <w:t>专门面向中小企业</w:t>
      </w:r>
    </w:p>
    <w:p w14:paraId="5CF1E91D">
      <w:pPr>
        <w:shd w:val="clear"/>
        <w:spacing w:line="360" w:lineRule="auto"/>
        <w:ind w:firstLine="480" w:firstLineChars="200"/>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sym w:font="Wingdings" w:char="00FE"/>
      </w:r>
      <w:r>
        <w:rPr>
          <w:rFonts w:hint="eastAsia" w:ascii="仿宋" w:hAnsi="仿宋" w:eastAsia="仿宋" w:cs="仿宋"/>
          <w:snapToGrid w:val="0"/>
          <w:color w:val="auto"/>
          <w:kern w:val="28"/>
          <w:sz w:val="24"/>
          <w:szCs w:val="20"/>
          <w:highlight w:val="none"/>
        </w:rPr>
        <w:t>服务全部由符合政策要求的中小企业承接，提供中小企业声明函；</w:t>
      </w:r>
    </w:p>
    <w:p w14:paraId="2A69069C">
      <w:pPr>
        <w:shd w:val="clea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snapToGrid w:val="0"/>
          <w:color w:val="auto"/>
          <w:kern w:val="28"/>
          <w:sz w:val="24"/>
          <w:szCs w:val="20"/>
          <w:highlight w:val="none"/>
        </w:rPr>
        <w:sym w:font="Wingdings" w:char="00FE"/>
      </w:r>
      <w:r>
        <w:rPr>
          <w:rFonts w:hint="eastAsia" w:ascii="仿宋" w:hAnsi="仿宋" w:eastAsia="仿宋" w:cs="仿宋"/>
          <w:snapToGrid w:val="0"/>
          <w:color w:val="auto"/>
          <w:kern w:val="28"/>
          <w:sz w:val="24"/>
          <w:szCs w:val="20"/>
          <w:highlight w:val="none"/>
        </w:rPr>
        <w:t>服务全部由符合政策要求的小微企业承接，提供中小企业声明函；</w:t>
      </w:r>
    </w:p>
    <w:p w14:paraId="269334DE">
      <w:pPr>
        <w:shd w:val="clear"/>
        <w:spacing w:line="360" w:lineRule="auto"/>
        <w:ind w:firstLine="482" w:firstLineChars="200"/>
        <w:rPr>
          <w:rFonts w:hint="eastAsia" w:ascii="仿宋" w:hAnsi="仿宋" w:eastAsia="仿宋" w:cs="仿宋"/>
          <w:b/>
          <w:bCs/>
          <w:snapToGrid w:val="0"/>
          <w:color w:val="auto"/>
          <w:kern w:val="28"/>
          <w:sz w:val="24"/>
          <w:szCs w:val="20"/>
          <w:highlight w:val="none"/>
        </w:rPr>
      </w:pPr>
      <w:r>
        <w:rPr>
          <w:rFonts w:hint="eastAsia" w:ascii="仿宋" w:hAnsi="仿宋" w:eastAsia="仿宋" w:cs="仿宋"/>
          <w:b/>
          <w:bCs/>
          <w:snapToGrid w:val="0"/>
          <w:color w:val="auto"/>
          <w:kern w:val="28"/>
          <w:sz w:val="24"/>
          <w:szCs w:val="20"/>
          <w:highlight w:val="none"/>
        </w:rPr>
        <w:t>3.本项目的特定资格要求：</w:t>
      </w:r>
      <w:r>
        <w:rPr>
          <w:rFonts w:hint="eastAsia" w:ascii="仿宋" w:hAnsi="仿宋" w:eastAsia="仿宋" w:cs="仿宋"/>
          <w:b/>
          <w:bCs/>
          <w:snapToGrid w:val="0"/>
          <w:color w:val="auto"/>
          <w:kern w:val="28"/>
          <w:sz w:val="24"/>
          <w:szCs w:val="20"/>
          <w:highlight w:val="none"/>
          <w:lang w:val="en-US" w:eastAsia="zh-CN"/>
        </w:rPr>
        <w:t>投标人须具有公安部门颁发的保安服务许可证资质证书</w:t>
      </w:r>
      <w:r>
        <w:rPr>
          <w:rFonts w:hint="eastAsia" w:ascii="仿宋" w:hAnsi="仿宋" w:eastAsia="仿宋" w:cs="仿宋"/>
          <w:b/>
          <w:bCs/>
          <w:snapToGrid w:val="0"/>
          <w:color w:val="auto"/>
          <w:kern w:val="28"/>
          <w:sz w:val="24"/>
          <w:szCs w:val="20"/>
          <w:highlight w:val="none"/>
        </w:rPr>
        <w:t>。</w:t>
      </w:r>
    </w:p>
    <w:p w14:paraId="699710FD">
      <w:pPr>
        <w:shd w:val="clea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02E67312">
      <w:pPr>
        <w:shd w:val="clea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三、获取招标文件 </w:t>
      </w:r>
    </w:p>
    <w:p w14:paraId="2485621A">
      <w:pPr>
        <w:shd w:val="clea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1.时间：</w:t>
      </w:r>
      <w:r>
        <w:rPr>
          <w:rFonts w:hint="eastAsia" w:ascii="仿宋" w:hAnsi="仿宋" w:eastAsia="仿宋" w:cs="仿宋"/>
          <w:color w:val="auto"/>
          <w:sz w:val="24"/>
          <w:highlight w:val="none"/>
          <w:u w:val="single"/>
        </w:rPr>
        <w:t>2026年</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22</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u w:val="single"/>
        </w:rPr>
        <w:t>2026年</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12</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rPr>
        <w:t>，每天上午00:00至12:00 ，下午12:00至23:59（北京时间）</w:t>
      </w:r>
      <w:bookmarkStart w:id="59" w:name="_GoBack"/>
      <w:bookmarkEnd w:id="59"/>
    </w:p>
    <w:p w14:paraId="7B5A9D12">
      <w:pPr>
        <w:shd w:val="clea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2.地点（网址）：</w:t>
      </w:r>
      <w:r>
        <w:rPr>
          <w:rFonts w:hint="eastAsia" w:ascii="仿宋" w:hAnsi="仿宋" w:eastAsia="仿宋" w:cs="仿宋"/>
          <w:color w:val="auto"/>
          <w:sz w:val="24"/>
          <w:highlight w:val="none"/>
        </w:rPr>
        <w:t xml:space="preserve">政采云平台（https://www.zcygov.cn/） </w:t>
      </w:r>
    </w:p>
    <w:p w14:paraId="0905046F">
      <w:pPr>
        <w:shd w:val="clea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3.方式：</w:t>
      </w:r>
      <w:r>
        <w:rPr>
          <w:rFonts w:hint="eastAsia" w:ascii="仿宋" w:hAnsi="仿宋" w:eastAsia="仿宋" w:cs="仿宋"/>
          <w:bCs/>
          <w:color w:val="auto"/>
          <w:sz w:val="24"/>
          <w:highlight w:val="none"/>
        </w:rPr>
        <w:t>供应商登录政采云平台http://www.zcygov.cn/，在线申请获取采购文件（进入“项目采购”应用，在获取采购文件菜单中选择项目，申请获取采购文件）。</w:t>
      </w:r>
      <w:r>
        <w:rPr>
          <w:rFonts w:hint="eastAsia" w:ascii="仿宋" w:hAnsi="仿宋" w:eastAsia="仿宋" w:cs="仿宋"/>
          <w:color w:val="auto"/>
          <w:sz w:val="24"/>
          <w:highlight w:val="none"/>
        </w:rPr>
        <w:t xml:space="preserve"> </w:t>
      </w:r>
    </w:p>
    <w:p w14:paraId="3324C255">
      <w:pPr>
        <w:shd w:val="clea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4.售价（元）：</w:t>
      </w:r>
      <w:r>
        <w:rPr>
          <w:rFonts w:hint="eastAsia" w:ascii="仿宋" w:hAnsi="仿宋" w:eastAsia="仿宋" w:cs="仿宋"/>
          <w:color w:val="auto"/>
          <w:sz w:val="24"/>
          <w:highlight w:val="none"/>
        </w:rPr>
        <w:t xml:space="preserve">0 </w:t>
      </w:r>
      <w:r>
        <w:rPr>
          <w:rFonts w:hint="eastAsia" w:ascii="仿宋" w:hAnsi="仿宋" w:eastAsia="仿宋" w:cs="仿宋"/>
          <w:color w:val="auto"/>
          <w:sz w:val="24"/>
          <w:highlight w:val="none"/>
        </w:rPr>
        <w:tab/>
      </w:r>
    </w:p>
    <w:p w14:paraId="4387757C">
      <w:pPr>
        <w:shd w:val="clea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四、提交投标文件截止时间、开标时间和地点</w:t>
      </w:r>
    </w:p>
    <w:p w14:paraId="3FC642E4">
      <w:pPr>
        <w:shd w:val="clea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1.提交投标文件截止时间：</w:t>
      </w:r>
      <w:r>
        <w:rPr>
          <w:rFonts w:hint="eastAsia" w:ascii="仿宋" w:hAnsi="仿宋" w:eastAsia="仿宋" w:cs="仿宋"/>
          <w:color w:val="auto"/>
          <w:sz w:val="24"/>
          <w:highlight w:val="none"/>
          <w:u w:val="single"/>
        </w:rPr>
        <w:t xml:space="preserve"> 2026年</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12</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09</w:t>
      </w:r>
      <w:r>
        <w:rPr>
          <w:rFonts w:hint="eastAsia" w:ascii="仿宋" w:hAnsi="仿宋" w:eastAsia="仿宋" w:cs="仿宋"/>
          <w:color w:val="auto"/>
          <w:sz w:val="24"/>
          <w:highlight w:val="none"/>
          <w:u w:val="single"/>
        </w:rPr>
        <w:t>点00分00秒</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（北京时间）</w:t>
      </w:r>
    </w:p>
    <w:p w14:paraId="29DDF5EB">
      <w:pPr>
        <w:shd w:val="clea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2.投标地点（网址）：</w:t>
      </w:r>
      <w:r>
        <w:rPr>
          <w:rFonts w:hint="eastAsia" w:ascii="仿宋" w:hAnsi="仿宋" w:eastAsia="仿宋" w:cs="仿宋"/>
          <w:color w:val="auto"/>
          <w:sz w:val="24"/>
          <w:highlight w:val="none"/>
        </w:rPr>
        <w:t xml:space="preserve">政采云平台（https://www.zcygov.cn/） </w:t>
      </w:r>
    </w:p>
    <w:p w14:paraId="7B951F65">
      <w:pPr>
        <w:shd w:val="clear"/>
        <w:spacing w:line="360" w:lineRule="auto"/>
        <w:ind w:firstLine="482" w:firstLineChars="200"/>
        <w:rPr>
          <w:rFonts w:hint="eastAsia" w:ascii="仿宋" w:hAnsi="仿宋" w:eastAsia="仿宋" w:cs="仿宋"/>
          <w:bCs/>
          <w:color w:val="auto"/>
          <w:sz w:val="24"/>
          <w:highlight w:val="none"/>
          <w:u w:val="single"/>
        </w:rPr>
      </w:pPr>
      <w:r>
        <w:rPr>
          <w:rFonts w:hint="eastAsia" w:ascii="仿宋" w:hAnsi="仿宋" w:eastAsia="仿宋" w:cs="仿宋"/>
          <w:b/>
          <w:color w:val="auto"/>
          <w:sz w:val="24"/>
          <w:highlight w:val="none"/>
        </w:rPr>
        <w:t>3.开标时间：</w:t>
      </w:r>
      <w:r>
        <w:rPr>
          <w:rFonts w:hint="eastAsia" w:ascii="仿宋" w:hAnsi="仿宋" w:eastAsia="仿宋" w:cs="仿宋"/>
          <w:color w:val="auto"/>
          <w:sz w:val="24"/>
          <w:highlight w:val="none"/>
          <w:u w:val="single"/>
        </w:rPr>
        <w:t>2026年</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12</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09</w:t>
      </w:r>
      <w:r>
        <w:rPr>
          <w:rFonts w:hint="eastAsia" w:ascii="仿宋" w:hAnsi="仿宋" w:eastAsia="仿宋" w:cs="仿宋"/>
          <w:color w:val="auto"/>
          <w:sz w:val="24"/>
          <w:highlight w:val="none"/>
          <w:u w:val="single"/>
        </w:rPr>
        <w:t>点00分00秒</w:t>
      </w:r>
      <w:r>
        <w:rPr>
          <w:rFonts w:hint="eastAsia" w:ascii="仿宋" w:hAnsi="仿宋" w:eastAsia="仿宋" w:cs="仿宋"/>
          <w:bCs/>
          <w:color w:val="auto"/>
          <w:sz w:val="24"/>
          <w:highlight w:val="none"/>
          <w:u w:val="single"/>
        </w:rPr>
        <w:t xml:space="preserve">  </w:t>
      </w:r>
    </w:p>
    <w:p w14:paraId="138EDA9C">
      <w:pPr>
        <w:shd w:val="clea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4.开标地点（网址）：</w:t>
      </w:r>
      <w:r>
        <w:rPr>
          <w:rFonts w:hint="eastAsia" w:ascii="仿宋" w:hAnsi="仿宋" w:eastAsia="仿宋" w:cs="仿宋"/>
          <w:color w:val="auto"/>
          <w:sz w:val="24"/>
          <w:highlight w:val="none"/>
        </w:rPr>
        <w:t>政采云平台（https://www.zcygov.cn/）</w:t>
      </w:r>
    </w:p>
    <w:p w14:paraId="06410552">
      <w:pPr>
        <w:shd w:val="clear"/>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五、公告期限 </w:t>
      </w:r>
    </w:p>
    <w:p w14:paraId="4EC529CD">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30A7B735">
      <w:pPr>
        <w:shd w:val="clea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六、其他补充事宜</w:t>
      </w:r>
    </w:p>
    <w:p w14:paraId="5A4A5BD3">
      <w:pPr>
        <w:shd w:val="clea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21E606AF">
      <w:pPr>
        <w:shd w:val="clea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根据《浙江省财政厅关于进一步促进政府采购公平竞争打造最优营商环境的通知》（浙财采监〔2022〕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69DED386">
      <w:pPr>
        <w:shd w:val="clea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FA36807">
      <w:pPr>
        <w:shd w:val="clea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65AB1967">
      <w:pPr>
        <w:shd w:val="clea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七、对本次采购提出询问、质疑、投诉，请按以下方式联系</w:t>
      </w:r>
    </w:p>
    <w:p w14:paraId="776BAB90">
      <w:pPr>
        <w:pStyle w:val="2"/>
        <w:shd w:val="clear"/>
        <w:ind w:left="0" w:firstLine="482" w:firstLineChars="200"/>
        <w:rPr>
          <w:rFonts w:hint="eastAsia" w:ascii="仿宋" w:eastAsia="仿宋" w:cs="仿宋"/>
          <w:color w:val="auto"/>
          <w:sz w:val="24"/>
          <w:szCs w:val="24"/>
          <w:highlight w:val="none"/>
        </w:rPr>
      </w:pPr>
      <w:bookmarkStart w:id="5" w:name="_Toc28359019"/>
      <w:bookmarkStart w:id="6" w:name="_Toc28359096"/>
      <w:bookmarkStart w:id="7" w:name="_Toc35393806"/>
      <w:bookmarkStart w:id="8" w:name="_Toc35393637"/>
      <w:r>
        <w:rPr>
          <w:rFonts w:hint="eastAsia" w:ascii="仿宋" w:eastAsia="仿宋" w:cs="仿宋"/>
          <w:color w:val="auto"/>
          <w:sz w:val="24"/>
          <w:szCs w:val="24"/>
          <w:highlight w:val="none"/>
        </w:rPr>
        <w:t>1.采购人信息</w:t>
      </w:r>
      <w:bookmarkEnd w:id="5"/>
      <w:bookmarkEnd w:id="6"/>
      <w:bookmarkEnd w:id="7"/>
      <w:bookmarkEnd w:id="8"/>
      <w:r>
        <w:rPr>
          <w:rFonts w:hint="eastAsia" w:ascii="仿宋" w:eastAsia="仿宋" w:cs="仿宋"/>
          <w:color w:val="auto"/>
          <w:sz w:val="24"/>
          <w:szCs w:val="24"/>
          <w:highlight w:val="none"/>
        </w:rPr>
        <w:t>：</w:t>
      </w:r>
    </w:p>
    <w:p w14:paraId="3AF28484">
      <w:pPr>
        <w:shd w:val="clear"/>
        <w:spacing w:line="360" w:lineRule="auto"/>
        <w:ind w:firstLine="480" w:firstLineChars="200"/>
        <w:rPr>
          <w:rFonts w:hint="eastAsia" w:ascii="仿宋" w:hAnsi="仿宋" w:eastAsia="仿宋" w:cs="仿宋"/>
          <w:color w:val="auto"/>
          <w:sz w:val="24"/>
          <w:highlight w:val="none"/>
        </w:rPr>
      </w:pPr>
      <w:bookmarkStart w:id="9" w:name="_Toc28359097"/>
      <w:bookmarkStart w:id="10" w:name="_Toc28359020"/>
      <w:bookmarkStart w:id="11" w:name="_Toc35393638"/>
      <w:bookmarkStart w:id="12" w:name="_Toc35393807"/>
      <w:r>
        <w:rPr>
          <w:rFonts w:hint="eastAsia" w:ascii="仿宋" w:hAnsi="仿宋" w:eastAsia="仿宋" w:cs="仿宋"/>
          <w:color w:val="auto"/>
          <w:sz w:val="24"/>
          <w:highlight w:val="none"/>
        </w:rPr>
        <w:t>名  称：嵊州市教育体育局</w:t>
      </w:r>
    </w:p>
    <w:p w14:paraId="116758A3">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址：嵊州市官河横路333号</w:t>
      </w:r>
    </w:p>
    <w:p w14:paraId="2FE9F46C">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项目联系人（询问）：</w:t>
      </w:r>
      <w:r>
        <w:rPr>
          <w:rFonts w:hint="eastAsia" w:ascii="仿宋" w:hAnsi="仿宋" w:eastAsia="仿宋" w:cs="仿宋"/>
          <w:color w:val="auto"/>
          <w:sz w:val="24"/>
          <w:highlight w:val="none"/>
          <w:lang w:eastAsia="zh-CN"/>
        </w:rPr>
        <w:t>孟老师</w:t>
      </w:r>
    </w:p>
    <w:p w14:paraId="0ADD72F3">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项目联系方式（询问）：</w:t>
      </w:r>
      <w:r>
        <w:rPr>
          <w:rFonts w:hint="eastAsia" w:ascii="仿宋" w:hAnsi="仿宋" w:eastAsia="仿宋" w:cs="仿宋"/>
          <w:color w:val="auto"/>
          <w:sz w:val="24"/>
          <w:highlight w:val="none"/>
          <w:lang w:val="en-US" w:eastAsia="zh-CN"/>
        </w:rPr>
        <w:t>0575-83037029</w:t>
      </w:r>
    </w:p>
    <w:p w14:paraId="74A120EB">
      <w:pPr>
        <w:shd w:val="clear"/>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质疑联系人：</w:t>
      </w:r>
      <w:r>
        <w:rPr>
          <w:rFonts w:hint="eastAsia" w:ascii="仿宋" w:hAnsi="仿宋" w:eastAsia="仿宋" w:cs="仿宋"/>
          <w:color w:val="auto"/>
          <w:sz w:val="24"/>
          <w:highlight w:val="none"/>
          <w:lang w:val="en-US" w:eastAsia="zh-CN"/>
        </w:rPr>
        <w:t>郭老师</w:t>
      </w:r>
    </w:p>
    <w:p w14:paraId="15CE7E3E">
      <w:pPr>
        <w:shd w:val="clear"/>
        <w:spacing w:line="360" w:lineRule="auto"/>
        <w:ind w:firstLine="480" w:firstLineChars="200"/>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质疑联系方式：</w:t>
      </w:r>
      <w:r>
        <w:rPr>
          <w:rFonts w:hint="eastAsia" w:ascii="仿宋" w:hAnsi="仿宋" w:eastAsia="仿宋" w:cs="仿宋"/>
          <w:color w:val="auto"/>
          <w:sz w:val="24"/>
          <w:highlight w:val="none"/>
          <w:lang w:val="en-US" w:eastAsia="zh-CN"/>
        </w:rPr>
        <w:t>0575-83795976</w:t>
      </w:r>
    </w:p>
    <w:p w14:paraId="5EA20539">
      <w:pPr>
        <w:pStyle w:val="2"/>
        <w:shd w:val="clear"/>
        <w:ind w:left="0" w:firstLine="482" w:firstLineChars="200"/>
        <w:rPr>
          <w:rFonts w:hint="eastAsia" w:ascii="仿宋" w:eastAsia="仿宋" w:cs="仿宋"/>
          <w:color w:val="auto"/>
          <w:sz w:val="24"/>
          <w:highlight w:val="none"/>
        </w:rPr>
      </w:pPr>
      <w:r>
        <w:rPr>
          <w:rFonts w:hint="eastAsia" w:ascii="仿宋" w:eastAsia="仿宋" w:cs="仿宋"/>
          <w:color w:val="auto"/>
          <w:sz w:val="24"/>
          <w:szCs w:val="24"/>
          <w:highlight w:val="none"/>
        </w:rPr>
        <w:t>2.采购代理机构信息</w:t>
      </w:r>
      <w:bookmarkEnd w:id="9"/>
      <w:bookmarkEnd w:id="10"/>
      <w:bookmarkEnd w:id="11"/>
      <w:bookmarkEnd w:id="12"/>
      <w:r>
        <w:rPr>
          <w:rFonts w:hint="eastAsia" w:ascii="仿宋" w:eastAsia="仿宋" w:cs="仿宋"/>
          <w:color w:val="auto"/>
          <w:sz w:val="24"/>
          <w:szCs w:val="24"/>
          <w:highlight w:val="none"/>
        </w:rPr>
        <w:t>：</w:t>
      </w:r>
    </w:p>
    <w:p w14:paraId="37EF8478">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名  称：绍兴市文汇项目管理有限公司            </w:t>
      </w:r>
    </w:p>
    <w:p w14:paraId="580357E6">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  址：嵊州市官河南路339号量子芯座11楼1105室            </w:t>
      </w:r>
    </w:p>
    <w:p w14:paraId="0FD3F535">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项目联系人（询问）：小章</w:t>
      </w:r>
    </w:p>
    <w:p w14:paraId="21D1C0D1">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项目联系方式（询问）：0575-83275561 </w:t>
      </w:r>
    </w:p>
    <w:p w14:paraId="38FFAA68">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质疑联系人：裘文燕             </w:t>
      </w:r>
    </w:p>
    <w:p w14:paraId="181497FD">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质疑联系方式：0575-83275560</w:t>
      </w:r>
    </w:p>
    <w:p w14:paraId="3A403AE7">
      <w:pPr>
        <w:shd w:val="clear"/>
        <w:spacing w:line="360" w:lineRule="auto"/>
        <w:ind w:firstLine="482" w:firstLineChars="200"/>
        <w:rPr>
          <w:rFonts w:hint="eastAsia" w:ascii="仿宋" w:hAnsi="仿宋" w:eastAsia="仿宋" w:cs="仿宋"/>
          <w:b/>
          <w:color w:val="auto"/>
          <w:sz w:val="24"/>
          <w:highlight w:val="none"/>
        </w:rPr>
      </w:pPr>
      <w:bookmarkStart w:id="13" w:name="_Toc35393639"/>
      <w:bookmarkStart w:id="14" w:name="_Toc28359098"/>
      <w:bookmarkStart w:id="15" w:name="_Toc28359021"/>
      <w:bookmarkStart w:id="16" w:name="_Toc35393808"/>
      <w:r>
        <w:rPr>
          <w:rFonts w:hint="eastAsia" w:ascii="仿宋" w:hAnsi="仿宋" w:eastAsia="仿宋" w:cs="仿宋"/>
          <w:b/>
          <w:bCs/>
          <w:color w:val="auto"/>
          <w:sz w:val="24"/>
          <w:highlight w:val="none"/>
        </w:rPr>
        <w:t>3.</w:t>
      </w:r>
      <w:r>
        <w:rPr>
          <w:rFonts w:hint="eastAsia" w:ascii="仿宋" w:hAnsi="仿宋" w:eastAsia="仿宋" w:cs="仿宋"/>
          <w:b/>
          <w:color w:val="auto"/>
          <w:sz w:val="24"/>
          <w:highlight w:val="none"/>
        </w:rPr>
        <w:t xml:space="preserve"> 同级政府采购监督管理部门：            </w:t>
      </w:r>
    </w:p>
    <w:bookmarkEnd w:id="13"/>
    <w:bookmarkEnd w:id="14"/>
    <w:bookmarkEnd w:id="15"/>
    <w:bookmarkEnd w:id="16"/>
    <w:p w14:paraId="2993F687">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称：嵊州市财政局、浙江省政府采购行政裁决中心（杭州）</w:t>
      </w:r>
    </w:p>
    <w:p w14:paraId="72325DF2">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址：杭州市上城区清泰街549号城建综合大楼11楼（快递仅限ems或顺丰）</w:t>
      </w:r>
    </w:p>
    <w:p w14:paraId="05121E3F">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人：林女士</w:t>
      </w:r>
    </w:p>
    <w:p w14:paraId="4E6F1DDA">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监督投诉电话：0571-87227671</w:t>
      </w:r>
    </w:p>
    <w:p w14:paraId="35A100F6">
      <w:pPr>
        <w:shd w:val="clear"/>
        <w:spacing w:line="360" w:lineRule="auto"/>
        <w:ind w:firstLine="480" w:firstLineChars="200"/>
        <w:rPr>
          <w:rFonts w:hint="eastAsia" w:ascii="仿宋" w:hAnsi="仿宋" w:eastAsia="仿宋" w:cs="仿宋"/>
          <w:color w:val="auto"/>
          <w:sz w:val="24"/>
          <w:highlight w:val="none"/>
        </w:rPr>
      </w:pPr>
    </w:p>
    <w:p w14:paraId="4F26E2CC">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政策咨询</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郑老师，电话</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0575-8303250</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 xml:space="preserve">    </w:t>
      </w:r>
    </w:p>
    <w:p w14:paraId="5937ED2F">
      <w:pPr>
        <w:shd w:val="clea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若对项目采购电子交易系统操作有疑问，可登录政采云（https://www.zcygov.cn/），点击右侧咨询小采，获取采小蜜智能服务管家帮助，或拨打政采云服务热线95763获取热线服务帮助。        </w:t>
      </w:r>
    </w:p>
    <w:p w14:paraId="78FFBAD6">
      <w:pPr>
        <w:shd w:val="clea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CA问题联系电话（人工）：汇信CA 400-888-4636；天谷CA 400-087-8198。</w:t>
      </w:r>
    </w:p>
    <w:p w14:paraId="352DCB14">
      <w:pPr>
        <w:widowControl/>
        <w:shd w:val="clear"/>
        <w:adjustRightInd/>
        <w:jc w:val="center"/>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第二部分</w:t>
      </w:r>
      <w:bookmarkEnd w:id="2"/>
      <w:r>
        <w:rPr>
          <w:rFonts w:hint="eastAsia" w:ascii="仿宋" w:hAnsi="仿宋" w:eastAsia="仿宋" w:cs="仿宋"/>
          <w:b/>
          <w:color w:val="auto"/>
          <w:sz w:val="36"/>
          <w:szCs w:val="20"/>
          <w:highlight w:val="none"/>
        </w:rPr>
        <w:t xml:space="preserve"> 投标须知</w:t>
      </w:r>
      <w:bookmarkEnd w:id="3"/>
    </w:p>
    <w:p w14:paraId="2888A2C7">
      <w:pPr>
        <w:shd w:val="clear"/>
        <w:adjustRightInd/>
        <w:spacing w:line="360" w:lineRule="auto"/>
        <w:ind w:firstLine="3845" w:firstLineChars="1197"/>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前附表</w:t>
      </w:r>
    </w:p>
    <w:tbl>
      <w:tblPr>
        <w:tblStyle w:val="25"/>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864"/>
        <w:gridCol w:w="7506"/>
      </w:tblGrid>
      <w:tr w14:paraId="6E56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70" w:type="dxa"/>
            <w:vAlign w:val="center"/>
          </w:tcPr>
          <w:p w14:paraId="68A233CB">
            <w:pPr>
              <w:shd w:val="clea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370" w:type="dxa"/>
            <w:gridSpan w:val="2"/>
            <w:vAlign w:val="center"/>
          </w:tcPr>
          <w:p w14:paraId="2BF38F9C">
            <w:pPr>
              <w:shd w:val="clea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内　　　　容</w:t>
            </w:r>
          </w:p>
        </w:tc>
      </w:tr>
      <w:tr w14:paraId="022B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70" w:type="dxa"/>
            <w:vAlign w:val="center"/>
          </w:tcPr>
          <w:p w14:paraId="04FD3623">
            <w:pPr>
              <w:shd w:val="clea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370" w:type="dxa"/>
            <w:gridSpan w:val="2"/>
            <w:vAlign w:val="center"/>
          </w:tcPr>
          <w:p w14:paraId="3AC60915">
            <w:pPr>
              <w:shd w:val="clear"/>
              <w:snapToGrid w:val="0"/>
              <w:spacing w:line="440" w:lineRule="exact"/>
              <w:rPr>
                <w:rFonts w:hint="eastAsia" w:ascii="仿宋" w:hAnsi="仿宋" w:eastAsia="仿宋" w:cs="仿宋"/>
                <w:color w:val="auto"/>
                <w:sz w:val="24"/>
                <w:highlight w:val="none"/>
                <w:u w:val="single"/>
              </w:rPr>
            </w:pPr>
            <w:r>
              <w:rPr>
                <w:rFonts w:hint="eastAsia" w:ascii="仿宋" w:hAnsi="仿宋" w:eastAsia="仿宋" w:cs="仿宋"/>
                <w:b/>
                <w:color w:val="auto"/>
                <w:sz w:val="24"/>
                <w:highlight w:val="none"/>
              </w:rPr>
              <w:t>投标人按照项目要求特许资格、资信证明文件（如有）：</w:t>
            </w:r>
          </w:p>
          <w:p w14:paraId="7BB879D7">
            <w:pPr>
              <w:shd w:val="clear"/>
              <w:spacing w:line="44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法律和国务院行政法规规定或授权有关部门规定供应商或产品进入市场须先行取得相关认证或许可的，投标人须在投标文件中提供相关的认证或许可证明材料。未经认证、许可，或者虽经认证、许可但相关资质证书已经失效的投标人，不能推荐、确认为中标供应商。</w:t>
            </w:r>
          </w:p>
        </w:tc>
      </w:tr>
      <w:tr w14:paraId="7449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70" w:type="dxa"/>
            <w:vAlign w:val="center"/>
          </w:tcPr>
          <w:p w14:paraId="751BE594">
            <w:pPr>
              <w:shd w:val="clea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370" w:type="dxa"/>
            <w:gridSpan w:val="2"/>
            <w:vAlign w:val="center"/>
          </w:tcPr>
          <w:p w14:paraId="0872E808">
            <w:pPr>
              <w:shd w:val="clear"/>
              <w:snapToGrid w:val="0"/>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资格审查方式：</w:t>
            </w:r>
            <w:r>
              <w:rPr>
                <w:rFonts w:hint="eastAsia" w:ascii="仿宋" w:hAnsi="仿宋" w:eastAsia="仿宋" w:cs="仿宋"/>
                <w:bCs/>
                <w:color w:val="auto"/>
                <w:sz w:val="24"/>
                <w:highlight w:val="none"/>
              </w:rPr>
              <w:t>资格后审。</w:t>
            </w:r>
          </w:p>
        </w:tc>
      </w:tr>
      <w:tr w14:paraId="1E0F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70" w:type="dxa"/>
            <w:vAlign w:val="center"/>
          </w:tcPr>
          <w:p w14:paraId="03F1D00F">
            <w:pPr>
              <w:shd w:val="clea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370" w:type="dxa"/>
            <w:gridSpan w:val="2"/>
            <w:vAlign w:val="center"/>
          </w:tcPr>
          <w:p w14:paraId="3C64D1E0">
            <w:pPr>
              <w:shd w:val="clear"/>
              <w:autoSpaceDE w:val="0"/>
              <w:autoSpaceDN w:val="0"/>
              <w:spacing w:line="440" w:lineRule="exact"/>
              <w:textAlignment w:val="bottom"/>
              <w:rPr>
                <w:rFonts w:hint="eastAsia" w:ascii="仿宋" w:hAnsi="仿宋" w:eastAsia="仿宋" w:cs="仿宋"/>
                <w:color w:val="auto"/>
                <w:sz w:val="24"/>
                <w:highlight w:val="none"/>
              </w:rPr>
            </w:pPr>
            <w:r>
              <w:rPr>
                <w:rFonts w:hint="eastAsia" w:ascii="仿宋" w:hAnsi="仿宋" w:eastAsia="仿宋" w:cs="仿宋"/>
                <w:b/>
                <w:color w:val="auto"/>
                <w:sz w:val="24"/>
                <w:highlight w:val="none"/>
              </w:rPr>
              <w:t>投标有效期：</w:t>
            </w:r>
            <w:r>
              <w:rPr>
                <w:rFonts w:hint="eastAsia" w:ascii="仿宋" w:hAnsi="仿宋" w:eastAsia="仿宋" w:cs="仿宋"/>
                <w:color w:val="auto"/>
                <w:sz w:val="24"/>
                <w:highlight w:val="none"/>
              </w:rPr>
              <w:t>投标有效期为从提交投标文件的截止之日起90天。</w:t>
            </w:r>
            <w:r>
              <w:rPr>
                <w:rFonts w:hint="eastAsia" w:ascii="仿宋" w:hAnsi="仿宋" w:eastAsia="仿宋" w:cs="仿宋"/>
                <w:b/>
                <w:color w:val="auto"/>
                <w:sz w:val="24"/>
                <w:highlight w:val="none"/>
              </w:rPr>
              <w:t>投标人的投标文件中承</w:t>
            </w:r>
            <w:r>
              <w:rPr>
                <w:rFonts w:hint="eastAsia" w:ascii="仿宋" w:hAnsi="仿宋" w:eastAsia="仿宋" w:cs="仿宋"/>
                <w:b/>
                <w:color w:val="auto"/>
                <w:sz w:val="24"/>
                <w:szCs w:val="21"/>
                <w:highlight w:val="none"/>
              </w:rPr>
              <w:t>诺的投标有效期少于招标文件中载明的投标有效期的，投标无效。</w:t>
            </w:r>
          </w:p>
        </w:tc>
      </w:tr>
      <w:tr w14:paraId="67F9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70" w:type="dxa"/>
            <w:vAlign w:val="center"/>
          </w:tcPr>
          <w:p w14:paraId="482A599A">
            <w:pPr>
              <w:shd w:val="clea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8370" w:type="dxa"/>
            <w:gridSpan w:val="2"/>
            <w:vAlign w:val="center"/>
          </w:tcPr>
          <w:p w14:paraId="7E521D87">
            <w:pPr>
              <w:shd w:val="clear"/>
              <w:spacing w:line="44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t>转包：</w:t>
            </w:r>
            <w:r>
              <w:rPr>
                <w:rFonts w:hint="eastAsia" w:ascii="仿宋" w:hAnsi="仿宋" w:eastAsia="仿宋" w:cs="仿宋"/>
                <w:color w:val="auto"/>
                <w:sz w:val="24"/>
                <w:highlight w:val="none"/>
              </w:rPr>
              <w:t>本项目不得转包。</w:t>
            </w:r>
          </w:p>
        </w:tc>
      </w:tr>
      <w:tr w14:paraId="5092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70" w:type="dxa"/>
            <w:vAlign w:val="center"/>
          </w:tcPr>
          <w:p w14:paraId="5212F7F1">
            <w:pPr>
              <w:shd w:val="clea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8370" w:type="dxa"/>
            <w:gridSpan w:val="2"/>
            <w:vAlign w:val="center"/>
          </w:tcPr>
          <w:p w14:paraId="0B20953A">
            <w:pPr>
              <w:shd w:val="clear"/>
              <w:spacing w:line="44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t>分包：</w:t>
            </w:r>
            <w:r>
              <w:rPr>
                <w:rFonts w:hint="eastAsia" w:ascii="仿宋" w:hAnsi="仿宋" w:eastAsia="仿宋" w:cs="仿宋"/>
                <w:color w:val="auto"/>
                <w:kern w:val="0"/>
                <w:sz w:val="24"/>
                <w:highlight w:val="none"/>
              </w:rPr>
              <w:t>☐ A</w:t>
            </w:r>
            <w:r>
              <w:rPr>
                <w:rFonts w:hint="eastAsia" w:ascii="仿宋" w:hAnsi="仿宋" w:eastAsia="仿宋" w:cs="仿宋"/>
                <w:color w:val="auto"/>
                <w:sz w:val="24"/>
                <w:highlight w:val="none"/>
              </w:rPr>
              <w:t>同意将非主体、非关键性的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工作分包。</w:t>
            </w:r>
          </w:p>
          <w:p w14:paraId="0B50135A">
            <w:pPr>
              <w:shd w:val="clear"/>
              <w:spacing w:line="440" w:lineRule="exact"/>
              <w:ind w:firstLine="720" w:firstLineChars="300"/>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rPr>
              <w:t>☑ B</w:t>
            </w:r>
            <w:r>
              <w:rPr>
                <w:rFonts w:hint="eastAsia" w:ascii="仿宋" w:hAnsi="仿宋" w:eastAsia="仿宋" w:cs="仿宋"/>
                <w:color w:val="auto"/>
                <w:sz w:val="24"/>
                <w:highlight w:val="none"/>
              </w:rPr>
              <w:t>不同意分包。</w:t>
            </w:r>
          </w:p>
        </w:tc>
      </w:tr>
      <w:tr w14:paraId="4E35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70" w:type="dxa"/>
            <w:vAlign w:val="center"/>
          </w:tcPr>
          <w:p w14:paraId="2C467514">
            <w:pPr>
              <w:shd w:val="clea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8370" w:type="dxa"/>
            <w:gridSpan w:val="2"/>
            <w:vAlign w:val="center"/>
          </w:tcPr>
          <w:p w14:paraId="0A91B24C">
            <w:pPr>
              <w:shd w:val="clear"/>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投标文件份数：</w:t>
            </w:r>
          </w:p>
          <w:p w14:paraId="7CA34601">
            <w:pPr>
              <w:numPr>
                <w:ilvl w:val="0"/>
                <w:numId w:val="5"/>
              </w:numPr>
              <w:shd w:val="clea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一份电子加密标书（后缀格式为.jmbs），一份备份标书文件（后缀格式为.bfbs）。</w:t>
            </w:r>
          </w:p>
          <w:p w14:paraId="3D6664D2">
            <w:pPr>
              <w:shd w:val="clea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每份电子投标文件应包括资格文件、商务技术文件及报价文件三部分内容。</w:t>
            </w:r>
          </w:p>
          <w:p w14:paraId="12AD9266">
            <w:pPr>
              <w:numPr>
                <w:ilvl w:val="0"/>
                <w:numId w:val="5"/>
              </w:numPr>
              <w:shd w:val="clear"/>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如中标，中标供应商须在中标公示结束后三个工作日内根据采购人要求提供纸质投标文件（与电子投标文件一致）至少三份，在领取中标通知书时递交至代理公司（邮寄地址：嵊州市官河南路339号量子芯座11楼1105室），如与电子投标文件不符或未在规定时间内提供纸质投标文件（与电子投标文件一致）的将影响中标供应商领取中标通知书。</w:t>
            </w:r>
          </w:p>
          <w:p w14:paraId="21BF051B">
            <w:pPr>
              <w:numPr>
                <w:ilvl w:val="0"/>
                <w:numId w:val="5"/>
              </w:numPr>
              <w:shd w:val="clea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“备份投标文件”：密封包装后（邮寄形式）投标截止时间前递交一份（邮寄地址：嵊州市官河南路339号量子芯座11楼1105室，小喻收）</w:t>
            </w:r>
          </w:p>
        </w:tc>
      </w:tr>
      <w:tr w14:paraId="44B6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 w:type="dxa"/>
            <w:vAlign w:val="center"/>
          </w:tcPr>
          <w:p w14:paraId="6E0820E9">
            <w:pPr>
              <w:shd w:val="clea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8370" w:type="dxa"/>
            <w:gridSpan w:val="2"/>
            <w:vAlign w:val="center"/>
          </w:tcPr>
          <w:p w14:paraId="2F590F9A">
            <w:pPr>
              <w:shd w:val="clear"/>
              <w:autoSpaceDE w:val="0"/>
              <w:autoSpaceDN w:val="0"/>
              <w:spacing w:line="440" w:lineRule="exact"/>
              <w:textAlignment w:val="bottom"/>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开标前答疑会或现场考察：</w:t>
            </w:r>
          </w:p>
          <w:p w14:paraId="4AA190E5">
            <w:pPr>
              <w:shd w:val="clear"/>
              <w:spacing w:line="440" w:lineRule="exac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不组织。</w:t>
            </w:r>
          </w:p>
          <w:p w14:paraId="00AA6AA8">
            <w:pPr>
              <w:shd w:val="clear"/>
              <w:autoSpaceDE w:val="0"/>
              <w:autoSpaceDN w:val="0"/>
              <w:spacing w:line="440" w:lineRule="exact"/>
              <w:textAlignment w:val="bottom"/>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rPr>
              <w:t>□B组织，</w:t>
            </w: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szCs w:val="20"/>
                <w:highlight w:val="none"/>
              </w:rPr>
              <w:t>。</w:t>
            </w:r>
          </w:p>
        </w:tc>
      </w:tr>
      <w:tr w14:paraId="1E41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70" w:type="dxa"/>
            <w:vAlign w:val="center"/>
          </w:tcPr>
          <w:p w14:paraId="5F2C8843">
            <w:pPr>
              <w:shd w:val="clea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8370" w:type="dxa"/>
            <w:gridSpan w:val="2"/>
            <w:vAlign w:val="center"/>
          </w:tcPr>
          <w:p w14:paraId="610CA49C">
            <w:pPr>
              <w:shd w:val="clear"/>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样品提供：</w:t>
            </w:r>
          </w:p>
          <w:p w14:paraId="60C8F20C">
            <w:pPr>
              <w:shd w:val="clear"/>
              <w:spacing w:line="440" w:lineRule="exac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不要求提供。</w:t>
            </w:r>
          </w:p>
          <w:p w14:paraId="2C4D4E62">
            <w:pPr>
              <w:shd w:val="clear"/>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□B要求提供：</w:t>
            </w:r>
          </w:p>
          <w:p w14:paraId="33F72CB0">
            <w:pPr>
              <w:shd w:val="clear"/>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snapToGrid w:val="0"/>
                <w:color w:val="auto"/>
                <w:kern w:val="28"/>
                <w:sz w:val="24"/>
                <w:highlight w:val="none"/>
              </w:rPr>
              <w:t>样品：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1ED27AF6">
            <w:pPr>
              <w:shd w:val="clear"/>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snapToGrid w:val="0"/>
                <w:color w:val="auto"/>
                <w:kern w:val="28"/>
                <w:sz w:val="24"/>
                <w:highlight w:val="none"/>
              </w:rPr>
              <w:t>样品制作的标准和要求：</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558D03F3">
            <w:pPr>
              <w:shd w:val="clear"/>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（3）样品的评审方法以及评审标准</w:t>
            </w:r>
            <w:r>
              <w:rPr>
                <w:rFonts w:hint="eastAsia" w:ascii="仿宋" w:hAnsi="仿宋" w:eastAsia="仿宋" w:cs="仿宋"/>
                <w:snapToGrid w:val="0"/>
                <w:color w:val="auto"/>
                <w:kern w:val="28"/>
                <w:sz w:val="24"/>
                <w:highlight w:val="none"/>
              </w:rPr>
              <w:t>：详见</w:t>
            </w:r>
            <w:r>
              <w:rPr>
                <w:rFonts w:hint="eastAsia" w:ascii="仿宋" w:hAnsi="仿宋" w:eastAsia="仿宋" w:cs="仿宋"/>
                <w:color w:val="auto"/>
                <w:sz w:val="24"/>
                <w:highlight w:val="none"/>
                <w:u w:val="single"/>
              </w:rPr>
              <w:t>评标办法</w:t>
            </w:r>
            <w:r>
              <w:rPr>
                <w:rFonts w:hint="eastAsia" w:ascii="仿宋" w:hAnsi="仿宋" w:eastAsia="仿宋" w:cs="仿宋"/>
                <w:color w:val="auto"/>
                <w:kern w:val="0"/>
                <w:sz w:val="24"/>
                <w:highlight w:val="none"/>
              </w:rPr>
              <w:t>；</w:t>
            </w:r>
          </w:p>
          <w:p w14:paraId="751F10A6">
            <w:pPr>
              <w:shd w:val="clear"/>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（4）是否需要随样品提交检测报告：☑否；□是，检测机构的要求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；检测内容</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581956C6">
            <w:pPr>
              <w:shd w:val="clea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（5）提供样品的时间：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；联系人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28"/>
                <w:sz w:val="24"/>
                <w:highlight w:val="none"/>
              </w:rPr>
              <w:t>联系电话：</w:t>
            </w:r>
            <w:r>
              <w:rPr>
                <w:rFonts w:hint="eastAsia" w:ascii="仿宋" w:hAnsi="仿宋" w:eastAsia="仿宋" w:cs="仿宋"/>
                <w:color w:val="auto"/>
                <w:kern w:val="28"/>
                <w:sz w:val="24"/>
                <w:highlight w:val="none"/>
                <w:u w:val="single"/>
              </w:rPr>
              <w:t xml:space="preserve">    </w:t>
            </w:r>
            <w:r>
              <w:rPr>
                <w:rFonts w:hint="eastAsia" w:ascii="仿宋" w:hAnsi="仿宋" w:eastAsia="仿宋" w:cs="仿宋"/>
                <w:color w:val="auto"/>
                <w:sz w:val="24"/>
                <w:highlight w:val="none"/>
              </w:rPr>
              <w:t>。请投标人在上述时间内提供样品并按规定位置安装完毕。超过截止时间的，采购人或采购代理机构将不予接收，并将清场并封闭样品现场。</w:t>
            </w:r>
          </w:p>
          <w:p w14:paraId="4B5E65C3">
            <w:pPr>
              <w:shd w:val="clea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14:paraId="51AD0332">
            <w:pPr>
              <w:shd w:val="clea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（7）制作、运输、安装和保管样品所发生的一切费用由投标人自理。</w:t>
            </w:r>
          </w:p>
          <w:p w14:paraId="70F3E224">
            <w:pPr>
              <w:shd w:val="clear"/>
              <w:spacing w:line="440" w:lineRule="exac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（8）未按招标文件要求提供样品或提供样品不满足采购需求实质性条件的，投标无效。</w:t>
            </w:r>
          </w:p>
        </w:tc>
      </w:tr>
      <w:tr w14:paraId="65DF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0" w:type="dxa"/>
            <w:vAlign w:val="center"/>
          </w:tcPr>
          <w:p w14:paraId="22EC9707">
            <w:pPr>
              <w:shd w:val="clea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8370" w:type="dxa"/>
            <w:gridSpan w:val="2"/>
            <w:vAlign w:val="center"/>
          </w:tcPr>
          <w:p w14:paraId="4B547F77">
            <w:pPr>
              <w:shd w:val="clear"/>
              <w:spacing w:line="440" w:lineRule="exact"/>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方案讲解演示：</w:t>
            </w:r>
          </w:p>
          <w:p w14:paraId="4EC29F13">
            <w:pPr>
              <w:shd w:val="clea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☑A无方案讲解演示。</w:t>
            </w:r>
          </w:p>
          <w:p w14:paraId="279AD6A6">
            <w:pPr>
              <w:shd w:val="clea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□B有方案讲解演示：</w:t>
            </w:r>
          </w:p>
          <w:p w14:paraId="7388D494">
            <w:pPr>
              <w:shd w:val="clear"/>
              <w:spacing w:line="44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（1）在评标时安排每个供应商进行方案讲解演示。每个供应商时间不超过</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分钟，讲解次序以投标文件解密时间先后次序为准。讲解演示结束后按要求解答评标委员会提问。</w:t>
            </w:r>
          </w:p>
          <w:p w14:paraId="7690C7F0">
            <w:pPr>
              <w:shd w:val="clear"/>
              <w:spacing w:line="44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（2）方案讲解演示可选择以下其中一种方式：</w:t>
            </w:r>
          </w:p>
          <w:p w14:paraId="0297E945">
            <w:pPr>
              <w:shd w:val="clear"/>
              <w:spacing w:line="44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zh-CN"/>
              </w:rPr>
              <w:t>方式一：政采云平台在线讲解演示。政采云平台在线讲解需供应商根据政采云平台操作要求做好准备工作，提前完善软硬件配置环境。</w:t>
            </w:r>
          </w:p>
          <w:p w14:paraId="6F0A1C75">
            <w:pPr>
              <w:shd w:val="clear"/>
              <w:spacing w:line="44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zh-CN"/>
              </w:rPr>
              <w:t>方式二：现场讲解演示。现场讲解地点为</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w:t>
            </w:r>
            <w:r>
              <w:rPr>
                <w:rFonts w:hint="eastAsia" w:ascii="仿宋" w:hAnsi="仿宋" w:eastAsia="仿宋" w:cs="仿宋"/>
                <w:color w:val="auto"/>
                <w:kern w:val="0"/>
                <w:sz w:val="24"/>
                <w:highlight w:val="none"/>
                <w:lang w:val="zh-CN"/>
              </w:rPr>
              <w:t>讲解演示人员不超过</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lang w:val="zh-CN"/>
              </w:rPr>
              <w:t>人。</w:t>
            </w:r>
            <w:r>
              <w:rPr>
                <w:rFonts w:hint="eastAsia" w:ascii="仿宋" w:hAnsi="仿宋" w:eastAsia="仿宋" w:cs="仿宋"/>
                <w:color w:val="auto"/>
                <w:sz w:val="24"/>
                <w:highlight w:val="none"/>
                <w:lang w:val="zh-CN"/>
              </w:rPr>
              <w:t>讲解演示所用电脑等设备由供应商自备。现场讲解演示人员进场时提供讲解人员名单（加盖公章或授权代表签名）及身份证明，否则不得讲解演示。</w:t>
            </w:r>
          </w:p>
          <w:p w14:paraId="0B0B686D">
            <w:pPr>
              <w:shd w:val="clea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注：因供应商自身原因导致无法演示或者演示效果不理想的，责任自负。因平台原因导致本项目方案讲解演示环节无法顺利开展，按照《浙江省政府采购项目电子交易管理暂行办法》相关规定执行。</w:t>
            </w:r>
          </w:p>
        </w:tc>
      </w:tr>
      <w:tr w14:paraId="45AD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70" w:type="dxa"/>
            <w:vAlign w:val="center"/>
          </w:tcPr>
          <w:p w14:paraId="58DA2F6D">
            <w:pPr>
              <w:shd w:val="clea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864" w:type="dxa"/>
            <w:vAlign w:val="center"/>
          </w:tcPr>
          <w:p w14:paraId="66E78DDF">
            <w:pPr>
              <w:shd w:val="clear"/>
              <w:snapToGrid w:val="0"/>
              <w:spacing w:line="440" w:lineRule="exact"/>
              <w:jc w:val="center"/>
              <w:rPr>
                <w:rFonts w:hint="eastAsia" w:ascii="仿宋" w:hAnsi="仿宋" w:eastAsia="仿宋" w:cs="仿宋"/>
                <w:b/>
                <w:color w:val="auto"/>
                <w:sz w:val="24"/>
                <w:highlight w:val="none"/>
              </w:rPr>
            </w:pPr>
            <w:r>
              <w:rPr>
                <w:rFonts w:hint="eastAsia" w:ascii="仿宋" w:hAnsi="仿宋" w:eastAsia="仿宋" w:cs="仿宋"/>
                <w:b/>
                <w:color w:val="auto"/>
                <w:spacing w:val="-20"/>
                <w:sz w:val="24"/>
                <w:highlight w:val="none"/>
              </w:rPr>
              <w:t>进口 产品</w:t>
            </w:r>
          </w:p>
        </w:tc>
        <w:tc>
          <w:tcPr>
            <w:tcW w:w="7506" w:type="dxa"/>
            <w:vAlign w:val="center"/>
          </w:tcPr>
          <w:p w14:paraId="6B4C1D3A">
            <w:pPr>
              <w:shd w:val="clea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☑本项目不允许采购进口产品。</w:t>
            </w:r>
          </w:p>
          <w:p w14:paraId="2FDCA91F">
            <w:pPr>
              <w:shd w:val="clear"/>
              <w:spacing w:line="44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□可以就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采购进口产品。</w:t>
            </w:r>
          </w:p>
        </w:tc>
      </w:tr>
      <w:tr w14:paraId="5224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70" w:type="dxa"/>
            <w:vAlign w:val="center"/>
          </w:tcPr>
          <w:p w14:paraId="19B31DF3">
            <w:pPr>
              <w:shd w:val="clea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864" w:type="dxa"/>
            <w:vAlign w:val="center"/>
          </w:tcPr>
          <w:p w14:paraId="4D56C4AF">
            <w:pPr>
              <w:shd w:val="clear"/>
              <w:snapToGrid w:val="0"/>
              <w:spacing w:line="440" w:lineRule="exact"/>
              <w:ind w:left="14" w:hanging="14" w:hangingChars="7"/>
              <w:jc w:val="center"/>
              <w:rPr>
                <w:rFonts w:hint="eastAsia" w:ascii="仿宋" w:hAnsi="仿宋" w:eastAsia="仿宋" w:cs="仿宋"/>
                <w:b/>
                <w:color w:val="auto"/>
                <w:spacing w:val="-20"/>
                <w:sz w:val="24"/>
                <w:highlight w:val="none"/>
              </w:rPr>
            </w:pPr>
            <w:r>
              <w:rPr>
                <w:rFonts w:hint="eastAsia" w:ascii="仿宋" w:hAnsi="仿宋" w:eastAsia="仿宋" w:cs="仿宋"/>
                <w:b/>
                <w:color w:val="auto"/>
                <w:spacing w:val="-20"/>
                <w:sz w:val="24"/>
                <w:highlight w:val="none"/>
              </w:rPr>
              <w:t>项目属性与核心产品</w:t>
            </w:r>
          </w:p>
        </w:tc>
        <w:tc>
          <w:tcPr>
            <w:tcW w:w="7506" w:type="dxa"/>
            <w:vAlign w:val="center"/>
          </w:tcPr>
          <w:p w14:paraId="553DBC51">
            <w:pPr>
              <w:shd w:val="clea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货物类，单一产品或</w:t>
            </w:r>
            <w:r>
              <w:rPr>
                <w:rFonts w:hint="eastAsia" w:ascii="仿宋" w:hAnsi="仿宋" w:eastAsia="仿宋" w:cs="仿宋"/>
                <w:color w:val="auto"/>
                <w:kern w:val="0"/>
                <w:sz w:val="24"/>
                <w:highlight w:val="none"/>
              </w:rPr>
              <w:t>核心产品为：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4AA9BBD">
            <w:pPr>
              <w:shd w:val="clear"/>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B</w:t>
            </w:r>
            <w:r>
              <w:rPr>
                <w:rFonts w:hint="eastAsia" w:ascii="仿宋" w:hAnsi="仿宋" w:eastAsia="仿宋" w:cs="仿宋"/>
                <w:color w:val="auto"/>
                <w:sz w:val="24"/>
                <w:highlight w:val="none"/>
              </w:rPr>
              <w:t>服务类。</w:t>
            </w:r>
          </w:p>
        </w:tc>
      </w:tr>
      <w:tr w14:paraId="1E40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70" w:type="dxa"/>
            <w:vAlign w:val="center"/>
          </w:tcPr>
          <w:p w14:paraId="785783AC">
            <w:pPr>
              <w:shd w:val="clea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864" w:type="dxa"/>
            <w:vAlign w:val="center"/>
          </w:tcPr>
          <w:p w14:paraId="6920C044">
            <w:pPr>
              <w:shd w:val="clear"/>
              <w:snapToGrid w:val="0"/>
              <w:spacing w:line="440" w:lineRule="exact"/>
              <w:ind w:hanging="1"/>
              <w:jc w:val="center"/>
              <w:rPr>
                <w:rFonts w:hint="eastAsia" w:ascii="仿宋" w:hAnsi="仿宋" w:eastAsia="仿宋" w:cs="仿宋"/>
                <w:b/>
                <w:color w:val="auto"/>
                <w:spacing w:val="-20"/>
                <w:sz w:val="24"/>
                <w:highlight w:val="none"/>
              </w:rPr>
            </w:pPr>
            <w:r>
              <w:rPr>
                <w:rFonts w:hint="eastAsia" w:ascii="仿宋" w:hAnsi="仿宋" w:eastAsia="仿宋" w:cs="仿宋"/>
                <w:b/>
                <w:color w:val="auto"/>
                <w:spacing w:val="-20"/>
                <w:sz w:val="24"/>
                <w:highlight w:val="none"/>
              </w:rPr>
              <w:t>采购标的对应的中小企业划分标准所属行业</w:t>
            </w:r>
          </w:p>
        </w:tc>
        <w:tc>
          <w:tcPr>
            <w:tcW w:w="7506" w:type="dxa"/>
            <w:vAlign w:val="center"/>
          </w:tcPr>
          <w:p w14:paraId="5CDBCBA7">
            <w:pPr>
              <w:shd w:val="clear"/>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根据《工业和信息化部、国家统计局、国家发展和改革委员会、财政部关于印发中小企业划型标准规定的通知》（工信部联企业[2011]300号）规定（有最新中小企业划型标准的以更新后的为准）：</w:t>
            </w:r>
          </w:p>
          <w:p w14:paraId="5D868F44">
            <w:pPr>
              <w:numPr>
                <w:ilvl w:val="0"/>
                <w:numId w:val="6"/>
              </w:numPr>
              <w:shd w:val="clear"/>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标的：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嵊州市教育体育局市属学校综合安保服务采购项目</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租赁和商务服务业</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212FF1EE">
            <w:pPr>
              <w:shd w:val="clear"/>
              <w:snapToGrid w:val="0"/>
              <w:spacing w:line="440" w:lineRule="exact"/>
              <w:rPr>
                <w:rFonts w:hint="eastAsia" w:ascii="仿宋" w:hAnsi="仿宋" w:eastAsia="仿宋" w:cs="仿宋"/>
                <w:color w:val="auto"/>
                <w:highlight w:val="none"/>
              </w:rPr>
            </w:pPr>
            <w:r>
              <w:rPr>
                <w:rFonts w:hint="eastAsia" w:ascii="仿宋" w:hAnsi="仿宋" w:eastAsia="仿宋" w:cs="仿宋"/>
                <w:color w:val="auto"/>
                <w:sz w:val="24"/>
                <w:highlight w:val="none"/>
              </w:rPr>
              <w:t>说明：声明函中所列行业与采购文件所明确的行业不一致但不改变划型结果情形的，不影响声明有效性，也不作为虚假资料情形认定。</w:t>
            </w:r>
          </w:p>
        </w:tc>
      </w:tr>
      <w:tr w14:paraId="66D8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Merge w:val="restart"/>
            <w:vAlign w:val="center"/>
          </w:tcPr>
          <w:p w14:paraId="509FC2F2">
            <w:pPr>
              <w:shd w:val="clea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864" w:type="dxa"/>
            <w:vMerge w:val="restart"/>
            <w:vAlign w:val="center"/>
          </w:tcPr>
          <w:p w14:paraId="6BCB89F4">
            <w:pPr>
              <w:shd w:val="clear"/>
              <w:snapToGrid w:val="0"/>
              <w:spacing w:line="44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投标人信用信息事项</w:t>
            </w:r>
          </w:p>
        </w:tc>
        <w:tc>
          <w:tcPr>
            <w:tcW w:w="7506" w:type="dxa"/>
            <w:vAlign w:val="center"/>
          </w:tcPr>
          <w:p w14:paraId="4287C613">
            <w:pPr>
              <w:shd w:val="clear"/>
              <w:snapToGrid w:val="0"/>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信用信息查询渠道及截止时间：</w:t>
            </w:r>
            <w:r>
              <w:rPr>
                <w:rFonts w:hint="eastAsia" w:ascii="仿宋" w:hAnsi="仿宋" w:eastAsia="仿宋" w:cs="仿宋"/>
                <w:color w:val="auto"/>
                <w:sz w:val="24"/>
                <w:highlight w:val="none"/>
              </w:rPr>
              <w:t>采购人或采购人委托的评审小组或采购代理机构将通过“信用中国”网站(www.creditchina.gov.cn)、中国政府采购网(www.ccgp.gov.cn)渠道查询投标人</w:t>
            </w:r>
            <w:r>
              <w:rPr>
                <w:rFonts w:hint="eastAsia" w:ascii="仿宋" w:hAnsi="仿宋" w:eastAsia="仿宋" w:cs="仿宋"/>
                <w:b/>
                <w:color w:val="auto"/>
                <w:sz w:val="24"/>
                <w:highlight w:val="none"/>
              </w:rPr>
              <w:t>开标当天</w:t>
            </w:r>
            <w:r>
              <w:rPr>
                <w:rFonts w:hint="eastAsia" w:ascii="仿宋" w:hAnsi="仿宋" w:eastAsia="仿宋" w:cs="仿宋"/>
                <w:color w:val="auto"/>
                <w:sz w:val="24"/>
                <w:highlight w:val="none"/>
              </w:rPr>
              <w:t>的信用记录。</w:t>
            </w:r>
          </w:p>
        </w:tc>
      </w:tr>
      <w:tr w14:paraId="7BD3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Merge w:val="continue"/>
            <w:vAlign w:val="center"/>
          </w:tcPr>
          <w:p w14:paraId="0FA7238A">
            <w:pPr>
              <w:shd w:val="clear"/>
              <w:spacing w:line="440" w:lineRule="exact"/>
              <w:jc w:val="center"/>
              <w:rPr>
                <w:rFonts w:hint="eastAsia" w:ascii="仿宋" w:hAnsi="仿宋" w:eastAsia="仿宋" w:cs="仿宋"/>
                <w:color w:val="auto"/>
                <w:sz w:val="24"/>
                <w:highlight w:val="none"/>
              </w:rPr>
            </w:pPr>
          </w:p>
        </w:tc>
        <w:tc>
          <w:tcPr>
            <w:tcW w:w="864" w:type="dxa"/>
            <w:vMerge w:val="continue"/>
            <w:vAlign w:val="center"/>
          </w:tcPr>
          <w:p w14:paraId="72732103">
            <w:pPr>
              <w:shd w:val="clear"/>
              <w:snapToGrid w:val="0"/>
              <w:spacing w:line="440" w:lineRule="exact"/>
              <w:rPr>
                <w:rFonts w:hint="eastAsia" w:ascii="仿宋" w:hAnsi="仿宋" w:eastAsia="仿宋" w:cs="仿宋"/>
                <w:b/>
                <w:color w:val="auto"/>
                <w:sz w:val="24"/>
                <w:highlight w:val="none"/>
              </w:rPr>
            </w:pPr>
          </w:p>
        </w:tc>
        <w:tc>
          <w:tcPr>
            <w:tcW w:w="7506" w:type="dxa"/>
            <w:vAlign w:val="center"/>
          </w:tcPr>
          <w:p w14:paraId="12BFE372">
            <w:pPr>
              <w:shd w:val="clear"/>
              <w:snapToGrid w:val="0"/>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信用信息查询记录和证据留存的具体方式：</w:t>
            </w:r>
            <w:r>
              <w:rPr>
                <w:rFonts w:hint="eastAsia" w:ascii="仿宋" w:hAnsi="仿宋" w:eastAsia="仿宋" w:cs="仿宋"/>
                <w:color w:val="auto"/>
                <w:sz w:val="24"/>
                <w:highlight w:val="none"/>
              </w:rPr>
              <w:t>采购人或采购人委托的评审小组或采购代理机构现场查询投标人的信用记录，查询结果经确认后与采购文件一起存档。</w:t>
            </w:r>
          </w:p>
        </w:tc>
      </w:tr>
      <w:tr w14:paraId="1D5A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70" w:type="dxa"/>
            <w:vMerge w:val="continue"/>
            <w:vAlign w:val="center"/>
          </w:tcPr>
          <w:p w14:paraId="3372B3BF">
            <w:pPr>
              <w:shd w:val="clear"/>
              <w:spacing w:line="440" w:lineRule="exact"/>
              <w:jc w:val="center"/>
              <w:rPr>
                <w:rFonts w:hint="eastAsia" w:ascii="仿宋" w:hAnsi="仿宋" w:eastAsia="仿宋" w:cs="仿宋"/>
                <w:color w:val="auto"/>
                <w:sz w:val="24"/>
                <w:highlight w:val="none"/>
              </w:rPr>
            </w:pPr>
          </w:p>
        </w:tc>
        <w:tc>
          <w:tcPr>
            <w:tcW w:w="864" w:type="dxa"/>
            <w:vMerge w:val="continue"/>
            <w:vAlign w:val="center"/>
          </w:tcPr>
          <w:p w14:paraId="7BFDC260">
            <w:pPr>
              <w:shd w:val="clear"/>
              <w:snapToGrid w:val="0"/>
              <w:spacing w:line="440" w:lineRule="exact"/>
              <w:rPr>
                <w:rFonts w:hint="eastAsia" w:ascii="仿宋" w:hAnsi="仿宋" w:eastAsia="仿宋" w:cs="仿宋"/>
                <w:b/>
                <w:color w:val="auto"/>
                <w:sz w:val="24"/>
                <w:highlight w:val="none"/>
              </w:rPr>
            </w:pPr>
          </w:p>
        </w:tc>
        <w:tc>
          <w:tcPr>
            <w:tcW w:w="7506" w:type="dxa"/>
            <w:vAlign w:val="center"/>
          </w:tcPr>
          <w:p w14:paraId="15B317BC">
            <w:pPr>
              <w:shd w:val="clear"/>
              <w:snapToGrid w:val="0"/>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信用信息的使用规则：</w:t>
            </w:r>
            <w:r>
              <w:rPr>
                <w:rFonts w:hint="eastAsia" w:ascii="仿宋" w:hAnsi="仿宋" w:eastAsia="仿宋" w:cs="仿宋"/>
                <w:color w:val="auto"/>
                <w:sz w:val="24"/>
                <w:highlight w:val="none"/>
              </w:rPr>
              <w:t>经查询列入失信被执行人名单、重大税收违法案件当事人名单、政府采购严重违法失信行为记录名单的投标人将被拒绝参与政府采购活动。</w:t>
            </w:r>
          </w:p>
        </w:tc>
      </w:tr>
      <w:tr w14:paraId="08BF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870" w:type="dxa"/>
            <w:vAlign w:val="center"/>
          </w:tcPr>
          <w:p w14:paraId="06B576D6">
            <w:pPr>
              <w:shd w:val="clea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p>
        </w:tc>
        <w:tc>
          <w:tcPr>
            <w:tcW w:w="8370" w:type="dxa"/>
            <w:gridSpan w:val="2"/>
            <w:vAlign w:val="center"/>
          </w:tcPr>
          <w:p w14:paraId="6EE7CF3E">
            <w:pPr>
              <w:shd w:val="clear"/>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需要落实的政府采购政策：包括保护环境、节约能源、促进中小企业发展等。详见招标文件第二部分总则。</w:t>
            </w:r>
          </w:p>
        </w:tc>
      </w:tr>
      <w:tr w14:paraId="4E6E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Align w:val="center"/>
          </w:tcPr>
          <w:p w14:paraId="3E39BC0D">
            <w:pPr>
              <w:shd w:val="clea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15</w:t>
            </w:r>
          </w:p>
        </w:tc>
        <w:tc>
          <w:tcPr>
            <w:tcW w:w="8370" w:type="dxa"/>
            <w:gridSpan w:val="2"/>
            <w:vAlign w:val="center"/>
          </w:tcPr>
          <w:p w14:paraId="3562E741">
            <w:pPr>
              <w:shd w:val="clear"/>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更正补充公告请自行登录浙江政府采购网查看下载。</w:t>
            </w:r>
          </w:p>
        </w:tc>
      </w:tr>
      <w:tr w14:paraId="5FF9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Align w:val="center"/>
          </w:tcPr>
          <w:p w14:paraId="157FFF19">
            <w:pPr>
              <w:shd w:val="clea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16                                                                                                                                                                                                                                                                                                                                                                                                                                                                                                                                                                                                                                                                                                                                                                                                                                                                                                                                                                                                                                                                                                                                                                                                                                                                                                                                       </w:t>
            </w:r>
          </w:p>
        </w:tc>
        <w:tc>
          <w:tcPr>
            <w:tcW w:w="8370" w:type="dxa"/>
            <w:gridSpan w:val="2"/>
            <w:vAlign w:val="center"/>
          </w:tcPr>
          <w:p w14:paraId="25619399">
            <w:pPr>
              <w:shd w:val="clear"/>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投标与开标注意事项：</w:t>
            </w:r>
          </w:p>
          <w:p w14:paraId="6003AC55">
            <w:pPr>
              <w:shd w:val="clear"/>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1.本项目实行网上投标，采用电子投标文件。若供应商参与投标，自行承担投标一切费用。</w:t>
            </w:r>
          </w:p>
          <w:p w14:paraId="08EBBAF9">
            <w:pPr>
              <w:shd w:val="clear"/>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标前准备：各供应商应在开标前完成CA数字证书办理。供应商将政采云电子交易客户端下载、安装完成后，可通过账号密码或CA登录客户端进行投标文件制作。在使用政采云投标客户端时，建议使用WIN7及以上操作系统。</w:t>
            </w:r>
          </w:p>
          <w:p w14:paraId="64F07C51">
            <w:pPr>
              <w:shd w:val="clear"/>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注：供应商CA相关操作可参考政采云平台</w:t>
            </w:r>
            <w:r>
              <w:rPr>
                <w:rFonts w:hint="eastAsia" w:ascii="仿宋" w:hAnsi="仿宋" w:eastAsia="仿宋" w:cs="仿宋"/>
                <w:color w:val="auto"/>
                <w:highlight w:val="none"/>
              </w:rPr>
              <w:t>https://www.zcygov.cn/</w:t>
            </w:r>
            <w:r>
              <w:rPr>
                <w:rFonts w:hint="eastAsia" w:ascii="仿宋" w:hAnsi="仿宋" w:eastAsia="仿宋" w:cs="仿宋"/>
                <w:color w:val="auto"/>
                <w:sz w:val="24"/>
                <w:highlight w:val="none"/>
              </w:rPr>
              <w:t>《CA申领操作指南》和《CA管理操作指南》。完成CA数字证书办理在资料齐全的情况下预计7个工作日左右，建议供应商获取招标文件后立即办理。</w:t>
            </w:r>
          </w:p>
          <w:p w14:paraId="751BEADF">
            <w:pPr>
              <w:shd w:val="clear"/>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3.投标文件制作、递交、解密：</w:t>
            </w:r>
          </w:p>
          <w:p w14:paraId="40AAE82D">
            <w:pPr>
              <w:shd w:val="clear"/>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3.1应按照本项目招标文件和政采云平台的要求编制、加密传输投标文件。供应商在使用系统进行投标的过程中遇到涉及平台使用的任何问题，可致电政采云平台技术支持热线咨询，联系方式：95763。</w:t>
            </w:r>
          </w:p>
          <w:p w14:paraId="1D4BA83C">
            <w:pPr>
              <w:shd w:val="clea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3.2投标人通过“政采云”平台制作电子投标文件，投标文件制作详见“供应商-政府采购项目电子交易操作指南。</w:t>
            </w:r>
          </w:p>
          <w:p w14:paraId="1A0C51B5">
            <w:pPr>
              <w:shd w:val="clear"/>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3.3开标时间后30分钟内供应商可以登录“政采云”平台，用“项目采购-开标评标”功能进行解密投标文件。若供应商</w:t>
            </w:r>
            <w:r>
              <w:rPr>
                <w:rFonts w:hint="eastAsia" w:ascii="仿宋" w:hAnsi="仿宋" w:eastAsia="仿宋" w:cs="仿宋"/>
                <w:b/>
                <w:color w:val="auto"/>
                <w:sz w:val="24"/>
                <w:highlight w:val="none"/>
                <w:u w:val="single"/>
              </w:rPr>
              <w:t>未按时解密的</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u w:val="single"/>
              </w:rPr>
              <w:t>视为投标文件撤回</w:t>
            </w:r>
            <w:r>
              <w:rPr>
                <w:rFonts w:hint="eastAsia" w:ascii="仿宋" w:hAnsi="仿宋" w:eastAsia="仿宋" w:cs="仿宋"/>
                <w:color w:val="auto"/>
                <w:sz w:val="24"/>
                <w:highlight w:val="none"/>
              </w:rPr>
              <w:t>。</w:t>
            </w:r>
          </w:p>
        </w:tc>
      </w:tr>
      <w:tr w14:paraId="3A51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Merge w:val="restart"/>
            <w:vAlign w:val="center"/>
          </w:tcPr>
          <w:p w14:paraId="5E8B0AC0">
            <w:pPr>
              <w:shd w:val="clea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17</w:t>
            </w:r>
          </w:p>
        </w:tc>
        <w:tc>
          <w:tcPr>
            <w:tcW w:w="8370" w:type="dxa"/>
            <w:gridSpan w:val="2"/>
            <w:vAlign w:val="center"/>
          </w:tcPr>
          <w:p w14:paraId="2B04189F">
            <w:pPr>
              <w:shd w:val="clear"/>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特别说明：</w:t>
            </w:r>
          </w:p>
          <w:p w14:paraId="3C611E88">
            <w:pPr>
              <w:shd w:val="clear"/>
              <w:spacing w:line="440" w:lineRule="exact"/>
              <w:rPr>
                <w:rFonts w:hint="eastAsia" w:ascii="仿宋" w:hAnsi="仿宋" w:eastAsia="仿宋" w:cs="仿宋"/>
                <w:color w:val="auto"/>
                <w:sz w:val="24"/>
                <w:highlight w:val="none"/>
              </w:rPr>
            </w:pPr>
            <w:r>
              <w:rPr>
                <w:rFonts w:hint="eastAsia" w:ascii="仿宋" w:hAnsi="仿宋" w:eastAsia="仿宋" w:cs="仿宋"/>
                <w:snapToGrid w:val="0"/>
                <w:color w:val="auto"/>
                <w:kern w:val="28"/>
                <w:sz w:val="24"/>
                <w:highlight w:val="none"/>
              </w:rPr>
              <w:t>联合体投标的或者以分包方式履行合同的，联合体各方（供应商与分包供应商）分别提供与联合体协议（分包意向协议）中规定的分工内容相应的业绩证明材料，业绩数量以提供材料较少的一方为准</w:t>
            </w:r>
            <w:r>
              <w:rPr>
                <w:rFonts w:hint="eastAsia" w:ascii="仿宋" w:hAnsi="仿宋" w:eastAsia="仿宋" w:cs="仿宋"/>
                <w:b/>
                <w:color w:val="auto"/>
                <w:kern w:val="0"/>
                <w:sz w:val="24"/>
                <w:highlight w:val="none"/>
              </w:rPr>
              <w:t>。</w:t>
            </w:r>
          </w:p>
        </w:tc>
      </w:tr>
      <w:tr w14:paraId="0CD7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Merge w:val="continue"/>
            <w:vAlign w:val="center"/>
          </w:tcPr>
          <w:p w14:paraId="712D3E41">
            <w:pPr>
              <w:shd w:val="clear"/>
              <w:spacing w:line="440" w:lineRule="exact"/>
              <w:jc w:val="center"/>
              <w:rPr>
                <w:rFonts w:hint="eastAsia" w:ascii="仿宋" w:hAnsi="仿宋" w:eastAsia="仿宋" w:cs="仿宋"/>
                <w:color w:val="auto"/>
                <w:sz w:val="24"/>
                <w:highlight w:val="none"/>
              </w:rPr>
            </w:pPr>
          </w:p>
        </w:tc>
        <w:tc>
          <w:tcPr>
            <w:tcW w:w="8370" w:type="dxa"/>
            <w:gridSpan w:val="2"/>
            <w:vAlign w:val="center"/>
          </w:tcPr>
          <w:p w14:paraId="3A7990DB">
            <w:pPr>
              <w:shd w:val="clear"/>
              <w:spacing w:line="440" w:lineRule="exact"/>
              <w:rPr>
                <w:rFonts w:hint="eastAsia" w:ascii="仿宋" w:hAnsi="仿宋" w:eastAsia="仿宋" w:cs="仿宋"/>
                <w:snapToGrid w:val="0"/>
                <w:color w:val="auto"/>
                <w:kern w:val="28"/>
                <w:sz w:val="24"/>
                <w:highlight w:val="none"/>
              </w:rPr>
            </w:pPr>
            <w:r>
              <w:rPr>
                <w:rFonts w:hint="eastAsia" w:ascii="仿宋" w:hAnsi="仿宋" w:eastAsia="仿宋" w:cs="仿宋"/>
                <w:color w:val="auto"/>
                <w:kern w:val="0"/>
                <w:sz w:val="24"/>
                <w:highlight w:val="none"/>
              </w:rPr>
              <w:t>☐</w:t>
            </w:r>
            <w:r>
              <w:rPr>
                <w:rFonts w:hint="eastAsia" w:ascii="仿宋" w:hAnsi="仿宋" w:eastAsia="仿宋" w:cs="仿宋"/>
                <w:snapToGrid w:val="0"/>
                <w:color w:val="auto"/>
                <w:kern w:val="28"/>
                <w:sz w:val="24"/>
                <w:highlight w:val="none"/>
              </w:rPr>
              <w:t>联合体投标的，联合体各方均需按招标文件第五部分评标标准要求提供商务技术文件，否则视为不符合相关要求。</w:t>
            </w:r>
          </w:p>
          <w:p w14:paraId="333CE95F">
            <w:pPr>
              <w:shd w:val="clea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snapToGrid w:val="0"/>
                <w:color w:val="auto"/>
                <w:kern w:val="28"/>
                <w:sz w:val="24"/>
                <w:highlight w:val="none"/>
              </w:rPr>
              <w:t>联合体投标的，联合体中有一方或者联合体成员根据分工按招标文件第五部分评标标准要求提供商务技术文件的，视为符合了相关要求。</w:t>
            </w:r>
          </w:p>
        </w:tc>
      </w:tr>
      <w:tr w14:paraId="5412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0" w:type="dxa"/>
            <w:vAlign w:val="center"/>
          </w:tcPr>
          <w:p w14:paraId="6DAF7887">
            <w:pPr>
              <w:shd w:val="clear"/>
              <w:snapToGrid w:val="0"/>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18</w:t>
            </w:r>
          </w:p>
        </w:tc>
        <w:tc>
          <w:tcPr>
            <w:tcW w:w="8370" w:type="dxa"/>
            <w:gridSpan w:val="2"/>
            <w:vAlign w:val="center"/>
          </w:tcPr>
          <w:p w14:paraId="26F6C453">
            <w:pPr>
              <w:shd w:val="clear"/>
              <w:spacing w:line="440" w:lineRule="exact"/>
              <w:rPr>
                <w:rFonts w:hint="eastAsia" w:ascii="仿宋" w:hAnsi="仿宋" w:eastAsia="仿宋" w:cs="仿宋"/>
                <w:b/>
                <w:bCs/>
                <w:snapToGrid w:val="0"/>
                <w:color w:val="auto"/>
                <w:sz w:val="24"/>
                <w:szCs w:val="21"/>
                <w:highlight w:val="none"/>
              </w:rPr>
            </w:pPr>
            <w:r>
              <w:rPr>
                <w:rFonts w:hint="eastAsia" w:ascii="仿宋" w:hAnsi="仿宋" w:eastAsia="仿宋" w:cs="仿宋"/>
                <w:b/>
                <w:bCs/>
                <w:color w:val="auto"/>
                <w:sz w:val="24"/>
                <w:highlight w:val="none"/>
              </w:rPr>
              <w:t>根据《浙江省财政厅关于进一步规范政府采购秩序促进公平竞争的通知》浙财采监〔2025〕2号要求，代理机构将对中标（成交）供应商在投标（响应）文件中涉及客观分评审内容的检测报告、认证证书、业绩等资料的真实性进行复核，请供应商在中标结果公示后予以配合。</w:t>
            </w:r>
          </w:p>
        </w:tc>
      </w:tr>
      <w:tr w14:paraId="53BE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0" w:type="dxa"/>
            <w:vAlign w:val="center"/>
          </w:tcPr>
          <w:p w14:paraId="7D025F0A">
            <w:pPr>
              <w:shd w:val="clear"/>
              <w:snapToGrid w:val="0"/>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19</w:t>
            </w:r>
          </w:p>
        </w:tc>
        <w:tc>
          <w:tcPr>
            <w:tcW w:w="8370" w:type="dxa"/>
            <w:gridSpan w:val="2"/>
            <w:vAlign w:val="center"/>
          </w:tcPr>
          <w:p w14:paraId="690E48A7">
            <w:pPr>
              <w:shd w:val="clear"/>
              <w:spacing w:line="440" w:lineRule="exact"/>
              <w:rPr>
                <w:rFonts w:hint="eastAsia" w:ascii="仿宋" w:hAnsi="仿宋" w:eastAsia="仿宋" w:cs="仿宋"/>
                <w:color w:val="auto"/>
                <w:sz w:val="24"/>
                <w:highlight w:val="none"/>
              </w:rPr>
            </w:pPr>
            <w:r>
              <w:rPr>
                <w:rFonts w:hint="eastAsia" w:ascii="仿宋" w:hAnsi="仿宋" w:eastAsia="仿宋" w:cs="仿宋"/>
                <w:b/>
                <w:bCs/>
                <w:snapToGrid w:val="0"/>
                <w:color w:val="auto"/>
                <w:sz w:val="24"/>
                <w:szCs w:val="21"/>
                <w:highlight w:val="none"/>
              </w:rPr>
              <w:t>推荐中标候选人数量：</w:t>
            </w:r>
            <w:r>
              <w:rPr>
                <w:rFonts w:hint="eastAsia" w:ascii="仿宋" w:hAnsi="仿宋" w:eastAsia="仿宋" w:cs="仿宋"/>
                <w:b/>
                <w:bCs/>
                <w:snapToGrid w:val="0"/>
                <w:color w:val="auto"/>
                <w:sz w:val="24"/>
                <w:szCs w:val="21"/>
                <w:highlight w:val="none"/>
                <w:lang w:val="en-US" w:eastAsia="zh-CN"/>
              </w:rPr>
              <w:t>各标项</w:t>
            </w:r>
            <w:r>
              <w:rPr>
                <w:rFonts w:hint="eastAsia" w:ascii="仿宋" w:hAnsi="仿宋" w:eastAsia="仿宋" w:cs="仿宋"/>
                <w:snapToGrid w:val="0"/>
                <w:color w:val="auto"/>
                <w:sz w:val="24"/>
                <w:szCs w:val="21"/>
                <w:highlight w:val="none"/>
              </w:rPr>
              <w:t>1名。</w:t>
            </w:r>
          </w:p>
        </w:tc>
      </w:tr>
      <w:tr w14:paraId="32F9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0" w:type="dxa"/>
            <w:vAlign w:val="center"/>
          </w:tcPr>
          <w:p w14:paraId="4504548C">
            <w:pPr>
              <w:shd w:val="clear"/>
              <w:snapToGrid w:val="0"/>
              <w:spacing w:line="336"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w:t>
            </w:r>
          </w:p>
        </w:tc>
        <w:tc>
          <w:tcPr>
            <w:tcW w:w="8370" w:type="dxa"/>
            <w:gridSpan w:val="2"/>
            <w:vAlign w:val="center"/>
          </w:tcPr>
          <w:p w14:paraId="071CBAF8">
            <w:pPr>
              <w:shd w:val="clear"/>
              <w:spacing w:line="336"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采购代理服务费：</w:t>
            </w:r>
          </w:p>
          <w:p w14:paraId="25BC267E">
            <w:pPr>
              <w:shd w:val="clear"/>
              <w:spacing w:line="336"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①按代理协议约定的内容，中标人需支付以下费用，请在投标报价中自行考虑：</w:t>
            </w:r>
            <w:r>
              <w:rPr>
                <w:rFonts w:hint="eastAsia" w:ascii="仿宋" w:hAnsi="仿宋" w:eastAsia="仿宋" w:cs="仿宋"/>
                <w:color w:val="auto"/>
                <w:sz w:val="24"/>
                <w:highlight w:val="none"/>
                <w:lang w:val="en-US" w:eastAsia="zh-CN"/>
              </w:rPr>
              <w:t>标项一：18000元</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标项二：16500元；标项三：15500元。</w:t>
            </w:r>
          </w:p>
          <w:p w14:paraId="45D8AFBF">
            <w:pPr>
              <w:shd w:val="clear"/>
              <w:spacing w:line="336"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②中标服务费的交纳方式：</w:t>
            </w:r>
          </w:p>
          <w:p w14:paraId="7A006653">
            <w:pPr>
              <w:shd w:val="clear"/>
              <w:spacing w:line="336"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用银行支票、汇票、电汇、现金等付款方式直接交纳中标服务费。</w:t>
            </w:r>
          </w:p>
          <w:p w14:paraId="6B4A2C7E">
            <w:pPr>
              <w:shd w:val="clear"/>
              <w:spacing w:line="336"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公司名称：绍兴市文汇项目管理有限公司</w:t>
            </w:r>
          </w:p>
          <w:p w14:paraId="5457F2C1">
            <w:pPr>
              <w:shd w:val="clear"/>
              <w:spacing w:line="336"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开户行：工商银行嵊州支行</w:t>
            </w:r>
          </w:p>
          <w:p w14:paraId="056C9662">
            <w:pPr>
              <w:shd w:val="clear"/>
              <w:spacing w:line="336" w:lineRule="auto"/>
              <w:rPr>
                <w:rFonts w:hint="eastAsia" w:ascii="仿宋" w:hAnsi="仿宋" w:eastAsia="仿宋" w:cs="仿宋"/>
                <w:color w:val="auto"/>
                <w:highlight w:val="none"/>
              </w:rPr>
            </w:pPr>
            <w:r>
              <w:rPr>
                <w:rFonts w:hint="eastAsia" w:ascii="仿宋" w:hAnsi="仿宋" w:eastAsia="仿宋" w:cs="仿宋"/>
                <w:color w:val="auto"/>
                <w:sz w:val="24"/>
                <w:highlight w:val="none"/>
              </w:rPr>
              <w:t>账  号：1211026009200820957</w:t>
            </w:r>
          </w:p>
        </w:tc>
      </w:tr>
      <w:tr w14:paraId="56053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240" w:type="dxa"/>
            <w:gridSpan w:val="3"/>
            <w:vAlign w:val="center"/>
          </w:tcPr>
          <w:p w14:paraId="5E1ADAC6">
            <w:pPr>
              <w:shd w:val="clea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解释：凡涉及本招标文件的解释权属于采购人及招标代理机构。</w:t>
            </w:r>
          </w:p>
        </w:tc>
      </w:tr>
      <w:tr w14:paraId="47AB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240" w:type="dxa"/>
            <w:gridSpan w:val="3"/>
            <w:vAlign w:val="center"/>
          </w:tcPr>
          <w:p w14:paraId="6DCC3A66">
            <w:pPr>
              <w:shd w:val="clear"/>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注：中标供应商放弃中标资格或因质疑、投诉被取消预中标资格或不能履行合同的，本项目组织重新招标。</w:t>
            </w:r>
          </w:p>
        </w:tc>
      </w:tr>
      <w:bookmarkEnd w:id="4"/>
    </w:tbl>
    <w:p w14:paraId="3DF7667A">
      <w:pPr>
        <w:shd w:val="clear"/>
        <w:adjustRightInd/>
        <w:spacing w:line="360" w:lineRule="auto"/>
        <w:jc w:val="center"/>
        <w:outlineLvl w:val="0"/>
        <w:rPr>
          <w:rFonts w:hint="eastAsia" w:ascii="仿宋" w:hAnsi="仿宋" w:eastAsia="仿宋" w:cs="仿宋"/>
          <w:b/>
          <w:color w:val="auto"/>
          <w:sz w:val="32"/>
          <w:szCs w:val="32"/>
          <w:highlight w:val="none"/>
        </w:rPr>
      </w:pPr>
      <w:bookmarkStart w:id="17" w:name="_Toc164416483"/>
      <w:bookmarkStart w:id="18" w:name="第三部分"/>
    </w:p>
    <w:p w14:paraId="65B834E1">
      <w:pPr>
        <w:shd w:val="clear"/>
        <w:adjustRightInd/>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一、总则</w:t>
      </w:r>
    </w:p>
    <w:p w14:paraId="400CDC82">
      <w:pPr>
        <w:shd w:val="clear"/>
        <w:snapToGrid w:val="0"/>
        <w:spacing w:line="440" w:lineRule="exact"/>
        <w:jc w:val="left"/>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1.适用范围</w:t>
      </w:r>
    </w:p>
    <w:p w14:paraId="6B381E61">
      <w:pPr>
        <w:shd w:val="clea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本招标文件适用于该项目的招标、投标、开标、资格审查及信用信息查询、评标、定标、合同、验收等行为（法律、法规另有规定的，从其规定）。</w:t>
      </w:r>
    </w:p>
    <w:p w14:paraId="2CD51D4D">
      <w:pPr>
        <w:shd w:val="clear"/>
        <w:adjustRightInd/>
        <w:spacing w:line="440" w:lineRule="exact"/>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2.定义</w:t>
      </w:r>
    </w:p>
    <w:p w14:paraId="2D1625E1">
      <w:pPr>
        <w:shd w:val="clea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 “采购人”系指招标公告中载明的本项目的采购人。</w:t>
      </w:r>
    </w:p>
    <w:p w14:paraId="3369638C">
      <w:pPr>
        <w:shd w:val="clea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 “采购代理机构”系指招标公告中载明的本项目的采购代理机构。</w:t>
      </w:r>
    </w:p>
    <w:p w14:paraId="44C0020D">
      <w:pPr>
        <w:shd w:val="clea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 “投标人”“供应商”系指是指响应招标、参加投标竞争的法人、其他组织或者自然人。</w:t>
      </w:r>
    </w:p>
    <w:p w14:paraId="702300B6">
      <w:pPr>
        <w:shd w:val="clea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2.4“监督单位”系指政府采购法定义监督管理部门。</w:t>
      </w:r>
    </w:p>
    <w:p w14:paraId="2BA619ED">
      <w:pPr>
        <w:shd w:val="clea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 “负责人”系指法人企业的法定负责人，或其他组织为法律、行政法规规定代表单位行使职权的主要负责人，或自然人本人。</w:t>
      </w:r>
    </w:p>
    <w:p w14:paraId="2243D542">
      <w:pPr>
        <w:shd w:val="clea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3）。</w:t>
      </w:r>
    </w:p>
    <w:p w14:paraId="2EDAD757">
      <w:pPr>
        <w:shd w:val="clea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2.7“电子交易平台”系指本项目政府采购活动所依托的政府采购云平台（https://www.zcygov.cn/）。</w:t>
      </w:r>
    </w:p>
    <w:p w14:paraId="566FABD6">
      <w:pPr>
        <w:shd w:val="clea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2.8“★”系指实质性指标要求条款，“▲” 系指主要性能指标要求条款。如任意一条打“★”的指标出现负偏离视为实质性不响应招标文件要求，作无效投标处理；如任意一条打“▲”的指标出现负偏离按评分标准作扣分处理。“</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”系指适用本项目的要求，“☐”系指不适用本项目的要求。</w:t>
      </w:r>
    </w:p>
    <w:p w14:paraId="71CCF72B">
      <w:pPr>
        <w:shd w:val="clear"/>
        <w:spacing w:line="440" w:lineRule="exact"/>
        <w:rPr>
          <w:rFonts w:hint="eastAsia" w:ascii="仿宋_GB2312" w:hAnsi="仿宋" w:eastAsia="仿宋_GB2312"/>
          <w:b/>
          <w:color w:val="auto"/>
          <w:sz w:val="24"/>
          <w:highlight w:val="none"/>
        </w:rPr>
      </w:pPr>
      <w:r>
        <w:rPr>
          <w:rFonts w:hint="eastAsia" w:ascii="仿宋_GB2312" w:hAnsi="仿宋" w:eastAsia="仿宋_GB2312"/>
          <w:b/>
          <w:color w:val="auto"/>
          <w:sz w:val="24"/>
          <w:highlight w:val="none"/>
        </w:rPr>
        <w:t>3.采购项目需要落实的政府采购政策</w:t>
      </w:r>
    </w:p>
    <w:p w14:paraId="61476FED">
      <w:pPr>
        <w:shd w:val="clear"/>
        <w:spacing w:line="440" w:lineRule="exact"/>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14:paraId="6AFF6D40">
      <w:pPr>
        <w:shd w:val="clear"/>
        <w:spacing w:line="440" w:lineRule="exact"/>
        <w:rPr>
          <w:rFonts w:hint="eastAsia" w:ascii="仿宋_GB2312" w:hAnsi="仿宋" w:eastAsia="仿宋_GB2312"/>
          <w:color w:val="auto"/>
          <w:sz w:val="24"/>
          <w:highlight w:val="none"/>
        </w:rPr>
      </w:pPr>
      <w:r>
        <w:rPr>
          <w:rFonts w:ascii="仿宋_GB2312" w:hAnsi="仿宋" w:eastAsia="仿宋_GB2312"/>
          <w:color w:val="auto"/>
          <w:sz w:val="24"/>
          <w:highlight w:val="none"/>
        </w:rPr>
        <w:t xml:space="preserve">3.2 </w:t>
      </w:r>
      <w:r>
        <w:rPr>
          <w:rFonts w:hint="eastAsia" w:ascii="仿宋_GB2312" w:hAnsi="仿宋" w:eastAsia="仿宋_GB2312"/>
          <w:color w:val="auto"/>
          <w:sz w:val="24"/>
          <w:highlight w:val="none"/>
        </w:rPr>
        <w:t>支持绿色发展</w:t>
      </w:r>
    </w:p>
    <w:p w14:paraId="5E9FF0C8">
      <w:pPr>
        <w:shd w:val="clear"/>
        <w:spacing w:line="440" w:lineRule="exact"/>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54CDEB31">
      <w:pPr>
        <w:shd w:val="clear"/>
        <w:spacing w:line="440" w:lineRule="exact"/>
        <w:rPr>
          <w:rFonts w:hint="eastAsia" w:ascii="仿宋_GB2312" w:hAnsi="仿宋" w:eastAsia="仿宋_GB2312"/>
          <w:b/>
          <w:color w:val="auto"/>
          <w:sz w:val="24"/>
          <w:highlight w:val="none"/>
        </w:rPr>
      </w:pPr>
      <w:r>
        <w:rPr>
          <w:rFonts w:hint="eastAsia" w:ascii="仿宋_GB2312" w:hAnsi="仿宋" w:eastAsia="仿宋_GB2312"/>
          <w:color w:val="auto"/>
          <w:sz w:val="24"/>
          <w:highlight w:val="none"/>
        </w:rPr>
        <w:t>★3.2.2</w:t>
      </w:r>
      <w:r>
        <w:rPr>
          <w:rFonts w:hint="eastAsia" w:ascii="仿宋_GB2312" w:hAnsi="仿宋" w:eastAsia="仿宋_GB2312"/>
          <w:b/>
          <w:color w:val="auto"/>
          <w:sz w:val="24"/>
          <w:highlight w:val="none"/>
        </w:rPr>
        <w:t>采购人拟采购的产品属于政府强制采购的节能产品品目清单范围的，投标人未按招标文件要求提供国家确定的认证机构出具的、处于有效期之内的节能产品认证证书，投标无效。</w:t>
      </w:r>
    </w:p>
    <w:p w14:paraId="71BE7C98">
      <w:pPr>
        <w:shd w:val="clear"/>
        <w:spacing w:line="440" w:lineRule="exact"/>
        <w:rPr>
          <w:rFonts w:hint="eastAsia" w:ascii="仿宋_GB2312" w:hAnsi="仿宋" w:eastAsia="仿宋_GB2312"/>
          <w:color w:val="auto"/>
          <w:sz w:val="24"/>
          <w:highlight w:val="none"/>
        </w:rPr>
      </w:pPr>
      <w:r>
        <w:rPr>
          <w:rFonts w:ascii="仿宋_GB2312" w:hAnsi="仿宋" w:eastAsia="仿宋_GB2312"/>
          <w:color w:val="auto"/>
          <w:sz w:val="24"/>
          <w:highlight w:val="none"/>
        </w:rPr>
        <w:t>3.2.</w:t>
      </w:r>
      <w:r>
        <w:rPr>
          <w:rFonts w:hint="eastAsia" w:ascii="仿宋_GB2312" w:hAnsi="仿宋" w:eastAsia="仿宋_GB2312"/>
          <w:color w:val="auto"/>
          <w:sz w:val="24"/>
          <w:highlight w:val="none"/>
        </w:rPr>
        <w:t>3</w:t>
      </w:r>
      <w:r>
        <w:rPr>
          <w:rFonts w:ascii="仿宋_GB2312" w:hAnsi="仿宋" w:eastAsia="仿宋_GB2312"/>
          <w:color w:val="auto"/>
          <w:sz w:val="24"/>
          <w:highlight w:val="none"/>
        </w:rPr>
        <w:t xml:space="preserve"> </w:t>
      </w:r>
      <w:r>
        <w:rPr>
          <w:rFonts w:hint="eastAsia" w:ascii="仿宋_GB2312" w:hAnsi="仿宋" w:eastAsia="仿宋_GB2312"/>
          <w:color w:val="auto"/>
          <w:sz w:val="24"/>
          <w:highlight w:val="none"/>
        </w:rPr>
        <w:t>纳入政府采购管理的修缮、装修类项目采购建材的，采购单位应将绿色建材性能、指标等作为实质性条件纳入采购文件和合同，具体性能指标要求按照相关绿色建材政府采购需求标准执行。</w:t>
      </w:r>
    </w:p>
    <w:p w14:paraId="4924F65D">
      <w:pPr>
        <w:shd w:val="clear"/>
        <w:spacing w:line="440" w:lineRule="exact"/>
        <w:rPr>
          <w:rFonts w:hint="eastAsia" w:ascii="仿宋_GB2312" w:hAnsi="仿宋" w:eastAsia="仿宋_GB2312"/>
          <w:color w:val="auto"/>
          <w:sz w:val="24"/>
          <w:highlight w:val="none"/>
        </w:rPr>
      </w:pPr>
      <w:r>
        <w:rPr>
          <w:rFonts w:ascii="仿宋_GB2312" w:hAnsi="仿宋" w:eastAsia="仿宋_GB2312"/>
          <w:color w:val="auto"/>
          <w:sz w:val="24"/>
          <w:highlight w:val="none"/>
        </w:rPr>
        <w:t>3.2.</w:t>
      </w:r>
      <w:r>
        <w:rPr>
          <w:rFonts w:hint="eastAsia" w:ascii="仿宋_GB2312" w:hAnsi="仿宋" w:eastAsia="仿宋_GB2312"/>
          <w:color w:val="auto"/>
          <w:sz w:val="24"/>
          <w:highlight w:val="none"/>
        </w:rPr>
        <w:t>4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7D0F9EFB">
      <w:pPr>
        <w:shd w:val="clear"/>
        <w:spacing w:line="440" w:lineRule="exact"/>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3.3</w:t>
      </w:r>
      <w:r>
        <w:rPr>
          <w:rFonts w:hint="eastAsia" w:ascii="仿宋_GB2312" w:hAnsi="仿宋" w:eastAsia="仿宋_GB2312"/>
          <w:bCs/>
          <w:color w:val="auto"/>
          <w:sz w:val="24"/>
          <w:highlight w:val="none"/>
        </w:rPr>
        <w:t>小微</w:t>
      </w:r>
      <w:r>
        <w:rPr>
          <w:rFonts w:hint="eastAsia" w:ascii="仿宋_GB2312" w:hAnsi="仿宋" w:eastAsia="仿宋_GB2312"/>
          <w:color w:val="auto"/>
          <w:sz w:val="24"/>
          <w:highlight w:val="none"/>
        </w:rPr>
        <w:t>企业价格扣除</w:t>
      </w:r>
    </w:p>
    <w:p w14:paraId="6812196F">
      <w:pPr>
        <w:shd w:val="clear"/>
        <w:spacing w:line="440" w:lineRule="exact"/>
        <w:rPr>
          <w:rFonts w:hint="eastAsia" w:ascii="仿宋_GB2312" w:hAnsi="仿宋" w:eastAsia="仿宋_GB2312"/>
          <w:bCs/>
          <w:color w:val="auto"/>
          <w:sz w:val="24"/>
          <w:highlight w:val="none"/>
        </w:rPr>
      </w:pPr>
      <w:r>
        <w:rPr>
          <w:rFonts w:hint="eastAsia" w:ascii="仿宋_GB2312" w:hAnsi="仿宋" w:eastAsia="仿宋_GB2312"/>
          <w:color w:val="auto"/>
          <w:sz w:val="24"/>
          <w:highlight w:val="none"/>
        </w:rPr>
        <w:t>3.3.1小微企业是指</w:t>
      </w:r>
      <w:r>
        <w:rPr>
          <w:rFonts w:hint="eastAsia" w:ascii="仿宋_GB2312" w:hAnsi="仿宋" w:eastAsia="仿宋_GB2312"/>
          <w:bCs/>
          <w:color w:val="auto"/>
          <w:sz w:val="24"/>
          <w:highlight w:val="none"/>
        </w:rPr>
        <w:t>在中华人民共和国境内依法设立，依据国务院批准的中小企业划分标准确定的小型企业和微型企业，但与大企业的负责人为同一人，或者与大企业存在直接控股、管理关系的除外。</w:t>
      </w:r>
    </w:p>
    <w:p w14:paraId="01DBE34E">
      <w:pPr>
        <w:shd w:val="clear"/>
        <w:spacing w:line="440" w:lineRule="exact"/>
        <w:ind w:firstLine="480" w:firstLineChars="200"/>
        <w:rPr>
          <w:rFonts w:hint="eastAsia" w:ascii="仿宋_GB2312" w:hAnsi="仿宋" w:eastAsia="仿宋_GB2312"/>
          <w:bCs/>
          <w:color w:val="auto"/>
          <w:sz w:val="24"/>
          <w:highlight w:val="none"/>
        </w:rPr>
      </w:pPr>
      <w:r>
        <w:rPr>
          <w:rFonts w:hint="eastAsia" w:ascii="仿宋_GB2312" w:hAnsi="仿宋" w:eastAsia="仿宋_GB2312"/>
          <w:bCs/>
          <w:color w:val="auto"/>
          <w:sz w:val="24"/>
          <w:highlight w:val="none"/>
        </w:rPr>
        <w:t>符合中小企业划分标准的个体工商户，在政府采购活动中视同中小企业。</w:t>
      </w:r>
    </w:p>
    <w:p w14:paraId="14C72FDE">
      <w:pPr>
        <w:shd w:val="clear"/>
        <w:spacing w:line="440" w:lineRule="exact"/>
        <w:rPr>
          <w:rFonts w:hint="eastAsia" w:ascii="仿宋_GB2312" w:hAnsi="仿宋" w:eastAsia="仿宋_GB2312"/>
          <w:bCs/>
          <w:color w:val="auto"/>
          <w:sz w:val="24"/>
          <w:highlight w:val="none"/>
        </w:rPr>
      </w:pPr>
      <w:r>
        <w:rPr>
          <w:rFonts w:hint="eastAsia" w:ascii="仿宋_GB2312" w:hAnsi="仿宋" w:eastAsia="仿宋_GB2312"/>
          <w:bCs/>
          <w:color w:val="auto"/>
          <w:sz w:val="24"/>
          <w:highlight w:val="none"/>
        </w:rPr>
        <w:t>3.3.2在货物采购项目中，货物由小微企业制造，即货物由小微企业生产且使用该小微企业商号或者注册商标。</w:t>
      </w:r>
      <w:r>
        <w:rPr>
          <w:rFonts w:hint="eastAsia" w:ascii="仿宋_GB2312" w:hAnsi="仿宋" w:eastAsia="仿宋_GB2312"/>
          <w:b/>
          <w:bCs/>
          <w:color w:val="auto"/>
          <w:sz w:val="24"/>
          <w:highlight w:val="none"/>
        </w:rPr>
        <w:t>供应商提供的货物既有中小企业制造货物，也有大型企业制造货物的，不享受中小企业扶持政策。</w:t>
      </w:r>
    </w:p>
    <w:p w14:paraId="448D2708">
      <w:pPr>
        <w:shd w:val="clear"/>
        <w:spacing w:line="440" w:lineRule="exact"/>
        <w:rPr>
          <w:rFonts w:hint="eastAsia" w:ascii="仿宋_GB2312" w:hAnsi="仿宋" w:eastAsia="仿宋_GB2312"/>
          <w:bCs/>
          <w:color w:val="auto"/>
          <w:sz w:val="24"/>
          <w:highlight w:val="none"/>
        </w:rPr>
      </w:pPr>
      <w:r>
        <w:rPr>
          <w:rFonts w:hint="eastAsia" w:ascii="仿宋_GB2312" w:hAnsi="仿宋" w:eastAsia="仿宋_GB2312"/>
          <w:bCs/>
          <w:color w:val="auto"/>
          <w:sz w:val="24"/>
          <w:highlight w:val="none"/>
        </w:rPr>
        <w:t>3.3.3在服务采购项目中，服务由小微企业承接，即提供服务的人员为小微企业依照《中华人民共和国劳动合同法》订立劳动合同的从业人员。</w:t>
      </w:r>
    </w:p>
    <w:p w14:paraId="470FDEFE">
      <w:pPr>
        <w:shd w:val="clear"/>
        <w:spacing w:line="440" w:lineRule="exact"/>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3.3.4小微企业应按照招标文件格式要求提供《中小企业声明函》。</w:t>
      </w:r>
    </w:p>
    <w:p w14:paraId="2E8E4234">
      <w:pPr>
        <w:shd w:val="clear"/>
        <w:spacing w:line="440" w:lineRule="exact"/>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3.3.5对于经主管预算单位统筹后未预留份额专门面向中小企业采购的采购项目，以及预留份额项目中的非预留部分采购包，采购人、采购代理机构将对符合规定的小微企业报价给予10%的扣除，用扣除后的价格参加评审。</w:t>
      </w:r>
    </w:p>
    <w:p w14:paraId="4D55BF76">
      <w:pPr>
        <w:shd w:val="clear"/>
        <w:spacing w:line="440" w:lineRule="exact"/>
        <w:ind w:firstLine="482" w:firstLineChars="200"/>
        <w:rPr>
          <w:rFonts w:hint="eastAsia" w:ascii="仿宋_GB2312" w:hAnsi="仿宋" w:eastAsia="仿宋_GB2312"/>
          <w:b/>
          <w:bCs/>
          <w:color w:val="auto"/>
          <w:sz w:val="24"/>
          <w:highlight w:val="none"/>
        </w:rPr>
      </w:pPr>
      <w:r>
        <w:rPr>
          <w:rFonts w:hint="eastAsia" w:ascii="仿宋_GB2312" w:hAnsi="仿宋" w:eastAsia="仿宋_GB2312"/>
          <w:b/>
          <w:bCs/>
          <w:color w:val="auto"/>
          <w:sz w:val="24"/>
          <w:highlight w:val="none"/>
        </w:rPr>
        <w:t>对于专门面向中小企业的项目，对小型或微型企业的投标报价不给予价格的扣除。</w:t>
      </w:r>
    </w:p>
    <w:p w14:paraId="66C3F077">
      <w:pPr>
        <w:shd w:val="clea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3.3.6接受大中型企业与小微企业组成联合体或者允许大中型企业向一家或者多家小微企业分包的采购项目，对于联合协议或者分包意向协议约定小微企业的合同份额占到合同总金额30%以上的，采购人、采购代理机构将对联合体或者大中型企业的报价给予4%的扣除，用扣除后的价格参加评审。组成联合体或者接受分包的小微企业与联合体内其他企业、分包企业之间存在直接控股、管理关系的，不享受价格扣除优惠政策。</w:t>
      </w:r>
    </w:p>
    <w:p w14:paraId="3C61970B">
      <w:pPr>
        <w:shd w:val="clear"/>
        <w:spacing w:line="440" w:lineRule="exact"/>
        <w:ind w:firstLine="482" w:firstLineChars="200"/>
        <w:rPr>
          <w:rFonts w:hint="eastAsia" w:ascii="仿宋_GB2312" w:hAnsi="仿宋" w:eastAsia="仿宋_GB2312"/>
          <w:b/>
          <w:bCs/>
          <w:color w:val="auto"/>
          <w:sz w:val="24"/>
          <w:highlight w:val="none"/>
        </w:rPr>
      </w:pPr>
      <w:r>
        <w:rPr>
          <w:rFonts w:hint="eastAsia" w:ascii="仿宋" w:hAnsi="仿宋" w:eastAsia="仿宋" w:cs="仿宋"/>
          <w:b/>
          <w:color w:val="auto"/>
          <w:sz w:val="24"/>
          <w:highlight w:val="none"/>
        </w:rPr>
        <w:t>以联合体形式参加政府采购活动， 联合体各方均为中小企业的，联合体视同中小企业。其中，联合体各方均为小微企业的，联合体视同小微企业。</w:t>
      </w:r>
    </w:p>
    <w:p w14:paraId="3ADA5729">
      <w:pPr>
        <w:shd w:val="clear"/>
        <w:spacing w:line="440" w:lineRule="exact"/>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3.3.7符合《关于促进残疾人就业政府采购政策的通知》（财库〔2017〕141号）规定的条件并提供《残疾人福利性单位声明函》的残疾人福利性单位视同小微企业；</w:t>
      </w:r>
    </w:p>
    <w:p w14:paraId="2DC9D9B3">
      <w:pPr>
        <w:shd w:val="clear"/>
        <w:spacing w:line="440" w:lineRule="exact"/>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3.3.8符合《关于政府采购支持监狱企业发展有关问题的通知》（财库[2014]68号）规定的监狱企业并提供由省级以上监狱管理局、戒毒管理局（含新疆生产建设兵团）出具的属于监狱企业证明文件的，视同为小微企业。</w:t>
      </w:r>
    </w:p>
    <w:p w14:paraId="6D3C67D9">
      <w:pPr>
        <w:shd w:val="clear"/>
        <w:spacing w:line="440" w:lineRule="exact"/>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4.特别说明：</w:t>
      </w:r>
    </w:p>
    <w:p w14:paraId="0E4B6C5B">
      <w:pPr>
        <w:shd w:val="clear"/>
        <w:spacing w:line="440" w:lineRule="exact"/>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4.1供应商投标所使用的资格、信誉、荣誉与企业认证必须为投标单位所拥有。</w:t>
      </w:r>
    </w:p>
    <w:p w14:paraId="3E373030">
      <w:pPr>
        <w:shd w:val="clear"/>
        <w:spacing w:line="440" w:lineRule="exact"/>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4.2供应商应仔细阅读招标文件的所有内容，按照招标文件的要求提交投标文件，并对所提供的全部资料的真实性承担法律责任。</w:t>
      </w:r>
    </w:p>
    <w:p w14:paraId="744FE83F">
      <w:pPr>
        <w:shd w:val="clear"/>
        <w:spacing w:line="440" w:lineRule="exact"/>
        <w:rPr>
          <w:color w:val="auto"/>
          <w:highlight w:val="none"/>
        </w:rPr>
      </w:pPr>
      <w:r>
        <w:rPr>
          <w:rFonts w:hint="eastAsia" w:ascii="仿宋_GB2312" w:hAnsi="仿宋" w:eastAsia="仿宋_GB2312"/>
          <w:color w:val="auto"/>
          <w:sz w:val="24"/>
          <w:highlight w:val="none"/>
        </w:rPr>
        <w:t>4.3供应商在投标活动中提供任何虚假材料,其投标无效，并报监管部门查处；中标后发现的,中标供应商须依照《中华人民共和国消费者权益保护法》规定赔偿采购人，且民事赔偿并不免除违法供应商的行政与刑事责任。</w:t>
      </w:r>
    </w:p>
    <w:p w14:paraId="351CEF7F">
      <w:pPr>
        <w:shd w:val="clear"/>
        <w:adjustRightInd/>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二、招标文件</w:t>
      </w:r>
    </w:p>
    <w:p w14:paraId="7E571491">
      <w:pPr>
        <w:shd w:val="clear"/>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1．招标方式</w:t>
      </w:r>
    </w:p>
    <w:p w14:paraId="00A51693">
      <w:pPr>
        <w:shd w:val="clea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 本次招标采用公开招标方式进行。</w:t>
      </w:r>
    </w:p>
    <w:p w14:paraId="30B2D111">
      <w:pPr>
        <w:shd w:val="clea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 如某一标项投标人或实质性响应招标文件的投标人不足三家时，由采购人重新组织招标或按有关规定实施。</w:t>
      </w:r>
    </w:p>
    <w:p w14:paraId="159B945A">
      <w:pPr>
        <w:shd w:val="clea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 本次招标设定限价，即招标公告中公布的各标项预算金额或最高限价（各标项之间的预算金额不能互相调整）。</w:t>
      </w:r>
    </w:p>
    <w:p w14:paraId="7FE4A9E3">
      <w:pPr>
        <w:pStyle w:val="14"/>
        <w:shd w:val="clear"/>
        <w:snapToGrid w:val="0"/>
        <w:spacing w:line="440" w:lineRule="exact"/>
        <w:ind w:firstLine="0" w:firstLineChars="0"/>
        <w:jc w:val="left"/>
        <w:rPr>
          <w:rFonts w:hint="eastAsia" w:ascii="仿宋" w:hAnsi="仿宋" w:eastAsia="仿宋" w:cs="仿宋"/>
          <w:b/>
          <w:color w:val="auto"/>
          <w:highlight w:val="none"/>
        </w:rPr>
      </w:pPr>
      <w:r>
        <w:rPr>
          <w:rFonts w:hint="eastAsia" w:ascii="仿宋" w:hAnsi="仿宋" w:eastAsia="仿宋" w:cs="仿宋"/>
          <w:b/>
          <w:color w:val="auto"/>
          <w:highlight w:val="none"/>
        </w:rPr>
        <w:t>2.授权委托</w:t>
      </w:r>
    </w:p>
    <w:p w14:paraId="26433DCF">
      <w:pPr>
        <w:shd w:val="clea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本项目为电子投标项目，投标人的法定代表人或其授权代表或个体工商户不需要参加现场投标和开标。</w:t>
      </w:r>
    </w:p>
    <w:p w14:paraId="69EC5D31">
      <w:pPr>
        <w:shd w:val="clear"/>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 投标费用</w:t>
      </w:r>
    </w:p>
    <w:p w14:paraId="10C7275A">
      <w:pPr>
        <w:shd w:val="clea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投标人应自行承担编制投标文件及参加本次投标所涉及的一切费用。不管投标结果如何，招标人对上述费用不负任何责任。</w:t>
      </w:r>
    </w:p>
    <w:p w14:paraId="74C23954">
      <w:pPr>
        <w:shd w:val="clear"/>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 招标文件的修改</w:t>
      </w:r>
    </w:p>
    <w:p w14:paraId="0C6D445D">
      <w:pPr>
        <w:shd w:val="clea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4.1招标文件包括本招标文件及所有的招标答疑记录（澄清、修改）和发出的补充通知。</w:t>
      </w:r>
    </w:p>
    <w:p w14:paraId="537B31CF">
      <w:pPr>
        <w:shd w:val="clea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4.2招标文件的澄清 </w:t>
      </w:r>
    </w:p>
    <w:p w14:paraId="53FBA9E5">
      <w:pPr>
        <w:shd w:val="clea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对招标文件如有疑点要求澄清，可用书面形式（包括并不仅限于纸质、信件和数据电文(包括电报、电传、传真、电子数据交换和电子邮件）)等通知招标人，但通知不得迟于开标前7日使招标人收到，招标人将用书面形式予以答复。如有必要，可将不说明来源的答复发给所有投标人。</w:t>
      </w:r>
    </w:p>
    <w:p w14:paraId="4A63E6D2">
      <w:pPr>
        <w:shd w:val="clea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4.3招标文件的修改</w:t>
      </w:r>
    </w:p>
    <w:p w14:paraId="24336E37">
      <w:pPr>
        <w:shd w:val="clea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4.3.1在投标截止时间前，招标人有权修改招标文件，并以书面形式通知所有投标人，通知中没有注明更改投标截止时间的视为截止时间不变。修改的文件作为招标文件的补充和组成部分，对所有投标人均有约束力。投标人应在两天内以书面形式确认已收到的修改文件，并需附法定代表人或其授权代表的签字加盖公章，逾期不确认的视同认可。</w:t>
      </w:r>
    </w:p>
    <w:p w14:paraId="0D503016">
      <w:pPr>
        <w:shd w:val="clea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4.3.2为使投标人有足够的时间按修改文件要求修正投标文件，招标人可酌情推迟投标截止时间和开标时间，并将此变更通知投标人。在这种情况下，招标人与投标人以前在投标截止期方面的全部权力、责任和义务，将适用于延长后新的投标截止期。</w:t>
      </w:r>
    </w:p>
    <w:p w14:paraId="771D941F">
      <w:pPr>
        <w:shd w:val="clear"/>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5.参考品牌</w:t>
      </w:r>
    </w:p>
    <w:p w14:paraId="0BC7C103">
      <w:pPr>
        <w:pStyle w:val="12"/>
        <w:shd w:val="clear"/>
        <w:ind w:firstLine="480" w:firstLineChars="200"/>
        <w:rPr>
          <w:rFonts w:hint="eastAsia" w:ascii="仿宋" w:hAnsi="仿宋" w:eastAsia="仿宋" w:cs="仿宋"/>
          <w:color w:val="auto"/>
          <w:sz w:val="32"/>
          <w:szCs w:val="32"/>
          <w:highlight w:val="none"/>
          <w:lang w:val="en-US"/>
        </w:rPr>
      </w:pPr>
      <w:r>
        <w:rPr>
          <w:rFonts w:hint="eastAsia" w:ascii="仿宋" w:hAnsi="仿宋" w:eastAsia="仿宋" w:cs="仿宋"/>
          <w:color w:val="auto"/>
          <w:szCs w:val="24"/>
          <w:highlight w:val="none"/>
          <w:lang w:val="en-US"/>
        </w:rPr>
        <w:t xml:space="preserve">本招标文件如涉及各类品牌、型号，则所述品牌、型号是结合实际现有情况的推荐性参考方案，投标方也可根据招标文件的要求推荐性能相当或高于、服务条款相等或高于、符合招标方实际业务需求其他同档次优质品牌的产品，进行方案优化。  </w:t>
      </w:r>
      <w:r>
        <w:rPr>
          <w:rFonts w:hint="eastAsia" w:ascii="仿宋" w:hAnsi="仿宋" w:eastAsia="仿宋" w:cs="仿宋"/>
          <w:color w:val="auto"/>
          <w:sz w:val="32"/>
          <w:szCs w:val="32"/>
          <w:highlight w:val="none"/>
          <w:lang w:val="en-US"/>
        </w:rPr>
        <w:t xml:space="preserve">  </w:t>
      </w:r>
    </w:p>
    <w:p w14:paraId="192A0E01">
      <w:pPr>
        <w:shd w:val="clear"/>
        <w:adjustRightInd/>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三、投标文件</w:t>
      </w:r>
    </w:p>
    <w:p w14:paraId="57B4CC41">
      <w:pPr>
        <w:shd w:val="clear"/>
        <w:snapToGrid w:val="0"/>
        <w:spacing w:line="44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1.投标文件的语言、计量单位、形式及效力</w:t>
      </w:r>
    </w:p>
    <w:p w14:paraId="43449C16">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1.1投标人应仔细阅读招标文件中的所有内容，按照招标文件要求，详细编制投标文件，并保证投标文件的正确性和真实性。</w:t>
      </w:r>
    </w:p>
    <w:p w14:paraId="3FA40DCD">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 投标文件以及投标方与招标方就有关投标事宜的所有来往函电，均应以中文书写（技术术语除外）。</w:t>
      </w:r>
    </w:p>
    <w:p w14:paraId="37D6C7EC">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1.3 投标计量单位，除招标文件中有特殊要求外，应采用中华人民共和国法定计量单位，货币单位：人民币元。</w:t>
      </w:r>
    </w:p>
    <w:p w14:paraId="53DA1301">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1.4不按招标文件的要求提供的投标文件可能导致被拒绝。</w:t>
      </w:r>
    </w:p>
    <w:p w14:paraId="40D114F6">
      <w:pPr>
        <w:shd w:val="clear"/>
        <w:snapToGrid w:val="0"/>
        <w:spacing w:line="4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1.5投标文件的形式和效力</w:t>
      </w:r>
    </w:p>
    <w:p w14:paraId="144020E8">
      <w:pPr>
        <w:shd w:val="clear"/>
        <w:snapToGrid w:val="0"/>
        <w:spacing w:line="440" w:lineRule="exact"/>
        <w:ind w:firstLine="723" w:firstLineChars="3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1.5.1投标文件为电子投标文件，电子投标文件按“政采云供应商项目采购-电子招投标操作指南”及本招标文件要求制作、加密传输。</w:t>
      </w:r>
    </w:p>
    <w:p w14:paraId="41C2C805">
      <w:pPr>
        <w:shd w:val="clear"/>
        <w:snapToGrid w:val="0"/>
        <w:spacing w:line="440" w:lineRule="exact"/>
        <w:ind w:firstLine="723" w:firstLineChars="300"/>
        <w:jc w:val="left"/>
        <w:rPr>
          <w:rFonts w:hint="eastAsia" w:ascii="仿宋" w:hAnsi="仿宋" w:eastAsia="仿宋" w:cs="仿宋"/>
          <w:b/>
          <w:color w:val="auto"/>
          <w:sz w:val="24"/>
          <w:highlight w:val="none"/>
          <w:u w:val="single"/>
        </w:rPr>
      </w:pPr>
      <w:r>
        <w:rPr>
          <w:rFonts w:hint="eastAsia" w:ascii="仿宋" w:hAnsi="仿宋" w:eastAsia="仿宋" w:cs="仿宋"/>
          <w:b/>
          <w:color w:val="auto"/>
          <w:sz w:val="24"/>
          <w:highlight w:val="none"/>
          <w:u w:val="single"/>
        </w:rPr>
        <w:t>1.5.2投标文件的效力：</w:t>
      </w:r>
    </w:p>
    <w:p w14:paraId="5C6E0B56">
      <w:pPr>
        <w:shd w:val="clear"/>
        <w:snapToGrid w:val="0"/>
        <w:spacing w:line="440" w:lineRule="exact"/>
        <w:ind w:firstLine="723" w:firstLineChars="300"/>
        <w:jc w:val="left"/>
        <w:rPr>
          <w:rFonts w:hint="eastAsia" w:ascii="仿宋" w:hAnsi="仿宋" w:eastAsia="仿宋" w:cs="仿宋"/>
          <w:b/>
          <w:color w:val="auto"/>
          <w:sz w:val="24"/>
          <w:highlight w:val="none"/>
          <w:u w:val="single"/>
        </w:rPr>
      </w:pPr>
      <w:r>
        <w:rPr>
          <w:rFonts w:hint="eastAsia" w:ascii="仿宋" w:hAnsi="仿宋" w:eastAsia="仿宋" w:cs="仿宋"/>
          <w:b/>
          <w:color w:val="auto"/>
          <w:sz w:val="24"/>
          <w:highlight w:val="none"/>
          <w:u w:val="single"/>
        </w:rPr>
        <w:t>投标文件未在投标截止时间前完成传输的，视为投标文件撤回；投标文件未按时解密，亦视为投标文件撤回。</w:t>
      </w:r>
    </w:p>
    <w:p w14:paraId="72B32234">
      <w:pPr>
        <w:pStyle w:val="16"/>
        <w:shd w:val="clear"/>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 投标文件的组成</w:t>
      </w:r>
    </w:p>
    <w:p w14:paraId="4140D0C8">
      <w:pPr>
        <w:shd w:val="clear"/>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投标文件由“资格文件”、“商务技术文件”、“报价文件”三部分组成，其中</w:t>
      </w:r>
      <w:r>
        <w:rPr>
          <w:rFonts w:hint="eastAsia" w:ascii="仿宋" w:hAnsi="仿宋" w:eastAsia="仿宋" w:cs="仿宋"/>
          <w:b/>
          <w:color w:val="auto"/>
          <w:sz w:val="24"/>
          <w:highlight w:val="none"/>
        </w:rPr>
        <w:t>电子投标文件中所须加盖公章部分均应采用电子签章。</w:t>
      </w:r>
    </w:p>
    <w:p w14:paraId="67B966DC">
      <w:pPr>
        <w:shd w:val="clear"/>
        <w:snapToGrid w:val="0"/>
        <w:spacing w:line="440" w:lineRule="exact"/>
        <w:ind w:firstLine="482" w:firstLineChars="200"/>
        <w:rPr>
          <w:rFonts w:hint="eastAsia" w:ascii="仿宋" w:hAnsi="仿宋" w:eastAsia="仿宋" w:cs="仿宋"/>
          <w:b/>
          <w:color w:val="auto"/>
          <w:sz w:val="24"/>
          <w:highlight w:val="none"/>
          <w:lang w:val="zh-CN"/>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zh-CN"/>
        </w:rPr>
        <w:t>.1资格文件：</w:t>
      </w:r>
    </w:p>
    <w:p w14:paraId="133FE1C6">
      <w:pPr>
        <w:shd w:val="clear"/>
        <w:snapToGrid w:val="0"/>
        <w:spacing w:line="44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2.1.1营业执照(或事业法人登记证或其他工商等登记证明材料)扫描件；</w:t>
      </w:r>
    </w:p>
    <w:p w14:paraId="7026091B">
      <w:pPr>
        <w:shd w:val="clear"/>
        <w:snapToGrid w:val="0"/>
        <w:spacing w:line="44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2.1.2符合参加政府采购活动应当具备的一般条件的承诺函；</w:t>
      </w:r>
    </w:p>
    <w:p w14:paraId="6F71D13D">
      <w:pPr>
        <w:shd w:val="clear"/>
        <w:snapToGrid w:val="0"/>
        <w:spacing w:line="44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2.1.3联合协议（如有）；</w:t>
      </w:r>
    </w:p>
    <w:p w14:paraId="77947F4F">
      <w:pPr>
        <w:shd w:val="clear"/>
        <w:snapToGrid w:val="0"/>
        <w:spacing w:line="44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2.1.4分包意向协议</w:t>
      </w:r>
      <w:r>
        <w:rPr>
          <w:rFonts w:hint="eastAsia" w:ascii="仿宋" w:hAnsi="仿宋" w:eastAsia="仿宋" w:cs="仿宋"/>
          <w:snapToGrid w:val="0"/>
          <w:color w:val="auto"/>
          <w:kern w:val="28"/>
          <w:sz w:val="24"/>
          <w:szCs w:val="20"/>
          <w:highlight w:val="none"/>
        </w:rPr>
        <w:t>（如有）</w:t>
      </w:r>
      <w:r>
        <w:rPr>
          <w:rFonts w:hint="eastAsia" w:ascii="仿宋" w:hAnsi="仿宋" w:eastAsia="仿宋" w:cs="仿宋"/>
          <w:color w:val="auto"/>
          <w:sz w:val="24"/>
          <w:highlight w:val="none"/>
        </w:rPr>
        <w:t>；</w:t>
      </w:r>
    </w:p>
    <w:p w14:paraId="748671CE">
      <w:pPr>
        <w:shd w:val="clear"/>
        <w:snapToGrid w:val="0"/>
        <w:spacing w:line="44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2.1.5落实政府采购政策需满足的资格要求（如有)；</w:t>
      </w:r>
    </w:p>
    <w:p w14:paraId="0E528C7D">
      <w:pPr>
        <w:shd w:val="clear"/>
        <w:snapToGrid w:val="0"/>
        <w:spacing w:line="44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2.1.6本项目的特定资格要求（如有)；</w:t>
      </w:r>
    </w:p>
    <w:p w14:paraId="7AD0126E">
      <w:pPr>
        <w:shd w:val="clear"/>
        <w:snapToGrid w:val="0"/>
        <w:spacing w:line="44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2.1.7投标文件解密后半小时内提供《政府采购活动现场确认声明书》，发送至邮箱984537027@qq.com。</w:t>
      </w:r>
    </w:p>
    <w:p w14:paraId="197DA618">
      <w:pPr>
        <w:shd w:val="clear"/>
        <w:snapToGrid w:val="0"/>
        <w:spacing w:line="440" w:lineRule="exact"/>
        <w:ind w:firstLine="482" w:firstLineChars="200"/>
        <w:rPr>
          <w:rFonts w:hint="eastAsia" w:ascii="仿宋" w:hAnsi="仿宋" w:eastAsia="仿宋" w:cs="仿宋"/>
          <w:b/>
          <w:color w:val="auto"/>
          <w:sz w:val="24"/>
          <w:highlight w:val="none"/>
          <w:lang w:val="zh-CN"/>
        </w:rPr>
      </w:pPr>
      <w:r>
        <w:rPr>
          <w:rFonts w:hint="eastAsia" w:ascii="仿宋" w:hAnsi="仿宋" w:eastAsia="仿宋" w:cs="仿宋"/>
          <w:b/>
          <w:color w:val="auto"/>
          <w:sz w:val="24"/>
          <w:highlight w:val="none"/>
          <w:lang w:val="zh-CN"/>
        </w:rPr>
        <w:t>2.</w:t>
      </w:r>
      <w:r>
        <w:rPr>
          <w:rFonts w:hint="eastAsia" w:ascii="仿宋" w:hAnsi="仿宋" w:eastAsia="仿宋" w:cs="仿宋"/>
          <w:b/>
          <w:color w:val="auto"/>
          <w:sz w:val="24"/>
          <w:highlight w:val="none"/>
        </w:rPr>
        <w:t>2商务技术</w:t>
      </w:r>
      <w:r>
        <w:rPr>
          <w:rFonts w:hint="eastAsia" w:ascii="仿宋" w:hAnsi="仿宋" w:eastAsia="仿宋" w:cs="仿宋"/>
          <w:b/>
          <w:color w:val="auto"/>
          <w:sz w:val="24"/>
          <w:highlight w:val="none"/>
          <w:lang w:val="zh-CN"/>
        </w:rPr>
        <w:t>文件：</w:t>
      </w:r>
    </w:p>
    <w:p w14:paraId="3F2281A9">
      <w:pPr>
        <w:shd w:val="clear"/>
        <w:snapToGrid w:val="0"/>
        <w:spacing w:line="44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2.2.1评分索引表；</w:t>
      </w:r>
    </w:p>
    <w:p w14:paraId="4F44E01C">
      <w:pPr>
        <w:shd w:val="clear"/>
        <w:snapToGrid w:val="0"/>
        <w:spacing w:line="44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2.2.2投标函；</w:t>
      </w:r>
      <w:r>
        <w:rPr>
          <w:rFonts w:hint="eastAsia" w:ascii="仿宋" w:hAnsi="仿宋" w:eastAsia="仿宋" w:cs="仿宋"/>
          <w:color w:val="auto"/>
          <w:sz w:val="24"/>
          <w:highlight w:val="none"/>
          <w:lang w:val="zh-CN"/>
        </w:rPr>
        <w:t xml:space="preserve"> </w:t>
      </w:r>
    </w:p>
    <w:p w14:paraId="75C177F5">
      <w:pPr>
        <w:shd w:val="clear"/>
        <w:snapToGrid w:val="0"/>
        <w:spacing w:line="44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2.2.3营业执照、相关证书扫描件；</w:t>
      </w:r>
    </w:p>
    <w:p w14:paraId="116D7872">
      <w:pPr>
        <w:shd w:val="clear"/>
        <w:snapToGrid w:val="0"/>
        <w:spacing w:line="44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2.2.4联合协议（如有）；</w:t>
      </w:r>
    </w:p>
    <w:p w14:paraId="6B49832C">
      <w:pPr>
        <w:shd w:val="clear"/>
        <w:snapToGrid w:val="0"/>
        <w:spacing w:line="44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2.2.5分包意向协议</w:t>
      </w:r>
      <w:r>
        <w:rPr>
          <w:rFonts w:hint="eastAsia" w:ascii="仿宋" w:hAnsi="仿宋" w:eastAsia="仿宋" w:cs="仿宋"/>
          <w:snapToGrid w:val="0"/>
          <w:color w:val="auto"/>
          <w:kern w:val="28"/>
          <w:sz w:val="24"/>
          <w:szCs w:val="20"/>
          <w:highlight w:val="none"/>
        </w:rPr>
        <w:t>（如有）</w:t>
      </w:r>
      <w:r>
        <w:rPr>
          <w:rFonts w:hint="eastAsia" w:ascii="仿宋" w:hAnsi="仿宋" w:eastAsia="仿宋" w:cs="仿宋"/>
          <w:color w:val="auto"/>
          <w:sz w:val="24"/>
          <w:highlight w:val="none"/>
        </w:rPr>
        <w:t>；</w:t>
      </w:r>
    </w:p>
    <w:p w14:paraId="575E0DC2">
      <w:pPr>
        <w:shd w:val="clear"/>
        <w:snapToGrid w:val="0"/>
        <w:spacing w:line="44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2.2.6法定代表人授权书、法定代表人及其授权代表身份证复印件、法定代表人身份证明书；</w:t>
      </w:r>
    </w:p>
    <w:p w14:paraId="07301E66">
      <w:pPr>
        <w:shd w:val="clear"/>
        <w:snapToGrid w:val="0"/>
        <w:spacing w:line="44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2.2.7商务资信响应表、技术偏离表；</w:t>
      </w:r>
    </w:p>
    <w:p w14:paraId="2D549DD3">
      <w:pPr>
        <w:shd w:val="clear"/>
        <w:snapToGrid w:val="0"/>
        <w:spacing w:line="44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2.2.8主要业绩证明；</w:t>
      </w:r>
    </w:p>
    <w:p w14:paraId="184D6C74">
      <w:pPr>
        <w:shd w:val="clear"/>
        <w:snapToGrid w:val="0"/>
        <w:spacing w:line="44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2.2.9项目小组人员名单；</w:t>
      </w:r>
    </w:p>
    <w:p w14:paraId="393D8934">
      <w:pPr>
        <w:shd w:val="clear"/>
        <w:snapToGrid w:val="0"/>
        <w:spacing w:line="44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2.2.10评标标准相应的商务技术</w:t>
      </w:r>
      <w:r>
        <w:rPr>
          <w:rFonts w:hint="eastAsia" w:ascii="仿宋" w:hAnsi="仿宋" w:eastAsia="仿宋" w:cs="仿宋"/>
          <w:color w:val="auto"/>
          <w:sz w:val="24"/>
          <w:highlight w:val="none"/>
          <w:lang w:val="zh-CN"/>
        </w:rPr>
        <w:t>资料；</w:t>
      </w:r>
    </w:p>
    <w:p w14:paraId="0376446E">
      <w:pPr>
        <w:shd w:val="clear"/>
        <w:snapToGrid w:val="0"/>
        <w:spacing w:line="44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2.2.11廉政承诺书；</w:t>
      </w:r>
    </w:p>
    <w:p w14:paraId="23E30779">
      <w:pPr>
        <w:shd w:val="clear"/>
        <w:snapToGrid w:val="0"/>
        <w:spacing w:line="440" w:lineRule="exact"/>
        <w:ind w:firstLine="720" w:firstLineChars="300"/>
        <w:rPr>
          <w:color w:val="auto"/>
          <w:highlight w:val="none"/>
          <w:lang w:val="zh-CN"/>
        </w:rPr>
      </w:pPr>
      <w:r>
        <w:rPr>
          <w:rFonts w:hint="eastAsia" w:ascii="仿宋" w:hAnsi="仿宋" w:eastAsia="仿宋" w:cs="仿宋"/>
          <w:color w:val="auto"/>
          <w:sz w:val="24"/>
          <w:highlight w:val="none"/>
        </w:rPr>
        <w:t>2.2.12投标人需要说明的其他文件和说明（格式自拟）。</w:t>
      </w:r>
    </w:p>
    <w:p w14:paraId="328F1033">
      <w:pPr>
        <w:shd w:val="clear"/>
        <w:snapToGrid w:val="0"/>
        <w:spacing w:line="440" w:lineRule="exact"/>
        <w:ind w:firstLine="482" w:firstLineChars="200"/>
        <w:rPr>
          <w:rFonts w:hint="eastAsia" w:ascii="仿宋" w:hAnsi="仿宋" w:eastAsia="仿宋" w:cs="仿宋"/>
          <w:b/>
          <w:color w:val="auto"/>
          <w:sz w:val="24"/>
          <w:highlight w:val="none"/>
          <w:lang w:val="zh-CN"/>
        </w:rPr>
      </w:pPr>
      <w:r>
        <w:rPr>
          <w:rFonts w:hint="eastAsia" w:ascii="仿宋" w:hAnsi="仿宋" w:eastAsia="仿宋" w:cs="仿宋"/>
          <w:b/>
          <w:color w:val="auto"/>
          <w:sz w:val="24"/>
          <w:highlight w:val="none"/>
          <w:lang w:val="zh-CN"/>
        </w:rPr>
        <w:t xml:space="preserve">2.3报价文件： </w:t>
      </w:r>
    </w:p>
    <w:p w14:paraId="1CD67B74">
      <w:pPr>
        <w:pStyle w:val="13"/>
        <w:shd w:val="clear"/>
        <w:autoSpaceDE/>
        <w:autoSpaceDN/>
        <w:snapToGrid w:val="0"/>
        <w:spacing w:line="44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rPr>
        <w:t>2.3.1开标一览表（报价表）；</w:t>
      </w:r>
    </w:p>
    <w:p w14:paraId="784A89B3">
      <w:pPr>
        <w:pStyle w:val="13"/>
        <w:shd w:val="clear"/>
        <w:autoSpaceDE/>
        <w:autoSpaceDN/>
        <w:snapToGrid w:val="0"/>
        <w:spacing w:line="44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lang w:val="en-US"/>
        </w:rPr>
        <w:t>2.3.2</w:t>
      </w:r>
      <w:r>
        <w:rPr>
          <w:rFonts w:hint="eastAsia" w:ascii="仿宋" w:hAnsi="仿宋" w:eastAsia="仿宋" w:cs="仿宋"/>
          <w:color w:val="auto"/>
          <w:highlight w:val="none"/>
        </w:rPr>
        <w:t>中小企业声明函（如有）；</w:t>
      </w:r>
    </w:p>
    <w:p w14:paraId="1C46D3B8">
      <w:pPr>
        <w:pStyle w:val="13"/>
        <w:shd w:val="clear"/>
        <w:autoSpaceDE/>
        <w:autoSpaceDN/>
        <w:snapToGrid w:val="0"/>
        <w:spacing w:line="44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rPr>
        <w:t>2.3.</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残疾人福利性单位声明函（如有）。</w:t>
      </w:r>
    </w:p>
    <w:p w14:paraId="74FC7F60">
      <w:pPr>
        <w:pStyle w:val="13"/>
        <w:shd w:val="clear"/>
        <w:autoSpaceDE/>
        <w:autoSpaceDN/>
        <w:snapToGrid w:val="0"/>
        <w:spacing w:line="440" w:lineRule="exact"/>
        <w:ind w:firstLine="0"/>
        <w:rPr>
          <w:rFonts w:hint="eastAsia" w:ascii="仿宋" w:hAnsi="仿宋" w:eastAsia="仿宋" w:cs="仿宋"/>
          <w:b/>
          <w:bCs/>
          <w:color w:val="auto"/>
          <w:highlight w:val="none"/>
        </w:rPr>
      </w:pPr>
      <w:r>
        <w:rPr>
          <w:rFonts w:ascii="仿宋" w:hAnsi="仿宋" w:eastAsia="仿宋" w:cs="仿宋"/>
          <w:b/>
          <w:bCs/>
          <w:color w:val="auto"/>
          <w:highlight w:val="none"/>
          <w:lang w:val="en-US"/>
        </w:rPr>
        <w:t>3.</w:t>
      </w:r>
      <w:r>
        <w:rPr>
          <w:rFonts w:hint="eastAsia" w:ascii="仿宋" w:hAnsi="仿宋" w:eastAsia="仿宋" w:cs="仿宋"/>
          <w:b/>
          <w:bCs/>
          <w:color w:val="auto"/>
          <w:highlight w:val="none"/>
          <w:lang w:val="en-US"/>
        </w:rPr>
        <w:t>投标报价</w:t>
      </w:r>
    </w:p>
    <w:p w14:paraId="544B4E03">
      <w:pPr>
        <w:pStyle w:val="13"/>
        <w:shd w:val="clear"/>
        <w:autoSpaceDE/>
        <w:autoSpaceDN/>
        <w:snapToGrid w:val="0"/>
        <w:spacing w:line="440" w:lineRule="exact"/>
        <w:ind w:firstLine="720" w:firstLineChars="300"/>
        <w:rPr>
          <w:rFonts w:hint="eastAsia" w:ascii="仿宋" w:hAnsi="仿宋" w:eastAsia="仿宋" w:cs="仿宋"/>
          <w:color w:val="auto"/>
          <w:highlight w:val="none"/>
          <w:lang w:val="en-US"/>
        </w:rPr>
      </w:pPr>
      <w:r>
        <w:rPr>
          <w:rFonts w:ascii="仿宋" w:hAnsi="仿宋" w:eastAsia="仿宋" w:cs="仿宋"/>
          <w:color w:val="auto"/>
          <w:highlight w:val="none"/>
          <w:lang w:val="en-US"/>
        </w:rPr>
        <w:t>3.1供应商应按招标文件中《开标一览表》等附表要求填写。</w:t>
      </w:r>
    </w:p>
    <w:p w14:paraId="3637B568">
      <w:pPr>
        <w:pStyle w:val="13"/>
        <w:shd w:val="clear"/>
        <w:autoSpaceDE/>
        <w:autoSpaceDN/>
        <w:snapToGrid w:val="0"/>
        <w:spacing w:line="440" w:lineRule="exact"/>
        <w:ind w:firstLine="720" w:firstLineChars="300"/>
        <w:rPr>
          <w:rFonts w:hint="eastAsia" w:ascii="仿宋" w:hAnsi="仿宋" w:eastAsia="仿宋" w:cs="仿宋"/>
          <w:color w:val="auto"/>
          <w:highlight w:val="none"/>
          <w:lang w:val="en-US"/>
        </w:rPr>
      </w:pPr>
      <w:r>
        <w:rPr>
          <w:rFonts w:ascii="仿宋" w:hAnsi="仿宋" w:eastAsia="仿宋" w:cs="仿宋"/>
          <w:color w:val="auto"/>
          <w:highlight w:val="none"/>
          <w:lang w:val="en-US"/>
        </w:rPr>
        <w:t>3.2报价为采购人可以合格使用产品的价格，包括货款、包装、运输、保险、货到就位以及安装、调试、培训、保修及产品知识产权等一切费用。</w:t>
      </w:r>
    </w:p>
    <w:p w14:paraId="43820BF2">
      <w:pPr>
        <w:pStyle w:val="13"/>
        <w:shd w:val="clear"/>
        <w:autoSpaceDE/>
        <w:autoSpaceDN/>
        <w:snapToGrid w:val="0"/>
        <w:spacing w:line="440" w:lineRule="exact"/>
        <w:ind w:firstLine="720" w:firstLineChars="300"/>
        <w:rPr>
          <w:rFonts w:hint="eastAsia" w:ascii="仿宋" w:hAnsi="仿宋" w:eastAsia="仿宋" w:cs="仿宋"/>
          <w:color w:val="auto"/>
          <w:highlight w:val="none"/>
          <w:lang w:val="en-US"/>
        </w:rPr>
      </w:pPr>
      <w:r>
        <w:rPr>
          <w:rFonts w:ascii="仿宋" w:hAnsi="仿宋" w:eastAsia="仿宋" w:cs="仿宋"/>
          <w:color w:val="auto"/>
          <w:highlight w:val="none"/>
          <w:lang w:val="en-US"/>
        </w:rPr>
        <w:t>3.3招标文件未列明，而供应商认为必需的费用也需列入报价。</w:t>
      </w:r>
    </w:p>
    <w:p w14:paraId="498C6C07">
      <w:pPr>
        <w:pStyle w:val="13"/>
        <w:shd w:val="clear"/>
        <w:autoSpaceDE/>
        <w:autoSpaceDN/>
        <w:snapToGrid w:val="0"/>
        <w:spacing w:line="440" w:lineRule="exact"/>
        <w:ind w:left="1200" w:leftChars="342" w:hanging="482" w:hangingChars="200"/>
        <w:rPr>
          <w:rFonts w:hint="eastAsia" w:ascii="仿宋" w:hAnsi="仿宋" w:eastAsia="仿宋" w:cs="仿宋"/>
          <w:b/>
          <w:bCs/>
          <w:color w:val="auto"/>
          <w:highlight w:val="none"/>
          <w:lang w:val="en-US"/>
        </w:rPr>
      </w:pPr>
      <w:r>
        <w:rPr>
          <w:rFonts w:ascii="仿宋" w:hAnsi="仿宋" w:eastAsia="仿宋" w:cs="仿宋"/>
          <w:b/>
          <w:bCs/>
          <w:color w:val="auto"/>
          <w:highlight w:val="none"/>
          <w:lang w:val="en-US"/>
        </w:rPr>
        <w:t>3.4投标报价只允许有一个报价，有选择的报价将不予接受（除指定外）</w:t>
      </w:r>
    </w:p>
    <w:p w14:paraId="4B7C04F3">
      <w:pPr>
        <w:pStyle w:val="13"/>
        <w:shd w:val="clear"/>
        <w:autoSpaceDE/>
        <w:autoSpaceDN/>
        <w:snapToGrid w:val="0"/>
        <w:spacing w:line="440" w:lineRule="exact"/>
        <w:ind w:left="1200" w:leftChars="342" w:hanging="482" w:hangingChars="200"/>
        <w:rPr>
          <w:rFonts w:hint="eastAsia" w:ascii="仿宋" w:hAnsi="仿宋" w:eastAsia="仿宋" w:cs="仿宋"/>
          <w:b/>
          <w:bCs/>
          <w:color w:val="auto"/>
          <w:highlight w:val="none"/>
          <w:lang w:val="en-US"/>
        </w:rPr>
      </w:pPr>
      <w:r>
        <w:rPr>
          <w:rFonts w:hint="eastAsia" w:ascii="仿宋" w:hAnsi="仿宋" w:eastAsia="仿宋" w:cs="仿宋"/>
          <w:b/>
          <w:bCs/>
          <w:color w:val="auto"/>
          <w:highlight w:val="none"/>
          <w:lang w:val="en-US"/>
        </w:rPr>
        <w:t>3.5报价文件含有采购人不能接受的附加条件的，投标无效；</w:t>
      </w:r>
    </w:p>
    <w:p w14:paraId="6E08DFBC">
      <w:pPr>
        <w:pStyle w:val="13"/>
        <w:shd w:val="clear"/>
        <w:autoSpaceDE/>
        <w:autoSpaceDN/>
        <w:snapToGrid w:val="0"/>
        <w:spacing w:line="440" w:lineRule="exact"/>
        <w:ind w:firstLine="723" w:firstLineChars="300"/>
        <w:rPr>
          <w:rFonts w:hint="eastAsia" w:ascii="仿宋" w:hAnsi="仿宋" w:eastAsia="仿宋" w:cs="仿宋"/>
          <w:b/>
          <w:bCs/>
          <w:color w:val="auto"/>
          <w:highlight w:val="none"/>
          <w:lang w:val="en-US"/>
        </w:rPr>
      </w:pPr>
      <w:r>
        <w:rPr>
          <w:rFonts w:hint="eastAsia" w:ascii="仿宋" w:hAnsi="仿宋" w:eastAsia="仿宋" w:cs="仿宋"/>
          <w:b/>
          <w:bCs/>
          <w:color w:val="auto"/>
          <w:highlight w:val="none"/>
          <w:lang w:val="en-US"/>
        </w:rPr>
        <w:t>3.6投标人提供虚假材料投标的，投标无效。</w:t>
      </w:r>
    </w:p>
    <w:p w14:paraId="197B09E6">
      <w:pPr>
        <w:pStyle w:val="13"/>
        <w:shd w:val="clear"/>
        <w:autoSpaceDE/>
        <w:autoSpaceDN/>
        <w:snapToGrid w:val="0"/>
        <w:spacing w:line="440" w:lineRule="exact"/>
        <w:ind w:firstLine="0"/>
        <w:rPr>
          <w:rFonts w:hint="eastAsia" w:ascii="仿宋" w:hAnsi="仿宋" w:eastAsia="仿宋" w:cs="仿宋"/>
          <w:b/>
          <w:color w:val="auto"/>
          <w:szCs w:val="24"/>
          <w:highlight w:val="none"/>
        </w:rPr>
      </w:pPr>
      <w:r>
        <w:rPr>
          <w:rFonts w:ascii="仿宋" w:hAnsi="仿宋" w:eastAsia="仿宋" w:cs="仿宋"/>
          <w:b/>
          <w:color w:val="auto"/>
          <w:kern w:val="0"/>
          <w:szCs w:val="24"/>
          <w:highlight w:val="none"/>
        </w:rPr>
        <w:t>4.</w:t>
      </w:r>
      <w:r>
        <w:rPr>
          <w:rFonts w:hint="eastAsia" w:ascii="仿宋" w:hAnsi="仿宋" w:eastAsia="仿宋" w:cs="仿宋"/>
          <w:b/>
          <w:color w:val="auto"/>
          <w:kern w:val="0"/>
          <w:szCs w:val="24"/>
          <w:highlight w:val="none"/>
        </w:rPr>
        <w:t xml:space="preserve"> </w:t>
      </w:r>
      <w:r>
        <w:rPr>
          <w:rFonts w:hint="eastAsia" w:ascii="仿宋" w:hAnsi="仿宋" w:eastAsia="仿宋" w:cs="仿宋"/>
          <w:b/>
          <w:color w:val="auto"/>
          <w:szCs w:val="24"/>
          <w:highlight w:val="none"/>
        </w:rPr>
        <w:t>投标文件的编制和</w:t>
      </w:r>
      <w:r>
        <w:rPr>
          <w:rFonts w:hint="eastAsia" w:ascii="仿宋" w:hAnsi="仿宋" w:eastAsia="仿宋" w:cs="仿宋"/>
          <w:b/>
          <w:color w:val="auto"/>
          <w:highlight w:val="none"/>
        </w:rPr>
        <w:t>签署</w:t>
      </w:r>
    </w:p>
    <w:p w14:paraId="63D324B7">
      <w:pPr>
        <w:shd w:val="clear"/>
        <w:spacing w:line="440" w:lineRule="exact"/>
        <w:ind w:firstLine="480" w:firstLineChars="200"/>
        <w:jc w:val="left"/>
        <w:rPr>
          <w:rFonts w:hint="eastAsia" w:ascii="仿宋" w:hAnsi="仿宋" w:eastAsia="仿宋" w:cs="仿宋"/>
          <w:color w:val="auto"/>
          <w:sz w:val="24"/>
          <w:highlight w:val="none"/>
        </w:rPr>
      </w:pPr>
      <w:r>
        <w:rPr>
          <w:rFonts w:ascii="仿宋" w:hAnsi="仿宋" w:eastAsia="仿宋" w:cs="仿宋"/>
          <w:color w:val="auto"/>
          <w:sz w:val="24"/>
          <w:highlight w:val="none"/>
        </w:rPr>
        <w:t>4</w:t>
      </w:r>
      <w:r>
        <w:rPr>
          <w:rFonts w:hint="eastAsia" w:ascii="仿宋" w:hAnsi="仿宋" w:eastAsia="仿宋" w:cs="仿宋"/>
          <w:color w:val="auto"/>
          <w:sz w:val="24"/>
          <w:highlight w:val="none"/>
          <w:lang w:val="zh-CN"/>
        </w:rPr>
        <w:t>.1</w:t>
      </w:r>
      <w:r>
        <w:rPr>
          <w:rFonts w:hint="eastAsia" w:ascii="仿宋" w:hAnsi="仿宋" w:eastAsia="仿宋" w:cs="仿宋"/>
          <w:color w:val="auto"/>
          <w:sz w:val="24"/>
          <w:highlight w:val="none"/>
        </w:rPr>
        <w:t>投标文件由“资格文件”、“商务技术文件”、“报价文件”三部分组成，其中</w:t>
      </w:r>
      <w:r>
        <w:rPr>
          <w:rFonts w:hint="eastAsia" w:ascii="仿宋" w:hAnsi="仿宋" w:eastAsia="仿宋" w:cs="仿宋"/>
          <w:b/>
          <w:color w:val="auto"/>
          <w:sz w:val="24"/>
          <w:highlight w:val="none"/>
        </w:rPr>
        <w:t>电子投标文件中所须加盖公章部分均应采用电子签章。</w:t>
      </w:r>
      <w:r>
        <w:rPr>
          <w:rFonts w:hint="eastAsia" w:ascii="仿宋" w:hAnsi="仿宋" w:eastAsia="仿宋" w:cs="仿宋"/>
          <w:color w:val="auto"/>
          <w:sz w:val="24"/>
          <w:highlight w:val="none"/>
          <w:lang w:val="zh-CN"/>
        </w:rPr>
        <w:t>各投标人在编制投标文件时请按照招标文件第六部分规定的格式进行，混乱的编排导致投标文件被误读或评标委员会查找不到有效文件是投标人的风险。</w:t>
      </w:r>
    </w:p>
    <w:p w14:paraId="122FF5D6">
      <w:pPr>
        <w:shd w:val="clear"/>
        <w:snapToGrid w:val="0"/>
        <w:spacing w:line="440" w:lineRule="exact"/>
        <w:ind w:firstLine="480" w:firstLineChars="200"/>
        <w:jc w:val="left"/>
        <w:rPr>
          <w:rFonts w:hint="eastAsia" w:ascii="仿宋" w:hAnsi="仿宋" w:eastAsia="仿宋" w:cs="仿宋"/>
          <w:color w:val="auto"/>
          <w:sz w:val="24"/>
          <w:highlight w:val="none"/>
          <w:lang w:val="zh-CN"/>
        </w:rPr>
      </w:pPr>
      <w:r>
        <w:rPr>
          <w:rFonts w:ascii="仿宋" w:hAnsi="仿宋" w:eastAsia="仿宋" w:cs="仿宋"/>
          <w:color w:val="auto"/>
          <w:sz w:val="24"/>
          <w:highlight w:val="none"/>
        </w:rPr>
        <w:t>4</w:t>
      </w:r>
      <w:r>
        <w:rPr>
          <w:rFonts w:hint="eastAsia" w:ascii="仿宋" w:hAnsi="仿宋" w:eastAsia="仿宋" w:cs="仿宋"/>
          <w:color w:val="auto"/>
          <w:sz w:val="24"/>
          <w:highlight w:val="none"/>
          <w:lang w:val="zh-CN"/>
        </w:rPr>
        <w:t>.2投标人进行电子投标应安装客户端软件—“政采云电子交易客户端”，并按照招标文件和电子交易平台的要求编制并加密投标文件。投标人未按规定加密的投标文件，电子交易平台将拒收并提示。</w:t>
      </w:r>
    </w:p>
    <w:p w14:paraId="73375DE6">
      <w:pPr>
        <w:shd w:val="clear"/>
        <w:snapToGrid w:val="0"/>
        <w:spacing w:line="440" w:lineRule="exact"/>
        <w:ind w:firstLine="480" w:firstLineChars="200"/>
        <w:jc w:val="left"/>
        <w:rPr>
          <w:rFonts w:hint="eastAsia" w:ascii="仿宋" w:hAnsi="仿宋" w:eastAsia="仿宋" w:cs="仿宋"/>
          <w:color w:val="auto"/>
          <w:sz w:val="24"/>
          <w:highlight w:val="none"/>
          <w:lang w:val="zh-CN"/>
        </w:rPr>
      </w:pPr>
      <w:r>
        <w:rPr>
          <w:rFonts w:ascii="仿宋" w:hAnsi="仿宋" w:eastAsia="仿宋" w:cs="仿宋"/>
          <w:color w:val="auto"/>
          <w:sz w:val="24"/>
          <w:highlight w:val="none"/>
        </w:rPr>
        <w:t>4</w:t>
      </w:r>
      <w:r>
        <w:rPr>
          <w:rFonts w:hint="eastAsia" w:ascii="仿宋" w:hAnsi="仿宋" w:eastAsia="仿宋" w:cs="仿宋"/>
          <w:color w:val="auto"/>
          <w:sz w:val="24"/>
          <w:highlight w:val="none"/>
          <w:lang w:val="zh-CN"/>
        </w:rPr>
        <w:t>.3使用“政采云电子交易客户端”需要提前申领CA数字证书，申领流程请自行前往“浙江政府采购网-下载专区-电子交易客户端-CA驱动和申领流程”进行查阅。</w:t>
      </w:r>
    </w:p>
    <w:p w14:paraId="65391C95">
      <w:pPr>
        <w:shd w:val="clear"/>
        <w:snapToGrid w:val="0"/>
        <w:spacing w:line="440" w:lineRule="exact"/>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4.4</w:t>
      </w:r>
      <w:r>
        <w:rPr>
          <w:rFonts w:hint="eastAsia" w:ascii="仿宋" w:hAnsi="仿宋" w:eastAsia="仿宋" w:cs="仿宋"/>
          <w:color w:val="auto"/>
          <w:sz w:val="24"/>
          <w:highlight w:val="none"/>
          <w:lang w:val="zh-CN"/>
        </w:rPr>
        <w:t>投标文件按照招标文件第六部分格式要求进行签署、盖章。投标人的投标文件未按照招标文件要求签署、盖章的，其投标无效。</w:t>
      </w:r>
    </w:p>
    <w:p w14:paraId="7E943896">
      <w:pPr>
        <w:shd w:val="clear"/>
        <w:snapToGrid w:val="0"/>
        <w:spacing w:line="440" w:lineRule="exact"/>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4.5</w:t>
      </w:r>
      <w:r>
        <w:rPr>
          <w:rFonts w:hint="eastAsia" w:ascii="仿宋" w:hAnsi="仿宋" w:eastAsia="仿宋" w:cs="仿宋"/>
          <w:color w:val="auto"/>
          <w:sz w:val="24"/>
          <w:highlight w:val="none"/>
          <w:lang w:val="zh-CN"/>
        </w:rPr>
        <w:t>为确保网上操作合法、有效和安全，投标人应当在投标截止时间前完成在“政府采购云平台”的身份认证，确保在电子投标过程中能够对相关数据电文进行加密和使用电子签名。</w:t>
      </w:r>
    </w:p>
    <w:p w14:paraId="70076DB9">
      <w:pPr>
        <w:shd w:val="clear"/>
        <w:snapToGrid w:val="0"/>
        <w:spacing w:line="440" w:lineRule="exact"/>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4.6</w:t>
      </w:r>
      <w:r>
        <w:rPr>
          <w:rFonts w:hint="eastAsia" w:ascii="仿宋" w:hAnsi="仿宋" w:eastAsia="仿宋" w:cs="仿宋"/>
          <w:color w:val="auto"/>
          <w:sz w:val="24"/>
          <w:highlight w:val="none"/>
          <w:lang w:val="zh-CN"/>
        </w:rPr>
        <w:t>招标文件对投标文件签署、盖章的要求适用于电子签名。</w:t>
      </w:r>
    </w:p>
    <w:p w14:paraId="69B9445A">
      <w:pPr>
        <w:pStyle w:val="35"/>
        <w:shd w:val="clear"/>
        <w:spacing w:before="0" w:line="440" w:lineRule="exact"/>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5</w:t>
      </w:r>
      <w:r>
        <w:rPr>
          <w:rFonts w:ascii="仿宋" w:hAnsi="仿宋" w:eastAsia="仿宋" w:cs="仿宋"/>
          <w:b/>
          <w:color w:val="auto"/>
          <w:szCs w:val="24"/>
          <w:highlight w:val="none"/>
        </w:rPr>
        <w:t>.</w:t>
      </w:r>
      <w:r>
        <w:rPr>
          <w:rFonts w:hint="eastAsia" w:ascii="仿宋" w:hAnsi="仿宋" w:eastAsia="仿宋" w:cs="仿宋"/>
          <w:b/>
          <w:color w:val="auto"/>
          <w:szCs w:val="24"/>
          <w:highlight w:val="none"/>
        </w:rPr>
        <w:t xml:space="preserve"> 投标文件的提交、补充、修改、撤回</w:t>
      </w:r>
    </w:p>
    <w:p w14:paraId="4A2E69D5">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ascii="仿宋" w:hAnsi="仿宋" w:eastAsia="仿宋" w:cs="仿宋"/>
          <w:color w:val="auto"/>
          <w:sz w:val="24"/>
          <w:highlight w:val="none"/>
        </w:rPr>
        <w:t>.</w:t>
      </w:r>
      <w:r>
        <w:rPr>
          <w:rFonts w:hint="eastAsia" w:ascii="仿宋" w:hAnsi="仿宋" w:eastAsia="仿宋" w:cs="仿宋"/>
          <w:color w:val="auto"/>
          <w:sz w:val="24"/>
          <w:highlight w:val="none"/>
        </w:rPr>
        <w:t>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76237612">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ascii="仿宋" w:hAnsi="仿宋" w:eastAsia="仿宋" w:cs="仿宋"/>
          <w:color w:val="auto"/>
          <w:sz w:val="24"/>
          <w:highlight w:val="none"/>
        </w:rPr>
        <w:t>.</w:t>
      </w:r>
      <w:r>
        <w:rPr>
          <w:rFonts w:hint="eastAsia" w:ascii="仿宋" w:hAnsi="仿宋" w:eastAsia="仿宋" w:cs="仿宋"/>
          <w:color w:val="auto"/>
          <w:sz w:val="24"/>
          <w:highlight w:val="none"/>
        </w:rPr>
        <w:t>2电子交易平台收到投标文件，将妥善保存并即时向供应商发出确认回执通知。在投标截止时间前，除供应商补充、修改或者撤回投标文件外，任何单位和个人不得解密或提取投标文件。</w:t>
      </w:r>
    </w:p>
    <w:p w14:paraId="74CC4BA4">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ascii="仿宋" w:hAnsi="仿宋" w:eastAsia="仿宋" w:cs="仿宋"/>
          <w:color w:val="auto"/>
          <w:sz w:val="24"/>
          <w:highlight w:val="none"/>
        </w:rPr>
        <w:t>.</w:t>
      </w:r>
      <w:r>
        <w:rPr>
          <w:rFonts w:hint="eastAsia" w:ascii="仿宋" w:hAnsi="仿宋" w:eastAsia="仿宋" w:cs="仿宋"/>
          <w:color w:val="auto"/>
          <w:sz w:val="24"/>
          <w:highlight w:val="none"/>
        </w:rPr>
        <w:t>3采购人、采购代理机构可以视情况延长投标文件提交的截止时间。在上述情况下，采购代理机构与投标人以前在投标截止期方面的全部权利、责任和义务，将适用于延长至新的投标截止期。</w:t>
      </w:r>
    </w:p>
    <w:p w14:paraId="492D2175">
      <w:pPr>
        <w:shd w:val="clear"/>
        <w:spacing w:line="440" w:lineRule="exact"/>
        <w:rPr>
          <w:rFonts w:hint="eastAsia" w:ascii="仿宋" w:hAnsi="仿宋" w:eastAsia="仿宋" w:cs="仿宋"/>
          <w:b/>
          <w:color w:val="auto"/>
          <w:sz w:val="32"/>
          <w:highlight w:val="none"/>
        </w:rPr>
      </w:pPr>
      <w:r>
        <w:rPr>
          <w:rFonts w:hint="eastAsia" w:ascii="仿宋" w:hAnsi="仿宋" w:eastAsia="仿宋" w:cs="仿宋"/>
          <w:b/>
          <w:bCs/>
          <w:color w:val="auto"/>
          <w:sz w:val="24"/>
          <w:highlight w:val="none"/>
        </w:rPr>
        <w:t>6</w:t>
      </w:r>
      <w:r>
        <w:rPr>
          <w:rFonts w:ascii="仿宋" w:hAnsi="仿宋" w:eastAsia="仿宋" w:cs="仿宋"/>
          <w:b/>
          <w:bCs/>
          <w:color w:val="auto"/>
          <w:sz w:val="24"/>
          <w:highlight w:val="none"/>
        </w:rPr>
        <w:t>.投标有效期</w:t>
      </w:r>
    </w:p>
    <w:p w14:paraId="7E579C8E">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r>
        <w:rPr>
          <w:rFonts w:ascii="仿宋" w:hAnsi="仿宋" w:eastAsia="仿宋" w:cs="仿宋"/>
          <w:color w:val="auto"/>
          <w:sz w:val="24"/>
          <w:highlight w:val="none"/>
        </w:rPr>
        <w:t>.1投标有效期为从提交投标文件的截止之日起90天。</w:t>
      </w:r>
      <w:r>
        <w:rPr>
          <w:rFonts w:ascii="仿宋" w:hAnsi="仿宋" w:eastAsia="仿宋" w:cs="仿宋"/>
          <w:b/>
          <w:bCs/>
          <w:color w:val="auto"/>
          <w:sz w:val="24"/>
          <w:highlight w:val="none"/>
        </w:rPr>
        <w:t>投标人的投标文件中承诺的投标有效期少于招标文件中载明的投标有效期的，投标无效。</w:t>
      </w:r>
    </w:p>
    <w:p w14:paraId="559C2B2A">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r>
        <w:rPr>
          <w:rFonts w:ascii="仿宋" w:hAnsi="仿宋" w:eastAsia="仿宋" w:cs="仿宋"/>
          <w:color w:val="auto"/>
          <w:sz w:val="24"/>
          <w:highlight w:val="none"/>
        </w:rPr>
        <w:t>.2投标文件合格投递后，自投标截止日期起，在投标有效期内有效。</w:t>
      </w:r>
    </w:p>
    <w:p w14:paraId="22A0ED71">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r>
        <w:rPr>
          <w:rFonts w:ascii="仿宋" w:hAnsi="仿宋" w:eastAsia="仿宋" w:cs="仿宋"/>
          <w:color w:val="auto"/>
          <w:sz w:val="24"/>
          <w:highlight w:val="none"/>
        </w:rPr>
        <w:t>.3在原定投标有效期满之前，如果出现特殊情况，采购代理机构可以以书面形式通知投标人延长投标有效期。投标人同意延长的，不得要求或被允许修改其投标文件，投标人拒绝延长的，其投标无效。</w:t>
      </w:r>
    </w:p>
    <w:p w14:paraId="6D8E73EF">
      <w:pPr>
        <w:shd w:val="clear"/>
        <w:spacing w:line="360" w:lineRule="auto"/>
        <w:jc w:val="center"/>
        <w:rPr>
          <w:rFonts w:hint="eastAsia" w:ascii="仿宋" w:hAnsi="仿宋" w:eastAsia="仿宋" w:cs="仿宋"/>
          <w:b/>
          <w:color w:val="auto"/>
          <w:sz w:val="32"/>
          <w:szCs w:val="32"/>
          <w:highlight w:val="none"/>
        </w:rPr>
      </w:pPr>
      <w:bookmarkStart w:id="19" w:name="_Toc91899903"/>
      <w:r>
        <w:rPr>
          <w:rFonts w:hint="eastAsia" w:ascii="仿宋" w:hAnsi="仿宋" w:eastAsia="仿宋" w:cs="仿宋"/>
          <w:b/>
          <w:color w:val="auto"/>
          <w:sz w:val="32"/>
          <w:szCs w:val="32"/>
          <w:highlight w:val="none"/>
        </w:rPr>
        <w:t>四、开标和评标</w:t>
      </w:r>
    </w:p>
    <w:p w14:paraId="5F868708">
      <w:pPr>
        <w:shd w:val="clear"/>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1．电子招投标开标及评审程序</w:t>
      </w:r>
    </w:p>
    <w:p w14:paraId="3D38A9ED">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1.1投标截止时间后，主持人宣布开标会开始。</w:t>
      </w:r>
    </w:p>
    <w:p w14:paraId="4F8A2D11">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1.2投标人登录政采云平台，用“项目采购-开标评标”功能对电子投标文件进行在线解密。在线解密电子投标文件时间为开标时间起30分钟内。</w:t>
      </w:r>
    </w:p>
    <w:p w14:paraId="46FC97BE">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1.3评标委员会对商务技术响应文件进行评审。</w:t>
      </w:r>
    </w:p>
    <w:p w14:paraId="3314600D">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1.4主持人宣布商务技术得分及无效（废）投标情形（如有），公布经商务技术评审符合招标文件要求的投标人名单及其商务技术得分。</w:t>
      </w:r>
    </w:p>
    <w:p w14:paraId="73C125F7">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1.5启封报价文件资料，主持人宣读投标人名称、投标价格和投标文件的其他内容。未宣读的投标报价和招标文件未允许提供的备选投标方案等实质性内容，评标时不予承认。</w:t>
      </w:r>
    </w:p>
    <w:p w14:paraId="21DE088B">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1.6评标委员会对投标文件报价文件资料进行评审，核准投标报价及计算价格分，汇总商务技术分、价格分，根据得分排序确定中标候选人。</w:t>
      </w:r>
    </w:p>
    <w:p w14:paraId="01E7E19E">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1.7主持人公布评标结果。</w:t>
      </w:r>
    </w:p>
    <w:p w14:paraId="6EF4708C">
      <w:pPr>
        <w:shd w:val="clear"/>
        <w:snapToGrid w:val="0"/>
        <w:spacing w:line="4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特别说明：政采云公司如对电子化开标及评审程序有调整的，按调整后的程序操作。</w:t>
      </w:r>
    </w:p>
    <w:p w14:paraId="540116AE">
      <w:pPr>
        <w:shd w:val="clear"/>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2.采购过程中出现以下情形，导致电子交易平台无法正常运行，或者无法保证电子交易的公平、公正和安全时，采购组织机构可中止电子交易活动：</w:t>
      </w:r>
    </w:p>
    <w:p w14:paraId="5ECACC96">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2.1电子交易平台发生故障而无法登录访问的； </w:t>
      </w:r>
    </w:p>
    <w:p w14:paraId="2DF5BFC1">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2.2电子交易平台应用或数据库出现错误，不能进行正常操作的；</w:t>
      </w:r>
    </w:p>
    <w:p w14:paraId="44E705DD">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2.3电子交易平台发现严重安全漏洞，有潜在泄密危险的；</w:t>
      </w:r>
    </w:p>
    <w:p w14:paraId="60F90110">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2.4病毒发作导致不能进行正常操作的； </w:t>
      </w:r>
    </w:p>
    <w:p w14:paraId="0C3A8790">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2.5其他无法保证电子交易的公平、公正和安全的情况。</w:t>
      </w:r>
    </w:p>
    <w:p w14:paraId="0B7276E4">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1DFBAA1E">
      <w:pPr>
        <w:shd w:val="clear"/>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3．评标</w:t>
      </w:r>
    </w:p>
    <w:p w14:paraId="37354EAC">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3.1评标委员会由招标采购单位依法组建，负责评标活动。评标委员会遵循公开、公平、公正、科学合理、竞争择优的原则。</w:t>
      </w:r>
    </w:p>
    <w:p w14:paraId="763CD636">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3.2评标委员会由采购人代表和有关方面的专家组成，成员人数为五人以上单数。</w:t>
      </w:r>
    </w:p>
    <w:p w14:paraId="4196401F">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3.3评标委员会的组成人员的回避。在政府采购活动中，评标委员会的组成人员与供应商有下列利害关系之一的，应当回避：</w:t>
      </w:r>
    </w:p>
    <w:p w14:paraId="2EC832FF">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3.3.1参加采购活动前3年内与供应商存在劳动关系；</w:t>
      </w:r>
    </w:p>
    <w:p w14:paraId="17701D00">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3.3.2参加采购活动前3年内担任供应商的董事、监事；</w:t>
      </w:r>
    </w:p>
    <w:p w14:paraId="6BB25C7B">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3.3.3参加采购活动前3年内是供应商的控股股东或者实际控制人；</w:t>
      </w:r>
    </w:p>
    <w:p w14:paraId="4EE4BAC2">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3.3.4与供应商的法定代表人或者负责人有夫妻、直系血亲、三代以内旁系血亲或者近姻亲关系；</w:t>
      </w:r>
    </w:p>
    <w:p w14:paraId="2E61A1FA">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3.3.5与供应商有其他可能影响政府采购活动公平、公正进行的关系。</w:t>
      </w:r>
    </w:p>
    <w:p w14:paraId="5D769826">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3.4评标委员会负责对投标人资格的最终审定。</w:t>
      </w:r>
    </w:p>
    <w:p w14:paraId="780C33F7">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3.5评标委员会可以要求投标人对其投标文件中含义不明确的内容作必要的澄清或者说明，但澄清或者说明不得超过投标文件的范围或者改变投标文件的实质性内容。</w:t>
      </w:r>
    </w:p>
    <w:p w14:paraId="36A2BF86">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评审中需要供应商对投标、响应文件作出澄清、说明或者补正的，评标委员会和供应商应当通过政采云平台交换数据电文。给予供应商提交澄清说明或补正的时间不少于半小时，供应商已经明确表示澄清说明或补正完毕的除外。</w:t>
      </w:r>
    </w:p>
    <w:p w14:paraId="21070D6A">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供应商通过政采云平台交换的数据电文必须进行电子签章。</w:t>
      </w:r>
    </w:p>
    <w:p w14:paraId="120E9F45">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3.6评审小组组长组织评审人员独立评审。评审小组对拟认定为采购响应文件无效、供应商资格不符合的，应组织相关供应商代表进行陈述、澄清或申辩；采购组织机构可协助评审小组组长对打分结果进行校对、核对并汇总统计；评审人员的评审、修改记录应保留原件，随项目其他资料一并存档。</w:t>
      </w:r>
    </w:p>
    <w:p w14:paraId="25A2A8A7">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3.7评标委员会对投标文件的判定，只依据投标文件和招标文件内容本身，不依据任何外来证明。</w:t>
      </w:r>
    </w:p>
    <w:p w14:paraId="45DADEDE">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3.8评标委员会不向落标方解释落标的原因。</w:t>
      </w:r>
    </w:p>
    <w:p w14:paraId="74683AF9">
      <w:pPr>
        <w:shd w:val="clear"/>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4．投标文件的初审鉴定</w:t>
      </w:r>
    </w:p>
    <w:p w14:paraId="1DEA7DEA">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4.1资格性审查</w:t>
      </w:r>
    </w:p>
    <w:p w14:paraId="23537037">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4.1.1依据法律、法规和招标文件规定，采购人或采购人代表或采购代理机构对投标人进行资格审查，以确定投标人是否具备投标资格。</w:t>
      </w:r>
    </w:p>
    <w:p w14:paraId="4AC098A5">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4.2符合性审查</w:t>
      </w:r>
    </w:p>
    <w:p w14:paraId="7DAC4FCD">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4.2.1评标时，评标委员会将首先评定每份投标文件是否在实质上响应了招标文件要求。所谓实质上的响应，是指投标文件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评标委员会决定投标文件的响应性只根据投标文件本身的内容，而不寻求外部证据。</w:t>
      </w:r>
    </w:p>
    <w:p w14:paraId="7E40CFAE">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4.3如果投标文件实质不响应招标文件的各项要求，评标委员会将予以拒绝，并且不允许投标人通过修改或撤销其不符合要求的差异或保留，使之成为具有实质性响应的投标。</w:t>
      </w:r>
    </w:p>
    <w:p w14:paraId="7C37DE7A">
      <w:pPr>
        <w:shd w:val="clear"/>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kern w:val="0"/>
          <w:sz w:val="24"/>
          <w:highlight w:val="none"/>
        </w:rPr>
        <w:t xml:space="preserve">5. </w:t>
      </w:r>
      <w:r>
        <w:rPr>
          <w:rFonts w:hint="eastAsia" w:ascii="仿宋" w:hAnsi="仿宋" w:eastAsia="仿宋" w:cs="仿宋"/>
          <w:b/>
          <w:color w:val="auto"/>
          <w:sz w:val="24"/>
          <w:highlight w:val="none"/>
        </w:rPr>
        <w:t>投标文件报价出现前后不一致的，按照下列规定修正：</w:t>
      </w:r>
    </w:p>
    <w:p w14:paraId="3C33DF4A">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5.1投标文件中开标一览表（报价表）内容与投标文件中相应内容不一致的，以开标一览表（报价表）为准；</w:t>
      </w:r>
    </w:p>
    <w:p w14:paraId="1D0C1E4F">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5.2大写金额和小写金额不一致的，以大写金额为准；</w:t>
      </w:r>
    </w:p>
    <w:p w14:paraId="3A83462E">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5.3单价金额小数点或者百分比有明显错位的，以开标一览表的总价为准，并修改单价；</w:t>
      </w:r>
    </w:p>
    <w:p w14:paraId="316EEF6B">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5.4总价金额与按单价汇总金额不一致的，以单价金额计算结果为准。</w:t>
      </w:r>
    </w:p>
    <w:p w14:paraId="66337D3B">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同时出现两种以上不一致的，按照前款规定的顺序修正。修正后的报价按照财政部公布第87号令 《政府采购货物和服务招标投标管理办法》第五十一条第二款的规定经投标人确认后产生约束力，投标人不确认的，其投标无效。</w:t>
      </w:r>
    </w:p>
    <w:p w14:paraId="3CC7EA9D">
      <w:pPr>
        <w:shd w:val="clear"/>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6.投标文件的评审、比较和否决</w:t>
      </w:r>
    </w:p>
    <w:p w14:paraId="296D7707">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6.1评标委员会将对在实质上响应招标文件要求的投标文件进行评估和比较。</w:t>
      </w:r>
    </w:p>
    <w:p w14:paraId="00EC492C">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6.2在评审过程中，评标委员会可以书面形式要求投标人就投标文件含义不明确的内容可对其通过政采云平台进行书面说明并提供相关材料，但不得超过投标文件的范围或者改变投标文件的实质性内容。</w:t>
      </w:r>
    </w:p>
    <w:p w14:paraId="5E96CB25">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6.3在评标过程中，如发现与招标文件要求相偏离的，评标委员会可对其偏离情形进行必要的核实。</w:t>
      </w:r>
    </w:p>
    <w:p w14:paraId="44E10892">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6.4在评审过程中，如属于实质性偏离或符合无效响应条件的，应当询问相关投标人，并可对其通过政采云平台进行线上确认，但不允许对偏离条款进行补充、修正或撤回。</w:t>
      </w:r>
    </w:p>
    <w:p w14:paraId="7B566072">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6.5比较与评价。评标委员会应当按照评标标准，对符合性审查合格的投标文件进行商务和技术评估，综合比较与评价。</w:t>
      </w:r>
    </w:p>
    <w:p w14:paraId="1C714C77">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6.6汇总（商务技术得分情况）。评标委员会各成员应当独立对每个投标人的商务技术文件进行评价，并汇总商务技术得分情况。</w:t>
      </w:r>
    </w:p>
    <w:p w14:paraId="18419A3C">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6.7 报价审核。对符合采购需求且通过商务技术评审的投标人的报价的合理性、准确性等进行审查核实。</w:t>
      </w:r>
    </w:p>
    <w:p w14:paraId="7CD58704">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6.7.1评标委员会认为投标人的报价明显低于其他通过符合性审查投标人的报价，有可能影响产品质量或者不能诚信履约的，应当要求其在评标现场合理的时间内通过政采云平台提供线上说明，必要时提交相关证明材料。</w:t>
      </w:r>
    </w:p>
    <w:p w14:paraId="5159DBF6">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6.7.2如需投标价格修正，按财政部87号令第五十九条的规定对投标价格进行修正。</w:t>
      </w:r>
    </w:p>
    <w:p w14:paraId="5A5A5AC3">
      <w:pPr>
        <w:shd w:val="clea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6.8评标委员会依据招标文件规定的评标标准和方法，对投标文件进行评审和比较后，向采购人或其委托的采购代理机构提供书面评标报告，并按得分高低排序推荐中标候选供应商。</w:t>
      </w:r>
    </w:p>
    <w:p w14:paraId="71DC228F">
      <w:pPr>
        <w:pStyle w:val="9"/>
        <w:numPr>
          <w:ilvl w:val="0"/>
          <w:numId w:val="0"/>
        </w:numPr>
        <w:shd w:val="clear"/>
        <w:spacing w:after="120"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7.投标文件的澄清</w:t>
      </w:r>
    </w:p>
    <w:p w14:paraId="37260DCF">
      <w:pPr>
        <w:pStyle w:val="9"/>
        <w:shd w:val="clear"/>
        <w:spacing w:after="120" w:line="440" w:lineRule="exact"/>
        <w:ind w:left="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对投标文件中含义不明、表述不一致或有明显计算错误等内容，评标委员会将对投标人进行询标，并可要求投标人作澄清，作为投标文件的补充部分，但澄清的内容不得改变投标文件的实质性内容。</w:t>
      </w:r>
    </w:p>
    <w:p w14:paraId="4E92ED1C">
      <w:pPr>
        <w:pStyle w:val="16"/>
        <w:shd w:val="clear"/>
        <w:snapToGrid w:val="0"/>
        <w:spacing w:line="44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8.无效投标的情形</w:t>
      </w:r>
    </w:p>
    <w:p w14:paraId="2A2BB669">
      <w:pPr>
        <w:shd w:val="clear"/>
        <w:tabs>
          <w:tab w:val="left" w:pos="4085"/>
        </w:tabs>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投标文件有下列情形之一的作无效投标处理：</w:t>
      </w:r>
    </w:p>
    <w:p w14:paraId="20C8DE82">
      <w:pPr>
        <w:shd w:val="clear"/>
        <w:snapToGrid w:val="0"/>
        <w:spacing w:line="4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8.1未按照招标文件规定要求电子签章、签字或盖章的；</w:t>
      </w:r>
    </w:p>
    <w:p w14:paraId="7F34B73E">
      <w:pPr>
        <w:shd w:val="clear"/>
        <w:snapToGrid w:val="0"/>
        <w:spacing w:line="4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8.2单位负责人为同一人或者存在直接控股、管理关系的不同供应商参加同一合同项下的政府采购活动的（均无效）；</w:t>
      </w:r>
    </w:p>
    <w:p w14:paraId="6A09B40B">
      <w:pPr>
        <w:shd w:val="clear"/>
        <w:snapToGrid w:val="0"/>
        <w:spacing w:line="4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8.3为采购项目提供整体设计、规范编制或者项目管理、监理、检测等服务的供应商参加该采购项目的其他采购活动的； </w:t>
      </w:r>
    </w:p>
    <w:p w14:paraId="0F164B13">
      <w:pPr>
        <w:shd w:val="clear"/>
        <w:snapToGrid w:val="0"/>
        <w:spacing w:line="4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8.4投标人未提供招标文件中规定的基本资格条件书面承诺函的，或投标人未提供有效的特定资格证明文件的，视为投标人不具备招标文件中规定的资格要求；</w:t>
      </w:r>
    </w:p>
    <w:p w14:paraId="71BCD6B2">
      <w:pPr>
        <w:shd w:val="clear"/>
        <w:snapToGrid w:val="0"/>
        <w:spacing w:line="4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8.5《法定代表人身份证明书》与提供的身份证复印件信息不符的；《法定代表人授权委托书》与提供的身份证复印件信息不符的；</w:t>
      </w:r>
    </w:p>
    <w:p w14:paraId="16595A57">
      <w:pPr>
        <w:shd w:val="clear"/>
        <w:snapToGrid w:val="0"/>
        <w:spacing w:line="4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8.6《法定代表人授权委托书》或《法定代表人身份证明书》填写不全、错误、未电子签章(《法定代表人授权委托书》要求“电子签章”和“签字或盖章”缺一不可）的；</w:t>
      </w:r>
    </w:p>
    <w:p w14:paraId="73F12748">
      <w:pPr>
        <w:shd w:val="clear"/>
        <w:snapToGrid w:val="0"/>
        <w:spacing w:line="4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8.7投标文件中的投标函无投标人的电子签章或填写不全的；</w:t>
      </w:r>
    </w:p>
    <w:p w14:paraId="169CE61A">
      <w:pPr>
        <w:shd w:val="clear"/>
        <w:snapToGrid w:val="0"/>
        <w:spacing w:line="4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8.8报价一经涂改，未在涂改处加盖投标单位公章或者未经法定代表人或其授权代表签字或盖章的；</w:t>
      </w:r>
    </w:p>
    <w:p w14:paraId="203CD6D2">
      <w:pPr>
        <w:shd w:val="clear"/>
        <w:snapToGrid w:val="0"/>
        <w:spacing w:line="4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8.9未按招标文件规定的格式填写，或对招标服务或技术或产品等要求未详细应答或应答内容不全、有缺失的,经评标委员会认定为无法评审的；</w:t>
      </w:r>
    </w:p>
    <w:p w14:paraId="25E28FAE">
      <w:pPr>
        <w:shd w:val="clear"/>
        <w:snapToGrid w:val="0"/>
        <w:spacing w:line="4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8.10出现同一标的物或本次招标产品(服务)内的主要产品(重要组成部分)出现商务技术文件资料、报价文件资料描述不一致或前后描述不一致，经评标委员会认定后为无法评审的；</w:t>
      </w:r>
    </w:p>
    <w:p w14:paraId="6FA26859">
      <w:pPr>
        <w:shd w:val="clear"/>
        <w:snapToGrid w:val="0"/>
        <w:spacing w:line="4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8.11《技术偏离表》不真实填写或弄虚作假的；</w:t>
      </w:r>
    </w:p>
    <w:p w14:paraId="32F8E54A">
      <w:pPr>
        <w:shd w:val="clear"/>
        <w:snapToGrid w:val="0"/>
        <w:spacing w:line="4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8.12不响应采购文件标注“★”条款要求的；</w:t>
      </w:r>
    </w:p>
    <w:p w14:paraId="37AB1AFD">
      <w:pPr>
        <w:shd w:val="clear"/>
        <w:snapToGrid w:val="0"/>
        <w:spacing w:line="4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8.13投标文件含有采购人不能接受的附加条件；</w:t>
      </w:r>
    </w:p>
    <w:p w14:paraId="2C1EA131">
      <w:pPr>
        <w:shd w:val="clear"/>
        <w:snapToGrid w:val="0"/>
        <w:spacing w:line="4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8.14评审委员会启动异常低价投标审查后，投标（响应）供应商不能提供书面说明、证明材料，或者提供的书面说明、证明材料不能证明其报价合理性的;</w:t>
      </w:r>
    </w:p>
    <w:p w14:paraId="3D82652B">
      <w:pPr>
        <w:shd w:val="clear"/>
        <w:snapToGrid w:val="0"/>
        <w:spacing w:line="4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8.15报价超过招标文件中规定的预算金额或最高限价的；</w:t>
      </w:r>
    </w:p>
    <w:p w14:paraId="21DDBCAA">
      <w:pPr>
        <w:shd w:val="clear"/>
        <w:snapToGrid w:val="0"/>
        <w:spacing w:line="4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8.16投标文件“商务技术文件资料”部分中出现《开标一览表》相关内容的；</w:t>
      </w:r>
    </w:p>
    <w:p w14:paraId="4110EA41">
      <w:pPr>
        <w:shd w:val="clear"/>
        <w:snapToGrid w:val="0"/>
        <w:spacing w:line="4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8.17采购人拟采购的产品属于政府强制采购的节能产品品目清单范围的，投标人未按招标文件要求提供国家确定的认证机构出具的、处于有效期之内的节能产品认证证书的；</w:t>
      </w:r>
    </w:p>
    <w:p w14:paraId="2C08AAA2">
      <w:pPr>
        <w:shd w:val="clear"/>
        <w:snapToGrid w:val="0"/>
        <w:spacing w:line="4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8.18《开标一览表》填写不完整或字迹不能辨认或有漏项的，经评标委员会认定属于重大偏差的；</w:t>
      </w:r>
    </w:p>
    <w:p w14:paraId="1411DFA1">
      <w:pPr>
        <w:shd w:val="clear"/>
        <w:snapToGrid w:val="0"/>
        <w:spacing w:line="4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8.19投标人对根据修正原则修正后的报价不确认的；</w:t>
      </w:r>
    </w:p>
    <w:p w14:paraId="4979A951">
      <w:pPr>
        <w:shd w:val="clear"/>
        <w:snapToGrid w:val="0"/>
        <w:spacing w:line="4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8.20投标人提供虚假材料投标的（包括但不限于以下情节）；</w:t>
      </w:r>
    </w:p>
    <w:p w14:paraId="138B569B">
      <w:pPr>
        <w:shd w:val="clear"/>
        <w:tabs>
          <w:tab w:val="left" w:pos="3870"/>
          <w:tab w:val="left" w:pos="4085"/>
        </w:tabs>
        <w:snapToGrid w:val="0"/>
        <w:spacing w:line="440" w:lineRule="exact"/>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8.20.1使用伪造、变造的许可证件；</w:t>
      </w:r>
    </w:p>
    <w:p w14:paraId="5A1D0B9B">
      <w:pPr>
        <w:shd w:val="clear"/>
        <w:tabs>
          <w:tab w:val="left" w:pos="3870"/>
          <w:tab w:val="left" w:pos="4085"/>
        </w:tabs>
        <w:snapToGrid w:val="0"/>
        <w:spacing w:line="440" w:lineRule="exact"/>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8.20.2提供虚假的财务状况或者业绩；</w:t>
      </w:r>
    </w:p>
    <w:p w14:paraId="709DEFE0">
      <w:pPr>
        <w:shd w:val="clear"/>
        <w:tabs>
          <w:tab w:val="left" w:pos="3870"/>
          <w:tab w:val="left" w:pos="4085"/>
        </w:tabs>
        <w:snapToGrid w:val="0"/>
        <w:spacing w:line="440" w:lineRule="exact"/>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8.20.3提供虚假的项目负责人或者主要技术人员简历、劳动关系证明；</w:t>
      </w:r>
    </w:p>
    <w:p w14:paraId="277EEF7F">
      <w:pPr>
        <w:shd w:val="clear"/>
        <w:tabs>
          <w:tab w:val="left" w:pos="3870"/>
          <w:tab w:val="left" w:pos="4085"/>
        </w:tabs>
        <w:snapToGrid w:val="0"/>
        <w:spacing w:line="440" w:lineRule="exact"/>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8.20.4提供虚假的信用状况；</w:t>
      </w:r>
    </w:p>
    <w:p w14:paraId="74AE3607">
      <w:pPr>
        <w:shd w:val="clear"/>
        <w:tabs>
          <w:tab w:val="left" w:pos="3870"/>
          <w:tab w:val="left" w:pos="4085"/>
        </w:tabs>
        <w:snapToGrid w:val="0"/>
        <w:spacing w:line="440" w:lineRule="exact"/>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8.20.5其他弄虚作假的行为。</w:t>
      </w:r>
    </w:p>
    <w:p w14:paraId="5823DDEE">
      <w:pPr>
        <w:shd w:val="clear"/>
        <w:snapToGrid w:val="0"/>
        <w:spacing w:line="4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8.21下列情形之一的，视为投标人串通投标，其投标无效：</w:t>
      </w:r>
    </w:p>
    <w:p w14:paraId="1F71096B">
      <w:pPr>
        <w:shd w:val="clear"/>
        <w:tabs>
          <w:tab w:val="left" w:pos="3870"/>
          <w:tab w:val="left" w:pos="4085"/>
        </w:tabs>
        <w:snapToGrid w:val="0"/>
        <w:spacing w:line="440" w:lineRule="exact"/>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8.21.1不同投标人的投标文件由同一单位或者个人编制；</w:t>
      </w:r>
    </w:p>
    <w:p w14:paraId="0EAFA229">
      <w:pPr>
        <w:shd w:val="clear"/>
        <w:tabs>
          <w:tab w:val="left" w:pos="3870"/>
          <w:tab w:val="left" w:pos="4085"/>
        </w:tabs>
        <w:snapToGrid w:val="0"/>
        <w:spacing w:line="440" w:lineRule="exact"/>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8.21.2不同投标人委托同一单位或者个人办理投标事宜；</w:t>
      </w:r>
    </w:p>
    <w:p w14:paraId="0114C1EB">
      <w:pPr>
        <w:shd w:val="clear"/>
        <w:tabs>
          <w:tab w:val="left" w:pos="3870"/>
          <w:tab w:val="left" w:pos="4085"/>
        </w:tabs>
        <w:snapToGrid w:val="0"/>
        <w:spacing w:line="440" w:lineRule="exact"/>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8.21.3不同投标人的投标文件载明的项目管理成员或者联系人员为同一人；</w:t>
      </w:r>
    </w:p>
    <w:p w14:paraId="16E7E509">
      <w:pPr>
        <w:shd w:val="clear"/>
        <w:tabs>
          <w:tab w:val="left" w:pos="3870"/>
          <w:tab w:val="left" w:pos="4085"/>
        </w:tabs>
        <w:snapToGrid w:val="0"/>
        <w:spacing w:line="440" w:lineRule="exact"/>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8.21.4不同投标人的投标文件异常一致或者投标报价呈规律性差异；</w:t>
      </w:r>
    </w:p>
    <w:p w14:paraId="04825A0A">
      <w:pPr>
        <w:shd w:val="clear"/>
        <w:tabs>
          <w:tab w:val="left" w:pos="3870"/>
          <w:tab w:val="left" w:pos="4085"/>
        </w:tabs>
        <w:snapToGrid w:val="0"/>
        <w:spacing w:line="440" w:lineRule="exact"/>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8.21.5不同投标人的投标文件相互混装；</w:t>
      </w:r>
    </w:p>
    <w:p w14:paraId="2B685C89">
      <w:pPr>
        <w:shd w:val="clear"/>
        <w:tabs>
          <w:tab w:val="left" w:pos="3870"/>
          <w:tab w:val="left" w:pos="4085"/>
        </w:tabs>
        <w:snapToGrid w:val="0"/>
        <w:spacing w:line="440" w:lineRule="exact"/>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8.21.6有二份及二份以上投标文件的相互之间有特别相同或相似之处，且经询标澄清投标人无令人信服的理由和可靠证据证明其合理性的，经评标委员会半数以上成员确认有串通投标嫌疑的；</w:t>
      </w:r>
    </w:p>
    <w:p w14:paraId="37F33DBA">
      <w:pPr>
        <w:shd w:val="clear"/>
        <w:snapToGrid w:val="0"/>
        <w:spacing w:line="4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8.22有下列情形之一的，属于恶意串通，其投标无效：</w:t>
      </w:r>
    </w:p>
    <w:p w14:paraId="60FDA35A">
      <w:pPr>
        <w:shd w:val="clear"/>
        <w:tabs>
          <w:tab w:val="left" w:pos="3870"/>
          <w:tab w:val="left" w:pos="4085"/>
        </w:tabs>
        <w:snapToGrid w:val="0"/>
        <w:spacing w:line="440" w:lineRule="exact"/>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8.22.1供应商直接或者间接从采购人或者采购机构处获得其他供应商的相关情况并修改其投标文件或者响应文件；</w:t>
      </w:r>
    </w:p>
    <w:p w14:paraId="4712255A">
      <w:pPr>
        <w:shd w:val="clear"/>
        <w:tabs>
          <w:tab w:val="left" w:pos="3870"/>
          <w:tab w:val="left" w:pos="4085"/>
        </w:tabs>
        <w:snapToGrid w:val="0"/>
        <w:spacing w:line="440" w:lineRule="exact"/>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8.22.2供应商按照采购人或者采购机构的授意撤换、修改投标文件或者响应文件；</w:t>
      </w:r>
    </w:p>
    <w:p w14:paraId="36D7A95A">
      <w:pPr>
        <w:shd w:val="clear"/>
        <w:tabs>
          <w:tab w:val="left" w:pos="3870"/>
          <w:tab w:val="left" w:pos="4085"/>
        </w:tabs>
        <w:snapToGrid w:val="0"/>
        <w:spacing w:line="440" w:lineRule="exact"/>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8.22.3供应商之间协商报价、技术方案等投标文件或者响应文件的实质性内容；</w:t>
      </w:r>
    </w:p>
    <w:p w14:paraId="01C76A03">
      <w:pPr>
        <w:shd w:val="clear"/>
        <w:tabs>
          <w:tab w:val="left" w:pos="3870"/>
          <w:tab w:val="left" w:pos="4085"/>
        </w:tabs>
        <w:snapToGrid w:val="0"/>
        <w:spacing w:line="440" w:lineRule="exact"/>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8.22.4属于同一集团、协会、商会等组织成员的供应商按照该组织要求协同参加政府采购活动；</w:t>
      </w:r>
    </w:p>
    <w:p w14:paraId="62D586EB">
      <w:pPr>
        <w:shd w:val="clear"/>
        <w:tabs>
          <w:tab w:val="left" w:pos="3870"/>
          <w:tab w:val="left" w:pos="4085"/>
        </w:tabs>
        <w:snapToGrid w:val="0"/>
        <w:spacing w:line="440" w:lineRule="exact"/>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8.22.5供应商之间事先约定由某一特定供应商中标、成交；</w:t>
      </w:r>
    </w:p>
    <w:p w14:paraId="3954BDED">
      <w:pPr>
        <w:shd w:val="clear"/>
        <w:tabs>
          <w:tab w:val="left" w:pos="3870"/>
          <w:tab w:val="left" w:pos="4085"/>
        </w:tabs>
        <w:snapToGrid w:val="0"/>
        <w:spacing w:line="440" w:lineRule="exact"/>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8.22.6供应商之间商定部分供应商放弃参加政府采购活动或者放弃中标、成交；</w:t>
      </w:r>
    </w:p>
    <w:p w14:paraId="5AF674CE">
      <w:pPr>
        <w:shd w:val="clear"/>
        <w:tabs>
          <w:tab w:val="left" w:pos="3870"/>
          <w:tab w:val="left" w:pos="4085"/>
        </w:tabs>
        <w:snapToGrid w:val="0"/>
        <w:spacing w:line="440" w:lineRule="exact"/>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8.22.7供应商与采购人或者采购机构之间、供应商相互之间，为谋求特定供应商中标、成交或者排斥其他供应商的其他串通行为。</w:t>
      </w:r>
    </w:p>
    <w:p w14:paraId="53168566">
      <w:pPr>
        <w:shd w:val="clear"/>
        <w:snapToGrid w:val="0"/>
        <w:spacing w:line="4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8.23评标委员会认定有重大偏差或实质性不响应招标文件要求的；</w:t>
      </w:r>
    </w:p>
    <w:p w14:paraId="29D8F7E8">
      <w:pPr>
        <w:shd w:val="clear"/>
        <w:snapToGrid w:val="0"/>
        <w:spacing w:line="4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8.24投标文件出现不是唯一的、有选择性投标报价的；</w:t>
      </w:r>
    </w:p>
    <w:p w14:paraId="1590F078">
      <w:pPr>
        <w:shd w:val="clear"/>
        <w:snapToGrid w:val="0"/>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8.25未按招标文件要求提供样品或提供样品不满足采购需求实质性条件的；</w:t>
      </w:r>
    </w:p>
    <w:p w14:paraId="52B8AE5A">
      <w:pPr>
        <w:shd w:val="clear"/>
        <w:snapToGrid w:val="0"/>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8.26参与同一个采购包(标段)的供应商存在下列情形之一的其投标(响应)文件无效:</w:t>
      </w:r>
    </w:p>
    <w:p w14:paraId="11287FD3">
      <w:pPr>
        <w:shd w:val="clear"/>
        <w:snapToGrid w:val="0"/>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8.26.1不同供应商的电子投标(响应)文件上传计算机的网卡MAC地址或硬盘序列号等硬件信息相同的;</w:t>
      </w:r>
    </w:p>
    <w:p w14:paraId="2C4F7C4C">
      <w:pPr>
        <w:shd w:val="clear"/>
        <w:snapToGrid w:val="0"/>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8.26.2上传的电子投标(响应)文件若出现使用本项目其他投标(响应)供应商的数字证书加密的，或者加盖本项目其他投标(响应)供应商的电子印章的;</w:t>
      </w:r>
    </w:p>
    <w:p w14:paraId="04C74782">
      <w:pPr>
        <w:shd w:val="clear"/>
        <w:snapToGrid w:val="0"/>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8.26.3不同供应商的投标(响应)文件的内容存在三处(含)以上错误一致，且无法合理解释的;</w:t>
      </w:r>
    </w:p>
    <w:p w14:paraId="3B70BD06">
      <w:pPr>
        <w:shd w:val="clear"/>
        <w:snapToGrid w:val="0"/>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8.26.4不同供应商联系人为同一人或不同联系人的联系电话一致，且无法合理解释的。</w:t>
      </w:r>
    </w:p>
    <w:p w14:paraId="641A6B83">
      <w:pPr>
        <w:shd w:val="clear"/>
        <w:snapToGrid w:val="0"/>
        <w:spacing w:line="440" w:lineRule="exact"/>
        <w:ind w:firstLine="482" w:firstLineChars="200"/>
        <w:jc w:val="left"/>
        <w:rPr>
          <w:rFonts w:hint="eastAsia" w:ascii="仿宋" w:hAnsi="仿宋" w:eastAsia="仿宋" w:cs="仿宋"/>
          <w:color w:val="auto"/>
          <w:highlight w:val="none"/>
        </w:rPr>
      </w:pPr>
      <w:r>
        <w:rPr>
          <w:rFonts w:hint="eastAsia" w:ascii="仿宋" w:hAnsi="仿宋" w:eastAsia="仿宋" w:cs="仿宋"/>
          <w:b/>
          <w:color w:val="auto"/>
          <w:sz w:val="24"/>
          <w:highlight w:val="none"/>
        </w:rPr>
        <w:t>8.27其他违反法律、法规的情形。</w:t>
      </w:r>
    </w:p>
    <w:p w14:paraId="1B80B7E4">
      <w:pPr>
        <w:shd w:val="clear"/>
        <w:snapToGrid w:val="0"/>
        <w:spacing w:line="440" w:lineRule="exac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9. 评标过程保密</w:t>
      </w:r>
    </w:p>
    <w:p w14:paraId="44BE7EB8">
      <w:pPr>
        <w:shd w:val="clear"/>
        <w:snapToGrid w:val="0"/>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9.1</w:t>
      </w:r>
      <w:r>
        <w:rPr>
          <w:rFonts w:hint="eastAsia" w:ascii="仿宋" w:hAnsi="仿宋" w:eastAsia="仿宋" w:cs="仿宋"/>
          <w:color w:val="auto"/>
          <w:sz w:val="24"/>
          <w:highlight w:val="none"/>
        </w:rPr>
        <w:t>评审活动在严格保密的情况下进行。评审过程中凡是与采购响应文件评审和比较、中标成交供应商推荐等评审有关的情况和评审文件的，以及涉及国家秘密和商业秘密等信息，评审委员会成员、采购人和采购机构工作人员、相关监督人员等与评审有关的人员应当予以保密。</w:t>
      </w:r>
    </w:p>
    <w:p w14:paraId="02D9A9BE">
      <w:pPr>
        <w:shd w:val="clear"/>
        <w:snapToGrid w:val="0"/>
        <w:spacing w:line="440" w:lineRule="exact"/>
        <w:ind w:firstLine="480" w:firstLineChars="200"/>
        <w:rPr>
          <w:rFonts w:hint="eastAsia" w:ascii="仿宋" w:hAnsi="仿宋" w:eastAsia="仿宋" w:cs="仿宋"/>
          <w:b/>
          <w:color w:val="auto"/>
          <w:sz w:val="32"/>
          <w:highlight w:val="none"/>
        </w:rPr>
      </w:pPr>
      <w:r>
        <w:rPr>
          <w:rFonts w:hint="eastAsia" w:ascii="仿宋" w:hAnsi="仿宋" w:eastAsia="仿宋" w:cs="仿宋"/>
          <w:color w:val="auto"/>
          <w:kern w:val="0"/>
          <w:sz w:val="24"/>
          <w:highlight w:val="none"/>
        </w:rPr>
        <w:t>9.2 在评标期间，投标人企图影响招标人或</w:t>
      </w:r>
      <w:r>
        <w:rPr>
          <w:rFonts w:hint="eastAsia" w:ascii="仿宋" w:hAnsi="仿宋" w:eastAsia="仿宋" w:cs="仿宋"/>
          <w:color w:val="auto"/>
          <w:sz w:val="24"/>
          <w:highlight w:val="none"/>
        </w:rPr>
        <w:t>评标委员会</w:t>
      </w:r>
      <w:r>
        <w:rPr>
          <w:rFonts w:hint="eastAsia" w:ascii="仿宋" w:hAnsi="仿宋" w:eastAsia="仿宋" w:cs="仿宋"/>
          <w:color w:val="auto"/>
          <w:kern w:val="0"/>
          <w:sz w:val="24"/>
          <w:highlight w:val="none"/>
        </w:rPr>
        <w:t>的任何活动，都将导致投标被拒绝，并由其承担相应的法律责任。</w:t>
      </w:r>
    </w:p>
    <w:bookmarkEnd w:id="19"/>
    <w:p w14:paraId="316BC90F">
      <w:pPr>
        <w:pStyle w:val="16"/>
        <w:shd w:val="clear"/>
        <w:spacing w:line="360" w:lineRule="auto"/>
        <w:ind w:firstLine="726"/>
        <w:jc w:val="center"/>
        <w:rPr>
          <w:rFonts w:hint="eastAsia" w:ascii="仿宋" w:hAnsi="仿宋" w:eastAsia="仿宋" w:cs="仿宋"/>
          <w:b/>
          <w:color w:val="auto"/>
          <w:sz w:val="32"/>
          <w:szCs w:val="32"/>
          <w:highlight w:val="none"/>
        </w:rPr>
      </w:pPr>
      <w:bookmarkStart w:id="20" w:name="_Hlt75236011"/>
      <w:bookmarkEnd w:id="20"/>
      <w:bookmarkStart w:id="21" w:name="_Hlt68403820"/>
      <w:bookmarkEnd w:id="21"/>
      <w:bookmarkStart w:id="22" w:name="_Hlt74729768"/>
      <w:bookmarkEnd w:id="22"/>
      <w:bookmarkStart w:id="23" w:name="_Hlt68057669"/>
      <w:bookmarkEnd w:id="23"/>
      <w:bookmarkStart w:id="24" w:name="_Hlt74714665"/>
      <w:bookmarkEnd w:id="24"/>
      <w:bookmarkStart w:id="25" w:name="_Hlt68072998"/>
      <w:bookmarkEnd w:id="25"/>
      <w:bookmarkStart w:id="26" w:name="_Hlt75236101"/>
      <w:bookmarkEnd w:id="26"/>
      <w:bookmarkStart w:id="27" w:name="_Hlt74730295"/>
      <w:bookmarkEnd w:id="27"/>
      <w:bookmarkStart w:id="28" w:name="_Hlt75236290"/>
      <w:bookmarkEnd w:id="28"/>
      <w:bookmarkStart w:id="29" w:name="_Hlt68073093"/>
      <w:bookmarkEnd w:id="29"/>
      <w:bookmarkStart w:id="30" w:name="_Hlt68072990"/>
      <w:bookmarkEnd w:id="30"/>
      <w:bookmarkStart w:id="31" w:name="_Hlt74707468"/>
      <w:bookmarkEnd w:id="31"/>
      <w:bookmarkStart w:id="32" w:name="_Toc81372776"/>
      <w:bookmarkStart w:id="33" w:name="_Toc81372953"/>
      <w:bookmarkStart w:id="34" w:name="_Toc84325929"/>
      <w:r>
        <w:rPr>
          <w:rFonts w:hint="eastAsia" w:ascii="仿宋" w:hAnsi="仿宋" w:eastAsia="仿宋" w:cs="仿宋"/>
          <w:b/>
          <w:color w:val="auto"/>
          <w:sz w:val="32"/>
          <w:szCs w:val="32"/>
          <w:highlight w:val="none"/>
        </w:rPr>
        <w:t>五、授予合同</w:t>
      </w:r>
    </w:p>
    <w:bookmarkEnd w:id="32"/>
    <w:bookmarkEnd w:id="33"/>
    <w:bookmarkEnd w:id="34"/>
    <w:p w14:paraId="38D9B61C">
      <w:pPr>
        <w:pStyle w:val="9"/>
        <w:numPr>
          <w:ilvl w:val="0"/>
          <w:numId w:val="0"/>
        </w:numPr>
        <w:shd w:val="clear"/>
        <w:spacing w:after="120"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1.中标条件</w:t>
      </w:r>
    </w:p>
    <w:p w14:paraId="60FCB6FE">
      <w:pPr>
        <w:shd w:val="clea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1.1投标文件基本符合招标文件要求；</w:t>
      </w:r>
    </w:p>
    <w:p w14:paraId="7A52713D">
      <w:pPr>
        <w:shd w:val="clea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1.2投标人有很好的执行合同的能力；</w:t>
      </w:r>
    </w:p>
    <w:p w14:paraId="6C75FF2D">
      <w:pPr>
        <w:shd w:val="clea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1.3实施方案最合理并对招标人最为有利，最大限度满足招标文件的要求；</w:t>
      </w:r>
    </w:p>
    <w:p w14:paraId="0F6CDC89">
      <w:pPr>
        <w:shd w:val="clea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1.4投标人能够提供质量技术、商务经济占综合优势的系统及服务。</w:t>
      </w:r>
    </w:p>
    <w:p w14:paraId="1ACFE158">
      <w:pPr>
        <w:shd w:val="clea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1.5招标人将把中标通知书授予最佳投标者，但最低价不是中标的绝对保证。</w:t>
      </w:r>
    </w:p>
    <w:p w14:paraId="27CD290C">
      <w:pPr>
        <w:shd w:val="clear"/>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2.中标确认</w:t>
      </w:r>
    </w:p>
    <w:p w14:paraId="68621975">
      <w:pPr>
        <w:shd w:val="clea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2.1采购人应当自收到评标报告之日起５个工作日内，在评标报告确定的中标候选人名单中按顺序确定中标供应商。</w:t>
      </w:r>
    </w:p>
    <w:p w14:paraId="7C75B28C">
      <w:pPr>
        <w:shd w:val="clea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2.2采购人在收到评标报告5个工作日内未按评标报告推荐的中标候选人顺序确定中标供应商，视同按评标报告推荐的顺序确定的中标候选人为中标供应商。</w:t>
      </w:r>
    </w:p>
    <w:p w14:paraId="57B729FF">
      <w:pPr>
        <w:shd w:val="clea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2.3采购人应在确认中标供应商前再次对资格条件和相关证件材料进一步查验核实。</w:t>
      </w:r>
    </w:p>
    <w:p w14:paraId="4D8351F8">
      <w:pPr>
        <w:shd w:val="clear"/>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3．中标通知</w:t>
      </w:r>
    </w:p>
    <w:p w14:paraId="37832C76">
      <w:pPr>
        <w:shd w:val="clea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3.1采购代理机构对中标结果在指定媒体（浙江政府采购网）发布中标公告，中标公告期限为1个工作日。</w:t>
      </w:r>
    </w:p>
    <w:p w14:paraId="2CEFDDA6">
      <w:pPr>
        <w:shd w:val="clea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3.2采购代理机构对中标结果不作任何说明和解释，也不回答任何提问。</w:t>
      </w:r>
    </w:p>
    <w:p w14:paraId="1310F5D4">
      <w:pPr>
        <w:shd w:val="clear"/>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4．履约保证金</w:t>
      </w:r>
    </w:p>
    <w:p w14:paraId="6AA8A95B">
      <w:pPr>
        <w:shd w:val="clea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采购人在签订合同时，按规定可向中标供应商收取不高于中标额的1%的履约保证金，采购人不得以供应商事先提交履约保证金作为签订合同的条件。鼓励采购人根据项目特点、供应商诚信等情况免收履约保证金或降低缴纳比例。</w:t>
      </w:r>
    </w:p>
    <w:p w14:paraId="1739271A">
      <w:pPr>
        <w:shd w:val="clea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4.2项目验收结束后，采购人应及时退还履约保证金。</w:t>
      </w:r>
    </w:p>
    <w:p w14:paraId="19020AF1">
      <w:pPr>
        <w:shd w:val="clea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4.3供应商以银行、保险公司出具保函形式提交履约保证金的，采购人不得拒收。</w:t>
      </w:r>
    </w:p>
    <w:p w14:paraId="63C375F2">
      <w:pPr>
        <w:shd w:val="clea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4.4政府采购货物和服务项目不得收取质量保证金。</w:t>
      </w:r>
    </w:p>
    <w:p w14:paraId="6C8B4496">
      <w:pPr>
        <w:shd w:val="clear"/>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5．合同签订及备案</w:t>
      </w:r>
    </w:p>
    <w:p w14:paraId="5B84CAB2">
      <w:pPr>
        <w:shd w:val="clea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5.1中标供应商应当在中标通知书发出之日起30天内与采购人签订合同，自采购合同签订之日起</w:t>
      </w:r>
      <w:r>
        <w:rPr>
          <w:rFonts w:hint="eastAsia" w:ascii="仿宋" w:hAnsi="仿宋" w:eastAsia="仿宋" w:cs="仿宋"/>
          <w:b/>
          <w:bCs/>
          <w:color w:val="auto"/>
          <w:sz w:val="24"/>
          <w:highlight w:val="none"/>
        </w:rPr>
        <w:t>2个工作日内</w:t>
      </w:r>
      <w:r>
        <w:rPr>
          <w:rFonts w:hint="eastAsia" w:ascii="仿宋" w:hAnsi="仿宋" w:eastAsia="仿宋" w:cs="仿宋"/>
          <w:color w:val="auto"/>
          <w:sz w:val="24"/>
          <w:highlight w:val="none"/>
        </w:rPr>
        <w:t>，通过电子交易平台进行备案。</w:t>
      </w:r>
    </w:p>
    <w:p w14:paraId="54D8EB56">
      <w:pPr>
        <w:shd w:val="clear"/>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6.验收</w:t>
      </w:r>
    </w:p>
    <w:p w14:paraId="3BE25EAA">
      <w:pPr>
        <w:shd w:val="clea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承担相应的法律责任。</w:t>
      </w:r>
    </w:p>
    <w:p w14:paraId="3A6841F8">
      <w:pPr>
        <w:shd w:val="clea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6.2采购人可以邀请参加本项目的其他投标人或者第三方机构参与验收。参与验收的投标人或者第三方机构的意见作为验收书的参考资料一并存档。</w:t>
      </w:r>
    </w:p>
    <w:p w14:paraId="25B72192">
      <w:pPr>
        <w:shd w:val="clea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6.3 采购人负责加强对中标供应商的履约管理，并按照采购合同约定，及时向中标供应商支付采购资金。对于中标供应商违反采购合同约定的行为，采购人应当及时处理，依法追究其违约责任。</w:t>
      </w:r>
    </w:p>
    <w:p w14:paraId="3C07C7B1">
      <w:pPr>
        <w:shd w:val="clear"/>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7.售后服务考核</w:t>
      </w:r>
    </w:p>
    <w:p w14:paraId="47BD1315">
      <w:pPr>
        <w:shd w:val="clea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机构将联合政府采购监管部门不定期对合同的履约情况进行检查，发现未按合同规定进行履约的，有弄虚作假，偷工减料，以次充好等情形，达不到国家、行业有关标准和商务技术文件规定的，一经查实，由政府采购监督管理部门给予相应处罚。</w:t>
      </w:r>
    </w:p>
    <w:p w14:paraId="27DBED7B">
      <w:pPr>
        <w:shd w:val="clear"/>
        <w:tabs>
          <w:tab w:val="left" w:pos="0"/>
        </w:tabs>
        <w:spacing w:line="360" w:lineRule="auto"/>
        <w:ind w:firstLine="480"/>
        <w:rPr>
          <w:rFonts w:hint="eastAsia" w:ascii="仿宋" w:hAnsi="仿宋" w:eastAsia="仿宋" w:cs="仿宋"/>
          <w:color w:val="auto"/>
          <w:kern w:val="0"/>
          <w:sz w:val="24"/>
          <w:highlight w:val="none"/>
        </w:rPr>
      </w:pPr>
    </w:p>
    <w:p w14:paraId="1D9012D2">
      <w:pPr>
        <w:shd w:val="clear"/>
        <w:adjustRightInd/>
        <w:spacing w:line="336"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六、</w:t>
      </w:r>
      <w:r>
        <w:rPr>
          <w:rFonts w:ascii="仿宋" w:hAnsi="仿宋" w:eastAsia="仿宋" w:cs="仿宋"/>
          <w:b/>
          <w:bCs/>
          <w:color w:val="auto"/>
          <w:sz w:val="32"/>
          <w:szCs w:val="20"/>
          <w:highlight w:val="none"/>
        </w:rPr>
        <w:t>询问、质疑与投诉</w:t>
      </w:r>
    </w:p>
    <w:p w14:paraId="1D6FE86C">
      <w:pPr>
        <w:shd w:val="clear"/>
        <w:spacing w:line="336" w:lineRule="auto"/>
        <w:rPr>
          <w:rFonts w:hint="eastAsia" w:ascii="仿宋" w:hAnsi="仿宋" w:eastAsia="仿宋" w:cs="仿宋"/>
          <w:b/>
          <w:color w:val="auto"/>
          <w:sz w:val="32"/>
          <w:szCs w:val="32"/>
          <w:highlight w:val="none"/>
        </w:rPr>
      </w:pPr>
      <w:r>
        <w:rPr>
          <w:rFonts w:ascii="仿宋" w:hAnsi="仿宋" w:eastAsia="仿宋" w:cs="仿宋"/>
          <w:b/>
          <w:bCs/>
          <w:color w:val="auto"/>
          <w:sz w:val="24"/>
          <w:szCs w:val="20"/>
          <w:highlight w:val="none"/>
        </w:rPr>
        <w:t>1.在线询问、质疑、投诉</w:t>
      </w:r>
    </w:p>
    <w:p w14:paraId="5A965B66">
      <w:pPr>
        <w:shd w:val="clear"/>
        <w:spacing w:line="336" w:lineRule="auto"/>
        <w:ind w:firstLine="480" w:firstLineChars="200"/>
        <w:rPr>
          <w:rFonts w:hint="eastAsia" w:ascii="仿宋" w:hAnsi="仿宋" w:eastAsia="仿宋" w:cs="仿宋"/>
          <w:b/>
          <w:color w:val="auto"/>
          <w:sz w:val="32"/>
          <w:szCs w:val="32"/>
          <w:highlight w:val="none"/>
        </w:rPr>
      </w:pPr>
      <w:r>
        <w:rPr>
          <w:rFonts w:ascii="仿宋" w:hAnsi="仿宋" w:eastAsia="仿宋" w:cs="仿宋"/>
          <w:color w:val="auto"/>
          <w:sz w:val="24"/>
          <w:szCs w:val="20"/>
          <w:highlight w:val="none"/>
        </w:rPr>
        <w:t>根据《浙江省财政厅关于进一步促进政府采购公平竞争打造最优营商环境的通知》（浙财采监</w:t>
      </w:r>
      <w:r>
        <w:rPr>
          <w:rFonts w:hint="eastAsia" w:ascii="仿宋" w:hAnsi="仿宋" w:eastAsia="仿宋" w:cs="仿宋"/>
          <w:color w:val="auto"/>
          <w:sz w:val="24"/>
          <w:highlight w:val="none"/>
        </w:rPr>
        <w:t>〔2021〕</w:t>
      </w:r>
      <w:r>
        <w:rPr>
          <w:rFonts w:ascii="仿宋" w:hAnsi="仿宋" w:eastAsia="仿宋" w:cs="仿宋"/>
          <w:color w:val="auto"/>
          <w:sz w:val="24"/>
          <w:szCs w:val="20"/>
          <w:highlight w:val="none"/>
        </w:rPr>
        <w:t>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仿宋" w:hAnsi="仿宋" w:eastAsia="仿宋" w:cs="仿宋"/>
          <w:color w:val="auto"/>
          <w:sz w:val="24"/>
          <w:szCs w:val="20"/>
          <w:highlight w:val="none"/>
        </w:rPr>
        <w:t>政务</w:t>
      </w:r>
      <w:r>
        <w:rPr>
          <w:rFonts w:ascii="仿宋" w:hAnsi="仿宋" w:eastAsia="仿宋" w:cs="仿宋"/>
          <w:color w:val="auto"/>
          <w:sz w:val="24"/>
          <w:szCs w:val="20"/>
          <w:highlight w:val="none"/>
        </w:rPr>
        <w:t>服务网-政府采购投诉处理-在线办理。</w:t>
      </w:r>
    </w:p>
    <w:p w14:paraId="029E72D5">
      <w:pPr>
        <w:shd w:val="clear"/>
        <w:spacing w:line="336" w:lineRule="auto"/>
        <w:rPr>
          <w:rFonts w:hint="eastAsia" w:ascii="仿宋" w:hAnsi="仿宋" w:eastAsia="仿宋" w:cs="仿宋"/>
          <w:b/>
          <w:color w:val="auto"/>
          <w:sz w:val="32"/>
          <w:szCs w:val="32"/>
          <w:highlight w:val="none"/>
        </w:rPr>
      </w:pPr>
      <w:r>
        <w:rPr>
          <w:rFonts w:ascii="仿宋" w:hAnsi="仿宋" w:eastAsia="仿宋" w:cs="仿宋"/>
          <w:b/>
          <w:bCs/>
          <w:color w:val="auto"/>
          <w:sz w:val="24"/>
          <w:highlight w:val="none"/>
        </w:rPr>
        <w:t>2. 供应商询问</w:t>
      </w:r>
    </w:p>
    <w:p w14:paraId="409C5B2F">
      <w:pPr>
        <w:shd w:val="clear"/>
        <w:autoSpaceDE w:val="0"/>
        <w:autoSpaceDN w:val="0"/>
        <w:spacing w:line="336" w:lineRule="auto"/>
        <w:ind w:firstLine="480" w:firstLineChars="200"/>
        <w:jc w:val="left"/>
        <w:rPr>
          <w:rFonts w:hint="eastAsia" w:ascii="仿宋" w:hAnsi="仿宋" w:eastAsia="仿宋" w:cs="仿宋"/>
          <w:b/>
          <w:color w:val="auto"/>
          <w:sz w:val="32"/>
          <w:szCs w:val="32"/>
          <w:highlight w:val="none"/>
        </w:rPr>
      </w:pPr>
      <w:r>
        <w:rPr>
          <w:rFonts w:ascii="仿宋" w:hAnsi="仿宋" w:eastAsia="仿宋" w:cs="仿宋"/>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99DCDA3">
      <w:pPr>
        <w:shd w:val="clear"/>
        <w:spacing w:line="336" w:lineRule="auto"/>
        <w:rPr>
          <w:rFonts w:hint="eastAsia" w:ascii="仿宋" w:hAnsi="仿宋" w:eastAsia="仿宋" w:cs="仿宋"/>
          <w:b/>
          <w:color w:val="auto"/>
          <w:sz w:val="32"/>
          <w:szCs w:val="32"/>
          <w:highlight w:val="none"/>
        </w:rPr>
      </w:pPr>
      <w:r>
        <w:rPr>
          <w:rFonts w:ascii="仿宋" w:hAnsi="仿宋" w:eastAsia="仿宋" w:cs="仿宋"/>
          <w:b/>
          <w:bCs/>
          <w:color w:val="auto"/>
          <w:sz w:val="24"/>
          <w:highlight w:val="none"/>
        </w:rPr>
        <w:t>3. 供应商质疑</w:t>
      </w:r>
    </w:p>
    <w:p w14:paraId="29859AC6">
      <w:pPr>
        <w:shd w:val="clear"/>
        <w:spacing w:line="336" w:lineRule="auto"/>
        <w:ind w:firstLine="482" w:firstLineChars="200"/>
        <w:rPr>
          <w:rFonts w:hint="eastAsia" w:ascii="仿宋" w:hAnsi="仿宋" w:eastAsia="仿宋" w:cs="仿宋"/>
          <w:b/>
          <w:color w:val="auto"/>
          <w:sz w:val="32"/>
          <w:szCs w:val="32"/>
          <w:highlight w:val="none"/>
        </w:rPr>
      </w:pPr>
      <w:r>
        <w:rPr>
          <w:rFonts w:ascii="仿宋" w:hAnsi="仿宋" w:eastAsia="仿宋" w:cs="仿宋"/>
          <w:b/>
          <w:bCs/>
          <w:color w:val="auto"/>
          <w:kern w:val="0"/>
          <w:sz w:val="24"/>
          <w:szCs w:val="20"/>
          <w:highlight w:val="none"/>
          <w:lang w:val="zh-CN"/>
        </w:rPr>
        <w:t>3</w:t>
      </w:r>
      <w:r>
        <w:rPr>
          <w:rFonts w:ascii="仿宋" w:hAnsi="仿宋" w:eastAsia="仿宋" w:cs="仿宋"/>
          <w:b/>
          <w:bCs/>
          <w:color w:val="auto"/>
          <w:sz w:val="24"/>
          <w:szCs w:val="20"/>
          <w:highlight w:val="none"/>
        </w:rPr>
        <w:t>.1质疑提出时效</w:t>
      </w:r>
    </w:p>
    <w:p w14:paraId="2E57456D">
      <w:pPr>
        <w:shd w:val="clear"/>
        <w:spacing w:line="336" w:lineRule="auto"/>
        <w:ind w:firstLine="480" w:firstLineChars="200"/>
        <w:rPr>
          <w:rFonts w:hint="eastAsia" w:ascii="仿宋" w:hAnsi="仿宋" w:eastAsia="仿宋" w:cs="仿宋"/>
          <w:b/>
          <w:color w:val="auto"/>
          <w:sz w:val="32"/>
          <w:szCs w:val="32"/>
          <w:highlight w:val="none"/>
        </w:rPr>
      </w:pPr>
      <w:r>
        <w:rPr>
          <w:rFonts w:ascii="仿宋" w:hAnsi="仿宋" w:eastAsia="仿宋" w:cs="仿宋"/>
          <w:color w:val="auto"/>
          <w:sz w:val="24"/>
          <w:szCs w:val="20"/>
          <w:highlight w:val="none"/>
        </w:rPr>
        <w:t>3.1.1提出质疑的供应商应当是参与所质疑项目采购活动的供应商。潜在供应商已依法获取其可质疑的采购文件的，可以对该文件提出质疑。</w:t>
      </w:r>
    </w:p>
    <w:p w14:paraId="0AA2BB6C">
      <w:pPr>
        <w:shd w:val="clear"/>
        <w:spacing w:line="336" w:lineRule="auto"/>
        <w:ind w:firstLine="480" w:firstLineChars="200"/>
        <w:rPr>
          <w:rFonts w:hint="eastAsia" w:ascii="仿宋" w:hAnsi="仿宋" w:eastAsia="仿宋" w:cs="仿宋"/>
          <w:b/>
          <w:color w:val="auto"/>
          <w:sz w:val="32"/>
          <w:szCs w:val="32"/>
          <w:highlight w:val="none"/>
        </w:rPr>
      </w:pPr>
      <w:r>
        <w:rPr>
          <w:rFonts w:ascii="仿宋" w:hAnsi="仿宋" w:eastAsia="仿宋" w:cs="仿宋"/>
          <w:color w:val="auto"/>
          <w:kern w:val="0"/>
          <w:sz w:val="24"/>
          <w:szCs w:val="20"/>
          <w:highlight w:val="none"/>
          <w:lang w:val="zh-CN"/>
        </w:rPr>
        <w:t>3</w:t>
      </w:r>
      <w:r>
        <w:rPr>
          <w:rFonts w:ascii="仿宋" w:hAnsi="仿宋" w:eastAsia="仿宋" w:cs="仿宋"/>
          <w:color w:val="auto"/>
          <w:sz w:val="24"/>
          <w:szCs w:val="20"/>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7F621533">
      <w:pPr>
        <w:widowControl/>
        <w:shd w:val="clear"/>
        <w:snapToGrid w:val="0"/>
        <w:spacing w:line="336" w:lineRule="auto"/>
        <w:ind w:firstLine="434" w:firstLineChars="181"/>
        <w:rPr>
          <w:rFonts w:hint="eastAsia" w:ascii="仿宋" w:hAnsi="仿宋" w:eastAsia="仿宋" w:cs="仿宋"/>
          <w:b/>
          <w:color w:val="auto"/>
          <w:sz w:val="32"/>
          <w:szCs w:val="32"/>
          <w:highlight w:val="none"/>
        </w:rPr>
      </w:pPr>
      <w:r>
        <w:rPr>
          <w:rFonts w:ascii="仿宋" w:hAnsi="仿宋" w:eastAsia="仿宋" w:cs="仿宋"/>
          <w:color w:val="auto"/>
          <w:sz w:val="24"/>
          <w:szCs w:val="20"/>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1B81F247">
      <w:pPr>
        <w:shd w:val="clear"/>
        <w:spacing w:line="336" w:lineRule="auto"/>
        <w:ind w:firstLine="480" w:firstLineChars="200"/>
        <w:rPr>
          <w:rFonts w:hint="eastAsia" w:ascii="仿宋" w:hAnsi="仿宋" w:eastAsia="仿宋" w:cs="仿宋"/>
          <w:b/>
          <w:color w:val="auto"/>
          <w:sz w:val="32"/>
          <w:szCs w:val="32"/>
          <w:highlight w:val="none"/>
        </w:rPr>
      </w:pPr>
      <w:r>
        <w:rPr>
          <w:rFonts w:ascii="仿宋" w:hAnsi="仿宋" w:eastAsia="仿宋" w:cs="仿宋"/>
          <w:color w:val="auto"/>
          <w:sz w:val="24"/>
          <w:szCs w:val="20"/>
          <w:highlight w:val="none"/>
        </w:rPr>
        <w:t>3.1.2.2对采购过程提出质疑的，质疑期限为各采购程序环节结束之日起计算。</w:t>
      </w:r>
    </w:p>
    <w:p w14:paraId="410CAE96">
      <w:pPr>
        <w:shd w:val="clear"/>
        <w:spacing w:line="336" w:lineRule="auto"/>
        <w:ind w:firstLine="480" w:firstLineChars="200"/>
        <w:rPr>
          <w:rFonts w:hint="eastAsia" w:ascii="仿宋" w:hAnsi="仿宋" w:eastAsia="仿宋" w:cs="仿宋"/>
          <w:b/>
          <w:color w:val="auto"/>
          <w:sz w:val="32"/>
          <w:szCs w:val="32"/>
          <w:highlight w:val="none"/>
        </w:rPr>
      </w:pPr>
      <w:r>
        <w:rPr>
          <w:rFonts w:ascii="仿宋" w:hAnsi="仿宋" w:eastAsia="仿宋" w:cs="仿宋"/>
          <w:color w:val="auto"/>
          <w:sz w:val="24"/>
          <w:szCs w:val="20"/>
          <w:highlight w:val="none"/>
        </w:rPr>
        <w:t>3.1.2.3对采购结果提出质疑的，质疑期限自采购结果公告期限届满之日起计算。</w:t>
      </w:r>
    </w:p>
    <w:p w14:paraId="17E02ABA">
      <w:pPr>
        <w:shd w:val="clear"/>
        <w:spacing w:line="336" w:lineRule="auto"/>
        <w:ind w:firstLine="480" w:firstLineChars="200"/>
        <w:rPr>
          <w:rFonts w:hint="eastAsia" w:ascii="仿宋" w:hAnsi="仿宋" w:eastAsia="仿宋" w:cs="仿宋"/>
          <w:b/>
          <w:color w:val="auto"/>
          <w:sz w:val="32"/>
          <w:szCs w:val="32"/>
          <w:highlight w:val="none"/>
        </w:rPr>
      </w:pPr>
      <w:r>
        <w:rPr>
          <w:rFonts w:ascii="仿宋" w:hAnsi="仿宋" w:eastAsia="仿宋" w:cs="仿宋"/>
          <w:color w:val="auto"/>
          <w:sz w:val="24"/>
          <w:szCs w:val="20"/>
          <w:highlight w:val="none"/>
        </w:rPr>
        <w:t>3.1.2.4对同一采购程序环节的质疑，供应商须一次性提出。</w:t>
      </w:r>
    </w:p>
    <w:p w14:paraId="4589FB97">
      <w:pPr>
        <w:shd w:val="clear"/>
        <w:spacing w:line="336" w:lineRule="auto"/>
        <w:ind w:firstLine="482" w:firstLineChars="200"/>
        <w:rPr>
          <w:rFonts w:hint="eastAsia" w:ascii="仿宋" w:hAnsi="仿宋" w:eastAsia="仿宋" w:cs="仿宋"/>
          <w:b/>
          <w:color w:val="auto"/>
          <w:sz w:val="32"/>
          <w:szCs w:val="32"/>
          <w:highlight w:val="none"/>
        </w:rPr>
      </w:pPr>
      <w:r>
        <w:rPr>
          <w:rFonts w:ascii="仿宋" w:hAnsi="仿宋" w:eastAsia="仿宋" w:cs="仿宋"/>
          <w:b/>
          <w:bCs/>
          <w:color w:val="auto"/>
          <w:kern w:val="0"/>
          <w:sz w:val="24"/>
          <w:szCs w:val="20"/>
          <w:highlight w:val="none"/>
          <w:lang w:val="zh-CN"/>
        </w:rPr>
        <w:t>3.</w:t>
      </w:r>
      <w:r>
        <w:rPr>
          <w:rFonts w:ascii="仿宋" w:hAnsi="仿宋" w:eastAsia="仿宋" w:cs="仿宋"/>
          <w:b/>
          <w:bCs/>
          <w:color w:val="auto"/>
          <w:kern w:val="0"/>
          <w:sz w:val="24"/>
          <w:szCs w:val="20"/>
          <w:highlight w:val="none"/>
        </w:rPr>
        <w:t>2</w:t>
      </w:r>
      <w:r>
        <w:rPr>
          <w:rFonts w:ascii="仿宋" w:hAnsi="仿宋" w:eastAsia="仿宋" w:cs="仿宋"/>
          <w:b/>
          <w:bCs/>
          <w:color w:val="auto"/>
          <w:kern w:val="0"/>
          <w:sz w:val="24"/>
          <w:szCs w:val="20"/>
          <w:highlight w:val="none"/>
          <w:lang w:val="zh-CN"/>
        </w:rPr>
        <w:t>质疑函</w:t>
      </w:r>
    </w:p>
    <w:p w14:paraId="60307593">
      <w:pPr>
        <w:shd w:val="clear"/>
        <w:spacing w:line="336" w:lineRule="auto"/>
        <w:ind w:firstLine="480" w:firstLineChars="200"/>
        <w:rPr>
          <w:rFonts w:hint="eastAsia" w:ascii="仿宋" w:hAnsi="仿宋" w:eastAsia="仿宋" w:cs="仿宋"/>
          <w:b/>
          <w:color w:val="auto"/>
          <w:sz w:val="32"/>
          <w:szCs w:val="32"/>
          <w:highlight w:val="none"/>
        </w:rPr>
      </w:pPr>
      <w:r>
        <w:rPr>
          <w:rFonts w:ascii="仿宋" w:hAnsi="仿宋" w:eastAsia="仿宋" w:cs="仿宋"/>
          <w:color w:val="auto"/>
          <w:sz w:val="24"/>
          <w:szCs w:val="20"/>
          <w:highlight w:val="none"/>
        </w:rPr>
        <w:t>3.2.1供应商提出质疑应当提交质疑函和必要的证明材料。质疑函应当包括下列内容：</w:t>
      </w:r>
    </w:p>
    <w:p w14:paraId="114575B8">
      <w:pPr>
        <w:shd w:val="clear"/>
        <w:spacing w:line="336" w:lineRule="auto"/>
        <w:ind w:firstLine="480" w:firstLineChars="200"/>
        <w:rPr>
          <w:rFonts w:hint="eastAsia" w:ascii="仿宋" w:hAnsi="仿宋" w:eastAsia="仿宋" w:cs="仿宋"/>
          <w:b/>
          <w:color w:val="auto"/>
          <w:sz w:val="32"/>
          <w:szCs w:val="32"/>
          <w:highlight w:val="none"/>
        </w:rPr>
      </w:pPr>
      <w:r>
        <w:rPr>
          <w:rFonts w:ascii="仿宋" w:hAnsi="仿宋" w:eastAsia="仿宋" w:cs="仿宋"/>
          <w:color w:val="auto"/>
          <w:sz w:val="24"/>
          <w:highlight w:val="none"/>
        </w:rPr>
        <w:t>供应商的姓名或者名称、地址、邮编、联系人及联系电话；</w:t>
      </w:r>
    </w:p>
    <w:p w14:paraId="47AC26CD">
      <w:pPr>
        <w:shd w:val="clear"/>
        <w:spacing w:line="336" w:lineRule="auto"/>
        <w:ind w:firstLine="480" w:firstLineChars="200"/>
        <w:rPr>
          <w:rFonts w:hint="eastAsia" w:ascii="仿宋" w:hAnsi="仿宋" w:eastAsia="仿宋" w:cs="仿宋"/>
          <w:b/>
          <w:color w:val="auto"/>
          <w:sz w:val="32"/>
          <w:szCs w:val="32"/>
          <w:highlight w:val="none"/>
        </w:rPr>
      </w:pPr>
      <w:r>
        <w:rPr>
          <w:rFonts w:ascii="仿宋" w:hAnsi="仿宋" w:eastAsia="仿宋" w:cs="仿宋"/>
          <w:color w:val="auto"/>
          <w:sz w:val="24"/>
          <w:highlight w:val="none"/>
        </w:rPr>
        <w:t>质疑项目的名称、编号；</w:t>
      </w:r>
    </w:p>
    <w:p w14:paraId="3A755530">
      <w:pPr>
        <w:shd w:val="clear"/>
        <w:spacing w:line="336" w:lineRule="auto"/>
        <w:ind w:firstLine="480" w:firstLineChars="200"/>
        <w:rPr>
          <w:rFonts w:hint="eastAsia" w:ascii="仿宋" w:hAnsi="仿宋" w:eastAsia="仿宋" w:cs="仿宋"/>
          <w:b/>
          <w:color w:val="auto"/>
          <w:sz w:val="32"/>
          <w:szCs w:val="32"/>
          <w:highlight w:val="none"/>
        </w:rPr>
      </w:pPr>
      <w:r>
        <w:rPr>
          <w:rFonts w:ascii="仿宋" w:hAnsi="仿宋" w:eastAsia="仿宋" w:cs="仿宋"/>
          <w:color w:val="auto"/>
          <w:sz w:val="24"/>
          <w:highlight w:val="none"/>
        </w:rPr>
        <w:t>具体、明确的质疑事项和与质疑事项相关的请求；</w:t>
      </w:r>
    </w:p>
    <w:p w14:paraId="4662D9B0">
      <w:pPr>
        <w:shd w:val="clear"/>
        <w:spacing w:line="336" w:lineRule="auto"/>
        <w:ind w:firstLine="480" w:firstLineChars="200"/>
        <w:rPr>
          <w:rFonts w:hint="eastAsia" w:ascii="仿宋" w:hAnsi="仿宋" w:eastAsia="仿宋" w:cs="仿宋"/>
          <w:b/>
          <w:color w:val="auto"/>
          <w:sz w:val="32"/>
          <w:szCs w:val="32"/>
          <w:highlight w:val="none"/>
        </w:rPr>
      </w:pPr>
      <w:r>
        <w:rPr>
          <w:rFonts w:ascii="仿宋" w:hAnsi="仿宋" w:eastAsia="仿宋" w:cs="仿宋"/>
          <w:color w:val="auto"/>
          <w:sz w:val="24"/>
          <w:highlight w:val="none"/>
        </w:rPr>
        <w:t>事实依据；</w:t>
      </w:r>
    </w:p>
    <w:p w14:paraId="568FE525">
      <w:pPr>
        <w:shd w:val="clear"/>
        <w:spacing w:line="336" w:lineRule="auto"/>
        <w:ind w:firstLine="480" w:firstLineChars="200"/>
        <w:rPr>
          <w:rFonts w:hint="eastAsia" w:ascii="仿宋" w:hAnsi="仿宋" w:eastAsia="仿宋" w:cs="仿宋"/>
          <w:b/>
          <w:color w:val="auto"/>
          <w:sz w:val="32"/>
          <w:szCs w:val="32"/>
          <w:highlight w:val="none"/>
        </w:rPr>
      </w:pPr>
      <w:r>
        <w:rPr>
          <w:rFonts w:ascii="仿宋" w:hAnsi="仿宋" w:eastAsia="仿宋" w:cs="仿宋"/>
          <w:color w:val="auto"/>
          <w:sz w:val="24"/>
          <w:highlight w:val="none"/>
        </w:rPr>
        <w:t>必要的法律依据；</w:t>
      </w:r>
    </w:p>
    <w:p w14:paraId="06B74452">
      <w:pPr>
        <w:shd w:val="clear"/>
        <w:spacing w:line="336" w:lineRule="auto"/>
        <w:ind w:firstLine="480" w:firstLineChars="200"/>
        <w:rPr>
          <w:rFonts w:hint="eastAsia" w:ascii="仿宋" w:hAnsi="仿宋" w:eastAsia="仿宋" w:cs="仿宋"/>
          <w:b/>
          <w:color w:val="auto"/>
          <w:sz w:val="32"/>
          <w:szCs w:val="32"/>
          <w:highlight w:val="none"/>
        </w:rPr>
      </w:pPr>
      <w:r>
        <w:rPr>
          <w:rFonts w:ascii="仿宋" w:hAnsi="仿宋" w:eastAsia="仿宋" w:cs="仿宋"/>
          <w:color w:val="auto"/>
          <w:sz w:val="24"/>
          <w:highlight w:val="none"/>
        </w:rPr>
        <w:t>提出质疑的日期。</w:t>
      </w:r>
    </w:p>
    <w:p w14:paraId="438AA8F2">
      <w:pPr>
        <w:shd w:val="clear"/>
        <w:spacing w:line="336" w:lineRule="auto"/>
        <w:ind w:firstLine="480" w:firstLineChars="200"/>
        <w:rPr>
          <w:rFonts w:hint="eastAsia" w:ascii="仿宋" w:hAnsi="仿宋" w:eastAsia="仿宋" w:cs="仿宋"/>
          <w:b/>
          <w:color w:val="auto"/>
          <w:sz w:val="32"/>
          <w:szCs w:val="32"/>
          <w:highlight w:val="none"/>
        </w:rPr>
      </w:pPr>
      <w:r>
        <w:rPr>
          <w:rFonts w:ascii="仿宋" w:hAnsi="仿宋" w:eastAsia="仿宋" w:cs="仿宋"/>
          <w:color w:val="auto"/>
          <w:sz w:val="24"/>
          <w:szCs w:val="20"/>
          <w:highlight w:val="none"/>
        </w:rPr>
        <w:t>供应商提交的质疑函需一式三份。供应商为自然人的，应当由本人签字；供应商为法人或者其他组织的，应当由法定代表人、主要负责人，或者其授权代表签字或者盖章，并加盖公章。</w:t>
      </w:r>
    </w:p>
    <w:p w14:paraId="7FBB80C4">
      <w:pPr>
        <w:shd w:val="clear"/>
        <w:spacing w:line="336" w:lineRule="auto"/>
        <w:ind w:firstLine="482" w:firstLineChars="200"/>
        <w:rPr>
          <w:rFonts w:hint="eastAsia" w:ascii="仿宋" w:hAnsi="仿宋" w:eastAsia="仿宋" w:cs="仿宋"/>
          <w:b/>
          <w:color w:val="auto"/>
          <w:sz w:val="32"/>
          <w:szCs w:val="32"/>
          <w:highlight w:val="none"/>
        </w:rPr>
      </w:pPr>
      <w:r>
        <w:rPr>
          <w:rFonts w:ascii="仿宋" w:hAnsi="仿宋" w:eastAsia="仿宋" w:cs="仿宋"/>
          <w:b/>
          <w:bCs/>
          <w:color w:val="auto"/>
          <w:sz w:val="24"/>
          <w:szCs w:val="20"/>
          <w:highlight w:val="none"/>
        </w:rPr>
        <w:t>质疑函范本及制作说明详见附件1。</w:t>
      </w:r>
    </w:p>
    <w:p w14:paraId="7529411D">
      <w:pPr>
        <w:shd w:val="clear"/>
        <w:spacing w:line="336" w:lineRule="auto"/>
        <w:rPr>
          <w:rFonts w:hint="eastAsia" w:ascii="仿宋" w:hAnsi="仿宋" w:eastAsia="仿宋" w:cs="仿宋"/>
          <w:b/>
          <w:color w:val="auto"/>
          <w:sz w:val="32"/>
          <w:szCs w:val="32"/>
          <w:highlight w:val="none"/>
        </w:rPr>
      </w:pPr>
      <w:r>
        <w:rPr>
          <w:rFonts w:ascii="仿宋" w:hAnsi="仿宋" w:eastAsia="仿宋" w:cs="仿宋"/>
          <w:b/>
          <w:bCs/>
          <w:color w:val="auto"/>
          <w:sz w:val="24"/>
          <w:highlight w:val="none"/>
        </w:rPr>
        <w:t>4.供应商投诉</w:t>
      </w:r>
    </w:p>
    <w:p w14:paraId="00E67BAA">
      <w:pPr>
        <w:shd w:val="clear"/>
        <w:spacing w:line="336" w:lineRule="auto"/>
        <w:ind w:firstLine="480" w:firstLineChars="200"/>
        <w:rPr>
          <w:rFonts w:hint="eastAsia" w:ascii="仿宋" w:hAnsi="仿宋" w:eastAsia="仿宋" w:cs="仿宋"/>
          <w:b/>
          <w:color w:val="auto"/>
          <w:sz w:val="32"/>
          <w:szCs w:val="32"/>
          <w:highlight w:val="none"/>
        </w:rPr>
      </w:pPr>
      <w:r>
        <w:rPr>
          <w:rFonts w:ascii="仿宋" w:hAnsi="仿宋" w:eastAsia="仿宋" w:cs="仿宋"/>
          <w:color w:val="auto"/>
          <w:sz w:val="24"/>
          <w:szCs w:val="20"/>
          <w:highlight w:val="none"/>
        </w:rPr>
        <w:t>4.1质疑供应商对采购人或采购代理机构的答复不满意或者采购人、采购代理机构未在规定的时间内作出答复的，可以在答复期满后十五个工作日内向同级政府采购监督管理部门提出投诉。</w:t>
      </w:r>
    </w:p>
    <w:p w14:paraId="6A1ADAEB">
      <w:pPr>
        <w:shd w:val="clear"/>
        <w:spacing w:line="336" w:lineRule="auto"/>
        <w:ind w:firstLine="480" w:firstLineChars="200"/>
        <w:rPr>
          <w:rFonts w:hint="eastAsia" w:ascii="仿宋" w:hAnsi="仿宋" w:eastAsia="仿宋" w:cs="仿宋"/>
          <w:b/>
          <w:color w:val="auto"/>
          <w:sz w:val="32"/>
          <w:szCs w:val="32"/>
          <w:highlight w:val="none"/>
        </w:rPr>
      </w:pPr>
      <w:r>
        <w:rPr>
          <w:rFonts w:ascii="仿宋" w:hAnsi="仿宋" w:eastAsia="仿宋" w:cs="仿宋"/>
          <w:color w:val="auto"/>
          <w:sz w:val="24"/>
          <w:szCs w:val="20"/>
          <w:highlight w:val="none"/>
        </w:rPr>
        <w:t>4.2供应商投诉的事项不得超出已质疑事项的范围，基于质疑答复内容提出的投诉事项除外。</w:t>
      </w:r>
    </w:p>
    <w:p w14:paraId="0D543388">
      <w:pPr>
        <w:shd w:val="clear"/>
        <w:spacing w:line="336" w:lineRule="auto"/>
        <w:ind w:firstLine="480" w:firstLineChars="200"/>
        <w:rPr>
          <w:rFonts w:hint="eastAsia" w:ascii="仿宋" w:hAnsi="仿宋" w:eastAsia="仿宋" w:cs="仿宋"/>
          <w:b/>
          <w:color w:val="auto"/>
          <w:sz w:val="32"/>
          <w:szCs w:val="32"/>
          <w:highlight w:val="none"/>
        </w:rPr>
      </w:pPr>
      <w:r>
        <w:rPr>
          <w:rFonts w:ascii="仿宋" w:hAnsi="仿宋" w:eastAsia="仿宋" w:cs="仿宋"/>
          <w:color w:val="auto"/>
          <w:sz w:val="24"/>
          <w:szCs w:val="20"/>
          <w:highlight w:val="none"/>
        </w:rPr>
        <w:t>4.3供应商投诉应当有明确的请求和必要的证明材料。</w:t>
      </w:r>
    </w:p>
    <w:p w14:paraId="0E425188">
      <w:pPr>
        <w:shd w:val="clear"/>
        <w:snapToGrid w:val="0"/>
        <w:spacing w:line="360" w:lineRule="auto"/>
        <w:ind w:firstLine="482" w:firstLineChars="200"/>
        <w:jc w:val="left"/>
        <w:outlineLvl w:val="0"/>
        <w:rPr>
          <w:rFonts w:hint="eastAsia" w:ascii="仿宋" w:hAnsi="仿宋" w:eastAsia="仿宋" w:cs="仿宋"/>
          <w:b/>
          <w:color w:val="auto"/>
          <w:sz w:val="32"/>
          <w:szCs w:val="32"/>
          <w:highlight w:val="none"/>
        </w:rPr>
      </w:pPr>
      <w:r>
        <w:rPr>
          <w:rFonts w:ascii="仿宋" w:hAnsi="仿宋" w:eastAsia="仿宋" w:cs="仿宋"/>
          <w:b/>
          <w:bCs/>
          <w:color w:val="auto"/>
          <w:sz w:val="24"/>
          <w:szCs w:val="20"/>
          <w:highlight w:val="none"/>
        </w:rPr>
        <w:t>投诉书范本及制作说明详见附件2。</w:t>
      </w:r>
    </w:p>
    <w:p w14:paraId="33A8AA53">
      <w:pPr>
        <w:pStyle w:val="12"/>
        <w:shd w:val="clear"/>
        <w:spacing w:line="440" w:lineRule="exact"/>
        <w:ind w:firstLine="480" w:firstLineChars="200"/>
        <w:rPr>
          <w:rFonts w:hint="eastAsia" w:ascii="仿宋" w:hAnsi="仿宋" w:eastAsia="仿宋" w:cs="仿宋"/>
          <w:color w:val="auto"/>
          <w:highlight w:val="none"/>
        </w:rPr>
        <w:sectPr>
          <w:footerReference r:id="rId8" w:type="default"/>
          <w:pgSz w:w="11906" w:h="16838"/>
          <w:pgMar w:top="1474" w:right="1616" w:bottom="1474" w:left="1644" w:header="851" w:footer="992" w:gutter="0"/>
          <w:pgNumType w:start="2"/>
          <w:cols w:space="720" w:num="1"/>
          <w:docGrid w:linePitch="312" w:charSpace="0"/>
        </w:sectPr>
      </w:pPr>
    </w:p>
    <w:bookmarkEnd w:id="17"/>
    <w:bookmarkEnd w:id="18"/>
    <w:p w14:paraId="38038DF5">
      <w:pPr>
        <w:shd w:val="clear"/>
        <w:spacing w:line="360" w:lineRule="auto"/>
        <w:jc w:val="center"/>
        <w:outlineLvl w:val="0"/>
        <w:rPr>
          <w:rFonts w:hint="eastAsia" w:ascii="仿宋" w:hAnsi="仿宋" w:eastAsia="仿宋" w:cs="仿宋"/>
          <w:b/>
          <w:color w:val="auto"/>
          <w:sz w:val="36"/>
          <w:szCs w:val="36"/>
          <w:highlight w:val="none"/>
        </w:rPr>
      </w:pPr>
      <w:bookmarkStart w:id="35" w:name="第四部分"/>
      <w:r>
        <w:rPr>
          <w:rFonts w:hint="eastAsia" w:ascii="仿宋" w:hAnsi="仿宋" w:eastAsia="仿宋" w:cs="仿宋"/>
          <w:b/>
          <w:color w:val="auto"/>
          <w:sz w:val="36"/>
          <w:szCs w:val="36"/>
          <w:highlight w:val="none"/>
        </w:rPr>
        <w:t>第三部分   招标项目范围及要求</w:t>
      </w:r>
    </w:p>
    <w:bookmarkEnd w:id="35"/>
    <w:p w14:paraId="1FCD6D77">
      <w:pPr>
        <w:keepNext w:val="0"/>
        <w:keepLines w:val="0"/>
        <w:pageBreakBefore w:val="0"/>
        <w:shd w:val="clear"/>
        <w:kinsoku/>
        <w:wordWrap/>
        <w:overflowPunct/>
        <w:topLinePunct w:val="0"/>
        <w:autoSpaceDE/>
        <w:autoSpaceDN/>
        <w:bidi w:val="0"/>
        <w:spacing w:line="360" w:lineRule="auto"/>
        <w:jc w:val="left"/>
        <w:textAlignment w:val="auto"/>
        <w:rPr>
          <w:rFonts w:hint="eastAsia" w:ascii="仿宋" w:hAnsi="仿宋" w:eastAsia="仿宋" w:cs="仿宋"/>
          <w:b/>
          <w:color w:val="auto"/>
          <w:sz w:val="24"/>
          <w:szCs w:val="24"/>
          <w:highlight w:val="none"/>
          <w:lang w:val="en-US" w:eastAsia="zh-CN"/>
        </w:rPr>
      </w:pPr>
      <w:bookmarkStart w:id="36" w:name="第五部分"/>
      <w:bookmarkStart w:id="37" w:name="_Toc86217003"/>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项目概况</w:t>
      </w:r>
    </w:p>
    <w:p w14:paraId="27AEBC15">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1.为维护校园正常秩序，保障师生人身安全和公私财产安全，营造良好的校园治安环境，拟对</w:t>
      </w:r>
      <w:r>
        <w:rPr>
          <w:rFonts w:hint="eastAsia" w:ascii="仿宋" w:hAnsi="仿宋" w:eastAsia="仿宋" w:cs="仿宋"/>
          <w:b w:val="0"/>
          <w:bCs/>
          <w:color w:val="auto"/>
          <w:sz w:val="24"/>
          <w:szCs w:val="24"/>
          <w:highlight w:val="none"/>
          <w:lang w:eastAsia="zh-CN"/>
        </w:rPr>
        <w:t>嵊州市教育体育局市属学校综合安保服务</w:t>
      </w:r>
      <w:r>
        <w:rPr>
          <w:rFonts w:hint="eastAsia" w:ascii="仿宋" w:hAnsi="仿宋" w:eastAsia="仿宋" w:cs="仿宋"/>
          <w:b w:val="0"/>
          <w:bCs/>
          <w:color w:val="auto"/>
          <w:sz w:val="24"/>
          <w:szCs w:val="24"/>
          <w:highlight w:val="none"/>
          <w:lang w:val="en-US" w:eastAsia="zh-CN"/>
        </w:rPr>
        <w:t>通过公开招标采购方式确定安保服务供应商。招标根据三个片区分三个标项进行招标，每个片区采购一家安保服务公司。</w:t>
      </w:r>
    </w:p>
    <w:p w14:paraId="39C1CCCC">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本项目服务期限为两年，单价最高限价为45000元/人/年（投标价格人员工资不得低于绍兴市最低工资标准要求），标项一保安需求人数暂定80名，标项二保安需求人数暂定74名，标项三保安需求人数暂定69名（附学校保安需求明细表），服务期度内新增学校的保安纳入此招标项目执行。服务期内如果人员调整的按中标供应商投标单价同比例进行相应的调整。服务费用按保安人数按实结算。</w:t>
      </w:r>
    </w:p>
    <w:p w14:paraId="6A6CBB3A">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3.根据财政下拨校园安保专项补助经费和招标协议相关规定，由教体局、学校综合考核后，按学期拨付给保安公司。</w:t>
      </w:r>
    </w:p>
    <w:p w14:paraId="69BFFC8F">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4.如遇经费标准调整则以当年财政调整后的经费标准为准，具体情况另行通知。</w:t>
      </w:r>
    </w:p>
    <w:p w14:paraId="57D5D10C">
      <w:pPr>
        <w:keepNext w:val="0"/>
        <w:keepLines w:val="0"/>
        <w:pageBreakBefore w:val="0"/>
        <w:shd w:val="clear"/>
        <w:kinsoku/>
        <w:wordWrap/>
        <w:overflowPunct/>
        <w:topLinePunct w:val="0"/>
        <w:autoSpaceDE/>
        <w:autoSpaceDN/>
        <w:bidi w:val="0"/>
        <w:spacing w:line="360" w:lineRule="auto"/>
        <w:jc w:val="left"/>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二、人员配备</w:t>
      </w:r>
    </w:p>
    <w:p w14:paraId="5F330945">
      <w:pPr>
        <w:pStyle w:val="5"/>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标项一：东北片区学校综合安保服务</w:t>
      </w:r>
    </w:p>
    <w:tbl>
      <w:tblPr>
        <w:tblStyle w:val="25"/>
        <w:tblW w:w="86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3"/>
        <w:gridCol w:w="4308"/>
        <w:gridCol w:w="3028"/>
      </w:tblGrid>
      <w:tr w14:paraId="4D1F2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B884">
            <w:pPr>
              <w:keepNext w:val="0"/>
              <w:keepLines w:val="0"/>
              <w:widowControl/>
              <w:suppressLineNumbers w:val="0"/>
              <w:shd w:val="clear"/>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0460">
            <w:pPr>
              <w:keepNext w:val="0"/>
              <w:keepLines w:val="0"/>
              <w:widowControl/>
              <w:suppressLineNumbers w:val="0"/>
              <w:shd w:val="clear"/>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学校</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77EF">
            <w:pPr>
              <w:keepNext w:val="0"/>
              <w:keepLines w:val="0"/>
              <w:widowControl/>
              <w:suppressLineNumbers w:val="0"/>
              <w:shd w:val="clear"/>
              <w:jc w:val="center"/>
              <w:textAlignment w:val="center"/>
              <w:rPr>
                <w:rFonts w:hint="eastAsia"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人数</w:t>
            </w:r>
          </w:p>
        </w:tc>
      </w:tr>
      <w:tr w14:paraId="2D4B5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5B72">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4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B860">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嵊州中学</w:t>
            </w:r>
          </w:p>
        </w:tc>
        <w:tc>
          <w:tcPr>
            <w:tcW w:w="3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7198">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r>
      <w:tr w14:paraId="02959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AF42">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4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3783">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黄泽中学</w:t>
            </w:r>
          </w:p>
        </w:tc>
        <w:tc>
          <w:tcPr>
            <w:tcW w:w="3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916F">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r>
      <w:tr w14:paraId="1C1E9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133D">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4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B5DD">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三界中学</w:t>
            </w:r>
          </w:p>
        </w:tc>
        <w:tc>
          <w:tcPr>
            <w:tcW w:w="3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9D89">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r>
      <w:tr w14:paraId="61A61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AE98">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4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0C23">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剡城中学教育集团城关校区</w:t>
            </w:r>
          </w:p>
        </w:tc>
        <w:tc>
          <w:tcPr>
            <w:tcW w:w="3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42F9">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r>
      <w:tr w14:paraId="4A555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E0FF">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4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A5AE">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剡城中学教育集团城东校区</w:t>
            </w:r>
          </w:p>
        </w:tc>
        <w:tc>
          <w:tcPr>
            <w:tcW w:w="3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238F">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5EDFC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BE71">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4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C3C3">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镇海中学初中部</w:t>
            </w:r>
          </w:p>
        </w:tc>
        <w:tc>
          <w:tcPr>
            <w:tcW w:w="3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AAC0">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r>
      <w:tr w14:paraId="292A8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3408">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4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DC39">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城北小学</w:t>
            </w:r>
          </w:p>
        </w:tc>
        <w:tc>
          <w:tcPr>
            <w:tcW w:w="3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C5BC7">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26352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9252">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4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4D82">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城北小学东圃校区</w:t>
            </w:r>
          </w:p>
        </w:tc>
        <w:tc>
          <w:tcPr>
            <w:tcW w:w="3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A61C">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497C1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EA01">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4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9DD0">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东圃小学</w:t>
            </w:r>
          </w:p>
        </w:tc>
        <w:tc>
          <w:tcPr>
            <w:tcW w:w="3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2AED">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4F9C6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5DB4">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4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D250">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鹿山小学教育集团鹿山校区</w:t>
            </w:r>
          </w:p>
        </w:tc>
        <w:tc>
          <w:tcPr>
            <w:tcW w:w="3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48E0">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064C3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8C61">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4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48CA">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鹿山小学教育集团三塘校区</w:t>
            </w:r>
          </w:p>
        </w:tc>
        <w:tc>
          <w:tcPr>
            <w:tcW w:w="3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0D66">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276A7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9E51">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4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072FE">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城东小学</w:t>
            </w:r>
          </w:p>
        </w:tc>
        <w:tc>
          <w:tcPr>
            <w:tcW w:w="3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2EA0">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328DE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DB31">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4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C6BF">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双塔小学</w:t>
            </w:r>
          </w:p>
        </w:tc>
        <w:tc>
          <w:tcPr>
            <w:tcW w:w="3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C9ED">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1E2CE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80B1">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4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5CDB">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莲塘小学</w:t>
            </w:r>
          </w:p>
        </w:tc>
        <w:tc>
          <w:tcPr>
            <w:tcW w:w="3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E8DE">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763E5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48F7">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4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6F69">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五爱幼教集团（4个园区）</w:t>
            </w:r>
          </w:p>
        </w:tc>
        <w:tc>
          <w:tcPr>
            <w:tcW w:w="3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1FF7">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3E224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E2E3">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4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0598">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开发区幼教集团（2个园区）</w:t>
            </w:r>
          </w:p>
        </w:tc>
        <w:tc>
          <w:tcPr>
            <w:tcW w:w="3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4333">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4E02B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F4CE">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4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8001">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东圃幼儿园</w:t>
            </w:r>
          </w:p>
        </w:tc>
        <w:tc>
          <w:tcPr>
            <w:tcW w:w="3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63CD">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1570E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E984">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4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71AF">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育才学校</w:t>
            </w:r>
          </w:p>
        </w:tc>
        <w:tc>
          <w:tcPr>
            <w:tcW w:w="3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98F4">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722A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5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1766">
            <w:pPr>
              <w:keepNext w:val="0"/>
              <w:keepLines w:val="0"/>
              <w:widowControl/>
              <w:suppressLineNumbers w:val="0"/>
              <w:shd w:val="clear"/>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小计</w:t>
            </w:r>
          </w:p>
        </w:tc>
        <w:tc>
          <w:tcPr>
            <w:tcW w:w="3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0F1F">
            <w:pPr>
              <w:keepNext w:val="0"/>
              <w:keepLines w:val="0"/>
              <w:widowControl/>
              <w:suppressLineNumbers w:val="0"/>
              <w:shd w:val="clear"/>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80</w:t>
            </w:r>
          </w:p>
        </w:tc>
      </w:tr>
    </w:tbl>
    <w:p w14:paraId="30342706">
      <w:pPr>
        <w:pStyle w:val="16"/>
        <w:keepNext w:val="0"/>
        <w:keepLines w:val="0"/>
        <w:pageBreakBefore w:val="0"/>
        <w:shd w:val="clear"/>
        <w:kinsoku/>
        <w:wordWrap/>
        <w:overflowPunct/>
        <w:topLinePunct w:val="0"/>
        <w:autoSpaceDE/>
        <w:autoSpaceDN/>
        <w:bidi w:val="0"/>
        <w:snapToGrid w:val="0"/>
        <w:spacing w:line="360" w:lineRule="auto"/>
        <w:jc w:val="both"/>
        <w:textAlignment w:val="auto"/>
        <w:rPr>
          <w:rFonts w:hint="eastAsia" w:ascii="仿宋" w:hAnsi="仿宋" w:eastAsia="仿宋" w:cs="仿宋"/>
          <w:b/>
          <w:bCs w:val="0"/>
          <w:color w:val="auto"/>
          <w:sz w:val="24"/>
          <w:szCs w:val="24"/>
          <w:highlight w:val="none"/>
          <w:lang w:val="en-US" w:eastAsia="zh-CN"/>
        </w:rPr>
      </w:pPr>
    </w:p>
    <w:p w14:paraId="49F32C4E">
      <w:pPr>
        <w:pStyle w:val="16"/>
        <w:keepNext w:val="0"/>
        <w:keepLines w:val="0"/>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标项二：</w:t>
      </w:r>
      <w:r>
        <w:rPr>
          <w:rFonts w:hint="eastAsia" w:ascii="仿宋" w:hAnsi="仿宋" w:eastAsia="仿宋" w:cs="仿宋"/>
          <w:b/>
          <w:color w:val="auto"/>
          <w:sz w:val="24"/>
          <w:szCs w:val="24"/>
          <w:highlight w:val="none"/>
          <w:lang w:val="en-US" w:eastAsia="zh-CN"/>
        </w:rPr>
        <w:t>中片区学校综合安保服务</w:t>
      </w:r>
    </w:p>
    <w:tbl>
      <w:tblPr>
        <w:tblStyle w:val="25"/>
        <w:tblW w:w="86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1"/>
        <w:gridCol w:w="4289"/>
        <w:gridCol w:w="3059"/>
      </w:tblGrid>
      <w:tr w14:paraId="04C6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3"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152E">
            <w:pPr>
              <w:keepNext w:val="0"/>
              <w:keepLines w:val="0"/>
              <w:widowControl/>
              <w:suppressLineNumbers w:val="0"/>
              <w:shd w:val="clear"/>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3189">
            <w:pPr>
              <w:keepNext w:val="0"/>
              <w:keepLines w:val="0"/>
              <w:widowControl/>
              <w:suppressLineNumbers w:val="0"/>
              <w:shd w:val="clear"/>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学校</w:t>
            </w:r>
          </w:p>
        </w:tc>
        <w:tc>
          <w:tcPr>
            <w:tcW w:w="3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1B63">
            <w:pPr>
              <w:keepNext w:val="0"/>
              <w:keepLines w:val="0"/>
              <w:widowControl/>
              <w:suppressLineNumbers w:val="0"/>
              <w:shd w:val="clear"/>
              <w:jc w:val="center"/>
              <w:textAlignment w:val="center"/>
              <w:rPr>
                <w:rFonts w:hint="eastAsia"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人数</w:t>
            </w:r>
          </w:p>
        </w:tc>
      </w:tr>
      <w:tr w14:paraId="26357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A6D8">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4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E838">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高级中学</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82F8">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r>
      <w:tr w14:paraId="78D9D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C388">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4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F50C">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爱德初级中学</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884C">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r>
      <w:tr w14:paraId="0FA63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3E3C">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4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C5AF">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马寅初初级中学</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CCFA">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14512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F7F1">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4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43A1">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新城实验学校</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3B27">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r>
      <w:tr w14:paraId="4C265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E18D">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4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D20B">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剡山小学教育集团剡山校区</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26D0">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73890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0785">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4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DE0A">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剡山小学教育集团元培校区</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6484">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r>
      <w:tr w14:paraId="4D8BE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849C">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4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2772">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剡山小学教育集团爱德校区</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4E76">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6F3AD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9C34">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4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8548">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爱德小学</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CF3E">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r>
      <w:tr w14:paraId="1B246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59CE6">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4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6EA4">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城南小学</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77F8">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r>
      <w:tr w14:paraId="25BB1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615F">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4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B640">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城南小学罗星校区</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9824">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59C3C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93B1">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4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6073">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三江小学</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6D6B">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r>
      <w:tr w14:paraId="4F5A0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6056">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4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83C5">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罗星幼教集团（4个园区）</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1D8E">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r>
      <w:tr w14:paraId="02909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EA2B">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4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FB12">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仙湖幼教集团（3个园区）</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BBBF">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r>
      <w:tr w14:paraId="68C1C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3AF9">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4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B051">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恒越幼儿园</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4C22">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0BA1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C5FB">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4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1524">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融信幼儿园</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66D9D">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29A0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FA9C">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4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40E4">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恒大未来城幼儿园</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76C4">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74BA9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A094">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4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961B">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越剧艺术学校</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71EB">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r>
      <w:tr w14:paraId="46CCF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5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1FAD">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小计</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1EBC">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74</w:t>
            </w:r>
          </w:p>
        </w:tc>
      </w:tr>
    </w:tbl>
    <w:p w14:paraId="0F42C38C">
      <w:pPr>
        <w:pStyle w:val="16"/>
        <w:keepNext w:val="0"/>
        <w:keepLines w:val="0"/>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b/>
          <w:bCs w:val="0"/>
          <w:color w:val="auto"/>
          <w:sz w:val="24"/>
          <w:szCs w:val="24"/>
          <w:highlight w:val="none"/>
          <w:lang w:val="en-US" w:eastAsia="zh-CN"/>
        </w:rPr>
      </w:pPr>
    </w:p>
    <w:p w14:paraId="0EF3B4B6">
      <w:pPr>
        <w:pStyle w:val="16"/>
        <w:keepNext w:val="0"/>
        <w:keepLines w:val="0"/>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标项三：</w:t>
      </w:r>
      <w:r>
        <w:rPr>
          <w:rFonts w:hint="eastAsia" w:ascii="仿宋" w:hAnsi="仿宋" w:eastAsia="仿宋" w:cs="仿宋"/>
          <w:b/>
          <w:color w:val="auto"/>
          <w:sz w:val="24"/>
          <w:szCs w:val="24"/>
          <w:highlight w:val="none"/>
          <w:lang w:val="en-US" w:eastAsia="zh-CN"/>
        </w:rPr>
        <w:t>西片区学校综合安保服务</w:t>
      </w:r>
    </w:p>
    <w:tbl>
      <w:tblPr>
        <w:tblStyle w:val="25"/>
        <w:tblW w:w="86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4289"/>
        <w:gridCol w:w="3057"/>
      </w:tblGrid>
      <w:tr w14:paraId="18AD8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5035">
            <w:pPr>
              <w:keepNext w:val="0"/>
              <w:keepLines w:val="0"/>
              <w:widowControl/>
              <w:suppressLineNumbers w:val="0"/>
              <w:shd w:val="clear"/>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CA8C">
            <w:pPr>
              <w:keepNext w:val="0"/>
              <w:keepLines w:val="0"/>
              <w:widowControl/>
              <w:suppressLineNumbers w:val="0"/>
              <w:shd w:val="clear"/>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学校</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95EC">
            <w:pPr>
              <w:keepNext w:val="0"/>
              <w:keepLines w:val="0"/>
              <w:widowControl/>
              <w:suppressLineNumbers w:val="0"/>
              <w:shd w:val="clear"/>
              <w:jc w:val="center"/>
              <w:textAlignment w:val="center"/>
              <w:rPr>
                <w:rFonts w:hint="eastAsia"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人数</w:t>
            </w:r>
          </w:p>
        </w:tc>
      </w:tr>
      <w:tr w14:paraId="24937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0F6F">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4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9F60">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马寅初中学</w:t>
            </w:r>
          </w:p>
        </w:tc>
        <w:tc>
          <w:tcPr>
            <w:tcW w:w="3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E723">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r>
      <w:tr w14:paraId="5D94C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B9FD">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4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3A85">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崇仁中学</w:t>
            </w:r>
          </w:p>
        </w:tc>
        <w:tc>
          <w:tcPr>
            <w:tcW w:w="3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A1EC">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r>
      <w:tr w14:paraId="328CD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51CB">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4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AA69">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长乐中学</w:t>
            </w:r>
          </w:p>
        </w:tc>
        <w:tc>
          <w:tcPr>
            <w:tcW w:w="3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CF17">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r>
      <w:tr w14:paraId="5D394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E73D">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4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9CBC">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职技校</w:t>
            </w:r>
          </w:p>
        </w:tc>
        <w:tc>
          <w:tcPr>
            <w:tcW w:w="3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1D0C">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r>
      <w:tr w14:paraId="195F9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E293">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4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587F">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职教中心</w:t>
            </w:r>
          </w:p>
        </w:tc>
        <w:tc>
          <w:tcPr>
            <w:tcW w:w="3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8CB6">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r>
      <w:tr w14:paraId="6AB5E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BA5D">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4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AA0B">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嵊州市初级中学</w:t>
            </w:r>
          </w:p>
        </w:tc>
        <w:tc>
          <w:tcPr>
            <w:tcW w:w="3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377A">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195BA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241D">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4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8106">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少体校（弘播实验学校）</w:t>
            </w:r>
          </w:p>
        </w:tc>
        <w:tc>
          <w:tcPr>
            <w:tcW w:w="3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E35D">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r>
      <w:tr w14:paraId="437CD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2313">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4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9247">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剡溪小学</w:t>
            </w:r>
          </w:p>
        </w:tc>
        <w:tc>
          <w:tcPr>
            <w:tcW w:w="3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A0F9">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r>
      <w:tr w14:paraId="3D264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C7F7">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4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A50F">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逸夫小学</w:t>
            </w:r>
          </w:p>
        </w:tc>
        <w:tc>
          <w:tcPr>
            <w:tcW w:w="3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AF71">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r>
      <w:tr w14:paraId="4ED7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E97B">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4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89C1">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红旗幼教集团（3个园区）</w:t>
            </w:r>
          </w:p>
        </w:tc>
        <w:tc>
          <w:tcPr>
            <w:tcW w:w="3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A605">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r>
      <w:tr w14:paraId="690D5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44B1">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4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EB76">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湖都科技幼儿园</w:t>
            </w:r>
          </w:p>
        </w:tc>
        <w:tc>
          <w:tcPr>
            <w:tcW w:w="3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E294">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004DF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4A9E">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4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CB9D">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飞天艺术幼儿园</w:t>
            </w:r>
          </w:p>
        </w:tc>
        <w:tc>
          <w:tcPr>
            <w:tcW w:w="3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2E30">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0C48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4820">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4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E50D">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齐山职业学校</w:t>
            </w:r>
          </w:p>
        </w:tc>
        <w:tc>
          <w:tcPr>
            <w:tcW w:w="3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CE78">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185AE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B28C">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小计</w:t>
            </w:r>
          </w:p>
        </w:tc>
        <w:tc>
          <w:tcPr>
            <w:tcW w:w="3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F023">
            <w:pPr>
              <w:keepNext w:val="0"/>
              <w:keepLines w:val="0"/>
              <w:widowControl/>
              <w:suppressLineNumbers w:val="0"/>
              <w:shd w:val="clear"/>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69</w:t>
            </w:r>
          </w:p>
        </w:tc>
      </w:tr>
    </w:tbl>
    <w:p w14:paraId="47B22DFA">
      <w:pPr>
        <w:pStyle w:val="16"/>
        <w:keepNext w:val="0"/>
        <w:keepLines w:val="0"/>
        <w:pageBreakBefore w:val="0"/>
        <w:shd w:val="clear"/>
        <w:kinsoku/>
        <w:wordWrap/>
        <w:overflowPunct/>
        <w:topLinePunct w:val="0"/>
        <w:autoSpaceDE/>
        <w:autoSpaceDN/>
        <w:bidi w:val="0"/>
        <w:snapToGrid w:val="0"/>
        <w:spacing w:line="440" w:lineRule="exact"/>
        <w:textAlignment w:val="auto"/>
        <w:rPr>
          <w:rFonts w:hint="eastAsia" w:ascii="仿宋" w:hAnsi="仿宋" w:eastAsia="仿宋" w:cs="仿宋"/>
          <w:bCs/>
          <w:color w:val="auto"/>
          <w:sz w:val="24"/>
          <w:szCs w:val="24"/>
          <w:highlight w:val="none"/>
        </w:rPr>
      </w:pPr>
      <w:r>
        <w:rPr>
          <w:rFonts w:hint="eastAsia" w:ascii="仿宋" w:hAnsi="仿宋" w:eastAsia="仿宋" w:cs="仿宋"/>
          <w:b/>
          <w:bCs w:val="0"/>
          <w:color w:val="auto"/>
          <w:sz w:val="24"/>
          <w:szCs w:val="24"/>
          <w:highlight w:val="none"/>
          <w:lang w:val="en-US" w:eastAsia="zh-CN"/>
        </w:rPr>
        <w:t>注：</w:t>
      </w:r>
      <w:r>
        <w:rPr>
          <w:rFonts w:hint="eastAsia" w:ascii="仿宋" w:hAnsi="仿宋" w:eastAsia="仿宋" w:cs="仿宋"/>
          <w:b/>
          <w:bCs w:val="0"/>
          <w:color w:val="auto"/>
          <w:sz w:val="24"/>
          <w:szCs w:val="24"/>
          <w:highlight w:val="none"/>
        </w:rPr>
        <w:t>如遇政策调整或采购人实际业务服务需求情况发生变化，</w:t>
      </w:r>
      <w:r>
        <w:rPr>
          <w:rFonts w:hint="eastAsia" w:ascii="仿宋" w:hAnsi="仿宋" w:eastAsia="仿宋" w:cs="仿宋"/>
          <w:b/>
          <w:bCs w:val="0"/>
          <w:color w:val="auto"/>
          <w:sz w:val="24"/>
          <w:szCs w:val="24"/>
          <w:highlight w:val="none"/>
          <w:lang w:eastAsia="zh-CN"/>
        </w:rPr>
        <w:t>中标供应商</w:t>
      </w:r>
      <w:r>
        <w:rPr>
          <w:rFonts w:hint="eastAsia" w:ascii="仿宋" w:hAnsi="仿宋" w:eastAsia="仿宋" w:cs="仿宋"/>
          <w:b/>
          <w:bCs w:val="0"/>
          <w:color w:val="auto"/>
          <w:sz w:val="24"/>
          <w:szCs w:val="24"/>
          <w:highlight w:val="none"/>
        </w:rPr>
        <w:t>应配合采购人对服务人员数量进行相应的调增或调减，</w:t>
      </w:r>
      <w:r>
        <w:rPr>
          <w:rFonts w:hint="eastAsia" w:ascii="仿宋" w:hAnsi="仿宋" w:eastAsia="仿宋" w:cs="仿宋"/>
          <w:b/>
          <w:bCs w:val="0"/>
          <w:color w:val="auto"/>
          <w:sz w:val="24"/>
          <w:szCs w:val="24"/>
          <w:highlight w:val="none"/>
          <w:lang w:val="en-US" w:eastAsia="zh-CN"/>
        </w:rPr>
        <w:t>费用按中标报价同比例进行增加或减少，</w:t>
      </w:r>
      <w:r>
        <w:rPr>
          <w:rFonts w:hint="eastAsia" w:ascii="仿宋" w:hAnsi="仿宋" w:eastAsia="仿宋" w:cs="仿宋"/>
          <w:b/>
          <w:bCs w:val="0"/>
          <w:color w:val="auto"/>
          <w:sz w:val="24"/>
          <w:szCs w:val="24"/>
          <w:highlight w:val="none"/>
        </w:rPr>
        <w:t>服务人员具体数量以满足委托方服务标准和服务要求为准</w:t>
      </w:r>
      <w:r>
        <w:rPr>
          <w:rFonts w:hint="eastAsia" w:ascii="仿宋" w:hAnsi="仿宋" w:eastAsia="仿宋" w:cs="仿宋"/>
          <w:bCs/>
          <w:color w:val="auto"/>
          <w:sz w:val="24"/>
          <w:szCs w:val="24"/>
          <w:highlight w:val="none"/>
        </w:rPr>
        <w:t>。</w:t>
      </w:r>
    </w:p>
    <w:p w14:paraId="67580E12">
      <w:pPr>
        <w:keepNext w:val="0"/>
        <w:keepLines w:val="0"/>
        <w:pageBreakBefore w:val="0"/>
        <w:shd w:val="clear"/>
        <w:kinsoku/>
        <w:wordWrap/>
        <w:overflowPunct/>
        <w:topLinePunct w:val="0"/>
        <w:autoSpaceDE/>
        <w:autoSpaceDN/>
        <w:bidi w:val="0"/>
        <w:spacing w:line="4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、服务期限</w:t>
      </w:r>
    </w:p>
    <w:p w14:paraId="7DD00394">
      <w:pPr>
        <w:keepNext w:val="0"/>
        <w:keepLines w:val="0"/>
        <w:pageBreakBefore w:val="0"/>
        <w:shd w:val="clear"/>
        <w:kinsoku/>
        <w:wordWrap/>
        <w:overflowPunct/>
        <w:topLinePunct w:val="0"/>
        <w:autoSpaceDE/>
        <w:autoSpaceDN/>
        <w:bidi w:val="0"/>
        <w:spacing w:line="440" w:lineRule="exact"/>
        <w:ind w:firstLine="480" w:firstLineChars="200"/>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rPr>
        <w:t>合同签订后2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具体起止时间在签订合同时由采购人确定</w:t>
      </w:r>
      <w:r>
        <w:rPr>
          <w:rFonts w:hint="eastAsia" w:ascii="仿宋" w:hAnsi="仿宋" w:eastAsia="仿宋" w:cs="仿宋"/>
          <w:color w:val="auto"/>
          <w:sz w:val="24"/>
          <w:szCs w:val="24"/>
          <w:highlight w:val="none"/>
          <w:lang w:val="en-US" w:eastAsia="zh-CN"/>
        </w:rPr>
        <w:t>。</w:t>
      </w:r>
    </w:p>
    <w:p w14:paraId="2CA82539">
      <w:pPr>
        <w:keepNext w:val="0"/>
        <w:keepLines w:val="0"/>
        <w:pageBreakBefore w:val="0"/>
        <w:widowControl/>
        <w:shd w:val="clear"/>
        <w:kinsoku/>
        <w:wordWrap/>
        <w:overflowPunct/>
        <w:topLinePunct w:val="0"/>
        <w:autoSpaceDE/>
        <w:autoSpaceDN/>
        <w:bidi w:val="0"/>
        <w:snapToGrid w:val="0"/>
        <w:spacing w:line="440" w:lineRule="exact"/>
        <w:textAlignment w:val="auto"/>
        <w:rPr>
          <w:rFonts w:hint="eastAsia" w:ascii="仿宋" w:hAnsi="仿宋" w:eastAsia="仿宋" w:cs="仿宋"/>
          <w:b/>
          <w:bCs/>
          <w:color w:val="auto"/>
          <w:sz w:val="24"/>
          <w:szCs w:val="24"/>
          <w:highlight w:val="none"/>
        </w:rPr>
      </w:pPr>
      <w:bookmarkStart w:id="38" w:name="_Toc181721300"/>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rPr>
        <w:t>、</w:t>
      </w:r>
      <w:bookmarkEnd w:id="38"/>
      <w:r>
        <w:rPr>
          <w:rFonts w:hint="eastAsia" w:ascii="仿宋" w:hAnsi="仿宋" w:eastAsia="仿宋" w:cs="仿宋"/>
          <w:b/>
          <w:bCs/>
          <w:color w:val="auto"/>
          <w:sz w:val="24"/>
          <w:szCs w:val="24"/>
          <w:highlight w:val="none"/>
          <w:lang w:val="en-US" w:eastAsia="zh-CN"/>
        </w:rPr>
        <w:t>服务内容、要求</w:t>
      </w:r>
    </w:p>
    <w:p w14:paraId="34D78773">
      <w:pPr>
        <w:keepNext w:val="0"/>
        <w:keepLines w:val="0"/>
        <w:pageBreakBefore w:val="0"/>
        <w:widowControl w:val="0"/>
        <w:numPr>
          <w:ilvl w:val="0"/>
          <w:numId w:val="0"/>
        </w:numPr>
        <w:shd w:val="clear"/>
        <w:kinsoku/>
        <w:wordWrap/>
        <w:overflowPunct/>
        <w:topLinePunct w:val="0"/>
        <w:autoSpaceDE/>
        <w:autoSpaceDN/>
        <w:bidi w:val="0"/>
        <w:spacing w:line="4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一）安保服务工作内容：</w:t>
      </w:r>
    </w:p>
    <w:p w14:paraId="66BBF45D">
      <w:pPr>
        <w:keepNext w:val="0"/>
        <w:keepLines w:val="0"/>
        <w:pageBreakBefore w:val="0"/>
        <w:widowControl w:val="0"/>
        <w:shd w:val="clear"/>
        <w:kinsoku/>
        <w:wordWrap/>
        <w:overflowPunct/>
        <w:topLinePunct w:val="0"/>
        <w:autoSpaceDE/>
        <w:autoSpaceDN/>
        <w:bidi w:val="0"/>
        <w:spacing w:line="440" w:lineRule="exact"/>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主要包括门卫、重点场所守护、校园巡逻。学校大型活动与会务工作的安全保障，校内临时性的应急处置工作，并做好校内防火、防盗、防破坏、防事故等安全工作，学校交办的其它工作任务。</w:t>
      </w:r>
    </w:p>
    <w:p w14:paraId="3E74D60E">
      <w:pPr>
        <w:keepNext w:val="0"/>
        <w:keepLines w:val="0"/>
        <w:pageBreakBefore w:val="0"/>
        <w:widowControl w:val="0"/>
        <w:shd w:val="clear"/>
        <w:kinsoku/>
        <w:wordWrap/>
        <w:overflowPunct/>
        <w:topLinePunct w:val="0"/>
        <w:autoSpaceDE/>
        <w:autoSpaceDN/>
        <w:bidi w:val="0"/>
        <w:spacing w:line="440" w:lineRule="exact"/>
        <w:ind w:firstLine="482"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en-US" w:eastAsia="zh-CN"/>
        </w:rPr>
        <w:t>保安</w:t>
      </w:r>
      <w:r>
        <w:rPr>
          <w:rFonts w:hint="eastAsia" w:ascii="仿宋" w:hAnsi="仿宋" w:eastAsia="仿宋" w:cs="仿宋"/>
          <w:b/>
          <w:bCs/>
          <w:color w:val="auto"/>
          <w:sz w:val="24"/>
          <w:szCs w:val="24"/>
          <w:highlight w:val="none"/>
        </w:rPr>
        <w:t>人员的基本</w:t>
      </w:r>
      <w:r>
        <w:rPr>
          <w:rFonts w:hint="eastAsia" w:ascii="仿宋" w:hAnsi="仿宋" w:eastAsia="仿宋" w:cs="仿宋"/>
          <w:b/>
          <w:bCs/>
          <w:color w:val="auto"/>
          <w:sz w:val="24"/>
          <w:szCs w:val="24"/>
          <w:highlight w:val="none"/>
          <w:lang w:val="en-US" w:eastAsia="zh-CN"/>
        </w:rPr>
        <w:t>要求</w:t>
      </w:r>
      <w:r>
        <w:rPr>
          <w:rFonts w:hint="eastAsia" w:ascii="仿宋" w:hAnsi="仿宋" w:eastAsia="仿宋" w:cs="仿宋"/>
          <w:b/>
          <w:bCs/>
          <w:color w:val="auto"/>
          <w:sz w:val="24"/>
          <w:szCs w:val="24"/>
          <w:highlight w:val="none"/>
        </w:rPr>
        <w:t>：</w:t>
      </w:r>
    </w:p>
    <w:p w14:paraId="543CA788">
      <w:pPr>
        <w:keepNext w:val="0"/>
        <w:keepLines w:val="0"/>
        <w:pageBreakBefore w:val="0"/>
        <w:widowControl w:val="0"/>
        <w:shd w:val="clear"/>
        <w:kinsoku/>
        <w:wordWrap/>
        <w:overflowPunct/>
        <w:topLinePunct w:val="0"/>
        <w:autoSpaceDE/>
        <w:autoSpaceDN/>
        <w:bidi w:val="0"/>
        <w:spacing w:line="44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学校保安员配备应符合《中小学幼儿园安全防范要求》强制标准中人力防范要求规定的保安员配备人数要求，并经财政审核同意；涉及多校区（园区）的学校，其每个校区（校区）按在校学生/幼儿实际人数，根据标准独立配备专职保安员。学校应选拔年轻男性在职教职工为主，组建一支不少于专职保安员人数的校园保安员志愿者队伍，作为应急处突的备用力量；与专职保安员联合应急演练每学期不少于1次。</w:t>
      </w:r>
    </w:p>
    <w:p w14:paraId="60DF660C">
      <w:pPr>
        <w:keepNext w:val="0"/>
        <w:keepLines w:val="0"/>
        <w:pageBreakBefore w:val="0"/>
        <w:widowControl w:val="0"/>
        <w:shd w:val="clear"/>
        <w:kinsoku/>
        <w:wordWrap/>
        <w:overflowPunct/>
        <w:topLinePunct w:val="0"/>
        <w:autoSpaceDE/>
        <w:autoSpaceDN/>
        <w:bidi w:val="0"/>
        <w:spacing w:line="44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2.保安员应持证上岗，并上墙公示、人证合一，并具备相应的政治、业务、身体素质，接受保安服务公司和学校的双重管理。</w:t>
      </w:r>
    </w:p>
    <w:p w14:paraId="7F1210F2">
      <w:pPr>
        <w:keepNext w:val="0"/>
        <w:keepLines w:val="0"/>
        <w:pageBreakBefore w:val="0"/>
        <w:widowControl w:val="0"/>
        <w:shd w:val="clear"/>
        <w:kinsoku/>
        <w:wordWrap/>
        <w:overflowPunct/>
        <w:topLinePunct w:val="0"/>
        <w:autoSpaceDE/>
        <w:autoSpaceDN/>
        <w:bidi w:val="0"/>
        <w:spacing w:line="4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3.中国公民，原则上男性，具有初中及以上学历，年龄在18至60周岁（学校可根据实际需要，聘用符合要求的女性保安员 ,保安年龄以学校上报的保安身份证信息为准，规定男不超过60周岁,女不超过55周岁，且第一次派遣男不超过55周岁女不超过50周岁(保安年龄的相关要求，如有变动，以公安机关、人力社保局的最新规定为准)。</w:t>
      </w:r>
      <w:r>
        <w:rPr>
          <w:rFonts w:hint="eastAsia" w:ascii="仿宋" w:hAnsi="仿宋" w:eastAsia="仿宋" w:cs="仿宋"/>
          <w:color w:val="auto"/>
          <w:sz w:val="24"/>
          <w:szCs w:val="24"/>
          <w:highlight w:val="none"/>
        </w:rPr>
        <w:t xml:space="preserve"> </w:t>
      </w:r>
    </w:p>
    <w:p w14:paraId="24B60603">
      <w:pPr>
        <w:keepNext w:val="0"/>
        <w:keepLines w:val="0"/>
        <w:pageBreakBefore w:val="0"/>
        <w:widowControl w:val="0"/>
        <w:shd w:val="clear"/>
        <w:kinsoku/>
        <w:wordWrap/>
        <w:overflowPunct/>
        <w:topLinePunct w:val="0"/>
        <w:autoSpaceDE/>
        <w:autoSpaceDN/>
        <w:bidi w:val="0"/>
        <w:spacing w:line="440" w:lineRule="exact"/>
        <w:ind w:firstLine="480" w:firstLineChars="200"/>
        <w:textAlignment w:val="auto"/>
        <w:outlineLvl w:val="9"/>
        <w:rPr>
          <w:rFonts w:hint="eastAsia" w:ascii="仿宋" w:hAnsi="仿宋" w:eastAsia="仿宋" w:cs="仿宋"/>
          <w:b w:val="0"/>
          <w:bCs w:val="0"/>
          <w:i w:val="0"/>
          <w:iCs w:val="0"/>
          <w:caps w:val="0"/>
          <w:color w:val="auto"/>
          <w:spacing w:val="0"/>
          <w:sz w:val="24"/>
          <w:szCs w:val="24"/>
          <w:highlight w:val="none"/>
          <w:shd w:val="clear" w:color="auto" w:fill="FFFFFF"/>
          <w:lang w:eastAsia="zh-CN"/>
        </w:rPr>
      </w:pPr>
      <w:r>
        <w:rPr>
          <w:rFonts w:hint="eastAsia" w:ascii="仿宋" w:hAnsi="仿宋" w:eastAsia="仿宋" w:cs="仿宋"/>
          <w:color w:val="auto"/>
          <w:sz w:val="24"/>
          <w:szCs w:val="24"/>
          <w:highlight w:val="none"/>
          <w:lang w:val="en-US" w:eastAsia="zh-CN"/>
        </w:rPr>
        <w:t>4.身体健康，品行良好，无违法犯罪记录（以公安机关出具的背景审查为准）；学校要将背景审查结果作为是否同意接收其入校工作的前置条件，并根据岗位履职要求在思想、业务、文化、年龄等方面进一步明确细化要求。</w:t>
      </w:r>
    </w:p>
    <w:p w14:paraId="20EF09C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pacing w:before="0" w:beforeAutospacing="0" w:after="0" w:afterAutospacing="0" w:line="440" w:lineRule="exact"/>
        <w:ind w:left="0" w:leftChars="0" w:right="0" w:firstLine="480" w:firstLineChars="200"/>
        <w:jc w:val="left"/>
        <w:textAlignment w:val="auto"/>
        <w:rPr>
          <w:rFonts w:hint="eastAsia" w:ascii="仿宋" w:hAnsi="仿宋" w:eastAsia="仿宋" w:cs="仿宋"/>
          <w:b w:val="0"/>
          <w:bCs w:val="0"/>
          <w:i w:val="0"/>
          <w:iCs w:val="0"/>
          <w:caps w:val="0"/>
          <w:color w:val="auto"/>
          <w:spacing w:val="0"/>
          <w:sz w:val="24"/>
          <w:szCs w:val="24"/>
          <w:highlight w:val="none"/>
          <w:lang w:val="en-US"/>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5.应具备必要的安全防范知识和基本操作技能，会熟练操作视频图像采集设备、来访人员登记查验信息管理系统、一键式紧急报警装置及其他电子防范设施设备,结合学校实际加强校园消防安全工作规范。</w:t>
      </w:r>
    </w:p>
    <w:p w14:paraId="2216DFA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pacing w:before="0" w:beforeAutospacing="0" w:after="0" w:afterAutospacing="0" w:line="440" w:lineRule="exact"/>
        <w:ind w:left="0" w:leftChars="0" w:right="0" w:firstLine="480" w:firstLineChars="200"/>
        <w:jc w:val="left"/>
        <w:textAlignment w:val="auto"/>
        <w:rPr>
          <w:rFonts w:hint="eastAsia" w:ascii="仿宋" w:hAnsi="仿宋" w:eastAsia="仿宋" w:cs="仿宋"/>
          <w:i w:val="0"/>
          <w:iCs w:val="0"/>
          <w:caps w:val="0"/>
          <w:color w:val="auto"/>
          <w:spacing w:val="0"/>
          <w:sz w:val="24"/>
          <w:szCs w:val="24"/>
          <w:highlight w:val="none"/>
          <w:shd w:val="clear" w:color="auto" w:fill="FFFFFF"/>
          <w:lang w:eastAsia="zh-CN"/>
        </w:rPr>
      </w:pPr>
      <w:r>
        <w:rPr>
          <w:rFonts w:hint="eastAsia" w:ascii="仿宋" w:hAnsi="仿宋" w:eastAsia="仿宋" w:cs="仿宋"/>
          <w:b w:val="0"/>
          <w:bCs w:val="0"/>
          <w:i w:val="0"/>
          <w:iCs w:val="0"/>
          <w:caps w:val="0"/>
          <w:color w:val="auto"/>
          <w:spacing w:val="0"/>
          <w:sz w:val="24"/>
          <w:szCs w:val="24"/>
          <w:highlight w:val="none"/>
          <w:lang w:val="en-US" w:eastAsia="zh-CN"/>
        </w:rPr>
        <w:t>6.学校保安员上岗前必须参加岗前培训，经培训合格后方可上岗，招标签约服务期间，保安员名单由各学校报市教育体育局备案，否则不享受财政补助政策；保安员变动名单及资料保安公司须及时报学校，学校每月底连同月考核情况，存档备查。</w:t>
      </w:r>
    </w:p>
    <w:p w14:paraId="7EFCAA9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pacing w:before="0" w:beforeAutospacing="0" w:after="0" w:afterAutospacing="0" w:line="440" w:lineRule="exact"/>
        <w:ind w:left="0" w:leftChars="0" w:right="0" w:firstLine="482" w:firstLineChars="200"/>
        <w:jc w:val="left"/>
        <w:textAlignment w:val="auto"/>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sz w:val="24"/>
          <w:szCs w:val="24"/>
          <w:highlight w:val="none"/>
          <w:shd w:val="clear" w:color="auto" w:fill="FFFFFF"/>
          <w:lang w:eastAsia="zh-CN"/>
        </w:rPr>
        <w:t>（</w:t>
      </w:r>
      <w:r>
        <w:rPr>
          <w:rFonts w:hint="eastAsia" w:ascii="仿宋" w:hAnsi="仿宋" w:eastAsia="仿宋" w:cs="仿宋"/>
          <w:b/>
          <w:bCs/>
          <w:i w:val="0"/>
          <w:iCs w:val="0"/>
          <w:caps w:val="0"/>
          <w:color w:val="auto"/>
          <w:spacing w:val="0"/>
          <w:sz w:val="24"/>
          <w:szCs w:val="24"/>
          <w:highlight w:val="none"/>
          <w:shd w:val="clear" w:color="auto" w:fill="FFFFFF"/>
          <w:lang w:val="en-US" w:eastAsia="zh-CN"/>
        </w:rPr>
        <w:t>三</w:t>
      </w:r>
      <w:r>
        <w:rPr>
          <w:rFonts w:hint="eastAsia" w:ascii="仿宋" w:hAnsi="仿宋" w:eastAsia="仿宋" w:cs="仿宋"/>
          <w:b/>
          <w:bCs/>
          <w:i w:val="0"/>
          <w:iCs w:val="0"/>
          <w:caps w:val="0"/>
          <w:color w:val="auto"/>
          <w:spacing w:val="0"/>
          <w:sz w:val="24"/>
          <w:szCs w:val="24"/>
          <w:highlight w:val="none"/>
          <w:shd w:val="clear" w:color="auto" w:fill="FFFFFF"/>
          <w:lang w:eastAsia="zh-CN"/>
        </w:rPr>
        <w:t>）</w:t>
      </w:r>
      <w:r>
        <w:rPr>
          <w:rFonts w:hint="eastAsia" w:ascii="仿宋" w:hAnsi="仿宋" w:eastAsia="仿宋" w:cs="仿宋"/>
          <w:b/>
          <w:bCs/>
          <w:i w:val="0"/>
          <w:iCs w:val="0"/>
          <w:caps w:val="0"/>
          <w:color w:val="auto"/>
          <w:spacing w:val="0"/>
          <w:sz w:val="24"/>
          <w:szCs w:val="24"/>
          <w:highlight w:val="none"/>
          <w:shd w:val="clear" w:color="auto" w:fill="FFFFFF"/>
        </w:rPr>
        <w:t>保安员职责要求</w:t>
      </w:r>
    </w:p>
    <w:p w14:paraId="6394132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pacing w:before="0" w:beforeAutospacing="0" w:after="0" w:afterAutospacing="0" w:line="440" w:lineRule="exact"/>
        <w:ind w:left="0" w:leftChars="0" w:right="0" w:firstLine="480"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学校保安员应当掌握保安业务知识，熟悉学校各项安全管理制度，遵守并履行下列职责及要求：</w:t>
      </w:r>
    </w:p>
    <w:p w14:paraId="492731F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pacing w:before="0" w:beforeAutospacing="0" w:after="0" w:afterAutospacing="0" w:line="440" w:lineRule="exact"/>
        <w:ind w:left="0" w:leftChars="0" w:right="0" w:firstLine="480"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1.</w:t>
      </w:r>
      <w:r>
        <w:rPr>
          <w:rFonts w:hint="eastAsia" w:ascii="仿宋" w:hAnsi="仿宋" w:eastAsia="仿宋" w:cs="仿宋"/>
          <w:i w:val="0"/>
          <w:iCs w:val="0"/>
          <w:caps w:val="0"/>
          <w:color w:val="auto"/>
          <w:spacing w:val="0"/>
          <w:sz w:val="24"/>
          <w:szCs w:val="24"/>
          <w:highlight w:val="none"/>
          <w:shd w:val="clear" w:color="auto" w:fill="FFFFFF"/>
        </w:rPr>
        <w:t>值勤期间应按有关规定着制式保安服装，携带必要的安全防卫器械和应急处置装备，并熟悉使用方法。</w:t>
      </w:r>
    </w:p>
    <w:p w14:paraId="39FCC58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pacing w:before="0" w:beforeAutospacing="0" w:after="0" w:afterAutospacing="0" w:line="440" w:lineRule="exact"/>
        <w:ind w:left="0" w:leftChars="0" w:right="0" w:firstLine="480"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2.</w:t>
      </w:r>
      <w:r>
        <w:rPr>
          <w:rFonts w:hint="eastAsia" w:ascii="仿宋" w:hAnsi="仿宋" w:eastAsia="仿宋" w:cs="仿宋"/>
          <w:i w:val="0"/>
          <w:iCs w:val="0"/>
          <w:caps w:val="0"/>
          <w:color w:val="auto"/>
          <w:spacing w:val="0"/>
          <w:sz w:val="24"/>
          <w:szCs w:val="24"/>
          <w:highlight w:val="none"/>
          <w:shd w:val="clear" w:color="auto" w:fill="FFFFFF"/>
        </w:rPr>
        <w:t>上下学重点时段，保安员应佩戴头盔、防刺背心、橡皮棍、强光手电、辣椒水、防割手套及哨子等防护装备在校门口及校门外一定区域上岗执勤，会同学校值日教师、</w:t>
      </w:r>
      <w:r>
        <w:rPr>
          <w:rFonts w:hint="eastAsia" w:ascii="仿宋" w:hAnsi="仿宋" w:eastAsia="仿宋" w:cs="仿宋"/>
          <w:i w:val="0"/>
          <w:iCs w:val="0"/>
          <w:caps w:val="0"/>
          <w:color w:val="auto"/>
          <w:spacing w:val="0"/>
          <w:sz w:val="24"/>
          <w:szCs w:val="24"/>
          <w:highlight w:val="none"/>
          <w:shd w:val="clear" w:color="auto" w:fill="FFFFFF"/>
          <w:lang w:eastAsia="zh-CN"/>
        </w:rPr>
        <w:t>公安警力、</w:t>
      </w:r>
      <w:r>
        <w:rPr>
          <w:rFonts w:hint="eastAsia" w:ascii="仿宋" w:hAnsi="仿宋" w:eastAsia="仿宋" w:cs="仿宋"/>
          <w:i w:val="0"/>
          <w:iCs w:val="0"/>
          <w:caps w:val="0"/>
          <w:color w:val="auto"/>
          <w:spacing w:val="0"/>
          <w:sz w:val="24"/>
          <w:szCs w:val="24"/>
          <w:highlight w:val="none"/>
          <w:shd w:val="clear" w:color="auto" w:fill="FFFFFF"/>
        </w:rPr>
        <w:t>家长志愿者“护学岗”等护校力量，共同开展护校</w:t>
      </w:r>
      <w:r>
        <w:rPr>
          <w:rFonts w:hint="eastAsia" w:ascii="仿宋" w:hAnsi="仿宋" w:eastAsia="仿宋" w:cs="仿宋"/>
          <w:i w:val="0"/>
          <w:iCs w:val="0"/>
          <w:caps w:val="0"/>
          <w:color w:val="auto"/>
          <w:spacing w:val="0"/>
          <w:sz w:val="24"/>
          <w:szCs w:val="24"/>
          <w:highlight w:val="none"/>
          <w:shd w:val="clear" w:color="auto" w:fill="FFFFFF"/>
          <w:lang w:eastAsia="zh-CN"/>
        </w:rPr>
        <w:t>安园</w:t>
      </w:r>
      <w:r>
        <w:rPr>
          <w:rFonts w:hint="eastAsia" w:ascii="仿宋" w:hAnsi="仿宋" w:eastAsia="仿宋" w:cs="仿宋"/>
          <w:i w:val="0"/>
          <w:iCs w:val="0"/>
          <w:caps w:val="0"/>
          <w:color w:val="auto"/>
          <w:spacing w:val="0"/>
          <w:sz w:val="24"/>
          <w:szCs w:val="24"/>
          <w:highlight w:val="none"/>
          <w:shd w:val="clear" w:color="auto" w:fill="FFFFFF"/>
        </w:rPr>
        <w:t>工作。</w:t>
      </w:r>
    </w:p>
    <w:p w14:paraId="2498A69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pacing w:before="0" w:beforeAutospacing="0" w:after="0" w:afterAutospacing="0" w:line="440" w:lineRule="exact"/>
        <w:ind w:left="0" w:leftChars="0" w:right="0" w:firstLine="480"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3.</w:t>
      </w:r>
      <w:r>
        <w:rPr>
          <w:rFonts w:hint="eastAsia" w:ascii="仿宋" w:hAnsi="仿宋" w:eastAsia="仿宋" w:cs="仿宋"/>
          <w:i w:val="0"/>
          <w:iCs w:val="0"/>
          <w:caps w:val="0"/>
          <w:color w:val="auto"/>
          <w:spacing w:val="0"/>
          <w:sz w:val="24"/>
          <w:szCs w:val="24"/>
          <w:highlight w:val="none"/>
          <w:shd w:val="clear" w:color="auto" w:fill="FFFFFF"/>
        </w:rPr>
        <w:t>应按照问询、查验、核实、登记、放行“五步工作法”要求，严格落实外来人员、车辆、物品的出入管理制度，严防可疑人员、车辆以及管制刀具、危险物品等带入学校。</w:t>
      </w:r>
    </w:p>
    <w:p w14:paraId="5AFEA8B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pacing w:before="0" w:beforeAutospacing="0" w:after="0" w:afterAutospacing="0" w:line="440" w:lineRule="exact"/>
        <w:ind w:left="0" w:leftChars="0" w:right="0" w:firstLine="48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4.</w:t>
      </w:r>
      <w:r>
        <w:rPr>
          <w:rFonts w:hint="eastAsia" w:ascii="仿宋" w:hAnsi="仿宋" w:eastAsia="仿宋" w:cs="仿宋"/>
          <w:i w:val="0"/>
          <w:iCs w:val="0"/>
          <w:caps w:val="0"/>
          <w:color w:val="auto"/>
          <w:spacing w:val="0"/>
          <w:sz w:val="24"/>
          <w:szCs w:val="24"/>
          <w:highlight w:val="none"/>
          <w:shd w:val="clear" w:color="auto" w:fill="FFFFFF"/>
        </w:rPr>
        <w:t>对学校重点部位及周边巡查每日不少于5次，一旦发现异常情况，应当及时报告并开展先期处置</w:t>
      </w:r>
      <w:r>
        <w:rPr>
          <w:rFonts w:hint="eastAsia" w:ascii="仿宋" w:hAnsi="仿宋" w:eastAsia="仿宋" w:cs="仿宋"/>
          <w:i w:val="0"/>
          <w:iCs w:val="0"/>
          <w:caps w:val="0"/>
          <w:color w:val="auto"/>
          <w:spacing w:val="0"/>
          <w:sz w:val="24"/>
          <w:szCs w:val="24"/>
          <w:highlight w:val="none"/>
          <w:shd w:val="clear" w:color="auto" w:fill="FFFFFF"/>
          <w:lang w:eastAsia="zh-CN"/>
        </w:rPr>
        <w:t>；寄宿制学校值勤保安员在学生就寝后，应当开展寝室区及周边为重点的夜间校园巡查每</w:t>
      </w:r>
      <w:r>
        <w:rPr>
          <w:rFonts w:hint="eastAsia" w:ascii="仿宋" w:hAnsi="仿宋" w:eastAsia="仿宋" w:cs="仿宋"/>
          <w:i w:val="0"/>
          <w:iCs w:val="0"/>
          <w:caps w:val="0"/>
          <w:color w:val="auto"/>
          <w:spacing w:val="0"/>
          <w:sz w:val="24"/>
          <w:szCs w:val="24"/>
          <w:highlight w:val="none"/>
          <w:shd w:val="clear" w:color="auto" w:fill="FFFFFF"/>
          <w:lang w:val="en-US" w:eastAsia="zh-CN"/>
        </w:rPr>
        <w:t>晚</w:t>
      </w:r>
      <w:r>
        <w:rPr>
          <w:rFonts w:hint="eastAsia" w:ascii="仿宋" w:hAnsi="仿宋" w:eastAsia="仿宋" w:cs="仿宋"/>
          <w:i w:val="0"/>
          <w:iCs w:val="0"/>
          <w:caps w:val="0"/>
          <w:color w:val="auto"/>
          <w:spacing w:val="0"/>
          <w:sz w:val="24"/>
          <w:szCs w:val="24"/>
          <w:highlight w:val="none"/>
          <w:shd w:val="clear" w:color="auto" w:fill="FFFFFF"/>
          <w:lang w:eastAsia="zh-CN"/>
        </w:rPr>
        <w:t>不少于</w:t>
      </w:r>
      <w:r>
        <w:rPr>
          <w:rFonts w:hint="eastAsia" w:ascii="仿宋" w:hAnsi="仿宋" w:eastAsia="仿宋" w:cs="仿宋"/>
          <w:i w:val="0"/>
          <w:iCs w:val="0"/>
          <w:caps w:val="0"/>
          <w:color w:val="auto"/>
          <w:spacing w:val="0"/>
          <w:sz w:val="24"/>
          <w:szCs w:val="24"/>
          <w:highlight w:val="none"/>
          <w:shd w:val="clear" w:color="auto" w:fill="FFFFFF"/>
          <w:lang w:val="en-US" w:eastAsia="zh-CN"/>
        </w:rPr>
        <w:t>2次。</w:t>
      </w:r>
    </w:p>
    <w:p w14:paraId="0701EE3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pacing w:before="0" w:beforeAutospacing="0" w:after="0" w:afterAutospacing="0" w:line="440" w:lineRule="exact"/>
        <w:ind w:left="0" w:leftChars="0" w:right="0" w:firstLine="480"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5.</w:t>
      </w:r>
      <w:r>
        <w:rPr>
          <w:rFonts w:hint="eastAsia" w:ascii="仿宋" w:hAnsi="仿宋" w:eastAsia="仿宋" w:cs="仿宋"/>
          <w:i w:val="0"/>
          <w:iCs w:val="0"/>
          <w:caps w:val="0"/>
          <w:color w:val="auto"/>
          <w:spacing w:val="0"/>
          <w:sz w:val="24"/>
          <w:szCs w:val="24"/>
          <w:highlight w:val="none"/>
          <w:shd w:val="clear" w:color="auto" w:fill="FFFFFF"/>
        </w:rPr>
        <w:t>应遵守信息保密要求，不得擅自拍摄校园涉及师生隐私视频；未经学校允许不得随意提供校园内监控视频给他人；更不得下载、传播学校监控视频信息。</w:t>
      </w:r>
    </w:p>
    <w:p w14:paraId="12C1CC0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pacing w:before="0" w:beforeAutospacing="0" w:after="0" w:afterAutospacing="0" w:line="440" w:lineRule="exact"/>
        <w:ind w:left="0" w:leftChars="0" w:right="0" w:firstLine="480"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6.</w:t>
      </w:r>
      <w:r>
        <w:rPr>
          <w:rFonts w:hint="eastAsia" w:ascii="仿宋" w:hAnsi="仿宋" w:eastAsia="仿宋" w:cs="仿宋"/>
          <w:i w:val="0"/>
          <w:iCs w:val="0"/>
          <w:caps w:val="0"/>
          <w:color w:val="auto"/>
          <w:spacing w:val="0"/>
          <w:sz w:val="24"/>
          <w:szCs w:val="24"/>
          <w:highlight w:val="none"/>
          <w:shd w:val="clear" w:color="auto" w:fill="FFFFFF"/>
        </w:rPr>
        <w:t>执行24小时值班制度，不得擅自离岗、</w:t>
      </w:r>
      <w:r>
        <w:rPr>
          <w:rFonts w:hint="eastAsia" w:ascii="仿宋" w:hAnsi="仿宋" w:eastAsia="仿宋" w:cs="仿宋"/>
          <w:i w:val="0"/>
          <w:iCs w:val="0"/>
          <w:caps w:val="0"/>
          <w:color w:val="auto"/>
          <w:spacing w:val="0"/>
          <w:sz w:val="24"/>
          <w:szCs w:val="24"/>
          <w:highlight w:val="none"/>
          <w:shd w:val="clear" w:color="auto" w:fill="FFFFFF"/>
          <w:lang w:eastAsia="zh-CN"/>
        </w:rPr>
        <w:t>空岗、</w:t>
      </w:r>
      <w:r>
        <w:rPr>
          <w:rFonts w:hint="eastAsia" w:ascii="仿宋" w:hAnsi="仿宋" w:eastAsia="仿宋" w:cs="仿宋"/>
          <w:i w:val="0"/>
          <w:iCs w:val="0"/>
          <w:caps w:val="0"/>
          <w:color w:val="auto"/>
          <w:spacing w:val="0"/>
          <w:sz w:val="24"/>
          <w:szCs w:val="24"/>
          <w:highlight w:val="none"/>
          <w:shd w:val="clear" w:color="auto" w:fill="FFFFFF"/>
        </w:rPr>
        <w:t>脱岗，按时交接班并做好交接记录,发现问题及时报告。除学生上下学时间外，应严格落实校门封闭管理制度</w:t>
      </w: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color="auto" w:fill="FFFFFF"/>
        </w:rPr>
        <w:t>校门开启时必须有保安人员值守。上学期间，学生必须持有班主任开具</w:t>
      </w:r>
      <w:r>
        <w:rPr>
          <w:rFonts w:hint="eastAsia" w:ascii="仿宋" w:hAnsi="仿宋" w:eastAsia="仿宋" w:cs="仿宋"/>
          <w:i w:val="0"/>
          <w:iCs w:val="0"/>
          <w:caps w:val="0"/>
          <w:color w:val="auto"/>
          <w:spacing w:val="0"/>
          <w:sz w:val="24"/>
          <w:szCs w:val="24"/>
          <w:highlight w:val="none"/>
          <w:shd w:val="clear" w:color="auto" w:fill="FFFFFF"/>
          <w:lang w:eastAsia="zh-CN"/>
        </w:rPr>
        <w:t>离校（请假）证明，</w:t>
      </w:r>
      <w:r>
        <w:rPr>
          <w:rFonts w:hint="eastAsia" w:ascii="仿宋" w:hAnsi="仿宋" w:eastAsia="仿宋" w:cs="仿宋"/>
          <w:i w:val="0"/>
          <w:iCs w:val="0"/>
          <w:caps w:val="0"/>
          <w:color w:val="auto"/>
          <w:spacing w:val="0"/>
          <w:sz w:val="24"/>
          <w:szCs w:val="24"/>
          <w:highlight w:val="none"/>
          <w:shd w:val="clear" w:color="auto" w:fill="FFFFFF"/>
        </w:rPr>
        <w:t>方可离校。</w:t>
      </w:r>
    </w:p>
    <w:p w14:paraId="0AE5845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pacing w:before="0" w:beforeAutospacing="0" w:after="0" w:afterAutospacing="0" w:line="440" w:lineRule="exact"/>
        <w:ind w:left="0" w:leftChars="0" w:right="0" w:firstLine="480"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7.</w:t>
      </w:r>
      <w:r>
        <w:rPr>
          <w:rFonts w:hint="eastAsia" w:ascii="仿宋" w:hAnsi="仿宋" w:eastAsia="仿宋" w:cs="仿宋"/>
          <w:i w:val="0"/>
          <w:iCs w:val="0"/>
          <w:caps w:val="0"/>
          <w:color w:val="auto"/>
          <w:spacing w:val="0"/>
          <w:sz w:val="24"/>
          <w:szCs w:val="24"/>
          <w:highlight w:val="none"/>
          <w:shd w:val="clear" w:color="auto" w:fill="FFFFFF"/>
        </w:rPr>
        <w:t>配合学校做好防火、防盗、防破坏、防地质灾害事故工作。对发现可疑人、事、物或其他治安信息，应及时向相关领导或部门汇报，必要时启动报警器或向110报警，并配合公安机关做好处置工作。</w:t>
      </w:r>
    </w:p>
    <w:p w14:paraId="0AD3588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pacing w:before="0" w:beforeAutospacing="0" w:after="0" w:afterAutospacing="0" w:line="440" w:lineRule="exact"/>
        <w:ind w:left="0" w:leftChars="0" w:right="0" w:firstLine="480"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8.</w:t>
      </w:r>
      <w:r>
        <w:rPr>
          <w:rFonts w:hint="eastAsia" w:ascii="仿宋" w:hAnsi="仿宋" w:eastAsia="仿宋" w:cs="仿宋"/>
          <w:i w:val="0"/>
          <w:iCs w:val="0"/>
          <w:caps w:val="0"/>
          <w:color w:val="auto"/>
          <w:spacing w:val="0"/>
          <w:sz w:val="24"/>
          <w:szCs w:val="24"/>
          <w:highlight w:val="none"/>
          <w:shd w:val="clear" w:color="auto" w:fill="FFFFFF"/>
        </w:rPr>
        <w:t>制止师生各种不安全或易造成伤害的行为，发生违反规定或不服从管理者，应严肃、礼貌劝阻并妥善处置，不听劝阻的及时上报。遇有火警或其它紧急情况，应迅速扑救或采取有效措施保护现场，并及时上报。</w:t>
      </w:r>
    </w:p>
    <w:p w14:paraId="0B621B5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pacing w:before="0" w:beforeAutospacing="0" w:after="0" w:afterAutospacing="0" w:line="440" w:lineRule="exact"/>
        <w:ind w:left="0" w:leftChars="0" w:right="0" w:firstLine="480"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9.</w:t>
      </w:r>
      <w:r>
        <w:rPr>
          <w:rFonts w:hint="eastAsia" w:ascii="仿宋" w:hAnsi="仿宋" w:eastAsia="仿宋" w:cs="仿宋"/>
          <w:i w:val="0"/>
          <w:iCs w:val="0"/>
          <w:caps w:val="0"/>
          <w:color w:val="auto"/>
          <w:spacing w:val="0"/>
          <w:sz w:val="24"/>
          <w:szCs w:val="24"/>
          <w:highlight w:val="none"/>
          <w:shd w:val="clear" w:color="auto" w:fill="FFFFFF"/>
        </w:rPr>
        <w:t>在岗期间不与无关人员聊天，不干私活，不饮酒，不吸烟，不睡觉。不得在门卫室从事与工作无关的活动，不得存放或代人存放贵重物品、现金和危险品。</w:t>
      </w:r>
    </w:p>
    <w:p w14:paraId="555616F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pacing w:before="0" w:beforeAutospacing="0" w:after="0" w:afterAutospacing="0" w:line="44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10.值勤保安员应</w:t>
      </w:r>
      <w:r>
        <w:rPr>
          <w:rFonts w:hint="eastAsia" w:ascii="仿宋" w:hAnsi="仿宋" w:eastAsia="仿宋" w:cs="仿宋"/>
          <w:i w:val="0"/>
          <w:iCs w:val="0"/>
          <w:caps w:val="0"/>
          <w:color w:val="auto"/>
          <w:spacing w:val="0"/>
          <w:sz w:val="24"/>
          <w:szCs w:val="24"/>
          <w:highlight w:val="none"/>
          <w:shd w:val="clear" w:color="auto" w:fill="FFFFFF"/>
          <w:lang w:eastAsia="zh-CN"/>
        </w:rPr>
        <w:t>监视</w:t>
      </w:r>
      <w:r>
        <w:rPr>
          <w:rFonts w:hint="eastAsia" w:ascii="仿宋" w:hAnsi="仿宋" w:eastAsia="仿宋" w:cs="仿宋"/>
          <w:i w:val="0"/>
          <w:iCs w:val="0"/>
          <w:caps w:val="0"/>
          <w:color w:val="auto"/>
          <w:spacing w:val="0"/>
          <w:sz w:val="24"/>
          <w:szCs w:val="24"/>
          <w:highlight w:val="none"/>
          <w:shd w:val="clear" w:color="auto" w:fill="FFFFFF"/>
        </w:rPr>
        <w:t>校园视频监控，</w:t>
      </w:r>
      <w:r>
        <w:rPr>
          <w:rFonts w:hint="eastAsia" w:ascii="仿宋" w:hAnsi="仿宋" w:eastAsia="仿宋" w:cs="仿宋"/>
          <w:i w:val="0"/>
          <w:iCs w:val="0"/>
          <w:caps w:val="0"/>
          <w:color w:val="auto"/>
          <w:spacing w:val="0"/>
          <w:sz w:val="24"/>
          <w:szCs w:val="24"/>
          <w:highlight w:val="none"/>
          <w:shd w:val="clear" w:color="auto" w:fill="FFFFFF"/>
          <w:lang w:val="en-US" w:eastAsia="zh-CN"/>
        </w:rPr>
        <w:t>发挥视频监控对校园安全实时监控作用，</w:t>
      </w:r>
      <w:r>
        <w:rPr>
          <w:rFonts w:hint="eastAsia" w:ascii="仿宋" w:hAnsi="仿宋" w:eastAsia="仿宋" w:cs="仿宋"/>
          <w:i w:val="0"/>
          <w:iCs w:val="0"/>
          <w:caps w:val="0"/>
          <w:color w:val="auto"/>
          <w:spacing w:val="0"/>
          <w:sz w:val="24"/>
          <w:szCs w:val="24"/>
          <w:highlight w:val="none"/>
          <w:shd w:val="clear" w:color="auto" w:fill="FFFFFF"/>
        </w:rPr>
        <w:t>收集、报告校园及</w:t>
      </w:r>
      <w:r>
        <w:rPr>
          <w:rFonts w:hint="eastAsia" w:ascii="仿宋" w:hAnsi="仿宋" w:eastAsia="仿宋" w:cs="仿宋"/>
          <w:i w:val="0"/>
          <w:iCs w:val="0"/>
          <w:caps w:val="0"/>
          <w:color w:val="auto"/>
          <w:spacing w:val="0"/>
          <w:sz w:val="24"/>
          <w:szCs w:val="24"/>
          <w:highlight w:val="none"/>
          <w:shd w:val="clear" w:color="auto" w:fill="FFFFFF"/>
          <w:lang w:eastAsia="zh-CN"/>
        </w:rPr>
        <w:t>周边环境</w:t>
      </w:r>
      <w:r>
        <w:rPr>
          <w:rFonts w:hint="eastAsia" w:ascii="仿宋" w:hAnsi="仿宋" w:eastAsia="仿宋" w:cs="仿宋"/>
          <w:i w:val="0"/>
          <w:iCs w:val="0"/>
          <w:caps w:val="0"/>
          <w:color w:val="auto"/>
          <w:spacing w:val="0"/>
          <w:sz w:val="24"/>
          <w:szCs w:val="24"/>
          <w:highlight w:val="none"/>
          <w:shd w:val="clear" w:color="auto" w:fill="FFFFFF"/>
        </w:rPr>
        <w:t>治安动态和信息，及时有序规范处理。</w:t>
      </w:r>
    </w:p>
    <w:p w14:paraId="786C7159">
      <w:pPr>
        <w:keepNext w:val="0"/>
        <w:keepLines w:val="0"/>
        <w:pageBreakBefore w:val="0"/>
        <w:widowControl/>
        <w:shd w:val="clear"/>
        <w:kinsoku/>
        <w:wordWrap/>
        <w:overflowPunct/>
        <w:topLinePunct w:val="0"/>
        <w:autoSpaceDE/>
        <w:autoSpaceDN/>
        <w:bidi w:val="0"/>
        <w:spacing w:line="440" w:lineRule="exact"/>
        <w:ind w:firstLine="475" w:firstLineChars="198"/>
        <w:jc w:val="left"/>
        <w:textAlignment w:val="auto"/>
        <w:outlineLvl w:val="9"/>
        <w:rPr>
          <w:rFonts w:hint="eastAsia" w:ascii="仿宋" w:hAnsi="仿宋" w:eastAsia="仿宋" w:cs="仿宋"/>
          <w:b w:val="0"/>
          <w:bCs w:val="0"/>
          <w:snapToGrid w:val="0"/>
          <w:color w:val="auto"/>
          <w:kern w:val="28"/>
          <w:sz w:val="24"/>
          <w:szCs w:val="24"/>
          <w:highlight w:val="none"/>
        </w:rPr>
      </w:pPr>
      <w:r>
        <w:rPr>
          <w:rFonts w:hint="eastAsia" w:ascii="仿宋" w:hAnsi="仿宋" w:eastAsia="仿宋" w:cs="仿宋"/>
          <w:b w:val="0"/>
          <w:bCs w:val="0"/>
          <w:snapToGrid w:val="0"/>
          <w:color w:val="auto"/>
          <w:kern w:val="28"/>
          <w:sz w:val="24"/>
          <w:szCs w:val="24"/>
          <w:highlight w:val="none"/>
          <w:lang w:val="en-US" w:eastAsia="zh-CN"/>
        </w:rPr>
        <w:t>11.</w:t>
      </w:r>
      <w:r>
        <w:rPr>
          <w:rFonts w:hint="eastAsia" w:ascii="仿宋" w:hAnsi="仿宋" w:eastAsia="仿宋" w:cs="仿宋"/>
          <w:b w:val="0"/>
          <w:bCs w:val="0"/>
          <w:snapToGrid w:val="0"/>
          <w:color w:val="auto"/>
          <w:kern w:val="28"/>
          <w:sz w:val="24"/>
          <w:szCs w:val="24"/>
          <w:highlight w:val="none"/>
        </w:rPr>
        <w:t>政治保卫：学校如有重大活动的安全警戒与秩序保障；配合做好重大事件的政治保卫工作。</w:t>
      </w:r>
    </w:p>
    <w:p w14:paraId="4E398882">
      <w:pPr>
        <w:keepNext w:val="0"/>
        <w:keepLines w:val="0"/>
        <w:pageBreakBefore w:val="0"/>
        <w:widowControl/>
        <w:shd w:val="clear"/>
        <w:kinsoku/>
        <w:wordWrap/>
        <w:overflowPunct/>
        <w:topLinePunct w:val="0"/>
        <w:autoSpaceDE/>
        <w:autoSpaceDN/>
        <w:bidi w:val="0"/>
        <w:spacing w:line="440" w:lineRule="exact"/>
        <w:ind w:firstLine="475" w:firstLineChars="198"/>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b w:val="0"/>
          <w:bCs w:val="0"/>
          <w:snapToGrid w:val="0"/>
          <w:color w:val="auto"/>
          <w:kern w:val="28"/>
          <w:sz w:val="24"/>
          <w:szCs w:val="24"/>
          <w:highlight w:val="none"/>
          <w:lang w:val="en-US" w:eastAsia="zh-CN"/>
        </w:rPr>
        <w:t>12.</w:t>
      </w:r>
      <w:r>
        <w:rPr>
          <w:rFonts w:hint="eastAsia" w:ascii="仿宋" w:hAnsi="仿宋" w:eastAsia="仿宋" w:cs="仿宋"/>
          <w:b w:val="0"/>
          <w:bCs w:val="0"/>
          <w:snapToGrid w:val="0"/>
          <w:color w:val="auto"/>
          <w:kern w:val="28"/>
          <w:sz w:val="24"/>
          <w:szCs w:val="24"/>
          <w:highlight w:val="none"/>
        </w:rPr>
        <w:t>突发事件处理：</w:t>
      </w:r>
      <w:r>
        <w:rPr>
          <w:rFonts w:hint="eastAsia" w:ascii="仿宋" w:hAnsi="仿宋" w:eastAsia="仿宋" w:cs="仿宋"/>
          <w:snapToGrid w:val="0"/>
          <w:color w:val="auto"/>
          <w:kern w:val="28"/>
          <w:sz w:val="24"/>
          <w:szCs w:val="24"/>
          <w:highlight w:val="none"/>
        </w:rPr>
        <w:t>学校突发事件处置、灾害预防、火灾扑救，发现和制止不法暴力事件，随时准备提供紧急救助。近点的响应时间为3分钟，远点的响应时间为15分钟。</w:t>
      </w:r>
    </w:p>
    <w:p w14:paraId="5D89F256">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13.采购人根据学校的实际情况，有权对保安报务职责作出相应调整。</w:t>
      </w:r>
    </w:p>
    <w:p w14:paraId="39805DB0">
      <w:pPr>
        <w:keepNext w:val="0"/>
        <w:keepLines w:val="0"/>
        <w:pageBreakBefore w:val="0"/>
        <w:widowControl w:val="0"/>
        <w:shd w:val="clear"/>
        <w:kinsoku/>
        <w:wordWrap/>
        <w:overflowPunct/>
        <w:topLinePunct w:val="0"/>
        <w:autoSpaceDE/>
        <w:autoSpaceDN/>
        <w:bidi w:val="0"/>
        <w:spacing w:line="440" w:lineRule="exact"/>
        <w:ind w:firstLine="480" w:firstLineChars="200"/>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lang w:val="en-US" w:eastAsia="zh-CN"/>
        </w:rPr>
        <w:t>14.</w:t>
      </w:r>
      <w:r>
        <w:rPr>
          <w:rFonts w:hint="eastAsia" w:ascii="仿宋" w:hAnsi="仿宋" w:eastAsia="仿宋" w:cs="仿宋"/>
          <w:snapToGrid w:val="0"/>
          <w:color w:val="auto"/>
          <w:kern w:val="28"/>
          <w:sz w:val="24"/>
          <w:szCs w:val="24"/>
          <w:highlight w:val="none"/>
        </w:rPr>
        <w:t>其它应由保安人员完成的职责。</w:t>
      </w:r>
    </w:p>
    <w:p w14:paraId="3D00EC1A">
      <w:pPr>
        <w:keepNext w:val="0"/>
        <w:keepLines w:val="0"/>
        <w:pageBreakBefore w:val="0"/>
        <w:widowControl w:val="0"/>
        <w:shd w:val="clear"/>
        <w:kinsoku/>
        <w:wordWrap/>
        <w:overflowPunct/>
        <w:topLinePunct w:val="0"/>
        <w:autoSpaceDE/>
        <w:autoSpaceDN/>
        <w:bidi w:val="0"/>
        <w:spacing w:line="440" w:lineRule="exact"/>
        <w:ind w:firstLine="480" w:firstLineChars="200"/>
        <w:textAlignment w:val="auto"/>
        <w:outlineLvl w:val="9"/>
        <w:rPr>
          <w:rFonts w:hint="eastAsia" w:ascii="仿宋" w:hAnsi="仿宋" w:eastAsia="仿宋" w:cs="仿宋"/>
          <w:snapToGrid w:val="0"/>
          <w:color w:val="auto"/>
          <w:kern w:val="28"/>
          <w:sz w:val="24"/>
          <w:szCs w:val="24"/>
          <w:highlight w:val="none"/>
          <w:lang w:val="en-US" w:eastAsia="zh-CN"/>
        </w:rPr>
      </w:pPr>
      <w:r>
        <w:rPr>
          <w:rFonts w:hint="eastAsia" w:ascii="仿宋" w:hAnsi="仿宋" w:eastAsia="仿宋" w:cs="仿宋"/>
          <w:snapToGrid w:val="0"/>
          <w:color w:val="auto"/>
          <w:kern w:val="28"/>
          <w:sz w:val="24"/>
          <w:szCs w:val="24"/>
          <w:highlight w:val="none"/>
          <w:lang w:val="en-US" w:eastAsia="zh-CN"/>
        </w:rPr>
        <w:t>15.</w:t>
      </w:r>
      <w:r>
        <w:rPr>
          <w:rFonts w:hint="eastAsia" w:ascii="仿宋" w:hAnsi="仿宋" w:eastAsia="仿宋" w:cs="仿宋"/>
          <w:color w:val="auto"/>
          <w:sz w:val="24"/>
          <w:szCs w:val="24"/>
          <w:highlight w:val="none"/>
        </w:rPr>
        <w:t>学校对安保员的服务、管理等有监督权，对不符合工作要求的队员有权要求调换或建议改进服务，安保单位须在规定的时间内整改到位</w:t>
      </w:r>
      <w:r>
        <w:rPr>
          <w:rFonts w:hint="eastAsia" w:ascii="仿宋" w:hAnsi="仿宋" w:eastAsia="仿宋" w:cs="仿宋"/>
          <w:color w:val="auto"/>
          <w:sz w:val="24"/>
          <w:szCs w:val="24"/>
          <w:highlight w:val="none"/>
          <w:lang w:eastAsia="zh-CN"/>
        </w:rPr>
        <w:t>。</w:t>
      </w:r>
    </w:p>
    <w:p w14:paraId="036C1F8E">
      <w:pPr>
        <w:keepNext w:val="0"/>
        <w:keepLines w:val="0"/>
        <w:pageBreakBefore w:val="0"/>
        <w:widowControl/>
        <w:shd w:val="clear"/>
        <w:kinsoku/>
        <w:wordWrap/>
        <w:overflowPunct/>
        <w:topLinePunct w:val="0"/>
        <w:autoSpaceDE/>
        <w:autoSpaceDN/>
        <w:bidi w:val="0"/>
        <w:spacing w:line="420" w:lineRule="exact"/>
        <w:jc w:val="left"/>
        <w:textAlignment w:val="auto"/>
        <w:outlineLvl w:val="1"/>
        <w:rPr>
          <w:rFonts w:hint="eastAsia" w:ascii="仿宋" w:hAnsi="仿宋" w:eastAsia="仿宋" w:cs="仿宋"/>
          <w:color w:val="auto"/>
          <w:sz w:val="24"/>
          <w:szCs w:val="24"/>
          <w:highlight w:val="none"/>
          <w:lang w:val="en-US" w:eastAsia="zh-CN"/>
        </w:rPr>
      </w:pPr>
      <w:bookmarkStart w:id="39" w:name="_Toc4639"/>
      <w:r>
        <w:rPr>
          <w:rFonts w:hint="eastAsia" w:ascii="仿宋" w:hAnsi="仿宋" w:eastAsia="仿宋" w:cs="仿宋"/>
          <w:b/>
          <w:bCs/>
          <w:snapToGrid w:val="0"/>
          <w:color w:val="auto"/>
          <w:kern w:val="28"/>
          <w:sz w:val="24"/>
          <w:szCs w:val="24"/>
          <w:highlight w:val="none"/>
          <w:lang w:eastAsia="zh-CN"/>
        </w:rPr>
        <w:t>（</w:t>
      </w:r>
      <w:r>
        <w:rPr>
          <w:rFonts w:hint="eastAsia" w:ascii="仿宋" w:hAnsi="仿宋" w:eastAsia="仿宋" w:cs="仿宋"/>
          <w:b/>
          <w:bCs/>
          <w:snapToGrid w:val="0"/>
          <w:color w:val="auto"/>
          <w:kern w:val="28"/>
          <w:sz w:val="24"/>
          <w:szCs w:val="24"/>
          <w:highlight w:val="none"/>
          <w:lang w:val="en-US" w:eastAsia="zh-CN"/>
        </w:rPr>
        <w:t>四</w:t>
      </w:r>
      <w:r>
        <w:rPr>
          <w:rFonts w:hint="eastAsia" w:ascii="仿宋" w:hAnsi="仿宋" w:eastAsia="仿宋" w:cs="仿宋"/>
          <w:b/>
          <w:bCs/>
          <w:snapToGrid w:val="0"/>
          <w:color w:val="auto"/>
          <w:kern w:val="28"/>
          <w:sz w:val="24"/>
          <w:szCs w:val="24"/>
          <w:highlight w:val="none"/>
          <w:lang w:eastAsia="zh-CN"/>
        </w:rPr>
        <w:t>）</w:t>
      </w:r>
      <w:r>
        <w:rPr>
          <w:rFonts w:hint="eastAsia" w:ascii="仿宋" w:hAnsi="仿宋" w:eastAsia="仿宋" w:cs="仿宋"/>
          <w:b/>
          <w:bCs/>
          <w:snapToGrid w:val="0"/>
          <w:color w:val="auto"/>
          <w:kern w:val="28"/>
          <w:sz w:val="24"/>
          <w:szCs w:val="24"/>
          <w:highlight w:val="none"/>
        </w:rPr>
        <w:t>、其他要求</w:t>
      </w:r>
      <w:bookmarkEnd w:id="39"/>
    </w:p>
    <w:p w14:paraId="7B4826FC">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1.中标单位须派1人作为项目负责人，</w:t>
      </w:r>
      <w:r>
        <w:rPr>
          <w:rFonts w:hint="eastAsia" w:ascii="仿宋" w:hAnsi="仿宋" w:eastAsia="仿宋" w:cs="仿宋"/>
          <w:snapToGrid w:val="0"/>
          <w:color w:val="auto"/>
          <w:kern w:val="28"/>
          <w:sz w:val="24"/>
          <w:szCs w:val="24"/>
          <w:highlight w:val="none"/>
          <w:lang w:val="en-US" w:eastAsia="zh-CN"/>
        </w:rPr>
        <w:t>负责学校保安队伍的管理工作，人员的工资等福利待遇由中标单位支付。</w:t>
      </w:r>
    </w:p>
    <w:p w14:paraId="20CBAE0F">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2.在省、市、县三级检查中，如发现学校保安履职不到位被扣分、被通报批评的，每一起分别扣1000元、500元、300元，从服务费中扣除。</w:t>
      </w:r>
    </w:p>
    <w:p w14:paraId="262BED03">
      <w:pPr>
        <w:keepNext w:val="0"/>
        <w:keepLines w:val="0"/>
        <w:pageBreakBefore w:val="0"/>
        <w:shd w:val="clear"/>
        <w:kinsoku/>
        <w:wordWrap/>
        <w:overflowPunct/>
        <w:topLinePunct w:val="0"/>
        <w:autoSpaceDE/>
        <w:autoSpaceDN/>
        <w:bidi w:val="0"/>
        <w:spacing w:line="420" w:lineRule="exact"/>
        <w:ind w:firstLine="480"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3.各学校按</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lang w:eastAsia="zh-CN"/>
        </w:rPr>
        <w:t>嵊州市中小学、幼儿园</w:t>
      </w:r>
      <w:r>
        <w:rPr>
          <w:rFonts w:hint="eastAsia" w:ascii="仿宋" w:hAnsi="仿宋" w:eastAsia="仿宋" w:cs="仿宋"/>
          <w:b/>
          <w:bCs/>
          <w:color w:val="auto"/>
          <w:sz w:val="24"/>
          <w:szCs w:val="24"/>
          <w:highlight w:val="none"/>
        </w:rPr>
        <w:t>保安公司</w:t>
      </w:r>
      <w:r>
        <w:rPr>
          <w:rFonts w:hint="eastAsia" w:ascii="仿宋" w:hAnsi="仿宋" w:eastAsia="仿宋" w:cs="仿宋"/>
          <w:b/>
          <w:bCs/>
          <w:color w:val="auto"/>
          <w:sz w:val="24"/>
          <w:szCs w:val="24"/>
          <w:highlight w:val="none"/>
          <w:lang w:eastAsia="zh-CN"/>
        </w:rPr>
        <w:t>服务学期</w:t>
      </w:r>
      <w:r>
        <w:rPr>
          <w:rFonts w:hint="eastAsia" w:ascii="仿宋" w:hAnsi="仿宋" w:eastAsia="仿宋" w:cs="仿宋"/>
          <w:b/>
          <w:bCs/>
          <w:color w:val="auto"/>
          <w:sz w:val="24"/>
          <w:szCs w:val="24"/>
          <w:highlight w:val="none"/>
          <w:lang w:val="en-US" w:eastAsia="zh-CN"/>
        </w:rPr>
        <w:t>考核指标及评价表》对中标供应商进行考核，</w:t>
      </w:r>
      <w:r>
        <w:rPr>
          <w:rFonts w:hint="eastAsia" w:ascii="仿宋" w:hAnsi="仿宋" w:eastAsia="仿宋" w:cs="仿宋"/>
          <w:color w:val="auto"/>
          <w:sz w:val="24"/>
          <w:szCs w:val="24"/>
          <w:highlight w:val="none"/>
          <w:lang w:val="en-US" w:eastAsia="zh-CN"/>
        </w:rPr>
        <w:t>考核分在80分以下，采购人有权单方面解除合同并扣除全部履约保证金。</w:t>
      </w:r>
    </w:p>
    <w:p w14:paraId="387C8502">
      <w:pPr>
        <w:keepNext w:val="0"/>
        <w:keepLines w:val="0"/>
        <w:pageBreakBefore w:val="0"/>
        <w:shd w:val="clear"/>
        <w:kinsoku/>
        <w:wordWrap/>
        <w:overflowPunct/>
        <w:topLinePunct w:val="0"/>
        <w:autoSpaceDE/>
        <w:autoSpaceDN/>
        <w:bidi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.中标供应商在收到《中标通知书》后，签订合同前3天内提供符合招标要求的上岗人员名单、无犯罪证明、身份证复印件、健康体检表、上岗资格证等资料给</w:t>
      </w:r>
      <w:r>
        <w:rPr>
          <w:rFonts w:hint="eastAsia" w:ascii="仿宋" w:hAnsi="仿宋" w:eastAsia="仿宋" w:cs="仿宋"/>
          <w:color w:val="auto"/>
          <w:sz w:val="24"/>
          <w:szCs w:val="24"/>
          <w:highlight w:val="none"/>
          <w:lang w:eastAsia="zh-CN"/>
        </w:rPr>
        <w:t>各学校</w:t>
      </w:r>
      <w:r>
        <w:rPr>
          <w:rFonts w:hint="eastAsia" w:ascii="仿宋" w:hAnsi="仿宋" w:eastAsia="仿宋" w:cs="仿宋"/>
          <w:color w:val="auto"/>
          <w:sz w:val="24"/>
          <w:szCs w:val="24"/>
          <w:highlight w:val="none"/>
        </w:rPr>
        <w:t>，并按照招标文件和</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文件的要求安排上岗人员。如不按照要求提供</w:t>
      </w:r>
      <w:r>
        <w:rPr>
          <w:rFonts w:hint="eastAsia" w:ascii="仿宋" w:hAnsi="仿宋" w:eastAsia="仿宋" w:cs="仿宋"/>
          <w:color w:val="auto"/>
          <w:sz w:val="24"/>
          <w:szCs w:val="24"/>
          <w:highlight w:val="none"/>
          <w:lang w:val="en-US" w:eastAsia="zh-CN"/>
        </w:rPr>
        <w:t>采购方</w:t>
      </w:r>
      <w:r>
        <w:rPr>
          <w:rFonts w:hint="eastAsia" w:ascii="仿宋" w:hAnsi="仿宋" w:eastAsia="仿宋" w:cs="仿宋"/>
          <w:color w:val="auto"/>
          <w:sz w:val="24"/>
          <w:szCs w:val="24"/>
          <w:highlight w:val="none"/>
        </w:rPr>
        <w:t xml:space="preserve">将拒签合同。 </w:t>
      </w:r>
    </w:p>
    <w:p w14:paraId="4B8C6467">
      <w:pPr>
        <w:keepNext w:val="0"/>
        <w:keepLines w:val="0"/>
        <w:pageBreakBefore w:val="0"/>
        <w:shd w:val="clear"/>
        <w:kinsoku/>
        <w:wordWrap/>
        <w:overflowPunct/>
        <w:topLinePunct w:val="0"/>
        <w:autoSpaceDE/>
        <w:autoSpaceDN/>
        <w:bidi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学校保安员有下列情形之一的，经查实应予以劝退，造成严重后果的移送公安机关处理： </w:t>
      </w:r>
    </w:p>
    <w:p w14:paraId="525D3FAC">
      <w:pPr>
        <w:keepNext w:val="0"/>
        <w:keepLines w:val="0"/>
        <w:pageBreakBefore w:val="0"/>
        <w:shd w:val="clear"/>
        <w:kinsoku/>
        <w:wordWrap/>
        <w:overflowPunct/>
        <w:topLinePunct w:val="0"/>
        <w:autoSpaceDE/>
        <w:autoSpaceDN/>
        <w:bidi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（一）突发事件或紧急情况下，临阵脱逃或坐视不管的； </w:t>
      </w:r>
    </w:p>
    <w:p w14:paraId="3D2947E2">
      <w:pPr>
        <w:keepNext w:val="0"/>
        <w:keepLines w:val="0"/>
        <w:pageBreakBefore w:val="0"/>
        <w:shd w:val="clear"/>
        <w:kinsoku/>
        <w:wordWrap/>
        <w:overflowPunct/>
        <w:topLinePunct w:val="0"/>
        <w:autoSpaceDE/>
        <w:autoSpaceDN/>
        <w:bidi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（二）参与社会聚众闹事、打架、赌博等违法活动的； </w:t>
      </w:r>
    </w:p>
    <w:p w14:paraId="6BE5A7DF">
      <w:pPr>
        <w:keepNext w:val="0"/>
        <w:keepLines w:val="0"/>
        <w:pageBreakBefore w:val="0"/>
        <w:shd w:val="clear"/>
        <w:kinsoku/>
        <w:wordWrap/>
        <w:overflowPunct/>
        <w:topLinePunct w:val="0"/>
        <w:autoSpaceDE/>
        <w:autoSpaceDN/>
        <w:bidi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（三）在工作中不按规定章程办事，刁难师生，故意损坏公共财物、师生财物，多次受到投诉的； </w:t>
      </w:r>
    </w:p>
    <w:p w14:paraId="5823D444">
      <w:pPr>
        <w:keepNext w:val="0"/>
        <w:keepLines w:val="0"/>
        <w:pageBreakBefore w:val="0"/>
        <w:shd w:val="clear"/>
        <w:kinsoku/>
        <w:wordWrap/>
        <w:overflowPunct/>
        <w:topLinePunct w:val="0"/>
        <w:autoSpaceDE/>
        <w:autoSpaceDN/>
        <w:bidi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（四）工作责任心不强，不服从分配，不执行规章制度，且屡教不改的； </w:t>
      </w:r>
    </w:p>
    <w:p w14:paraId="538E810B">
      <w:pPr>
        <w:keepNext w:val="0"/>
        <w:keepLines w:val="0"/>
        <w:pageBreakBefore w:val="0"/>
        <w:shd w:val="clear"/>
        <w:kinsoku/>
        <w:wordWrap/>
        <w:overflowPunct/>
        <w:topLinePunct w:val="0"/>
        <w:autoSpaceDE/>
        <w:autoSpaceDN/>
        <w:bidi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（五）发表不良言论，严重损坏学校形象的； </w:t>
      </w:r>
    </w:p>
    <w:p w14:paraId="461D9843">
      <w:pPr>
        <w:keepNext w:val="0"/>
        <w:keepLines w:val="0"/>
        <w:pageBreakBefore w:val="0"/>
        <w:shd w:val="clear"/>
        <w:kinsoku/>
        <w:wordWrap/>
        <w:overflowPunct/>
        <w:topLinePunct w:val="0"/>
        <w:autoSpaceDE/>
        <w:autoSpaceDN/>
        <w:bidi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（六）工作不能得到学校认可，一年度月考核得分有连续二次或总数达三次在 70 分以下的。</w:t>
      </w:r>
    </w:p>
    <w:p w14:paraId="78EE6508">
      <w:pPr>
        <w:keepNext w:val="0"/>
        <w:keepLines w:val="0"/>
        <w:pageBreakBefore w:val="0"/>
        <w:shd w:val="clear"/>
        <w:kinsoku/>
        <w:wordWrap/>
        <w:overflowPunct/>
        <w:topLinePunct w:val="0"/>
        <w:autoSpaceDE/>
        <w:autoSpaceDN/>
        <w:bidi w:val="0"/>
        <w:spacing w:line="42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szCs w:val="24"/>
          <w:highlight w:val="none"/>
        </w:rPr>
        <w:t>社会保险：</w:t>
      </w:r>
      <w:r>
        <w:rPr>
          <w:rFonts w:hint="eastAsia" w:ascii="仿宋" w:hAnsi="仿宋" w:eastAsia="仿宋" w:cs="仿宋"/>
          <w:color w:val="auto"/>
          <w:sz w:val="24"/>
          <w:szCs w:val="24"/>
          <w:highlight w:val="none"/>
        </w:rPr>
        <w:t>（除必须的各种社保外，还应包括第三者责任保险和员工人身意外保险</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每位员工保额额度不低于20万元</w:t>
      </w:r>
      <w:r>
        <w:rPr>
          <w:rFonts w:hint="eastAsia" w:ascii="仿宋" w:hAnsi="仿宋" w:eastAsia="仿宋" w:cs="仿宋"/>
          <w:color w:val="auto"/>
          <w:sz w:val="24"/>
          <w:szCs w:val="24"/>
          <w:highlight w:val="none"/>
        </w:rPr>
        <w:t>）</w:t>
      </w:r>
    </w:p>
    <w:p w14:paraId="57C82318">
      <w:pPr>
        <w:keepNext w:val="0"/>
        <w:keepLines w:val="0"/>
        <w:pageBreakBefore w:val="0"/>
        <w:shd w:val="clear"/>
        <w:kinsoku/>
        <w:wordWrap/>
        <w:overflowPunct/>
        <w:topLinePunct w:val="0"/>
        <w:autoSpaceDE/>
        <w:autoSpaceDN/>
        <w:bidi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6.1</w:t>
      </w:r>
      <w:r>
        <w:rPr>
          <w:rFonts w:hint="eastAsia" w:ascii="仿宋" w:hAnsi="仿宋" w:eastAsia="仿宋" w:cs="仿宋"/>
          <w:color w:val="auto"/>
          <w:sz w:val="24"/>
          <w:szCs w:val="24"/>
          <w:highlight w:val="none"/>
        </w:rPr>
        <w:t>第三者责任保险：中标供应商应为工作人员投保，以保证在服务期间人员和财产以外遭受损失时得到补偿。</w:t>
      </w:r>
    </w:p>
    <w:p w14:paraId="2A5C8979">
      <w:pPr>
        <w:keepNext w:val="0"/>
        <w:keepLines w:val="0"/>
        <w:pageBreakBefore w:val="0"/>
        <w:shd w:val="clear"/>
        <w:kinsoku/>
        <w:wordWrap/>
        <w:overflowPunct/>
        <w:topLinePunct w:val="0"/>
        <w:autoSpaceDE/>
        <w:autoSpaceDN/>
        <w:bidi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6.2</w:t>
      </w:r>
      <w:r>
        <w:rPr>
          <w:rFonts w:hint="eastAsia" w:ascii="仿宋" w:hAnsi="仿宋" w:eastAsia="仿宋" w:cs="仿宋"/>
          <w:color w:val="auto"/>
          <w:sz w:val="24"/>
          <w:szCs w:val="24"/>
          <w:highlight w:val="none"/>
        </w:rPr>
        <w:t>员工人身意外保险：在安保服务期内，中标供应商应为其员工投保人身意外险，以保证</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在成交供应商工作人员索偿时不受任何责任的约束。</w:t>
      </w:r>
    </w:p>
    <w:p w14:paraId="0EE31D92">
      <w:pPr>
        <w:keepNext w:val="0"/>
        <w:keepLines w:val="0"/>
        <w:pageBreakBefore w:val="0"/>
        <w:shd w:val="clear"/>
        <w:kinsoku/>
        <w:wordWrap/>
        <w:overflowPunct/>
        <w:topLinePunct w:val="0"/>
        <w:autoSpaceDE/>
        <w:autoSpaceDN/>
        <w:bidi w:val="0"/>
        <w:spacing w:line="44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、商务要求表：</w:t>
      </w:r>
    </w:p>
    <w:tbl>
      <w:tblPr>
        <w:tblStyle w:val="25"/>
        <w:tblW w:w="8741" w:type="dxa"/>
        <w:tblInd w:w="9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1470"/>
        <w:gridCol w:w="6496"/>
      </w:tblGrid>
      <w:tr w14:paraId="0E38C0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106149CF">
            <w:pPr>
              <w:keepNext w:val="0"/>
              <w:keepLines w:val="0"/>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序号</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361CEEB6">
            <w:pPr>
              <w:keepNext w:val="0"/>
              <w:keepLines w:val="0"/>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内容</w:t>
            </w:r>
          </w:p>
        </w:tc>
        <w:tc>
          <w:tcPr>
            <w:tcW w:w="6496" w:type="dxa"/>
            <w:tcBorders>
              <w:top w:val="single" w:color="auto" w:sz="4" w:space="0"/>
              <w:left w:val="single" w:color="auto" w:sz="4" w:space="0"/>
              <w:bottom w:val="single" w:color="auto" w:sz="4" w:space="0"/>
              <w:right w:val="single" w:color="auto" w:sz="4" w:space="0"/>
            </w:tcBorders>
            <w:noWrap w:val="0"/>
            <w:vAlign w:val="center"/>
          </w:tcPr>
          <w:p w14:paraId="1CF5E156">
            <w:pPr>
              <w:keepNext w:val="0"/>
              <w:keepLines w:val="0"/>
              <w:pageBreakBefore w:val="0"/>
              <w:shd w:val="clear"/>
              <w:kinsoku/>
              <w:wordWrap/>
              <w:overflowPunct/>
              <w:topLinePunct w:val="0"/>
              <w:autoSpaceDE/>
              <w:autoSpaceDN/>
              <w:bidi w:val="0"/>
              <w:snapToGrid w:val="0"/>
              <w:spacing w:line="360" w:lineRule="auto"/>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要    求</w:t>
            </w:r>
          </w:p>
        </w:tc>
      </w:tr>
      <w:tr w14:paraId="46D33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28C9193C">
            <w:pPr>
              <w:keepNext w:val="0"/>
              <w:keepLines w:val="0"/>
              <w:pageBreakBefore w:val="0"/>
              <w:shd w:val="clear"/>
              <w:kinsoku/>
              <w:wordWrap/>
              <w:overflowPunct/>
              <w:topLinePunct w:val="0"/>
              <w:autoSpaceDE/>
              <w:autoSpaceDN/>
              <w:bidi w:val="0"/>
              <w:snapToGrid w:val="0"/>
              <w:spacing w:line="360"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5019F30E">
            <w:pPr>
              <w:keepNext w:val="0"/>
              <w:keepLines w:val="0"/>
              <w:pageBreakBefore w:val="0"/>
              <w:shd w:val="clear"/>
              <w:kinsoku/>
              <w:wordWrap/>
              <w:overflowPunct/>
              <w:topLinePunct w:val="0"/>
              <w:autoSpaceDE/>
              <w:autoSpaceDN/>
              <w:bidi w:val="0"/>
              <w:snapToGrid w:val="0"/>
              <w:spacing w:line="360"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服务期限</w:t>
            </w:r>
          </w:p>
        </w:tc>
        <w:tc>
          <w:tcPr>
            <w:tcW w:w="6496" w:type="dxa"/>
            <w:tcBorders>
              <w:top w:val="single" w:color="auto" w:sz="4" w:space="0"/>
              <w:left w:val="single" w:color="auto" w:sz="4" w:space="0"/>
              <w:bottom w:val="single" w:color="auto" w:sz="4" w:space="0"/>
              <w:right w:val="single" w:color="auto" w:sz="4" w:space="0"/>
            </w:tcBorders>
            <w:noWrap w:val="0"/>
            <w:vAlign w:val="center"/>
          </w:tcPr>
          <w:p w14:paraId="13B19A7F">
            <w:pPr>
              <w:keepNext w:val="0"/>
              <w:keepLines w:val="0"/>
              <w:pageBreakBefore w:val="0"/>
              <w:widowControl w:val="0"/>
              <w:shd w:val="clear"/>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合同签订后2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具体起止时间在签订合同时由采购人确定。</w:t>
            </w:r>
          </w:p>
        </w:tc>
      </w:tr>
      <w:tr w14:paraId="6382E0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3046DD8C">
            <w:pPr>
              <w:keepNext w:val="0"/>
              <w:keepLines w:val="0"/>
              <w:pageBreakBefore w:val="0"/>
              <w:shd w:val="clear"/>
              <w:kinsoku/>
              <w:wordWrap/>
              <w:overflowPunct/>
              <w:topLinePunct w:val="0"/>
              <w:autoSpaceDE/>
              <w:autoSpaceDN/>
              <w:bidi w:val="0"/>
              <w:snapToGrid w:val="0"/>
              <w:spacing w:line="360"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21B32FD5">
            <w:pPr>
              <w:keepNext w:val="0"/>
              <w:keepLines w:val="0"/>
              <w:pageBreakBefore w:val="0"/>
              <w:shd w:val="clear"/>
              <w:kinsoku/>
              <w:wordWrap/>
              <w:overflowPunct/>
              <w:topLinePunct w:val="0"/>
              <w:autoSpaceDE/>
              <w:autoSpaceDN/>
              <w:bidi w:val="0"/>
              <w:snapToGrid w:val="0"/>
              <w:spacing w:line="360"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服务地点</w:t>
            </w:r>
          </w:p>
        </w:tc>
        <w:tc>
          <w:tcPr>
            <w:tcW w:w="6496" w:type="dxa"/>
            <w:tcBorders>
              <w:top w:val="single" w:color="auto" w:sz="4" w:space="0"/>
              <w:left w:val="single" w:color="auto" w:sz="4" w:space="0"/>
              <w:bottom w:val="single" w:color="auto" w:sz="4" w:space="0"/>
              <w:right w:val="single" w:color="auto" w:sz="4" w:space="0"/>
            </w:tcBorders>
            <w:noWrap w:val="0"/>
            <w:vAlign w:val="center"/>
          </w:tcPr>
          <w:p w14:paraId="797FAF50">
            <w:pPr>
              <w:keepNext w:val="0"/>
              <w:keepLines w:val="0"/>
              <w:pageBreakBefore w:val="0"/>
              <w:widowControl w:val="0"/>
              <w:shd w:val="clear"/>
              <w:kinsoku/>
              <w:wordWrap/>
              <w:overflowPunct/>
              <w:topLinePunct w:val="0"/>
              <w:autoSpaceDE/>
              <w:autoSpaceDN/>
              <w:bidi w:val="0"/>
              <w:adjustRightInd w:val="0"/>
              <w:snapToGrid w:val="0"/>
              <w:spacing w:line="360" w:lineRule="exact"/>
              <w:jc w:val="left"/>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按招标文件各标项规定地点。</w:t>
            </w:r>
          </w:p>
        </w:tc>
      </w:tr>
      <w:tr w14:paraId="18F94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07EBFA25">
            <w:pPr>
              <w:keepNext w:val="0"/>
              <w:keepLines w:val="0"/>
              <w:pageBreakBefore w:val="0"/>
              <w:shd w:val="clear"/>
              <w:kinsoku/>
              <w:wordWrap/>
              <w:overflowPunct/>
              <w:topLinePunct w:val="0"/>
              <w:autoSpaceDE/>
              <w:autoSpaceDN/>
              <w:bidi w:val="0"/>
              <w:snapToGrid w:val="0"/>
              <w:spacing w:line="360"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444F63A9">
            <w:pPr>
              <w:keepNext w:val="0"/>
              <w:keepLines w:val="0"/>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履约保证金</w:t>
            </w:r>
          </w:p>
        </w:tc>
        <w:tc>
          <w:tcPr>
            <w:tcW w:w="6496" w:type="dxa"/>
            <w:tcBorders>
              <w:top w:val="single" w:color="auto" w:sz="4" w:space="0"/>
              <w:left w:val="single" w:color="auto" w:sz="4" w:space="0"/>
              <w:bottom w:val="single" w:color="auto" w:sz="4" w:space="0"/>
              <w:right w:val="single" w:color="auto" w:sz="4" w:space="0"/>
            </w:tcBorders>
            <w:noWrap w:val="0"/>
            <w:vAlign w:val="center"/>
          </w:tcPr>
          <w:p w14:paraId="6B1D4375">
            <w:pPr>
              <w:keepNext w:val="0"/>
              <w:keepLines w:val="0"/>
              <w:pageBreakBefore w:val="0"/>
              <w:widowControl w:val="0"/>
              <w:shd w:val="clear"/>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中标供应商</w:t>
            </w:r>
            <w:r>
              <w:rPr>
                <w:rFonts w:hint="eastAsia" w:ascii="仿宋" w:hAnsi="仿宋" w:eastAsia="仿宋" w:cs="仿宋"/>
                <w:color w:val="auto"/>
                <w:sz w:val="24"/>
                <w:szCs w:val="24"/>
                <w:highlight w:val="none"/>
              </w:rPr>
              <w:t>须按照合同价的</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%向采购人一次性缴纳履约保证金。履约保证金在承包期满后，并经采购人考评合格且</w:t>
            </w:r>
            <w:r>
              <w:rPr>
                <w:rFonts w:hint="eastAsia" w:ascii="仿宋" w:hAnsi="仿宋" w:eastAsia="仿宋" w:cs="仿宋"/>
                <w:color w:val="auto"/>
                <w:sz w:val="24"/>
                <w:szCs w:val="24"/>
                <w:highlight w:val="none"/>
                <w:lang w:eastAsia="zh-CN"/>
              </w:rPr>
              <w:t>中标供应商</w:t>
            </w:r>
            <w:r>
              <w:rPr>
                <w:rFonts w:hint="eastAsia" w:ascii="仿宋" w:hAnsi="仿宋" w:eastAsia="仿宋" w:cs="仿宋"/>
                <w:color w:val="auto"/>
                <w:sz w:val="24"/>
                <w:szCs w:val="24"/>
                <w:highlight w:val="none"/>
              </w:rPr>
              <w:t>办理完移交给采购人手续后一个月内无息退还。</w:t>
            </w:r>
          </w:p>
          <w:p w14:paraId="2C64753B">
            <w:pPr>
              <w:keepNext w:val="0"/>
              <w:keepLines w:val="0"/>
              <w:pageBreakBefore w:val="0"/>
              <w:widowControl w:val="0"/>
              <w:shd w:val="clear"/>
              <w:kinsoku/>
              <w:wordWrap/>
              <w:overflowPunct/>
              <w:topLinePunct w:val="0"/>
              <w:autoSpaceDE/>
              <w:autoSpaceDN/>
              <w:bidi w:val="0"/>
              <w:adjustRightInd w:val="0"/>
              <w:snapToGrid w:val="0"/>
              <w:spacing w:line="360" w:lineRule="exact"/>
              <w:jc w:val="left"/>
              <w:textAlignment w:val="auto"/>
              <w:rPr>
                <w:rFonts w:hint="default" w:ascii="仿宋" w:hAnsi="仿宋" w:eastAsia="仿宋" w:cs="仿宋"/>
                <w:color w:val="auto"/>
                <w:sz w:val="24"/>
                <w:szCs w:val="24"/>
                <w:highlight w:val="none"/>
                <w:lang w:val="en-US" w:eastAsia="zh-CN"/>
              </w:rPr>
            </w:pPr>
            <w:r>
              <w:rPr>
                <w:rFonts w:ascii="仿宋" w:hAnsi="仿宋" w:eastAsia="仿宋" w:cs="仿宋"/>
                <w:color w:val="auto"/>
                <w:sz w:val="24"/>
                <w:szCs w:val="24"/>
                <w:highlight w:val="none"/>
              </w:rPr>
              <w:t>履约保证金支付方式：保函、网上银行、电汇、汇票或转帐形式。保函包括银行保函、保险机构保证保险保单。</w:t>
            </w:r>
          </w:p>
        </w:tc>
      </w:tr>
      <w:tr w14:paraId="59C167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1BEC074E">
            <w:pPr>
              <w:keepNext w:val="0"/>
              <w:keepLines w:val="0"/>
              <w:pageBreakBefore w:val="0"/>
              <w:shd w:val="clear"/>
              <w:kinsoku/>
              <w:wordWrap/>
              <w:overflowPunct/>
              <w:topLinePunct w:val="0"/>
              <w:autoSpaceDE/>
              <w:autoSpaceDN/>
              <w:bidi w:val="0"/>
              <w:snapToGrid w:val="0"/>
              <w:spacing w:line="360"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5EB4B616">
            <w:pPr>
              <w:keepNext w:val="0"/>
              <w:keepLines w:val="0"/>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考核</w:t>
            </w:r>
          </w:p>
        </w:tc>
        <w:tc>
          <w:tcPr>
            <w:tcW w:w="6496" w:type="dxa"/>
            <w:tcBorders>
              <w:top w:val="single" w:color="auto" w:sz="4" w:space="0"/>
              <w:left w:val="single" w:color="auto" w:sz="4" w:space="0"/>
              <w:bottom w:val="single" w:color="auto" w:sz="4" w:space="0"/>
              <w:right w:val="single" w:color="auto" w:sz="4" w:space="0"/>
            </w:tcBorders>
            <w:noWrap w:val="0"/>
            <w:vAlign w:val="center"/>
          </w:tcPr>
          <w:p w14:paraId="5965AC7D">
            <w:pPr>
              <w:keepNext w:val="0"/>
              <w:keepLines w:val="0"/>
              <w:pageBreakBefore w:val="0"/>
              <w:widowControl w:val="0"/>
              <w:shd w:val="clear"/>
              <w:kinsoku/>
              <w:wordWrap/>
              <w:overflowPunct/>
              <w:topLinePunct w:val="0"/>
              <w:autoSpaceDE/>
              <w:autoSpaceDN/>
              <w:bidi w:val="0"/>
              <w:adjustRightInd w:val="0"/>
              <w:spacing w:line="360" w:lineRule="exact"/>
              <w:jc w:val="both"/>
              <w:textAlignment w:val="auto"/>
              <w:rPr>
                <w:rFonts w:hint="default" w:ascii="仿宋" w:hAnsi="仿宋" w:eastAsia="仿宋" w:cs="仿宋"/>
                <w:color w:val="auto"/>
                <w:kern w:val="0"/>
                <w:sz w:val="24"/>
                <w:szCs w:val="24"/>
                <w:highlight w:val="none"/>
                <w:lang w:val="en-US"/>
              </w:rPr>
            </w:pPr>
            <w:r>
              <w:rPr>
                <w:rFonts w:hint="eastAsia" w:ascii="仿宋" w:hAnsi="仿宋" w:eastAsia="仿宋" w:cs="仿宋"/>
                <w:color w:val="auto"/>
                <w:sz w:val="24"/>
                <w:szCs w:val="24"/>
                <w:highlight w:val="none"/>
                <w:lang w:val="en-US" w:eastAsia="zh-CN"/>
              </w:rPr>
              <w:t>各学校按</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lang w:eastAsia="zh-CN"/>
              </w:rPr>
              <w:t>嵊州市中小学、幼儿园</w:t>
            </w:r>
            <w:r>
              <w:rPr>
                <w:rFonts w:hint="eastAsia" w:ascii="仿宋" w:hAnsi="仿宋" w:eastAsia="仿宋" w:cs="仿宋"/>
                <w:b/>
                <w:bCs/>
                <w:color w:val="auto"/>
                <w:sz w:val="24"/>
                <w:szCs w:val="24"/>
                <w:highlight w:val="none"/>
              </w:rPr>
              <w:t>保安公司</w:t>
            </w:r>
            <w:r>
              <w:rPr>
                <w:rFonts w:hint="eastAsia" w:ascii="仿宋" w:hAnsi="仿宋" w:eastAsia="仿宋" w:cs="仿宋"/>
                <w:b/>
                <w:bCs/>
                <w:color w:val="auto"/>
                <w:sz w:val="24"/>
                <w:szCs w:val="24"/>
                <w:highlight w:val="none"/>
                <w:lang w:eastAsia="zh-CN"/>
              </w:rPr>
              <w:t>服务学期</w:t>
            </w:r>
            <w:r>
              <w:rPr>
                <w:rFonts w:hint="eastAsia" w:ascii="仿宋" w:hAnsi="仿宋" w:eastAsia="仿宋" w:cs="仿宋"/>
                <w:b/>
                <w:bCs/>
                <w:color w:val="auto"/>
                <w:sz w:val="24"/>
                <w:szCs w:val="24"/>
                <w:highlight w:val="none"/>
                <w:lang w:val="en-US" w:eastAsia="zh-CN"/>
              </w:rPr>
              <w:t>考核指标及评价表》对中标供应商进行考核，考核一月一次，</w:t>
            </w:r>
            <w:r>
              <w:rPr>
                <w:rFonts w:hint="eastAsia" w:ascii="仿宋" w:hAnsi="仿宋" w:eastAsia="仿宋" w:cs="仿宋"/>
                <w:color w:val="auto"/>
                <w:sz w:val="24"/>
                <w:szCs w:val="24"/>
                <w:highlight w:val="none"/>
                <w:lang w:val="en-US" w:eastAsia="zh-CN"/>
              </w:rPr>
              <w:t>考核分在80分以下，采购人有权单方面解除合同并扣除全部履约保证金。</w:t>
            </w:r>
          </w:p>
        </w:tc>
      </w:tr>
      <w:tr w14:paraId="735B9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67D05BD2">
            <w:pPr>
              <w:keepNext w:val="0"/>
              <w:keepLines w:val="0"/>
              <w:pageBreakBefore w:val="0"/>
              <w:shd w:val="clear"/>
              <w:kinsoku/>
              <w:wordWrap/>
              <w:overflowPunct/>
              <w:topLinePunct w:val="0"/>
              <w:autoSpaceDE/>
              <w:autoSpaceDN/>
              <w:bidi w:val="0"/>
              <w:snapToGrid w:val="0"/>
              <w:spacing w:line="360" w:lineRule="auto"/>
              <w:jc w:val="center"/>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320F70F0">
            <w:pPr>
              <w:keepNext w:val="0"/>
              <w:keepLines w:val="0"/>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付款</w:t>
            </w:r>
            <w:r>
              <w:rPr>
                <w:rFonts w:hint="eastAsia" w:ascii="仿宋" w:hAnsi="仿宋" w:eastAsia="仿宋" w:cs="仿宋"/>
                <w:b w:val="0"/>
                <w:bCs w:val="0"/>
                <w:color w:val="auto"/>
                <w:sz w:val="24"/>
                <w:szCs w:val="24"/>
                <w:highlight w:val="none"/>
                <w:lang w:val="en-US" w:eastAsia="zh-CN"/>
              </w:rPr>
              <w:t>方式</w:t>
            </w:r>
          </w:p>
        </w:tc>
        <w:tc>
          <w:tcPr>
            <w:tcW w:w="6496" w:type="dxa"/>
            <w:tcBorders>
              <w:top w:val="single" w:color="auto" w:sz="4" w:space="0"/>
              <w:left w:val="single" w:color="auto" w:sz="4" w:space="0"/>
              <w:bottom w:val="single" w:color="auto" w:sz="4" w:space="0"/>
              <w:right w:val="single" w:color="auto" w:sz="4" w:space="0"/>
            </w:tcBorders>
            <w:noWrap w:val="0"/>
            <w:vAlign w:val="center"/>
          </w:tcPr>
          <w:p w14:paraId="373EE039">
            <w:pPr>
              <w:keepNext w:val="0"/>
              <w:keepLines w:val="0"/>
              <w:pageBreakBefore w:val="0"/>
              <w:widowControl w:val="0"/>
              <w:shd w:val="clear"/>
              <w:kinsoku/>
              <w:wordWrap/>
              <w:overflowPunct/>
              <w:topLinePunct w:val="0"/>
              <w:autoSpaceDE/>
              <w:autoSpaceDN/>
              <w:bidi w:val="0"/>
              <w:adjustRightInd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服务费用由学校将服务情况上</w:t>
            </w:r>
            <w:r>
              <w:rPr>
                <w:rFonts w:hint="eastAsia" w:ascii="仿宋" w:hAnsi="仿宋" w:eastAsia="仿宋" w:cs="仿宋"/>
                <w:color w:val="auto"/>
                <w:sz w:val="24"/>
                <w:szCs w:val="24"/>
                <w:highlight w:val="none"/>
                <w:lang w:val="en-US" w:eastAsia="zh-CN"/>
              </w:rPr>
              <w:t>报采购人</w:t>
            </w:r>
            <w:r>
              <w:rPr>
                <w:rFonts w:hint="eastAsia" w:ascii="仿宋" w:hAnsi="仿宋" w:eastAsia="仿宋" w:cs="仿宋"/>
                <w:color w:val="auto"/>
                <w:sz w:val="24"/>
                <w:szCs w:val="24"/>
                <w:highlight w:val="none"/>
                <w:lang w:eastAsia="zh-CN"/>
              </w:rPr>
              <w:t>汇总后，按</w:t>
            </w:r>
            <w:r>
              <w:rPr>
                <w:rFonts w:hint="eastAsia" w:ascii="仿宋" w:hAnsi="仿宋" w:eastAsia="仿宋" w:cs="仿宋"/>
                <w:color w:val="auto"/>
                <w:sz w:val="24"/>
                <w:szCs w:val="24"/>
                <w:highlight w:val="none"/>
                <w:lang w:val="en-US" w:eastAsia="zh-CN"/>
              </w:rPr>
              <w:t>半年</w:t>
            </w:r>
            <w:r>
              <w:rPr>
                <w:rFonts w:hint="eastAsia" w:ascii="仿宋" w:hAnsi="仿宋" w:eastAsia="仿宋" w:cs="仿宋"/>
                <w:color w:val="auto"/>
                <w:sz w:val="24"/>
                <w:szCs w:val="24"/>
                <w:highlight w:val="none"/>
                <w:lang w:eastAsia="zh-CN"/>
              </w:rPr>
              <w:t>为单位结算付款，</w:t>
            </w:r>
            <w:r>
              <w:rPr>
                <w:rFonts w:hint="eastAsia" w:ascii="仿宋" w:hAnsi="仿宋" w:eastAsia="仿宋" w:cs="仿宋"/>
                <w:color w:val="auto"/>
                <w:sz w:val="24"/>
                <w:szCs w:val="24"/>
                <w:highlight w:val="none"/>
                <w:lang w:val="en-US" w:eastAsia="zh-CN"/>
              </w:rPr>
              <w:t>5月份支付1-6月份的服务费，11月份支付7-12月的服务费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扣除相应考核扣款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   </w:t>
            </w:r>
          </w:p>
        </w:tc>
      </w:tr>
      <w:tr w14:paraId="2624F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45434B35">
            <w:pPr>
              <w:shd w:val="clear"/>
              <w:autoSpaceDE w:val="0"/>
              <w:autoSpaceDN w:val="0"/>
              <w:adjustRightInd w:val="0"/>
              <w:snapToGrid w:val="0"/>
              <w:spacing w:line="500" w:lineRule="exact"/>
              <w:ind w:hanging="14" w:firstLineChars="0"/>
              <w:jc w:val="center"/>
              <w:textAlignment w:val="bottom"/>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1187B90B">
            <w:pPr>
              <w:shd w:val="clear"/>
              <w:autoSpaceDE w:val="0"/>
              <w:autoSpaceDN w:val="0"/>
              <w:adjustRightInd w:val="0"/>
              <w:snapToGrid w:val="0"/>
              <w:spacing w:line="500" w:lineRule="exact"/>
              <w:ind w:hanging="14" w:firstLineChars="0"/>
              <w:jc w:val="center"/>
              <w:textAlignment w:val="bottom"/>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安全要求</w:t>
            </w:r>
          </w:p>
        </w:tc>
        <w:tc>
          <w:tcPr>
            <w:tcW w:w="6496" w:type="dxa"/>
            <w:tcBorders>
              <w:top w:val="single" w:color="auto" w:sz="4" w:space="0"/>
              <w:left w:val="single" w:color="auto" w:sz="4" w:space="0"/>
              <w:bottom w:val="single" w:color="auto" w:sz="4" w:space="0"/>
              <w:right w:val="single" w:color="auto" w:sz="4" w:space="0"/>
            </w:tcBorders>
            <w:noWrap w:val="0"/>
            <w:vAlign w:val="center"/>
          </w:tcPr>
          <w:p w14:paraId="20789C16">
            <w:pPr>
              <w:keepNext w:val="0"/>
              <w:keepLines w:val="0"/>
              <w:pageBreakBefore w:val="0"/>
              <w:widowControl w:val="0"/>
              <w:shd w:val="clear"/>
              <w:kinsoku/>
              <w:wordWrap/>
              <w:overflowPunct/>
              <w:topLinePunct w:val="0"/>
              <w:autoSpaceDE w:val="0"/>
              <w:autoSpaceDN w:val="0"/>
              <w:bidi w:val="0"/>
              <w:adjustRightInd w:val="0"/>
              <w:spacing w:line="360" w:lineRule="exact"/>
              <w:ind w:firstLine="0" w:firstLineChars="0"/>
              <w:contextualSpacing/>
              <w:jc w:val="both"/>
              <w:textAlignment w:val="bottom"/>
              <w:outlineLvl w:val="9"/>
              <w:rPr>
                <w:rFonts w:hint="default" w:ascii="仿宋" w:hAnsi="仿宋" w:eastAsia="仿宋" w:cs="仿宋"/>
                <w:color w:val="auto"/>
                <w:kern w:val="0"/>
                <w:sz w:val="24"/>
                <w:szCs w:val="24"/>
                <w:highlight w:val="none"/>
                <w:lang w:val="en-US" w:eastAsia="zh-CN"/>
              </w:rPr>
            </w:pPr>
            <w:r>
              <w:rPr>
                <w:rFonts w:hint="eastAsia" w:ascii="仿宋" w:hAnsi="仿宋" w:eastAsia="仿宋" w:cs="仿宋"/>
                <w:bCs/>
                <w:color w:val="auto"/>
                <w:sz w:val="24"/>
                <w:szCs w:val="24"/>
                <w:highlight w:val="none"/>
                <w:lang w:val="en-US" w:eastAsia="zh-CN"/>
              </w:rPr>
              <w:t>中标供应商应对服务人员做好安全责任管理，</w:t>
            </w:r>
            <w:r>
              <w:rPr>
                <w:rFonts w:hint="eastAsia" w:ascii="仿宋" w:hAnsi="仿宋" w:eastAsia="仿宋" w:cs="仿宋"/>
                <w:bCs/>
                <w:color w:val="auto"/>
                <w:sz w:val="24"/>
                <w:szCs w:val="24"/>
                <w:highlight w:val="none"/>
              </w:rPr>
              <w:t>在</w:t>
            </w:r>
            <w:r>
              <w:rPr>
                <w:rFonts w:hint="eastAsia" w:ascii="仿宋" w:hAnsi="仿宋" w:eastAsia="仿宋" w:cs="仿宋"/>
                <w:bCs/>
                <w:color w:val="auto"/>
                <w:sz w:val="24"/>
                <w:szCs w:val="24"/>
                <w:highlight w:val="none"/>
                <w:lang w:val="en-US" w:eastAsia="zh-CN"/>
              </w:rPr>
              <w:t>服务</w:t>
            </w:r>
            <w:r>
              <w:rPr>
                <w:rFonts w:hint="eastAsia" w:ascii="仿宋" w:hAnsi="仿宋" w:eastAsia="仿宋" w:cs="仿宋"/>
                <w:bCs/>
                <w:color w:val="auto"/>
                <w:sz w:val="24"/>
                <w:szCs w:val="24"/>
                <w:highlight w:val="none"/>
              </w:rPr>
              <w:t>期间</w:t>
            </w:r>
            <w:r>
              <w:rPr>
                <w:rFonts w:hint="eastAsia" w:ascii="仿宋" w:hAnsi="仿宋" w:eastAsia="仿宋" w:cs="仿宋"/>
                <w:bCs/>
                <w:color w:val="auto"/>
                <w:sz w:val="24"/>
                <w:szCs w:val="24"/>
                <w:highlight w:val="none"/>
                <w:lang w:val="en-US" w:eastAsia="zh-CN"/>
              </w:rPr>
              <w:t>如</w:t>
            </w:r>
            <w:r>
              <w:rPr>
                <w:rFonts w:hint="eastAsia" w:ascii="仿宋" w:hAnsi="仿宋" w:eastAsia="仿宋" w:cs="仿宋"/>
                <w:bCs/>
                <w:color w:val="auto"/>
                <w:sz w:val="24"/>
                <w:szCs w:val="24"/>
                <w:highlight w:val="none"/>
              </w:rPr>
              <w:t>发生任何意外或人员伤亡，其</w:t>
            </w:r>
            <w:r>
              <w:rPr>
                <w:rFonts w:hint="eastAsia" w:ascii="仿宋" w:hAnsi="仿宋" w:eastAsia="仿宋" w:cs="仿宋"/>
                <w:bCs/>
                <w:color w:val="auto"/>
                <w:sz w:val="24"/>
                <w:szCs w:val="24"/>
                <w:highlight w:val="none"/>
                <w:lang w:val="en-US" w:eastAsia="zh-CN"/>
              </w:rPr>
              <w:t>法律及经济</w:t>
            </w:r>
            <w:r>
              <w:rPr>
                <w:rFonts w:hint="eastAsia" w:ascii="仿宋" w:hAnsi="仿宋" w:eastAsia="仿宋" w:cs="仿宋"/>
                <w:bCs/>
                <w:color w:val="auto"/>
                <w:sz w:val="24"/>
                <w:szCs w:val="24"/>
                <w:highlight w:val="none"/>
              </w:rPr>
              <w:t>责任由</w:t>
            </w:r>
            <w:r>
              <w:rPr>
                <w:rFonts w:hint="eastAsia" w:ascii="仿宋" w:hAnsi="仿宋" w:eastAsia="仿宋" w:cs="仿宋"/>
                <w:bCs/>
                <w:color w:val="auto"/>
                <w:sz w:val="24"/>
                <w:szCs w:val="24"/>
                <w:highlight w:val="none"/>
                <w:lang w:eastAsia="zh-CN"/>
              </w:rPr>
              <w:t>中标单位</w:t>
            </w:r>
            <w:r>
              <w:rPr>
                <w:rFonts w:hint="eastAsia" w:ascii="仿宋" w:hAnsi="仿宋" w:eastAsia="仿宋" w:cs="仿宋"/>
                <w:bCs/>
                <w:color w:val="auto"/>
                <w:sz w:val="24"/>
                <w:szCs w:val="24"/>
                <w:highlight w:val="none"/>
              </w:rPr>
              <w:t>承担，采购人不承担任何责任。</w:t>
            </w:r>
            <w:r>
              <w:rPr>
                <w:rFonts w:hint="eastAsia" w:ascii="仿宋" w:hAnsi="仿宋" w:eastAsia="仿宋" w:cs="仿宋"/>
                <w:b/>
                <w:bCs w:val="0"/>
                <w:color w:val="auto"/>
                <w:sz w:val="24"/>
                <w:szCs w:val="24"/>
                <w:highlight w:val="none"/>
                <w:lang w:eastAsia="zh-CN"/>
              </w:rPr>
              <w:t>（</w:t>
            </w:r>
            <w:r>
              <w:rPr>
                <w:rFonts w:hint="eastAsia" w:ascii="仿宋" w:hAnsi="仿宋" w:eastAsia="仿宋" w:cs="仿宋"/>
                <w:b/>
                <w:bCs w:val="0"/>
                <w:color w:val="auto"/>
                <w:sz w:val="24"/>
                <w:szCs w:val="24"/>
                <w:highlight w:val="none"/>
                <w:lang w:val="en-US" w:eastAsia="zh-CN"/>
              </w:rPr>
              <w:t>提供承诺书并加盖CA签章。）</w:t>
            </w:r>
          </w:p>
        </w:tc>
      </w:tr>
      <w:tr w14:paraId="0451C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78B343AA">
            <w:pPr>
              <w:keepNext w:val="0"/>
              <w:keepLines w:val="0"/>
              <w:pageBreakBefore w:val="0"/>
              <w:widowControl w:val="0"/>
              <w:shd w:val="clear"/>
              <w:kinsoku/>
              <w:wordWrap/>
              <w:overflowPunct/>
              <w:topLinePunct w:val="0"/>
              <w:autoSpaceDE/>
              <w:autoSpaceDN/>
              <w:bidi w:val="0"/>
              <w:adjustRightInd/>
              <w:spacing w:line="440" w:lineRule="exact"/>
              <w:ind w:left="0" w:leftChars="0" w:firstLine="0" w:firstLineChars="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597DD275">
            <w:pPr>
              <w:keepNext w:val="0"/>
              <w:keepLines w:val="0"/>
              <w:pageBreakBefore w:val="0"/>
              <w:widowControl w:val="0"/>
              <w:shd w:val="clear"/>
              <w:kinsoku/>
              <w:wordWrap/>
              <w:overflowPunct/>
              <w:topLinePunct w:val="0"/>
              <w:autoSpaceDE/>
              <w:autoSpaceDN/>
              <w:bidi w:val="0"/>
              <w:adjustRightInd/>
              <w:spacing w:line="440" w:lineRule="exact"/>
              <w:ind w:left="0" w:leftChars="0" w:firstLine="0" w:firstLineChars="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其他要求</w:t>
            </w:r>
          </w:p>
        </w:tc>
        <w:tc>
          <w:tcPr>
            <w:tcW w:w="6496" w:type="dxa"/>
            <w:tcBorders>
              <w:top w:val="single" w:color="auto" w:sz="4" w:space="0"/>
              <w:left w:val="single" w:color="auto" w:sz="4" w:space="0"/>
              <w:bottom w:val="single" w:color="auto" w:sz="4" w:space="0"/>
              <w:right w:val="single" w:color="auto" w:sz="4" w:space="0"/>
            </w:tcBorders>
            <w:noWrap w:val="0"/>
            <w:vAlign w:val="center"/>
          </w:tcPr>
          <w:p w14:paraId="23643F4E">
            <w:pPr>
              <w:keepNext w:val="0"/>
              <w:keepLines w:val="0"/>
              <w:pageBreakBefore w:val="0"/>
              <w:widowControl w:val="0"/>
              <w:shd w:val="clear"/>
              <w:kinsoku/>
              <w:wordWrap/>
              <w:overflowPunct/>
              <w:topLinePunct w:val="0"/>
              <w:bidi w:val="0"/>
              <w:adjustRightInd w:val="0"/>
              <w:spacing w:line="360" w:lineRule="exact"/>
              <w:ind w:left="0" w:leftChars="0"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采购人因工作需要，需中止合同的，采购人需提前一个月通知</w:t>
            </w:r>
            <w:r>
              <w:rPr>
                <w:rFonts w:hint="eastAsia" w:ascii="仿宋" w:hAnsi="仿宋" w:eastAsia="仿宋" w:cs="仿宋"/>
                <w:color w:val="auto"/>
                <w:sz w:val="24"/>
                <w:szCs w:val="24"/>
                <w:highlight w:val="none"/>
                <w:lang w:eastAsia="zh-CN"/>
              </w:rPr>
              <w:t>中标供应商</w:t>
            </w:r>
            <w:r>
              <w:rPr>
                <w:rFonts w:hint="eastAsia" w:ascii="仿宋" w:hAnsi="仿宋" w:eastAsia="仿宋" w:cs="仿宋"/>
                <w:color w:val="auto"/>
                <w:sz w:val="24"/>
                <w:szCs w:val="24"/>
                <w:highlight w:val="none"/>
              </w:rPr>
              <w:t>；采购人根据工作需要需增减劳务人数，应提前15天通知</w:t>
            </w:r>
            <w:r>
              <w:rPr>
                <w:rFonts w:hint="eastAsia" w:ascii="仿宋" w:hAnsi="仿宋" w:eastAsia="仿宋" w:cs="仿宋"/>
                <w:color w:val="auto"/>
                <w:sz w:val="24"/>
                <w:szCs w:val="24"/>
                <w:highlight w:val="none"/>
                <w:lang w:eastAsia="zh-CN"/>
              </w:rPr>
              <w:t>中标供应商</w:t>
            </w:r>
            <w:r>
              <w:rPr>
                <w:rFonts w:hint="eastAsia" w:ascii="仿宋" w:hAnsi="仿宋" w:eastAsia="仿宋" w:cs="仿宋"/>
                <w:color w:val="auto"/>
                <w:sz w:val="24"/>
                <w:szCs w:val="24"/>
                <w:highlight w:val="none"/>
              </w:rPr>
              <w:t>。派遣的劳务人员日常工作由采购人、</w:t>
            </w:r>
            <w:r>
              <w:rPr>
                <w:rFonts w:hint="eastAsia" w:ascii="仿宋" w:hAnsi="仿宋" w:eastAsia="仿宋" w:cs="仿宋"/>
                <w:color w:val="auto"/>
                <w:sz w:val="24"/>
                <w:szCs w:val="24"/>
                <w:highlight w:val="none"/>
                <w:lang w:eastAsia="zh-CN"/>
              </w:rPr>
              <w:t>中标供应商</w:t>
            </w:r>
            <w:r>
              <w:rPr>
                <w:rFonts w:hint="eastAsia" w:ascii="仿宋" w:hAnsi="仿宋" w:eastAsia="仿宋" w:cs="仿宋"/>
                <w:color w:val="auto"/>
                <w:sz w:val="24"/>
                <w:szCs w:val="24"/>
                <w:highlight w:val="none"/>
              </w:rPr>
              <w:t>双方共同管理。</w:t>
            </w:r>
          </w:p>
        </w:tc>
      </w:tr>
    </w:tbl>
    <w:p w14:paraId="700C53C7">
      <w:pPr>
        <w:shd w:val="clea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2F961E0F">
      <w:pPr>
        <w:shd w:val="clear"/>
        <w:spacing w:line="560" w:lineRule="exact"/>
        <w:ind w:firstLine="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附</w:t>
      </w:r>
      <w:r>
        <w:rPr>
          <w:rFonts w:hint="eastAsia" w:ascii="仿宋" w:hAnsi="仿宋" w:eastAsia="仿宋" w:cs="仿宋"/>
          <w:b/>
          <w:bCs/>
          <w:color w:val="auto"/>
          <w:sz w:val="24"/>
          <w:szCs w:val="24"/>
          <w:highlight w:val="none"/>
          <w:lang w:eastAsia="zh-CN"/>
        </w:rPr>
        <w:t>件</w:t>
      </w:r>
      <w:r>
        <w:rPr>
          <w:rFonts w:hint="eastAsia" w:ascii="仿宋" w:hAnsi="仿宋" w:eastAsia="仿宋" w:cs="仿宋"/>
          <w:b/>
          <w:bCs/>
          <w:color w:val="auto"/>
          <w:sz w:val="24"/>
          <w:szCs w:val="24"/>
          <w:highlight w:val="none"/>
        </w:rPr>
        <w:t>1</w:t>
      </w:r>
    </w:p>
    <w:p w14:paraId="7FA32D64">
      <w:pPr>
        <w:shd w:val="clear"/>
        <w:spacing w:line="560" w:lineRule="exact"/>
        <w:ind w:firstLine="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嵊州市中小学、幼儿园</w:t>
      </w:r>
      <w:r>
        <w:rPr>
          <w:rFonts w:hint="eastAsia" w:ascii="仿宋" w:hAnsi="仿宋" w:eastAsia="仿宋" w:cs="仿宋"/>
          <w:b/>
          <w:bCs/>
          <w:color w:val="auto"/>
          <w:sz w:val="24"/>
          <w:szCs w:val="24"/>
          <w:highlight w:val="none"/>
        </w:rPr>
        <w:t>保安公司</w:t>
      </w:r>
      <w:r>
        <w:rPr>
          <w:rFonts w:hint="eastAsia" w:ascii="仿宋" w:hAnsi="仿宋" w:eastAsia="仿宋" w:cs="仿宋"/>
          <w:b/>
          <w:bCs/>
          <w:color w:val="auto"/>
          <w:sz w:val="24"/>
          <w:szCs w:val="24"/>
          <w:highlight w:val="none"/>
          <w:lang w:eastAsia="zh-CN"/>
        </w:rPr>
        <w:t>服务学期</w:t>
      </w:r>
    </w:p>
    <w:p w14:paraId="7B55DDB8">
      <w:pPr>
        <w:shd w:val="clear"/>
        <w:spacing w:line="560" w:lineRule="exact"/>
        <w:ind w:firstLine="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考核指标及评价表</w:t>
      </w:r>
    </w:p>
    <w:tbl>
      <w:tblPr>
        <w:tblStyle w:val="26"/>
        <w:tblpPr w:leftFromText="180" w:rightFromText="180" w:vertAnchor="text" w:horzAnchor="page" w:tblpX="1496" w:tblpY="338"/>
        <w:tblOverlap w:val="never"/>
        <w:tblW w:w="9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5771"/>
        <w:gridCol w:w="1101"/>
        <w:gridCol w:w="1296"/>
      </w:tblGrid>
      <w:tr w14:paraId="7057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178" w:type="dxa"/>
            <w:noWrap w:val="0"/>
            <w:vAlign w:val="center"/>
          </w:tcPr>
          <w:p w14:paraId="45C11F5B">
            <w:pPr>
              <w:keepNext w:val="0"/>
              <w:keepLines w:val="0"/>
              <w:pageBreakBefore w:val="0"/>
              <w:widowControl w:val="0"/>
              <w:shd w:val="clear"/>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项目</w:t>
            </w:r>
          </w:p>
        </w:tc>
        <w:tc>
          <w:tcPr>
            <w:tcW w:w="5771" w:type="dxa"/>
            <w:noWrap w:val="0"/>
            <w:vAlign w:val="center"/>
          </w:tcPr>
          <w:p w14:paraId="281CEED3">
            <w:pPr>
              <w:keepNext w:val="0"/>
              <w:keepLines w:val="0"/>
              <w:pageBreakBefore w:val="0"/>
              <w:widowControl w:val="0"/>
              <w:shd w:val="clear"/>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c>
          <w:tcPr>
            <w:tcW w:w="1101" w:type="dxa"/>
            <w:noWrap w:val="0"/>
            <w:vAlign w:val="center"/>
          </w:tcPr>
          <w:p w14:paraId="6B331F53">
            <w:pPr>
              <w:keepNext w:val="0"/>
              <w:keepLines w:val="0"/>
              <w:pageBreakBefore w:val="0"/>
              <w:widowControl w:val="0"/>
              <w:shd w:val="clea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 值</w:t>
            </w:r>
          </w:p>
        </w:tc>
        <w:tc>
          <w:tcPr>
            <w:tcW w:w="1296" w:type="dxa"/>
            <w:noWrap w:val="0"/>
            <w:vAlign w:val="center"/>
          </w:tcPr>
          <w:p w14:paraId="4EBF2647">
            <w:pPr>
              <w:keepNext w:val="0"/>
              <w:keepLines w:val="0"/>
              <w:pageBreakBefore w:val="0"/>
              <w:widowControl w:val="0"/>
              <w:shd w:val="clea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 分</w:t>
            </w:r>
          </w:p>
        </w:tc>
      </w:tr>
      <w:tr w14:paraId="72A7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178" w:type="dxa"/>
            <w:vMerge w:val="restart"/>
            <w:noWrap w:val="0"/>
            <w:vAlign w:val="center"/>
          </w:tcPr>
          <w:p w14:paraId="7A0B91D2">
            <w:pPr>
              <w:keepNext w:val="0"/>
              <w:keepLines w:val="0"/>
              <w:pageBreakBefore w:val="0"/>
              <w:widowControl w:val="0"/>
              <w:shd w:val="clear"/>
              <w:kinsoku/>
              <w:wordWrap/>
              <w:overflowPunct/>
              <w:topLinePunct w:val="0"/>
              <w:autoSpaceDE/>
              <w:autoSpaceDN/>
              <w:bidi w:val="0"/>
              <w:adjustRightInd/>
              <w:snapToGrid/>
              <w:spacing w:line="320" w:lineRule="exact"/>
              <w:ind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基本指标</w:t>
            </w:r>
          </w:p>
          <w:p w14:paraId="7D894ED1">
            <w:pPr>
              <w:keepNext w:val="0"/>
              <w:keepLines w:val="0"/>
              <w:pageBreakBefore w:val="0"/>
              <w:widowControl w:val="0"/>
              <w:shd w:val="clear"/>
              <w:kinsoku/>
              <w:wordWrap/>
              <w:overflowPunct/>
              <w:topLinePunct w:val="0"/>
              <w:autoSpaceDE/>
              <w:autoSpaceDN/>
              <w:bidi w:val="0"/>
              <w:adjustRightInd/>
              <w:snapToGrid/>
              <w:spacing w:line="320" w:lineRule="exact"/>
              <w:ind w:firstLine="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40分</w:t>
            </w:r>
            <w:r>
              <w:rPr>
                <w:rFonts w:hint="eastAsia" w:ascii="仿宋" w:hAnsi="仿宋" w:eastAsia="仿宋" w:cs="仿宋"/>
                <w:color w:val="auto"/>
                <w:sz w:val="24"/>
                <w:szCs w:val="24"/>
                <w:highlight w:val="none"/>
                <w:lang w:eastAsia="zh-CN"/>
              </w:rPr>
              <w:t>）</w:t>
            </w:r>
          </w:p>
          <w:p w14:paraId="3BDF4986">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4"/>
                <w:szCs w:val="24"/>
                <w:highlight w:val="none"/>
              </w:rPr>
            </w:pPr>
          </w:p>
        </w:tc>
        <w:tc>
          <w:tcPr>
            <w:tcW w:w="5771" w:type="dxa"/>
            <w:noWrap w:val="0"/>
            <w:vAlign w:val="center"/>
          </w:tcPr>
          <w:p w14:paraId="4911925F">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依法用工，</w:t>
            </w:r>
            <w:r>
              <w:rPr>
                <w:rFonts w:hint="eastAsia" w:ascii="仿宋" w:hAnsi="仿宋" w:eastAsia="仿宋" w:cs="仿宋"/>
                <w:color w:val="auto"/>
                <w:sz w:val="24"/>
                <w:szCs w:val="24"/>
                <w:highlight w:val="none"/>
              </w:rPr>
              <w:t>按时足额发放保安工资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拖欠保安工资</w:t>
            </w:r>
            <w:r>
              <w:rPr>
                <w:rFonts w:hint="eastAsia" w:ascii="仿宋" w:hAnsi="仿宋" w:eastAsia="仿宋" w:cs="仿宋"/>
                <w:color w:val="auto"/>
                <w:sz w:val="24"/>
                <w:szCs w:val="24"/>
                <w:highlight w:val="none"/>
                <w:lang w:eastAsia="zh-CN"/>
              </w:rPr>
              <w:t>以接到投诉为准，经核实每起扣</w:t>
            </w:r>
            <w:r>
              <w:rPr>
                <w:rFonts w:hint="eastAsia" w:ascii="仿宋" w:hAnsi="仿宋" w:eastAsia="仿宋" w:cs="仿宋"/>
                <w:color w:val="auto"/>
                <w:sz w:val="24"/>
                <w:szCs w:val="24"/>
                <w:highlight w:val="none"/>
                <w:lang w:val="en-US" w:eastAsia="zh-CN"/>
              </w:rPr>
              <w:t>2分</w:t>
            </w:r>
            <w:r>
              <w:rPr>
                <w:rFonts w:hint="eastAsia" w:ascii="仿宋" w:hAnsi="仿宋" w:eastAsia="仿宋" w:cs="仿宋"/>
                <w:color w:val="auto"/>
                <w:sz w:val="24"/>
                <w:szCs w:val="24"/>
                <w:highlight w:val="none"/>
                <w:lang w:eastAsia="zh-CN"/>
              </w:rPr>
              <w:t>）。</w:t>
            </w:r>
          </w:p>
        </w:tc>
        <w:tc>
          <w:tcPr>
            <w:tcW w:w="1101" w:type="dxa"/>
            <w:noWrap w:val="0"/>
            <w:vAlign w:val="center"/>
          </w:tcPr>
          <w:p w14:paraId="1169E3B6">
            <w:pPr>
              <w:keepNext w:val="0"/>
              <w:keepLines w:val="0"/>
              <w:pageBreakBefore w:val="0"/>
              <w:widowControl w:val="0"/>
              <w:shd w:val="clea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296" w:type="dxa"/>
            <w:noWrap w:val="0"/>
            <w:vAlign w:val="center"/>
          </w:tcPr>
          <w:p w14:paraId="2DF0B877">
            <w:pPr>
              <w:keepNext w:val="0"/>
              <w:keepLines w:val="0"/>
              <w:pageBreakBefore w:val="0"/>
              <w:widowControl w:val="0"/>
              <w:shd w:val="clear"/>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rPr>
            </w:pPr>
          </w:p>
        </w:tc>
      </w:tr>
      <w:tr w14:paraId="3594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178" w:type="dxa"/>
            <w:vMerge w:val="continue"/>
            <w:noWrap w:val="0"/>
            <w:vAlign w:val="center"/>
          </w:tcPr>
          <w:p w14:paraId="7968F841">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4"/>
                <w:szCs w:val="24"/>
                <w:highlight w:val="none"/>
              </w:rPr>
            </w:pPr>
          </w:p>
        </w:tc>
        <w:tc>
          <w:tcPr>
            <w:tcW w:w="5771" w:type="dxa"/>
            <w:noWrap w:val="0"/>
            <w:vAlign w:val="center"/>
          </w:tcPr>
          <w:p w14:paraId="774947D7">
            <w:pPr>
              <w:keepNext w:val="0"/>
              <w:keepLines w:val="0"/>
              <w:pageBreakBefore w:val="0"/>
              <w:widowControl w:val="0"/>
              <w:shd w:val="clear"/>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的保安</w:t>
            </w:r>
            <w:r>
              <w:rPr>
                <w:rFonts w:hint="eastAsia" w:ascii="仿宋" w:hAnsi="仿宋" w:eastAsia="仿宋" w:cs="仿宋"/>
                <w:color w:val="auto"/>
                <w:sz w:val="24"/>
                <w:szCs w:val="24"/>
                <w:highlight w:val="none"/>
                <w:lang w:eastAsia="zh-CN"/>
              </w:rPr>
              <w:t>员</w:t>
            </w:r>
            <w:r>
              <w:rPr>
                <w:rFonts w:hint="eastAsia" w:ascii="仿宋" w:hAnsi="仿宋" w:eastAsia="仿宋" w:cs="仿宋"/>
                <w:color w:val="auto"/>
                <w:sz w:val="24"/>
                <w:szCs w:val="24"/>
                <w:highlight w:val="none"/>
              </w:rPr>
              <w:t>持证上岗</w:t>
            </w:r>
            <w:r>
              <w:rPr>
                <w:rFonts w:hint="eastAsia" w:ascii="仿宋" w:hAnsi="仿宋" w:eastAsia="仿宋" w:cs="仿宋"/>
                <w:color w:val="auto"/>
                <w:sz w:val="24"/>
                <w:szCs w:val="24"/>
                <w:highlight w:val="none"/>
                <w:lang w:eastAsia="zh-CN"/>
              </w:rPr>
              <w:t>、不超龄</w:t>
            </w:r>
            <w:r>
              <w:rPr>
                <w:rFonts w:hint="eastAsia" w:ascii="仿宋" w:hAnsi="仿宋" w:eastAsia="仿宋" w:cs="仿宋"/>
                <w:b w:val="0"/>
                <w:bCs w:val="0"/>
                <w:color w:val="auto"/>
                <w:sz w:val="24"/>
                <w:szCs w:val="24"/>
                <w:highlight w:val="none"/>
                <w:lang w:eastAsia="zh-CN"/>
              </w:rPr>
              <w:t>（如发现有</w:t>
            </w:r>
            <w:r>
              <w:rPr>
                <w:rFonts w:hint="eastAsia" w:ascii="仿宋" w:hAnsi="仿宋" w:eastAsia="仿宋" w:cs="仿宋"/>
                <w:b w:val="0"/>
                <w:bCs w:val="0"/>
                <w:color w:val="auto"/>
                <w:sz w:val="24"/>
                <w:szCs w:val="24"/>
                <w:highlight w:val="none"/>
                <w:lang w:val="en-US" w:eastAsia="zh-CN"/>
              </w:rPr>
              <w:t>保安超</w:t>
            </w:r>
            <w:r>
              <w:rPr>
                <w:rFonts w:hint="eastAsia" w:ascii="仿宋" w:hAnsi="仿宋" w:eastAsia="仿宋" w:cs="仿宋"/>
                <w:b w:val="0"/>
                <w:bCs w:val="0"/>
                <w:color w:val="auto"/>
                <w:sz w:val="24"/>
                <w:szCs w:val="24"/>
                <w:highlight w:val="none"/>
                <w:lang w:eastAsia="zh-CN"/>
              </w:rPr>
              <w:t>龄每人次</w:t>
            </w:r>
            <w:r>
              <w:rPr>
                <w:rFonts w:hint="eastAsia" w:ascii="仿宋" w:hAnsi="仿宋" w:eastAsia="仿宋" w:cs="仿宋"/>
                <w:b w:val="0"/>
                <w:bCs w:val="0"/>
                <w:color w:val="auto"/>
                <w:sz w:val="24"/>
                <w:szCs w:val="24"/>
                <w:highlight w:val="none"/>
                <w:lang w:val="en-US" w:eastAsia="zh-CN"/>
              </w:rPr>
              <w:t>扣1分，发现保安无证上岗每起扣2分</w:t>
            </w:r>
            <w:r>
              <w:rPr>
                <w:rFonts w:hint="eastAsia" w:ascii="仿宋" w:hAnsi="仿宋" w:eastAsia="仿宋" w:cs="仿宋"/>
                <w:b w:val="0"/>
                <w:bCs w:val="0"/>
                <w:color w:val="auto"/>
                <w:sz w:val="24"/>
                <w:szCs w:val="24"/>
                <w:highlight w:val="none"/>
                <w:lang w:eastAsia="zh-CN"/>
              </w:rPr>
              <w:t>）</w:t>
            </w:r>
          </w:p>
        </w:tc>
        <w:tc>
          <w:tcPr>
            <w:tcW w:w="1101" w:type="dxa"/>
            <w:noWrap w:val="0"/>
            <w:vAlign w:val="center"/>
          </w:tcPr>
          <w:p w14:paraId="1A6089F4">
            <w:pPr>
              <w:keepNext w:val="0"/>
              <w:keepLines w:val="0"/>
              <w:pageBreakBefore w:val="0"/>
              <w:widowControl w:val="0"/>
              <w:shd w:val="clea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296" w:type="dxa"/>
            <w:noWrap w:val="0"/>
            <w:vAlign w:val="center"/>
          </w:tcPr>
          <w:p w14:paraId="2E0F9FF8">
            <w:pPr>
              <w:keepNext w:val="0"/>
              <w:keepLines w:val="0"/>
              <w:pageBreakBefore w:val="0"/>
              <w:widowControl w:val="0"/>
              <w:shd w:val="clear"/>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rPr>
            </w:pPr>
          </w:p>
        </w:tc>
      </w:tr>
      <w:tr w14:paraId="026F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178" w:type="dxa"/>
            <w:vMerge w:val="continue"/>
            <w:noWrap w:val="0"/>
            <w:vAlign w:val="center"/>
          </w:tcPr>
          <w:p w14:paraId="0538ECB1">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4"/>
                <w:szCs w:val="24"/>
                <w:highlight w:val="none"/>
              </w:rPr>
            </w:pPr>
          </w:p>
        </w:tc>
        <w:tc>
          <w:tcPr>
            <w:tcW w:w="5771" w:type="dxa"/>
            <w:noWrap w:val="0"/>
            <w:vAlign w:val="center"/>
          </w:tcPr>
          <w:p w14:paraId="5DDBBAF2">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保安公司</w:t>
            </w:r>
            <w:r>
              <w:rPr>
                <w:rFonts w:hint="eastAsia" w:ascii="仿宋" w:hAnsi="仿宋" w:eastAsia="仿宋" w:cs="仿宋"/>
                <w:color w:val="auto"/>
                <w:sz w:val="24"/>
                <w:szCs w:val="24"/>
                <w:highlight w:val="none"/>
              </w:rPr>
              <w:t>开展一学期一次的保安业务</w:t>
            </w:r>
            <w:r>
              <w:rPr>
                <w:rFonts w:hint="eastAsia" w:ascii="仿宋" w:hAnsi="仿宋" w:eastAsia="仿宋" w:cs="仿宋"/>
                <w:color w:val="auto"/>
                <w:sz w:val="24"/>
                <w:szCs w:val="24"/>
                <w:highlight w:val="none"/>
                <w:lang w:eastAsia="zh-CN"/>
              </w:rPr>
              <w:t>能力</w:t>
            </w:r>
            <w:r>
              <w:rPr>
                <w:rFonts w:hint="eastAsia" w:ascii="仿宋" w:hAnsi="仿宋" w:eastAsia="仿宋" w:cs="仿宋"/>
                <w:color w:val="auto"/>
                <w:sz w:val="24"/>
                <w:szCs w:val="24"/>
                <w:highlight w:val="none"/>
              </w:rPr>
              <w:t>培训</w:t>
            </w:r>
            <w:r>
              <w:rPr>
                <w:rFonts w:hint="eastAsia" w:ascii="仿宋" w:hAnsi="仿宋" w:eastAsia="仿宋" w:cs="仿宋"/>
                <w:color w:val="auto"/>
                <w:sz w:val="24"/>
                <w:szCs w:val="24"/>
                <w:highlight w:val="none"/>
                <w:lang w:eastAsia="zh-CN"/>
              </w:rPr>
              <w:t>，保安</w:t>
            </w:r>
            <w:r>
              <w:rPr>
                <w:rFonts w:hint="eastAsia" w:ascii="仿宋" w:hAnsi="仿宋" w:eastAsia="仿宋" w:cs="仿宋"/>
                <w:color w:val="auto"/>
                <w:sz w:val="24"/>
                <w:szCs w:val="24"/>
                <w:highlight w:val="none"/>
              </w:rPr>
              <w:t>敬业爱岗</w:t>
            </w:r>
            <w:r>
              <w:rPr>
                <w:rFonts w:hint="eastAsia" w:ascii="仿宋" w:hAnsi="仿宋" w:eastAsia="仿宋" w:cs="仿宋"/>
                <w:color w:val="auto"/>
                <w:sz w:val="24"/>
                <w:szCs w:val="24"/>
                <w:highlight w:val="none"/>
                <w:lang w:eastAsia="zh-CN"/>
              </w:rPr>
              <w:t>、遵守纪律，技能素质高，符合学校安全防范要求。</w:t>
            </w:r>
          </w:p>
        </w:tc>
        <w:tc>
          <w:tcPr>
            <w:tcW w:w="1101" w:type="dxa"/>
            <w:noWrap w:val="0"/>
            <w:vAlign w:val="center"/>
          </w:tcPr>
          <w:p w14:paraId="165638A5">
            <w:pPr>
              <w:keepNext w:val="0"/>
              <w:keepLines w:val="0"/>
              <w:pageBreakBefore w:val="0"/>
              <w:widowControl w:val="0"/>
              <w:shd w:val="clea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296" w:type="dxa"/>
            <w:noWrap w:val="0"/>
            <w:vAlign w:val="center"/>
          </w:tcPr>
          <w:p w14:paraId="2CE008B9">
            <w:pPr>
              <w:keepNext w:val="0"/>
              <w:keepLines w:val="0"/>
              <w:pageBreakBefore w:val="0"/>
              <w:widowControl w:val="0"/>
              <w:shd w:val="clear"/>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rPr>
            </w:pPr>
          </w:p>
        </w:tc>
      </w:tr>
      <w:tr w14:paraId="50DF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178" w:type="dxa"/>
            <w:vMerge w:val="continue"/>
            <w:noWrap w:val="0"/>
            <w:vAlign w:val="center"/>
          </w:tcPr>
          <w:p w14:paraId="337342D3">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4"/>
                <w:szCs w:val="24"/>
                <w:highlight w:val="none"/>
              </w:rPr>
            </w:pPr>
          </w:p>
        </w:tc>
        <w:tc>
          <w:tcPr>
            <w:tcW w:w="5771" w:type="dxa"/>
            <w:noWrap w:val="0"/>
            <w:vAlign w:val="center"/>
          </w:tcPr>
          <w:p w14:paraId="190D043B">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保安公司</w:t>
            </w:r>
            <w:r>
              <w:rPr>
                <w:rFonts w:hint="eastAsia" w:ascii="仿宋" w:hAnsi="仿宋" w:eastAsia="仿宋" w:cs="仿宋"/>
                <w:color w:val="auto"/>
                <w:sz w:val="24"/>
                <w:szCs w:val="24"/>
                <w:highlight w:val="none"/>
              </w:rPr>
              <w:t>坚持每月一次检查考核，考核结果与学校对接，接受学校意见反馈</w:t>
            </w:r>
            <w:r>
              <w:rPr>
                <w:rFonts w:hint="eastAsia" w:ascii="仿宋" w:hAnsi="仿宋" w:eastAsia="仿宋" w:cs="仿宋"/>
                <w:color w:val="auto"/>
                <w:sz w:val="24"/>
                <w:szCs w:val="24"/>
                <w:highlight w:val="none"/>
                <w:lang w:eastAsia="zh-CN"/>
              </w:rPr>
              <w:t>，服务意识强。</w:t>
            </w:r>
          </w:p>
        </w:tc>
        <w:tc>
          <w:tcPr>
            <w:tcW w:w="1101" w:type="dxa"/>
            <w:noWrap w:val="0"/>
            <w:vAlign w:val="center"/>
          </w:tcPr>
          <w:p w14:paraId="5EF0CDB4">
            <w:pPr>
              <w:keepNext w:val="0"/>
              <w:keepLines w:val="0"/>
              <w:pageBreakBefore w:val="0"/>
              <w:widowControl w:val="0"/>
              <w:shd w:val="clea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296" w:type="dxa"/>
            <w:noWrap w:val="0"/>
            <w:vAlign w:val="center"/>
          </w:tcPr>
          <w:p w14:paraId="78CB5270">
            <w:pPr>
              <w:keepNext w:val="0"/>
              <w:keepLines w:val="0"/>
              <w:pageBreakBefore w:val="0"/>
              <w:widowControl w:val="0"/>
              <w:shd w:val="clear"/>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rPr>
            </w:pPr>
          </w:p>
        </w:tc>
      </w:tr>
      <w:tr w14:paraId="0C7D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178" w:type="dxa"/>
            <w:noWrap w:val="0"/>
            <w:vAlign w:val="center"/>
          </w:tcPr>
          <w:p w14:paraId="6C9F2679">
            <w:pPr>
              <w:keepNext w:val="0"/>
              <w:keepLines w:val="0"/>
              <w:pageBreakBefore w:val="0"/>
              <w:widowControl w:val="0"/>
              <w:shd w:val="clear"/>
              <w:kinsoku/>
              <w:wordWrap/>
              <w:overflowPunct/>
              <w:topLinePunct w:val="0"/>
              <w:autoSpaceDE/>
              <w:autoSpaceDN/>
              <w:bidi w:val="0"/>
              <w:adjustRightInd/>
              <w:snapToGrid/>
              <w:spacing w:line="320" w:lineRule="exact"/>
              <w:ind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学校满意度</w:t>
            </w:r>
          </w:p>
          <w:p w14:paraId="63115289">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60分</w:t>
            </w:r>
            <w:r>
              <w:rPr>
                <w:rFonts w:hint="eastAsia" w:ascii="仿宋" w:hAnsi="仿宋" w:eastAsia="仿宋" w:cs="仿宋"/>
                <w:color w:val="auto"/>
                <w:sz w:val="24"/>
                <w:szCs w:val="24"/>
                <w:highlight w:val="none"/>
                <w:lang w:eastAsia="zh-CN"/>
              </w:rPr>
              <w:t>）</w:t>
            </w:r>
          </w:p>
        </w:tc>
        <w:tc>
          <w:tcPr>
            <w:tcW w:w="5771" w:type="dxa"/>
            <w:noWrap w:val="0"/>
            <w:vAlign w:val="center"/>
          </w:tcPr>
          <w:p w14:paraId="44F5B898">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auto"/>
                <w:sz w:val="24"/>
                <w:szCs w:val="24"/>
                <w:highlight w:val="none"/>
                <w:lang w:eastAsia="zh-CN"/>
              </w:rPr>
              <w:t>学校开展对</w:t>
            </w:r>
            <w:r>
              <w:rPr>
                <w:rFonts w:hint="eastAsia" w:ascii="仿宋" w:hAnsi="仿宋" w:eastAsia="仿宋" w:cs="仿宋"/>
                <w:b w:val="0"/>
                <w:bCs/>
                <w:color w:val="auto"/>
                <w:sz w:val="24"/>
                <w:szCs w:val="24"/>
                <w:highlight w:val="none"/>
              </w:rPr>
              <w:t>保安</w:t>
            </w:r>
            <w:r>
              <w:rPr>
                <w:rFonts w:hint="eastAsia" w:ascii="仿宋" w:hAnsi="仿宋" w:eastAsia="仿宋" w:cs="仿宋"/>
                <w:b w:val="0"/>
                <w:bCs/>
                <w:color w:val="auto"/>
                <w:sz w:val="24"/>
                <w:szCs w:val="24"/>
                <w:highlight w:val="none"/>
                <w:lang w:eastAsia="zh-CN"/>
              </w:rPr>
              <w:t>服务工作月考核折算成</w:t>
            </w:r>
            <w:r>
              <w:rPr>
                <w:rFonts w:hint="eastAsia" w:ascii="仿宋" w:hAnsi="仿宋" w:eastAsia="仿宋" w:cs="仿宋"/>
                <w:b w:val="0"/>
                <w:bCs/>
                <w:color w:val="auto"/>
                <w:sz w:val="24"/>
                <w:szCs w:val="24"/>
                <w:highlight w:val="none"/>
                <w:lang w:val="en-US" w:eastAsia="zh-CN"/>
              </w:rPr>
              <w:t>10分，每学期按60分计算累计得分，加强对保安服务动态管理。</w:t>
            </w:r>
          </w:p>
        </w:tc>
        <w:tc>
          <w:tcPr>
            <w:tcW w:w="1101" w:type="dxa"/>
            <w:noWrap w:val="0"/>
            <w:vAlign w:val="center"/>
          </w:tcPr>
          <w:p w14:paraId="6D70FDF2">
            <w:pPr>
              <w:keepNext w:val="0"/>
              <w:keepLines w:val="0"/>
              <w:pageBreakBefore w:val="0"/>
              <w:widowControl w:val="0"/>
              <w:shd w:val="clea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w:t>
            </w:r>
          </w:p>
        </w:tc>
        <w:tc>
          <w:tcPr>
            <w:tcW w:w="1296" w:type="dxa"/>
            <w:noWrap w:val="0"/>
            <w:vAlign w:val="center"/>
          </w:tcPr>
          <w:p w14:paraId="5EFBEA53">
            <w:pPr>
              <w:keepNext w:val="0"/>
              <w:keepLines w:val="0"/>
              <w:pageBreakBefore w:val="0"/>
              <w:widowControl w:val="0"/>
              <w:shd w:val="clear"/>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rPr>
            </w:pPr>
          </w:p>
        </w:tc>
      </w:tr>
      <w:tr w14:paraId="1441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1178" w:type="dxa"/>
            <w:noWrap w:val="0"/>
            <w:vAlign w:val="center"/>
          </w:tcPr>
          <w:p w14:paraId="647375CC">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奖惩（加扣分）</w:t>
            </w:r>
          </w:p>
        </w:tc>
        <w:tc>
          <w:tcPr>
            <w:tcW w:w="5771" w:type="dxa"/>
            <w:noWrap w:val="0"/>
            <w:vAlign w:val="center"/>
          </w:tcPr>
          <w:p w14:paraId="7193F5B4">
            <w:pPr>
              <w:keepNext w:val="0"/>
              <w:keepLines w:val="0"/>
              <w:pageBreakBefore w:val="0"/>
              <w:widowControl w:val="0"/>
              <w:shd w:val="clear"/>
              <w:kinsoku/>
              <w:wordWrap/>
              <w:overflowPunct/>
              <w:topLinePunct w:val="0"/>
              <w:autoSpaceDE/>
              <w:autoSpaceDN/>
              <w:bidi w:val="0"/>
              <w:adjustRightInd/>
              <w:snapToGrid/>
              <w:spacing w:line="320" w:lineRule="exact"/>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color w:val="auto"/>
                <w:sz w:val="24"/>
                <w:szCs w:val="24"/>
                <w:highlight w:val="none"/>
              </w:rPr>
              <w:t>奖励以局、</w:t>
            </w:r>
            <w:r>
              <w:rPr>
                <w:rFonts w:hint="eastAsia" w:ascii="仿宋" w:hAnsi="仿宋" w:eastAsia="仿宋" w:cs="仿宋"/>
                <w:color w:val="auto"/>
                <w:sz w:val="24"/>
                <w:szCs w:val="24"/>
                <w:highlight w:val="none"/>
                <w:lang w:eastAsia="zh-CN"/>
              </w:rPr>
              <w:t>市</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地区</w:t>
            </w:r>
            <w:r>
              <w:rPr>
                <w:rFonts w:hint="eastAsia" w:ascii="仿宋" w:hAnsi="仿宋" w:eastAsia="仿宋" w:cs="仿宋"/>
                <w:color w:val="auto"/>
                <w:sz w:val="24"/>
                <w:szCs w:val="24"/>
                <w:highlight w:val="none"/>
              </w:rPr>
              <w:t>、省</w:t>
            </w:r>
            <w:r>
              <w:rPr>
                <w:rFonts w:hint="eastAsia" w:ascii="仿宋" w:hAnsi="仿宋" w:eastAsia="仿宋" w:cs="仿宋"/>
                <w:color w:val="auto"/>
                <w:sz w:val="24"/>
                <w:szCs w:val="24"/>
                <w:highlight w:val="none"/>
                <w:lang w:eastAsia="zh-CN"/>
              </w:rPr>
              <w:t>级及以上政府机关部门</w:t>
            </w:r>
            <w:r>
              <w:rPr>
                <w:rFonts w:hint="eastAsia" w:ascii="仿宋" w:hAnsi="仿宋" w:eastAsia="仿宋" w:cs="仿宋"/>
                <w:color w:val="auto"/>
                <w:sz w:val="24"/>
                <w:szCs w:val="24"/>
                <w:highlight w:val="none"/>
              </w:rPr>
              <w:t>表彰为依据，每次分别奖励</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。保安员投诉、信访，经核实每人次扣</w:t>
            </w:r>
            <w:r>
              <w:rPr>
                <w:rFonts w:hint="eastAsia" w:ascii="仿宋" w:hAnsi="仿宋" w:eastAsia="仿宋" w:cs="仿宋"/>
                <w:color w:val="auto"/>
                <w:sz w:val="24"/>
                <w:szCs w:val="24"/>
                <w:highlight w:val="none"/>
                <w:lang w:val="en-US" w:eastAsia="zh-CN"/>
              </w:rPr>
              <w:t>1分；保安员因工作不到位被上级通报，或出现严重违纪行为每人次扣3分；保安员出现违法及以上行为每人次扣5分。</w:t>
            </w:r>
          </w:p>
        </w:tc>
        <w:tc>
          <w:tcPr>
            <w:tcW w:w="1101" w:type="dxa"/>
            <w:noWrap w:val="0"/>
            <w:vAlign w:val="center"/>
          </w:tcPr>
          <w:p w14:paraId="7E13F7DE">
            <w:pPr>
              <w:keepNext w:val="0"/>
              <w:keepLines w:val="0"/>
              <w:pageBreakBefore w:val="0"/>
              <w:widowControl w:val="0"/>
              <w:shd w:val="clear"/>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lang w:val="en-US" w:eastAsia="zh-CN"/>
              </w:rPr>
            </w:pPr>
          </w:p>
        </w:tc>
        <w:tc>
          <w:tcPr>
            <w:tcW w:w="1296" w:type="dxa"/>
            <w:noWrap w:val="0"/>
            <w:vAlign w:val="center"/>
          </w:tcPr>
          <w:p w14:paraId="0CAA0B6F">
            <w:pPr>
              <w:keepNext w:val="0"/>
              <w:keepLines w:val="0"/>
              <w:pageBreakBefore w:val="0"/>
              <w:widowControl w:val="0"/>
              <w:shd w:val="clear"/>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rPr>
            </w:pPr>
          </w:p>
        </w:tc>
      </w:tr>
      <w:tr w14:paraId="003D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949" w:type="dxa"/>
            <w:gridSpan w:val="2"/>
            <w:noWrap w:val="0"/>
            <w:vAlign w:val="center"/>
          </w:tcPr>
          <w:p w14:paraId="6A7AC0DC">
            <w:pPr>
              <w:shd w:val="clear"/>
              <w:spacing w:line="5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  计</w:t>
            </w:r>
          </w:p>
        </w:tc>
        <w:tc>
          <w:tcPr>
            <w:tcW w:w="1101" w:type="dxa"/>
            <w:noWrap w:val="0"/>
            <w:vAlign w:val="center"/>
          </w:tcPr>
          <w:p w14:paraId="5800596B">
            <w:pPr>
              <w:shd w:val="clear"/>
              <w:spacing w:line="560" w:lineRule="exac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w:t>
            </w:r>
          </w:p>
        </w:tc>
        <w:tc>
          <w:tcPr>
            <w:tcW w:w="1296" w:type="dxa"/>
            <w:noWrap w:val="0"/>
            <w:vAlign w:val="center"/>
          </w:tcPr>
          <w:p w14:paraId="1649F681">
            <w:pPr>
              <w:shd w:val="clear"/>
              <w:spacing w:line="560" w:lineRule="exact"/>
              <w:jc w:val="center"/>
              <w:rPr>
                <w:rFonts w:hint="eastAsia" w:ascii="仿宋" w:hAnsi="仿宋" w:eastAsia="仿宋" w:cs="仿宋"/>
                <w:color w:val="auto"/>
                <w:sz w:val="24"/>
                <w:szCs w:val="24"/>
                <w:highlight w:val="none"/>
              </w:rPr>
            </w:pPr>
          </w:p>
        </w:tc>
      </w:tr>
      <w:tr w14:paraId="2BD0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949" w:type="dxa"/>
            <w:gridSpan w:val="2"/>
            <w:noWrap w:val="0"/>
            <w:vAlign w:val="center"/>
          </w:tcPr>
          <w:p w14:paraId="7629FD91">
            <w:pPr>
              <w:shd w:val="clear"/>
              <w:spacing w:line="6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总  述</w:t>
            </w:r>
          </w:p>
        </w:tc>
        <w:tc>
          <w:tcPr>
            <w:tcW w:w="2397" w:type="dxa"/>
            <w:gridSpan w:val="2"/>
            <w:noWrap w:val="0"/>
            <w:vAlign w:val="center"/>
          </w:tcPr>
          <w:p w14:paraId="3026C39E">
            <w:pPr>
              <w:shd w:val="clear"/>
              <w:spacing w:line="600" w:lineRule="exact"/>
              <w:jc w:val="center"/>
              <w:rPr>
                <w:rFonts w:hint="eastAsia" w:ascii="仿宋" w:hAnsi="仿宋" w:eastAsia="仿宋" w:cs="仿宋"/>
                <w:color w:val="auto"/>
                <w:sz w:val="24"/>
                <w:szCs w:val="24"/>
                <w:highlight w:val="none"/>
              </w:rPr>
            </w:pPr>
          </w:p>
        </w:tc>
      </w:tr>
    </w:tbl>
    <w:p w14:paraId="3BD2A346">
      <w:pPr>
        <w:shd w:val="clear"/>
        <w:ind w:firstLine="240" w:firstLineChars="100"/>
        <w:rPr>
          <w:rFonts w:hint="eastAsia" w:ascii="仿宋" w:hAnsi="仿宋" w:eastAsia="仿宋" w:cs="仿宋"/>
          <w:color w:val="auto"/>
          <w:sz w:val="24"/>
          <w:szCs w:val="24"/>
          <w:highlight w:val="none"/>
        </w:rPr>
      </w:pPr>
    </w:p>
    <w:p w14:paraId="0B0FCDB0">
      <w:pPr>
        <w:shd w:val="clear"/>
        <w:rPr>
          <w:rFonts w:hint="eastAsia" w:ascii="仿宋" w:hAnsi="仿宋" w:eastAsia="仿宋" w:cs="仿宋"/>
          <w:b/>
          <w:bCs/>
          <w:color w:val="auto"/>
          <w:sz w:val="24"/>
          <w:szCs w:val="24"/>
          <w:highlight w:val="none"/>
        </w:rPr>
      </w:pPr>
    </w:p>
    <w:p w14:paraId="524A5258">
      <w:pPr>
        <w:shd w:val="clea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306A970F">
      <w:pPr>
        <w:shd w:val="clear"/>
        <w:ind w:firstLine="241" w:firstLineChars="1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附件2</w:t>
      </w:r>
    </w:p>
    <w:p w14:paraId="7BF1AEA5">
      <w:pPr>
        <w:shd w:val="clear"/>
        <w:jc w:val="center"/>
        <w:rPr>
          <w:rFonts w:hint="eastAsia" w:ascii="仿宋" w:hAnsi="仿宋" w:eastAsia="仿宋" w:cs="仿宋"/>
          <w:b/>
          <w:bCs w:val="0"/>
          <w:color w:val="auto"/>
          <w:sz w:val="24"/>
          <w:szCs w:val="24"/>
          <w:highlight w:val="none"/>
          <w:lang w:eastAsia="zh-CN"/>
        </w:rPr>
      </w:pPr>
    </w:p>
    <w:p w14:paraId="25F11D2F">
      <w:pPr>
        <w:shd w:val="clear"/>
        <w:jc w:val="center"/>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嵊州市中小学、幼儿园</w:t>
      </w:r>
      <w:r>
        <w:rPr>
          <w:rFonts w:hint="eastAsia" w:ascii="仿宋" w:hAnsi="仿宋" w:eastAsia="仿宋" w:cs="仿宋"/>
          <w:b/>
          <w:bCs w:val="0"/>
          <w:color w:val="auto"/>
          <w:sz w:val="24"/>
          <w:szCs w:val="24"/>
          <w:highlight w:val="none"/>
        </w:rPr>
        <w:t>保安</w:t>
      </w:r>
      <w:r>
        <w:rPr>
          <w:rFonts w:hint="eastAsia" w:ascii="仿宋" w:hAnsi="仿宋" w:eastAsia="仿宋" w:cs="仿宋"/>
          <w:b/>
          <w:bCs w:val="0"/>
          <w:color w:val="auto"/>
          <w:sz w:val="24"/>
          <w:szCs w:val="24"/>
          <w:highlight w:val="none"/>
          <w:lang w:eastAsia="zh-CN"/>
        </w:rPr>
        <w:t>服务工作月考核表</w:t>
      </w:r>
    </w:p>
    <w:p w14:paraId="1CCDC28C">
      <w:pPr>
        <w:shd w:val="clear"/>
        <w:rPr>
          <w:rFonts w:hint="eastAsia" w:ascii="仿宋" w:hAnsi="仿宋" w:eastAsia="仿宋" w:cs="仿宋"/>
          <w:bCs/>
          <w:color w:val="auto"/>
          <w:sz w:val="24"/>
          <w:szCs w:val="24"/>
          <w:highlight w:val="none"/>
        </w:rPr>
      </w:pPr>
    </w:p>
    <w:p w14:paraId="01BDC343">
      <w:pPr>
        <w:shd w:val="clea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学校：                </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保安公司：</w:t>
      </w:r>
    </w:p>
    <w:tbl>
      <w:tblPr>
        <w:tblStyle w:val="25"/>
        <w:tblW w:w="10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69"/>
        <w:gridCol w:w="6744"/>
        <w:gridCol w:w="975"/>
      </w:tblGrid>
      <w:tr w14:paraId="2323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93" w:type="dxa"/>
            <w:noWrap w:val="0"/>
            <w:vAlign w:val="top"/>
          </w:tcPr>
          <w:p w14:paraId="37DA2CC7">
            <w:pPr>
              <w:shd w:val="clear"/>
              <w:spacing w:line="300" w:lineRule="exact"/>
              <w:ind w:firstLine="0"/>
              <w:jc w:val="center"/>
              <w:rPr>
                <w:rFonts w:hint="eastAsia" w:ascii="仿宋" w:hAnsi="仿宋" w:eastAsia="仿宋" w:cs="仿宋"/>
                <w:b/>
                <w:color w:val="auto"/>
                <w:sz w:val="24"/>
                <w:szCs w:val="24"/>
                <w:highlight w:val="none"/>
              </w:rPr>
            </w:pPr>
          </w:p>
        </w:tc>
        <w:tc>
          <w:tcPr>
            <w:tcW w:w="1569" w:type="dxa"/>
            <w:noWrap w:val="0"/>
            <w:vAlign w:val="center"/>
          </w:tcPr>
          <w:p w14:paraId="404F3D89">
            <w:pPr>
              <w:shd w:val="clear"/>
              <w:spacing w:line="300" w:lineRule="exact"/>
              <w:ind w:firstLine="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管理内容</w:t>
            </w:r>
          </w:p>
        </w:tc>
        <w:tc>
          <w:tcPr>
            <w:tcW w:w="6744" w:type="dxa"/>
            <w:noWrap w:val="0"/>
            <w:vAlign w:val="center"/>
          </w:tcPr>
          <w:p w14:paraId="55555E72">
            <w:pPr>
              <w:shd w:val="clear"/>
              <w:spacing w:line="300" w:lineRule="exact"/>
              <w:ind w:firstLine="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管理细则</w:t>
            </w:r>
          </w:p>
        </w:tc>
        <w:tc>
          <w:tcPr>
            <w:tcW w:w="975" w:type="dxa"/>
            <w:noWrap w:val="0"/>
            <w:vAlign w:val="center"/>
          </w:tcPr>
          <w:p w14:paraId="20B64936">
            <w:pPr>
              <w:shd w:val="clear"/>
              <w:spacing w:line="300" w:lineRule="exact"/>
              <w:ind w:firstLine="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考核分</w:t>
            </w:r>
          </w:p>
        </w:tc>
      </w:tr>
      <w:tr w14:paraId="7589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restart"/>
            <w:noWrap w:val="0"/>
            <w:vAlign w:val="center"/>
          </w:tcPr>
          <w:p w14:paraId="0AA34479">
            <w:pPr>
              <w:shd w:val="clear"/>
              <w:spacing w:line="300" w:lineRule="exact"/>
              <w:ind w:firstLine="0"/>
              <w:jc w:val="center"/>
              <w:rPr>
                <w:rFonts w:hint="eastAsia" w:ascii="仿宋" w:hAnsi="仿宋" w:eastAsia="仿宋" w:cs="仿宋"/>
                <w:b/>
                <w:color w:val="auto"/>
                <w:sz w:val="24"/>
                <w:szCs w:val="24"/>
                <w:highlight w:val="none"/>
              </w:rPr>
            </w:pPr>
          </w:p>
          <w:p w14:paraId="52ACC6E7">
            <w:pPr>
              <w:shd w:val="clear"/>
              <w:spacing w:line="300" w:lineRule="exact"/>
              <w:ind w:firstLine="0"/>
              <w:jc w:val="center"/>
              <w:rPr>
                <w:rFonts w:hint="eastAsia" w:ascii="仿宋" w:hAnsi="仿宋" w:eastAsia="仿宋" w:cs="仿宋"/>
                <w:b/>
                <w:color w:val="auto"/>
                <w:sz w:val="24"/>
                <w:szCs w:val="24"/>
                <w:highlight w:val="none"/>
              </w:rPr>
            </w:pPr>
          </w:p>
          <w:p w14:paraId="538FBF45">
            <w:pPr>
              <w:shd w:val="clear"/>
              <w:spacing w:line="300" w:lineRule="exact"/>
              <w:ind w:firstLine="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保安</w:t>
            </w:r>
          </w:p>
          <w:p w14:paraId="24795D42">
            <w:pPr>
              <w:shd w:val="clear"/>
              <w:spacing w:line="300" w:lineRule="exact"/>
              <w:ind w:firstLine="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安全</w:t>
            </w:r>
          </w:p>
          <w:p w14:paraId="4053B505">
            <w:pPr>
              <w:shd w:val="clear"/>
              <w:spacing w:line="300" w:lineRule="exact"/>
              <w:ind w:firstLine="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职责</w:t>
            </w:r>
          </w:p>
          <w:p w14:paraId="7AF4480D">
            <w:pPr>
              <w:shd w:val="clear"/>
              <w:spacing w:line="300" w:lineRule="exact"/>
              <w:ind w:firstLine="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50</w:t>
            </w:r>
            <w:r>
              <w:rPr>
                <w:rFonts w:hint="eastAsia" w:ascii="仿宋" w:hAnsi="仿宋" w:eastAsia="仿宋" w:cs="仿宋"/>
                <w:b/>
                <w:color w:val="auto"/>
                <w:sz w:val="24"/>
                <w:szCs w:val="24"/>
                <w:highlight w:val="none"/>
              </w:rPr>
              <w:t>分</w:t>
            </w:r>
          </w:p>
        </w:tc>
        <w:tc>
          <w:tcPr>
            <w:tcW w:w="1569" w:type="dxa"/>
            <w:noWrap w:val="0"/>
            <w:vAlign w:val="center"/>
          </w:tcPr>
          <w:p w14:paraId="28F7ACC6">
            <w:pPr>
              <w:shd w:val="clear"/>
              <w:spacing w:line="3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1.执勤管理</w:t>
            </w:r>
          </w:p>
          <w:p w14:paraId="6D027BD3">
            <w:pPr>
              <w:shd w:val="clear"/>
              <w:spacing w:line="3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10分</w:t>
            </w:r>
          </w:p>
        </w:tc>
        <w:tc>
          <w:tcPr>
            <w:tcW w:w="6744" w:type="dxa"/>
            <w:noWrap w:val="0"/>
            <w:vAlign w:val="center"/>
          </w:tcPr>
          <w:p w14:paraId="62E18E62">
            <w:pPr>
              <w:shd w:val="clear"/>
              <w:spacing w:line="3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执行24小时值班制度（2分）；遵守劳动纪律，准时出勤，不旷工，不迟到，不早退，不中途离岗（2分）；按时交接班并做好交接记录（2分）；发现问题及时上报（1分）。上学放学时段，全副武装站立校门口两侧，精神饱满，姿态端正（3分）。</w:t>
            </w:r>
          </w:p>
        </w:tc>
        <w:tc>
          <w:tcPr>
            <w:tcW w:w="975" w:type="dxa"/>
            <w:noWrap w:val="0"/>
            <w:vAlign w:val="top"/>
          </w:tcPr>
          <w:p w14:paraId="5F187985">
            <w:pPr>
              <w:shd w:val="clear"/>
              <w:spacing w:line="300" w:lineRule="exact"/>
              <w:ind w:right="82" w:rightChars="39" w:firstLine="0"/>
              <w:jc w:val="center"/>
              <w:rPr>
                <w:rFonts w:hint="eastAsia" w:ascii="仿宋" w:hAnsi="仿宋" w:eastAsia="仿宋" w:cs="仿宋"/>
                <w:color w:val="auto"/>
                <w:sz w:val="24"/>
                <w:szCs w:val="24"/>
                <w:highlight w:val="none"/>
              </w:rPr>
            </w:pPr>
          </w:p>
        </w:tc>
      </w:tr>
      <w:tr w14:paraId="65AC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993" w:type="dxa"/>
            <w:vMerge w:val="continue"/>
            <w:noWrap w:val="0"/>
            <w:vAlign w:val="center"/>
          </w:tcPr>
          <w:p w14:paraId="7A841619">
            <w:pPr>
              <w:shd w:val="clear"/>
              <w:spacing w:line="300" w:lineRule="exact"/>
              <w:ind w:firstLine="0"/>
              <w:jc w:val="center"/>
              <w:rPr>
                <w:rFonts w:hint="eastAsia" w:ascii="仿宋" w:hAnsi="仿宋" w:eastAsia="仿宋" w:cs="仿宋"/>
                <w:b/>
                <w:color w:val="auto"/>
                <w:sz w:val="24"/>
                <w:szCs w:val="24"/>
                <w:highlight w:val="none"/>
              </w:rPr>
            </w:pPr>
          </w:p>
        </w:tc>
        <w:tc>
          <w:tcPr>
            <w:tcW w:w="1569" w:type="dxa"/>
            <w:noWrap w:val="0"/>
            <w:vAlign w:val="center"/>
          </w:tcPr>
          <w:p w14:paraId="4BC214E4">
            <w:pPr>
              <w:shd w:val="clear"/>
              <w:spacing w:line="3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2.大门管理</w:t>
            </w:r>
          </w:p>
          <w:p w14:paraId="0E6F1C93">
            <w:pPr>
              <w:shd w:val="clear"/>
              <w:spacing w:line="3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10分</w:t>
            </w:r>
          </w:p>
        </w:tc>
        <w:tc>
          <w:tcPr>
            <w:tcW w:w="6744" w:type="dxa"/>
            <w:noWrap w:val="0"/>
            <w:vAlign w:val="center"/>
          </w:tcPr>
          <w:p w14:paraId="6DDAFD8B">
            <w:pPr>
              <w:shd w:val="clear"/>
              <w:spacing w:line="3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严格落实校门开闭制度。学生上课时间、假期应保持校门关闭（3分）；对外来人员严格执行“一问二查三登记四报告五放行”制度（5分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查实一次扣1分）。对出入外来车辆进行登记（1分）；所携带、装运的物品、物资进行严格的检查、核查，禁止私自将危险或违禁物品带入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（1分）。</w:t>
            </w:r>
          </w:p>
        </w:tc>
        <w:tc>
          <w:tcPr>
            <w:tcW w:w="975" w:type="dxa"/>
            <w:noWrap w:val="0"/>
            <w:vAlign w:val="top"/>
          </w:tcPr>
          <w:p w14:paraId="280E7811">
            <w:pPr>
              <w:shd w:val="clear"/>
              <w:spacing w:line="300" w:lineRule="exact"/>
              <w:ind w:firstLine="0"/>
              <w:jc w:val="center"/>
              <w:rPr>
                <w:rFonts w:hint="eastAsia" w:ascii="仿宋" w:hAnsi="仿宋" w:eastAsia="仿宋" w:cs="仿宋"/>
                <w:color w:val="auto"/>
                <w:sz w:val="24"/>
                <w:szCs w:val="24"/>
                <w:highlight w:val="none"/>
              </w:rPr>
            </w:pPr>
          </w:p>
        </w:tc>
      </w:tr>
      <w:tr w14:paraId="43C7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993" w:type="dxa"/>
            <w:vMerge w:val="continue"/>
            <w:noWrap w:val="0"/>
            <w:vAlign w:val="center"/>
          </w:tcPr>
          <w:p w14:paraId="35955265">
            <w:pPr>
              <w:shd w:val="clear"/>
              <w:spacing w:line="300" w:lineRule="exact"/>
              <w:ind w:firstLine="0"/>
              <w:jc w:val="center"/>
              <w:rPr>
                <w:rFonts w:hint="eastAsia" w:ascii="仿宋" w:hAnsi="仿宋" w:eastAsia="仿宋" w:cs="仿宋"/>
                <w:b/>
                <w:color w:val="auto"/>
                <w:sz w:val="24"/>
                <w:szCs w:val="24"/>
                <w:highlight w:val="none"/>
              </w:rPr>
            </w:pPr>
          </w:p>
        </w:tc>
        <w:tc>
          <w:tcPr>
            <w:tcW w:w="1569" w:type="dxa"/>
            <w:noWrap w:val="0"/>
            <w:vAlign w:val="center"/>
          </w:tcPr>
          <w:p w14:paraId="0CB532AC">
            <w:pPr>
              <w:shd w:val="clear"/>
              <w:spacing w:line="3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5.安保器械设备管理</w:t>
            </w:r>
          </w:p>
          <w:p w14:paraId="0816B2B3">
            <w:pPr>
              <w:shd w:val="clear"/>
              <w:spacing w:line="3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10分</w:t>
            </w:r>
          </w:p>
        </w:tc>
        <w:tc>
          <w:tcPr>
            <w:tcW w:w="6744" w:type="dxa"/>
            <w:noWrap w:val="0"/>
            <w:vAlign w:val="center"/>
          </w:tcPr>
          <w:p w14:paraId="11012BC6">
            <w:pPr>
              <w:shd w:val="clear"/>
              <w:spacing w:line="3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安保器械摆放合理</w:t>
            </w:r>
            <w:r>
              <w:rPr>
                <w:rFonts w:hint="eastAsia" w:ascii="仿宋" w:hAnsi="仿宋" w:eastAsia="仿宋" w:cs="仿宋"/>
                <w:color w:val="auto"/>
                <w:sz w:val="24"/>
                <w:szCs w:val="24"/>
                <w:highlight w:val="none"/>
                <w:lang w:eastAsia="zh-CN"/>
              </w:rPr>
              <w:t>、标注醒目</w:t>
            </w:r>
            <w:r>
              <w:rPr>
                <w:rFonts w:hint="eastAsia" w:ascii="仿宋" w:hAnsi="仿宋" w:eastAsia="仿宋" w:cs="仿宋"/>
                <w:color w:val="auto"/>
                <w:sz w:val="24"/>
                <w:szCs w:val="24"/>
                <w:highlight w:val="none"/>
              </w:rPr>
              <w:t>（1分）；保安能熟练使用安保器械，在危急时刻充分发挥安保器械的作用（3分）。熟练掌握监控系统操作技术</w:t>
            </w:r>
            <w:r>
              <w:rPr>
                <w:rFonts w:hint="eastAsia" w:ascii="仿宋" w:hAnsi="仿宋" w:eastAsia="仿宋" w:cs="仿宋"/>
                <w:color w:val="auto"/>
                <w:sz w:val="24"/>
                <w:szCs w:val="24"/>
                <w:highlight w:val="none"/>
                <w:lang w:eastAsia="zh-CN"/>
              </w:rPr>
              <w:t>，并通过视频监控实时关注校园及周边安全</w:t>
            </w:r>
            <w:r>
              <w:rPr>
                <w:rFonts w:hint="eastAsia" w:ascii="仿宋" w:hAnsi="仿宋" w:eastAsia="仿宋" w:cs="仿宋"/>
                <w:color w:val="auto"/>
                <w:sz w:val="24"/>
                <w:szCs w:val="24"/>
                <w:highlight w:val="none"/>
              </w:rPr>
              <w:t>（2分）；熟练掌握一键式报警器系统操作流程，定期测试（2分）；爱护和管理好各种设备，定期检查，并做好使用和检查情况登记（2分）。</w:t>
            </w:r>
          </w:p>
        </w:tc>
        <w:tc>
          <w:tcPr>
            <w:tcW w:w="975" w:type="dxa"/>
            <w:noWrap w:val="0"/>
            <w:vAlign w:val="top"/>
          </w:tcPr>
          <w:p w14:paraId="6135C8E3">
            <w:pPr>
              <w:shd w:val="clear"/>
              <w:spacing w:line="300" w:lineRule="exact"/>
              <w:ind w:firstLine="0"/>
              <w:jc w:val="center"/>
              <w:rPr>
                <w:rFonts w:hint="eastAsia" w:ascii="仿宋" w:hAnsi="仿宋" w:eastAsia="仿宋" w:cs="仿宋"/>
                <w:color w:val="auto"/>
                <w:sz w:val="24"/>
                <w:szCs w:val="24"/>
                <w:highlight w:val="none"/>
              </w:rPr>
            </w:pPr>
          </w:p>
        </w:tc>
      </w:tr>
      <w:tr w14:paraId="5B85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93" w:type="dxa"/>
            <w:vMerge w:val="continue"/>
            <w:noWrap w:val="0"/>
            <w:vAlign w:val="center"/>
          </w:tcPr>
          <w:p w14:paraId="61002CC9">
            <w:pPr>
              <w:shd w:val="clear"/>
              <w:spacing w:line="300" w:lineRule="exact"/>
              <w:ind w:firstLine="0"/>
              <w:jc w:val="center"/>
              <w:rPr>
                <w:rFonts w:hint="eastAsia" w:ascii="仿宋" w:hAnsi="仿宋" w:eastAsia="仿宋" w:cs="仿宋"/>
                <w:b/>
                <w:color w:val="auto"/>
                <w:sz w:val="24"/>
                <w:szCs w:val="24"/>
                <w:highlight w:val="none"/>
              </w:rPr>
            </w:pPr>
          </w:p>
        </w:tc>
        <w:tc>
          <w:tcPr>
            <w:tcW w:w="1569" w:type="dxa"/>
            <w:noWrap w:val="0"/>
            <w:vAlign w:val="center"/>
          </w:tcPr>
          <w:p w14:paraId="5B6773AB">
            <w:pPr>
              <w:shd w:val="clear"/>
              <w:spacing w:line="3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6.巡逻管理</w:t>
            </w:r>
          </w:p>
          <w:p w14:paraId="33B67B13">
            <w:pPr>
              <w:shd w:val="clear"/>
              <w:spacing w:line="3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tc>
        <w:tc>
          <w:tcPr>
            <w:tcW w:w="6744" w:type="dxa"/>
            <w:noWrap w:val="0"/>
            <w:vAlign w:val="center"/>
          </w:tcPr>
          <w:p w14:paraId="1D3D8410">
            <w:pPr>
              <w:shd w:val="clear"/>
              <w:spacing w:line="3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巡逻时要着</w:t>
            </w:r>
            <w:r>
              <w:rPr>
                <w:rFonts w:hint="eastAsia" w:ascii="仿宋" w:hAnsi="仿宋" w:eastAsia="仿宋" w:cs="仿宋"/>
                <w:color w:val="auto"/>
                <w:sz w:val="24"/>
                <w:szCs w:val="24"/>
                <w:highlight w:val="none"/>
                <w:lang w:eastAsia="zh-CN"/>
              </w:rPr>
              <w:t>保安</w:t>
            </w:r>
            <w:r>
              <w:rPr>
                <w:rFonts w:hint="eastAsia" w:ascii="仿宋" w:hAnsi="仿宋" w:eastAsia="仿宋" w:cs="仿宋"/>
                <w:color w:val="auto"/>
                <w:sz w:val="24"/>
                <w:szCs w:val="24"/>
                <w:highlight w:val="none"/>
              </w:rPr>
              <w:t>制服，随带橡胶警棍，形象端庄，做好关电关水关门工作（2分）；</w:t>
            </w:r>
            <w:r>
              <w:rPr>
                <w:rFonts w:hint="eastAsia" w:ascii="仿宋" w:hAnsi="仿宋" w:eastAsia="仿宋" w:cs="仿宋"/>
                <w:color w:val="auto"/>
                <w:sz w:val="24"/>
                <w:szCs w:val="24"/>
                <w:highlight w:val="none"/>
                <w:lang w:eastAsia="zh-CN"/>
              </w:rPr>
              <w:t>按要求完成校园</w:t>
            </w:r>
            <w:r>
              <w:rPr>
                <w:rFonts w:hint="eastAsia" w:ascii="仿宋" w:hAnsi="仿宋" w:eastAsia="仿宋" w:cs="仿宋"/>
                <w:color w:val="auto"/>
                <w:sz w:val="24"/>
                <w:szCs w:val="24"/>
                <w:highlight w:val="none"/>
              </w:rPr>
              <w:t>巡逻</w:t>
            </w:r>
            <w:r>
              <w:rPr>
                <w:rFonts w:hint="eastAsia" w:ascii="仿宋" w:hAnsi="仿宋" w:eastAsia="仿宋" w:cs="仿宋"/>
                <w:color w:val="auto"/>
                <w:sz w:val="24"/>
                <w:szCs w:val="24"/>
                <w:highlight w:val="none"/>
                <w:lang w:eastAsia="zh-CN"/>
              </w:rPr>
              <w:t>，并</w:t>
            </w:r>
            <w:r>
              <w:rPr>
                <w:rFonts w:hint="eastAsia" w:ascii="仿宋" w:hAnsi="仿宋" w:eastAsia="仿宋" w:cs="仿宋"/>
                <w:color w:val="auto"/>
                <w:sz w:val="24"/>
                <w:szCs w:val="24"/>
                <w:highlight w:val="none"/>
              </w:rPr>
              <w:t>有记录（</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，未完成</w:t>
            </w:r>
            <w:r>
              <w:rPr>
                <w:rFonts w:hint="eastAsia" w:ascii="仿宋" w:hAnsi="仿宋" w:eastAsia="仿宋" w:cs="仿宋"/>
                <w:color w:val="auto"/>
                <w:sz w:val="24"/>
                <w:szCs w:val="24"/>
                <w:highlight w:val="none"/>
              </w:rPr>
              <w:t>查实一次扣1分）。</w:t>
            </w:r>
          </w:p>
        </w:tc>
        <w:tc>
          <w:tcPr>
            <w:tcW w:w="975" w:type="dxa"/>
            <w:noWrap w:val="0"/>
            <w:vAlign w:val="top"/>
          </w:tcPr>
          <w:p w14:paraId="45F50B32">
            <w:pPr>
              <w:shd w:val="clear"/>
              <w:spacing w:line="300" w:lineRule="exact"/>
              <w:ind w:firstLine="0"/>
              <w:jc w:val="center"/>
              <w:rPr>
                <w:rFonts w:hint="eastAsia" w:ascii="仿宋" w:hAnsi="仿宋" w:eastAsia="仿宋" w:cs="仿宋"/>
                <w:color w:val="auto"/>
                <w:sz w:val="24"/>
                <w:szCs w:val="24"/>
                <w:highlight w:val="none"/>
              </w:rPr>
            </w:pPr>
          </w:p>
        </w:tc>
      </w:tr>
      <w:tr w14:paraId="7CE1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noWrap w:val="0"/>
            <w:vAlign w:val="center"/>
          </w:tcPr>
          <w:p w14:paraId="0355E1B7">
            <w:pPr>
              <w:shd w:val="clear"/>
              <w:spacing w:line="300" w:lineRule="exact"/>
              <w:ind w:firstLine="0"/>
              <w:jc w:val="center"/>
              <w:rPr>
                <w:rFonts w:hint="eastAsia" w:ascii="仿宋" w:hAnsi="仿宋" w:eastAsia="仿宋" w:cs="仿宋"/>
                <w:b/>
                <w:color w:val="auto"/>
                <w:sz w:val="24"/>
                <w:szCs w:val="24"/>
                <w:highlight w:val="none"/>
              </w:rPr>
            </w:pPr>
          </w:p>
        </w:tc>
        <w:tc>
          <w:tcPr>
            <w:tcW w:w="1569" w:type="dxa"/>
            <w:noWrap w:val="0"/>
            <w:vAlign w:val="center"/>
          </w:tcPr>
          <w:p w14:paraId="361FF267">
            <w:pPr>
              <w:shd w:val="clear"/>
              <w:spacing w:line="3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7.消防检查</w:t>
            </w:r>
          </w:p>
          <w:p w14:paraId="6B4002DF">
            <w:pPr>
              <w:shd w:val="clear"/>
              <w:spacing w:line="3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8分</w:t>
            </w:r>
          </w:p>
        </w:tc>
        <w:tc>
          <w:tcPr>
            <w:tcW w:w="6744" w:type="dxa"/>
            <w:noWrap w:val="0"/>
            <w:vAlign w:val="center"/>
          </w:tcPr>
          <w:p w14:paraId="2F99E3FB">
            <w:pPr>
              <w:shd w:val="clear"/>
              <w:spacing w:line="3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排查</w:t>
            </w:r>
            <w:r>
              <w:rPr>
                <w:rFonts w:hint="eastAsia" w:ascii="仿宋" w:hAnsi="仿宋" w:eastAsia="仿宋" w:cs="仿宋"/>
                <w:color w:val="auto"/>
                <w:sz w:val="24"/>
                <w:szCs w:val="24"/>
                <w:highlight w:val="none"/>
                <w:lang w:eastAsia="zh-CN"/>
              </w:rPr>
              <w:t>校园</w:t>
            </w:r>
            <w:r>
              <w:rPr>
                <w:rFonts w:hint="eastAsia" w:ascii="仿宋" w:hAnsi="仿宋" w:eastAsia="仿宋" w:cs="仿宋"/>
                <w:color w:val="auto"/>
                <w:sz w:val="24"/>
                <w:szCs w:val="24"/>
                <w:highlight w:val="none"/>
              </w:rPr>
              <w:t>消防安全隐患（2分），定期检查消防设施设备</w:t>
            </w:r>
            <w:r>
              <w:rPr>
                <w:rFonts w:hint="eastAsia" w:ascii="仿宋" w:hAnsi="仿宋" w:eastAsia="仿宋" w:cs="仿宋"/>
                <w:color w:val="auto"/>
                <w:sz w:val="24"/>
                <w:szCs w:val="24"/>
                <w:highlight w:val="none"/>
                <w:lang w:eastAsia="zh-CN"/>
              </w:rPr>
              <w:t>完好情况</w:t>
            </w:r>
            <w:r>
              <w:rPr>
                <w:rFonts w:hint="eastAsia" w:ascii="仿宋" w:hAnsi="仿宋" w:eastAsia="仿宋" w:cs="仿宋"/>
                <w:color w:val="auto"/>
                <w:sz w:val="24"/>
                <w:szCs w:val="24"/>
                <w:highlight w:val="none"/>
              </w:rPr>
              <w:t>（2分），严格用火用电用气管理，保安室内严禁私拉乱接电气线路，禁止使用电炉、液化气及明火照明和违章用电的行为（2分），会使用灭火器、消防栓等消防设备（2分）。</w:t>
            </w:r>
          </w:p>
        </w:tc>
        <w:tc>
          <w:tcPr>
            <w:tcW w:w="975" w:type="dxa"/>
            <w:noWrap w:val="0"/>
            <w:vAlign w:val="top"/>
          </w:tcPr>
          <w:p w14:paraId="5646F0D0">
            <w:pPr>
              <w:shd w:val="clear"/>
              <w:spacing w:line="300" w:lineRule="exact"/>
              <w:ind w:firstLine="0"/>
              <w:jc w:val="center"/>
              <w:rPr>
                <w:rFonts w:hint="eastAsia" w:ascii="仿宋" w:hAnsi="仿宋" w:eastAsia="仿宋" w:cs="仿宋"/>
                <w:color w:val="auto"/>
                <w:sz w:val="24"/>
                <w:szCs w:val="24"/>
                <w:highlight w:val="none"/>
              </w:rPr>
            </w:pPr>
          </w:p>
        </w:tc>
      </w:tr>
      <w:tr w14:paraId="5C7D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noWrap w:val="0"/>
            <w:vAlign w:val="center"/>
          </w:tcPr>
          <w:p w14:paraId="2A725D7D">
            <w:pPr>
              <w:shd w:val="clear"/>
              <w:spacing w:line="300" w:lineRule="exact"/>
              <w:ind w:firstLine="0"/>
              <w:jc w:val="center"/>
              <w:rPr>
                <w:rFonts w:hint="eastAsia" w:ascii="仿宋" w:hAnsi="仿宋" w:eastAsia="仿宋" w:cs="仿宋"/>
                <w:b/>
                <w:color w:val="auto"/>
                <w:sz w:val="24"/>
                <w:szCs w:val="24"/>
                <w:highlight w:val="none"/>
              </w:rPr>
            </w:pPr>
          </w:p>
        </w:tc>
        <w:tc>
          <w:tcPr>
            <w:tcW w:w="1569" w:type="dxa"/>
            <w:noWrap w:val="0"/>
            <w:vAlign w:val="center"/>
          </w:tcPr>
          <w:p w14:paraId="73D6421B">
            <w:pPr>
              <w:shd w:val="clear"/>
              <w:spacing w:line="3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8.应急处置</w:t>
            </w:r>
          </w:p>
          <w:p w14:paraId="62CD2DFF">
            <w:pPr>
              <w:shd w:val="clear"/>
              <w:spacing w:line="3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8分</w:t>
            </w:r>
          </w:p>
        </w:tc>
        <w:tc>
          <w:tcPr>
            <w:tcW w:w="6744" w:type="dxa"/>
            <w:noWrap w:val="0"/>
            <w:vAlign w:val="center"/>
          </w:tcPr>
          <w:p w14:paraId="706E1C7A">
            <w:pPr>
              <w:shd w:val="clear"/>
              <w:spacing w:line="3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紧急情况（如伤害师生、冲击校园、寻衅滋事、聚众闹事、火灾等紧急情况），保安员要快速采取必要的处置措施，防止事态的进一步扩大，并及时报警和报告学校领导（5分）。如发现偷盗、抢劫、行凶等要立即报警并设法制止，同时做好保护现场工作（3分）。</w:t>
            </w:r>
          </w:p>
        </w:tc>
        <w:tc>
          <w:tcPr>
            <w:tcW w:w="975" w:type="dxa"/>
            <w:noWrap w:val="0"/>
            <w:vAlign w:val="top"/>
          </w:tcPr>
          <w:p w14:paraId="2C11A689">
            <w:pPr>
              <w:shd w:val="clear"/>
              <w:spacing w:line="300" w:lineRule="exact"/>
              <w:ind w:firstLine="0"/>
              <w:jc w:val="center"/>
              <w:rPr>
                <w:rFonts w:hint="eastAsia" w:ascii="仿宋" w:hAnsi="仿宋" w:eastAsia="仿宋" w:cs="仿宋"/>
                <w:color w:val="auto"/>
                <w:sz w:val="24"/>
                <w:szCs w:val="24"/>
                <w:highlight w:val="none"/>
              </w:rPr>
            </w:pPr>
          </w:p>
        </w:tc>
      </w:tr>
      <w:tr w14:paraId="299C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93" w:type="dxa"/>
            <w:vMerge w:val="restart"/>
            <w:noWrap w:val="0"/>
            <w:vAlign w:val="center"/>
          </w:tcPr>
          <w:p w14:paraId="23986689">
            <w:pPr>
              <w:shd w:val="clear"/>
              <w:spacing w:line="300" w:lineRule="exact"/>
              <w:ind w:firstLine="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文明</w:t>
            </w:r>
          </w:p>
          <w:p w14:paraId="51E2D533">
            <w:pPr>
              <w:shd w:val="clear"/>
              <w:spacing w:line="300" w:lineRule="exact"/>
              <w:ind w:firstLine="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礼仪</w:t>
            </w:r>
          </w:p>
          <w:p w14:paraId="47C46B83">
            <w:pPr>
              <w:shd w:val="clear"/>
              <w:spacing w:line="300" w:lineRule="exact"/>
              <w:ind w:firstLine="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分</w:t>
            </w:r>
          </w:p>
        </w:tc>
        <w:tc>
          <w:tcPr>
            <w:tcW w:w="1569" w:type="dxa"/>
            <w:noWrap w:val="0"/>
            <w:vAlign w:val="center"/>
          </w:tcPr>
          <w:p w14:paraId="7CC3D227">
            <w:pPr>
              <w:shd w:val="clear"/>
              <w:spacing w:line="3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9．着装管理</w:t>
            </w:r>
          </w:p>
          <w:p w14:paraId="4809615C">
            <w:pPr>
              <w:shd w:val="clear"/>
              <w:spacing w:line="3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4分</w:t>
            </w:r>
          </w:p>
        </w:tc>
        <w:tc>
          <w:tcPr>
            <w:tcW w:w="6744" w:type="dxa"/>
            <w:noWrap w:val="0"/>
            <w:vAlign w:val="center"/>
          </w:tcPr>
          <w:p w14:paraId="5F256EF6">
            <w:pPr>
              <w:shd w:val="clear"/>
              <w:spacing w:line="3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上岗、</w:t>
            </w:r>
            <w:r>
              <w:rPr>
                <w:rFonts w:hint="eastAsia" w:ascii="仿宋" w:hAnsi="仿宋" w:eastAsia="仿宋" w:cs="仿宋"/>
                <w:color w:val="auto"/>
                <w:sz w:val="24"/>
                <w:szCs w:val="24"/>
                <w:highlight w:val="none"/>
                <w:lang w:eastAsia="zh-CN"/>
              </w:rPr>
              <w:t>值</w:t>
            </w:r>
            <w:r>
              <w:rPr>
                <w:rFonts w:hint="eastAsia" w:ascii="仿宋" w:hAnsi="仿宋" w:eastAsia="仿宋" w:cs="仿宋"/>
                <w:color w:val="auto"/>
                <w:sz w:val="24"/>
                <w:szCs w:val="24"/>
                <w:highlight w:val="none"/>
              </w:rPr>
              <w:t>勤必须按规定着装统一配备的</w:t>
            </w:r>
            <w:r>
              <w:rPr>
                <w:rFonts w:hint="eastAsia" w:ascii="仿宋" w:hAnsi="仿宋" w:eastAsia="仿宋" w:cs="仿宋"/>
                <w:color w:val="auto"/>
                <w:sz w:val="24"/>
                <w:szCs w:val="24"/>
                <w:highlight w:val="none"/>
                <w:lang w:eastAsia="zh-CN"/>
              </w:rPr>
              <w:t>保安</w:t>
            </w:r>
            <w:r>
              <w:rPr>
                <w:rFonts w:hint="eastAsia" w:ascii="仿宋" w:hAnsi="仿宋" w:eastAsia="仿宋" w:cs="仿宋"/>
                <w:color w:val="auto"/>
                <w:sz w:val="24"/>
                <w:szCs w:val="24"/>
                <w:highlight w:val="none"/>
              </w:rPr>
              <w:t>制服、佩戴统一的配件（2分）；服装必须干净、整洁（2分）。</w:t>
            </w:r>
          </w:p>
        </w:tc>
        <w:tc>
          <w:tcPr>
            <w:tcW w:w="975" w:type="dxa"/>
            <w:noWrap w:val="0"/>
            <w:vAlign w:val="top"/>
          </w:tcPr>
          <w:p w14:paraId="3E723DA3">
            <w:pPr>
              <w:shd w:val="clear"/>
              <w:spacing w:line="300" w:lineRule="exact"/>
              <w:ind w:firstLine="0"/>
              <w:jc w:val="center"/>
              <w:rPr>
                <w:rFonts w:hint="eastAsia" w:ascii="仿宋" w:hAnsi="仿宋" w:eastAsia="仿宋" w:cs="仿宋"/>
                <w:color w:val="auto"/>
                <w:sz w:val="24"/>
                <w:szCs w:val="24"/>
                <w:highlight w:val="none"/>
              </w:rPr>
            </w:pPr>
          </w:p>
        </w:tc>
      </w:tr>
      <w:tr w14:paraId="5103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93" w:type="dxa"/>
            <w:vMerge w:val="continue"/>
            <w:noWrap w:val="0"/>
            <w:vAlign w:val="center"/>
          </w:tcPr>
          <w:p w14:paraId="1047D536">
            <w:pPr>
              <w:shd w:val="clear"/>
              <w:spacing w:line="300" w:lineRule="exact"/>
              <w:ind w:firstLine="0"/>
              <w:jc w:val="center"/>
              <w:rPr>
                <w:rFonts w:hint="eastAsia" w:ascii="仿宋" w:hAnsi="仿宋" w:eastAsia="仿宋" w:cs="仿宋"/>
                <w:b/>
                <w:color w:val="auto"/>
                <w:sz w:val="24"/>
                <w:szCs w:val="24"/>
                <w:highlight w:val="none"/>
              </w:rPr>
            </w:pPr>
          </w:p>
        </w:tc>
        <w:tc>
          <w:tcPr>
            <w:tcW w:w="1569" w:type="dxa"/>
            <w:noWrap w:val="0"/>
            <w:vAlign w:val="center"/>
          </w:tcPr>
          <w:p w14:paraId="16A074C5">
            <w:pPr>
              <w:shd w:val="clear"/>
              <w:spacing w:line="3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10．仪表管理</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tc>
        <w:tc>
          <w:tcPr>
            <w:tcW w:w="6744" w:type="dxa"/>
            <w:noWrap w:val="0"/>
            <w:vAlign w:val="center"/>
          </w:tcPr>
          <w:p w14:paraId="7BB7BAB2">
            <w:pPr>
              <w:shd w:val="clear"/>
              <w:spacing w:line="3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值</w:t>
            </w:r>
            <w:r>
              <w:rPr>
                <w:rFonts w:hint="eastAsia" w:ascii="仿宋" w:hAnsi="仿宋" w:eastAsia="仿宋" w:cs="仿宋"/>
                <w:color w:val="auto"/>
                <w:sz w:val="24"/>
                <w:szCs w:val="24"/>
                <w:highlight w:val="none"/>
              </w:rPr>
              <w:t>勤时不准吸烟、吃零食，不看</w:t>
            </w:r>
            <w:r>
              <w:rPr>
                <w:rFonts w:hint="eastAsia" w:ascii="仿宋" w:hAnsi="仿宋" w:eastAsia="仿宋" w:cs="仿宋"/>
                <w:color w:val="auto"/>
                <w:sz w:val="24"/>
                <w:szCs w:val="24"/>
                <w:highlight w:val="none"/>
                <w:lang w:eastAsia="zh-CN"/>
              </w:rPr>
              <w:t>工作无关的</w:t>
            </w:r>
            <w:r>
              <w:rPr>
                <w:rFonts w:hint="eastAsia" w:ascii="仿宋" w:hAnsi="仿宋" w:eastAsia="仿宋" w:cs="仿宋"/>
                <w:color w:val="auto"/>
                <w:sz w:val="24"/>
                <w:szCs w:val="24"/>
                <w:highlight w:val="none"/>
              </w:rPr>
              <w:t>电视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不玩电脑</w:t>
            </w:r>
            <w:r>
              <w:rPr>
                <w:rFonts w:hint="eastAsia" w:ascii="仿宋" w:hAnsi="仿宋" w:eastAsia="仿宋" w:cs="仿宋"/>
                <w:color w:val="auto"/>
                <w:sz w:val="24"/>
                <w:szCs w:val="24"/>
                <w:highlight w:val="none"/>
                <w:lang w:eastAsia="zh-CN"/>
              </w:rPr>
              <w:t>、手机</w:t>
            </w:r>
            <w:r>
              <w:rPr>
                <w:rFonts w:hint="eastAsia" w:ascii="仿宋" w:hAnsi="仿宋" w:eastAsia="仿宋" w:cs="仿宋"/>
                <w:color w:val="auto"/>
                <w:sz w:val="24"/>
                <w:szCs w:val="24"/>
                <w:highlight w:val="none"/>
              </w:rPr>
              <w:t>，不得酒后上岗（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tc>
        <w:tc>
          <w:tcPr>
            <w:tcW w:w="975" w:type="dxa"/>
            <w:noWrap w:val="0"/>
            <w:vAlign w:val="top"/>
          </w:tcPr>
          <w:p w14:paraId="5F3D6CE0">
            <w:pPr>
              <w:shd w:val="clear"/>
              <w:spacing w:line="300" w:lineRule="exact"/>
              <w:ind w:firstLine="0"/>
              <w:jc w:val="center"/>
              <w:rPr>
                <w:rFonts w:hint="eastAsia" w:ascii="仿宋" w:hAnsi="仿宋" w:eastAsia="仿宋" w:cs="仿宋"/>
                <w:color w:val="auto"/>
                <w:sz w:val="24"/>
                <w:szCs w:val="24"/>
                <w:highlight w:val="none"/>
              </w:rPr>
            </w:pPr>
          </w:p>
        </w:tc>
      </w:tr>
      <w:tr w14:paraId="6611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93" w:type="dxa"/>
            <w:vMerge w:val="continue"/>
            <w:noWrap w:val="0"/>
            <w:vAlign w:val="center"/>
          </w:tcPr>
          <w:p w14:paraId="503C880F">
            <w:pPr>
              <w:shd w:val="clear"/>
              <w:spacing w:line="300" w:lineRule="exact"/>
              <w:ind w:firstLine="0"/>
              <w:jc w:val="center"/>
              <w:rPr>
                <w:rFonts w:hint="eastAsia" w:ascii="仿宋" w:hAnsi="仿宋" w:eastAsia="仿宋" w:cs="仿宋"/>
                <w:b/>
                <w:color w:val="auto"/>
                <w:sz w:val="24"/>
                <w:szCs w:val="24"/>
                <w:highlight w:val="none"/>
              </w:rPr>
            </w:pPr>
          </w:p>
        </w:tc>
        <w:tc>
          <w:tcPr>
            <w:tcW w:w="1569" w:type="dxa"/>
            <w:noWrap w:val="0"/>
            <w:vAlign w:val="center"/>
          </w:tcPr>
          <w:p w14:paraId="02175CA4">
            <w:pPr>
              <w:shd w:val="clear"/>
              <w:spacing w:line="3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11．文明用语管理5分</w:t>
            </w:r>
          </w:p>
        </w:tc>
        <w:tc>
          <w:tcPr>
            <w:tcW w:w="6744" w:type="dxa"/>
            <w:noWrap w:val="0"/>
            <w:vAlign w:val="center"/>
          </w:tcPr>
          <w:p w14:paraId="4460A20C">
            <w:pPr>
              <w:shd w:val="clear"/>
              <w:spacing w:line="3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正确使用保安规范用语，要文明有礼，举止得体（2分）；客人来访，要主动问询，提供指引（3分）。</w:t>
            </w:r>
          </w:p>
        </w:tc>
        <w:tc>
          <w:tcPr>
            <w:tcW w:w="975" w:type="dxa"/>
            <w:noWrap w:val="0"/>
            <w:vAlign w:val="top"/>
          </w:tcPr>
          <w:p w14:paraId="3EF51B46">
            <w:pPr>
              <w:shd w:val="clear"/>
              <w:spacing w:line="300" w:lineRule="exact"/>
              <w:ind w:firstLine="0"/>
              <w:jc w:val="center"/>
              <w:rPr>
                <w:rFonts w:hint="eastAsia" w:ascii="仿宋" w:hAnsi="仿宋" w:eastAsia="仿宋" w:cs="仿宋"/>
                <w:color w:val="auto"/>
                <w:sz w:val="24"/>
                <w:szCs w:val="24"/>
                <w:highlight w:val="none"/>
              </w:rPr>
            </w:pPr>
          </w:p>
        </w:tc>
      </w:tr>
      <w:tr w14:paraId="61ED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93" w:type="dxa"/>
            <w:vMerge w:val="restart"/>
            <w:noWrap w:val="0"/>
            <w:vAlign w:val="center"/>
          </w:tcPr>
          <w:p w14:paraId="1104B725">
            <w:pPr>
              <w:shd w:val="clear"/>
              <w:spacing w:line="300" w:lineRule="exact"/>
              <w:ind w:firstLine="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内务</w:t>
            </w:r>
          </w:p>
          <w:p w14:paraId="40F15E3D">
            <w:pPr>
              <w:shd w:val="clear"/>
              <w:spacing w:line="300" w:lineRule="exact"/>
              <w:ind w:firstLine="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规范15分</w:t>
            </w:r>
          </w:p>
        </w:tc>
        <w:tc>
          <w:tcPr>
            <w:tcW w:w="1569" w:type="dxa"/>
            <w:noWrap w:val="0"/>
            <w:vAlign w:val="center"/>
          </w:tcPr>
          <w:p w14:paraId="7EAB8178">
            <w:pPr>
              <w:shd w:val="clear"/>
              <w:spacing w:line="3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12.保安室物品管理4分</w:t>
            </w:r>
          </w:p>
        </w:tc>
        <w:tc>
          <w:tcPr>
            <w:tcW w:w="6744" w:type="dxa"/>
            <w:noWrap w:val="0"/>
            <w:vAlign w:val="center"/>
          </w:tcPr>
          <w:p w14:paraId="12397560">
            <w:pPr>
              <w:shd w:val="clear"/>
              <w:spacing w:line="3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保安室工作区与生活间分隔（2分）；保安室不放无关物品，每日的报刊杂志及时收发、转移（2分）。</w:t>
            </w:r>
          </w:p>
        </w:tc>
        <w:tc>
          <w:tcPr>
            <w:tcW w:w="975" w:type="dxa"/>
            <w:noWrap w:val="0"/>
            <w:vAlign w:val="top"/>
          </w:tcPr>
          <w:p w14:paraId="76987C8D">
            <w:pPr>
              <w:shd w:val="clear"/>
              <w:spacing w:line="300" w:lineRule="exact"/>
              <w:ind w:firstLine="0"/>
              <w:jc w:val="center"/>
              <w:rPr>
                <w:rFonts w:hint="eastAsia" w:ascii="仿宋" w:hAnsi="仿宋" w:eastAsia="仿宋" w:cs="仿宋"/>
                <w:color w:val="auto"/>
                <w:sz w:val="24"/>
                <w:szCs w:val="24"/>
                <w:highlight w:val="none"/>
              </w:rPr>
            </w:pPr>
          </w:p>
        </w:tc>
      </w:tr>
      <w:tr w14:paraId="503D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993" w:type="dxa"/>
            <w:vMerge w:val="continue"/>
            <w:noWrap w:val="0"/>
            <w:vAlign w:val="center"/>
          </w:tcPr>
          <w:p w14:paraId="0EFA0CF7">
            <w:pPr>
              <w:shd w:val="clear"/>
              <w:spacing w:line="300" w:lineRule="exact"/>
              <w:ind w:firstLine="0"/>
              <w:jc w:val="center"/>
              <w:rPr>
                <w:rFonts w:hint="eastAsia" w:ascii="仿宋" w:hAnsi="仿宋" w:eastAsia="仿宋" w:cs="仿宋"/>
                <w:b/>
                <w:color w:val="auto"/>
                <w:sz w:val="24"/>
                <w:szCs w:val="24"/>
                <w:highlight w:val="none"/>
              </w:rPr>
            </w:pPr>
          </w:p>
        </w:tc>
        <w:tc>
          <w:tcPr>
            <w:tcW w:w="1569" w:type="dxa"/>
            <w:noWrap w:val="0"/>
            <w:vAlign w:val="center"/>
          </w:tcPr>
          <w:p w14:paraId="19930DDB">
            <w:pPr>
              <w:shd w:val="clear"/>
              <w:spacing w:line="3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13.保安室卫生管理</w:t>
            </w:r>
          </w:p>
          <w:p w14:paraId="08820A1D">
            <w:pPr>
              <w:shd w:val="clear"/>
              <w:spacing w:line="3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8分</w:t>
            </w:r>
          </w:p>
        </w:tc>
        <w:tc>
          <w:tcPr>
            <w:tcW w:w="6744" w:type="dxa"/>
            <w:noWrap w:val="0"/>
            <w:vAlign w:val="center"/>
          </w:tcPr>
          <w:p w14:paraId="437EE345">
            <w:pPr>
              <w:shd w:val="clear"/>
              <w:spacing w:line="3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室内保持干净整洁，桌上不摆放食品、烟灰缸等物品，地面无烟头、痰迹、纸屑等垃圾（2分）；门窗洁净，玻璃明亮（2分）；扫帚、畚斗等清卫用具干净整洁，及时清洗（2分）；值夜室床上被褥整齐干净，床下无杂物，生活用品摆放整齐（2分）。</w:t>
            </w:r>
          </w:p>
        </w:tc>
        <w:tc>
          <w:tcPr>
            <w:tcW w:w="975" w:type="dxa"/>
            <w:noWrap w:val="0"/>
            <w:vAlign w:val="top"/>
          </w:tcPr>
          <w:p w14:paraId="2DBA0228">
            <w:pPr>
              <w:shd w:val="clear"/>
              <w:spacing w:line="300" w:lineRule="exact"/>
              <w:ind w:firstLine="0"/>
              <w:jc w:val="center"/>
              <w:rPr>
                <w:rFonts w:hint="eastAsia" w:ascii="仿宋" w:hAnsi="仿宋" w:eastAsia="仿宋" w:cs="仿宋"/>
                <w:color w:val="auto"/>
                <w:sz w:val="24"/>
                <w:szCs w:val="24"/>
                <w:highlight w:val="none"/>
              </w:rPr>
            </w:pPr>
          </w:p>
        </w:tc>
      </w:tr>
      <w:tr w14:paraId="652E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993" w:type="dxa"/>
            <w:vMerge w:val="continue"/>
            <w:noWrap w:val="0"/>
            <w:vAlign w:val="center"/>
          </w:tcPr>
          <w:p w14:paraId="762F1539">
            <w:pPr>
              <w:shd w:val="clear"/>
              <w:spacing w:line="300" w:lineRule="exact"/>
              <w:ind w:firstLine="0"/>
              <w:jc w:val="center"/>
              <w:rPr>
                <w:rFonts w:hint="eastAsia" w:ascii="仿宋" w:hAnsi="仿宋" w:eastAsia="仿宋" w:cs="仿宋"/>
                <w:b/>
                <w:color w:val="auto"/>
                <w:sz w:val="24"/>
                <w:szCs w:val="24"/>
                <w:highlight w:val="none"/>
              </w:rPr>
            </w:pPr>
          </w:p>
        </w:tc>
        <w:tc>
          <w:tcPr>
            <w:tcW w:w="1569" w:type="dxa"/>
            <w:noWrap w:val="0"/>
            <w:vAlign w:val="center"/>
          </w:tcPr>
          <w:p w14:paraId="2C8613A6">
            <w:pPr>
              <w:shd w:val="clear"/>
              <w:spacing w:line="3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14.保安室及校门周边环境管理3分</w:t>
            </w:r>
          </w:p>
        </w:tc>
        <w:tc>
          <w:tcPr>
            <w:tcW w:w="6744" w:type="dxa"/>
            <w:noWrap w:val="0"/>
            <w:vAlign w:val="center"/>
          </w:tcPr>
          <w:p w14:paraId="1347FCAF">
            <w:pPr>
              <w:shd w:val="clear"/>
              <w:spacing w:line="3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保安室周边、校门口等部位24小时保持干净整洁，地面打扫每天至少三次（2分）；车辆停放有序入位</w:t>
            </w:r>
            <w:r>
              <w:rPr>
                <w:rFonts w:hint="eastAsia" w:ascii="仿宋" w:hAnsi="仿宋" w:eastAsia="仿宋" w:cs="仿宋"/>
                <w:color w:val="auto"/>
                <w:sz w:val="24"/>
                <w:szCs w:val="24"/>
                <w:highlight w:val="none"/>
                <w:lang w:eastAsia="zh-CN"/>
              </w:rPr>
              <w:t>，电动自行车不随意拉线充电</w:t>
            </w:r>
            <w:r>
              <w:rPr>
                <w:rFonts w:hint="eastAsia" w:ascii="仿宋" w:hAnsi="仿宋" w:eastAsia="仿宋" w:cs="仿宋"/>
                <w:color w:val="auto"/>
                <w:sz w:val="24"/>
                <w:szCs w:val="24"/>
                <w:highlight w:val="none"/>
              </w:rPr>
              <w:t>（1分）。</w:t>
            </w:r>
          </w:p>
        </w:tc>
        <w:tc>
          <w:tcPr>
            <w:tcW w:w="975" w:type="dxa"/>
            <w:noWrap w:val="0"/>
            <w:vAlign w:val="top"/>
          </w:tcPr>
          <w:p w14:paraId="146488F0">
            <w:pPr>
              <w:shd w:val="clear"/>
              <w:spacing w:line="300" w:lineRule="exact"/>
              <w:ind w:firstLine="0"/>
              <w:jc w:val="center"/>
              <w:rPr>
                <w:rFonts w:hint="eastAsia" w:ascii="仿宋" w:hAnsi="仿宋" w:eastAsia="仿宋" w:cs="仿宋"/>
                <w:color w:val="auto"/>
                <w:sz w:val="24"/>
                <w:szCs w:val="24"/>
                <w:highlight w:val="none"/>
              </w:rPr>
            </w:pPr>
          </w:p>
        </w:tc>
      </w:tr>
      <w:tr w14:paraId="6BBD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restart"/>
            <w:noWrap w:val="0"/>
            <w:vAlign w:val="center"/>
          </w:tcPr>
          <w:p w14:paraId="6A72E330">
            <w:pPr>
              <w:shd w:val="clear"/>
              <w:spacing w:line="300" w:lineRule="exact"/>
              <w:ind w:firstLine="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个人</w:t>
            </w:r>
          </w:p>
          <w:p w14:paraId="27F79A95">
            <w:pPr>
              <w:shd w:val="clear"/>
              <w:spacing w:line="300" w:lineRule="exact"/>
              <w:ind w:firstLine="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和</w:t>
            </w:r>
          </w:p>
          <w:p w14:paraId="46EBA295">
            <w:pPr>
              <w:shd w:val="clear"/>
              <w:spacing w:line="300" w:lineRule="exact"/>
              <w:ind w:firstLine="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团队素质提升</w:t>
            </w:r>
          </w:p>
          <w:p w14:paraId="1786523B">
            <w:pPr>
              <w:shd w:val="clear"/>
              <w:spacing w:line="300" w:lineRule="exact"/>
              <w:ind w:firstLine="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12分</w:t>
            </w:r>
          </w:p>
        </w:tc>
        <w:tc>
          <w:tcPr>
            <w:tcW w:w="1569" w:type="dxa"/>
            <w:noWrap w:val="0"/>
            <w:vAlign w:val="center"/>
          </w:tcPr>
          <w:p w14:paraId="1947691E">
            <w:pPr>
              <w:shd w:val="clear"/>
              <w:spacing w:line="3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15.职业道德规范3分</w:t>
            </w:r>
          </w:p>
        </w:tc>
        <w:tc>
          <w:tcPr>
            <w:tcW w:w="6744" w:type="dxa"/>
            <w:noWrap w:val="0"/>
            <w:vAlign w:val="center"/>
          </w:tcPr>
          <w:p w14:paraId="045D0F2E">
            <w:pPr>
              <w:shd w:val="clear"/>
              <w:spacing w:line="3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保安人员要持证上岗（2分）；认真履行《保安工作规范》、《保安职业道德》（1分）。</w:t>
            </w:r>
          </w:p>
        </w:tc>
        <w:tc>
          <w:tcPr>
            <w:tcW w:w="975" w:type="dxa"/>
            <w:noWrap w:val="0"/>
            <w:vAlign w:val="top"/>
          </w:tcPr>
          <w:p w14:paraId="6F78E534">
            <w:pPr>
              <w:shd w:val="clear"/>
              <w:spacing w:line="300" w:lineRule="exact"/>
              <w:ind w:firstLine="0"/>
              <w:jc w:val="center"/>
              <w:rPr>
                <w:rFonts w:hint="eastAsia" w:ascii="仿宋" w:hAnsi="仿宋" w:eastAsia="仿宋" w:cs="仿宋"/>
                <w:color w:val="auto"/>
                <w:sz w:val="24"/>
                <w:szCs w:val="24"/>
                <w:highlight w:val="none"/>
              </w:rPr>
            </w:pPr>
          </w:p>
        </w:tc>
      </w:tr>
      <w:tr w14:paraId="3E19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993" w:type="dxa"/>
            <w:vMerge w:val="continue"/>
            <w:noWrap w:val="0"/>
            <w:vAlign w:val="center"/>
          </w:tcPr>
          <w:p w14:paraId="7316D704">
            <w:pPr>
              <w:shd w:val="clear"/>
              <w:spacing w:line="300" w:lineRule="exact"/>
              <w:ind w:firstLine="0"/>
              <w:jc w:val="center"/>
              <w:rPr>
                <w:rFonts w:hint="eastAsia" w:ascii="仿宋" w:hAnsi="仿宋" w:eastAsia="仿宋" w:cs="仿宋"/>
                <w:b/>
                <w:color w:val="auto"/>
                <w:sz w:val="24"/>
                <w:szCs w:val="24"/>
                <w:highlight w:val="none"/>
              </w:rPr>
            </w:pPr>
          </w:p>
        </w:tc>
        <w:tc>
          <w:tcPr>
            <w:tcW w:w="1569" w:type="dxa"/>
            <w:noWrap w:val="0"/>
            <w:vAlign w:val="center"/>
          </w:tcPr>
          <w:p w14:paraId="1B47EA02">
            <w:pPr>
              <w:shd w:val="clear"/>
              <w:spacing w:line="3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16.业务素质提高4分</w:t>
            </w:r>
          </w:p>
        </w:tc>
        <w:tc>
          <w:tcPr>
            <w:tcW w:w="6744" w:type="dxa"/>
            <w:noWrap w:val="0"/>
            <w:vAlign w:val="center"/>
          </w:tcPr>
          <w:p w14:paraId="55BC5053">
            <w:pPr>
              <w:shd w:val="clear"/>
              <w:spacing w:line="3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认真参加各类保安工作培训（2分）；掌握治安保卫专业知识和技能，不断提升职业素养、保安业务水平和工作能力（2分）。</w:t>
            </w:r>
          </w:p>
        </w:tc>
        <w:tc>
          <w:tcPr>
            <w:tcW w:w="975" w:type="dxa"/>
            <w:noWrap w:val="0"/>
            <w:vAlign w:val="top"/>
          </w:tcPr>
          <w:p w14:paraId="3D0134F3">
            <w:pPr>
              <w:shd w:val="clear"/>
              <w:spacing w:line="300" w:lineRule="exact"/>
              <w:ind w:firstLine="0"/>
              <w:jc w:val="center"/>
              <w:rPr>
                <w:rFonts w:hint="eastAsia" w:ascii="仿宋" w:hAnsi="仿宋" w:eastAsia="仿宋" w:cs="仿宋"/>
                <w:color w:val="auto"/>
                <w:sz w:val="24"/>
                <w:szCs w:val="24"/>
                <w:highlight w:val="none"/>
              </w:rPr>
            </w:pPr>
          </w:p>
        </w:tc>
      </w:tr>
      <w:tr w14:paraId="30A1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993" w:type="dxa"/>
            <w:vMerge w:val="continue"/>
            <w:noWrap w:val="0"/>
            <w:vAlign w:val="center"/>
          </w:tcPr>
          <w:p w14:paraId="27446CD9">
            <w:pPr>
              <w:shd w:val="clear"/>
              <w:spacing w:line="300" w:lineRule="exact"/>
              <w:ind w:firstLine="0"/>
              <w:jc w:val="center"/>
              <w:rPr>
                <w:rFonts w:hint="eastAsia" w:ascii="仿宋" w:hAnsi="仿宋" w:eastAsia="仿宋" w:cs="仿宋"/>
                <w:b/>
                <w:color w:val="auto"/>
                <w:sz w:val="24"/>
                <w:szCs w:val="24"/>
                <w:highlight w:val="none"/>
              </w:rPr>
            </w:pPr>
          </w:p>
        </w:tc>
        <w:tc>
          <w:tcPr>
            <w:tcW w:w="1569" w:type="dxa"/>
            <w:noWrap w:val="0"/>
            <w:vAlign w:val="center"/>
          </w:tcPr>
          <w:p w14:paraId="0D6421DD">
            <w:pPr>
              <w:shd w:val="clear"/>
              <w:spacing w:line="3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17.团队协作培养2分</w:t>
            </w:r>
          </w:p>
        </w:tc>
        <w:tc>
          <w:tcPr>
            <w:tcW w:w="6744" w:type="dxa"/>
            <w:noWrap w:val="0"/>
            <w:vAlign w:val="center"/>
          </w:tcPr>
          <w:p w14:paraId="17F062BD">
            <w:pPr>
              <w:shd w:val="clear"/>
              <w:spacing w:line="3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营造和谐互助、同舟共济的团队精神，同一组别内的保安成员要团结互助,友好共事,做到团队精神好,战斗能力强（2分）。</w:t>
            </w:r>
          </w:p>
        </w:tc>
        <w:tc>
          <w:tcPr>
            <w:tcW w:w="975" w:type="dxa"/>
            <w:noWrap w:val="0"/>
            <w:vAlign w:val="top"/>
          </w:tcPr>
          <w:p w14:paraId="2C5CD438">
            <w:pPr>
              <w:shd w:val="clear"/>
              <w:spacing w:line="300" w:lineRule="exact"/>
              <w:ind w:firstLine="0"/>
              <w:jc w:val="center"/>
              <w:rPr>
                <w:rFonts w:hint="eastAsia" w:ascii="仿宋" w:hAnsi="仿宋" w:eastAsia="仿宋" w:cs="仿宋"/>
                <w:color w:val="auto"/>
                <w:sz w:val="24"/>
                <w:szCs w:val="24"/>
                <w:highlight w:val="none"/>
              </w:rPr>
            </w:pPr>
          </w:p>
        </w:tc>
      </w:tr>
      <w:tr w14:paraId="6ABE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993" w:type="dxa"/>
            <w:vMerge w:val="continue"/>
            <w:noWrap w:val="0"/>
            <w:vAlign w:val="center"/>
          </w:tcPr>
          <w:p w14:paraId="4CC1FB00">
            <w:pPr>
              <w:shd w:val="clear"/>
              <w:spacing w:line="300" w:lineRule="exact"/>
              <w:ind w:firstLine="0"/>
              <w:jc w:val="center"/>
              <w:rPr>
                <w:rFonts w:hint="eastAsia" w:ascii="仿宋" w:hAnsi="仿宋" w:eastAsia="仿宋" w:cs="仿宋"/>
                <w:b/>
                <w:color w:val="auto"/>
                <w:sz w:val="24"/>
                <w:szCs w:val="24"/>
                <w:highlight w:val="none"/>
              </w:rPr>
            </w:pPr>
          </w:p>
        </w:tc>
        <w:tc>
          <w:tcPr>
            <w:tcW w:w="1569" w:type="dxa"/>
            <w:noWrap w:val="0"/>
            <w:vAlign w:val="center"/>
          </w:tcPr>
          <w:p w14:paraId="4538A51C">
            <w:pPr>
              <w:shd w:val="clear"/>
              <w:spacing w:line="3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18．勤俭节约、物尽其用</w:t>
            </w:r>
          </w:p>
          <w:p w14:paraId="3EB279F3">
            <w:pPr>
              <w:shd w:val="clear"/>
              <w:spacing w:line="3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3分</w:t>
            </w:r>
          </w:p>
        </w:tc>
        <w:tc>
          <w:tcPr>
            <w:tcW w:w="6744" w:type="dxa"/>
            <w:noWrap w:val="0"/>
            <w:vAlign w:val="center"/>
          </w:tcPr>
          <w:p w14:paraId="2E58BA8E">
            <w:pPr>
              <w:shd w:val="clear"/>
              <w:spacing w:line="3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珍惜值班室内水电资源，节约用水用电（1分）；加强校园巡查，及时做好路灯、走廊灯晚开早关工作，避免大白天长明灯，及时关闭水龙头（1分）；爱护公物保安室内桌椅、监视器、物品柜、空调等办公室财产，不损坏，不乱涂乱画乱刻，（1分）。</w:t>
            </w:r>
          </w:p>
        </w:tc>
        <w:tc>
          <w:tcPr>
            <w:tcW w:w="975" w:type="dxa"/>
            <w:noWrap w:val="0"/>
            <w:vAlign w:val="top"/>
          </w:tcPr>
          <w:p w14:paraId="46EC4DFB">
            <w:pPr>
              <w:shd w:val="clear"/>
              <w:spacing w:line="300" w:lineRule="exact"/>
              <w:ind w:firstLine="0"/>
              <w:jc w:val="center"/>
              <w:rPr>
                <w:rFonts w:hint="eastAsia" w:ascii="仿宋" w:hAnsi="仿宋" w:eastAsia="仿宋" w:cs="仿宋"/>
                <w:color w:val="auto"/>
                <w:sz w:val="24"/>
                <w:szCs w:val="24"/>
                <w:highlight w:val="none"/>
              </w:rPr>
            </w:pPr>
          </w:p>
        </w:tc>
      </w:tr>
      <w:tr w14:paraId="776B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993" w:type="dxa"/>
            <w:vMerge w:val="restart"/>
            <w:noWrap w:val="0"/>
            <w:vAlign w:val="center"/>
          </w:tcPr>
          <w:p w14:paraId="6BA7EE0B">
            <w:pPr>
              <w:shd w:val="clear"/>
              <w:spacing w:line="300" w:lineRule="exact"/>
              <w:ind w:firstLine="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其他</w:t>
            </w:r>
          </w:p>
          <w:p w14:paraId="0F790B06">
            <w:pPr>
              <w:shd w:val="clear"/>
              <w:spacing w:line="300" w:lineRule="exact"/>
              <w:ind w:firstLine="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10分</w:t>
            </w:r>
          </w:p>
          <w:p w14:paraId="4302AC5F">
            <w:pPr>
              <w:shd w:val="clear"/>
              <w:spacing w:line="300" w:lineRule="exact"/>
              <w:ind w:firstLine="0"/>
              <w:jc w:val="center"/>
              <w:rPr>
                <w:rFonts w:hint="eastAsia" w:ascii="仿宋" w:hAnsi="仿宋" w:eastAsia="仿宋" w:cs="仿宋"/>
                <w:b/>
                <w:color w:val="auto"/>
                <w:sz w:val="24"/>
                <w:szCs w:val="24"/>
                <w:highlight w:val="none"/>
              </w:rPr>
            </w:pPr>
          </w:p>
        </w:tc>
        <w:tc>
          <w:tcPr>
            <w:tcW w:w="1569" w:type="dxa"/>
            <w:noWrap w:val="0"/>
            <w:vAlign w:val="center"/>
          </w:tcPr>
          <w:p w14:paraId="0BF49F33">
            <w:pPr>
              <w:shd w:val="clear"/>
              <w:spacing w:line="3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19.学校评分10分</w:t>
            </w:r>
          </w:p>
        </w:tc>
        <w:tc>
          <w:tcPr>
            <w:tcW w:w="6744" w:type="dxa"/>
            <w:noWrap w:val="0"/>
            <w:vAlign w:val="center"/>
          </w:tcPr>
          <w:p w14:paraId="3FECD843">
            <w:pPr>
              <w:shd w:val="clear"/>
              <w:spacing w:line="3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除以上18项外，学校可根据各校实际情况对保安公司其他服务进行综合评价。</w:t>
            </w:r>
          </w:p>
          <w:p w14:paraId="0247F0F3">
            <w:pPr>
              <w:shd w:val="clear"/>
              <w:spacing w:line="3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优秀8-10分、良好7-8分、合格6-7分、不合格0-6分。</w:t>
            </w:r>
          </w:p>
        </w:tc>
        <w:tc>
          <w:tcPr>
            <w:tcW w:w="975" w:type="dxa"/>
            <w:noWrap w:val="0"/>
            <w:vAlign w:val="top"/>
          </w:tcPr>
          <w:p w14:paraId="27D37E7F">
            <w:pPr>
              <w:shd w:val="clear"/>
              <w:spacing w:line="300" w:lineRule="exact"/>
              <w:ind w:firstLine="0"/>
              <w:jc w:val="center"/>
              <w:rPr>
                <w:rFonts w:hint="eastAsia" w:ascii="仿宋" w:hAnsi="仿宋" w:eastAsia="仿宋" w:cs="仿宋"/>
                <w:color w:val="auto"/>
                <w:sz w:val="24"/>
                <w:szCs w:val="24"/>
                <w:highlight w:val="none"/>
              </w:rPr>
            </w:pPr>
          </w:p>
        </w:tc>
      </w:tr>
      <w:tr w14:paraId="45D6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993" w:type="dxa"/>
            <w:vMerge w:val="continue"/>
            <w:noWrap w:val="0"/>
            <w:vAlign w:val="top"/>
          </w:tcPr>
          <w:p w14:paraId="022C27BF">
            <w:pPr>
              <w:shd w:val="clear"/>
              <w:spacing w:line="300" w:lineRule="exact"/>
              <w:ind w:firstLine="0"/>
              <w:jc w:val="center"/>
              <w:rPr>
                <w:rFonts w:hint="eastAsia" w:ascii="仿宋" w:hAnsi="仿宋" w:eastAsia="仿宋" w:cs="仿宋"/>
                <w:b/>
                <w:color w:val="auto"/>
                <w:sz w:val="24"/>
                <w:szCs w:val="24"/>
                <w:highlight w:val="none"/>
              </w:rPr>
            </w:pPr>
          </w:p>
        </w:tc>
        <w:tc>
          <w:tcPr>
            <w:tcW w:w="1569" w:type="dxa"/>
            <w:noWrap w:val="0"/>
            <w:vAlign w:val="center"/>
          </w:tcPr>
          <w:p w14:paraId="2B21CF48">
            <w:pPr>
              <w:shd w:val="clear"/>
              <w:spacing w:line="360" w:lineRule="exact"/>
              <w:ind w:firstLine="240" w:firstLineChars="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20.加分</w:t>
            </w:r>
          </w:p>
          <w:p w14:paraId="58FA30CE">
            <w:pPr>
              <w:shd w:val="clear"/>
              <w:spacing w:line="360" w:lineRule="exact"/>
              <w:ind w:firstLine="0"/>
              <w:jc w:val="center"/>
              <w:rPr>
                <w:rFonts w:hint="eastAsia" w:ascii="仿宋" w:hAnsi="仿宋" w:eastAsia="仿宋" w:cs="仿宋"/>
                <w:color w:val="auto"/>
                <w:sz w:val="24"/>
                <w:szCs w:val="24"/>
                <w:highlight w:val="none"/>
              </w:rPr>
            </w:pPr>
          </w:p>
        </w:tc>
        <w:tc>
          <w:tcPr>
            <w:tcW w:w="6744" w:type="dxa"/>
            <w:noWrap w:val="0"/>
            <w:vAlign w:val="center"/>
          </w:tcPr>
          <w:p w14:paraId="215CD411">
            <w:pPr>
              <w:shd w:val="clear"/>
              <w:spacing w:line="3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（1）抓获进校偷窃、破坏财物等侵害学校利益的不法人员的，加3分/次。</w:t>
            </w:r>
          </w:p>
          <w:p w14:paraId="3EB6B016">
            <w:pPr>
              <w:shd w:val="clear"/>
              <w:spacing w:line="3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（2）发现进校滋事的不法人员或公安机关通缉的犯罪嫌疑人，抓获或告知公安机关被抓获的，加10分/次。</w:t>
            </w:r>
          </w:p>
          <w:p w14:paraId="7E2579A5">
            <w:pPr>
              <w:shd w:val="clear"/>
              <w:spacing w:line="3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（3）对助人为乐、拾金不昧等好人好事，受到来人来信表扬者，加2分/次。</w:t>
            </w:r>
          </w:p>
          <w:p w14:paraId="26FA0E31">
            <w:pPr>
              <w:shd w:val="clear"/>
              <w:spacing w:line="3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（4）抢险救火、见义勇为，有特殊贡献或其他重大立功表现的，加2-10分。</w:t>
            </w:r>
          </w:p>
        </w:tc>
        <w:tc>
          <w:tcPr>
            <w:tcW w:w="975" w:type="dxa"/>
            <w:noWrap w:val="0"/>
            <w:vAlign w:val="top"/>
          </w:tcPr>
          <w:p w14:paraId="3E777FE4">
            <w:pPr>
              <w:shd w:val="clear"/>
              <w:spacing w:line="300" w:lineRule="exact"/>
              <w:ind w:firstLine="0"/>
              <w:jc w:val="center"/>
              <w:rPr>
                <w:rFonts w:hint="eastAsia" w:ascii="仿宋" w:hAnsi="仿宋" w:eastAsia="仿宋" w:cs="仿宋"/>
                <w:color w:val="auto"/>
                <w:sz w:val="24"/>
                <w:szCs w:val="24"/>
                <w:highlight w:val="none"/>
              </w:rPr>
            </w:pPr>
          </w:p>
        </w:tc>
      </w:tr>
      <w:tr w14:paraId="72A9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93" w:type="dxa"/>
            <w:noWrap w:val="0"/>
            <w:vAlign w:val="top"/>
          </w:tcPr>
          <w:p w14:paraId="2E870AE2">
            <w:pPr>
              <w:shd w:val="clear"/>
              <w:ind w:left="0" w:leftChars="0" w:firstLine="0" w:firstLineChars="0"/>
              <w:jc w:val="both"/>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100分</w:t>
            </w:r>
          </w:p>
        </w:tc>
        <w:tc>
          <w:tcPr>
            <w:tcW w:w="1569" w:type="dxa"/>
            <w:noWrap w:val="0"/>
            <w:vAlign w:val="center"/>
          </w:tcPr>
          <w:p w14:paraId="7C6D5A72">
            <w:pPr>
              <w:shd w:val="clear"/>
              <w:spacing w:line="3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6744" w:type="dxa"/>
            <w:noWrap w:val="0"/>
            <w:vAlign w:val="top"/>
          </w:tcPr>
          <w:p w14:paraId="0537B061">
            <w:pPr>
              <w:shd w:val="clear"/>
              <w:rPr>
                <w:rFonts w:hint="eastAsia" w:ascii="仿宋" w:hAnsi="仿宋" w:eastAsia="仿宋" w:cs="仿宋"/>
                <w:color w:val="auto"/>
                <w:sz w:val="24"/>
                <w:szCs w:val="24"/>
                <w:highlight w:val="none"/>
              </w:rPr>
            </w:pPr>
          </w:p>
        </w:tc>
        <w:tc>
          <w:tcPr>
            <w:tcW w:w="975" w:type="dxa"/>
            <w:noWrap w:val="0"/>
            <w:vAlign w:val="top"/>
          </w:tcPr>
          <w:p w14:paraId="451BDF46">
            <w:pPr>
              <w:shd w:val="clear"/>
              <w:jc w:val="center"/>
              <w:rPr>
                <w:rFonts w:hint="eastAsia" w:ascii="仿宋" w:hAnsi="仿宋" w:eastAsia="仿宋" w:cs="仿宋"/>
                <w:color w:val="auto"/>
                <w:sz w:val="24"/>
                <w:szCs w:val="24"/>
                <w:highlight w:val="none"/>
              </w:rPr>
            </w:pPr>
          </w:p>
        </w:tc>
      </w:tr>
    </w:tbl>
    <w:p w14:paraId="438D4752">
      <w:pPr>
        <w:shd w:val="clear"/>
        <w:tabs>
          <w:tab w:val="left" w:pos="6675"/>
        </w:tabs>
        <w:rPr>
          <w:rFonts w:hint="eastAsia" w:ascii="仿宋" w:hAnsi="仿宋" w:eastAsia="仿宋" w:cs="仿宋"/>
          <w:color w:val="auto"/>
          <w:sz w:val="24"/>
          <w:szCs w:val="24"/>
          <w:highlight w:val="none"/>
        </w:rPr>
      </w:pPr>
    </w:p>
    <w:p w14:paraId="0E050C7B">
      <w:pPr>
        <w:shd w:val="clear"/>
        <w:rPr>
          <w:rFonts w:hint="eastAsia" w:ascii="仿宋" w:hAnsi="仿宋" w:eastAsia="仿宋" w:cs="仿宋"/>
          <w:b/>
          <w:color w:val="auto"/>
          <w:sz w:val="36"/>
          <w:szCs w:val="36"/>
          <w:highlight w:val="none"/>
        </w:rPr>
      </w:pPr>
      <w:r>
        <w:rPr>
          <w:rFonts w:hint="eastAsia" w:ascii="仿宋" w:hAnsi="仿宋" w:eastAsia="仿宋" w:cs="仿宋"/>
          <w:color w:val="auto"/>
          <w:sz w:val="24"/>
          <w:szCs w:val="24"/>
          <w:highlight w:val="none"/>
        </w:rPr>
        <w:t xml:space="preserve">测评时间：   年   月   日      </w:t>
      </w:r>
      <w:r>
        <w:rPr>
          <w:rFonts w:hint="eastAsia" w:ascii="仿宋" w:hAnsi="仿宋" w:eastAsia="仿宋" w:cs="仿宋"/>
          <w:bCs/>
          <w:color w:val="auto"/>
          <w:sz w:val="24"/>
          <w:szCs w:val="24"/>
          <w:highlight w:val="none"/>
        </w:rPr>
        <w:t>校长（签名）：</w:t>
      </w:r>
      <w:r>
        <w:rPr>
          <w:rFonts w:hint="eastAsia" w:ascii="仿宋" w:hAnsi="仿宋" w:eastAsia="仿宋" w:cs="仿宋"/>
          <w:b/>
          <w:color w:val="auto"/>
          <w:sz w:val="36"/>
          <w:szCs w:val="36"/>
          <w:highlight w:val="none"/>
        </w:rPr>
        <w:br w:type="page"/>
      </w:r>
    </w:p>
    <w:p w14:paraId="33E22F1F">
      <w:pPr>
        <w:shd w:val="clear"/>
        <w:ind w:firstLine="482" w:firstLineChars="200"/>
        <w:rPr>
          <w:rFonts w:hint="eastAsia" w:ascii="仿宋" w:hAnsi="仿宋" w:eastAsia="仿宋" w:cs="仿宋"/>
          <w:b/>
          <w:color w:val="auto"/>
          <w:sz w:val="24"/>
          <w:highlight w:val="none"/>
        </w:rPr>
      </w:pPr>
    </w:p>
    <w:p w14:paraId="0AF0B570">
      <w:pPr>
        <w:shd w:val="clea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第四部分 拟签订的合同文本</w:t>
      </w:r>
    </w:p>
    <w:p w14:paraId="338DC139">
      <w:pPr>
        <w:shd w:val="clear"/>
        <w:rPr>
          <w:rFonts w:hint="eastAsia" w:ascii="仿宋" w:hAnsi="仿宋" w:eastAsia="仿宋" w:cs="仿宋"/>
          <w:color w:val="auto"/>
          <w:sz w:val="24"/>
          <w:highlight w:val="none"/>
        </w:rPr>
      </w:pPr>
    </w:p>
    <w:p w14:paraId="2BED1703">
      <w:pPr>
        <w:shd w:val="clear"/>
        <w:rPr>
          <w:rFonts w:hint="eastAsia" w:ascii="仿宋" w:hAnsi="仿宋" w:eastAsia="仿宋" w:cs="仿宋"/>
          <w:color w:val="auto"/>
          <w:sz w:val="24"/>
          <w:highlight w:val="none"/>
        </w:rPr>
      </w:pPr>
    </w:p>
    <w:p w14:paraId="0B4ABDD0">
      <w:pPr>
        <w:shd w:val="clea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合同编号：</w:t>
      </w:r>
      <w:r>
        <w:rPr>
          <w:rFonts w:hint="eastAsia" w:ascii="仿宋" w:hAnsi="仿宋" w:eastAsia="仿宋" w:cs="仿宋"/>
          <w:color w:val="auto"/>
          <w:sz w:val="24"/>
          <w:highlight w:val="none"/>
          <w:u w:val="single"/>
        </w:rPr>
        <w:t xml:space="preserve">           </w:t>
      </w:r>
    </w:p>
    <w:p w14:paraId="5B7E9800">
      <w:pPr>
        <w:shd w:val="clear"/>
        <w:spacing w:line="480" w:lineRule="auto"/>
        <w:jc w:val="center"/>
        <w:rPr>
          <w:rFonts w:hint="eastAsia" w:ascii="仿宋" w:hAnsi="仿宋" w:eastAsia="仿宋" w:cs="仿宋"/>
          <w:b/>
          <w:color w:val="auto"/>
          <w:sz w:val="28"/>
          <w:szCs w:val="28"/>
          <w:highlight w:val="none"/>
        </w:rPr>
      </w:pPr>
    </w:p>
    <w:p w14:paraId="20C15C99">
      <w:pPr>
        <w:shd w:val="clear"/>
        <w:spacing w:line="480" w:lineRule="auto"/>
        <w:jc w:val="center"/>
        <w:rPr>
          <w:rFonts w:hint="eastAsia" w:ascii="仿宋" w:hAnsi="仿宋" w:eastAsia="仿宋" w:cs="仿宋"/>
          <w:b/>
          <w:color w:val="auto"/>
          <w:sz w:val="24"/>
          <w:highlight w:val="none"/>
        </w:rPr>
      </w:pPr>
    </w:p>
    <w:p w14:paraId="71A078B6">
      <w:pPr>
        <w:shd w:val="clear"/>
        <w:spacing w:line="480" w:lineRule="auto"/>
        <w:jc w:val="center"/>
        <w:rPr>
          <w:rFonts w:hint="eastAsia" w:ascii="仿宋" w:hAnsi="仿宋" w:eastAsia="仿宋" w:cs="仿宋"/>
          <w:b/>
          <w:color w:val="auto"/>
          <w:sz w:val="24"/>
          <w:highlight w:val="none"/>
        </w:rPr>
      </w:pPr>
    </w:p>
    <w:p w14:paraId="03B0F81D">
      <w:pPr>
        <w:shd w:val="clear"/>
        <w:spacing w:line="480" w:lineRule="auto"/>
        <w:jc w:val="center"/>
        <w:rPr>
          <w:rFonts w:hint="eastAsia" w:ascii="仿宋_GB2312" w:hAnsi="仿宋" w:eastAsia="仿宋_GB2312" w:cs="仿宋_GB2312"/>
          <w:b/>
          <w:color w:val="auto"/>
          <w:sz w:val="36"/>
          <w:szCs w:val="36"/>
          <w:highlight w:val="none"/>
        </w:rPr>
      </w:pPr>
      <w:r>
        <w:rPr>
          <w:rFonts w:hint="eastAsia" w:ascii="仿宋_GB2312" w:hAnsi="仿宋" w:eastAsia="仿宋_GB2312" w:cs="仿宋_GB2312"/>
          <w:b/>
          <w:color w:val="auto"/>
          <w:sz w:val="36"/>
          <w:szCs w:val="36"/>
          <w:highlight w:val="none"/>
        </w:rPr>
        <w:t>政府采购合同参考范本</w:t>
      </w:r>
    </w:p>
    <w:p w14:paraId="66C17BBF">
      <w:pPr>
        <w:widowControl/>
        <w:shd w:val="clear"/>
        <w:snapToGrid w:val="0"/>
        <w:spacing w:line="480" w:lineRule="exact"/>
        <w:ind w:firstLine="3654" w:firstLineChars="1300"/>
        <w:rPr>
          <w:rFonts w:hint="eastAsia" w:ascii="仿宋" w:hAnsi="仿宋" w:eastAsia="仿宋"/>
          <w:b/>
          <w:bCs/>
          <w:snapToGrid w:val="0"/>
          <w:color w:val="auto"/>
          <w:kern w:val="28"/>
          <w:sz w:val="28"/>
          <w:szCs w:val="20"/>
          <w:highlight w:val="none"/>
        </w:rPr>
      </w:pPr>
      <w:r>
        <w:rPr>
          <w:rFonts w:hint="eastAsia" w:ascii="仿宋" w:hAnsi="仿宋" w:eastAsia="仿宋"/>
          <w:b/>
          <w:bCs/>
          <w:snapToGrid w:val="0"/>
          <w:color w:val="auto"/>
          <w:kern w:val="28"/>
          <w:sz w:val="28"/>
          <w:szCs w:val="20"/>
          <w:highlight w:val="none"/>
        </w:rPr>
        <w:t>（服务类）</w:t>
      </w:r>
    </w:p>
    <w:p w14:paraId="48651540">
      <w:pPr>
        <w:widowControl/>
        <w:shd w:val="clear"/>
        <w:snapToGrid w:val="0"/>
        <w:spacing w:line="480" w:lineRule="exact"/>
        <w:rPr>
          <w:rFonts w:hint="eastAsia" w:ascii="仿宋" w:hAnsi="仿宋" w:eastAsia="仿宋"/>
          <w:snapToGrid w:val="0"/>
          <w:color w:val="auto"/>
          <w:kern w:val="28"/>
          <w:sz w:val="28"/>
          <w:szCs w:val="20"/>
          <w:highlight w:val="none"/>
        </w:rPr>
      </w:pPr>
    </w:p>
    <w:p w14:paraId="33A7BDA3">
      <w:pPr>
        <w:shd w:val="clear"/>
        <w:spacing w:before="120" w:line="22" w:lineRule="atLeast"/>
        <w:rPr>
          <w:rFonts w:hint="eastAsia" w:ascii="仿宋" w:hAnsi="仿宋" w:eastAsia="仿宋"/>
          <w:color w:val="auto"/>
          <w:sz w:val="24"/>
          <w:highlight w:val="none"/>
        </w:rPr>
      </w:pPr>
    </w:p>
    <w:p w14:paraId="779B42BC">
      <w:pPr>
        <w:shd w:val="clear"/>
        <w:spacing w:before="120" w:line="22" w:lineRule="atLeast"/>
        <w:ind w:left="960"/>
        <w:rPr>
          <w:rFonts w:hint="eastAsia" w:ascii="仿宋" w:hAnsi="仿宋" w:eastAsia="仿宋"/>
          <w:color w:val="auto"/>
          <w:sz w:val="24"/>
          <w:highlight w:val="none"/>
        </w:rPr>
      </w:pPr>
      <w:r>
        <w:rPr>
          <w:rFonts w:hint="eastAsia" w:ascii="仿宋" w:hAnsi="仿宋" w:eastAsia="仿宋"/>
          <w:color w:val="auto"/>
          <w:sz w:val="24"/>
          <w:highlight w:val="none"/>
        </w:rPr>
        <w:t>项目名称：</w:t>
      </w:r>
      <w:r>
        <w:rPr>
          <w:rFonts w:ascii="仿宋" w:hAnsi="仿宋" w:eastAsia="仿宋"/>
          <w:color w:val="auto"/>
          <w:sz w:val="24"/>
          <w:highlight w:val="none"/>
          <w:u w:val="single"/>
        </w:rPr>
        <w:t xml:space="preserve">                                   </w:t>
      </w:r>
    </w:p>
    <w:p w14:paraId="15E111F6">
      <w:pPr>
        <w:shd w:val="clear"/>
        <w:adjustRightInd/>
        <w:spacing w:before="120" w:line="22" w:lineRule="atLeast"/>
        <w:rPr>
          <w:rFonts w:hint="eastAsia" w:ascii="仿宋" w:hAnsi="仿宋" w:eastAsia="仿宋"/>
          <w:color w:val="auto"/>
          <w:sz w:val="24"/>
          <w:highlight w:val="none"/>
        </w:rPr>
      </w:pPr>
    </w:p>
    <w:p w14:paraId="5D791AF2">
      <w:pPr>
        <w:shd w:val="clear"/>
        <w:adjustRightInd/>
        <w:spacing w:before="120" w:line="22" w:lineRule="atLeast"/>
        <w:rPr>
          <w:rFonts w:hint="eastAsia" w:ascii="仿宋" w:hAnsi="仿宋" w:eastAsia="仿宋"/>
          <w:color w:val="auto"/>
          <w:sz w:val="24"/>
          <w:highlight w:val="none"/>
        </w:rPr>
      </w:pPr>
    </w:p>
    <w:p w14:paraId="315C2C3B">
      <w:pPr>
        <w:shd w:val="clear"/>
        <w:rPr>
          <w:rFonts w:hint="eastAsia" w:ascii="仿宋" w:hAnsi="仿宋" w:eastAsia="仿宋"/>
          <w:color w:val="auto"/>
          <w:sz w:val="24"/>
          <w:highlight w:val="none"/>
        </w:rPr>
      </w:pPr>
    </w:p>
    <w:p w14:paraId="1EA68622">
      <w:pPr>
        <w:shd w:val="clear"/>
        <w:spacing w:before="120" w:line="22" w:lineRule="atLeast"/>
        <w:ind w:left="960"/>
        <w:rPr>
          <w:rFonts w:hint="eastAsia" w:ascii="仿宋" w:hAnsi="仿宋" w:eastAsia="仿宋"/>
          <w:color w:val="auto"/>
          <w:sz w:val="24"/>
          <w:highlight w:val="none"/>
          <w:u w:val="single"/>
        </w:rPr>
      </w:pPr>
      <w:r>
        <w:rPr>
          <w:rFonts w:hint="eastAsia" w:ascii="仿宋" w:hAnsi="仿宋" w:eastAsia="仿宋"/>
          <w:color w:val="auto"/>
          <w:sz w:val="24"/>
          <w:highlight w:val="none"/>
        </w:rPr>
        <w:t>甲方：</w:t>
      </w:r>
      <w:r>
        <w:rPr>
          <w:rFonts w:ascii="仿宋" w:hAnsi="仿宋" w:eastAsia="仿宋"/>
          <w:color w:val="auto"/>
          <w:sz w:val="24"/>
          <w:highlight w:val="none"/>
          <w:u w:val="single"/>
        </w:rPr>
        <w:t xml:space="preserve">                                       </w:t>
      </w:r>
    </w:p>
    <w:p w14:paraId="3B172F99">
      <w:pPr>
        <w:shd w:val="clear"/>
        <w:spacing w:before="120" w:line="22" w:lineRule="atLeast"/>
        <w:rPr>
          <w:rFonts w:hint="eastAsia" w:ascii="仿宋" w:hAnsi="仿宋" w:eastAsia="仿宋"/>
          <w:color w:val="auto"/>
          <w:sz w:val="24"/>
          <w:highlight w:val="none"/>
        </w:rPr>
      </w:pPr>
    </w:p>
    <w:p w14:paraId="0810E706">
      <w:pPr>
        <w:shd w:val="clear"/>
        <w:spacing w:before="120" w:line="22" w:lineRule="atLeast"/>
        <w:ind w:left="960"/>
        <w:rPr>
          <w:rFonts w:hint="eastAsia" w:ascii="仿宋" w:hAnsi="仿宋" w:eastAsia="仿宋"/>
          <w:color w:val="auto"/>
          <w:sz w:val="24"/>
          <w:highlight w:val="none"/>
          <w:u w:val="single"/>
        </w:rPr>
      </w:pPr>
      <w:r>
        <w:rPr>
          <w:rFonts w:hint="eastAsia" w:ascii="仿宋" w:hAnsi="仿宋" w:eastAsia="仿宋"/>
          <w:color w:val="auto"/>
          <w:sz w:val="24"/>
          <w:highlight w:val="none"/>
        </w:rPr>
        <w:t>乙方：</w:t>
      </w:r>
      <w:r>
        <w:rPr>
          <w:rFonts w:ascii="仿宋" w:hAnsi="仿宋" w:eastAsia="仿宋"/>
          <w:color w:val="auto"/>
          <w:sz w:val="24"/>
          <w:highlight w:val="none"/>
          <w:u w:val="single"/>
        </w:rPr>
        <w:t xml:space="preserve">                                       </w:t>
      </w:r>
    </w:p>
    <w:p w14:paraId="0C4049B9">
      <w:pPr>
        <w:shd w:val="clear"/>
        <w:spacing w:before="120" w:line="22" w:lineRule="atLeast"/>
        <w:rPr>
          <w:rFonts w:hint="eastAsia" w:ascii="仿宋" w:hAnsi="仿宋" w:eastAsia="仿宋"/>
          <w:color w:val="auto"/>
          <w:sz w:val="24"/>
          <w:highlight w:val="none"/>
        </w:rPr>
      </w:pPr>
    </w:p>
    <w:p w14:paraId="76662003">
      <w:pPr>
        <w:shd w:val="clear"/>
        <w:spacing w:before="120" w:line="22" w:lineRule="atLeast"/>
        <w:ind w:firstLine="960" w:firstLineChars="400"/>
        <w:rPr>
          <w:rFonts w:hint="eastAsia" w:ascii="仿宋" w:hAnsi="仿宋" w:eastAsia="仿宋"/>
          <w:color w:val="auto"/>
          <w:sz w:val="24"/>
          <w:highlight w:val="none"/>
          <w:u w:val="single"/>
        </w:rPr>
      </w:pPr>
      <w:r>
        <w:rPr>
          <w:rFonts w:hint="eastAsia" w:ascii="仿宋" w:hAnsi="仿宋" w:eastAsia="仿宋"/>
          <w:color w:val="auto"/>
          <w:sz w:val="24"/>
          <w:highlight w:val="none"/>
        </w:rPr>
        <w:t>签订地：</w:t>
      </w:r>
      <w:r>
        <w:rPr>
          <w:rFonts w:ascii="仿宋" w:hAnsi="仿宋" w:eastAsia="仿宋"/>
          <w:color w:val="auto"/>
          <w:sz w:val="24"/>
          <w:highlight w:val="none"/>
          <w:u w:val="single"/>
        </w:rPr>
        <w:t xml:space="preserve">                                     </w:t>
      </w:r>
    </w:p>
    <w:p w14:paraId="700C5DE7">
      <w:pPr>
        <w:shd w:val="clear"/>
        <w:spacing w:before="120" w:line="22" w:lineRule="atLeast"/>
        <w:rPr>
          <w:rFonts w:hint="eastAsia" w:ascii="仿宋" w:hAnsi="仿宋" w:eastAsia="仿宋"/>
          <w:color w:val="auto"/>
          <w:sz w:val="24"/>
          <w:highlight w:val="none"/>
        </w:rPr>
      </w:pPr>
    </w:p>
    <w:p w14:paraId="761720A7">
      <w:pPr>
        <w:shd w:val="clear"/>
        <w:spacing w:before="120" w:line="22" w:lineRule="atLeast"/>
        <w:ind w:firstLine="960" w:firstLineChars="400"/>
        <w:rPr>
          <w:rFonts w:hint="eastAsia" w:ascii="仿宋" w:hAnsi="仿宋" w:eastAsia="仿宋"/>
          <w:color w:val="auto"/>
          <w:kern w:val="0"/>
          <w:sz w:val="24"/>
          <w:highlight w:val="none"/>
        </w:rPr>
        <w:sectPr>
          <w:headerReference r:id="rId10" w:type="first"/>
          <w:footerReference r:id="rId12" w:type="first"/>
          <w:headerReference r:id="rId9" w:type="default"/>
          <w:footerReference r:id="rId11" w:type="default"/>
          <w:pgSz w:w="11907" w:h="16840"/>
          <w:pgMar w:top="1474" w:right="1616" w:bottom="1474" w:left="1655" w:header="851" w:footer="851" w:gutter="0"/>
          <w:cols w:space="720" w:num="1"/>
          <w:titlePg/>
          <w:docGrid w:linePitch="286" w:charSpace="0"/>
        </w:sectPr>
      </w:pPr>
      <w:r>
        <w:rPr>
          <w:rFonts w:hint="eastAsia" w:ascii="仿宋" w:hAnsi="仿宋" w:eastAsia="仿宋"/>
          <w:color w:val="auto"/>
          <w:sz w:val="24"/>
          <w:highlight w:val="none"/>
        </w:rPr>
        <w:t>签订日期：</w:t>
      </w:r>
      <w:r>
        <w:rPr>
          <w:rFonts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ascii="仿宋" w:hAnsi="仿宋" w:eastAsia="仿宋"/>
          <w:color w:val="auto"/>
          <w:sz w:val="24"/>
          <w:highlight w:val="none"/>
          <w:u w:val="single"/>
        </w:rPr>
        <w:t xml:space="preserve">       </w:t>
      </w:r>
    </w:p>
    <w:p w14:paraId="4642DBDB">
      <w:pPr>
        <w:widowControl/>
        <w:shd w:val="clear"/>
        <w:overflowPunct w:val="0"/>
        <w:autoSpaceDE w:val="0"/>
        <w:autoSpaceDN w:val="0"/>
        <w:spacing w:line="420" w:lineRule="exact"/>
        <w:ind w:firstLine="480" w:firstLineChars="200"/>
        <w:jc w:val="left"/>
        <w:textAlignment w:val="baseline"/>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根据《中华人民共和国民法典》、《中华人民共和国政府采购法》等有关规定，以及</w:t>
      </w:r>
      <w:r>
        <w:rPr>
          <w:rFonts w:hint="eastAsia" w:ascii="仿宋" w:hAnsi="仿宋" w:eastAsia="仿宋" w:cs="仿宋"/>
          <w:bCs/>
          <w:color w:val="auto"/>
          <w:kern w:val="0"/>
          <w:sz w:val="24"/>
          <w:highlight w:val="none"/>
          <w:u w:val="single"/>
        </w:rPr>
        <w:t xml:space="preserve">           </w:t>
      </w:r>
      <w:r>
        <w:rPr>
          <w:rFonts w:hint="eastAsia" w:ascii="仿宋" w:hAnsi="仿宋" w:eastAsia="仿宋" w:cs="仿宋"/>
          <w:bCs/>
          <w:color w:val="auto"/>
          <w:kern w:val="0"/>
          <w:sz w:val="24"/>
          <w:highlight w:val="none"/>
        </w:rPr>
        <w:t>项目（编号：</w:t>
      </w:r>
      <w:r>
        <w:rPr>
          <w:rFonts w:hint="eastAsia" w:ascii="仿宋" w:hAnsi="仿宋" w:eastAsia="仿宋" w:cs="仿宋"/>
          <w:bCs/>
          <w:color w:val="auto"/>
          <w:kern w:val="0"/>
          <w:sz w:val="24"/>
          <w:highlight w:val="none"/>
          <w:u w:val="single"/>
        </w:rPr>
        <w:t xml:space="preserve">     </w:t>
      </w:r>
      <w:r>
        <w:rPr>
          <w:rFonts w:hint="eastAsia" w:ascii="仿宋" w:hAnsi="仿宋" w:eastAsia="仿宋" w:cs="仿宋"/>
          <w:bCs/>
          <w:color w:val="auto"/>
          <w:kern w:val="0"/>
          <w:sz w:val="24"/>
          <w:highlight w:val="none"/>
        </w:rPr>
        <w:t>）采购文件相关要求，经法定程序采购，双方同意签订以下合同条款，以便双方共同遵守、履行合同。</w:t>
      </w:r>
    </w:p>
    <w:p w14:paraId="13E3A03A">
      <w:pPr>
        <w:keepNext w:val="0"/>
        <w:keepLines w:val="0"/>
        <w:pageBreakBefore w:val="0"/>
        <w:widowControl w:val="0"/>
        <w:shd w:val="clear"/>
        <w:kinsoku/>
        <w:wordWrap/>
        <w:overflowPunct/>
        <w:topLinePunct w:val="0"/>
        <w:autoSpaceDE/>
        <w:autoSpaceDN/>
        <w:bidi w:val="0"/>
        <w:adjustRightInd/>
        <w:spacing w:line="460" w:lineRule="exac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项目内容及要求、服务期限 </w:t>
      </w:r>
    </w:p>
    <w:tbl>
      <w:tblPr>
        <w:tblStyle w:val="25"/>
        <w:tblW w:w="9239"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4248"/>
        <w:gridCol w:w="2361"/>
      </w:tblGrid>
      <w:tr w14:paraId="3F47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noWrap w:val="0"/>
            <w:vAlign w:val="center"/>
          </w:tcPr>
          <w:p w14:paraId="01A47E7E">
            <w:pPr>
              <w:pStyle w:val="12"/>
              <w:shd w:val="clear"/>
              <w:snapToGrid w:val="0"/>
              <w:jc w:val="center"/>
              <w:rPr>
                <w:rFonts w:hint="eastAsia" w:ascii="仿宋" w:hAnsi="仿宋" w:eastAsia="仿宋" w:cs="仿宋"/>
                <w:b/>
                <w:color w:val="auto"/>
                <w:sz w:val="24"/>
                <w:szCs w:val="24"/>
                <w:highlight w:val="none"/>
              </w:rPr>
            </w:pPr>
            <w:bookmarkStart w:id="40" w:name="_Toc31898"/>
            <w:r>
              <w:rPr>
                <w:rFonts w:hint="eastAsia" w:ascii="仿宋" w:hAnsi="仿宋" w:eastAsia="仿宋" w:cs="仿宋"/>
                <w:b/>
                <w:color w:val="auto"/>
                <w:sz w:val="24"/>
                <w:szCs w:val="24"/>
                <w:highlight w:val="none"/>
              </w:rPr>
              <w:t>项目名称</w:t>
            </w:r>
          </w:p>
        </w:tc>
        <w:tc>
          <w:tcPr>
            <w:tcW w:w="4248" w:type="dxa"/>
            <w:noWrap w:val="0"/>
            <w:vAlign w:val="center"/>
          </w:tcPr>
          <w:p w14:paraId="09D44B87">
            <w:pPr>
              <w:pStyle w:val="12"/>
              <w:shd w:val="clear"/>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服务要求</w:t>
            </w:r>
          </w:p>
        </w:tc>
        <w:tc>
          <w:tcPr>
            <w:tcW w:w="2361" w:type="dxa"/>
            <w:noWrap w:val="0"/>
            <w:vAlign w:val="center"/>
          </w:tcPr>
          <w:p w14:paraId="57934386">
            <w:pPr>
              <w:pStyle w:val="12"/>
              <w:shd w:val="clear"/>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总价</w:t>
            </w:r>
          </w:p>
        </w:tc>
      </w:tr>
      <w:tr w14:paraId="301B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noWrap w:val="0"/>
            <w:vAlign w:val="top"/>
          </w:tcPr>
          <w:p w14:paraId="43AF5C84">
            <w:pPr>
              <w:pStyle w:val="12"/>
              <w:shd w:val="clear"/>
              <w:snapToGrid w:val="0"/>
              <w:rPr>
                <w:rFonts w:hint="eastAsia" w:ascii="仿宋" w:hAnsi="仿宋" w:eastAsia="仿宋" w:cs="仿宋"/>
                <w:b/>
                <w:color w:val="auto"/>
                <w:sz w:val="24"/>
                <w:szCs w:val="24"/>
                <w:highlight w:val="none"/>
              </w:rPr>
            </w:pPr>
          </w:p>
        </w:tc>
        <w:tc>
          <w:tcPr>
            <w:tcW w:w="4248" w:type="dxa"/>
            <w:noWrap w:val="0"/>
            <w:vAlign w:val="top"/>
          </w:tcPr>
          <w:p w14:paraId="0F752120">
            <w:pPr>
              <w:pStyle w:val="12"/>
              <w:shd w:val="clear"/>
              <w:snapToGrid w:val="0"/>
              <w:rPr>
                <w:rFonts w:hint="eastAsia" w:ascii="仿宋" w:hAnsi="仿宋" w:eastAsia="仿宋" w:cs="仿宋"/>
                <w:b/>
                <w:color w:val="auto"/>
                <w:sz w:val="24"/>
                <w:szCs w:val="24"/>
                <w:highlight w:val="none"/>
              </w:rPr>
            </w:pPr>
          </w:p>
        </w:tc>
        <w:tc>
          <w:tcPr>
            <w:tcW w:w="2361" w:type="dxa"/>
            <w:noWrap w:val="0"/>
            <w:vAlign w:val="top"/>
          </w:tcPr>
          <w:p w14:paraId="458386BF">
            <w:pPr>
              <w:pStyle w:val="12"/>
              <w:shd w:val="clear"/>
              <w:snapToGrid w:val="0"/>
              <w:rPr>
                <w:rFonts w:hint="eastAsia" w:ascii="仿宋" w:hAnsi="仿宋" w:eastAsia="仿宋" w:cs="仿宋"/>
                <w:b/>
                <w:color w:val="auto"/>
                <w:sz w:val="24"/>
                <w:szCs w:val="24"/>
                <w:highlight w:val="none"/>
              </w:rPr>
            </w:pPr>
          </w:p>
        </w:tc>
      </w:tr>
    </w:tbl>
    <w:p w14:paraId="54771348">
      <w:pPr>
        <w:pStyle w:val="12"/>
        <w:keepNext w:val="0"/>
        <w:keepLines w:val="0"/>
        <w:pageBreakBefore w:val="0"/>
        <w:shd w:val="clear"/>
        <w:kinsoku/>
        <w:wordWrap/>
        <w:overflowPunct/>
        <w:topLinePunct w:val="0"/>
        <w:bidi w:val="0"/>
        <w:snapToGrid w:val="0"/>
        <w:spacing w:line="460" w:lineRule="exact"/>
        <w:ind w:left="-2" w:leftChars="-1"/>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注：1、项目具体技术需求及采购人地址等详见采购文件、投标文件及询标记录。</w:t>
      </w:r>
    </w:p>
    <w:p w14:paraId="2EAAB763">
      <w:pPr>
        <w:pStyle w:val="13"/>
        <w:keepNext w:val="0"/>
        <w:keepLines w:val="0"/>
        <w:pageBreakBefore w:val="0"/>
        <w:numPr>
          <w:ilvl w:val="0"/>
          <w:numId w:val="7"/>
        </w:numPr>
        <w:shd w:val="clear"/>
        <w:kinsoku/>
        <w:wordWrap/>
        <w:overflowPunct/>
        <w:topLinePunct w:val="0"/>
        <w:bidi w:val="0"/>
        <w:spacing w:line="460" w:lineRule="exac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以上合同总价包含项目达到预期使用效果所需的一切费用。</w:t>
      </w:r>
    </w:p>
    <w:p w14:paraId="474FA6CC">
      <w:pPr>
        <w:keepNext w:val="0"/>
        <w:keepLines w:val="0"/>
        <w:pageBreakBefore w:val="0"/>
        <w:widowControl w:val="0"/>
        <w:shd w:val="clear"/>
        <w:kinsoku/>
        <w:wordWrap/>
        <w:overflowPunct/>
        <w:topLinePunct w:val="0"/>
        <w:autoSpaceDE/>
        <w:autoSpaceDN/>
        <w:bidi w:val="0"/>
        <w:adjustRightInd/>
        <w:spacing w:line="460" w:lineRule="exact"/>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二、合同文件组成及解释顺序</w:t>
      </w:r>
      <w:bookmarkEnd w:id="40"/>
    </w:p>
    <w:p w14:paraId="7708FEFC">
      <w:pPr>
        <w:keepNext w:val="0"/>
        <w:keepLines w:val="0"/>
        <w:pageBreakBefore w:val="0"/>
        <w:widowControl w:val="0"/>
        <w:shd w:val="clear"/>
        <w:kinsoku/>
        <w:wordWrap/>
        <w:overflowPunct/>
        <w:topLinePunct w:val="0"/>
        <w:autoSpaceDE/>
        <w:autoSpaceDN/>
        <w:bidi w:val="0"/>
        <w:spacing w:line="46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下列文件一起组成本合同文件：</w:t>
      </w:r>
    </w:p>
    <w:p w14:paraId="70CB624B">
      <w:pPr>
        <w:keepNext w:val="0"/>
        <w:keepLines w:val="0"/>
        <w:pageBreakBefore w:val="0"/>
        <w:widowControl w:val="0"/>
        <w:shd w:val="clear"/>
        <w:kinsoku/>
        <w:wordWrap/>
        <w:overflowPunct/>
        <w:topLinePunct w:val="0"/>
        <w:autoSpaceDE/>
        <w:autoSpaceDN/>
        <w:bidi w:val="0"/>
        <w:spacing w:line="46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（1）本采购合同；</w:t>
      </w:r>
    </w:p>
    <w:p w14:paraId="32735A7C">
      <w:pPr>
        <w:keepNext w:val="0"/>
        <w:keepLines w:val="0"/>
        <w:pageBreakBefore w:val="0"/>
        <w:widowControl w:val="0"/>
        <w:shd w:val="clear"/>
        <w:kinsoku/>
        <w:wordWrap/>
        <w:overflowPunct/>
        <w:topLinePunct w:val="0"/>
        <w:autoSpaceDE/>
        <w:autoSpaceDN/>
        <w:bidi w:val="0"/>
        <w:spacing w:line="46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（2）中标通知书；</w:t>
      </w:r>
    </w:p>
    <w:p w14:paraId="450F16A2">
      <w:pPr>
        <w:keepNext w:val="0"/>
        <w:keepLines w:val="0"/>
        <w:pageBreakBefore w:val="0"/>
        <w:widowControl w:val="0"/>
        <w:shd w:val="clear"/>
        <w:kinsoku/>
        <w:wordWrap/>
        <w:overflowPunct/>
        <w:topLinePunct w:val="0"/>
        <w:autoSpaceDE/>
        <w:autoSpaceDN/>
        <w:bidi w:val="0"/>
        <w:spacing w:line="46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（3）招标补充文件及招标文件；</w:t>
      </w:r>
    </w:p>
    <w:p w14:paraId="70D43872">
      <w:pPr>
        <w:keepNext w:val="0"/>
        <w:keepLines w:val="0"/>
        <w:pageBreakBefore w:val="0"/>
        <w:widowControl w:val="0"/>
        <w:shd w:val="clear"/>
        <w:kinsoku/>
        <w:wordWrap/>
        <w:overflowPunct/>
        <w:topLinePunct w:val="0"/>
        <w:autoSpaceDE/>
        <w:autoSpaceDN/>
        <w:bidi w:val="0"/>
        <w:spacing w:line="46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（4）询标承诺、询疑答复；</w:t>
      </w:r>
    </w:p>
    <w:p w14:paraId="45CF4342">
      <w:pPr>
        <w:keepNext w:val="0"/>
        <w:keepLines w:val="0"/>
        <w:pageBreakBefore w:val="0"/>
        <w:widowControl w:val="0"/>
        <w:shd w:val="clear"/>
        <w:kinsoku/>
        <w:wordWrap/>
        <w:overflowPunct/>
        <w:topLinePunct w:val="0"/>
        <w:autoSpaceDE/>
        <w:autoSpaceDN/>
        <w:bidi w:val="0"/>
        <w:spacing w:line="46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（5）投标文件及其补充文件；</w:t>
      </w:r>
    </w:p>
    <w:p w14:paraId="66EFDBDF">
      <w:pPr>
        <w:keepNext w:val="0"/>
        <w:keepLines w:val="0"/>
        <w:pageBreakBefore w:val="0"/>
        <w:widowControl w:val="0"/>
        <w:shd w:val="clear"/>
        <w:kinsoku/>
        <w:wordWrap/>
        <w:overflowPunct/>
        <w:topLinePunct w:val="0"/>
        <w:autoSpaceDE/>
        <w:autoSpaceDN/>
        <w:bidi w:val="0"/>
        <w:spacing w:line="46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（6）双方来函；</w:t>
      </w:r>
    </w:p>
    <w:p w14:paraId="029D1211">
      <w:pPr>
        <w:keepNext w:val="0"/>
        <w:keepLines w:val="0"/>
        <w:pageBreakBefore w:val="0"/>
        <w:widowControl w:val="0"/>
        <w:shd w:val="clear"/>
        <w:kinsoku/>
        <w:wordWrap/>
        <w:overflowPunct/>
        <w:topLinePunct w:val="0"/>
        <w:autoSpaceDE/>
        <w:autoSpaceDN/>
        <w:bidi w:val="0"/>
        <w:spacing w:line="46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合同文件组成的所有内容是构成合同不可分割的部分，与合同具有同等法律效力。上述文件相互补充和解释，如有不明确或不一致之处，以上述次序在先者为准。除上述合同顺序外，合同文件之间有矛盾的，以较后时间制定的为准。</w:t>
      </w:r>
    </w:p>
    <w:p w14:paraId="5D84321E">
      <w:pPr>
        <w:pStyle w:val="13"/>
        <w:keepNext w:val="0"/>
        <w:keepLines w:val="0"/>
        <w:pageBreakBefore w:val="0"/>
        <w:numPr>
          <w:ilvl w:val="0"/>
          <w:numId w:val="0"/>
        </w:numPr>
        <w:shd w:val="clear"/>
        <w:kinsoku/>
        <w:wordWrap/>
        <w:overflowPunct/>
        <w:topLinePunct w:val="0"/>
        <w:bidi w:val="0"/>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三、技术资料</w:t>
      </w:r>
    </w:p>
    <w:p w14:paraId="7982555E">
      <w:pPr>
        <w:pStyle w:val="13"/>
        <w:keepNext w:val="0"/>
        <w:keepLines w:val="0"/>
        <w:pageBreakBefore w:val="0"/>
        <w:numPr>
          <w:ilvl w:val="0"/>
          <w:numId w:val="0"/>
        </w:numPr>
        <w:shd w:val="clear"/>
        <w:kinsoku/>
        <w:wordWrap/>
        <w:overflowPunct/>
        <w:topLinePunct w:val="0"/>
        <w:bidi w:val="0"/>
        <w:spacing w:line="46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snapToGrid/>
          <w:color w:val="auto"/>
          <w:kern w:val="2"/>
          <w:sz w:val="24"/>
          <w:szCs w:val="24"/>
          <w:highlight w:val="none"/>
          <w:lang w:val="zh-CN" w:eastAsia="zh-CN" w:bidi="ar-SA"/>
        </w:rPr>
        <w:t>1、</w:t>
      </w:r>
      <w:r>
        <w:rPr>
          <w:rFonts w:hint="eastAsia" w:ascii="仿宋" w:hAnsi="仿宋" w:eastAsia="仿宋" w:cs="仿宋"/>
          <w:color w:val="auto"/>
          <w:sz w:val="24"/>
          <w:szCs w:val="24"/>
          <w:highlight w:val="none"/>
        </w:rPr>
        <w:t>乙方应按照采购文件规定的时间向甲方提供使用项目的有关技术资料。</w:t>
      </w:r>
    </w:p>
    <w:p w14:paraId="6525FE8D">
      <w:pPr>
        <w:pStyle w:val="13"/>
        <w:keepNext w:val="0"/>
        <w:keepLines w:val="0"/>
        <w:pageBreakBefore w:val="0"/>
        <w:numPr>
          <w:ilvl w:val="0"/>
          <w:numId w:val="0"/>
        </w:numPr>
        <w:shd w:val="clear"/>
        <w:kinsoku/>
        <w:wordWrap/>
        <w:overflowPunct/>
        <w:topLinePunct w:val="0"/>
        <w:bidi w:val="0"/>
        <w:spacing w:line="460" w:lineRule="exact"/>
        <w:ind w:firstLine="360" w:firstLineChars="15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val="0"/>
          <w:bCs w:val="0"/>
          <w:snapToGrid/>
          <w:color w:val="auto"/>
          <w:kern w:val="2"/>
          <w:sz w:val="24"/>
          <w:szCs w:val="24"/>
          <w:highlight w:val="none"/>
          <w:lang w:val="zh-CN" w:eastAsia="zh-CN" w:bidi="ar-SA"/>
        </w:rPr>
        <w:t>2、</w:t>
      </w:r>
      <w:r>
        <w:rPr>
          <w:rFonts w:hint="eastAsia" w:ascii="仿宋" w:hAnsi="仿宋" w:eastAsia="仿宋" w:cs="仿宋"/>
          <w:color w:val="auto"/>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A9007CB">
      <w:pPr>
        <w:keepNext w:val="0"/>
        <w:keepLines w:val="0"/>
        <w:pageBreakBefore w:val="0"/>
        <w:widowControl w:val="0"/>
        <w:shd w:val="clear"/>
        <w:kinsoku/>
        <w:wordWrap/>
        <w:overflowPunct/>
        <w:topLinePunct w:val="0"/>
        <w:autoSpaceDE/>
        <w:autoSpaceDN/>
        <w:bidi w:val="0"/>
        <w:adjustRightInd/>
        <w:spacing w:line="460" w:lineRule="exact"/>
        <w:textAlignment w:val="auto"/>
        <w:outlineLvl w:val="9"/>
        <w:rPr>
          <w:rFonts w:hint="eastAsia" w:ascii="仿宋" w:hAnsi="仿宋" w:eastAsia="仿宋" w:cs="仿宋"/>
          <w:b/>
          <w:bCs/>
          <w:color w:val="auto"/>
          <w:sz w:val="24"/>
          <w:szCs w:val="24"/>
          <w:highlight w:val="none"/>
          <w:lang w:val="en-US" w:eastAsia="zh-CN"/>
        </w:rPr>
      </w:pPr>
      <w:bookmarkStart w:id="41" w:name="_Toc30752"/>
      <w:r>
        <w:rPr>
          <w:rFonts w:hint="eastAsia" w:ascii="仿宋" w:hAnsi="仿宋" w:eastAsia="仿宋" w:cs="仿宋"/>
          <w:b/>
          <w:bCs/>
          <w:color w:val="auto"/>
          <w:sz w:val="24"/>
          <w:szCs w:val="24"/>
          <w:highlight w:val="none"/>
          <w:lang w:eastAsia="zh-CN"/>
        </w:rPr>
        <w:t>四</w:t>
      </w:r>
      <w:r>
        <w:rPr>
          <w:rFonts w:hint="eastAsia" w:ascii="仿宋" w:hAnsi="仿宋" w:eastAsia="仿宋" w:cs="仿宋"/>
          <w:b/>
          <w:bCs/>
          <w:color w:val="auto"/>
          <w:sz w:val="24"/>
          <w:szCs w:val="24"/>
          <w:highlight w:val="none"/>
        </w:rPr>
        <w:t>、</w:t>
      </w:r>
      <w:bookmarkEnd w:id="41"/>
      <w:r>
        <w:rPr>
          <w:rFonts w:hint="eastAsia" w:ascii="仿宋" w:hAnsi="仿宋" w:eastAsia="仿宋" w:cs="仿宋"/>
          <w:b/>
          <w:bCs/>
          <w:color w:val="auto"/>
          <w:sz w:val="24"/>
          <w:szCs w:val="24"/>
          <w:highlight w:val="none"/>
          <w:lang w:eastAsia="zh-CN"/>
        </w:rPr>
        <w:t>服务费结算及支付</w:t>
      </w:r>
    </w:p>
    <w:p w14:paraId="01DA04FC">
      <w:pPr>
        <w:keepNext w:val="0"/>
        <w:keepLines w:val="0"/>
        <w:pageBreakBefore w:val="0"/>
        <w:widowControl w:val="0"/>
        <w:numPr>
          <w:ilvl w:val="0"/>
          <w:numId w:val="0"/>
        </w:numPr>
        <w:shd w:val="clear"/>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仿宋" w:hAnsi="仿宋" w:eastAsia="仿宋" w:cs="仿宋"/>
          <w:color w:val="auto"/>
          <w:sz w:val="24"/>
          <w:szCs w:val="24"/>
          <w:highlight w:val="none"/>
          <w:lang w:val="en-US" w:eastAsia="zh-CN"/>
        </w:rPr>
      </w:pPr>
      <w:bookmarkStart w:id="42" w:name="_Toc10055"/>
      <w:r>
        <w:rPr>
          <w:rFonts w:hint="eastAsia" w:ascii="仿宋" w:hAnsi="仿宋" w:eastAsia="仿宋" w:cs="仿宋"/>
          <w:color w:val="auto"/>
          <w:sz w:val="24"/>
          <w:szCs w:val="24"/>
          <w:highlight w:val="none"/>
          <w:lang w:eastAsia="zh-CN"/>
        </w:rPr>
        <w:t>服务费用由学校将服务情况上</w:t>
      </w:r>
      <w:r>
        <w:rPr>
          <w:rFonts w:hint="eastAsia" w:ascii="仿宋" w:hAnsi="仿宋" w:eastAsia="仿宋" w:cs="仿宋"/>
          <w:color w:val="auto"/>
          <w:sz w:val="24"/>
          <w:szCs w:val="24"/>
          <w:highlight w:val="none"/>
          <w:lang w:val="en-US" w:eastAsia="zh-CN"/>
        </w:rPr>
        <w:t>报甲方</w:t>
      </w:r>
      <w:r>
        <w:rPr>
          <w:rFonts w:hint="eastAsia" w:ascii="仿宋" w:hAnsi="仿宋" w:eastAsia="仿宋" w:cs="仿宋"/>
          <w:color w:val="auto"/>
          <w:sz w:val="24"/>
          <w:szCs w:val="24"/>
          <w:highlight w:val="none"/>
          <w:lang w:eastAsia="zh-CN"/>
        </w:rPr>
        <w:t>汇总后，按</w:t>
      </w:r>
      <w:r>
        <w:rPr>
          <w:rFonts w:hint="eastAsia" w:ascii="仿宋" w:hAnsi="仿宋" w:eastAsia="仿宋" w:cs="仿宋"/>
          <w:color w:val="auto"/>
          <w:sz w:val="24"/>
          <w:szCs w:val="24"/>
          <w:highlight w:val="none"/>
          <w:lang w:val="en-US" w:eastAsia="zh-CN"/>
        </w:rPr>
        <w:t>半年</w:t>
      </w:r>
      <w:r>
        <w:rPr>
          <w:rFonts w:hint="eastAsia" w:ascii="仿宋" w:hAnsi="仿宋" w:eastAsia="仿宋" w:cs="仿宋"/>
          <w:color w:val="auto"/>
          <w:sz w:val="24"/>
          <w:szCs w:val="24"/>
          <w:highlight w:val="none"/>
          <w:lang w:eastAsia="zh-CN"/>
        </w:rPr>
        <w:t>为单位结算付款，</w:t>
      </w:r>
      <w:r>
        <w:rPr>
          <w:rFonts w:hint="eastAsia" w:ascii="仿宋" w:hAnsi="仿宋" w:eastAsia="仿宋" w:cs="仿宋"/>
          <w:color w:val="auto"/>
          <w:sz w:val="24"/>
          <w:szCs w:val="24"/>
          <w:highlight w:val="none"/>
          <w:lang w:val="en-US" w:eastAsia="zh-CN"/>
        </w:rPr>
        <w:t>5月份支付1-6月份的服务费，11月份支付7-12月的服务费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扣除相应考核扣款</w:t>
      </w:r>
      <w:r>
        <w:rPr>
          <w:rFonts w:hint="eastAsia" w:ascii="仿宋" w:hAnsi="仿宋" w:eastAsia="仿宋" w:cs="仿宋"/>
          <w:color w:val="auto"/>
          <w:sz w:val="24"/>
          <w:szCs w:val="24"/>
          <w:highlight w:val="none"/>
          <w:lang w:eastAsia="zh-CN"/>
        </w:rPr>
        <w:t>）</w:t>
      </w:r>
    </w:p>
    <w:p w14:paraId="53D3E296">
      <w:pPr>
        <w:keepNext w:val="0"/>
        <w:keepLines w:val="0"/>
        <w:pageBreakBefore w:val="0"/>
        <w:widowControl w:val="0"/>
        <w:numPr>
          <w:ilvl w:val="0"/>
          <w:numId w:val="0"/>
        </w:numPr>
        <w:shd w:val="clear"/>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五、</w:t>
      </w:r>
      <w:r>
        <w:rPr>
          <w:rFonts w:hint="eastAsia" w:ascii="仿宋" w:hAnsi="仿宋" w:eastAsia="仿宋" w:cs="仿宋"/>
          <w:b/>
          <w:bCs/>
          <w:color w:val="auto"/>
          <w:sz w:val="24"/>
          <w:szCs w:val="24"/>
          <w:highlight w:val="none"/>
          <w:lang w:val="en-US" w:eastAsia="zh-CN"/>
        </w:rPr>
        <w:t>履约保证金</w:t>
      </w:r>
      <w:r>
        <w:rPr>
          <w:rFonts w:hint="eastAsia" w:ascii="仿宋" w:hAnsi="仿宋" w:eastAsia="仿宋" w:cs="仿宋"/>
          <w:b w:val="0"/>
          <w:bCs w:val="0"/>
          <w:color w:val="auto"/>
          <w:sz w:val="24"/>
          <w:szCs w:val="24"/>
          <w:highlight w:val="none"/>
          <w:lang w:val="en-US" w:eastAsia="zh-CN"/>
        </w:rPr>
        <w:t>：</w:t>
      </w:r>
    </w:p>
    <w:p w14:paraId="61CE0A9D">
      <w:pPr>
        <w:keepNext w:val="0"/>
        <w:keepLines w:val="0"/>
        <w:pageBreakBefore w:val="0"/>
        <w:widowControl w:val="0"/>
        <w:numPr>
          <w:ilvl w:val="0"/>
          <w:numId w:val="0"/>
        </w:numPr>
        <w:shd w:val="clear"/>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须按照合同价的</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%向</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一次性缴纳履约保证金。履约保证金在承包期满后，并经</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考评合格且</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办理完移交给</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手续后一个月内无息退还。</w:t>
      </w:r>
    </w:p>
    <w:p w14:paraId="334B528E">
      <w:pPr>
        <w:keepNext w:val="0"/>
        <w:keepLines w:val="0"/>
        <w:pageBreakBefore w:val="0"/>
        <w:widowControl/>
        <w:shd w:val="clear"/>
        <w:kinsoku/>
        <w:wordWrap/>
        <w:overflowPunct/>
        <w:topLinePunct w:val="0"/>
        <w:autoSpaceDE/>
        <w:autoSpaceDN/>
        <w:bidi w:val="0"/>
        <w:snapToGrid w:val="0"/>
        <w:spacing w:line="460" w:lineRule="exact"/>
        <w:ind w:firstLine="480" w:firstLineChars="200"/>
        <w:textAlignment w:val="auto"/>
        <w:rPr>
          <w:rFonts w:hint="eastAsia" w:ascii="仿宋" w:hAnsi="仿宋" w:eastAsia="仿宋" w:cs="仿宋"/>
          <w:b/>
          <w:bCs/>
          <w:color w:val="auto"/>
          <w:sz w:val="24"/>
          <w:szCs w:val="24"/>
          <w:highlight w:val="none"/>
          <w:lang w:eastAsia="zh-CN"/>
        </w:rPr>
      </w:pPr>
      <w:r>
        <w:rPr>
          <w:rFonts w:ascii="仿宋" w:hAnsi="仿宋" w:eastAsia="仿宋" w:cs="仿宋"/>
          <w:color w:val="auto"/>
          <w:sz w:val="24"/>
          <w:szCs w:val="24"/>
          <w:highlight w:val="none"/>
        </w:rPr>
        <w:t>履约保证金支付方式：保函、网上银行、电汇、汇票或转帐形式。保函包括银行保函、保险机构保证保险保单。</w:t>
      </w:r>
    </w:p>
    <w:p w14:paraId="0BA63813">
      <w:pPr>
        <w:keepNext w:val="0"/>
        <w:keepLines w:val="0"/>
        <w:pageBreakBefore w:val="0"/>
        <w:widowControl/>
        <w:shd w:val="clear"/>
        <w:kinsoku/>
        <w:wordWrap/>
        <w:overflowPunct/>
        <w:topLinePunct w:val="0"/>
        <w:autoSpaceDE/>
        <w:autoSpaceDN/>
        <w:bidi w:val="0"/>
        <w:snapToGrid w:val="0"/>
        <w:spacing w:line="46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六</w:t>
      </w:r>
      <w:r>
        <w:rPr>
          <w:rFonts w:hint="eastAsia" w:ascii="仿宋" w:hAnsi="仿宋" w:eastAsia="仿宋" w:cs="仿宋"/>
          <w:b/>
          <w:bCs/>
          <w:color w:val="auto"/>
          <w:sz w:val="24"/>
          <w:szCs w:val="24"/>
          <w:highlight w:val="none"/>
        </w:rPr>
        <w:t>、</w:t>
      </w:r>
      <w:bookmarkEnd w:id="42"/>
      <w:bookmarkStart w:id="43" w:name="_Toc20121"/>
      <w:r>
        <w:rPr>
          <w:rFonts w:hint="eastAsia" w:ascii="仿宋" w:hAnsi="仿宋" w:eastAsia="仿宋" w:cs="仿宋"/>
          <w:b/>
          <w:bCs/>
          <w:color w:val="auto"/>
          <w:sz w:val="24"/>
          <w:szCs w:val="24"/>
          <w:highlight w:val="none"/>
          <w:lang w:val="en-US" w:eastAsia="zh-CN"/>
        </w:rPr>
        <w:t>服务内容、要求</w:t>
      </w:r>
    </w:p>
    <w:p w14:paraId="72EF50FF">
      <w:pPr>
        <w:keepNext w:val="0"/>
        <w:keepLines w:val="0"/>
        <w:pageBreakBefore w:val="0"/>
        <w:widowControl w:val="0"/>
        <w:numPr>
          <w:ilvl w:val="0"/>
          <w:numId w:val="0"/>
        </w:numPr>
        <w:shd w:val="clear"/>
        <w:kinsoku/>
        <w:wordWrap/>
        <w:overflowPunct/>
        <w:topLinePunct w:val="0"/>
        <w:autoSpaceDE/>
        <w:autoSpaceDN/>
        <w:bidi w:val="0"/>
        <w:spacing w:line="46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一）安保服务工作内容：</w:t>
      </w:r>
    </w:p>
    <w:p w14:paraId="40A4EA6B">
      <w:pPr>
        <w:keepNext w:val="0"/>
        <w:keepLines w:val="0"/>
        <w:pageBreakBefore w:val="0"/>
        <w:widowControl w:val="0"/>
        <w:shd w:val="clear"/>
        <w:kinsoku/>
        <w:wordWrap/>
        <w:overflowPunct/>
        <w:topLinePunct w:val="0"/>
        <w:autoSpaceDE/>
        <w:autoSpaceDN/>
        <w:bidi w:val="0"/>
        <w:spacing w:line="460" w:lineRule="exact"/>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主要包括门卫、重点场所守护、校园巡逻。学校大型活动与会务工作的安全保障，校内临时性的应急处置工作，并做好校内防火、防盗、防破坏、防事故等安全工作，学校交办的其它工作任务。</w:t>
      </w:r>
    </w:p>
    <w:p w14:paraId="75B81D01">
      <w:pPr>
        <w:keepNext w:val="0"/>
        <w:keepLines w:val="0"/>
        <w:pageBreakBefore w:val="0"/>
        <w:widowControl w:val="0"/>
        <w:shd w:val="clear"/>
        <w:kinsoku/>
        <w:wordWrap/>
        <w:overflowPunct/>
        <w:topLinePunct w:val="0"/>
        <w:autoSpaceDE/>
        <w:autoSpaceDN/>
        <w:bidi w:val="0"/>
        <w:spacing w:line="460" w:lineRule="exact"/>
        <w:ind w:firstLine="482"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en-US" w:eastAsia="zh-CN"/>
        </w:rPr>
        <w:t>保安</w:t>
      </w:r>
      <w:r>
        <w:rPr>
          <w:rFonts w:hint="eastAsia" w:ascii="仿宋" w:hAnsi="仿宋" w:eastAsia="仿宋" w:cs="仿宋"/>
          <w:b/>
          <w:bCs/>
          <w:color w:val="auto"/>
          <w:sz w:val="24"/>
          <w:szCs w:val="24"/>
          <w:highlight w:val="none"/>
        </w:rPr>
        <w:t>人员的基本</w:t>
      </w:r>
      <w:r>
        <w:rPr>
          <w:rFonts w:hint="eastAsia" w:ascii="仿宋" w:hAnsi="仿宋" w:eastAsia="仿宋" w:cs="仿宋"/>
          <w:b/>
          <w:bCs/>
          <w:color w:val="auto"/>
          <w:sz w:val="24"/>
          <w:szCs w:val="24"/>
          <w:highlight w:val="none"/>
          <w:lang w:val="en-US" w:eastAsia="zh-CN"/>
        </w:rPr>
        <w:t>要求</w:t>
      </w:r>
      <w:r>
        <w:rPr>
          <w:rFonts w:hint="eastAsia" w:ascii="仿宋" w:hAnsi="仿宋" w:eastAsia="仿宋" w:cs="仿宋"/>
          <w:b/>
          <w:bCs/>
          <w:color w:val="auto"/>
          <w:sz w:val="24"/>
          <w:szCs w:val="24"/>
          <w:highlight w:val="none"/>
        </w:rPr>
        <w:t>：</w:t>
      </w:r>
    </w:p>
    <w:p w14:paraId="7B39999F">
      <w:pPr>
        <w:keepNext w:val="0"/>
        <w:keepLines w:val="0"/>
        <w:pageBreakBefore w:val="0"/>
        <w:widowControl w:val="0"/>
        <w:shd w:val="clear"/>
        <w:kinsoku/>
        <w:wordWrap/>
        <w:overflowPunct/>
        <w:topLinePunct w:val="0"/>
        <w:autoSpaceDE/>
        <w:autoSpaceDN/>
        <w:bidi w:val="0"/>
        <w:spacing w:line="46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学校保安员配备应符合《中小学幼儿园安全防范要求》强制标准中人力防范要求规定的保安员配备人数要求，并经财政审核同意；涉及多校区（园区）的学校，其每个校区（校区）按在校学生/幼儿实际人数，根据标准独立配备专职保安员。学校应选拔年轻男性在职教职工为主，组建一支不少于专职保安员人数的校园保安员志愿者队伍，作为应急处突的备用力量；与专职保安员联合应急演练每学期不少于1次。</w:t>
      </w:r>
    </w:p>
    <w:p w14:paraId="7DC24283">
      <w:pPr>
        <w:keepNext w:val="0"/>
        <w:keepLines w:val="0"/>
        <w:pageBreakBefore w:val="0"/>
        <w:widowControl w:val="0"/>
        <w:shd w:val="clear"/>
        <w:kinsoku/>
        <w:wordWrap/>
        <w:overflowPunct/>
        <w:topLinePunct w:val="0"/>
        <w:autoSpaceDE/>
        <w:autoSpaceDN/>
        <w:bidi w:val="0"/>
        <w:spacing w:line="46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2.保安员应持证上岗，并上墙公示、人证合一，并具备相应的政治、业务、身体素质，接受保安服务公司和学校的双重管理。</w:t>
      </w:r>
    </w:p>
    <w:p w14:paraId="13782530">
      <w:pPr>
        <w:keepNext w:val="0"/>
        <w:keepLines w:val="0"/>
        <w:pageBreakBefore w:val="0"/>
        <w:widowControl w:val="0"/>
        <w:shd w:val="clear"/>
        <w:kinsoku/>
        <w:wordWrap/>
        <w:overflowPunct/>
        <w:topLinePunct w:val="0"/>
        <w:autoSpaceDE/>
        <w:autoSpaceDN/>
        <w:bidi w:val="0"/>
        <w:spacing w:line="46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3.中国公民，原则上男性，具有初中及以上学历，年龄在18至60周岁（学校可根据实际需要，聘用符合要求的女性保安员） ,保安年龄以学校上报的保安身份证信息为准，规定男不超过60周岁,女不超过55周岁，且第一次派遣男不超过55周岁女不超过50周岁(保安年龄的相关要求，如有变动，以公安机关、人力社保局的最新规定为准)。</w:t>
      </w:r>
      <w:r>
        <w:rPr>
          <w:rFonts w:hint="eastAsia" w:ascii="仿宋" w:hAnsi="仿宋" w:eastAsia="仿宋" w:cs="仿宋"/>
          <w:color w:val="auto"/>
          <w:sz w:val="24"/>
          <w:szCs w:val="24"/>
          <w:highlight w:val="none"/>
        </w:rPr>
        <w:t xml:space="preserve"> </w:t>
      </w:r>
    </w:p>
    <w:p w14:paraId="6AA9F280">
      <w:pPr>
        <w:keepNext w:val="0"/>
        <w:keepLines w:val="0"/>
        <w:pageBreakBefore w:val="0"/>
        <w:widowControl w:val="0"/>
        <w:shd w:val="clear"/>
        <w:kinsoku/>
        <w:wordWrap/>
        <w:overflowPunct/>
        <w:topLinePunct w:val="0"/>
        <w:autoSpaceDE/>
        <w:autoSpaceDN/>
        <w:bidi w:val="0"/>
        <w:spacing w:line="460" w:lineRule="exact"/>
        <w:ind w:firstLine="480" w:firstLineChars="200"/>
        <w:textAlignment w:val="auto"/>
        <w:outlineLvl w:val="9"/>
        <w:rPr>
          <w:rFonts w:hint="eastAsia" w:ascii="仿宋" w:hAnsi="仿宋" w:eastAsia="仿宋" w:cs="仿宋"/>
          <w:b w:val="0"/>
          <w:bCs w:val="0"/>
          <w:i w:val="0"/>
          <w:iCs w:val="0"/>
          <w:caps w:val="0"/>
          <w:color w:val="auto"/>
          <w:spacing w:val="0"/>
          <w:sz w:val="24"/>
          <w:szCs w:val="24"/>
          <w:highlight w:val="none"/>
          <w:shd w:val="clear" w:color="auto" w:fill="FFFFFF"/>
          <w:lang w:eastAsia="zh-CN"/>
        </w:rPr>
      </w:pPr>
      <w:r>
        <w:rPr>
          <w:rFonts w:hint="eastAsia" w:ascii="仿宋" w:hAnsi="仿宋" w:eastAsia="仿宋" w:cs="仿宋"/>
          <w:color w:val="auto"/>
          <w:sz w:val="24"/>
          <w:szCs w:val="24"/>
          <w:highlight w:val="none"/>
          <w:lang w:val="en-US" w:eastAsia="zh-CN"/>
        </w:rPr>
        <w:t>4.身体健康，品行良好，无违法犯罪记录（以公安机关出具的背景审查为准）；学校要将背景审查结果作为是否同意接收其入校工作的前置条件，并根据岗位履职要求在思想、业务、文化、年龄等方面进一步明确细化要求。</w:t>
      </w:r>
    </w:p>
    <w:p w14:paraId="2BC8413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pacing w:before="0" w:beforeAutospacing="0" w:after="0" w:afterAutospacing="0" w:line="460" w:lineRule="exact"/>
        <w:ind w:left="0" w:leftChars="0" w:right="0" w:firstLine="480" w:firstLineChars="200"/>
        <w:jc w:val="left"/>
        <w:textAlignment w:val="auto"/>
        <w:rPr>
          <w:rFonts w:hint="eastAsia" w:ascii="仿宋" w:hAnsi="仿宋" w:eastAsia="仿宋" w:cs="仿宋"/>
          <w:b w:val="0"/>
          <w:bCs w:val="0"/>
          <w:i w:val="0"/>
          <w:iCs w:val="0"/>
          <w:caps w:val="0"/>
          <w:color w:val="auto"/>
          <w:spacing w:val="0"/>
          <w:sz w:val="24"/>
          <w:szCs w:val="24"/>
          <w:highlight w:val="none"/>
          <w:lang w:val="en-US"/>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5.应具备必要的安全防范知识和基本操作技能，会熟练操作视频图像采集设备、来访人员登记查验信息管理系统、一键式紧急报警装置及其他电子防范设施设备,结合学校实际加强校园消防安全工作规范。</w:t>
      </w:r>
    </w:p>
    <w:p w14:paraId="0BAA9A8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pacing w:before="0" w:beforeAutospacing="0" w:after="0" w:afterAutospacing="0" w:line="460" w:lineRule="exact"/>
        <w:ind w:left="0" w:leftChars="0" w:right="0" w:firstLine="480" w:firstLineChars="200"/>
        <w:jc w:val="left"/>
        <w:textAlignment w:val="auto"/>
        <w:rPr>
          <w:rFonts w:hint="eastAsia" w:ascii="仿宋" w:hAnsi="仿宋" w:eastAsia="仿宋" w:cs="仿宋"/>
          <w:i w:val="0"/>
          <w:iCs w:val="0"/>
          <w:caps w:val="0"/>
          <w:color w:val="auto"/>
          <w:spacing w:val="0"/>
          <w:sz w:val="24"/>
          <w:szCs w:val="24"/>
          <w:highlight w:val="none"/>
          <w:shd w:val="clear" w:color="auto" w:fill="FFFFFF"/>
          <w:lang w:eastAsia="zh-CN"/>
        </w:rPr>
      </w:pPr>
      <w:r>
        <w:rPr>
          <w:rFonts w:hint="eastAsia" w:ascii="仿宋" w:hAnsi="仿宋" w:eastAsia="仿宋" w:cs="仿宋"/>
          <w:b w:val="0"/>
          <w:bCs w:val="0"/>
          <w:i w:val="0"/>
          <w:iCs w:val="0"/>
          <w:caps w:val="0"/>
          <w:color w:val="auto"/>
          <w:spacing w:val="0"/>
          <w:sz w:val="24"/>
          <w:szCs w:val="24"/>
          <w:highlight w:val="none"/>
          <w:lang w:val="en-US" w:eastAsia="zh-CN"/>
        </w:rPr>
        <w:t>6.学校保安员上岗前必须参加岗前培训，经培训合格后方可上岗，招标签约服务期间，保安员名单由各学校报市教育体育局备案，否则不享受财政补助政策；保安员变动名单及资料须及时报学校，学校每月底连同月考核情况，存档备查。</w:t>
      </w:r>
    </w:p>
    <w:p w14:paraId="47FFC75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pacing w:before="0" w:beforeAutospacing="0" w:after="0" w:afterAutospacing="0" w:line="460" w:lineRule="exact"/>
        <w:ind w:left="0" w:leftChars="0" w:right="0" w:firstLine="482" w:firstLineChars="200"/>
        <w:jc w:val="left"/>
        <w:textAlignment w:val="auto"/>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sz w:val="24"/>
          <w:szCs w:val="24"/>
          <w:highlight w:val="none"/>
          <w:shd w:val="clear" w:color="auto" w:fill="FFFFFF"/>
          <w:lang w:eastAsia="zh-CN"/>
        </w:rPr>
        <w:t>（</w:t>
      </w:r>
      <w:r>
        <w:rPr>
          <w:rFonts w:hint="eastAsia" w:ascii="仿宋" w:hAnsi="仿宋" w:eastAsia="仿宋" w:cs="仿宋"/>
          <w:b/>
          <w:bCs/>
          <w:i w:val="0"/>
          <w:iCs w:val="0"/>
          <w:caps w:val="0"/>
          <w:color w:val="auto"/>
          <w:spacing w:val="0"/>
          <w:sz w:val="24"/>
          <w:szCs w:val="24"/>
          <w:highlight w:val="none"/>
          <w:shd w:val="clear" w:color="auto" w:fill="FFFFFF"/>
          <w:lang w:val="en-US" w:eastAsia="zh-CN"/>
        </w:rPr>
        <w:t>三</w:t>
      </w:r>
      <w:r>
        <w:rPr>
          <w:rFonts w:hint="eastAsia" w:ascii="仿宋" w:hAnsi="仿宋" w:eastAsia="仿宋" w:cs="仿宋"/>
          <w:b/>
          <w:bCs/>
          <w:i w:val="0"/>
          <w:iCs w:val="0"/>
          <w:caps w:val="0"/>
          <w:color w:val="auto"/>
          <w:spacing w:val="0"/>
          <w:sz w:val="24"/>
          <w:szCs w:val="24"/>
          <w:highlight w:val="none"/>
          <w:shd w:val="clear" w:color="auto" w:fill="FFFFFF"/>
          <w:lang w:eastAsia="zh-CN"/>
        </w:rPr>
        <w:t>）</w:t>
      </w:r>
      <w:r>
        <w:rPr>
          <w:rFonts w:hint="eastAsia" w:ascii="仿宋" w:hAnsi="仿宋" w:eastAsia="仿宋" w:cs="仿宋"/>
          <w:b/>
          <w:bCs/>
          <w:i w:val="0"/>
          <w:iCs w:val="0"/>
          <w:caps w:val="0"/>
          <w:color w:val="auto"/>
          <w:spacing w:val="0"/>
          <w:sz w:val="24"/>
          <w:szCs w:val="24"/>
          <w:highlight w:val="none"/>
          <w:shd w:val="clear" w:color="auto" w:fill="FFFFFF"/>
        </w:rPr>
        <w:t>保安员职责要求</w:t>
      </w:r>
    </w:p>
    <w:p w14:paraId="63E7791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pacing w:before="0" w:beforeAutospacing="0" w:after="0" w:afterAutospacing="0" w:line="460" w:lineRule="exact"/>
        <w:ind w:left="0" w:leftChars="0" w:right="0" w:firstLine="480"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学校保安员应当掌握保安业务知识，熟悉学校各项安全管理制度，遵守并履行下列职责及要求：</w:t>
      </w:r>
    </w:p>
    <w:p w14:paraId="5EE5F48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pacing w:before="0" w:beforeAutospacing="0" w:after="0" w:afterAutospacing="0" w:line="460" w:lineRule="exact"/>
        <w:ind w:left="0" w:leftChars="0" w:right="0" w:firstLine="480"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1.</w:t>
      </w:r>
      <w:r>
        <w:rPr>
          <w:rFonts w:hint="eastAsia" w:ascii="仿宋" w:hAnsi="仿宋" w:eastAsia="仿宋" w:cs="仿宋"/>
          <w:i w:val="0"/>
          <w:iCs w:val="0"/>
          <w:caps w:val="0"/>
          <w:color w:val="auto"/>
          <w:spacing w:val="0"/>
          <w:sz w:val="24"/>
          <w:szCs w:val="24"/>
          <w:highlight w:val="none"/>
          <w:shd w:val="clear" w:color="auto" w:fill="FFFFFF"/>
        </w:rPr>
        <w:t>值勤期间应按有关规定着制式保安服装，携带必要的安全防卫器械和应急处置装备，并熟悉使用方法。</w:t>
      </w:r>
    </w:p>
    <w:p w14:paraId="7E32C40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pacing w:before="0" w:beforeAutospacing="0" w:after="0" w:afterAutospacing="0" w:line="460" w:lineRule="exact"/>
        <w:ind w:left="0" w:leftChars="0" w:right="0" w:firstLine="480"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2.</w:t>
      </w:r>
      <w:r>
        <w:rPr>
          <w:rFonts w:hint="eastAsia" w:ascii="仿宋" w:hAnsi="仿宋" w:eastAsia="仿宋" w:cs="仿宋"/>
          <w:i w:val="0"/>
          <w:iCs w:val="0"/>
          <w:caps w:val="0"/>
          <w:color w:val="auto"/>
          <w:spacing w:val="0"/>
          <w:sz w:val="24"/>
          <w:szCs w:val="24"/>
          <w:highlight w:val="none"/>
          <w:shd w:val="clear" w:color="auto" w:fill="FFFFFF"/>
        </w:rPr>
        <w:t>上下学重点时段，保安员应佩戴头盔、防刺背心、橡皮棍、强光手电、辣椒水、防割手套及哨子等防护装备在校门口及校门外一定区域上岗执勤，会同学校值日教师、</w:t>
      </w:r>
      <w:r>
        <w:rPr>
          <w:rFonts w:hint="eastAsia" w:ascii="仿宋" w:hAnsi="仿宋" w:eastAsia="仿宋" w:cs="仿宋"/>
          <w:i w:val="0"/>
          <w:iCs w:val="0"/>
          <w:caps w:val="0"/>
          <w:color w:val="auto"/>
          <w:spacing w:val="0"/>
          <w:sz w:val="24"/>
          <w:szCs w:val="24"/>
          <w:highlight w:val="none"/>
          <w:shd w:val="clear" w:color="auto" w:fill="FFFFFF"/>
          <w:lang w:eastAsia="zh-CN"/>
        </w:rPr>
        <w:t>公安警力、</w:t>
      </w:r>
      <w:r>
        <w:rPr>
          <w:rFonts w:hint="eastAsia" w:ascii="仿宋" w:hAnsi="仿宋" w:eastAsia="仿宋" w:cs="仿宋"/>
          <w:i w:val="0"/>
          <w:iCs w:val="0"/>
          <w:caps w:val="0"/>
          <w:color w:val="auto"/>
          <w:spacing w:val="0"/>
          <w:sz w:val="24"/>
          <w:szCs w:val="24"/>
          <w:highlight w:val="none"/>
          <w:shd w:val="clear" w:color="auto" w:fill="FFFFFF"/>
        </w:rPr>
        <w:t>家长志愿者“护学岗”等护校力量，共同开展护校</w:t>
      </w:r>
      <w:r>
        <w:rPr>
          <w:rFonts w:hint="eastAsia" w:ascii="仿宋" w:hAnsi="仿宋" w:eastAsia="仿宋" w:cs="仿宋"/>
          <w:i w:val="0"/>
          <w:iCs w:val="0"/>
          <w:caps w:val="0"/>
          <w:color w:val="auto"/>
          <w:spacing w:val="0"/>
          <w:sz w:val="24"/>
          <w:szCs w:val="24"/>
          <w:highlight w:val="none"/>
          <w:shd w:val="clear" w:color="auto" w:fill="FFFFFF"/>
          <w:lang w:eastAsia="zh-CN"/>
        </w:rPr>
        <w:t>安园</w:t>
      </w:r>
      <w:r>
        <w:rPr>
          <w:rFonts w:hint="eastAsia" w:ascii="仿宋" w:hAnsi="仿宋" w:eastAsia="仿宋" w:cs="仿宋"/>
          <w:i w:val="0"/>
          <w:iCs w:val="0"/>
          <w:caps w:val="0"/>
          <w:color w:val="auto"/>
          <w:spacing w:val="0"/>
          <w:sz w:val="24"/>
          <w:szCs w:val="24"/>
          <w:highlight w:val="none"/>
          <w:shd w:val="clear" w:color="auto" w:fill="FFFFFF"/>
        </w:rPr>
        <w:t>工作。</w:t>
      </w:r>
    </w:p>
    <w:p w14:paraId="6F28DAC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pacing w:before="0" w:beforeAutospacing="0" w:after="0" w:afterAutospacing="0" w:line="460" w:lineRule="exact"/>
        <w:ind w:left="0" w:leftChars="0" w:right="0" w:firstLine="480"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3.</w:t>
      </w:r>
      <w:r>
        <w:rPr>
          <w:rFonts w:hint="eastAsia" w:ascii="仿宋" w:hAnsi="仿宋" w:eastAsia="仿宋" w:cs="仿宋"/>
          <w:i w:val="0"/>
          <w:iCs w:val="0"/>
          <w:caps w:val="0"/>
          <w:color w:val="auto"/>
          <w:spacing w:val="0"/>
          <w:sz w:val="24"/>
          <w:szCs w:val="24"/>
          <w:highlight w:val="none"/>
          <w:shd w:val="clear" w:color="auto" w:fill="FFFFFF"/>
        </w:rPr>
        <w:t>应按照问询、查验、核实、登记、放行“五步工作法”要求，严格落实外来人员、车辆、物品的出入管理制度，严防可疑人员、车辆以及管制刀具、危险物品等带入学校。</w:t>
      </w:r>
    </w:p>
    <w:p w14:paraId="73CD25A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pacing w:before="0" w:beforeAutospacing="0" w:after="0" w:afterAutospacing="0" w:line="460" w:lineRule="exact"/>
        <w:ind w:left="0" w:leftChars="0" w:right="0" w:firstLine="48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4.</w:t>
      </w:r>
      <w:r>
        <w:rPr>
          <w:rFonts w:hint="eastAsia" w:ascii="仿宋" w:hAnsi="仿宋" w:eastAsia="仿宋" w:cs="仿宋"/>
          <w:i w:val="0"/>
          <w:iCs w:val="0"/>
          <w:caps w:val="0"/>
          <w:color w:val="auto"/>
          <w:spacing w:val="0"/>
          <w:sz w:val="24"/>
          <w:szCs w:val="24"/>
          <w:highlight w:val="none"/>
          <w:shd w:val="clear" w:color="auto" w:fill="FFFFFF"/>
        </w:rPr>
        <w:t>对学校重点部位及周边巡查每日不少于5次，一旦发现异常情况，应当及时报告并开展先期处置</w:t>
      </w:r>
      <w:r>
        <w:rPr>
          <w:rFonts w:hint="eastAsia" w:ascii="仿宋" w:hAnsi="仿宋" w:eastAsia="仿宋" w:cs="仿宋"/>
          <w:i w:val="0"/>
          <w:iCs w:val="0"/>
          <w:caps w:val="0"/>
          <w:color w:val="auto"/>
          <w:spacing w:val="0"/>
          <w:sz w:val="24"/>
          <w:szCs w:val="24"/>
          <w:highlight w:val="none"/>
          <w:shd w:val="clear" w:color="auto" w:fill="FFFFFF"/>
          <w:lang w:eastAsia="zh-CN"/>
        </w:rPr>
        <w:t>；寄宿制学校值勤保安员在学生就寝后，应当开展寝室区及周边为重点的夜间校园巡查每日不少于</w:t>
      </w:r>
      <w:r>
        <w:rPr>
          <w:rFonts w:hint="eastAsia" w:ascii="仿宋" w:hAnsi="仿宋" w:eastAsia="仿宋" w:cs="仿宋"/>
          <w:i w:val="0"/>
          <w:iCs w:val="0"/>
          <w:caps w:val="0"/>
          <w:color w:val="auto"/>
          <w:spacing w:val="0"/>
          <w:sz w:val="24"/>
          <w:szCs w:val="24"/>
          <w:highlight w:val="none"/>
          <w:shd w:val="clear" w:color="auto" w:fill="FFFFFF"/>
          <w:lang w:val="en-US" w:eastAsia="zh-CN"/>
        </w:rPr>
        <w:t>2次。</w:t>
      </w:r>
    </w:p>
    <w:p w14:paraId="672D0EF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pacing w:before="0" w:beforeAutospacing="0" w:after="0" w:afterAutospacing="0" w:line="460" w:lineRule="exact"/>
        <w:ind w:left="0" w:leftChars="0" w:right="0" w:firstLine="480"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5.</w:t>
      </w:r>
      <w:r>
        <w:rPr>
          <w:rFonts w:hint="eastAsia" w:ascii="仿宋" w:hAnsi="仿宋" w:eastAsia="仿宋" w:cs="仿宋"/>
          <w:i w:val="0"/>
          <w:iCs w:val="0"/>
          <w:caps w:val="0"/>
          <w:color w:val="auto"/>
          <w:spacing w:val="0"/>
          <w:sz w:val="24"/>
          <w:szCs w:val="24"/>
          <w:highlight w:val="none"/>
          <w:shd w:val="clear" w:color="auto" w:fill="FFFFFF"/>
        </w:rPr>
        <w:t>应遵守信息保密要求，不得擅自拍摄校园涉及师生隐私视频；未经学校允许不得随意提供校园内监控视频给他人；更不得下载、传播学校监控视频信息。</w:t>
      </w:r>
    </w:p>
    <w:p w14:paraId="7B0F328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pacing w:before="0" w:beforeAutospacing="0" w:after="0" w:afterAutospacing="0" w:line="460" w:lineRule="exact"/>
        <w:ind w:left="0" w:leftChars="0" w:right="0" w:firstLine="480"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6.</w:t>
      </w:r>
      <w:r>
        <w:rPr>
          <w:rFonts w:hint="eastAsia" w:ascii="仿宋" w:hAnsi="仿宋" w:eastAsia="仿宋" w:cs="仿宋"/>
          <w:i w:val="0"/>
          <w:iCs w:val="0"/>
          <w:caps w:val="0"/>
          <w:color w:val="auto"/>
          <w:spacing w:val="0"/>
          <w:sz w:val="24"/>
          <w:szCs w:val="24"/>
          <w:highlight w:val="none"/>
          <w:shd w:val="clear" w:color="auto" w:fill="FFFFFF"/>
        </w:rPr>
        <w:t>执行24小时值班制度，不得擅自离岗、</w:t>
      </w:r>
      <w:r>
        <w:rPr>
          <w:rFonts w:hint="eastAsia" w:ascii="仿宋" w:hAnsi="仿宋" w:eastAsia="仿宋" w:cs="仿宋"/>
          <w:i w:val="0"/>
          <w:iCs w:val="0"/>
          <w:caps w:val="0"/>
          <w:color w:val="auto"/>
          <w:spacing w:val="0"/>
          <w:sz w:val="24"/>
          <w:szCs w:val="24"/>
          <w:highlight w:val="none"/>
          <w:shd w:val="clear" w:color="auto" w:fill="FFFFFF"/>
          <w:lang w:eastAsia="zh-CN"/>
        </w:rPr>
        <w:t>空岗、</w:t>
      </w:r>
      <w:r>
        <w:rPr>
          <w:rFonts w:hint="eastAsia" w:ascii="仿宋" w:hAnsi="仿宋" w:eastAsia="仿宋" w:cs="仿宋"/>
          <w:i w:val="0"/>
          <w:iCs w:val="0"/>
          <w:caps w:val="0"/>
          <w:color w:val="auto"/>
          <w:spacing w:val="0"/>
          <w:sz w:val="24"/>
          <w:szCs w:val="24"/>
          <w:highlight w:val="none"/>
          <w:shd w:val="clear" w:color="auto" w:fill="FFFFFF"/>
        </w:rPr>
        <w:t>脱岗，按时交接班并做好交接记录,发现问题及时报告。除学生上下学时间外，应严格落实校门封闭管理制度</w:t>
      </w: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color="auto" w:fill="FFFFFF"/>
        </w:rPr>
        <w:t>校门开启时必须有保安人员值守。上学期间，学生必须持有班主任开具</w:t>
      </w:r>
      <w:r>
        <w:rPr>
          <w:rFonts w:hint="eastAsia" w:ascii="仿宋" w:hAnsi="仿宋" w:eastAsia="仿宋" w:cs="仿宋"/>
          <w:i w:val="0"/>
          <w:iCs w:val="0"/>
          <w:caps w:val="0"/>
          <w:color w:val="auto"/>
          <w:spacing w:val="0"/>
          <w:sz w:val="24"/>
          <w:szCs w:val="24"/>
          <w:highlight w:val="none"/>
          <w:shd w:val="clear" w:color="auto" w:fill="FFFFFF"/>
          <w:lang w:eastAsia="zh-CN"/>
        </w:rPr>
        <w:t>离校（请假）证明，</w:t>
      </w:r>
      <w:r>
        <w:rPr>
          <w:rFonts w:hint="eastAsia" w:ascii="仿宋" w:hAnsi="仿宋" w:eastAsia="仿宋" w:cs="仿宋"/>
          <w:i w:val="0"/>
          <w:iCs w:val="0"/>
          <w:caps w:val="0"/>
          <w:color w:val="auto"/>
          <w:spacing w:val="0"/>
          <w:sz w:val="24"/>
          <w:szCs w:val="24"/>
          <w:highlight w:val="none"/>
          <w:shd w:val="clear" w:color="auto" w:fill="FFFFFF"/>
        </w:rPr>
        <w:t>方可离校。</w:t>
      </w:r>
    </w:p>
    <w:p w14:paraId="73CB3A0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pacing w:before="0" w:beforeAutospacing="0" w:after="0" w:afterAutospacing="0" w:line="460" w:lineRule="exact"/>
        <w:ind w:left="0" w:leftChars="0" w:right="0" w:firstLine="480"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7.</w:t>
      </w:r>
      <w:r>
        <w:rPr>
          <w:rFonts w:hint="eastAsia" w:ascii="仿宋" w:hAnsi="仿宋" w:eastAsia="仿宋" w:cs="仿宋"/>
          <w:i w:val="0"/>
          <w:iCs w:val="0"/>
          <w:caps w:val="0"/>
          <w:color w:val="auto"/>
          <w:spacing w:val="0"/>
          <w:sz w:val="24"/>
          <w:szCs w:val="24"/>
          <w:highlight w:val="none"/>
          <w:shd w:val="clear" w:color="auto" w:fill="FFFFFF"/>
        </w:rPr>
        <w:t>配合学校做好防火、防盗、防破坏、防地质灾害事故工作。对发现可疑人、事、物或其他治安信息，应及时向相关领导或部门汇报，必要时启动报警器或向110报警，并配合公安机关做好处置工作。</w:t>
      </w:r>
    </w:p>
    <w:p w14:paraId="1E07C7B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pacing w:before="0" w:beforeAutospacing="0" w:after="0" w:afterAutospacing="0" w:line="460" w:lineRule="exact"/>
        <w:ind w:left="0" w:leftChars="0" w:right="0" w:firstLine="480"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8.</w:t>
      </w:r>
      <w:r>
        <w:rPr>
          <w:rFonts w:hint="eastAsia" w:ascii="仿宋" w:hAnsi="仿宋" w:eastAsia="仿宋" w:cs="仿宋"/>
          <w:i w:val="0"/>
          <w:iCs w:val="0"/>
          <w:caps w:val="0"/>
          <w:color w:val="auto"/>
          <w:spacing w:val="0"/>
          <w:sz w:val="24"/>
          <w:szCs w:val="24"/>
          <w:highlight w:val="none"/>
          <w:shd w:val="clear" w:color="auto" w:fill="FFFFFF"/>
        </w:rPr>
        <w:t>制止师生各种不安全或易造成伤害的行为，发生违反规定或不服从管理者，应严肃、礼貌劝阻并妥善处置，不听劝阻的及时上报。遇有火警或其它紧急情况，应迅速扑救或采取有效措施保护现场，并及时上报。</w:t>
      </w:r>
    </w:p>
    <w:p w14:paraId="7F23A0E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pacing w:before="0" w:beforeAutospacing="0" w:after="0" w:afterAutospacing="0" w:line="460" w:lineRule="exact"/>
        <w:ind w:left="0" w:leftChars="0" w:right="0" w:firstLine="480"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9.</w:t>
      </w:r>
      <w:r>
        <w:rPr>
          <w:rFonts w:hint="eastAsia" w:ascii="仿宋" w:hAnsi="仿宋" w:eastAsia="仿宋" w:cs="仿宋"/>
          <w:i w:val="0"/>
          <w:iCs w:val="0"/>
          <w:caps w:val="0"/>
          <w:color w:val="auto"/>
          <w:spacing w:val="0"/>
          <w:sz w:val="24"/>
          <w:szCs w:val="24"/>
          <w:highlight w:val="none"/>
          <w:shd w:val="clear" w:color="auto" w:fill="FFFFFF"/>
        </w:rPr>
        <w:t>在岗期间不与无关人员聊天，不干私活，不饮酒，不吸烟，不睡觉。不得在门卫室从事与工作无关的活动，不得存放或代人存放贵重物品、现金和危险品。</w:t>
      </w:r>
    </w:p>
    <w:p w14:paraId="601FBE1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pacing w:before="0" w:beforeAutospacing="0" w:after="0" w:afterAutospacing="0" w:line="46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10.值勤保安员应</w:t>
      </w:r>
      <w:r>
        <w:rPr>
          <w:rFonts w:hint="eastAsia" w:ascii="仿宋" w:hAnsi="仿宋" w:eastAsia="仿宋" w:cs="仿宋"/>
          <w:i w:val="0"/>
          <w:iCs w:val="0"/>
          <w:caps w:val="0"/>
          <w:color w:val="auto"/>
          <w:spacing w:val="0"/>
          <w:sz w:val="24"/>
          <w:szCs w:val="24"/>
          <w:highlight w:val="none"/>
          <w:shd w:val="clear" w:color="auto" w:fill="FFFFFF"/>
          <w:lang w:eastAsia="zh-CN"/>
        </w:rPr>
        <w:t>监视</w:t>
      </w:r>
      <w:r>
        <w:rPr>
          <w:rFonts w:hint="eastAsia" w:ascii="仿宋" w:hAnsi="仿宋" w:eastAsia="仿宋" w:cs="仿宋"/>
          <w:i w:val="0"/>
          <w:iCs w:val="0"/>
          <w:caps w:val="0"/>
          <w:color w:val="auto"/>
          <w:spacing w:val="0"/>
          <w:sz w:val="24"/>
          <w:szCs w:val="24"/>
          <w:highlight w:val="none"/>
          <w:shd w:val="clear" w:color="auto" w:fill="FFFFFF"/>
        </w:rPr>
        <w:t>校园视频监控，</w:t>
      </w:r>
      <w:r>
        <w:rPr>
          <w:rFonts w:hint="eastAsia" w:ascii="仿宋" w:hAnsi="仿宋" w:eastAsia="仿宋" w:cs="仿宋"/>
          <w:i w:val="0"/>
          <w:iCs w:val="0"/>
          <w:caps w:val="0"/>
          <w:color w:val="auto"/>
          <w:spacing w:val="0"/>
          <w:sz w:val="24"/>
          <w:szCs w:val="24"/>
          <w:highlight w:val="none"/>
          <w:shd w:val="clear" w:color="auto" w:fill="FFFFFF"/>
          <w:lang w:val="en-US" w:eastAsia="zh-CN"/>
        </w:rPr>
        <w:t>发挥视频监控对校园安全实时监控作用，</w:t>
      </w:r>
      <w:r>
        <w:rPr>
          <w:rFonts w:hint="eastAsia" w:ascii="仿宋" w:hAnsi="仿宋" w:eastAsia="仿宋" w:cs="仿宋"/>
          <w:i w:val="0"/>
          <w:iCs w:val="0"/>
          <w:caps w:val="0"/>
          <w:color w:val="auto"/>
          <w:spacing w:val="0"/>
          <w:sz w:val="24"/>
          <w:szCs w:val="24"/>
          <w:highlight w:val="none"/>
          <w:shd w:val="clear" w:color="auto" w:fill="FFFFFF"/>
        </w:rPr>
        <w:t>收集、报告校园及</w:t>
      </w:r>
      <w:r>
        <w:rPr>
          <w:rFonts w:hint="eastAsia" w:ascii="仿宋" w:hAnsi="仿宋" w:eastAsia="仿宋" w:cs="仿宋"/>
          <w:i w:val="0"/>
          <w:iCs w:val="0"/>
          <w:caps w:val="0"/>
          <w:color w:val="auto"/>
          <w:spacing w:val="0"/>
          <w:sz w:val="24"/>
          <w:szCs w:val="24"/>
          <w:highlight w:val="none"/>
          <w:shd w:val="clear" w:color="auto" w:fill="FFFFFF"/>
          <w:lang w:eastAsia="zh-CN"/>
        </w:rPr>
        <w:t>周边环境</w:t>
      </w:r>
      <w:r>
        <w:rPr>
          <w:rFonts w:hint="eastAsia" w:ascii="仿宋" w:hAnsi="仿宋" w:eastAsia="仿宋" w:cs="仿宋"/>
          <w:i w:val="0"/>
          <w:iCs w:val="0"/>
          <w:caps w:val="0"/>
          <w:color w:val="auto"/>
          <w:spacing w:val="0"/>
          <w:sz w:val="24"/>
          <w:szCs w:val="24"/>
          <w:highlight w:val="none"/>
          <w:shd w:val="clear" w:color="auto" w:fill="FFFFFF"/>
        </w:rPr>
        <w:t>治安动态和信息，及时有序规范处理。</w:t>
      </w:r>
    </w:p>
    <w:p w14:paraId="3023FAD4">
      <w:pPr>
        <w:keepNext w:val="0"/>
        <w:keepLines w:val="0"/>
        <w:pageBreakBefore w:val="0"/>
        <w:widowControl/>
        <w:shd w:val="clear"/>
        <w:kinsoku/>
        <w:wordWrap/>
        <w:overflowPunct/>
        <w:topLinePunct w:val="0"/>
        <w:autoSpaceDE/>
        <w:autoSpaceDN/>
        <w:bidi w:val="0"/>
        <w:spacing w:line="460" w:lineRule="exact"/>
        <w:ind w:firstLine="475" w:firstLineChars="198"/>
        <w:jc w:val="left"/>
        <w:textAlignment w:val="auto"/>
        <w:outlineLvl w:val="9"/>
        <w:rPr>
          <w:rFonts w:hint="eastAsia" w:ascii="仿宋" w:hAnsi="仿宋" w:eastAsia="仿宋" w:cs="仿宋"/>
          <w:b w:val="0"/>
          <w:bCs w:val="0"/>
          <w:snapToGrid w:val="0"/>
          <w:color w:val="auto"/>
          <w:kern w:val="28"/>
          <w:sz w:val="24"/>
          <w:szCs w:val="24"/>
          <w:highlight w:val="none"/>
        </w:rPr>
      </w:pPr>
      <w:r>
        <w:rPr>
          <w:rFonts w:hint="eastAsia" w:ascii="仿宋" w:hAnsi="仿宋" w:eastAsia="仿宋" w:cs="仿宋"/>
          <w:b w:val="0"/>
          <w:bCs w:val="0"/>
          <w:snapToGrid w:val="0"/>
          <w:color w:val="auto"/>
          <w:kern w:val="28"/>
          <w:sz w:val="24"/>
          <w:szCs w:val="24"/>
          <w:highlight w:val="none"/>
          <w:lang w:val="en-US" w:eastAsia="zh-CN"/>
        </w:rPr>
        <w:t>11.</w:t>
      </w:r>
      <w:r>
        <w:rPr>
          <w:rFonts w:hint="eastAsia" w:ascii="仿宋" w:hAnsi="仿宋" w:eastAsia="仿宋" w:cs="仿宋"/>
          <w:b w:val="0"/>
          <w:bCs w:val="0"/>
          <w:snapToGrid w:val="0"/>
          <w:color w:val="auto"/>
          <w:kern w:val="28"/>
          <w:sz w:val="24"/>
          <w:szCs w:val="24"/>
          <w:highlight w:val="none"/>
        </w:rPr>
        <w:t>政治保卫：学校如有重大活动的安全警戒与秩序保障；配合做好重大事件的政治保卫工作。</w:t>
      </w:r>
    </w:p>
    <w:p w14:paraId="2B315397">
      <w:pPr>
        <w:keepNext w:val="0"/>
        <w:keepLines w:val="0"/>
        <w:pageBreakBefore w:val="0"/>
        <w:widowControl/>
        <w:shd w:val="clear"/>
        <w:kinsoku/>
        <w:wordWrap/>
        <w:overflowPunct/>
        <w:topLinePunct w:val="0"/>
        <w:autoSpaceDE/>
        <w:autoSpaceDN/>
        <w:bidi w:val="0"/>
        <w:spacing w:line="460" w:lineRule="exact"/>
        <w:ind w:firstLine="475" w:firstLineChars="198"/>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b w:val="0"/>
          <w:bCs w:val="0"/>
          <w:snapToGrid w:val="0"/>
          <w:color w:val="auto"/>
          <w:kern w:val="28"/>
          <w:sz w:val="24"/>
          <w:szCs w:val="24"/>
          <w:highlight w:val="none"/>
          <w:lang w:val="en-US" w:eastAsia="zh-CN"/>
        </w:rPr>
        <w:t>12.</w:t>
      </w:r>
      <w:r>
        <w:rPr>
          <w:rFonts w:hint="eastAsia" w:ascii="仿宋" w:hAnsi="仿宋" w:eastAsia="仿宋" w:cs="仿宋"/>
          <w:b w:val="0"/>
          <w:bCs w:val="0"/>
          <w:snapToGrid w:val="0"/>
          <w:color w:val="auto"/>
          <w:kern w:val="28"/>
          <w:sz w:val="24"/>
          <w:szCs w:val="24"/>
          <w:highlight w:val="none"/>
        </w:rPr>
        <w:t>突发事件处理：</w:t>
      </w:r>
      <w:r>
        <w:rPr>
          <w:rFonts w:hint="eastAsia" w:ascii="仿宋" w:hAnsi="仿宋" w:eastAsia="仿宋" w:cs="仿宋"/>
          <w:snapToGrid w:val="0"/>
          <w:color w:val="auto"/>
          <w:kern w:val="28"/>
          <w:sz w:val="24"/>
          <w:szCs w:val="24"/>
          <w:highlight w:val="none"/>
        </w:rPr>
        <w:t>学校突发事件处置、灾害预防、火灾扑救，发现和制止不法暴力事件，随时准备提供紧急救助。近点的响应时间为3分钟，远点的响应时间为15分钟。</w:t>
      </w:r>
    </w:p>
    <w:p w14:paraId="42DB8820">
      <w:pPr>
        <w:keepNext w:val="0"/>
        <w:keepLines w:val="0"/>
        <w:pageBreakBefore w:val="0"/>
        <w:widowControl w:val="0"/>
        <w:shd w:val="clear"/>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13.采购人根据学校的实际情况，有权对保安报务职责作出相应调整。</w:t>
      </w:r>
    </w:p>
    <w:p w14:paraId="270E7FFC">
      <w:pPr>
        <w:keepNext w:val="0"/>
        <w:keepLines w:val="0"/>
        <w:pageBreakBefore w:val="0"/>
        <w:widowControl w:val="0"/>
        <w:shd w:val="clear"/>
        <w:kinsoku/>
        <w:wordWrap/>
        <w:overflowPunct/>
        <w:topLinePunct w:val="0"/>
        <w:autoSpaceDE/>
        <w:autoSpaceDN/>
        <w:bidi w:val="0"/>
        <w:spacing w:line="460" w:lineRule="exact"/>
        <w:ind w:firstLine="480" w:firstLineChars="200"/>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lang w:val="en-US" w:eastAsia="zh-CN"/>
        </w:rPr>
        <w:t>14.</w:t>
      </w:r>
      <w:r>
        <w:rPr>
          <w:rFonts w:hint="eastAsia" w:ascii="仿宋" w:hAnsi="仿宋" w:eastAsia="仿宋" w:cs="仿宋"/>
          <w:snapToGrid w:val="0"/>
          <w:color w:val="auto"/>
          <w:kern w:val="28"/>
          <w:sz w:val="24"/>
          <w:szCs w:val="24"/>
          <w:highlight w:val="none"/>
        </w:rPr>
        <w:t>其它应由保安人员完成的职责。</w:t>
      </w:r>
    </w:p>
    <w:p w14:paraId="4AF6BE2E">
      <w:pPr>
        <w:keepNext w:val="0"/>
        <w:keepLines w:val="0"/>
        <w:pageBreakBefore w:val="0"/>
        <w:widowControl w:val="0"/>
        <w:shd w:val="clear"/>
        <w:kinsoku/>
        <w:wordWrap/>
        <w:overflowPunct/>
        <w:topLinePunct w:val="0"/>
        <w:autoSpaceDE/>
        <w:autoSpaceDN/>
        <w:bidi w:val="0"/>
        <w:spacing w:line="460" w:lineRule="exact"/>
        <w:ind w:firstLine="480" w:firstLineChars="200"/>
        <w:textAlignment w:val="auto"/>
        <w:outlineLvl w:val="9"/>
        <w:rPr>
          <w:rFonts w:hint="eastAsia" w:ascii="仿宋" w:hAnsi="仿宋" w:eastAsia="仿宋" w:cs="仿宋"/>
          <w:b/>
          <w:bCs/>
          <w:snapToGrid w:val="0"/>
          <w:color w:val="auto"/>
          <w:kern w:val="28"/>
          <w:sz w:val="24"/>
          <w:szCs w:val="24"/>
          <w:highlight w:val="none"/>
        </w:rPr>
      </w:pPr>
      <w:r>
        <w:rPr>
          <w:rFonts w:hint="eastAsia" w:ascii="仿宋" w:hAnsi="仿宋" w:eastAsia="仿宋" w:cs="仿宋"/>
          <w:snapToGrid w:val="0"/>
          <w:color w:val="auto"/>
          <w:kern w:val="28"/>
          <w:sz w:val="24"/>
          <w:szCs w:val="24"/>
          <w:highlight w:val="none"/>
          <w:lang w:val="en-US" w:eastAsia="zh-CN"/>
        </w:rPr>
        <w:t>15.</w:t>
      </w:r>
      <w:r>
        <w:rPr>
          <w:rFonts w:hint="eastAsia" w:ascii="仿宋" w:hAnsi="仿宋" w:eastAsia="仿宋" w:cs="仿宋"/>
          <w:color w:val="auto"/>
          <w:sz w:val="24"/>
          <w:szCs w:val="24"/>
          <w:highlight w:val="none"/>
        </w:rPr>
        <w:t>学校对安保员的服务、管理等有监督权，对不符合工作要求的队员有权要求调换或建议改进服务，安保单位须在规定的时间内整改到位</w:t>
      </w:r>
      <w:r>
        <w:rPr>
          <w:rFonts w:hint="eastAsia" w:ascii="仿宋" w:hAnsi="仿宋" w:eastAsia="仿宋" w:cs="仿宋"/>
          <w:color w:val="auto"/>
          <w:sz w:val="24"/>
          <w:szCs w:val="24"/>
          <w:highlight w:val="none"/>
          <w:lang w:eastAsia="zh-CN"/>
        </w:rPr>
        <w:t>。</w:t>
      </w:r>
    </w:p>
    <w:p w14:paraId="060645DA">
      <w:pPr>
        <w:keepNext w:val="0"/>
        <w:keepLines w:val="0"/>
        <w:pageBreakBefore w:val="0"/>
        <w:widowControl/>
        <w:shd w:val="clear"/>
        <w:kinsoku/>
        <w:wordWrap/>
        <w:overflowPunct/>
        <w:topLinePunct w:val="0"/>
        <w:autoSpaceDE/>
        <w:autoSpaceDN/>
        <w:bidi w:val="0"/>
        <w:spacing w:line="460" w:lineRule="exact"/>
        <w:jc w:val="left"/>
        <w:textAlignment w:val="auto"/>
        <w:outlineLvl w:val="9"/>
        <w:rPr>
          <w:rFonts w:hint="eastAsia" w:ascii="仿宋" w:hAnsi="仿宋" w:eastAsia="仿宋" w:cs="仿宋"/>
          <w:snapToGrid w:val="0"/>
          <w:color w:val="auto"/>
          <w:kern w:val="28"/>
          <w:sz w:val="24"/>
          <w:szCs w:val="24"/>
          <w:highlight w:val="none"/>
          <w:lang w:val="en-US" w:eastAsia="zh-CN"/>
        </w:rPr>
      </w:pPr>
      <w:r>
        <w:rPr>
          <w:rFonts w:hint="eastAsia" w:ascii="仿宋" w:hAnsi="仿宋" w:eastAsia="仿宋" w:cs="仿宋"/>
          <w:b/>
          <w:bCs/>
          <w:snapToGrid w:val="0"/>
          <w:color w:val="auto"/>
          <w:kern w:val="28"/>
          <w:sz w:val="24"/>
          <w:szCs w:val="24"/>
          <w:highlight w:val="none"/>
          <w:lang w:val="en-US" w:eastAsia="zh-CN"/>
        </w:rPr>
        <w:t>七、双方权利义务</w:t>
      </w:r>
    </w:p>
    <w:p w14:paraId="0B5F5564">
      <w:pPr>
        <w:keepNext w:val="0"/>
        <w:keepLines w:val="0"/>
        <w:pageBreakBefore w:val="0"/>
        <w:widowControl/>
        <w:shd w:val="clear"/>
        <w:kinsoku/>
        <w:wordWrap/>
        <w:overflowPunct/>
        <w:topLinePunct w:val="0"/>
        <w:autoSpaceDE/>
        <w:autoSpaceDN/>
        <w:bidi w:val="0"/>
        <w:spacing w:line="460" w:lineRule="exact"/>
        <w:ind w:firstLine="475" w:firstLineChars="198"/>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rPr>
        <w:t>1、甲方权利义务：</w:t>
      </w:r>
    </w:p>
    <w:p w14:paraId="040A7E3B">
      <w:pPr>
        <w:keepNext w:val="0"/>
        <w:keepLines w:val="0"/>
        <w:pageBreakBefore w:val="0"/>
        <w:widowControl/>
        <w:shd w:val="clear"/>
        <w:kinsoku/>
        <w:wordWrap/>
        <w:overflowPunct/>
        <w:topLinePunct w:val="0"/>
        <w:autoSpaceDE/>
        <w:autoSpaceDN/>
        <w:bidi w:val="0"/>
        <w:spacing w:line="460" w:lineRule="exact"/>
        <w:ind w:firstLine="475" w:firstLineChars="198"/>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rPr>
        <w:t>（1）在本合同履行中甲方有权根据实际需求对服务工作内容及岗位设置变化作相应调整，对乙方保安人员进行现场指挥和调度。</w:t>
      </w:r>
    </w:p>
    <w:p w14:paraId="1B23EF2B">
      <w:pPr>
        <w:keepNext w:val="0"/>
        <w:keepLines w:val="0"/>
        <w:pageBreakBefore w:val="0"/>
        <w:widowControl/>
        <w:shd w:val="clear"/>
        <w:kinsoku/>
        <w:wordWrap/>
        <w:overflowPunct/>
        <w:topLinePunct w:val="0"/>
        <w:autoSpaceDE/>
        <w:autoSpaceDN/>
        <w:bidi w:val="0"/>
        <w:spacing w:line="460" w:lineRule="exact"/>
        <w:ind w:firstLine="475" w:firstLineChars="198"/>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rPr>
        <w:t>（2）指派专人负责监督乙方的管理服务，每日检查管理服务质量并对不合格情况进行依据本合同约定的处罚；有权根据实际情况提出修改意见，乙方应遵守。</w:t>
      </w:r>
    </w:p>
    <w:p w14:paraId="468134F1">
      <w:pPr>
        <w:keepNext w:val="0"/>
        <w:keepLines w:val="0"/>
        <w:pageBreakBefore w:val="0"/>
        <w:widowControl/>
        <w:shd w:val="clear"/>
        <w:kinsoku/>
        <w:wordWrap/>
        <w:overflowPunct/>
        <w:topLinePunct w:val="0"/>
        <w:autoSpaceDE/>
        <w:autoSpaceDN/>
        <w:bidi w:val="0"/>
        <w:spacing w:line="460" w:lineRule="exact"/>
        <w:ind w:firstLine="475" w:firstLineChars="198"/>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rPr>
        <w:t>（3）甲方有权对乙方选派的保安人员进行检查考评，对不合格人员，有权要求乙方调换。</w:t>
      </w:r>
    </w:p>
    <w:p w14:paraId="1D132B9B">
      <w:pPr>
        <w:keepNext w:val="0"/>
        <w:keepLines w:val="0"/>
        <w:pageBreakBefore w:val="0"/>
        <w:widowControl/>
        <w:shd w:val="clear"/>
        <w:kinsoku/>
        <w:wordWrap/>
        <w:overflowPunct/>
        <w:topLinePunct w:val="0"/>
        <w:autoSpaceDE/>
        <w:autoSpaceDN/>
        <w:bidi w:val="0"/>
        <w:spacing w:line="460" w:lineRule="exact"/>
        <w:ind w:firstLine="475" w:firstLineChars="198"/>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rPr>
        <w:t>（4）按本合同有关约定按时向乙方支付本合同项下的服务费用。</w:t>
      </w:r>
    </w:p>
    <w:p w14:paraId="6C9EA148">
      <w:pPr>
        <w:keepNext w:val="0"/>
        <w:keepLines w:val="0"/>
        <w:pageBreakBefore w:val="0"/>
        <w:widowControl/>
        <w:shd w:val="clear"/>
        <w:kinsoku/>
        <w:wordWrap/>
        <w:overflowPunct/>
        <w:topLinePunct w:val="0"/>
        <w:autoSpaceDE/>
        <w:autoSpaceDN/>
        <w:bidi w:val="0"/>
        <w:spacing w:line="460" w:lineRule="exact"/>
        <w:ind w:firstLine="475" w:firstLineChars="198"/>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rPr>
        <w:t>2、乙方权利义务：</w:t>
      </w:r>
    </w:p>
    <w:p w14:paraId="77EB46B1">
      <w:pPr>
        <w:keepNext w:val="0"/>
        <w:keepLines w:val="0"/>
        <w:pageBreakBefore w:val="0"/>
        <w:widowControl/>
        <w:shd w:val="clear"/>
        <w:kinsoku/>
        <w:wordWrap/>
        <w:overflowPunct/>
        <w:topLinePunct w:val="0"/>
        <w:autoSpaceDE/>
        <w:autoSpaceDN/>
        <w:bidi w:val="0"/>
        <w:spacing w:line="460" w:lineRule="exact"/>
        <w:ind w:firstLine="475" w:firstLineChars="198"/>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rPr>
        <w:t>（1）乙方应严格按照服务标准及本合同的其他约定对本项目进行服务</w:t>
      </w:r>
      <w:r>
        <w:rPr>
          <w:rFonts w:hint="eastAsia" w:ascii="仿宋" w:hAnsi="仿宋" w:eastAsia="仿宋" w:cs="仿宋"/>
          <w:snapToGrid w:val="0"/>
          <w:color w:val="auto"/>
          <w:kern w:val="28"/>
          <w:sz w:val="24"/>
          <w:szCs w:val="24"/>
          <w:highlight w:val="none"/>
          <w:lang w:eastAsia="zh-CN"/>
        </w:rPr>
        <w:t>，除非得到甲方的书面同意，乙方不得将本合同范围的</w:t>
      </w:r>
      <w:r>
        <w:rPr>
          <w:rFonts w:hint="eastAsia" w:ascii="仿宋" w:hAnsi="仿宋" w:eastAsia="仿宋" w:cs="仿宋"/>
          <w:snapToGrid w:val="0"/>
          <w:color w:val="auto"/>
          <w:kern w:val="28"/>
          <w:sz w:val="24"/>
          <w:szCs w:val="24"/>
          <w:highlight w:val="none"/>
          <w:lang w:val="en-US" w:eastAsia="zh-CN"/>
        </w:rPr>
        <w:t>服务</w:t>
      </w:r>
      <w:r>
        <w:rPr>
          <w:rFonts w:hint="eastAsia" w:ascii="仿宋" w:hAnsi="仿宋" w:eastAsia="仿宋" w:cs="仿宋"/>
          <w:snapToGrid w:val="0"/>
          <w:color w:val="auto"/>
          <w:kern w:val="28"/>
          <w:sz w:val="24"/>
          <w:szCs w:val="24"/>
          <w:highlight w:val="none"/>
          <w:lang w:eastAsia="zh-CN"/>
        </w:rPr>
        <w:t>全部或部分分包给他人；</w:t>
      </w:r>
      <w:r>
        <w:rPr>
          <w:rFonts w:hint="eastAsia" w:ascii="仿宋" w:hAnsi="仿宋" w:eastAsia="仿宋" w:cs="仿宋"/>
          <w:snapToGrid w:val="0"/>
          <w:color w:val="auto"/>
          <w:kern w:val="28"/>
          <w:sz w:val="24"/>
          <w:szCs w:val="24"/>
          <w:highlight w:val="none"/>
        </w:rPr>
        <w:t>不得以任何形式转包给第三方，否则甲方有权立即终止本合同，乙方应就此承担违约责任，赔偿造成甲方的一切损失。</w:t>
      </w:r>
    </w:p>
    <w:p w14:paraId="593B2ECF">
      <w:pPr>
        <w:keepNext w:val="0"/>
        <w:keepLines w:val="0"/>
        <w:pageBreakBefore w:val="0"/>
        <w:widowControl/>
        <w:shd w:val="clear"/>
        <w:kinsoku/>
        <w:wordWrap/>
        <w:overflowPunct/>
        <w:topLinePunct w:val="0"/>
        <w:autoSpaceDE/>
        <w:autoSpaceDN/>
        <w:bidi w:val="0"/>
        <w:spacing w:line="460" w:lineRule="exact"/>
        <w:ind w:firstLine="475" w:firstLineChars="198"/>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rPr>
        <w:t>（2）乙方保安人员进驻本项目执勤后，严格执行甲方有关规章制度，做到遵纪守法，接受甲方有关领导和群众监督、衣着整洁、礼貌待人、认真负责。</w:t>
      </w:r>
    </w:p>
    <w:p w14:paraId="5F05CDDF">
      <w:pPr>
        <w:keepNext w:val="0"/>
        <w:keepLines w:val="0"/>
        <w:pageBreakBefore w:val="0"/>
        <w:widowControl/>
        <w:shd w:val="clear"/>
        <w:kinsoku/>
        <w:wordWrap/>
        <w:overflowPunct/>
        <w:topLinePunct w:val="0"/>
        <w:autoSpaceDE/>
        <w:autoSpaceDN/>
        <w:bidi w:val="0"/>
        <w:spacing w:line="460" w:lineRule="exact"/>
        <w:ind w:firstLine="475" w:firstLineChars="198"/>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rPr>
        <w:t>（3）选派一名保安队长具体安排、全面督导每日服务工作，巡检（自检和参与甲方检查）现场值勤情况，及时做好工作记录，及时处理有关投诉，并做好与甲方人员的日常工作联系。</w:t>
      </w:r>
    </w:p>
    <w:p w14:paraId="234F458E">
      <w:pPr>
        <w:keepNext w:val="0"/>
        <w:keepLines w:val="0"/>
        <w:pageBreakBefore w:val="0"/>
        <w:widowControl/>
        <w:shd w:val="clear"/>
        <w:kinsoku/>
        <w:wordWrap/>
        <w:overflowPunct/>
        <w:topLinePunct w:val="0"/>
        <w:autoSpaceDE/>
        <w:autoSpaceDN/>
        <w:bidi w:val="0"/>
        <w:spacing w:line="460" w:lineRule="exact"/>
        <w:ind w:firstLine="475" w:firstLineChars="198"/>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rPr>
        <w:t>（4）甲方组织和举办活动时有权随时要求乙方调整服务计划，采取相应措施做好服务工作，乙方应按甲方的要求立即执行。</w:t>
      </w:r>
    </w:p>
    <w:p w14:paraId="36AE753F">
      <w:pPr>
        <w:keepNext w:val="0"/>
        <w:keepLines w:val="0"/>
        <w:pageBreakBefore w:val="0"/>
        <w:widowControl/>
        <w:shd w:val="clear"/>
        <w:kinsoku/>
        <w:wordWrap/>
        <w:overflowPunct/>
        <w:topLinePunct w:val="0"/>
        <w:autoSpaceDE/>
        <w:autoSpaceDN/>
        <w:bidi w:val="0"/>
        <w:spacing w:line="460" w:lineRule="exact"/>
        <w:ind w:firstLine="475" w:firstLineChars="198"/>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rPr>
        <w:t>（5）若甲方要求乙方进行人员更换的，则乙方应在5日内更换，否则，每延迟一日，甲方有权扣除相当于当月服务费用8‰。延迟超过10日，甲方有权扣除当月所有费用。</w:t>
      </w:r>
    </w:p>
    <w:p w14:paraId="780D8279">
      <w:pPr>
        <w:keepNext w:val="0"/>
        <w:keepLines w:val="0"/>
        <w:pageBreakBefore w:val="0"/>
        <w:widowControl/>
        <w:shd w:val="clear"/>
        <w:kinsoku/>
        <w:wordWrap/>
        <w:overflowPunct/>
        <w:topLinePunct w:val="0"/>
        <w:autoSpaceDE/>
        <w:autoSpaceDN/>
        <w:bidi w:val="0"/>
        <w:spacing w:line="460" w:lineRule="exact"/>
        <w:ind w:firstLine="475" w:firstLineChars="198"/>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rPr>
        <w:t>（6）乙方每月不少于两次派出一名高层管理人员到本项目检查、指导服务情况，征询甲方意见，对甲方合理之建议应予采纳并按照甲方要求的时限内实施完毕，不断提升服务质量。</w:t>
      </w:r>
    </w:p>
    <w:p w14:paraId="004A1560">
      <w:pPr>
        <w:keepNext w:val="0"/>
        <w:keepLines w:val="0"/>
        <w:pageBreakBefore w:val="0"/>
        <w:widowControl/>
        <w:shd w:val="clear"/>
        <w:kinsoku/>
        <w:wordWrap/>
        <w:overflowPunct/>
        <w:topLinePunct w:val="0"/>
        <w:autoSpaceDE/>
        <w:autoSpaceDN/>
        <w:bidi w:val="0"/>
        <w:spacing w:line="460" w:lineRule="exact"/>
        <w:ind w:firstLine="475" w:firstLineChars="198"/>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rPr>
        <w:t>（7）乙方保安人员在工作期间发生工伤事故全部费用由乙方承担，乙方用工应签订劳动协议且该劳动合同在本合同履行期间均合法存续，并办理各种合法用工手续；甲方除按照本合同约定向乙方支付服务费用以外，不代乙方承担任何劳动合同项下的义务。乙方保安人员在为甲方服务期间产生的一切劳动纠纷，均有乙方自行负责处理，与甲方无关，且乙方处理此等纠纷不应影响本合同的正常履行。</w:t>
      </w:r>
    </w:p>
    <w:p w14:paraId="4F118C20">
      <w:pPr>
        <w:keepNext w:val="0"/>
        <w:keepLines w:val="0"/>
        <w:pageBreakBefore w:val="0"/>
        <w:widowControl/>
        <w:shd w:val="clear"/>
        <w:kinsoku/>
        <w:wordWrap/>
        <w:overflowPunct/>
        <w:topLinePunct w:val="0"/>
        <w:autoSpaceDE/>
        <w:autoSpaceDN/>
        <w:bidi w:val="0"/>
        <w:spacing w:line="460" w:lineRule="exact"/>
        <w:ind w:firstLine="475" w:firstLineChars="198"/>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rPr>
        <w:t>（8）在本合同履行期间，若乙方原因造成甲方、任何第三方人身和财产损害的，乙方应承担全部责任。</w:t>
      </w:r>
    </w:p>
    <w:p w14:paraId="29C6051F">
      <w:pPr>
        <w:keepNext w:val="0"/>
        <w:keepLines w:val="0"/>
        <w:pageBreakBefore w:val="0"/>
        <w:widowControl/>
        <w:shd w:val="clear"/>
        <w:kinsoku/>
        <w:wordWrap/>
        <w:overflowPunct/>
        <w:topLinePunct w:val="0"/>
        <w:autoSpaceDE/>
        <w:autoSpaceDN/>
        <w:bidi w:val="0"/>
        <w:spacing w:line="460" w:lineRule="exact"/>
        <w:ind w:firstLine="475" w:firstLineChars="198"/>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rPr>
        <w:t>（9）乙方公司派驻本项目的保安人员，应身着统一工作服，并保证着装的整洁卫生。保安服乙方按要求配置。</w:t>
      </w:r>
    </w:p>
    <w:p w14:paraId="06A83B01">
      <w:pPr>
        <w:keepNext w:val="0"/>
        <w:keepLines w:val="0"/>
        <w:pageBreakBefore w:val="0"/>
        <w:widowControl/>
        <w:shd w:val="clear"/>
        <w:kinsoku/>
        <w:wordWrap/>
        <w:overflowPunct/>
        <w:topLinePunct w:val="0"/>
        <w:autoSpaceDE/>
        <w:autoSpaceDN/>
        <w:bidi w:val="0"/>
        <w:spacing w:line="460" w:lineRule="exact"/>
        <w:ind w:firstLine="475" w:firstLineChars="198"/>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rPr>
        <w:t>（10）乙方派驻本项目的保安人员，工作时间内不得随意离开工作岗位。</w:t>
      </w:r>
    </w:p>
    <w:p w14:paraId="09710885">
      <w:pPr>
        <w:keepNext w:val="0"/>
        <w:keepLines w:val="0"/>
        <w:pageBreakBefore w:val="0"/>
        <w:widowControl/>
        <w:shd w:val="clear"/>
        <w:kinsoku/>
        <w:wordWrap/>
        <w:overflowPunct/>
        <w:topLinePunct w:val="0"/>
        <w:autoSpaceDE/>
        <w:autoSpaceDN/>
        <w:bidi w:val="0"/>
        <w:spacing w:line="460" w:lineRule="exact"/>
        <w:ind w:firstLine="475" w:firstLineChars="198"/>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lang w:eastAsia="zh-CN"/>
        </w:rPr>
        <w:t>（</w:t>
      </w:r>
      <w:r>
        <w:rPr>
          <w:rFonts w:hint="eastAsia" w:ascii="仿宋" w:hAnsi="仿宋" w:eastAsia="仿宋" w:cs="仿宋"/>
          <w:snapToGrid w:val="0"/>
          <w:color w:val="auto"/>
          <w:kern w:val="28"/>
          <w:sz w:val="24"/>
          <w:szCs w:val="24"/>
          <w:highlight w:val="none"/>
          <w:lang w:val="en-US" w:eastAsia="zh-CN"/>
        </w:rPr>
        <w:t>11</w:t>
      </w:r>
      <w:r>
        <w:rPr>
          <w:rFonts w:hint="eastAsia" w:ascii="仿宋" w:hAnsi="仿宋" w:eastAsia="仿宋" w:cs="仿宋"/>
          <w:snapToGrid w:val="0"/>
          <w:color w:val="auto"/>
          <w:kern w:val="28"/>
          <w:sz w:val="24"/>
          <w:szCs w:val="24"/>
          <w:highlight w:val="none"/>
          <w:lang w:eastAsia="zh-CN"/>
        </w:rPr>
        <w:t>）</w:t>
      </w:r>
      <w:r>
        <w:rPr>
          <w:rFonts w:hint="eastAsia" w:ascii="仿宋" w:hAnsi="仿宋" w:eastAsia="仿宋" w:cs="仿宋"/>
          <w:snapToGrid w:val="0"/>
          <w:color w:val="auto"/>
          <w:kern w:val="28"/>
          <w:sz w:val="24"/>
          <w:szCs w:val="24"/>
          <w:highlight w:val="none"/>
        </w:rPr>
        <w:t>乙方主管人员离开和调整均需征得甲方同意、认可。乙方的保安人员应接受甲方管理人员的监督和考核。</w:t>
      </w:r>
    </w:p>
    <w:p w14:paraId="1D1C5395">
      <w:pPr>
        <w:keepNext w:val="0"/>
        <w:keepLines w:val="0"/>
        <w:pageBreakBefore w:val="0"/>
        <w:widowControl/>
        <w:shd w:val="clear"/>
        <w:kinsoku/>
        <w:wordWrap/>
        <w:overflowPunct/>
        <w:topLinePunct w:val="0"/>
        <w:autoSpaceDE/>
        <w:autoSpaceDN/>
        <w:bidi w:val="0"/>
        <w:spacing w:line="460" w:lineRule="exact"/>
        <w:ind w:firstLine="475" w:firstLineChars="198"/>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rPr>
        <w:t>（1</w:t>
      </w:r>
      <w:r>
        <w:rPr>
          <w:rFonts w:hint="eastAsia" w:ascii="仿宋" w:hAnsi="仿宋" w:eastAsia="仿宋" w:cs="仿宋"/>
          <w:snapToGrid w:val="0"/>
          <w:color w:val="auto"/>
          <w:kern w:val="28"/>
          <w:sz w:val="24"/>
          <w:szCs w:val="24"/>
          <w:highlight w:val="none"/>
          <w:lang w:val="en-US" w:eastAsia="zh-CN"/>
        </w:rPr>
        <w:t>2</w:t>
      </w:r>
      <w:r>
        <w:rPr>
          <w:rFonts w:hint="eastAsia" w:ascii="仿宋" w:hAnsi="仿宋" w:eastAsia="仿宋" w:cs="仿宋"/>
          <w:snapToGrid w:val="0"/>
          <w:color w:val="auto"/>
          <w:kern w:val="28"/>
          <w:sz w:val="24"/>
          <w:szCs w:val="24"/>
          <w:highlight w:val="none"/>
        </w:rPr>
        <w:t>）乙方派驻本项目的</w:t>
      </w:r>
      <w:r>
        <w:rPr>
          <w:rFonts w:hint="eastAsia" w:ascii="仿宋" w:hAnsi="仿宋" w:eastAsia="仿宋" w:cs="仿宋"/>
          <w:snapToGrid w:val="0"/>
          <w:color w:val="auto"/>
          <w:kern w:val="28"/>
          <w:sz w:val="24"/>
          <w:szCs w:val="24"/>
          <w:highlight w:val="none"/>
          <w:lang w:val="en-US" w:eastAsia="zh-CN"/>
        </w:rPr>
        <w:t xml:space="preserve">学校保安员有下列情形之一的，经查实应予以劝退，造成严重后果的移送公安机关处理： </w:t>
      </w:r>
    </w:p>
    <w:p w14:paraId="54E078BF">
      <w:pPr>
        <w:keepNext w:val="0"/>
        <w:keepLines w:val="0"/>
        <w:pageBreakBefore w:val="0"/>
        <w:widowControl/>
        <w:shd w:val="clear"/>
        <w:kinsoku/>
        <w:wordWrap/>
        <w:overflowPunct/>
        <w:topLinePunct w:val="0"/>
        <w:autoSpaceDE/>
        <w:autoSpaceDN/>
        <w:bidi w:val="0"/>
        <w:spacing w:line="460" w:lineRule="exact"/>
        <w:ind w:firstLine="715" w:firstLineChars="298"/>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lang w:val="en-US" w:eastAsia="zh-CN"/>
        </w:rPr>
        <w:t xml:space="preserve">1）突发事件或紧急情况下，临阵脱逃或坐视不管的； </w:t>
      </w:r>
    </w:p>
    <w:p w14:paraId="755B2F69">
      <w:pPr>
        <w:keepNext w:val="0"/>
        <w:keepLines w:val="0"/>
        <w:pageBreakBefore w:val="0"/>
        <w:widowControl/>
        <w:shd w:val="clear"/>
        <w:kinsoku/>
        <w:wordWrap/>
        <w:overflowPunct/>
        <w:topLinePunct w:val="0"/>
        <w:autoSpaceDE/>
        <w:autoSpaceDN/>
        <w:bidi w:val="0"/>
        <w:spacing w:line="460" w:lineRule="exact"/>
        <w:ind w:firstLine="715" w:firstLineChars="298"/>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lang w:val="en-US" w:eastAsia="zh-CN"/>
        </w:rPr>
        <w:t xml:space="preserve">2）参与社会聚众闹事、打架、赌博等违法活动的； </w:t>
      </w:r>
    </w:p>
    <w:p w14:paraId="4F49738C">
      <w:pPr>
        <w:keepNext w:val="0"/>
        <w:keepLines w:val="0"/>
        <w:pageBreakBefore w:val="0"/>
        <w:widowControl/>
        <w:shd w:val="clear"/>
        <w:kinsoku/>
        <w:wordWrap/>
        <w:overflowPunct/>
        <w:topLinePunct w:val="0"/>
        <w:autoSpaceDE/>
        <w:autoSpaceDN/>
        <w:bidi w:val="0"/>
        <w:spacing w:line="460" w:lineRule="exact"/>
        <w:ind w:firstLine="715" w:firstLineChars="298"/>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lang w:val="en-US" w:eastAsia="zh-CN"/>
        </w:rPr>
        <w:t xml:space="preserve">3）在工作中不按规定章程办事，刁难师生，故意损坏公共财物、师生财物，多次受到投诉的； </w:t>
      </w:r>
    </w:p>
    <w:p w14:paraId="65E1AF9E">
      <w:pPr>
        <w:keepNext w:val="0"/>
        <w:keepLines w:val="0"/>
        <w:pageBreakBefore w:val="0"/>
        <w:widowControl/>
        <w:shd w:val="clear"/>
        <w:kinsoku/>
        <w:wordWrap/>
        <w:overflowPunct/>
        <w:topLinePunct w:val="0"/>
        <w:autoSpaceDE/>
        <w:autoSpaceDN/>
        <w:bidi w:val="0"/>
        <w:spacing w:line="460" w:lineRule="exact"/>
        <w:ind w:firstLine="715" w:firstLineChars="298"/>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lang w:val="en-US" w:eastAsia="zh-CN"/>
        </w:rPr>
        <w:t xml:space="preserve">4）工作责任心不强，不服从分配，不执行规章制度，且屡教不改的； </w:t>
      </w:r>
    </w:p>
    <w:p w14:paraId="3662F061">
      <w:pPr>
        <w:keepNext w:val="0"/>
        <w:keepLines w:val="0"/>
        <w:pageBreakBefore w:val="0"/>
        <w:widowControl/>
        <w:shd w:val="clear"/>
        <w:kinsoku/>
        <w:wordWrap/>
        <w:overflowPunct/>
        <w:topLinePunct w:val="0"/>
        <w:autoSpaceDE/>
        <w:autoSpaceDN/>
        <w:bidi w:val="0"/>
        <w:spacing w:line="460" w:lineRule="exact"/>
        <w:ind w:firstLine="715" w:firstLineChars="298"/>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lang w:val="en-US" w:eastAsia="zh-CN"/>
        </w:rPr>
        <w:t xml:space="preserve">5）发表不良言论，严重损坏学校形象的； </w:t>
      </w:r>
    </w:p>
    <w:p w14:paraId="1B2CE085">
      <w:pPr>
        <w:keepNext w:val="0"/>
        <w:keepLines w:val="0"/>
        <w:pageBreakBefore w:val="0"/>
        <w:widowControl/>
        <w:shd w:val="clear"/>
        <w:kinsoku/>
        <w:wordWrap/>
        <w:overflowPunct/>
        <w:topLinePunct w:val="0"/>
        <w:autoSpaceDE/>
        <w:autoSpaceDN/>
        <w:bidi w:val="0"/>
        <w:spacing w:line="460" w:lineRule="exact"/>
        <w:ind w:firstLine="715" w:firstLineChars="298"/>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lang w:val="en-US" w:eastAsia="zh-CN"/>
        </w:rPr>
        <w:t>6）工作不能得到学校认可，一年度月考核得分有连续二次或总数达三次在 70 分以下的。</w:t>
      </w:r>
    </w:p>
    <w:p w14:paraId="742AB31D">
      <w:pPr>
        <w:keepNext w:val="0"/>
        <w:keepLines w:val="0"/>
        <w:pageBreakBefore w:val="0"/>
        <w:widowControl/>
        <w:shd w:val="clear"/>
        <w:kinsoku/>
        <w:wordWrap/>
        <w:overflowPunct/>
        <w:topLinePunct w:val="0"/>
        <w:autoSpaceDE/>
        <w:autoSpaceDN/>
        <w:bidi w:val="0"/>
        <w:spacing w:line="460" w:lineRule="exact"/>
        <w:ind w:firstLine="475" w:firstLineChars="198"/>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rPr>
        <w:t>（</w:t>
      </w:r>
      <w:r>
        <w:rPr>
          <w:rFonts w:hint="eastAsia" w:ascii="仿宋" w:hAnsi="仿宋" w:eastAsia="仿宋" w:cs="仿宋"/>
          <w:snapToGrid w:val="0"/>
          <w:color w:val="auto"/>
          <w:kern w:val="28"/>
          <w:sz w:val="24"/>
          <w:szCs w:val="24"/>
          <w:highlight w:val="none"/>
          <w:lang w:val="en-US" w:eastAsia="zh-CN"/>
        </w:rPr>
        <w:t>13</w:t>
      </w:r>
      <w:r>
        <w:rPr>
          <w:rFonts w:hint="eastAsia" w:ascii="仿宋" w:hAnsi="仿宋" w:eastAsia="仿宋" w:cs="仿宋"/>
          <w:snapToGrid w:val="0"/>
          <w:color w:val="auto"/>
          <w:kern w:val="28"/>
          <w:sz w:val="24"/>
          <w:szCs w:val="24"/>
          <w:highlight w:val="none"/>
        </w:rPr>
        <w:t>）遇有紧急情况及突发事件时，乙方有责任在最短的时间内配合甲方提供充足的人员，并应无条件听从甲方现场工作人员调遣。</w:t>
      </w:r>
    </w:p>
    <w:p w14:paraId="7E6AFFD0">
      <w:pPr>
        <w:keepNext w:val="0"/>
        <w:keepLines w:val="0"/>
        <w:pageBreakBefore w:val="0"/>
        <w:widowControl w:val="0"/>
        <w:shd w:val="clear"/>
        <w:kinsoku/>
        <w:wordWrap/>
        <w:overflowPunct/>
        <w:topLinePunct w:val="0"/>
        <w:autoSpaceDE/>
        <w:autoSpaceDN/>
        <w:bidi w:val="0"/>
        <w:adjustRightInd/>
        <w:snapToGrid/>
        <w:spacing w:line="460" w:lineRule="exact"/>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、违约责任</w:t>
      </w:r>
      <w:bookmarkEnd w:id="43"/>
    </w:p>
    <w:p w14:paraId="0EADB5E8">
      <w:pPr>
        <w:keepNext w:val="0"/>
        <w:keepLines w:val="0"/>
        <w:pageBreakBefore w:val="0"/>
        <w:widowControl w:val="0"/>
        <w:shd w:val="clear"/>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本合同履行期间，若甲乙双方无合同依据单方终止本合同，则应向守约方支付服务总值的百分之五作为违约金。</w:t>
      </w:r>
    </w:p>
    <w:p w14:paraId="0735CB2C">
      <w:pPr>
        <w:keepNext w:val="0"/>
        <w:keepLines w:val="0"/>
        <w:pageBreakBefore w:val="0"/>
        <w:widowControl w:val="0"/>
        <w:shd w:val="clear"/>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无论任何原因导致协议解除的，乙方应一个月之内移交服务档案和相关手续文件，且撤走全部人员。否则，每滞留一日，则应按本合同服务费总额的5‰作为违约金。</w:t>
      </w:r>
    </w:p>
    <w:p w14:paraId="4E7ADB79">
      <w:pPr>
        <w:keepNext w:val="0"/>
        <w:keepLines w:val="0"/>
        <w:pageBreakBefore w:val="0"/>
        <w:widowControl w:val="0"/>
        <w:shd w:val="clear"/>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如乙方未履行本合同项下的义务或违反本合同的约定造成甲方或其职员及他人财产和人身损害的，应由乙方自行承担全部损失。</w:t>
      </w:r>
    </w:p>
    <w:p w14:paraId="1D9A1973">
      <w:pPr>
        <w:keepNext w:val="0"/>
        <w:keepLines w:val="0"/>
        <w:pageBreakBefore w:val="0"/>
        <w:widowControl w:val="0"/>
        <w:shd w:val="clear"/>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本合同项下所有因乙方违约造成甲方损失或乙方应承担的违约责任，甲方有权从应付乙方的任何一笔款项中直接扣除。</w:t>
      </w:r>
    </w:p>
    <w:p w14:paraId="55C3AAA4">
      <w:pPr>
        <w:keepNext w:val="0"/>
        <w:keepLines w:val="0"/>
        <w:pageBreakBefore w:val="0"/>
        <w:widowControl w:val="0"/>
        <w:shd w:val="clear"/>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本合同项下违约方应赔偿的损失包括守约方的直接损失和间接损失，包括但不限于守约方向第三方承担的赔偿责任、诉讼费、仲裁费、律师费、鉴定费等因违约而发生的费用支出。</w:t>
      </w:r>
    </w:p>
    <w:p w14:paraId="5461ABCF">
      <w:pPr>
        <w:keepNext w:val="0"/>
        <w:keepLines w:val="0"/>
        <w:pageBreakBefore w:val="0"/>
        <w:shd w:val="clear"/>
        <w:tabs>
          <w:tab w:val="left" w:pos="0"/>
          <w:tab w:val="left" w:pos="917"/>
          <w:tab w:val="left" w:pos="1080"/>
        </w:tabs>
        <w:kinsoku/>
        <w:wordWrap/>
        <w:overflowPunct/>
        <w:topLinePunct w:val="0"/>
        <w:bidi w:val="0"/>
        <w:snapToGrid w:val="0"/>
        <w:spacing w:before="50" w:after="50" w:line="460" w:lineRule="exact"/>
        <w:textAlignment w:val="auto"/>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color w:val="auto"/>
          <w:sz w:val="24"/>
          <w:szCs w:val="24"/>
          <w:highlight w:val="none"/>
          <w:lang w:val="en-US" w:eastAsia="zh-CN"/>
        </w:rPr>
        <w:t>九</w:t>
      </w:r>
      <w:r>
        <w:rPr>
          <w:rFonts w:hint="eastAsia" w:ascii="仿宋" w:hAnsi="仿宋" w:eastAsia="仿宋" w:cs="仿宋"/>
          <w:b/>
          <w:color w:val="auto"/>
          <w:sz w:val="24"/>
          <w:szCs w:val="24"/>
          <w:highlight w:val="none"/>
        </w:rPr>
        <w:t>、</w:t>
      </w:r>
      <w:r>
        <w:rPr>
          <w:rFonts w:hint="eastAsia" w:ascii="仿宋" w:hAnsi="仿宋" w:eastAsia="仿宋" w:cs="仿宋"/>
          <w:b/>
          <w:bCs/>
          <w:color w:val="auto"/>
          <w:sz w:val="24"/>
          <w:szCs w:val="24"/>
          <w:highlight w:val="none"/>
          <w:lang w:eastAsia="zh-CN"/>
        </w:rPr>
        <w:t>其他约定</w:t>
      </w:r>
    </w:p>
    <w:p w14:paraId="4748BF5A">
      <w:pPr>
        <w:keepNext w:val="0"/>
        <w:keepLines w:val="0"/>
        <w:pageBreakBefore w:val="0"/>
        <w:widowControl w:val="0"/>
        <w:numPr>
          <w:ilvl w:val="0"/>
          <w:numId w:val="0"/>
        </w:numPr>
        <w:shd w:val="clear"/>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1.乙方须派1人作为项目负责人，</w:t>
      </w:r>
      <w:r>
        <w:rPr>
          <w:rFonts w:hint="eastAsia" w:ascii="仿宋" w:hAnsi="仿宋" w:eastAsia="仿宋" w:cs="仿宋"/>
          <w:snapToGrid w:val="0"/>
          <w:color w:val="auto"/>
          <w:kern w:val="28"/>
          <w:sz w:val="24"/>
          <w:szCs w:val="24"/>
          <w:highlight w:val="none"/>
          <w:lang w:val="en-US" w:eastAsia="zh-CN"/>
        </w:rPr>
        <w:t>负责学校保安队伍的管理工作，人员的工资等福利待遇由乙方支付。</w:t>
      </w:r>
    </w:p>
    <w:p w14:paraId="4872A9B8">
      <w:pPr>
        <w:keepNext w:val="0"/>
        <w:keepLines w:val="0"/>
        <w:pageBreakBefore w:val="0"/>
        <w:widowControl w:val="0"/>
        <w:numPr>
          <w:ilvl w:val="0"/>
          <w:numId w:val="0"/>
        </w:numPr>
        <w:shd w:val="clear"/>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2.在省、市、县三级检查中，如发现学校保安履职不到位被扣分、被通报批评的，每一起分别处以罚金1000元、500元、300元，从支付的服务费中扣减。</w:t>
      </w:r>
    </w:p>
    <w:p w14:paraId="5C2CEF4C">
      <w:pPr>
        <w:keepNext w:val="0"/>
        <w:keepLines w:val="0"/>
        <w:pageBreakBefore w:val="0"/>
        <w:widowControl w:val="0"/>
        <w:numPr>
          <w:ilvl w:val="0"/>
          <w:numId w:val="0"/>
        </w:numPr>
        <w:shd w:val="clear"/>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3.乙方如按</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lang w:eastAsia="zh-CN"/>
        </w:rPr>
        <w:t>嵊州市中小学、幼儿园</w:t>
      </w:r>
      <w:r>
        <w:rPr>
          <w:rFonts w:hint="eastAsia" w:ascii="仿宋" w:hAnsi="仿宋" w:eastAsia="仿宋" w:cs="仿宋"/>
          <w:b/>
          <w:bCs/>
          <w:color w:val="auto"/>
          <w:sz w:val="24"/>
          <w:szCs w:val="24"/>
          <w:highlight w:val="none"/>
        </w:rPr>
        <w:t>保安公司</w:t>
      </w:r>
      <w:r>
        <w:rPr>
          <w:rFonts w:hint="eastAsia" w:ascii="仿宋" w:hAnsi="仿宋" w:eastAsia="仿宋" w:cs="仿宋"/>
          <w:b/>
          <w:bCs/>
          <w:color w:val="auto"/>
          <w:sz w:val="24"/>
          <w:szCs w:val="24"/>
          <w:highlight w:val="none"/>
          <w:lang w:eastAsia="zh-CN"/>
        </w:rPr>
        <w:t>服务学期</w:t>
      </w:r>
      <w:r>
        <w:rPr>
          <w:rFonts w:hint="eastAsia" w:ascii="仿宋" w:hAnsi="仿宋" w:eastAsia="仿宋" w:cs="仿宋"/>
          <w:b/>
          <w:bCs/>
          <w:color w:val="auto"/>
          <w:sz w:val="24"/>
          <w:szCs w:val="24"/>
          <w:highlight w:val="none"/>
          <w:lang w:val="en-US" w:eastAsia="zh-CN"/>
        </w:rPr>
        <w:t>考核指标及评价表》进行考核，</w:t>
      </w:r>
      <w:r>
        <w:rPr>
          <w:rFonts w:hint="eastAsia" w:ascii="仿宋" w:hAnsi="仿宋" w:eastAsia="仿宋" w:cs="仿宋"/>
          <w:color w:val="auto"/>
          <w:sz w:val="24"/>
          <w:szCs w:val="24"/>
          <w:highlight w:val="none"/>
          <w:lang w:val="en-US" w:eastAsia="zh-CN"/>
        </w:rPr>
        <w:t>考核分在80分以下，采购人有权单方面解除合同并扣除全部履约保证金。</w:t>
      </w:r>
    </w:p>
    <w:p w14:paraId="0C209156">
      <w:pPr>
        <w:keepNext w:val="0"/>
        <w:keepLines w:val="0"/>
        <w:pageBreakBefore w:val="0"/>
        <w:shd w:val="clear"/>
        <w:kinsoku/>
        <w:wordWrap/>
        <w:overflowPunct/>
        <w:topLinePunct w:val="0"/>
        <w:bidi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napToGrid w:val="0"/>
          <w:color w:val="auto"/>
          <w:kern w:val="28"/>
          <w:sz w:val="24"/>
          <w:szCs w:val="24"/>
          <w:highlight w:val="none"/>
          <w:lang w:val="en-US" w:eastAsia="zh-CN"/>
        </w:rPr>
        <w:t>4.</w:t>
      </w:r>
      <w:r>
        <w:rPr>
          <w:rFonts w:hint="eastAsia" w:ascii="仿宋" w:hAnsi="仿宋" w:eastAsia="仿宋" w:cs="仿宋"/>
          <w:snapToGrid w:val="0"/>
          <w:color w:val="auto"/>
          <w:kern w:val="28"/>
          <w:sz w:val="24"/>
          <w:szCs w:val="24"/>
          <w:highlight w:val="none"/>
        </w:rPr>
        <w:t>合同期内，</w:t>
      </w:r>
      <w:r>
        <w:rPr>
          <w:rFonts w:hint="eastAsia" w:ascii="仿宋" w:hAnsi="仿宋" w:eastAsia="仿宋" w:cs="仿宋"/>
          <w:snapToGrid w:val="0"/>
          <w:color w:val="auto"/>
          <w:kern w:val="28"/>
          <w:sz w:val="24"/>
          <w:szCs w:val="24"/>
          <w:highlight w:val="none"/>
          <w:lang w:val="en-US" w:eastAsia="zh-CN"/>
        </w:rPr>
        <w:t>乙方应</w:t>
      </w:r>
      <w:r>
        <w:rPr>
          <w:rFonts w:hint="eastAsia" w:ascii="仿宋" w:hAnsi="仿宋" w:eastAsia="仿宋" w:cs="仿宋"/>
          <w:snapToGrid w:val="0"/>
          <w:color w:val="auto"/>
          <w:kern w:val="28"/>
          <w:sz w:val="24"/>
          <w:szCs w:val="24"/>
          <w:highlight w:val="none"/>
        </w:rPr>
        <w:t>严格履行合同，若在合同期内乙方有严重违约行为或考核不合格的，甲方有权提前终止合同</w:t>
      </w:r>
      <w:r>
        <w:rPr>
          <w:rFonts w:hint="eastAsia" w:ascii="仿宋" w:hAnsi="仿宋" w:eastAsia="仿宋" w:cs="仿宋"/>
          <w:snapToGrid w:val="0"/>
          <w:color w:val="auto"/>
          <w:kern w:val="28"/>
          <w:sz w:val="24"/>
          <w:szCs w:val="24"/>
          <w:highlight w:val="none"/>
          <w:lang w:val="en-US" w:eastAsia="zh-CN"/>
        </w:rPr>
        <w:t>并没收履约保证金</w:t>
      </w:r>
      <w:r>
        <w:rPr>
          <w:rFonts w:hint="eastAsia" w:ascii="仿宋" w:hAnsi="仿宋" w:eastAsia="仿宋" w:cs="仿宋"/>
          <w:snapToGrid w:val="0"/>
          <w:color w:val="auto"/>
          <w:kern w:val="28"/>
          <w:sz w:val="24"/>
          <w:szCs w:val="24"/>
          <w:highlight w:val="none"/>
        </w:rPr>
        <w:t>，由此造成的一切后果和损失由乙方承担。</w:t>
      </w:r>
      <w:r>
        <w:rPr>
          <w:rFonts w:hint="eastAsia" w:ascii="仿宋" w:hAnsi="仿宋" w:eastAsia="仿宋" w:cs="仿宋"/>
          <w:color w:val="auto"/>
          <w:sz w:val="24"/>
          <w:szCs w:val="24"/>
          <w:highlight w:val="none"/>
        </w:rPr>
        <w:t xml:space="preserve"> </w:t>
      </w:r>
    </w:p>
    <w:p w14:paraId="0DF92615">
      <w:pPr>
        <w:keepNext w:val="0"/>
        <w:keepLines w:val="0"/>
        <w:pageBreakBefore w:val="0"/>
        <w:widowControl/>
        <w:shd w:val="clear"/>
        <w:kinsoku/>
        <w:wordWrap/>
        <w:overflowPunct/>
        <w:topLinePunct w:val="0"/>
        <w:autoSpaceDE/>
        <w:autoSpaceDN/>
        <w:bidi w:val="0"/>
        <w:spacing w:line="46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乙方有下列情形之一的，甲方有权提前终止合同并没收履约保证金，由此造成的一切后果和损失由乙方承担</w:t>
      </w:r>
      <w:r>
        <w:rPr>
          <w:rFonts w:hint="eastAsia" w:ascii="仿宋" w:hAnsi="仿宋" w:eastAsia="仿宋" w:cs="仿宋"/>
          <w:color w:val="auto"/>
          <w:sz w:val="24"/>
          <w:szCs w:val="24"/>
          <w:highlight w:val="none"/>
        </w:rPr>
        <w:t>：</w:t>
      </w:r>
    </w:p>
    <w:p w14:paraId="5E875B8A">
      <w:pPr>
        <w:keepNext w:val="0"/>
        <w:keepLines w:val="0"/>
        <w:pageBreakBefore w:val="0"/>
        <w:widowControl/>
        <w:shd w:val="clear"/>
        <w:kinsoku/>
        <w:wordWrap/>
        <w:overflowPunct/>
        <w:topLinePunct w:val="0"/>
        <w:autoSpaceDE/>
        <w:autoSpaceDN/>
        <w:bidi w:val="0"/>
        <w:spacing w:line="46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）存在未按规定派驻保安员的；</w:t>
      </w:r>
    </w:p>
    <w:p w14:paraId="51950C2D">
      <w:pPr>
        <w:keepNext w:val="0"/>
        <w:keepLines w:val="0"/>
        <w:pageBreakBefore w:val="0"/>
        <w:widowControl/>
        <w:shd w:val="clear"/>
        <w:kinsoku/>
        <w:wordWrap/>
        <w:overflowPunct/>
        <w:topLinePunct w:val="0"/>
        <w:autoSpaceDE/>
        <w:autoSpaceDN/>
        <w:bidi w:val="0"/>
        <w:spacing w:line="46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）存在重大财务不良记录的；</w:t>
      </w:r>
    </w:p>
    <w:p w14:paraId="5F97E00B">
      <w:pPr>
        <w:keepNext w:val="0"/>
        <w:keepLines w:val="0"/>
        <w:pageBreakBefore w:val="0"/>
        <w:widowControl/>
        <w:shd w:val="clear"/>
        <w:kinsoku/>
        <w:wordWrap/>
        <w:overflowPunct/>
        <w:topLinePunct w:val="0"/>
        <w:autoSpaceDE/>
        <w:autoSpaceDN/>
        <w:bidi w:val="0"/>
        <w:spacing w:line="46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）因管理不到位导致</w:t>
      </w:r>
      <w:r>
        <w:rPr>
          <w:rFonts w:hint="eastAsia" w:ascii="仿宋" w:hAnsi="仿宋" w:eastAsia="仿宋" w:cs="仿宋"/>
          <w:color w:val="auto"/>
          <w:sz w:val="24"/>
          <w:szCs w:val="24"/>
          <w:highlight w:val="none"/>
          <w:lang w:eastAsia="zh-CN"/>
        </w:rPr>
        <w:t>市</w:t>
      </w:r>
      <w:r>
        <w:rPr>
          <w:rFonts w:hint="eastAsia" w:ascii="仿宋" w:hAnsi="仿宋" w:eastAsia="仿宋" w:cs="仿宋"/>
          <w:color w:val="auto"/>
          <w:sz w:val="24"/>
          <w:szCs w:val="24"/>
          <w:highlight w:val="none"/>
        </w:rPr>
        <w:t>级及以上部门检查出现较大问题的；</w:t>
      </w:r>
    </w:p>
    <w:p w14:paraId="42B71C6D">
      <w:pPr>
        <w:keepNext w:val="0"/>
        <w:keepLines w:val="0"/>
        <w:pageBreakBefore w:val="0"/>
        <w:widowControl/>
        <w:shd w:val="clear"/>
        <w:kinsoku/>
        <w:wordWrap/>
        <w:overflowPunct/>
        <w:topLinePunct w:val="0"/>
        <w:autoSpaceDE/>
        <w:autoSpaceDN/>
        <w:bidi w:val="0"/>
        <w:spacing w:line="46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）因履职不当发生校园事故的；</w:t>
      </w:r>
    </w:p>
    <w:p w14:paraId="7C11EACA">
      <w:pPr>
        <w:keepNext w:val="0"/>
        <w:keepLines w:val="0"/>
        <w:pageBreakBefore w:val="0"/>
        <w:widowControl/>
        <w:shd w:val="clear"/>
        <w:kinsoku/>
        <w:wordWrap/>
        <w:overflowPunct/>
        <w:topLinePunct w:val="0"/>
        <w:autoSpaceDE/>
        <w:autoSpaceDN/>
        <w:bidi w:val="0"/>
        <w:spacing w:line="46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）存在其他不良情况的。</w:t>
      </w:r>
    </w:p>
    <w:p w14:paraId="7998AB15">
      <w:pPr>
        <w:keepNext w:val="0"/>
        <w:keepLines w:val="0"/>
        <w:pageBreakBefore w:val="0"/>
        <w:widowControl/>
        <w:shd w:val="clear"/>
        <w:kinsoku/>
        <w:wordWrap/>
        <w:overflowPunct/>
        <w:topLinePunct w:val="0"/>
        <w:autoSpaceDE/>
        <w:autoSpaceDN/>
        <w:bidi w:val="0"/>
        <w:spacing w:line="46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snapToGrid w:val="0"/>
          <w:color w:val="auto"/>
          <w:kern w:val="28"/>
          <w:sz w:val="24"/>
          <w:szCs w:val="24"/>
          <w:highlight w:val="none"/>
          <w:lang w:val="en-US" w:eastAsia="zh-CN"/>
        </w:rPr>
        <w:t>保安工作时间期间，学校可根据本校实际情况适当补助就餐费，并与其签订条款。</w:t>
      </w:r>
    </w:p>
    <w:p w14:paraId="3336BA61">
      <w:pPr>
        <w:keepNext w:val="0"/>
        <w:keepLines w:val="0"/>
        <w:pageBreakBefore w:val="0"/>
        <w:widowControl/>
        <w:shd w:val="clear"/>
        <w:kinsoku/>
        <w:wordWrap/>
        <w:overflowPunct/>
        <w:topLinePunct w:val="0"/>
        <w:autoSpaceDE/>
        <w:autoSpaceDN/>
        <w:bidi w:val="0"/>
        <w:spacing w:line="460" w:lineRule="exact"/>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b/>
          <w:bCs/>
          <w:color w:val="auto"/>
          <w:sz w:val="24"/>
          <w:szCs w:val="24"/>
          <w:highlight w:val="none"/>
          <w:lang w:val="en-US" w:eastAsia="zh-CN"/>
        </w:rPr>
        <w:t>十</w:t>
      </w:r>
      <w:r>
        <w:rPr>
          <w:rFonts w:hint="eastAsia" w:ascii="仿宋" w:hAnsi="仿宋" w:eastAsia="仿宋" w:cs="仿宋"/>
          <w:b/>
          <w:bCs/>
          <w:snapToGrid w:val="0"/>
          <w:color w:val="auto"/>
          <w:kern w:val="28"/>
          <w:sz w:val="24"/>
          <w:szCs w:val="24"/>
          <w:highlight w:val="none"/>
        </w:rPr>
        <w:t>、不可抗力事件处理</w:t>
      </w:r>
    </w:p>
    <w:p w14:paraId="258632F3">
      <w:pPr>
        <w:keepNext w:val="0"/>
        <w:keepLines w:val="0"/>
        <w:pageBreakBefore w:val="0"/>
        <w:widowControl/>
        <w:shd w:val="clear"/>
        <w:kinsoku/>
        <w:wordWrap/>
        <w:overflowPunct/>
        <w:topLinePunct w:val="0"/>
        <w:autoSpaceDE/>
        <w:autoSpaceDN/>
        <w:bidi w:val="0"/>
        <w:spacing w:line="460" w:lineRule="exact"/>
        <w:ind w:firstLine="475" w:firstLineChars="198"/>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rPr>
        <w:t>1</w:t>
      </w:r>
      <w:r>
        <w:rPr>
          <w:rFonts w:hint="eastAsia" w:ascii="仿宋" w:hAnsi="仿宋" w:eastAsia="仿宋" w:cs="仿宋"/>
          <w:snapToGrid w:val="0"/>
          <w:color w:val="auto"/>
          <w:kern w:val="28"/>
          <w:sz w:val="24"/>
          <w:szCs w:val="24"/>
          <w:highlight w:val="none"/>
          <w:lang w:val="en-US" w:eastAsia="zh-CN"/>
        </w:rPr>
        <w:t>.</w:t>
      </w:r>
      <w:r>
        <w:rPr>
          <w:rFonts w:hint="eastAsia" w:ascii="仿宋" w:hAnsi="仿宋" w:eastAsia="仿宋" w:cs="仿宋"/>
          <w:snapToGrid w:val="0"/>
          <w:color w:val="auto"/>
          <w:kern w:val="28"/>
          <w:sz w:val="24"/>
          <w:szCs w:val="24"/>
          <w:highlight w:val="none"/>
        </w:rPr>
        <w:t>在合同有效期内，任何一方因不可抗力事件导致不能履行合同，则合同履行期可延长，其延长期与不可抗力影响期相同。</w:t>
      </w:r>
    </w:p>
    <w:p w14:paraId="65FD9BB2">
      <w:pPr>
        <w:keepNext w:val="0"/>
        <w:keepLines w:val="0"/>
        <w:pageBreakBefore w:val="0"/>
        <w:widowControl/>
        <w:shd w:val="clear"/>
        <w:kinsoku/>
        <w:wordWrap/>
        <w:overflowPunct/>
        <w:topLinePunct w:val="0"/>
        <w:autoSpaceDE/>
        <w:autoSpaceDN/>
        <w:bidi w:val="0"/>
        <w:spacing w:line="460" w:lineRule="exact"/>
        <w:ind w:firstLine="475" w:firstLineChars="198"/>
        <w:jc w:val="left"/>
        <w:textAlignment w:val="auto"/>
        <w:outlineLvl w:val="9"/>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rPr>
        <w:t>2</w:t>
      </w:r>
      <w:r>
        <w:rPr>
          <w:rFonts w:hint="eastAsia" w:ascii="仿宋" w:hAnsi="仿宋" w:eastAsia="仿宋" w:cs="仿宋"/>
          <w:snapToGrid w:val="0"/>
          <w:color w:val="auto"/>
          <w:kern w:val="28"/>
          <w:sz w:val="24"/>
          <w:szCs w:val="24"/>
          <w:highlight w:val="none"/>
          <w:lang w:val="en-US" w:eastAsia="zh-CN"/>
        </w:rPr>
        <w:t>.</w:t>
      </w:r>
      <w:r>
        <w:rPr>
          <w:rFonts w:hint="eastAsia" w:ascii="仿宋" w:hAnsi="仿宋" w:eastAsia="仿宋" w:cs="仿宋"/>
          <w:snapToGrid w:val="0"/>
          <w:color w:val="auto"/>
          <w:kern w:val="28"/>
          <w:sz w:val="24"/>
          <w:szCs w:val="24"/>
          <w:highlight w:val="none"/>
        </w:rPr>
        <w:t>不可抗力事件发生后，应立即通知对方，并寄送有关权威机构出具的证明。</w:t>
      </w:r>
    </w:p>
    <w:p w14:paraId="2C6D0DAA">
      <w:pPr>
        <w:keepNext w:val="0"/>
        <w:keepLines w:val="0"/>
        <w:pageBreakBefore w:val="0"/>
        <w:widowControl/>
        <w:shd w:val="clear"/>
        <w:kinsoku/>
        <w:wordWrap/>
        <w:overflowPunct/>
        <w:topLinePunct w:val="0"/>
        <w:autoSpaceDE/>
        <w:autoSpaceDN/>
        <w:bidi w:val="0"/>
        <w:spacing w:line="460" w:lineRule="exact"/>
        <w:ind w:firstLine="475" w:firstLineChars="198"/>
        <w:jc w:val="left"/>
        <w:textAlignment w:val="auto"/>
        <w:outlineLvl w:val="9"/>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28"/>
          <w:sz w:val="24"/>
          <w:szCs w:val="24"/>
          <w:highlight w:val="none"/>
        </w:rPr>
        <w:t>3</w:t>
      </w:r>
      <w:r>
        <w:rPr>
          <w:rFonts w:hint="eastAsia" w:ascii="仿宋" w:hAnsi="仿宋" w:eastAsia="仿宋" w:cs="仿宋"/>
          <w:snapToGrid w:val="0"/>
          <w:color w:val="auto"/>
          <w:kern w:val="28"/>
          <w:sz w:val="24"/>
          <w:szCs w:val="24"/>
          <w:highlight w:val="none"/>
          <w:lang w:val="en-US" w:eastAsia="zh-CN"/>
        </w:rPr>
        <w:t>.</w:t>
      </w:r>
      <w:r>
        <w:rPr>
          <w:rFonts w:hint="eastAsia" w:ascii="仿宋" w:hAnsi="仿宋" w:eastAsia="仿宋" w:cs="仿宋"/>
          <w:snapToGrid w:val="0"/>
          <w:color w:val="auto"/>
          <w:kern w:val="28"/>
          <w:sz w:val="24"/>
          <w:szCs w:val="24"/>
          <w:highlight w:val="none"/>
        </w:rPr>
        <w:t>不可抗力事件延续120天，双方应通过友好协商，确定是否继续履行合同。</w:t>
      </w:r>
    </w:p>
    <w:p w14:paraId="48B3AFC3">
      <w:pPr>
        <w:keepNext w:val="0"/>
        <w:keepLines w:val="0"/>
        <w:pageBreakBefore w:val="0"/>
        <w:shd w:val="clear"/>
        <w:kinsoku/>
        <w:wordWrap/>
        <w:overflowPunct/>
        <w:topLinePunct w:val="0"/>
        <w:bidi w:val="0"/>
        <w:spacing w:line="460" w:lineRule="exact"/>
        <w:textAlignment w:val="auto"/>
        <w:outlineLvl w:val="9"/>
        <w:rPr>
          <w:rFonts w:hint="eastAsia" w:ascii="仿宋" w:hAnsi="仿宋" w:eastAsia="仿宋" w:cs="仿宋"/>
          <w:b/>
          <w:color w:val="auto"/>
          <w:sz w:val="24"/>
          <w:szCs w:val="24"/>
          <w:highlight w:val="none"/>
        </w:rPr>
      </w:pPr>
      <w:bookmarkStart w:id="44" w:name="_Toc15583"/>
      <w:bookmarkStart w:id="45" w:name="_Toc28375"/>
      <w:bookmarkStart w:id="46" w:name="_Toc9864"/>
      <w:bookmarkStart w:id="47" w:name="_Toc20342"/>
      <w:bookmarkStart w:id="48" w:name="_Toc16021"/>
      <w:r>
        <w:rPr>
          <w:rFonts w:hint="eastAsia" w:ascii="仿宋" w:hAnsi="仿宋" w:eastAsia="仿宋" w:cs="仿宋"/>
          <w:b/>
          <w:color w:val="auto"/>
          <w:sz w:val="24"/>
          <w:szCs w:val="24"/>
          <w:highlight w:val="none"/>
          <w:lang w:val="en-US" w:eastAsia="zh-CN"/>
        </w:rPr>
        <w:t>十一</w:t>
      </w:r>
      <w:r>
        <w:rPr>
          <w:rFonts w:hint="eastAsia" w:ascii="仿宋" w:hAnsi="仿宋" w:eastAsia="仿宋" w:cs="仿宋"/>
          <w:b/>
          <w:color w:val="auto"/>
          <w:sz w:val="24"/>
          <w:szCs w:val="24"/>
          <w:highlight w:val="none"/>
        </w:rPr>
        <w:t>、合同争议的解决</w:t>
      </w:r>
      <w:bookmarkEnd w:id="44"/>
      <w:bookmarkEnd w:id="45"/>
      <w:bookmarkEnd w:id="46"/>
      <w:bookmarkEnd w:id="47"/>
      <w:bookmarkEnd w:id="48"/>
    </w:p>
    <w:p w14:paraId="6C1676F9">
      <w:pPr>
        <w:keepNext w:val="0"/>
        <w:keepLines w:val="0"/>
        <w:pageBreakBefore w:val="0"/>
        <w:widowControl w:val="0"/>
        <w:shd w:val="clear"/>
        <w:kinsoku/>
        <w:wordWrap/>
        <w:overflowPunct/>
        <w:topLinePunct w:val="0"/>
        <w:autoSpaceDE/>
        <w:autoSpaceDN/>
        <w:bidi w:val="0"/>
        <w:adjustRightInd w:val="0"/>
        <w:snapToGrid w:val="0"/>
        <w:spacing w:beforeLines="0" w:afterLines="0" w:line="460" w:lineRule="exact"/>
        <w:ind w:left="0" w:firstLine="511" w:firstLineChars="213"/>
        <w:jc w:val="both"/>
        <w:textAlignment w:val="auto"/>
        <w:outlineLvl w:val="9"/>
        <w:rPr>
          <w:rFonts w:hint="eastAsia" w:ascii="仿宋" w:hAnsi="仿宋" w:eastAsia="仿宋" w:cs="仿宋"/>
          <w:snapToGrid w:val="0"/>
          <w:color w:val="auto"/>
          <w:kern w:val="0"/>
          <w:sz w:val="24"/>
          <w:szCs w:val="24"/>
          <w:highlight w:val="none"/>
          <w:lang w:val="en-US" w:eastAsia="zh-CN" w:bidi="ar-SA"/>
        </w:rPr>
      </w:pPr>
      <w:bookmarkStart w:id="49" w:name="_Toc14535"/>
      <w:bookmarkStart w:id="50" w:name="_Toc9500"/>
      <w:bookmarkStart w:id="51" w:name="_Toc15322"/>
      <w:bookmarkStart w:id="52" w:name="_Toc11173"/>
      <w:bookmarkStart w:id="53" w:name="_Toc7245"/>
      <w:r>
        <w:rPr>
          <w:rFonts w:hint="eastAsia" w:ascii="仿宋" w:hAnsi="仿宋" w:eastAsia="仿宋" w:cs="仿宋"/>
          <w:snapToGrid w:val="0"/>
          <w:color w:val="auto"/>
          <w:kern w:val="0"/>
          <w:sz w:val="24"/>
          <w:szCs w:val="24"/>
          <w:highlight w:val="none"/>
          <w:lang w:val="en-US" w:eastAsia="zh-CN" w:bidi="ar-SA"/>
        </w:rPr>
        <w:t>本合同履行过程中发生的任何争议，双方当事人均可通过和解或者调解解决；不愿和解、调解或者和解、调解不成的，可以选择以下第</w:t>
      </w:r>
      <w:r>
        <w:rPr>
          <w:rFonts w:hint="eastAsia" w:ascii="仿宋" w:hAnsi="仿宋" w:eastAsia="仿宋" w:cs="仿宋"/>
          <w:snapToGrid w:val="0"/>
          <w:color w:val="auto"/>
          <w:kern w:val="0"/>
          <w:sz w:val="24"/>
          <w:szCs w:val="24"/>
          <w:highlight w:val="none"/>
          <w:u w:val="single"/>
          <w:lang w:val="en-US" w:eastAsia="zh-CN" w:bidi="ar-SA"/>
        </w:rPr>
        <w:t xml:space="preserve">     </w:t>
      </w:r>
      <w:r>
        <w:rPr>
          <w:rFonts w:hint="eastAsia" w:ascii="仿宋" w:hAnsi="仿宋" w:eastAsia="仿宋" w:cs="仿宋"/>
          <w:snapToGrid w:val="0"/>
          <w:color w:val="auto"/>
          <w:kern w:val="0"/>
          <w:sz w:val="24"/>
          <w:szCs w:val="24"/>
          <w:highlight w:val="none"/>
          <w:lang w:val="en-US" w:eastAsia="zh-CN" w:bidi="ar-SA"/>
        </w:rPr>
        <w:t>条款规定的方式解决：</w:t>
      </w:r>
    </w:p>
    <w:p w14:paraId="574DE81F">
      <w:pPr>
        <w:keepNext w:val="0"/>
        <w:keepLines w:val="0"/>
        <w:pageBreakBefore w:val="0"/>
        <w:widowControl w:val="0"/>
        <w:shd w:val="clear"/>
        <w:kinsoku/>
        <w:wordWrap/>
        <w:overflowPunct/>
        <w:topLinePunct w:val="0"/>
        <w:autoSpaceDE/>
        <w:autoSpaceDN/>
        <w:bidi w:val="0"/>
        <w:adjustRightInd w:val="0"/>
        <w:snapToGrid w:val="0"/>
        <w:spacing w:beforeLines="0" w:afterLines="0" w:line="460" w:lineRule="exact"/>
        <w:ind w:left="0" w:firstLine="511" w:firstLineChars="213"/>
        <w:jc w:val="both"/>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 xml:space="preserve">1.提交绍兴市仲裁委员会仲裁。    </w:t>
      </w:r>
    </w:p>
    <w:p w14:paraId="38AAC723">
      <w:pPr>
        <w:keepNext w:val="0"/>
        <w:keepLines w:val="0"/>
        <w:pageBreakBefore w:val="0"/>
        <w:widowControl w:val="0"/>
        <w:shd w:val="clear"/>
        <w:kinsoku/>
        <w:wordWrap/>
        <w:overflowPunct/>
        <w:topLinePunct w:val="0"/>
        <w:autoSpaceDE/>
        <w:autoSpaceDN/>
        <w:bidi w:val="0"/>
        <w:adjustRightInd w:val="0"/>
        <w:snapToGrid w:val="0"/>
        <w:spacing w:beforeLines="0" w:afterLines="0" w:line="460" w:lineRule="exact"/>
        <w:ind w:left="0" w:firstLine="511" w:firstLineChars="213"/>
        <w:jc w:val="both"/>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2.依法向嵊州市人民法院起诉。</w:t>
      </w:r>
    </w:p>
    <w:p w14:paraId="10636C6E">
      <w:pPr>
        <w:keepNext w:val="0"/>
        <w:keepLines w:val="0"/>
        <w:pageBreakBefore w:val="0"/>
        <w:shd w:val="clear"/>
        <w:kinsoku/>
        <w:wordWrap/>
        <w:overflowPunct/>
        <w:topLinePunct w:val="0"/>
        <w:bidi w:val="0"/>
        <w:spacing w:line="460" w:lineRule="exact"/>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、合同生效</w:t>
      </w:r>
      <w:bookmarkEnd w:id="49"/>
      <w:bookmarkEnd w:id="50"/>
      <w:bookmarkEnd w:id="51"/>
      <w:bookmarkEnd w:id="52"/>
      <w:bookmarkEnd w:id="53"/>
    </w:p>
    <w:p w14:paraId="6B00A68E">
      <w:pPr>
        <w:keepNext w:val="0"/>
        <w:keepLines w:val="0"/>
        <w:pageBreakBefore w:val="0"/>
        <w:shd w:val="clear"/>
        <w:kinsoku/>
        <w:wordWrap/>
        <w:overflowPunct/>
        <w:topLinePunct w:val="0"/>
        <w:bidi w:val="0"/>
        <w:spacing w:line="46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本合同自双方当事人盖章或者签字时生效。</w:t>
      </w:r>
    </w:p>
    <w:p w14:paraId="102AE362">
      <w:pPr>
        <w:keepNext w:val="0"/>
        <w:keepLines w:val="0"/>
        <w:pageBreakBefore w:val="0"/>
        <w:shd w:val="clear"/>
        <w:kinsoku/>
        <w:wordWrap/>
        <w:overflowPunct/>
        <w:topLinePunct w:val="0"/>
        <w:bidi w:val="0"/>
        <w:spacing w:line="46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w:t>
      </w:r>
      <w:r>
        <w:rPr>
          <w:rFonts w:hint="eastAsia" w:ascii="仿宋" w:hAnsi="仿宋" w:eastAsia="仿宋" w:cs="仿宋"/>
          <w:b/>
          <w:color w:val="auto"/>
          <w:kern w:val="0"/>
          <w:sz w:val="24"/>
          <w:szCs w:val="24"/>
          <w:highlight w:val="none"/>
        </w:rPr>
        <w:t>其他</w:t>
      </w:r>
    </w:p>
    <w:p w14:paraId="4DC63D00">
      <w:pPr>
        <w:keepNext w:val="0"/>
        <w:keepLines w:val="0"/>
        <w:pageBreakBefore w:val="0"/>
        <w:widowControl w:val="0"/>
        <w:shd w:val="clear"/>
        <w:kinsoku/>
        <w:wordWrap/>
        <w:overflowPunct/>
        <w:topLinePunct w:val="0"/>
        <w:bidi w:val="0"/>
        <w:adjustRightInd w:val="0"/>
        <w:snapToGrid w:val="0"/>
        <w:spacing w:line="360" w:lineRule="auto"/>
        <w:ind w:firstLine="511" w:firstLineChars="213"/>
        <w:jc w:val="both"/>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1.合同经甲、乙双方签名并加盖单位公章后生效。</w:t>
      </w:r>
    </w:p>
    <w:p w14:paraId="2D233A6E">
      <w:pPr>
        <w:keepNext w:val="0"/>
        <w:keepLines w:val="0"/>
        <w:pageBreakBefore w:val="0"/>
        <w:widowControl w:val="0"/>
        <w:shd w:val="clear"/>
        <w:kinsoku/>
        <w:wordWrap/>
        <w:overflowPunct/>
        <w:topLinePunct w:val="0"/>
        <w:bidi w:val="0"/>
        <w:adjustRightInd w:val="0"/>
        <w:snapToGrid w:val="0"/>
        <w:spacing w:line="360" w:lineRule="auto"/>
        <w:ind w:firstLine="511" w:firstLineChars="213"/>
        <w:jc w:val="both"/>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2.合同执行中涉及采购资金和采购内容修改或补充的，须经采购中心、财政部门审批，并签书面补充协议，经报政府采购监督管理部门备案后，方可作为主合同不可分割的一部分。</w:t>
      </w:r>
    </w:p>
    <w:p w14:paraId="61AF1B4C">
      <w:pPr>
        <w:keepNext w:val="0"/>
        <w:keepLines w:val="0"/>
        <w:pageBreakBefore w:val="0"/>
        <w:widowControl w:val="0"/>
        <w:shd w:val="clear"/>
        <w:kinsoku/>
        <w:wordWrap/>
        <w:overflowPunct/>
        <w:topLinePunct w:val="0"/>
        <w:bidi w:val="0"/>
        <w:adjustRightInd w:val="0"/>
        <w:snapToGrid w:val="0"/>
        <w:spacing w:line="360" w:lineRule="auto"/>
        <w:ind w:firstLine="511" w:firstLineChars="213"/>
        <w:jc w:val="both"/>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3.招标文件、投标文件与本合同具有同等法律效力。</w:t>
      </w:r>
    </w:p>
    <w:p w14:paraId="56BC7854">
      <w:pPr>
        <w:keepNext w:val="0"/>
        <w:keepLines w:val="0"/>
        <w:pageBreakBefore w:val="0"/>
        <w:widowControl w:val="0"/>
        <w:shd w:val="clear"/>
        <w:kinsoku/>
        <w:wordWrap/>
        <w:overflowPunct/>
        <w:topLinePunct w:val="0"/>
        <w:bidi w:val="0"/>
        <w:adjustRightInd w:val="0"/>
        <w:snapToGrid w:val="0"/>
        <w:spacing w:line="360" w:lineRule="auto"/>
        <w:ind w:firstLine="480" w:firstLineChars="200"/>
        <w:jc w:val="both"/>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4.本合同未尽事宜，遵照《民法典》有关条文执行。</w:t>
      </w:r>
    </w:p>
    <w:p w14:paraId="7BA1C701">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本合同一式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份，甲方执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份、乙方执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份。</w:t>
      </w:r>
    </w:p>
    <w:p w14:paraId="477C07A8">
      <w:pPr>
        <w:pStyle w:val="12"/>
        <w:keepNext w:val="0"/>
        <w:keepLines w:val="0"/>
        <w:pageBreakBefore w:val="0"/>
        <w:widowControl w:val="0"/>
        <w:shd w:val="clear"/>
        <w:kinsoku/>
        <w:wordWrap/>
        <w:overflowPunct/>
        <w:topLinePunct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适用法律：本合同应按照中华人民共和国的法律进行解释。</w:t>
      </w:r>
    </w:p>
    <w:p w14:paraId="3AD03BA2">
      <w:pPr>
        <w:keepNext w:val="0"/>
        <w:keepLines w:val="0"/>
        <w:pageBreakBefore w:val="0"/>
        <w:widowControl w:val="0"/>
        <w:shd w:val="clear"/>
        <w:kinsoku/>
        <w:wordWrap/>
        <w:overflowPunct/>
        <w:topLinePunct w:val="0"/>
        <w:autoSpaceDE/>
        <w:autoSpaceDN/>
        <w:bidi w:val="0"/>
        <w:adjustRightInd/>
        <w:snapToGrid/>
        <w:spacing w:after="160" w:line="360" w:lineRule="exact"/>
        <w:textAlignment w:val="auto"/>
        <w:rPr>
          <w:rFonts w:hint="eastAsia" w:ascii="仿宋" w:hAnsi="仿宋" w:eastAsia="仿宋" w:cs="仿宋"/>
          <w:color w:val="auto"/>
          <w:sz w:val="24"/>
          <w:szCs w:val="24"/>
          <w:highlight w:val="none"/>
        </w:rPr>
      </w:pPr>
    </w:p>
    <w:p w14:paraId="343B8B71">
      <w:pPr>
        <w:keepNext w:val="0"/>
        <w:keepLines w:val="0"/>
        <w:pageBreakBefore w:val="0"/>
        <w:widowControl w:val="0"/>
        <w:shd w:val="clear"/>
        <w:kinsoku/>
        <w:wordWrap/>
        <w:overflowPunct/>
        <w:topLinePunct w:val="0"/>
        <w:autoSpaceDE/>
        <w:autoSpaceDN/>
        <w:bidi w:val="0"/>
        <w:adjustRightInd/>
        <w:snapToGrid/>
        <w:spacing w:after="160"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甲方（盖章）：                                   乙方（盖章）： </w:t>
      </w:r>
    </w:p>
    <w:p w14:paraId="68142C78">
      <w:pPr>
        <w:keepNext w:val="0"/>
        <w:keepLines w:val="0"/>
        <w:pageBreakBefore w:val="0"/>
        <w:widowControl w:val="0"/>
        <w:shd w:val="clear"/>
        <w:kinsoku/>
        <w:wordWrap/>
        <w:overflowPunct/>
        <w:topLinePunct w:val="0"/>
        <w:autoSpaceDE/>
        <w:autoSpaceDN/>
        <w:bidi w:val="0"/>
        <w:adjustRightInd/>
        <w:snapToGrid/>
        <w:spacing w:after="160" w:line="3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联系地址：                                       联系地址：</w:t>
      </w:r>
    </w:p>
    <w:p w14:paraId="64877344">
      <w:pPr>
        <w:keepNext w:val="0"/>
        <w:keepLines w:val="0"/>
        <w:pageBreakBefore w:val="0"/>
        <w:widowControl w:val="0"/>
        <w:shd w:val="clear"/>
        <w:kinsoku/>
        <w:wordWrap/>
        <w:overflowPunct/>
        <w:topLinePunct w:val="0"/>
        <w:autoSpaceDE/>
        <w:autoSpaceDN/>
        <w:bidi w:val="0"/>
        <w:adjustRightInd/>
        <w:snapToGrid/>
        <w:spacing w:after="160" w:line="3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法定代表人或其授权代表：                         法定代表人或其授权代表：</w:t>
      </w:r>
    </w:p>
    <w:p w14:paraId="2B92A5D8">
      <w:pPr>
        <w:keepNext w:val="0"/>
        <w:keepLines w:val="0"/>
        <w:pageBreakBefore w:val="0"/>
        <w:widowControl w:val="0"/>
        <w:shd w:val="clear"/>
        <w:kinsoku/>
        <w:wordWrap/>
        <w:overflowPunct/>
        <w:topLinePunct w:val="0"/>
        <w:autoSpaceDE/>
        <w:autoSpaceDN/>
        <w:bidi w:val="0"/>
        <w:adjustRightInd/>
        <w:snapToGrid/>
        <w:spacing w:after="160" w:line="3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                                     开户银行：</w:t>
      </w:r>
    </w:p>
    <w:p w14:paraId="59DB0EC3">
      <w:pPr>
        <w:keepNext w:val="0"/>
        <w:keepLines w:val="0"/>
        <w:pageBreakBefore w:val="0"/>
        <w:widowControl w:val="0"/>
        <w:shd w:val="clear"/>
        <w:kinsoku/>
        <w:wordWrap/>
        <w:overflowPunct/>
        <w:topLinePunct w:val="0"/>
        <w:autoSpaceDE/>
        <w:autoSpaceDN/>
        <w:bidi w:val="0"/>
        <w:adjustRightInd/>
        <w:snapToGrid/>
        <w:spacing w:after="160" w:line="3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                                       账  号：</w:t>
      </w:r>
    </w:p>
    <w:p w14:paraId="6DEA7234">
      <w:pPr>
        <w:keepNext w:val="0"/>
        <w:keepLines w:val="0"/>
        <w:pageBreakBefore w:val="0"/>
        <w:widowControl w:val="0"/>
        <w:shd w:val="clear"/>
        <w:kinsoku/>
        <w:wordWrap/>
        <w:overflowPunct/>
        <w:topLinePunct w:val="0"/>
        <w:autoSpaceDE/>
        <w:autoSpaceDN/>
        <w:bidi w:val="0"/>
        <w:adjustRightInd/>
        <w:snapToGrid/>
        <w:spacing w:after="160" w:line="3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 月   日                        签订日期：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 月   日</w:t>
      </w:r>
    </w:p>
    <w:p w14:paraId="694DAB6F">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Style w:val="53"/>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注：具体以双方签定的正式合同为准，合同内容不得违背本招标文件实质性要求。</w:t>
      </w:r>
    </w:p>
    <w:p w14:paraId="5D906B16">
      <w:pPr>
        <w:keepNext w:val="0"/>
        <w:keepLines w:val="0"/>
        <w:pageBreakBefore w:val="0"/>
        <w:widowControl/>
        <w:shd w:val="clear"/>
        <w:kinsoku/>
        <w:wordWrap/>
        <w:overflowPunct/>
        <w:topLinePunct w:val="0"/>
        <w:bidi w:val="0"/>
        <w:spacing w:line="340" w:lineRule="exact"/>
        <w:ind w:firstLine="630"/>
        <w:jc w:val="center"/>
        <w:outlineLvl w:val="9"/>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br w:type="page"/>
      </w:r>
      <w:r>
        <w:rPr>
          <w:rFonts w:hint="eastAsia" w:ascii="仿宋" w:hAnsi="仿宋" w:eastAsia="仿宋" w:cs="仿宋"/>
          <w:b/>
          <w:color w:val="auto"/>
          <w:kern w:val="0"/>
          <w:sz w:val="32"/>
          <w:szCs w:val="32"/>
          <w:highlight w:val="none"/>
        </w:rPr>
        <w:t>政府采购项目廉政合同</w:t>
      </w:r>
    </w:p>
    <w:p w14:paraId="742FE0CE">
      <w:pPr>
        <w:keepNext w:val="0"/>
        <w:keepLines w:val="0"/>
        <w:pageBreakBefore w:val="0"/>
        <w:widowControl/>
        <w:shd w:val="clear"/>
        <w:kinsoku/>
        <w:wordWrap/>
        <w:overflowPunct/>
        <w:topLinePunct w:val="0"/>
        <w:bidi w:val="0"/>
        <w:spacing w:line="440" w:lineRule="exact"/>
        <w:ind w:firstLine="630"/>
        <w:outlineLvl w:val="9"/>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甲方：</w:t>
      </w:r>
      <w:r>
        <w:rPr>
          <w:rFonts w:hint="eastAsia" w:ascii="仿宋" w:hAnsi="仿宋" w:eastAsia="仿宋" w:cs="仿宋"/>
          <w:color w:val="auto"/>
          <w:kern w:val="0"/>
          <w:sz w:val="24"/>
          <w:szCs w:val="24"/>
          <w:highlight w:val="none"/>
          <w:u w:val="single"/>
        </w:rPr>
        <w:t xml:space="preserve">                       </w:t>
      </w:r>
    </w:p>
    <w:p w14:paraId="4B8D80E4">
      <w:pPr>
        <w:keepNext w:val="0"/>
        <w:keepLines w:val="0"/>
        <w:pageBreakBefore w:val="0"/>
        <w:widowControl/>
        <w:shd w:val="clear"/>
        <w:kinsoku/>
        <w:wordWrap/>
        <w:overflowPunct/>
        <w:topLinePunct w:val="0"/>
        <w:bidi w:val="0"/>
        <w:spacing w:line="440" w:lineRule="exact"/>
        <w:ind w:firstLine="63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乙方：</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30046E59">
      <w:pPr>
        <w:keepNext w:val="0"/>
        <w:keepLines w:val="0"/>
        <w:pageBreakBefore w:val="0"/>
        <w:widowControl/>
        <w:shd w:val="clear"/>
        <w:kinsoku/>
        <w:wordWrap/>
        <w:overflowPunct/>
        <w:topLinePunct w:val="0"/>
        <w:bidi w:val="0"/>
        <w:spacing w:line="440" w:lineRule="exact"/>
        <w:ind w:firstLine="63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为加强</w:t>
      </w:r>
      <w:r>
        <w:rPr>
          <w:rFonts w:hint="eastAsia" w:ascii="仿宋" w:hAnsi="仿宋" w:eastAsia="仿宋" w:cs="仿宋"/>
          <w:color w:val="auto"/>
          <w:sz w:val="24"/>
          <w:szCs w:val="24"/>
          <w:highlight w:val="none"/>
        </w:rPr>
        <w:t>政府采购项目</w:t>
      </w:r>
      <w:r>
        <w:rPr>
          <w:rFonts w:hint="eastAsia" w:ascii="仿宋" w:hAnsi="仿宋" w:eastAsia="仿宋" w:cs="仿宋"/>
          <w:color w:val="auto"/>
          <w:kern w:val="0"/>
          <w:sz w:val="24"/>
          <w:szCs w:val="24"/>
          <w:highlight w:val="none"/>
        </w:rPr>
        <w:t>中的廉政建设，保证采购项目高效优质完成，保证建设资金的安全和有效使用，采购人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（以下称甲方）与中标人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（以下称乙方），特订立如下合同。</w:t>
      </w:r>
    </w:p>
    <w:p w14:paraId="36BD27DF">
      <w:pPr>
        <w:keepNext w:val="0"/>
        <w:keepLines w:val="0"/>
        <w:pageBreakBefore w:val="0"/>
        <w:widowControl/>
        <w:shd w:val="clear"/>
        <w:kinsoku/>
        <w:wordWrap/>
        <w:overflowPunct/>
        <w:topLinePunct w:val="0"/>
        <w:bidi w:val="0"/>
        <w:spacing w:line="440" w:lineRule="exact"/>
        <w:jc w:val="center"/>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第一条 甲乙双方的权利和义务</w:t>
      </w:r>
    </w:p>
    <w:p w14:paraId="09DC4709">
      <w:pPr>
        <w:keepNext w:val="0"/>
        <w:keepLines w:val="0"/>
        <w:pageBreakBefore w:val="0"/>
        <w:widowControl/>
        <w:shd w:val="clear"/>
        <w:kinsoku/>
        <w:wordWrap/>
        <w:overflowPunct/>
        <w:topLinePunct w:val="0"/>
        <w:bidi w:val="0"/>
        <w:spacing w:line="4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（一）严格遵守党和国家有关法律法规及相关部门的有关规定。</w:t>
      </w:r>
    </w:p>
    <w:p w14:paraId="7CF10102">
      <w:pPr>
        <w:keepNext w:val="0"/>
        <w:keepLines w:val="0"/>
        <w:pageBreakBefore w:val="0"/>
        <w:widowControl/>
        <w:shd w:val="clear"/>
        <w:kinsoku/>
        <w:wordWrap/>
        <w:overflowPunct/>
        <w:topLinePunct w:val="0"/>
        <w:bidi w:val="0"/>
        <w:spacing w:line="4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（二）严格执行政府采购的合同文件，自觉按合同办事。</w:t>
      </w:r>
    </w:p>
    <w:p w14:paraId="3D9527EC">
      <w:pPr>
        <w:keepNext w:val="0"/>
        <w:keepLines w:val="0"/>
        <w:pageBreakBefore w:val="0"/>
        <w:widowControl/>
        <w:shd w:val="clear"/>
        <w:kinsoku/>
        <w:wordWrap/>
        <w:overflowPunct/>
        <w:topLinePunct w:val="0"/>
        <w:bidi w:val="0"/>
        <w:spacing w:line="4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（三）双方的业务活动坚持公开、公平、公正、诚信、透明的原则（除法律认定的商业秘密和合同文件另有规定之外），不得损害国家和集体利益，违反政府采购管理规定。</w:t>
      </w:r>
    </w:p>
    <w:p w14:paraId="43F6CB1D">
      <w:pPr>
        <w:keepNext w:val="0"/>
        <w:keepLines w:val="0"/>
        <w:pageBreakBefore w:val="0"/>
        <w:widowControl/>
        <w:shd w:val="clear"/>
        <w:kinsoku/>
        <w:wordWrap/>
        <w:overflowPunct/>
        <w:topLinePunct w:val="0"/>
        <w:bidi w:val="0"/>
        <w:spacing w:line="4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（四）建立健全廉政制度、监督制度和处罚制度，开展廉政教育，设立廉政告示牌，公布举报电话，监督并认真查处违规行为及相关人员。</w:t>
      </w:r>
    </w:p>
    <w:p w14:paraId="3053B339">
      <w:pPr>
        <w:keepNext w:val="0"/>
        <w:keepLines w:val="0"/>
        <w:pageBreakBefore w:val="0"/>
        <w:widowControl/>
        <w:shd w:val="clear"/>
        <w:kinsoku/>
        <w:wordWrap/>
        <w:overflowPunct/>
        <w:topLinePunct w:val="0"/>
        <w:bidi w:val="0"/>
        <w:spacing w:line="4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（五）发现对方在业务活动中有违反廉政规定的行为，有及时提醒对方纠正的权利和义务。</w:t>
      </w:r>
    </w:p>
    <w:p w14:paraId="3CC58517">
      <w:pPr>
        <w:keepNext w:val="0"/>
        <w:keepLines w:val="0"/>
        <w:pageBreakBefore w:val="0"/>
        <w:widowControl/>
        <w:shd w:val="clear"/>
        <w:kinsoku/>
        <w:wordWrap/>
        <w:overflowPunct/>
        <w:topLinePunct w:val="0"/>
        <w:bidi w:val="0"/>
        <w:spacing w:line="4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（六）发现对方严重违反合同义务条款的行为，有向其上级有关部门举报、建议给予处理并要求告知处理结果的权利。</w:t>
      </w:r>
    </w:p>
    <w:p w14:paraId="3CF7E239">
      <w:pPr>
        <w:keepNext w:val="0"/>
        <w:keepLines w:val="0"/>
        <w:pageBreakBefore w:val="0"/>
        <w:widowControl/>
        <w:shd w:val="clear"/>
        <w:kinsoku/>
        <w:wordWrap/>
        <w:overflowPunct/>
        <w:topLinePunct w:val="0"/>
        <w:bidi w:val="0"/>
        <w:spacing w:line="440" w:lineRule="exact"/>
        <w:jc w:val="center"/>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第二条 甲方的义务</w:t>
      </w:r>
    </w:p>
    <w:p w14:paraId="4360F282">
      <w:pPr>
        <w:keepNext w:val="0"/>
        <w:keepLines w:val="0"/>
        <w:pageBreakBefore w:val="0"/>
        <w:widowControl/>
        <w:shd w:val="clear"/>
        <w:kinsoku/>
        <w:wordWrap/>
        <w:overflowPunct/>
        <w:topLinePunct w:val="0"/>
        <w:bidi w:val="0"/>
        <w:spacing w:line="4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（一）甲方及其工作人员不得索要或接受乙方的礼金、礼券、有价证券和贵重物品，不得在乙方报销任何应由甲方或个人支付的费用等。</w:t>
      </w:r>
    </w:p>
    <w:p w14:paraId="04DB7E7E">
      <w:pPr>
        <w:keepNext w:val="0"/>
        <w:keepLines w:val="0"/>
        <w:pageBreakBefore w:val="0"/>
        <w:widowControl/>
        <w:shd w:val="clear"/>
        <w:kinsoku/>
        <w:wordWrap/>
        <w:overflowPunct/>
        <w:topLinePunct w:val="0"/>
        <w:bidi w:val="0"/>
        <w:spacing w:line="4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（二）甲方不得有意刁难、拖欠款项，不得违反规定批拨采购费用等。</w:t>
      </w:r>
    </w:p>
    <w:p w14:paraId="49E2B909">
      <w:pPr>
        <w:keepNext w:val="0"/>
        <w:keepLines w:val="0"/>
        <w:pageBreakBefore w:val="0"/>
        <w:widowControl/>
        <w:shd w:val="clear"/>
        <w:kinsoku/>
        <w:wordWrap/>
        <w:overflowPunct/>
        <w:topLinePunct w:val="0"/>
        <w:bidi w:val="0"/>
        <w:spacing w:line="4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（三）甲方工作人员不得参加乙方安排的宴请和娱乐活动；不得接受乙方提供的通讯工具、交通工具和高档办公用品等。</w:t>
      </w:r>
    </w:p>
    <w:p w14:paraId="3AF4252F">
      <w:pPr>
        <w:keepNext w:val="0"/>
        <w:keepLines w:val="0"/>
        <w:pageBreakBefore w:val="0"/>
        <w:widowControl/>
        <w:shd w:val="clear"/>
        <w:kinsoku/>
        <w:wordWrap/>
        <w:overflowPunct/>
        <w:topLinePunct w:val="0"/>
        <w:bidi w:val="0"/>
        <w:spacing w:line="4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（四）甲方及其工作人员不得要求或者接受乙方为其住房装修、操办婚丧嫁娶、安排配偶子女的工作以及出国出境、旅游等。</w:t>
      </w:r>
    </w:p>
    <w:p w14:paraId="149600E5">
      <w:pPr>
        <w:keepNext w:val="0"/>
        <w:keepLines w:val="0"/>
        <w:pageBreakBefore w:val="0"/>
        <w:widowControl/>
        <w:shd w:val="clear"/>
        <w:kinsoku/>
        <w:wordWrap/>
        <w:overflowPunct/>
        <w:topLinePunct w:val="0"/>
        <w:bidi w:val="0"/>
        <w:spacing w:line="4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（五）甲方工作人员的配偶、子女及下属单位不得从事与甲方项目采购有关的材料设备供应、劳务等经济活动。</w:t>
      </w:r>
    </w:p>
    <w:p w14:paraId="59DAD0D9">
      <w:pPr>
        <w:keepNext w:val="0"/>
        <w:keepLines w:val="0"/>
        <w:pageBreakBefore w:val="0"/>
        <w:widowControl/>
        <w:shd w:val="clear"/>
        <w:kinsoku/>
        <w:wordWrap/>
        <w:overflowPunct/>
        <w:topLinePunct w:val="0"/>
        <w:bidi w:val="0"/>
        <w:spacing w:line="4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（六）甲方及其工作人员不得以任何理由向乙方推荐分包单位，不得要求乙方购买合同规定外的材料和设备。</w:t>
      </w:r>
    </w:p>
    <w:p w14:paraId="438E93CA">
      <w:pPr>
        <w:keepNext w:val="0"/>
        <w:keepLines w:val="0"/>
        <w:pageBreakBefore w:val="0"/>
        <w:widowControl/>
        <w:shd w:val="clear"/>
        <w:kinsoku/>
        <w:wordWrap/>
        <w:overflowPunct/>
        <w:topLinePunct w:val="0"/>
        <w:bidi w:val="0"/>
        <w:spacing w:line="440" w:lineRule="exact"/>
        <w:jc w:val="center"/>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第三条 乙方义务</w:t>
      </w:r>
    </w:p>
    <w:p w14:paraId="587FFBC1">
      <w:pPr>
        <w:keepNext w:val="0"/>
        <w:keepLines w:val="0"/>
        <w:pageBreakBefore w:val="0"/>
        <w:widowControl/>
        <w:shd w:val="clear"/>
        <w:kinsoku/>
        <w:wordWrap/>
        <w:overflowPunct/>
        <w:topLinePunct w:val="0"/>
        <w:bidi w:val="0"/>
        <w:spacing w:line="4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（一）乙方不得以任何理由向甲方及其工作人员行贿或馈赠礼金、礼券、有价证券、贵重礼品。</w:t>
      </w:r>
    </w:p>
    <w:p w14:paraId="205E1AF9">
      <w:pPr>
        <w:keepNext w:val="0"/>
        <w:keepLines w:val="0"/>
        <w:pageBreakBefore w:val="0"/>
        <w:widowControl/>
        <w:shd w:val="clear"/>
        <w:kinsoku/>
        <w:wordWrap/>
        <w:overflowPunct/>
        <w:topLinePunct w:val="0"/>
        <w:bidi w:val="0"/>
        <w:spacing w:line="4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（二）乙方不得以任何名义为甲方及其工作人员报销应由甲方单位或个人支付的任何费用。</w:t>
      </w:r>
    </w:p>
    <w:p w14:paraId="78663324">
      <w:pPr>
        <w:keepNext w:val="0"/>
        <w:keepLines w:val="0"/>
        <w:pageBreakBefore w:val="0"/>
        <w:widowControl/>
        <w:shd w:val="clear"/>
        <w:kinsoku/>
        <w:wordWrap/>
        <w:overflowPunct/>
        <w:topLinePunct w:val="0"/>
        <w:bidi w:val="0"/>
        <w:spacing w:line="4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（三）乙方不得要求甲方违反规定批拨、追加采购费用等。</w:t>
      </w:r>
    </w:p>
    <w:p w14:paraId="4CBE4E17">
      <w:pPr>
        <w:keepNext w:val="0"/>
        <w:keepLines w:val="0"/>
        <w:pageBreakBefore w:val="0"/>
        <w:widowControl/>
        <w:shd w:val="clear"/>
        <w:kinsoku/>
        <w:wordWrap/>
        <w:overflowPunct/>
        <w:topLinePunct w:val="0"/>
        <w:bidi w:val="0"/>
        <w:spacing w:line="4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（四）乙方不得以任何理由安排甲方工作人员参加宴请及娱乐活动。</w:t>
      </w:r>
    </w:p>
    <w:p w14:paraId="0BE4E772">
      <w:pPr>
        <w:keepNext w:val="0"/>
        <w:keepLines w:val="0"/>
        <w:pageBreakBefore w:val="0"/>
        <w:widowControl/>
        <w:shd w:val="clear"/>
        <w:kinsoku/>
        <w:wordWrap/>
        <w:overflowPunct/>
        <w:topLinePunct w:val="0"/>
        <w:bidi w:val="0"/>
        <w:spacing w:line="4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（五）乙方不得为甲方单位和个人购置或提供通讯工具、交通工具和高档办公用品等。</w:t>
      </w:r>
    </w:p>
    <w:p w14:paraId="06BAA21B">
      <w:pPr>
        <w:keepNext w:val="0"/>
        <w:keepLines w:val="0"/>
        <w:pageBreakBefore w:val="0"/>
        <w:widowControl/>
        <w:shd w:val="clear"/>
        <w:kinsoku/>
        <w:wordWrap/>
        <w:overflowPunct/>
        <w:topLinePunct w:val="0"/>
        <w:bidi w:val="0"/>
        <w:spacing w:line="440" w:lineRule="exact"/>
        <w:jc w:val="center"/>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第四条 违约责任</w:t>
      </w:r>
    </w:p>
    <w:p w14:paraId="440F4B88">
      <w:pPr>
        <w:keepNext w:val="0"/>
        <w:keepLines w:val="0"/>
        <w:pageBreakBefore w:val="0"/>
        <w:widowControl/>
        <w:shd w:val="clear"/>
        <w:kinsoku/>
        <w:wordWrap/>
        <w:overflowPunct/>
        <w:topLinePunct w:val="0"/>
        <w:bidi w:val="0"/>
        <w:spacing w:line="4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（一）甲方及其工作人员违返本合同第一、二条，按管理权限，依据有关规定给予党纪、政纪或组织处理；涉嫌犯罪的，移送司法机关追究刑事责任；给乙方单位造成经济损失的，应予以赔偿。</w:t>
      </w:r>
    </w:p>
    <w:p w14:paraId="1441DFED">
      <w:pPr>
        <w:keepNext w:val="0"/>
        <w:keepLines w:val="0"/>
        <w:pageBreakBefore w:val="0"/>
        <w:widowControl/>
        <w:shd w:val="clear"/>
        <w:kinsoku/>
        <w:wordWrap/>
        <w:overflowPunct/>
        <w:topLinePunct w:val="0"/>
        <w:bidi w:val="0"/>
        <w:spacing w:line="4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乙方及其工作人员违反本合同第一、三条，按管理权限，依据有关规定，给予党纪、政纪或组织处理；给甲方单位造成经济损失的，应予以赔偿；情节严重的，甲方建议有关主管部门给予乙方一至三年内不得参政府采购项目投标的处罚。与此同时，视情扣除乙方部分或全部的廉政保证金。</w:t>
      </w:r>
    </w:p>
    <w:p w14:paraId="248E188C">
      <w:pPr>
        <w:keepNext w:val="0"/>
        <w:keepLines w:val="0"/>
        <w:pageBreakBefore w:val="0"/>
        <w:widowControl/>
        <w:shd w:val="clear"/>
        <w:kinsoku/>
        <w:wordWrap/>
        <w:overflowPunct/>
        <w:topLinePunct w:val="0"/>
        <w:bidi w:val="0"/>
        <w:spacing w:line="440" w:lineRule="exact"/>
        <w:jc w:val="center"/>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第五条  双方约定</w:t>
      </w:r>
    </w:p>
    <w:p w14:paraId="09272924">
      <w:pPr>
        <w:keepNext w:val="0"/>
        <w:keepLines w:val="0"/>
        <w:pageBreakBefore w:val="0"/>
        <w:widowControl/>
        <w:shd w:val="clear"/>
        <w:kinsoku/>
        <w:wordWrap/>
        <w:overflowPunct/>
        <w:topLinePunct w:val="0"/>
        <w:bidi w:val="0"/>
        <w:spacing w:line="4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本合同由</w:t>
      </w:r>
      <w:r>
        <w:rPr>
          <w:rFonts w:hint="eastAsia" w:ascii="仿宋" w:hAnsi="仿宋" w:eastAsia="仿宋" w:cs="仿宋"/>
          <w:color w:val="auto"/>
          <w:kern w:val="0"/>
          <w:sz w:val="24"/>
          <w:szCs w:val="24"/>
          <w:highlight w:val="none"/>
          <w:lang w:val="en-US" w:eastAsia="zh-CN"/>
        </w:rPr>
        <w:t>嵊州市</w:t>
      </w:r>
      <w:r>
        <w:rPr>
          <w:rFonts w:hint="eastAsia" w:ascii="仿宋" w:hAnsi="仿宋" w:eastAsia="仿宋" w:cs="仿宋"/>
          <w:color w:val="auto"/>
          <w:kern w:val="0"/>
          <w:sz w:val="24"/>
          <w:szCs w:val="24"/>
          <w:highlight w:val="none"/>
        </w:rPr>
        <w:t>纪委负责监督执行。</w:t>
      </w:r>
      <w:r>
        <w:rPr>
          <w:rFonts w:hint="eastAsia" w:ascii="仿宋" w:hAnsi="仿宋" w:eastAsia="仿宋" w:cs="仿宋"/>
          <w:color w:val="auto"/>
          <w:kern w:val="0"/>
          <w:sz w:val="24"/>
          <w:szCs w:val="24"/>
          <w:highlight w:val="none"/>
          <w:lang w:val="en-US" w:eastAsia="zh-CN"/>
        </w:rPr>
        <w:t>嵊州市</w:t>
      </w:r>
      <w:r>
        <w:rPr>
          <w:rFonts w:hint="eastAsia" w:ascii="仿宋" w:hAnsi="仿宋" w:eastAsia="仿宋" w:cs="仿宋"/>
          <w:color w:val="auto"/>
          <w:kern w:val="0"/>
          <w:sz w:val="24"/>
          <w:szCs w:val="24"/>
          <w:highlight w:val="none"/>
        </w:rPr>
        <w:t>纪委对本合同执行情况进行抽查，提出属本合同规定范围内的处理意见。</w:t>
      </w:r>
    </w:p>
    <w:p w14:paraId="73E2B558">
      <w:pPr>
        <w:keepNext w:val="0"/>
        <w:keepLines w:val="0"/>
        <w:pageBreakBefore w:val="0"/>
        <w:widowControl/>
        <w:shd w:val="clear"/>
        <w:kinsoku/>
        <w:wordWrap/>
        <w:overflowPunct/>
        <w:topLinePunct w:val="0"/>
        <w:bidi w:val="0"/>
        <w:spacing w:line="440" w:lineRule="exact"/>
        <w:jc w:val="center"/>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第六条  合同有效期</w:t>
      </w:r>
    </w:p>
    <w:p w14:paraId="01BED815">
      <w:pPr>
        <w:keepNext w:val="0"/>
        <w:keepLines w:val="0"/>
        <w:pageBreakBefore w:val="0"/>
        <w:widowControl/>
        <w:shd w:val="clear"/>
        <w:kinsoku/>
        <w:wordWrap/>
        <w:overflowPunct/>
        <w:topLinePunct w:val="0"/>
        <w:bidi w:val="0"/>
        <w:spacing w:line="4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本合同有效期为甲乙双方签署之日起至该项目服务期满后止。</w:t>
      </w:r>
    </w:p>
    <w:p w14:paraId="5BCDB5DC">
      <w:pPr>
        <w:keepNext w:val="0"/>
        <w:keepLines w:val="0"/>
        <w:pageBreakBefore w:val="0"/>
        <w:widowControl/>
        <w:shd w:val="clear"/>
        <w:kinsoku/>
        <w:wordWrap/>
        <w:overflowPunct/>
        <w:topLinePunct w:val="0"/>
        <w:bidi w:val="0"/>
        <w:spacing w:line="440" w:lineRule="exact"/>
        <w:jc w:val="center"/>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第七条   本合同效力</w:t>
      </w:r>
    </w:p>
    <w:p w14:paraId="25B71B2E">
      <w:pPr>
        <w:keepNext w:val="0"/>
        <w:keepLines w:val="0"/>
        <w:pageBreakBefore w:val="0"/>
        <w:widowControl/>
        <w:shd w:val="clear"/>
        <w:kinsoku/>
        <w:wordWrap/>
        <w:overflowPunct/>
        <w:topLinePunct w:val="0"/>
        <w:bidi w:val="0"/>
        <w:spacing w:line="4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本合同作为服务合同的附件，与服务合同具有同等的法律效力，经合同双方签署立即生效。</w:t>
      </w:r>
    </w:p>
    <w:p w14:paraId="3453D804">
      <w:pPr>
        <w:keepNext w:val="0"/>
        <w:keepLines w:val="0"/>
        <w:pageBreakBefore w:val="0"/>
        <w:widowControl/>
        <w:shd w:val="clear"/>
        <w:kinsoku/>
        <w:wordWrap/>
        <w:overflowPunct/>
        <w:topLinePunct w:val="0"/>
        <w:bidi w:val="0"/>
        <w:spacing w:line="4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第八条 本合同一式二份，甲、乙双方各执一份。</w:t>
      </w:r>
    </w:p>
    <w:p w14:paraId="0C14CA69">
      <w:pPr>
        <w:keepNext w:val="0"/>
        <w:keepLines w:val="0"/>
        <w:pageBreakBefore w:val="0"/>
        <w:widowControl/>
        <w:shd w:val="clear"/>
        <w:kinsoku/>
        <w:wordWrap/>
        <w:overflowPunct/>
        <w:topLinePunct w:val="0"/>
        <w:bidi w:val="0"/>
        <w:spacing w:line="340" w:lineRule="exact"/>
        <w:outlineLvl w:val="9"/>
        <w:rPr>
          <w:rFonts w:hint="eastAsia" w:ascii="仿宋" w:hAnsi="仿宋" w:eastAsia="仿宋" w:cs="仿宋"/>
          <w:color w:val="auto"/>
          <w:kern w:val="0"/>
          <w:sz w:val="24"/>
          <w:szCs w:val="24"/>
          <w:highlight w:val="none"/>
        </w:rPr>
      </w:pPr>
    </w:p>
    <w:p w14:paraId="5660FB1A">
      <w:pPr>
        <w:keepNext w:val="0"/>
        <w:keepLines w:val="0"/>
        <w:pageBreakBefore w:val="0"/>
        <w:widowControl/>
        <w:shd w:val="clear"/>
        <w:kinsoku/>
        <w:wordWrap/>
        <w:overflowPunct/>
        <w:topLinePunct w:val="0"/>
        <w:bidi w:val="0"/>
        <w:spacing w:line="440" w:lineRule="exact"/>
        <w:outlineLvl w:val="9"/>
        <w:rPr>
          <w:rFonts w:hint="eastAsia" w:ascii="仿宋" w:hAnsi="仿宋" w:eastAsia="仿宋" w:cs="仿宋"/>
          <w:color w:val="auto"/>
          <w:kern w:val="0"/>
          <w:sz w:val="24"/>
          <w:szCs w:val="24"/>
          <w:highlight w:val="none"/>
        </w:rPr>
      </w:pPr>
    </w:p>
    <w:p w14:paraId="3A9300DA">
      <w:pPr>
        <w:keepNext w:val="0"/>
        <w:keepLines w:val="0"/>
        <w:pageBreakBefore w:val="0"/>
        <w:widowControl/>
        <w:shd w:val="clear"/>
        <w:kinsoku/>
        <w:wordWrap/>
        <w:overflowPunct/>
        <w:topLinePunct w:val="0"/>
        <w:bidi w:val="0"/>
        <w:spacing w:line="4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甲方单位：（盖章）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乙方单位：（盖章）</w:t>
      </w:r>
    </w:p>
    <w:p w14:paraId="0D4FDDE4">
      <w:pPr>
        <w:keepNext w:val="0"/>
        <w:keepLines w:val="0"/>
        <w:pageBreakBefore w:val="0"/>
        <w:widowControl/>
        <w:shd w:val="clear"/>
        <w:kinsoku/>
        <w:wordWrap/>
        <w:overflowPunct/>
        <w:topLinePunct w:val="0"/>
        <w:bidi w:val="0"/>
        <w:spacing w:line="4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法定代表人：</w:t>
      </w:r>
    </w:p>
    <w:p w14:paraId="2372A8E7">
      <w:pPr>
        <w:keepNext w:val="0"/>
        <w:keepLines w:val="0"/>
        <w:pageBreakBefore w:val="0"/>
        <w:widowControl/>
        <w:shd w:val="clear"/>
        <w:kinsoku/>
        <w:wordWrap/>
        <w:overflowPunct/>
        <w:topLinePunct w:val="0"/>
        <w:bidi w:val="0"/>
        <w:spacing w:line="4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地址：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 xml:space="preserve">地址： </w:t>
      </w:r>
    </w:p>
    <w:p w14:paraId="6C9DAEE6">
      <w:pPr>
        <w:keepNext w:val="0"/>
        <w:keepLines w:val="0"/>
        <w:pageBreakBefore w:val="0"/>
        <w:widowControl/>
        <w:shd w:val="clear"/>
        <w:kinsoku/>
        <w:wordWrap/>
        <w:overflowPunct/>
        <w:topLinePunct w:val="0"/>
        <w:bidi w:val="0"/>
        <w:spacing w:line="4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电话：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电话：</w:t>
      </w:r>
    </w:p>
    <w:p w14:paraId="4A2D56CC">
      <w:pPr>
        <w:shd w:val="clear"/>
        <w:spacing w:line="420" w:lineRule="exact"/>
        <w:ind w:firstLine="480" w:firstLineChars="200"/>
        <w:rPr>
          <w:color w:val="auto"/>
          <w:highlight w:val="none"/>
        </w:rPr>
      </w:pPr>
      <w:r>
        <w:rPr>
          <w:rFonts w:hint="eastAsia" w:ascii="仿宋" w:hAnsi="仿宋" w:eastAsia="仿宋" w:cs="仿宋"/>
          <w:color w:val="auto"/>
          <w:kern w:val="0"/>
          <w:sz w:val="24"/>
          <w:szCs w:val="24"/>
          <w:highlight w:val="none"/>
        </w:rPr>
        <w:t xml:space="preserve">年 月 日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年 月 日</w:t>
      </w:r>
      <w:r>
        <w:rPr>
          <w:rFonts w:hint="eastAsia" w:ascii="宋体" w:hAnsi="宋体" w:eastAsia="宋体" w:cs="宋体"/>
          <w:b/>
          <w:color w:val="auto"/>
          <w:sz w:val="21"/>
          <w:szCs w:val="21"/>
          <w:highlight w:val="none"/>
        </w:rPr>
        <w:br w:type="page"/>
      </w:r>
    </w:p>
    <w:p w14:paraId="2243A152">
      <w:pPr>
        <w:shd w:val="clea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第五部分  评标方法及标准</w:t>
      </w:r>
    </w:p>
    <w:p w14:paraId="2098CCA3">
      <w:pPr>
        <w:shd w:val="clear"/>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1、评标方法：</w:t>
      </w:r>
    </w:p>
    <w:p w14:paraId="368EC999">
      <w:pPr>
        <w:shd w:val="clear"/>
        <w:spacing w:line="52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次评标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中标候选人。中标候选人并列的，采用随机抽取的方式确定。</w:t>
      </w:r>
    </w:p>
    <w:p w14:paraId="0D6149C0">
      <w:pPr>
        <w:shd w:val="clear"/>
        <w:spacing w:before="120" w:beforeLines="50" w:line="52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2.评分标准：</w:t>
      </w:r>
      <w:r>
        <w:rPr>
          <w:rFonts w:hint="eastAsia" w:ascii="仿宋" w:hAnsi="仿宋" w:eastAsia="仿宋" w:cs="仿宋"/>
          <w:color w:val="auto"/>
          <w:sz w:val="24"/>
          <w:highlight w:val="none"/>
        </w:rPr>
        <w:t>共100分，其中商务技术分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90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分，价格分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u w:val="single"/>
        </w:rPr>
        <w:t xml:space="preserve">0 </w:t>
      </w:r>
      <w:r>
        <w:rPr>
          <w:rFonts w:hint="eastAsia" w:ascii="仿宋" w:hAnsi="仿宋" w:eastAsia="仿宋" w:cs="仿宋"/>
          <w:color w:val="auto"/>
          <w:sz w:val="24"/>
          <w:highlight w:val="none"/>
        </w:rPr>
        <w:t>分。评分依下述所列为评标打分依据，分值如下（计算分值时，按其算术平均值保留小数2位）。</w:t>
      </w:r>
    </w:p>
    <w:p w14:paraId="5C17FE83">
      <w:pPr>
        <w:shd w:val="clear"/>
        <w:spacing w:before="120" w:beforeLines="50" w:line="440" w:lineRule="exact"/>
        <w:rPr>
          <w:rFonts w:hint="eastAsia" w:ascii="仿宋" w:hAnsi="仿宋" w:eastAsia="仿宋" w:cs="仿宋"/>
          <w:b/>
          <w:bCs/>
          <w:iCs/>
          <w:color w:val="auto"/>
          <w:sz w:val="24"/>
          <w:highlight w:val="none"/>
        </w:rPr>
      </w:pPr>
      <w:r>
        <w:rPr>
          <w:rFonts w:hint="eastAsia" w:ascii="仿宋" w:hAnsi="仿宋" w:eastAsia="仿宋" w:cs="仿宋"/>
          <w:b/>
          <w:bCs/>
          <w:iCs/>
          <w:color w:val="auto"/>
          <w:sz w:val="24"/>
          <w:highlight w:val="none"/>
        </w:rPr>
        <w:t>2.1商务技术分（</w:t>
      </w:r>
      <w:r>
        <w:rPr>
          <w:rFonts w:hint="eastAsia" w:ascii="仿宋" w:hAnsi="仿宋" w:eastAsia="仿宋" w:cs="仿宋"/>
          <w:b/>
          <w:bCs/>
          <w:iCs/>
          <w:color w:val="auto"/>
          <w:sz w:val="24"/>
          <w:highlight w:val="none"/>
          <w:u w:val="single"/>
          <w:lang w:val="en-US" w:eastAsia="zh-CN"/>
        </w:rPr>
        <w:t>9</w:t>
      </w:r>
      <w:r>
        <w:rPr>
          <w:rFonts w:hint="eastAsia" w:ascii="仿宋" w:hAnsi="仿宋" w:eastAsia="仿宋" w:cs="仿宋"/>
          <w:b/>
          <w:bCs/>
          <w:iCs/>
          <w:color w:val="auto"/>
          <w:sz w:val="24"/>
          <w:highlight w:val="none"/>
          <w:u w:val="single"/>
        </w:rPr>
        <w:t>0</w:t>
      </w:r>
      <w:r>
        <w:rPr>
          <w:rFonts w:hint="eastAsia" w:ascii="仿宋" w:hAnsi="仿宋" w:eastAsia="仿宋" w:cs="仿宋"/>
          <w:b/>
          <w:bCs/>
          <w:iCs/>
          <w:color w:val="auto"/>
          <w:sz w:val="24"/>
          <w:highlight w:val="none"/>
        </w:rPr>
        <w:t>分）</w:t>
      </w:r>
    </w:p>
    <w:p w14:paraId="05CDAF22">
      <w:pPr>
        <w:shd w:val="clear"/>
        <w:spacing w:before="120" w:beforeLines="50" w:line="440" w:lineRule="exact"/>
        <w:rPr>
          <w:rFonts w:hint="default" w:ascii="仿宋" w:hAnsi="仿宋" w:eastAsia="仿宋" w:cs="仿宋"/>
          <w:b/>
          <w:bCs/>
          <w:iCs/>
          <w:color w:val="auto"/>
          <w:sz w:val="24"/>
          <w:highlight w:val="none"/>
          <w:lang w:val="en-US" w:eastAsia="zh-CN"/>
        </w:rPr>
      </w:pPr>
      <w:r>
        <w:rPr>
          <w:rFonts w:hint="eastAsia" w:ascii="仿宋" w:hAnsi="仿宋" w:eastAsia="仿宋" w:cs="仿宋"/>
          <w:b/>
          <w:bCs/>
          <w:iCs/>
          <w:color w:val="auto"/>
          <w:sz w:val="24"/>
          <w:highlight w:val="none"/>
          <w:lang w:val="en-US" w:eastAsia="zh-CN"/>
        </w:rPr>
        <w:t>标项一、标项二、标项三：</w:t>
      </w:r>
    </w:p>
    <w:tbl>
      <w:tblPr>
        <w:tblStyle w:val="25"/>
        <w:tblW w:w="9530" w:type="dxa"/>
        <w:tblInd w:w="-1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500"/>
        <w:gridCol w:w="6470"/>
        <w:gridCol w:w="780"/>
      </w:tblGrid>
      <w:tr w14:paraId="2ED94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2" w:hRule="atLeast"/>
        </w:trPr>
        <w:tc>
          <w:tcPr>
            <w:tcW w:w="780" w:type="dxa"/>
            <w:tcBorders>
              <w:tl2br w:val="nil"/>
              <w:tr2bl w:val="nil"/>
            </w:tcBorders>
            <w:noWrap w:val="0"/>
            <w:vAlign w:val="center"/>
          </w:tcPr>
          <w:p w14:paraId="589495C7">
            <w:pPr>
              <w:keepNext w:val="0"/>
              <w:keepLines w:val="0"/>
              <w:pageBreakBefore w:val="0"/>
              <w:shd w:val="clear"/>
              <w:kinsoku/>
              <w:wordWrap/>
              <w:overflowPunct/>
              <w:topLinePunct w:val="0"/>
              <w:autoSpaceDE/>
              <w:autoSpaceDN/>
              <w:bidi w:val="0"/>
              <w:adjustRightInd/>
              <w:snapToGrid/>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序号</w:t>
            </w:r>
          </w:p>
        </w:tc>
        <w:tc>
          <w:tcPr>
            <w:tcW w:w="1500" w:type="dxa"/>
            <w:tcBorders>
              <w:tl2br w:val="nil"/>
              <w:tr2bl w:val="nil"/>
            </w:tcBorders>
            <w:noWrap w:val="0"/>
            <w:vAlign w:val="center"/>
          </w:tcPr>
          <w:p w14:paraId="0BC3E1D4">
            <w:pPr>
              <w:keepNext w:val="0"/>
              <w:keepLines w:val="0"/>
              <w:pageBreakBefore w:val="0"/>
              <w:shd w:val="clear"/>
              <w:kinsoku/>
              <w:wordWrap/>
              <w:overflowPunct/>
              <w:topLinePunct w:val="0"/>
              <w:autoSpaceDE/>
              <w:autoSpaceDN/>
              <w:bidi w:val="0"/>
              <w:adjustRightInd/>
              <w:snapToGrid/>
              <w:spacing w:line="400" w:lineRule="exact"/>
              <w:jc w:val="center"/>
              <w:rPr>
                <w:rFonts w:hint="eastAsia" w:ascii="仿宋" w:hAnsi="仿宋" w:eastAsia="仿宋" w:cs="仿宋"/>
                <w:color w:val="auto"/>
                <w:kern w:val="0"/>
                <w:sz w:val="24"/>
                <w:szCs w:val="24"/>
                <w:highlight w:val="none"/>
                <w:lang w:val="zh-CN" w:eastAsia="zh-CN"/>
              </w:rPr>
            </w:pPr>
            <w:r>
              <w:rPr>
                <w:rFonts w:hint="eastAsia" w:ascii="仿宋" w:hAnsi="仿宋" w:eastAsia="仿宋" w:cs="仿宋"/>
                <w:color w:val="auto"/>
                <w:sz w:val="24"/>
                <w:szCs w:val="24"/>
                <w:highlight w:val="none"/>
              </w:rPr>
              <w:t>评分内容</w:t>
            </w:r>
          </w:p>
        </w:tc>
        <w:tc>
          <w:tcPr>
            <w:tcW w:w="6470" w:type="dxa"/>
            <w:tcBorders>
              <w:tl2br w:val="nil"/>
              <w:tr2bl w:val="nil"/>
            </w:tcBorders>
            <w:noWrap w:val="0"/>
            <w:vAlign w:val="center"/>
          </w:tcPr>
          <w:p w14:paraId="3B7A5910">
            <w:pPr>
              <w:keepNext w:val="0"/>
              <w:keepLines w:val="0"/>
              <w:pageBreakBefore w:val="0"/>
              <w:shd w:val="clear"/>
              <w:kinsoku/>
              <w:wordWrap/>
              <w:overflowPunct/>
              <w:topLinePunct w:val="0"/>
              <w:autoSpaceDE/>
              <w:autoSpaceDN/>
              <w:bidi w:val="0"/>
              <w:adjustRightInd/>
              <w:snapToGrid/>
              <w:spacing w:line="400" w:lineRule="exact"/>
              <w:ind w:firstLine="480" w:firstLineChars="0"/>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评审标准</w:t>
            </w:r>
          </w:p>
        </w:tc>
        <w:tc>
          <w:tcPr>
            <w:tcW w:w="780" w:type="dxa"/>
            <w:tcBorders>
              <w:tl2br w:val="nil"/>
              <w:tr2bl w:val="nil"/>
            </w:tcBorders>
            <w:noWrap w:val="0"/>
            <w:vAlign w:val="center"/>
          </w:tcPr>
          <w:p w14:paraId="4BC24738">
            <w:pPr>
              <w:keepNext w:val="0"/>
              <w:keepLines w:val="0"/>
              <w:pageBreakBefore w:val="0"/>
              <w:shd w:val="clear"/>
              <w:kinsoku/>
              <w:wordWrap/>
              <w:overflowPunct/>
              <w:topLinePunct w:val="0"/>
              <w:autoSpaceDE/>
              <w:autoSpaceDN/>
              <w:bidi w:val="0"/>
              <w:adjustRightInd/>
              <w:snapToGrid/>
              <w:spacing w:line="400" w:lineRule="exact"/>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分值</w:t>
            </w:r>
          </w:p>
        </w:tc>
      </w:tr>
      <w:tr w14:paraId="657ED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7" w:hRule="atLeast"/>
        </w:trPr>
        <w:tc>
          <w:tcPr>
            <w:tcW w:w="780" w:type="dxa"/>
            <w:tcBorders>
              <w:tl2br w:val="nil"/>
              <w:tr2bl w:val="nil"/>
            </w:tcBorders>
            <w:noWrap w:val="0"/>
            <w:vAlign w:val="center"/>
          </w:tcPr>
          <w:p w14:paraId="645E9828">
            <w:pPr>
              <w:keepNext w:val="0"/>
              <w:keepLines w:val="0"/>
              <w:pageBreakBefore w:val="0"/>
              <w:shd w:val="clear"/>
              <w:kinsoku/>
              <w:wordWrap/>
              <w:overflowPunct/>
              <w:topLinePunct w:val="0"/>
              <w:autoSpaceDE/>
              <w:autoSpaceDN/>
              <w:bidi w:val="0"/>
              <w:adjustRightInd/>
              <w:snapToGrid/>
              <w:spacing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500" w:type="dxa"/>
            <w:tcBorders>
              <w:tl2br w:val="nil"/>
              <w:tr2bl w:val="nil"/>
            </w:tcBorders>
            <w:noWrap w:val="0"/>
            <w:vAlign w:val="center"/>
          </w:tcPr>
          <w:p w14:paraId="2B5B5436">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体系认证</w:t>
            </w:r>
          </w:p>
        </w:tc>
        <w:tc>
          <w:tcPr>
            <w:tcW w:w="6470" w:type="dxa"/>
            <w:tcBorders>
              <w:tl2br w:val="nil"/>
              <w:tr2bl w:val="nil"/>
            </w:tcBorders>
            <w:noWrap w:val="0"/>
            <w:vAlign w:val="center"/>
          </w:tcPr>
          <w:p w14:paraId="22E4E61E">
            <w:pPr>
              <w:keepNext w:val="0"/>
              <w:keepLines w:val="0"/>
              <w:pageBreakBefore w:val="0"/>
              <w:numPr>
                <w:ilvl w:val="0"/>
                <w:numId w:val="0"/>
              </w:numPr>
              <w:shd w:val="clea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投标人具有职业健康安全管理体系认证证书的得</w:t>
            </w:r>
            <w:r>
              <w:rPr>
                <w:rFonts w:hint="eastAsia" w:ascii="仿宋" w:hAnsi="仿宋" w:eastAsia="仿宋" w:cs="仿宋"/>
                <w:color w:val="auto"/>
                <w:kern w:val="0"/>
                <w:sz w:val="24"/>
                <w:szCs w:val="24"/>
                <w:highlight w:val="none"/>
                <w:lang w:val="en-US" w:eastAsia="zh-CN"/>
              </w:rPr>
              <w:t>1分。</w:t>
            </w:r>
          </w:p>
          <w:p w14:paraId="127F8E78">
            <w:pPr>
              <w:keepNext w:val="0"/>
              <w:keepLines w:val="0"/>
              <w:pageBreakBefore w:val="0"/>
              <w:shd w:val="clea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b/>
                <w:bCs/>
                <w:color w:val="auto"/>
                <w:kern w:val="0"/>
                <w:sz w:val="24"/>
                <w:szCs w:val="24"/>
                <w:highlight w:val="none"/>
                <w:lang w:val="zh-CN"/>
              </w:rPr>
              <w:t>（提供有效期内证书扫描件并加盖CA 签章。）</w:t>
            </w:r>
          </w:p>
        </w:tc>
        <w:tc>
          <w:tcPr>
            <w:tcW w:w="780" w:type="dxa"/>
            <w:tcBorders>
              <w:tl2br w:val="nil"/>
              <w:tr2bl w:val="nil"/>
            </w:tcBorders>
            <w:noWrap w:val="0"/>
            <w:vAlign w:val="center"/>
          </w:tcPr>
          <w:p w14:paraId="412B3C1E">
            <w:pPr>
              <w:keepNext w:val="0"/>
              <w:keepLines w:val="0"/>
              <w:pageBreakBefore w:val="0"/>
              <w:shd w:val="clear"/>
              <w:kinsoku/>
              <w:wordWrap/>
              <w:overflowPunct/>
              <w:topLinePunct w:val="0"/>
              <w:autoSpaceDE/>
              <w:autoSpaceDN/>
              <w:bidi w:val="0"/>
              <w:adjustRightInd/>
              <w:snapToGrid/>
              <w:spacing w:line="40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p>
        </w:tc>
      </w:tr>
      <w:tr w14:paraId="06679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9" w:hRule="atLeast"/>
        </w:trPr>
        <w:tc>
          <w:tcPr>
            <w:tcW w:w="780" w:type="dxa"/>
            <w:tcBorders>
              <w:tl2br w:val="nil"/>
              <w:tr2bl w:val="nil"/>
            </w:tcBorders>
            <w:noWrap w:val="0"/>
            <w:vAlign w:val="center"/>
          </w:tcPr>
          <w:p w14:paraId="36E58FBF">
            <w:pPr>
              <w:keepNext w:val="0"/>
              <w:keepLines w:val="0"/>
              <w:pageBreakBefore w:val="0"/>
              <w:shd w:val="clear"/>
              <w:kinsoku/>
              <w:wordWrap/>
              <w:overflowPunct/>
              <w:topLinePunct w:val="0"/>
              <w:autoSpaceDE/>
              <w:autoSpaceDN/>
              <w:bidi w:val="0"/>
              <w:adjustRightInd/>
              <w:snapToGrid/>
              <w:spacing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500" w:type="dxa"/>
            <w:tcBorders>
              <w:tl2br w:val="nil"/>
              <w:tr2bl w:val="nil"/>
            </w:tcBorders>
            <w:noWrap w:val="0"/>
            <w:vAlign w:val="center"/>
          </w:tcPr>
          <w:p w14:paraId="68EE8002">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项目业绩</w:t>
            </w:r>
          </w:p>
        </w:tc>
        <w:tc>
          <w:tcPr>
            <w:tcW w:w="6470" w:type="dxa"/>
            <w:tcBorders>
              <w:tl2br w:val="nil"/>
              <w:tr2bl w:val="nil"/>
            </w:tcBorders>
            <w:noWrap w:val="0"/>
            <w:vAlign w:val="center"/>
          </w:tcPr>
          <w:p w14:paraId="380B323E">
            <w:pPr>
              <w:keepNext w:val="0"/>
              <w:keepLines w:val="0"/>
              <w:pageBreakBefore w:val="0"/>
              <w:shd w:val="clea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bCs/>
                <w:color w:val="auto"/>
                <w:sz w:val="24"/>
                <w:szCs w:val="24"/>
                <w:highlight w:val="none"/>
              </w:rPr>
              <w:t>投标人提供自</w:t>
            </w:r>
            <w:r>
              <w:rPr>
                <w:rFonts w:hint="eastAsia" w:ascii="仿宋" w:hAnsi="仿宋" w:eastAsia="仿宋" w:cs="仿宋"/>
                <w:bCs/>
                <w:color w:val="auto"/>
                <w:sz w:val="24"/>
                <w:szCs w:val="24"/>
                <w:highlight w:val="none"/>
                <w:lang w:val="en-US" w:eastAsia="zh-CN"/>
              </w:rPr>
              <w:t>2023</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月1日以来</w:t>
            </w:r>
            <w:r>
              <w:rPr>
                <w:rFonts w:hint="eastAsia" w:ascii="仿宋" w:hAnsi="仿宋" w:eastAsia="仿宋" w:cs="仿宋"/>
                <w:bCs/>
                <w:color w:val="auto"/>
                <w:sz w:val="24"/>
                <w:szCs w:val="24"/>
                <w:highlight w:val="none"/>
                <w:lang w:eastAsia="zh-CN"/>
              </w:rPr>
              <w:t>（以合同签订日期为准）</w:t>
            </w:r>
            <w:r>
              <w:rPr>
                <w:rFonts w:hint="eastAsia" w:ascii="仿宋" w:hAnsi="仿宋" w:eastAsia="仿宋" w:cs="仿宋"/>
                <w:bCs/>
                <w:color w:val="auto"/>
                <w:sz w:val="24"/>
                <w:szCs w:val="24"/>
                <w:highlight w:val="none"/>
                <w:lang w:val="en-US" w:eastAsia="zh-CN"/>
              </w:rPr>
              <w:t>学校安保</w:t>
            </w:r>
            <w:r>
              <w:rPr>
                <w:rFonts w:hint="eastAsia" w:ascii="仿宋" w:hAnsi="仿宋" w:eastAsia="仿宋" w:cs="仿宋"/>
                <w:bCs/>
                <w:color w:val="auto"/>
                <w:sz w:val="24"/>
                <w:szCs w:val="24"/>
                <w:highlight w:val="none"/>
              </w:rPr>
              <w:t>服务项目(不同业主)的成功案例</w:t>
            </w:r>
            <w:r>
              <w:rPr>
                <w:rFonts w:hint="eastAsia" w:ascii="仿宋" w:hAnsi="仿宋" w:eastAsia="仿宋" w:cs="仿宋"/>
                <w:color w:val="auto"/>
                <w:kern w:val="0"/>
                <w:sz w:val="24"/>
                <w:szCs w:val="24"/>
                <w:highlight w:val="none"/>
                <w:lang w:val="zh-CN"/>
              </w:rPr>
              <w:t>，每提供一个得</w:t>
            </w:r>
            <w:r>
              <w:rPr>
                <w:rFonts w:hint="eastAsia" w:ascii="仿宋" w:hAnsi="仿宋" w:eastAsia="仿宋" w:cs="仿宋"/>
                <w:color w:val="auto"/>
                <w:kern w:val="0"/>
                <w:sz w:val="24"/>
                <w:szCs w:val="24"/>
                <w:highlight w:val="none"/>
                <w:lang w:val="en-US" w:eastAsia="zh-CN"/>
              </w:rPr>
              <w:t>0.5</w:t>
            </w:r>
            <w:r>
              <w:rPr>
                <w:rFonts w:hint="eastAsia" w:ascii="仿宋" w:hAnsi="仿宋" w:eastAsia="仿宋" w:cs="仿宋"/>
                <w:color w:val="auto"/>
                <w:kern w:val="0"/>
                <w:sz w:val="24"/>
                <w:szCs w:val="24"/>
                <w:highlight w:val="none"/>
                <w:lang w:val="zh-CN"/>
              </w:rPr>
              <w:t>分，最高得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zh-CN"/>
              </w:rPr>
              <w:t>分。</w:t>
            </w:r>
            <w:r>
              <w:rPr>
                <w:rFonts w:hint="eastAsia" w:ascii="仿宋" w:hAnsi="仿宋" w:eastAsia="仿宋" w:cs="仿宋"/>
                <w:b/>
                <w:bCs/>
                <w:color w:val="auto"/>
                <w:sz w:val="24"/>
                <w:szCs w:val="24"/>
                <w:highlight w:val="none"/>
                <w:lang w:val="en-US" w:eastAsia="zh-CN"/>
              </w:rPr>
              <w:t>(提供合同扫描件</w:t>
            </w:r>
            <w:r>
              <w:rPr>
                <w:rFonts w:hint="eastAsia" w:ascii="仿宋" w:hAnsi="仿宋" w:eastAsia="仿宋" w:cs="仿宋"/>
                <w:b/>
                <w:bCs/>
                <w:color w:val="auto"/>
                <w:kern w:val="0"/>
                <w:sz w:val="24"/>
                <w:szCs w:val="24"/>
                <w:highlight w:val="none"/>
                <w:lang w:val="zh-CN"/>
              </w:rPr>
              <w:t>并加盖CA 签章</w:t>
            </w:r>
            <w:r>
              <w:rPr>
                <w:rFonts w:hint="eastAsia" w:ascii="仿宋" w:hAnsi="仿宋" w:eastAsia="仿宋" w:cs="仿宋"/>
                <w:b/>
                <w:bCs/>
                <w:color w:val="auto"/>
                <w:sz w:val="24"/>
                <w:szCs w:val="24"/>
                <w:highlight w:val="none"/>
              </w:rPr>
              <w:t>)</w:t>
            </w:r>
          </w:p>
        </w:tc>
        <w:tc>
          <w:tcPr>
            <w:tcW w:w="780" w:type="dxa"/>
            <w:tcBorders>
              <w:tl2br w:val="nil"/>
              <w:tr2bl w:val="nil"/>
            </w:tcBorders>
            <w:noWrap w:val="0"/>
            <w:vAlign w:val="center"/>
          </w:tcPr>
          <w:p w14:paraId="4CEBCFAD">
            <w:pPr>
              <w:keepNext w:val="0"/>
              <w:keepLines w:val="0"/>
              <w:pageBreakBefore w:val="0"/>
              <w:shd w:val="clear"/>
              <w:kinsoku/>
              <w:wordWrap/>
              <w:overflowPunct/>
              <w:topLinePunct w:val="0"/>
              <w:autoSpaceDE/>
              <w:autoSpaceDN/>
              <w:bidi w:val="0"/>
              <w:adjustRightInd/>
              <w:snapToGrid/>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1分</w:t>
            </w:r>
          </w:p>
        </w:tc>
      </w:tr>
      <w:tr w14:paraId="37C94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2" w:hRule="atLeast"/>
        </w:trPr>
        <w:tc>
          <w:tcPr>
            <w:tcW w:w="780" w:type="dxa"/>
            <w:tcBorders>
              <w:tl2br w:val="nil"/>
              <w:tr2bl w:val="nil"/>
            </w:tcBorders>
            <w:noWrap w:val="0"/>
            <w:vAlign w:val="center"/>
          </w:tcPr>
          <w:p w14:paraId="31A55A7F">
            <w:pPr>
              <w:keepNext w:val="0"/>
              <w:keepLines w:val="0"/>
              <w:pageBreakBefore w:val="0"/>
              <w:shd w:val="clear"/>
              <w:kinsoku/>
              <w:wordWrap/>
              <w:overflowPunct/>
              <w:topLinePunct w:val="0"/>
              <w:autoSpaceDE/>
              <w:autoSpaceDN/>
              <w:bidi w:val="0"/>
              <w:adjustRightInd/>
              <w:snapToGrid/>
              <w:spacing w:line="40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1500" w:type="dxa"/>
            <w:vMerge w:val="restart"/>
            <w:tcBorders>
              <w:tl2br w:val="nil"/>
              <w:tr2bl w:val="nil"/>
            </w:tcBorders>
            <w:noWrap w:val="0"/>
            <w:vAlign w:val="center"/>
          </w:tcPr>
          <w:p w14:paraId="11BF0B07">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项目服务人员配置</w:t>
            </w:r>
          </w:p>
          <w:p w14:paraId="3957E8CE">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p>
        </w:tc>
        <w:tc>
          <w:tcPr>
            <w:tcW w:w="6470" w:type="dxa"/>
            <w:tcBorders>
              <w:tl2br w:val="nil"/>
              <w:tr2bl w:val="nil"/>
            </w:tcBorders>
            <w:noWrap w:val="0"/>
            <w:vAlign w:val="center"/>
          </w:tcPr>
          <w:p w14:paraId="57113A72">
            <w:pPr>
              <w:keepNext w:val="0"/>
              <w:keepLines w:val="0"/>
              <w:pageBreakBefore w:val="0"/>
              <w:widowControl/>
              <w:numPr>
                <w:ilvl w:val="0"/>
                <w:numId w:val="0"/>
              </w:numPr>
              <w:shd w:val="clear"/>
              <w:kinsoku/>
              <w:wordWrap/>
              <w:overflowPunct/>
              <w:topLinePunct w:val="0"/>
              <w:autoSpaceDE/>
              <w:autoSpaceDN/>
              <w:bidi w:val="0"/>
              <w:adjustRightInd/>
              <w:snapToGrid/>
              <w:spacing w:line="400" w:lineRule="exact"/>
              <w:ind w:lef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1人）</w:t>
            </w:r>
            <w:r>
              <w:rPr>
                <w:rFonts w:hint="eastAsia" w:ascii="仿宋" w:hAnsi="仿宋" w:eastAsia="仿宋" w:cs="仿宋"/>
                <w:color w:val="auto"/>
                <w:sz w:val="24"/>
                <w:szCs w:val="24"/>
                <w:highlight w:val="none"/>
              </w:rPr>
              <w:t>：</w:t>
            </w:r>
          </w:p>
          <w:p w14:paraId="2B6C716E">
            <w:pPr>
              <w:keepNext w:val="0"/>
              <w:keepLines w:val="0"/>
              <w:pageBreakBefore w:val="0"/>
              <w:widowControl/>
              <w:numPr>
                <w:ilvl w:val="0"/>
                <w:numId w:val="0"/>
              </w:numPr>
              <w:shd w:val="clear"/>
              <w:kinsoku/>
              <w:wordWrap/>
              <w:overflowPunct/>
              <w:topLinePunct w:val="0"/>
              <w:autoSpaceDE/>
              <w:autoSpaceDN/>
              <w:bidi w:val="0"/>
              <w:adjustRightInd/>
              <w:snapToGrid/>
              <w:spacing w:line="400" w:lineRule="exact"/>
              <w:ind w:leftChars="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 xml:space="preserve">具有人社部门颁发的保安员一级证书的得 3 分，具有人社部门颁发的保安员二级证书的得 </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具有人社部门颁发的保安员</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级证书的得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shd w:val="clear" w:color="auto" w:fill="FFFFFF"/>
                <w:lang w:val="en-US" w:eastAsia="zh-CN"/>
              </w:rPr>
              <w:t>(提供证书扫描件、</w:t>
            </w:r>
            <w:r>
              <w:rPr>
                <w:rFonts w:hint="eastAsia" w:ascii="仿宋" w:hAnsi="仿宋" w:eastAsia="仿宋" w:cs="仿宋"/>
                <w:b/>
                <w:bCs/>
                <w:color w:val="auto"/>
                <w:sz w:val="24"/>
                <w:szCs w:val="24"/>
                <w:highlight w:val="none"/>
                <w:shd w:val="clear" w:color="auto" w:fill="FFFFFF"/>
                <w:lang w:eastAsia="zh-CN"/>
              </w:rPr>
              <w:t>近三个月任意一个月在</w:t>
            </w:r>
            <w:r>
              <w:rPr>
                <w:rFonts w:hint="eastAsia" w:ascii="仿宋" w:hAnsi="仿宋" w:eastAsia="仿宋" w:cs="仿宋"/>
                <w:b/>
                <w:bCs/>
                <w:color w:val="auto"/>
                <w:sz w:val="24"/>
                <w:szCs w:val="24"/>
                <w:highlight w:val="none"/>
                <w:shd w:val="clear" w:color="auto" w:fill="FFFFFF"/>
                <w:lang w:val="en-US" w:eastAsia="zh-CN"/>
              </w:rPr>
              <w:t>投标</w:t>
            </w:r>
            <w:r>
              <w:rPr>
                <w:rFonts w:hint="eastAsia" w:ascii="仿宋" w:hAnsi="仿宋" w:eastAsia="仿宋" w:cs="仿宋"/>
                <w:b/>
                <w:bCs/>
                <w:color w:val="auto"/>
                <w:sz w:val="24"/>
                <w:szCs w:val="24"/>
                <w:highlight w:val="none"/>
                <w:shd w:val="clear" w:color="auto" w:fill="FFFFFF"/>
                <w:lang w:eastAsia="zh-CN"/>
              </w:rPr>
              <w:t>单位社保缴纳证明并加盖</w:t>
            </w:r>
            <w:r>
              <w:rPr>
                <w:rFonts w:hint="eastAsia" w:ascii="仿宋" w:hAnsi="仿宋" w:eastAsia="仿宋" w:cs="仿宋"/>
                <w:b/>
                <w:bCs/>
                <w:color w:val="auto"/>
                <w:sz w:val="24"/>
                <w:szCs w:val="24"/>
                <w:highlight w:val="none"/>
                <w:shd w:val="clear" w:color="auto" w:fill="FFFFFF"/>
                <w:lang w:val="en-US" w:eastAsia="zh-CN"/>
              </w:rPr>
              <w:t>CA签章)。</w:t>
            </w:r>
          </w:p>
        </w:tc>
        <w:tc>
          <w:tcPr>
            <w:tcW w:w="780" w:type="dxa"/>
            <w:tcBorders>
              <w:tl2br w:val="nil"/>
              <w:tr2bl w:val="nil"/>
            </w:tcBorders>
            <w:noWrap w:val="0"/>
            <w:vAlign w:val="center"/>
          </w:tcPr>
          <w:p w14:paraId="58E0FF45">
            <w:pPr>
              <w:keepNext w:val="0"/>
              <w:keepLines w:val="0"/>
              <w:pageBreakBefore w:val="0"/>
              <w:shd w:val="clear"/>
              <w:kinsoku/>
              <w:wordWrap/>
              <w:overflowPunct/>
              <w:topLinePunct w:val="0"/>
              <w:autoSpaceDE/>
              <w:autoSpaceDN/>
              <w:bidi w:val="0"/>
              <w:adjustRightInd/>
              <w:snapToGrid/>
              <w:spacing w:line="40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3分</w:t>
            </w:r>
          </w:p>
        </w:tc>
      </w:tr>
      <w:tr w14:paraId="5DC50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2" w:hRule="atLeast"/>
        </w:trPr>
        <w:tc>
          <w:tcPr>
            <w:tcW w:w="780" w:type="dxa"/>
            <w:tcBorders>
              <w:tl2br w:val="nil"/>
              <w:tr2bl w:val="nil"/>
            </w:tcBorders>
            <w:noWrap w:val="0"/>
            <w:vAlign w:val="center"/>
          </w:tcPr>
          <w:p w14:paraId="2B1CAEA5">
            <w:pPr>
              <w:keepNext w:val="0"/>
              <w:keepLines w:val="0"/>
              <w:pageBreakBefore w:val="0"/>
              <w:shd w:val="clear"/>
              <w:kinsoku/>
              <w:wordWrap/>
              <w:overflowPunct/>
              <w:topLinePunct w:val="0"/>
              <w:autoSpaceDE/>
              <w:autoSpaceDN/>
              <w:bidi w:val="0"/>
              <w:adjustRightInd/>
              <w:snapToGrid/>
              <w:spacing w:line="40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1500" w:type="dxa"/>
            <w:vMerge w:val="continue"/>
            <w:tcBorders>
              <w:tl2br w:val="nil"/>
              <w:tr2bl w:val="nil"/>
            </w:tcBorders>
            <w:noWrap w:val="0"/>
            <w:vAlign w:val="center"/>
          </w:tcPr>
          <w:p w14:paraId="49844651">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6470" w:type="dxa"/>
            <w:tcBorders>
              <w:tl2br w:val="nil"/>
              <w:tr2bl w:val="nil"/>
            </w:tcBorders>
            <w:noWrap w:val="0"/>
            <w:vAlign w:val="center"/>
          </w:tcPr>
          <w:p w14:paraId="2B817AAD">
            <w:pPr>
              <w:keepNext w:val="0"/>
              <w:keepLines w:val="0"/>
              <w:pageBreakBefore w:val="0"/>
              <w:shd w:val="clea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根据投标人所投标项</w:t>
            </w:r>
            <w:r>
              <w:rPr>
                <w:rFonts w:hint="eastAsia" w:ascii="仿宋" w:hAnsi="仿宋" w:eastAsia="仿宋" w:cs="仿宋"/>
                <w:color w:val="auto"/>
                <w:kern w:val="0"/>
                <w:sz w:val="24"/>
                <w:szCs w:val="24"/>
                <w:highlight w:val="none"/>
                <w:lang w:val="zh-CN" w:eastAsia="zh-CN" w:bidi="ar-SA"/>
              </w:rPr>
              <w:t>拟派</w:t>
            </w:r>
            <w:r>
              <w:rPr>
                <w:rFonts w:hint="eastAsia" w:ascii="仿宋" w:hAnsi="仿宋" w:eastAsia="仿宋" w:cs="仿宋"/>
                <w:color w:val="auto"/>
                <w:kern w:val="0"/>
                <w:sz w:val="24"/>
                <w:szCs w:val="24"/>
                <w:highlight w:val="none"/>
                <w:lang w:val="en-US" w:eastAsia="zh-CN" w:bidi="ar-SA"/>
              </w:rPr>
              <w:t>各学校</w:t>
            </w:r>
            <w:r>
              <w:rPr>
                <w:rFonts w:hint="eastAsia" w:ascii="仿宋" w:hAnsi="仿宋" w:eastAsia="仿宋" w:cs="仿宋"/>
                <w:color w:val="auto"/>
                <w:kern w:val="0"/>
                <w:sz w:val="24"/>
                <w:szCs w:val="24"/>
                <w:highlight w:val="none"/>
                <w:lang w:val="zh-CN" w:eastAsia="zh-CN" w:bidi="ar-SA"/>
              </w:rPr>
              <w:t>的</w:t>
            </w:r>
            <w:r>
              <w:rPr>
                <w:rFonts w:hint="eastAsia" w:ascii="仿宋" w:hAnsi="仿宋" w:eastAsia="仿宋" w:cs="仿宋"/>
                <w:color w:val="auto"/>
                <w:kern w:val="0"/>
                <w:sz w:val="24"/>
                <w:szCs w:val="24"/>
                <w:highlight w:val="none"/>
                <w:lang w:val="en-US" w:eastAsia="zh-CN" w:bidi="ar-SA"/>
              </w:rPr>
              <w:t>主要负责人的资质、经验等进行综合评分。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评分分值范围0，0.2，…，3分，步长0.2</w:t>
            </w:r>
            <w:r>
              <w:rPr>
                <w:rFonts w:hint="eastAsia" w:ascii="仿宋" w:hAnsi="仿宋" w:eastAsia="仿宋" w:cs="仿宋"/>
                <w:color w:val="auto"/>
                <w:sz w:val="24"/>
                <w:szCs w:val="24"/>
                <w:highlight w:val="none"/>
                <w:lang w:eastAsia="zh-CN"/>
              </w:rPr>
              <w:t>）</w:t>
            </w:r>
          </w:p>
          <w:p w14:paraId="0F5C7C23">
            <w:pPr>
              <w:keepNext w:val="0"/>
              <w:keepLines w:val="0"/>
              <w:pageBreakBefore w:val="0"/>
              <w:shd w:val="clea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b/>
                <w:bCs/>
                <w:color w:val="auto"/>
                <w:kern w:val="0"/>
                <w:sz w:val="24"/>
                <w:szCs w:val="24"/>
                <w:highlight w:val="none"/>
                <w:lang w:val="zh-CN" w:eastAsia="zh-CN" w:bidi="ar-SA"/>
              </w:rPr>
              <w:t>（提供</w:t>
            </w:r>
            <w:r>
              <w:rPr>
                <w:rFonts w:hint="eastAsia" w:ascii="仿宋" w:hAnsi="仿宋" w:eastAsia="仿宋" w:cs="仿宋"/>
                <w:b/>
                <w:bCs/>
                <w:color w:val="auto"/>
                <w:kern w:val="0"/>
                <w:sz w:val="24"/>
                <w:szCs w:val="24"/>
                <w:highlight w:val="none"/>
                <w:lang w:val="en-US" w:eastAsia="zh-CN" w:bidi="ar-SA"/>
              </w:rPr>
              <w:t>人员名单、</w:t>
            </w:r>
            <w:r>
              <w:rPr>
                <w:rFonts w:hint="eastAsia" w:ascii="仿宋" w:hAnsi="仿宋" w:eastAsia="仿宋" w:cs="仿宋"/>
                <w:b/>
                <w:bCs/>
                <w:color w:val="auto"/>
                <w:sz w:val="24"/>
                <w:szCs w:val="24"/>
                <w:highlight w:val="none"/>
                <w:shd w:val="clear" w:color="auto" w:fill="FFFFFF"/>
                <w:lang w:eastAsia="zh-CN"/>
              </w:rPr>
              <w:t>近三个</w:t>
            </w:r>
            <w:r>
              <w:rPr>
                <w:rFonts w:hint="eastAsia" w:ascii="仿宋" w:hAnsi="仿宋" w:eastAsia="仿宋" w:cs="仿宋"/>
                <w:b/>
                <w:bCs/>
                <w:color w:val="auto"/>
                <w:sz w:val="24"/>
                <w:szCs w:val="24"/>
                <w:highlight w:val="none"/>
                <w:shd w:val="clear" w:color="auto" w:fill="FFFFFF"/>
                <w:lang w:val="en-US" w:eastAsia="zh-CN"/>
              </w:rPr>
              <w:t>任意一个</w:t>
            </w:r>
            <w:r>
              <w:rPr>
                <w:rFonts w:hint="eastAsia" w:ascii="仿宋" w:hAnsi="仿宋" w:eastAsia="仿宋" w:cs="仿宋"/>
                <w:b/>
                <w:bCs/>
                <w:color w:val="auto"/>
                <w:sz w:val="24"/>
                <w:szCs w:val="24"/>
                <w:highlight w:val="none"/>
                <w:shd w:val="clear" w:color="auto" w:fill="FFFFFF"/>
                <w:lang w:eastAsia="zh-CN"/>
              </w:rPr>
              <w:t>月在</w:t>
            </w:r>
            <w:r>
              <w:rPr>
                <w:rFonts w:hint="eastAsia" w:ascii="仿宋" w:hAnsi="仿宋" w:eastAsia="仿宋" w:cs="仿宋"/>
                <w:b/>
                <w:bCs/>
                <w:color w:val="auto"/>
                <w:sz w:val="24"/>
                <w:szCs w:val="24"/>
                <w:highlight w:val="none"/>
                <w:shd w:val="clear" w:color="auto" w:fill="FFFFFF"/>
                <w:lang w:val="en-US" w:eastAsia="zh-CN"/>
              </w:rPr>
              <w:t>本单位</w:t>
            </w:r>
            <w:r>
              <w:rPr>
                <w:rFonts w:hint="eastAsia" w:ascii="仿宋" w:hAnsi="仿宋" w:eastAsia="仿宋" w:cs="仿宋"/>
                <w:b/>
                <w:bCs/>
                <w:color w:val="auto"/>
                <w:sz w:val="24"/>
                <w:szCs w:val="24"/>
                <w:highlight w:val="none"/>
                <w:shd w:val="clear" w:color="auto" w:fill="FFFFFF"/>
                <w:lang w:eastAsia="zh-CN"/>
              </w:rPr>
              <w:t>社保缴纳证明并加盖</w:t>
            </w:r>
            <w:r>
              <w:rPr>
                <w:rFonts w:hint="eastAsia" w:ascii="仿宋" w:hAnsi="仿宋" w:eastAsia="仿宋" w:cs="仿宋"/>
                <w:b/>
                <w:bCs/>
                <w:color w:val="auto"/>
                <w:sz w:val="24"/>
                <w:szCs w:val="24"/>
                <w:highlight w:val="none"/>
                <w:shd w:val="clear" w:color="auto" w:fill="FFFFFF"/>
                <w:lang w:val="en-US" w:eastAsia="zh-CN"/>
              </w:rPr>
              <w:t>CA签章）</w:t>
            </w:r>
          </w:p>
        </w:tc>
        <w:tc>
          <w:tcPr>
            <w:tcW w:w="780" w:type="dxa"/>
            <w:tcBorders>
              <w:tl2br w:val="nil"/>
              <w:tr2bl w:val="nil"/>
            </w:tcBorders>
            <w:noWrap w:val="0"/>
            <w:vAlign w:val="center"/>
          </w:tcPr>
          <w:p w14:paraId="3B78D409">
            <w:pPr>
              <w:keepNext w:val="0"/>
              <w:keepLines w:val="0"/>
              <w:pageBreakBefore w:val="0"/>
              <w:shd w:val="clear"/>
              <w:kinsoku/>
              <w:wordWrap/>
              <w:overflowPunct/>
              <w:topLinePunct w:val="0"/>
              <w:autoSpaceDE/>
              <w:autoSpaceDN/>
              <w:bidi w:val="0"/>
              <w:adjustRightInd/>
              <w:snapToGrid/>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3分</w:t>
            </w:r>
          </w:p>
        </w:tc>
      </w:tr>
      <w:tr w14:paraId="46957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2" w:hRule="atLeast"/>
        </w:trPr>
        <w:tc>
          <w:tcPr>
            <w:tcW w:w="780" w:type="dxa"/>
            <w:tcBorders>
              <w:tl2br w:val="nil"/>
              <w:tr2bl w:val="nil"/>
            </w:tcBorders>
            <w:noWrap w:val="0"/>
            <w:vAlign w:val="center"/>
          </w:tcPr>
          <w:p w14:paraId="4035C58B">
            <w:pPr>
              <w:keepNext w:val="0"/>
              <w:keepLines w:val="0"/>
              <w:pageBreakBefore w:val="0"/>
              <w:shd w:val="clear"/>
              <w:kinsoku/>
              <w:wordWrap/>
              <w:overflowPunct/>
              <w:topLinePunct w:val="0"/>
              <w:autoSpaceDE/>
              <w:autoSpaceDN/>
              <w:bidi w:val="0"/>
              <w:adjustRightInd/>
              <w:snapToGrid/>
              <w:spacing w:line="40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1500" w:type="dxa"/>
            <w:vMerge w:val="continue"/>
            <w:tcBorders>
              <w:tl2br w:val="nil"/>
              <w:tr2bl w:val="nil"/>
            </w:tcBorders>
            <w:noWrap w:val="0"/>
            <w:vAlign w:val="center"/>
          </w:tcPr>
          <w:p w14:paraId="61F988D0">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6470" w:type="dxa"/>
            <w:tcBorders>
              <w:tl2br w:val="nil"/>
              <w:tr2bl w:val="nil"/>
            </w:tcBorders>
            <w:noWrap w:val="0"/>
            <w:vAlign w:val="center"/>
          </w:tcPr>
          <w:p w14:paraId="6F8026D8">
            <w:pPr>
              <w:keepNext w:val="0"/>
              <w:keepLines w:val="0"/>
              <w:pageBreakBefore w:val="0"/>
              <w:widowControl/>
              <w:shd w:val="clear"/>
              <w:kinsoku/>
              <w:wordWrap/>
              <w:overflowPunct/>
              <w:topLinePunct w:val="0"/>
              <w:autoSpaceDE/>
              <w:autoSpaceDN/>
              <w:bidi w:val="0"/>
              <w:adjustRightInd/>
              <w:snapToGrid/>
              <w:spacing w:line="400" w:lineRule="exac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根据投标人提供的人员调配情况及响应时间等方面进行打分</w:t>
            </w:r>
            <w:r>
              <w:rPr>
                <w:rFonts w:hint="eastAsia" w:ascii="仿宋" w:hAnsi="仿宋" w:eastAsia="仿宋" w:cs="仿宋"/>
                <w:color w:val="auto"/>
                <w:kern w:val="0"/>
                <w:sz w:val="24"/>
                <w:szCs w:val="24"/>
                <w:highlight w:val="none"/>
                <w:lang w:eastAsia="zh-CN"/>
              </w:rPr>
              <w:t>：</w:t>
            </w:r>
          </w:p>
          <w:p w14:paraId="12784E54">
            <w:pPr>
              <w:keepNext w:val="0"/>
              <w:keepLines w:val="0"/>
              <w:pageBreakBefore w:val="0"/>
              <w:widowControl/>
              <w:shd w:val="clear"/>
              <w:kinsoku/>
              <w:wordWrap/>
              <w:overflowPunct/>
              <w:topLinePunct w:val="0"/>
              <w:autoSpaceDE/>
              <w:autoSpaceDN/>
              <w:bidi w:val="0"/>
              <w:adjustRightInd/>
              <w:snapToGrid/>
              <w:spacing w:line="40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（1）人员调配情况</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评分分值范围0，0.2，…，2分，步长0.2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val="en-US" w:eastAsia="zh-CN"/>
              </w:rPr>
              <w:t>；</w:t>
            </w:r>
          </w:p>
          <w:p w14:paraId="6EBDF2A5">
            <w:pPr>
              <w:keepNext w:val="0"/>
              <w:keepLines w:val="0"/>
              <w:pageBreakBefore w:val="0"/>
              <w:numPr>
                <w:ilvl w:val="0"/>
                <w:numId w:val="0"/>
              </w:numPr>
              <w:shd w:val="clear"/>
              <w:kinsoku/>
              <w:wordWrap/>
              <w:overflowPunct/>
              <w:topLinePunct w:val="0"/>
              <w:autoSpaceDE/>
              <w:autoSpaceDN/>
              <w:bidi w:val="0"/>
              <w:adjustRightInd/>
              <w:snapToGrid/>
              <w:spacing w:line="400" w:lineRule="exact"/>
              <w:ind w:lef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（2）响应时间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评分分值范围0，0.2，…，3分，步长0.2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val="en-US" w:eastAsia="zh-CN"/>
              </w:rPr>
              <w:t>。</w:t>
            </w:r>
          </w:p>
        </w:tc>
        <w:tc>
          <w:tcPr>
            <w:tcW w:w="780" w:type="dxa"/>
            <w:tcBorders>
              <w:tl2br w:val="nil"/>
              <w:tr2bl w:val="nil"/>
            </w:tcBorders>
            <w:noWrap w:val="0"/>
            <w:vAlign w:val="center"/>
          </w:tcPr>
          <w:p w14:paraId="4D73978D">
            <w:pPr>
              <w:keepNext w:val="0"/>
              <w:keepLines w:val="0"/>
              <w:pageBreakBefore w:val="0"/>
              <w:shd w:val="clear"/>
              <w:kinsoku/>
              <w:wordWrap/>
              <w:overflowPunct/>
              <w:topLinePunct w:val="0"/>
              <w:autoSpaceDE/>
              <w:autoSpaceDN/>
              <w:bidi w:val="0"/>
              <w:adjustRightInd/>
              <w:snapToGrid/>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5分</w:t>
            </w:r>
          </w:p>
        </w:tc>
      </w:tr>
      <w:tr w14:paraId="484BD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2" w:hRule="atLeast"/>
        </w:trPr>
        <w:tc>
          <w:tcPr>
            <w:tcW w:w="780" w:type="dxa"/>
            <w:tcBorders>
              <w:tl2br w:val="nil"/>
              <w:tr2bl w:val="nil"/>
            </w:tcBorders>
            <w:noWrap w:val="0"/>
            <w:vAlign w:val="center"/>
          </w:tcPr>
          <w:p w14:paraId="0B49DCF8">
            <w:pPr>
              <w:keepNext w:val="0"/>
              <w:keepLines w:val="0"/>
              <w:pageBreakBefore w:val="0"/>
              <w:shd w:val="clear"/>
              <w:kinsoku/>
              <w:wordWrap/>
              <w:overflowPunct/>
              <w:topLinePunct w:val="0"/>
              <w:autoSpaceDE/>
              <w:autoSpaceDN/>
              <w:bidi w:val="0"/>
              <w:adjustRightInd/>
              <w:snapToGrid/>
              <w:spacing w:line="40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1500" w:type="dxa"/>
            <w:vMerge w:val="continue"/>
            <w:tcBorders>
              <w:tl2br w:val="nil"/>
              <w:tr2bl w:val="nil"/>
            </w:tcBorders>
            <w:noWrap w:val="0"/>
            <w:vAlign w:val="center"/>
          </w:tcPr>
          <w:p w14:paraId="6D549A34">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6470" w:type="dxa"/>
            <w:tcBorders>
              <w:tl2br w:val="nil"/>
              <w:tr2bl w:val="nil"/>
            </w:tcBorders>
            <w:noWrap w:val="0"/>
            <w:vAlign w:val="center"/>
          </w:tcPr>
          <w:p w14:paraId="0EAEA968">
            <w:pPr>
              <w:keepNext w:val="0"/>
              <w:keepLines w:val="0"/>
              <w:pageBreakBefore w:val="0"/>
              <w:numPr>
                <w:ilvl w:val="0"/>
                <w:numId w:val="0"/>
              </w:numPr>
              <w:shd w:val="clear"/>
              <w:kinsoku/>
              <w:wordWrap/>
              <w:overflowPunct/>
              <w:topLinePunct w:val="0"/>
              <w:autoSpaceDE/>
              <w:autoSpaceDN/>
              <w:bidi w:val="0"/>
              <w:adjustRightInd/>
              <w:snapToGrid/>
              <w:spacing w:line="400" w:lineRule="exact"/>
              <w:ind w:leftChars="0"/>
              <w:jc w:val="left"/>
              <w:textAlignment w:val="auto"/>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投标人提供的针对</w:t>
            </w:r>
            <w:r>
              <w:rPr>
                <w:rFonts w:hint="eastAsia" w:ascii="仿宋" w:hAnsi="仿宋" w:eastAsia="仿宋" w:cs="仿宋"/>
                <w:color w:val="auto"/>
                <w:sz w:val="24"/>
                <w:szCs w:val="24"/>
                <w:highlight w:val="none"/>
              </w:rPr>
              <w:t>保安人员流失控制及时补充方案，严格控制人员轮换岗比例</w:t>
            </w:r>
            <w:r>
              <w:rPr>
                <w:rFonts w:hint="eastAsia" w:ascii="仿宋" w:hAnsi="仿宋" w:eastAsia="仿宋" w:cs="仿宋"/>
                <w:color w:val="auto"/>
                <w:sz w:val="24"/>
                <w:szCs w:val="24"/>
                <w:highlight w:val="none"/>
                <w:lang w:eastAsia="zh-CN"/>
              </w:rPr>
              <w:t>及作息管理</w:t>
            </w:r>
            <w:r>
              <w:rPr>
                <w:rFonts w:hint="eastAsia" w:ascii="仿宋" w:hAnsi="仿宋" w:eastAsia="仿宋" w:cs="仿宋"/>
                <w:color w:val="auto"/>
                <w:sz w:val="24"/>
                <w:szCs w:val="24"/>
                <w:highlight w:val="none"/>
              </w:rPr>
              <w:t>方案及措施</w:t>
            </w:r>
            <w:r>
              <w:rPr>
                <w:rFonts w:hint="eastAsia" w:ascii="仿宋" w:hAnsi="仿宋" w:eastAsia="仿宋" w:cs="仿宋"/>
                <w:color w:val="auto"/>
                <w:sz w:val="24"/>
                <w:szCs w:val="24"/>
                <w:highlight w:val="none"/>
                <w:lang w:eastAsia="zh-CN"/>
              </w:rPr>
              <w:t>等进行</w:t>
            </w:r>
            <w:r>
              <w:rPr>
                <w:rFonts w:hint="eastAsia" w:ascii="仿宋" w:hAnsi="仿宋" w:eastAsia="仿宋" w:cs="仿宋"/>
                <w:color w:val="auto"/>
                <w:sz w:val="24"/>
                <w:szCs w:val="24"/>
                <w:highlight w:val="none"/>
                <w:lang w:val="en-US" w:eastAsia="zh-CN"/>
              </w:rPr>
              <w:t>综合评分。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评分分值范围0，0.2，…，5分，步长0.2</w:t>
            </w:r>
            <w:r>
              <w:rPr>
                <w:rFonts w:hint="eastAsia" w:ascii="仿宋" w:hAnsi="仿宋" w:eastAsia="仿宋" w:cs="仿宋"/>
                <w:color w:val="auto"/>
                <w:sz w:val="24"/>
                <w:szCs w:val="24"/>
                <w:highlight w:val="none"/>
                <w:lang w:eastAsia="zh-CN"/>
              </w:rPr>
              <w:t>）</w:t>
            </w:r>
          </w:p>
        </w:tc>
        <w:tc>
          <w:tcPr>
            <w:tcW w:w="780" w:type="dxa"/>
            <w:tcBorders>
              <w:tl2br w:val="nil"/>
              <w:tr2bl w:val="nil"/>
            </w:tcBorders>
            <w:noWrap w:val="0"/>
            <w:vAlign w:val="center"/>
          </w:tcPr>
          <w:p w14:paraId="322DB738">
            <w:pPr>
              <w:keepNext w:val="0"/>
              <w:keepLines w:val="0"/>
              <w:pageBreakBefore w:val="0"/>
              <w:shd w:val="clear"/>
              <w:kinsoku/>
              <w:wordWrap/>
              <w:overflowPunct/>
              <w:topLinePunct w:val="0"/>
              <w:autoSpaceDE/>
              <w:autoSpaceDN/>
              <w:bidi w:val="0"/>
              <w:adjustRightInd/>
              <w:snapToGrid/>
              <w:spacing w:line="400" w:lineRule="exact"/>
              <w:jc w:val="center"/>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r>
      <w:tr w14:paraId="69214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50" w:hRule="atLeast"/>
        </w:trPr>
        <w:tc>
          <w:tcPr>
            <w:tcW w:w="780" w:type="dxa"/>
            <w:tcBorders>
              <w:tl2br w:val="nil"/>
              <w:tr2bl w:val="nil"/>
            </w:tcBorders>
            <w:noWrap w:val="0"/>
            <w:vAlign w:val="center"/>
          </w:tcPr>
          <w:p w14:paraId="67169D5F">
            <w:pPr>
              <w:keepNext w:val="0"/>
              <w:keepLines w:val="0"/>
              <w:pageBreakBefore w:val="0"/>
              <w:shd w:val="clear"/>
              <w:kinsoku/>
              <w:wordWrap/>
              <w:overflowPunct/>
              <w:topLinePunct w:val="0"/>
              <w:autoSpaceDE/>
              <w:autoSpaceDN/>
              <w:bidi w:val="0"/>
              <w:adjustRightInd/>
              <w:snapToGrid/>
              <w:spacing w:line="40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w:t>
            </w:r>
          </w:p>
        </w:tc>
        <w:tc>
          <w:tcPr>
            <w:tcW w:w="1500" w:type="dxa"/>
            <w:tcBorders>
              <w:tl2br w:val="nil"/>
              <w:tr2bl w:val="nil"/>
            </w:tcBorders>
            <w:noWrap w:val="0"/>
            <w:vAlign w:val="center"/>
          </w:tcPr>
          <w:p w14:paraId="515C1C5C">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对所投标项现状了解及重、难点分析及解决措施</w:t>
            </w:r>
          </w:p>
        </w:tc>
        <w:tc>
          <w:tcPr>
            <w:tcW w:w="6470" w:type="dxa"/>
            <w:tcBorders>
              <w:tl2br w:val="nil"/>
              <w:tr2bl w:val="nil"/>
            </w:tcBorders>
            <w:noWrap w:val="0"/>
            <w:vAlign w:val="center"/>
          </w:tcPr>
          <w:p w14:paraId="7A638D79">
            <w:pPr>
              <w:keepNext w:val="0"/>
              <w:keepLines w:val="0"/>
              <w:pageBreakBefore w:val="0"/>
              <w:shd w:val="clear"/>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根据投标人对所投标项采购需求分析、</w:t>
            </w:r>
            <w:r>
              <w:rPr>
                <w:rFonts w:hint="eastAsia" w:ascii="仿宋" w:hAnsi="仿宋" w:eastAsia="仿宋" w:cs="仿宋"/>
                <w:color w:val="auto"/>
                <w:sz w:val="24"/>
                <w:szCs w:val="24"/>
                <w:highlight w:val="none"/>
              </w:rPr>
              <w:t>现状的了解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val="en-US" w:eastAsia="zh-CN"/>
              </w:rPr>
              <w:t>学校</w:t>
            </w:r>
            <w:r>
              <w:rPr>
                <w:rFonts w:hint="eastAsia" w:ascii="仿宋" w:hAnsi="仿宋" w:eastAsia="仿宋" w:cs="仿宋"/>
                <w:color w:val="auto"/>
                <w:sz w:val="24"/>
                <w:szCs w:val="24"/>
                <w:highlight w:val="none"/>
              </w:rPr>
              <w:t>保安服务的难点、要点等问题</w:t>
            </w:r>
            <w:r>
              <w:rPr>
                <w:rFonts w:hint="eastAsia" w:ascii="仿宋" w:hAnsi="仿宋" w:eastAsia="仿宋" w:cs="仿宋"/>
                <w:color w:val="auto"/>
                <w:sz w:val="24"/>
                <w:szCs w:val="24"/>
                <w:highlight w:val="none"/>
                <w:lang w:val="en-US" w:eastAsia="zh-CN"/>
              </w:rPr>
              <w:t>进行</w:t>
            </w:r>
            <w:r>
              <w:rPr>
                <w:rFonts w:hint="eastAsia" w:ascii="仿宋" w:hAnsi="仿宋" w:eastAsia="仿宋" w:cs="仿宋"/>
                <w:color w:val="auto"/>
                <w:sz w:val="24"/>
                <w:szCs w:val="24"/>
                <w:highlight w:val="none"/>
              </w:rPr>
              <w:t>调查剖析，提出克服难点和要点的措施和方案</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科学性、全面性、可行性等进行综合评分。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评分分值范围0，0.2，…，5分，步长0.2</w:t>
            </w:r>
            <w:r>
              <w:rPr>
                <w:rFonts w:hint="eastAsia" w:ascii="仿宋" w:hAnsi="仿宋" w:eastAsia="仿宋" w:cs="仿宋"/>
                <w:color w:val="auto"/>
                <w:sz w:val="24"/>
                <w:szCs w:val="24"/>
                <w:highlight w:val="none"/>
                <w:lang w:eastAsia="zh-CN"/>
              </w:rPr>
              <w:t>）</w:t>
            </w:r>
          </w:p>
        </w:tc>
        <w:tc>
          <w:tcPr>
            <w:tcW w:w="780" w:type="dxa"/>
            <w:tcBorders>
              <w:tl2br w:val="nil"/>
              <w:tr2bl w:val="nil"/>
            </w:tcBorders>
            <w:noWrap w:val="0"/>
            <w:vAlign w:val="center"/>
          </w:tcPr>
          <w:p w14:paraId="26888F8E">
            <w:pPr>
              <w:keepNext w:val="0"/>
              <w:keepLines w:val="0"/>
              <w:pageBreakBefore w:val="0"/>
              <w:shd w:val="clear"/>
              <w:kinsoku/>
              <w:wordWrap/>
              <w:overflowPunct/>
              <w:topLinePunct w:val="0"/>
              <w:autoSpaceDE/>
              <w:autoSpaceDN/>
              <w:bidi w:val="0"/>
              <w:adjustRightInd/>
              <w:snapToGrid/>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5分</w:t>
            </w:r>
          </w:p>
        </w:tc>
      </w:tr>
      <w:tr w14:paraId="1F811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5" w:hRule="atLeast"/>
        </w:trPr>
        <w:tc>
          <w:tcPr>
            <w:tcW w:w="780" w:type="dxa"/>
            <w:tcBorders>
              <w:tl2br w:val="nil"/>
              <w:tr2bl w:val="nil"/>
            </w:tcBorders>
            <w:noWrap w:val="0"/>
            <w:vAlign w:val="center"/>
          </w:tcPr>
          <w:p w14:paraId="013BD3E0">
            <w:pPr>
              <w:keepNext w:val="0"/>
              <w:keepLines w:val="0"/>
              <w:pageBreakBefore w:val="0"/>
              <w:shd w:val="clear"/>
              <w:kinsoku/>
              <w:wordWrap/>
              <w:overflowPunct/>
              <w:topLinePunct w:val="0"/>
              <w:autoSpaceDE/>
              <w:autoSpaceDN/>
              <w:bidi w:val="0"/>
              <w:adjustRightInd/>
              <w:snapToGrid/>
              <w:spacing w:line="40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500" w:type="dxa"/>
            <w:tcBorders>
              <w:tl2br w:val="nil"/>
              <w:tr2bl w:val="nil"/>
            </w:tcBorders>
            <w:noWrap w:val="0"/>
            <w:vAlign w:val="center"/>
          </w:tcPr>
          <w:p w14:paraId="07DA6C40">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保险</w:t>
            </w:r>
          </w:p>
        </w:tc>
        <w:tc>
          <w:tcPr>
            <w:tcW w:w="6470" w:type="dxa"/>
            <w:tcBorders>
              <w:tl2br w:val="nil"/>
              <w:tr2bl w:val="nil"/>
            </w:tcBorders>
            <w:noWrap w:val="0"/>
            <w:vAlign w:val="center"/>
          </w:tcPr>
          <w:p w14:paraId="2D364EA7">
            <w:pPr>
              <w:keepNext w:val="0"/>
              <w:keepLines w:val="0"/>
              <w:pageBreakBefore w:val="0"/>
              <w:numPr>
                <w:ilvl w:val="0"/>
                <w:numId w:val="0"/>
              </w:numPr>
              <w:shd w:val="clear"/>
              <w:kinsoku/>
              <w:wordWrap/>
              <w:overflowPunct/>
              <w:topLinePunct w:val="0"/>
              <w:autoSpaceDE/>
              <w:autoSpaceDN/>
              <w:bidi w:val="0"/>
              <w:adjustRightInd/>
              <w:snapToGrid/>
              <w:spacing w:line="400" w:lineRule="exact"/>
              <w:ind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承诺拟派员工人身意外保险、第三方责任保险额度满足20万元的得1分，每增加5万元得1分，最高得3分。</w:t>
            </w:r>
            <w:r>
              <w:rPr>
                <w:rFonts w:hint="eastAsia" w:ascii="仿宋" w:hAnsi="仿宋" w:eastAsia="仿宋" w:cs="仿宋"/>
                <w:b/>
                <w:bCs/>
                <w:color w:val="auto"/>
                <w:sz w:val="24"/>
                <w:szCs w:val="24"/>
                <w:highlight w:val="none"/>
                <w:lang w:val="en-US" w:eastAsia="zh-CN"/>
              </w:rPr>
              <w:t>（提供承诺书并加盖CA签章。）</w:t>
            </w:r>
          </w:p>
        </w:tc>
        <w:tc>
          <w:tcPr>
            <w:tcW w:w="780" w:type="dxa"/>
            <w:tcBorders>
              <w:tl2br w:val="nil"/>
              <w:tr2bl w:val="nil"/>
            </w:tcBorders>
            <w:noWrap w:val="0"/>
            <w:vAlign w:val="center"/>
          </w:tcPr>
          <w:p w14:paraId="609D2EED">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w:t>
            </w:r>
          </w:p>
        </w:tc>
      </w:tr>
      <w:tr w14:paraId="1D0E6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55" w:hRule="atLeast"/>
        </w:trPr>
        <w:tc>
          <w:tcPr>
            <w:tcW w:w="780" w:type="dxa"/>
            <w:tcBorders>
              <w:tl2br w:val="nil"/>
              <w:tr2bl w:val="nil"/>
            </w:tcBorders>
            <w:noWrap w:val="0"/>
            <w:vAlign w:val="center"/>
          </w:tcPr>
          <w:p w14:paraId="390A08AD">
            <w:pPr>
              <w:keepNext w:val="0"/>
              <w:keepLines w:val="0"/>
              <w:pageBreakBefore w:val="0"/>
              <w:shd w:val="clear"/>
              <w:kinsoku/>
              <w:wordWrap/>
              <w:overflowPunct/>
              <w:topLinePunct w:val="0"/>
              <w:autoSpaceDE/>
              <w:autoSpaceDN/>
              <w:bidi w:val="0"/>
              <w:adjustRightInd/>
              <w:snapToGrid/>
              <w:spacing w:line="40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500" w:type="dxa"/>
            <w:tcBorders>
              <w:tl2br w:val="nil"/>
              <w:tr2bl w:val="nil"/>
            </w:tcBorders>
            <w:noWrap w:val="0"/>
            <w:vAlign w:val="center"/>
          </w:tcPr>
          <w:p w14:paraId="4D116833">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rPr>
              <w:t>安全保卫工作 整体</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方案</w:t>
            </w:r>
          </w:p>
        </w:tc>
        <w:tc>
          <w:tcPr>
            <w:tcW w:w="6470" w:type="dxa"/>
            <w:tcBorders>
              <w:tl2br w:val="nil"/>
              <w:tr2bl w:val="nil"/>
            </w:tcBorders>
            <w:noWrap w:val="0"/>
            <w:vAlign w:val="center"/>
          </w:tcPr>
          <w:p w14:paraId="3EA51994">
            <w:pPr>
              <w:keepNext w:val="0"/>
              <w:keepLines w:val="0"/>
              <w:pageBreakBefore w:val="0"/>
              <w:shd w:val="clear"/>
              <w:kinsoku/>
              <w:wordWrap/>
              <w:overflowPunct/>
              <w:topLinePunct w:val="0"/>
              <w:autoSpaceDE/>
              <w:autoSpaceDN/>
              <w:bidi w:val="0"/>
              <w:adjustRightInd/>
              <w:snapToGrid/>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根据投标人提供的完整的安全保卫工作整体方案、人员调度计划、值班轮休计划</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具体措施进行打分。</w:t>
            </w:r>
          </w:p>
          <w:p w14:paraId="5A729D83">
            <w:pPr>
              <w:keepNext w:val="0"/>
              <w:keepLines w:val="0"/>
              <w:pageBreakBefore w:val="0"/>
              <w:numPr>
                <w:ilvl w:val="0"/>
                <w:numId w:val="8"/>
              </w:numPr>
              <w:shd w:val="clear"/>
              <w:kinsoku/>
              <w:wordWrap/>
              <w:overflowPunct/>
              <w:topLinePunct w:val="0"/>
              <w:autoSpaceDE/>
              <w:autoSpaceDN/>
              <w:bidi w:val="0"/>
              <w:adjustRightInd/>
              <w:snapToGrid/>
              <w:spacing w:line="4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安保整体方案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评分分值范围0，0.2，…，2分，步长0.2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p>
          <w:p w14:paraId="585CA7A6">
            <w:pPr>
              <w:keepNext w:val="0"/>
              <w:keepLines w:val="0"/>
              <w:pageBreakBefore w:val="0"/>
              <w:numPr>
                <w:ilvl w:val="0"/>
                <w:numId w:val="8"/>
              </w:numPr>
              <w:shd w:val="clear"/>
              <w:kinsoku/>
              <w:wordWrap/>
              <w:overflowPunct/>
              <w:topLinePunct w:val="0"/>
              <w:autoSpaceDE/>
              <w:autoSpaceDN/>
              <w:bidi w:val="0"/>
              <w:adjustRightInd/>
              <w:snapToGrid/>
              <w:spacing w:line="400" w:lineRule="exact"/>
              <w:ind w:left="0" w:lef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人员调度计划</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评分分值范围0，0.2，…，2分，步长0.2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p>
          <w:p w14:paraId="2A705826">
            <w:pPr>
              <w:keepNext w:val="0"/>
              <w:keepLines w:val="0"/>
              <w:pageBreakBefore w:val="0"/>
              <w:numPr>
                <w:ilvl w:val="0"/>
                <w:numId w:val="8"/>
              </w:numPr>
              <w:shd w:val="clear"/>
              <w:kinsoku/>
              <w:wordWrap/>
              <w:overflowPunct/>
              <w:topLinePunct w:val="0"/>
              <w:autoSpaceDE/>
              <w:autoSpaceDN/>
              <w:bidi w:val="0"/>
              <w:adjustRightInd/>
              <w:snapToGrid/>
              <w:spacing w:line="400" w:lineRule="exact"/>
              <w:ind w:left="0" w:lef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值班轮休计划</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评分分值范围0，0.2，…，2分，步长0.2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p>
          <w:p w14:paraId="5A43A5A0">
            <w:pPr>
              <w:keepNext w:val="0"/>
              <w:keepLines w:val="0"/>
              <w:pageBreakBefore w:val="0"/>
              <w:numPr>
                <w:ilvl w:val="0"/>
                <w:numId w:val="8"/>
              </w:numPr>
              <w:shd w:val="clear"/>
              <w:kinsoku/>
              <w:wordWrap/>
              <w:overflowPunct/>
              <w:topLinePunct w:val="0"/>
              <w:autoSpaceDE/>
              <w:autoSpaceDN/>
              <w:bidi w:val="0"/>
              <w:adjustRightInd/>
              <w:snapToGrid/>
              <w:spacing w:line="400" w:lineRule="exact"/>
              <w:ind w:left="0" w:leftChars="0"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巡查制度、路线安排</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评分分值范围0，0.2，…，2分，步长0.2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p>
        </w:tc>
        <w:tc>
          <w:tcPr>
            <w:tcW w:w="780" w:type="dxa"/>
            <w:tcBorders>
              <w:tl2br w:val="nil"/>
              <w:tr2bl w:val="nil"/>
            </w:tcBorders>
            <w:noWrap w:val="0"/>
            <w:vAlign w:val="center"/>
          </w:tcPr>
          <w:p w14:paraId="7AA0F04E">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8分</w:t>
            </w:r>
          </w:p>
        </w:tc>
      </w:tr>
      <w:tr w14:paraId="5DC6D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55" w:hRule="atLeast"/>
        </w:trPr>
        <w:tc>
          <w:tcPr>
            <w:tcW w:w="780" w:type="dxa"/>
            <w:tcBorders>
              <w:tl2br w:val="nil"/>
              <w:tr2bl w:val="nil"/>
            </w:tcBorders>
            <w:noWrap w:val="0"/>
            <w:vAlign w:val="center"/>
          </w:tcPr>
          <w:p w14:paraId="3C73AEC1">
            <w:pPr>
              <w:keepNext w:val="0"/>
              <w:keepLines w:val="0"/>
              <w:pageBreakBefore w:val="0"/>
              <w:shd w:val="clear"/>
              <w:kinsoku/>
              <w:wordWrap/>
              <w:overflowPunct/>
              <w:topLinePunct w:val="0"/>
              <w:autoSpaceDE/>
              <w:autoSpaceDN/>
              <w:bidi w:val="0"/>
              <w:adjustRightInd/>
              <w:snapToGrid/>
              <w:spacing w:line="40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1500" w:type="dxa"/>
            <w:tcBorders>
              <w:tl2br w:val="nil"/>
              <w:tr2bl w:val="nil"/>
            </w:tcBorders>
            <w:noWrap w:val="0"/>
            <w:vAlign w:val="center"/>
          </w:tcPr>
          <w:p w14:paraId="158EF989">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保安服务方案</w:t>
            </w:r>
          </w:p>
        </w:tc>
        <w:tc>
          <w:tcPr>
            <w:tcW w:w="6470" w:type="dxa"/>
            <w:tcBorders>
              <w:tl2br w:val="nil"/>
              <w:tr2bl w:val="nil"/>
            </w:tcBorders>
            <w:noWrap w:val="0"/>
            <w:vAlign w:val="center"/>
          </w:tcPr>
          <w:p w14:paraId="1EDEA1D3">
            <w:pPr>
              <w:keepNext w:val="0"/>
              <w:keepLines w:val="0"/>
              <w:pageBreakBefore w:val="0"/>
              <w:numPr>
                <w:ilvl w:val="0"/>
                <w:numId w:val="0"/>
              </w:numPr>
              <w:shd w:val="clear"/>
              <w:kinsoku/>
              <w:wordWrap/>
              <w:overflowPunct/>
              <w:topLinePunct w:val="0"/>
              <w:autoSpaceDE/>
              <w:autoSpaceDN/>
              <w:bidi w:val="0"/>
              <w:adjustRightInd/>
              <w:snapToGrid/>
              <w:spacing w:line="4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w:t>
            </w:r>
            <w:r>
              <w:rPr>
                <w:rFonts w:hint="eastAsia" w:ascii="仿宋" w:hAnsi="仿宋" w:eastAsia="仿宋" w:cs="仿宋"/>
                <w:color w:val="auto"/>
                <w:sz w:val="24"/>
                <w:szCs w:val="24"/>
                <w:highlight w:val="none"/>
              </w:rPr>
              <w:t>据投标人提供的保安服务方案（包括但不限于岗位服务内容、 保安服务标准化方案，以及操作规程、演练、演习等内容）</w:t>
            </w:r>
            <w:r>
              <w:rPr>
                <w:rFonts w:hint="eastAsia" w:ascii="仿宋" w:hAnsi="仿宋" w:eastAsia="仿宋" w:cs="仿宋"/>
                <w:color w:val="auto"/>
                <w:sz w:val="24"/>
                <w:szCs w:val="24"/>
                <w:highlight w:val="none"/>
                <w:lang w:val="en-US" w:eastAsia="zh-CN"/>
              </w:rPr>
              <w:t>进</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行</w:t>
            </w:r>
            <w:r>
              <w:rPr>
                <w:rFonts w:hint="eastAsia" w:ascii="仿宋" w:hAnsi="仿宋" w:eastAsia="仿宋" w:cs="仿宋"/>
                <w:color w:val="auto"/>
                <w:sz w:val="24"/>
                <w:szCs w:val="24"/>
                <w:highlight w:val="none"/>
              </w:rPr>
              <w:t>综合打分</w:t>
            </w:r>
            <w:r>
              <w:rPr>
                <w:rFonts w:hint="eastAsia" w:ascii="仿宋" w:hAnsi="仿宋" w:eastAsia="仿宋" w:cs="仿宋"/>
                <w:color w:val="auto"/>
                <w:sz w:val="24"/>
                <w:szCs w:val="24"/>
                <w:highlight w:val="none"/>
                <w:lang w:eastAsia="zh-CN"/>
              </w:rPr>
              <w:t>：</w:t>
            </w:r>
          </w:p>
          <w:p w14:paraId="27887E1F">
            <w:pPr>
              <w:keepNext w:val="0"/>
              <w:keepLines w:val="0"/>
              <w:pageBreakBefore w:val="0"/>
              <w:numPr>
                <w:ilvl w:val="0"/>
                <w:numId w:val="0"/>
              </w:numPr>
              <w:shd w:val="clear"/>
              <w:kinsoku/>
              <w:wordWrap/>
              <w:overflowPunct/>
              <w:topLinePunct w:val="0"/>
              <w:autoSpaceDE/>
              <w:autoSpaceDN/>
              <w:bidi w:val="0"/>
              <w:adjustRightInd/>
              <w:snapToGrid/>
              <w:spacing w:line="4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（1）保安岗位服务内容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评分分值范围0，0.2，…，2分，步长0.2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p>
          <w:p w14:paraId="60C2E709">
            <w:pPr>
              <w:keepNext w:val="0"/>
              <w:keepLines w:val="0"/>
              <w:pageBreakBefore w:val="0"/>
              <w:numPr>
                <w:ilvl w:val="0"/>
                <w:numId w:val="0"/>
              </w:numPr>
              <w:shd w:val="clear"/>
              <w:kinsoku/>
              <w:wordWrap/>
              <w:overflowPunct/>
              <w:topLinePunct w:val="0"/>
              <w:autoSpaceDE/>
              <w:autoSpaceDN/>
              <w:bidi w:val="0"/>
              <w:adjustRightInd/>
              <w:snapToGrid/>
              <w:spacing w:line="400" w:lineRule="exact"/>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（2）保安服务标准化方案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评分分值范围0，0.2，…，2分，步长0.2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p>
          <w:p w14:paraId="77EBE083">
            <w:pPr>
              <w:keepNext w:val="0"/>
              <w:keepLines w:val="0"/>
              <w:pageBreakBefore w:val="0"/>
              <w:shd w:val="clear"/>
              <w:kinsoku/>
              <w:wordWrap/>
              <w:overflowPunct/>
              <w:topLinePunct w:val="0"/>
              <w:autoSpaceDE/>
              <w:autoSpaceDN/>
              <w:bidi w:val="0"/>
              <w:adjustRightInd/>
              <w:snapToGrid/>
              <w:spacing w:line="4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（3）保安操作规程、演练、演习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评分分值范围0，0.2，…，2分，步长0.2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p>
        </w:tc>
        <w:tc>
          <w:tcPr>
            <w:tcW w:w="780" w:type="dxa"/>
            <w:tcBorders>
              <w:tl2br w:val="nil"/>
              <w:tr2bl w:val="nil"/>
            </w:tcBorders>
            <w:noWrap w:val="0"/>
            <w:vAlign w:val="center"/>
          </w:tcPr>
          <w:p w14:paraId="2EB4C038">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6分</w:t>
            </w:r>
          </w:p>
        </w:tc>
      </w:tr>
      <w:tr w14:paraId="2C728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trPr>
        <w:tc>
          <w:tcPr>
            <w:tcW w:w="780" w:type="dxa"/>
            <w:tcBorders>
              <w:tl2br w:val="nil"/>
              <w:tr2bl w:val="nil"/>
            </w:tcBorders>
            <w:noWrap w:val="0"/>
            <w:vAlign w:val="center"/>
          </w:tcPr>
          <w:p w14:paraId="70D3780A">
            <w:pPr>
              <w:keepNext w:val="0"/>
              <w:keepLines w:val="0"/>
              <w:pageBreakBefore w:val="0"/>
              <w:shd w:val="clear"/>
              <w:kinsoku/>
              <w:wordWrap/>
              <w:overflowPunct/>
              <w:topLinePunct w:val="0"/>
              <w:autoSpaceDE/>
              <w:autoSpaceDN/>
              <w:bidi w:val="0"/>
              <w:adjustRightInd/>
              <w:snapToGrid/>
              <w:spacing w:line="40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w:t>
            </w:r>
          </w:p>
        </w:tc>
        <w:tc>
          <w:tcPr>
            <w:tcW w:w="1500" w:type="dxa"/>
            <w:tcBorders>
              <w:tl2br w:val="nil"/>
              <w:tr2bl w:val="nil"/>
            </w:tcBorders>
            <w:noWrap w:val="0"/>
            <w:vAlign w:val="center"/>
          </w:tcPr>
          <w:p w14:paraId="0FF50FDC">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内控制度</w:t>
            </w:r>
          </w:p>
        </w:tc>
        <w:tc>
          <w:tcPr>
            <w:tcW w:w="6470" w:type="dxa"/>
            <w:tcBorders>
              <w:tl2br w:val="nil"/>
              <w:tr2bl w:val="nil"/>
            </w:tcBorders>
            <w:noWrap w:val="0"/>
            <w:vAlign w:val="center"/>
          </w:tcPr>
          <w:p w14:paraId="1DA5D8D7">
            <w:pPr>
              <w:keepNext w:val="0"/>
              <w:keepLines w:val="0"/>
              <w:pageBreakBefore w:val="0"/>
              <w:shd w:val="clear"/>
              <w:kinsoku/>
              <w:wordWrap/>
              <w:overflowPunct/>
              <w:topLinePunct w:val="0"/>
              <w:autoSpaceDE/>
              <w:autoSpaceDN/>
              <w:bidi w:val="0"/>
              <w:adjustRightInd/>
              <w:snapToGrid/>
              <w:spacing w:line="400" w:lineRule="exact"/>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根据投标人的各项制度（包括服务人员的招聘、员工岗位责任制；劳动纪律；各级各类人员奖惩制度；各项目检查、考核制度；各类人员规范制度等）进行</w:t>
            </w:r>
            <w:r>
              <w:rPr>
                <w:rFonts w:hint="eastAsia" w:ascii="仿宋" w:hAnsi="仿宋" w:eastAsia="仿宋" w:cs="仿宋"/>
                <w:color w:val="auto"/>
                <w:sz w:val="24"/>
                <w:szCs w:val="24"/>
                <w:highlight w:val="none"/>
                <w:lang w:val="en-US" w:eastAsia="zh-CN"/>
              </w:rPr>
              <w:t>综合评分</w:t>
            </w:r>
            <w:r>
              <w:rPr>
                <w:rFonts w:hint="eastAsia" w:ascii="仿宋" w:hAnsi="仿宋" w:eastAsia="仿宋" w:cs="仿宋"/>
                <w:color w:val="auto"/>
                <w:sz w:val="24"/>
                <w:szCs w:val="24"/>
                <w:highlight w:val="none"/>
                <w:lang w:val="zh-CN"/>
              </w:rPr>
              <w:t>：</w:t>
            </w:r>
          </w:p>
          <w:p w14:paraId="71815CE3">
            <w:pPr>
              <w:keepNext w:val="0"/>
              <w:keepLines w:val="0"/>
              <w:pageBreakBefore w:val="0"/>
              <w:numPr>
                <w:ilvl w:val="0"/>
                <w:numId w:val="0"/>
              </w:numPr>
              <w:shd w:val="clear"/>
              <w:kinsoku/>
              <w:wordWrap/>
              <w:overflowPunct/>
              <w:topLinePunct w:val="0"/>
              <w:autoSpaceDE/>
              <w:autoSpaceDN/>
              <w:bidi w:val="0"/>
              <w:adjustRightInd/>
              <w:snapToGrid/>
              <w:spacing w:line="4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（1）人员招聘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评分分值范围0，0.2，…，1分，步长0.2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p>
          <w:p w14:paraId="5B92E034">
            <w:pPr>
              <w:keepNext w:val="0"/>
              <w:keepLines w:val="0"/>
              <w:pageBreakBefore w:val="0"/>
              <w:numPr>
                <w:ilvl w:val="0"/>
                <w:numId w:val="0"/>
              </w:numPr>
              <w:shd w:val="clear"/>
              <w:kinsoku/>
              <w:wordWrap/>
              <w:overflowPunct/>
              <w:topLinePunct w:val="0"/>
              <w:autoSpaceDE/>
              <w:autoSpaceDN/>
              <w:bidi w:val="0"/>
              <w:adjustRightInd/>
              <w:snapToGrid/>
              <w:spacing w:line="400" w:lineRule="exact"/>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（2）员工岗位责任制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评分分值范围0，0.2，…，1分，步长0.2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p>
          <w:p w14:paraId="28C3B3FB">
            <w:pPr>
              <w:keepNext w:val="0"/>
              <w:keepLines w:val="0"/>
              <w:pageBreakBefore w:val="0"/>
              <w:numPr>
                <w:ilvl w:val="0"/>
                <w:numId w:val="0"/>
              </w:numPr>
              <w:shd w:val="clear"/>
              <w:kinsoku/>
              <w:wordWrap/>
              <w:overflowPunct/>
              <w:topLinePunct w:val="0"/>
              <w:autoSpaceDE/>
              <w:autoSpaceDN/>
              <w:bidi w:val="0"/>
              <w:adjustRightInd/>
              <w:snapToGrid/>
              <w:spacing w:line="400" w:lineRule="exact"/>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（3）各级各类人员奖惩制度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评分分值范围0，0.2，…，1分，步长0.2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p>
          <w:p w14:paraId="3693E3A7">
            <w:pPr>
              <w:keepNext w:val="0"/>
              <w:keepLines w:val="0"/>
              <w:pageBreakBefore w:val="0"/>
              <w:numPr>
                <w:ilvl w:val="0"/>
                <w:numId w:val="0"/>
              </w:numPr>
              <w:shd w:val="clear"/>
              <w:kinsoku/>
              <w:wordWrap/>
              <w:overflowPunct/>
              <w:topLinePunct w:val="0"/>
              <w:autoSpaceDE/>
              <w:autoSpaceDN/>
              <w:bidi w:val="0"/>
              <w:adjustRightInd/>
              <w:snapToGrid/>
              <w:spacing w:line="400" w:lineRule="exact"/>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（4）检查、考核制度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评分分值范围0，0.2，…，1分，步长0.2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p>
          <w:p w14:paraId="723C98C3">
            <w:pPr>
              <w:keepNext w:val="0"/>
              <w:keepLines w:val="0"/>
              <w:pageBreakBefore w:val="0"/>
              <w:numPr>
                <w:ilvl w:val="0"/>
                <w:numId w:val="0"/>
              </w:numPr>
              <w:shd w:val="clear"/>
              <w:kinsoku/>
              <w:wordWrap/>
              <w:overflowPunct/>
              <w:topLinePunct w:val="0"/>
              <w:autoSpaceDE/>
              <w:autoSpaceDN/>
              <w:bidi w:val="0"/>
              <w:adjustRightInd/>
              <w:snapToGrid/>
              <w:spacing w:line="400" w:lineRule="exact"/>
              <w:ind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（5）各类人员规范制度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评分分值范围0，0.2，…，1分，步长0.2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p>
        </w:tc>
        <w:tc>
          <w:tcPr>
            <w:tcW w:w="780" w:type="dxa"/>
            <w:tcBorders>
              <w:tl2br w:val="nil"/>
              <w:tr2bl w:val="nil"/>
            </w:tcBorders>
            <w:noWrap w:val="0"/>
            <w:vAlign w:val="center"/>
          </w:tcPr>
          <w:p w14:paraId="7D106BB8">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分</w:t>
            </w:r>
          </w:p>
        </w:tc>
      </w:tr>
      <w:tr w14:paraId="59CE1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trPr>
        <w:tc>
          <w:tcPr>
            <w:tcW w:w="780" w:type="dxa"/>
            <w:tcBorders>
              <w:tl2br w:val="nil"/>
              <w:tr2bl w:val="nil"/>
            </w:tcBorders>
            <w:noWrap w:val="0"/>
            <w:vAlign w:val="center"/>
          </w:tcPr>
          <w:p w14:paraId="409DE89C">
            <w:pPr>
              <w:keepNext w:val="0"/>
              <w:keepLines w:val="0"/>
              <w:pageBreakBefore w:val="0"/>
              <w:shd w:val="clear"/>
              <w:kinsoku/>
              <w:wordWrap/>
              <w:overflowPunct/>
              <w:topLinePunct w:val="0"/>
              <w:autoSpaceDE/>
              <w:autoSpaceDN/>
              <w:bidi w:val="0"/>
              <w:adjustRightInd/>
              <w:snapToGrid/>
              <w:spacing w:line="40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w:t>
            </w:r>
          </w:p>
        </w:tc>
        <w:tc>
          <w:tcPr>
            <w:tcW w:w="1500" w:type="dxa"/>
            <w:tcBorders>
              <w:tl2br w:val="nil"/>
              <w:tr2bl w:val="nil"/>
            </w:tcBorders>
            <w:noWrap w:val="0"/>
            <w:vAlign w:val="center"/>
          </w:tcPr>
          <w:p w14:paraId="7412F791">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服务质量保证措施及安全措施</w:t>
            </w:r>
          </w:p>
        </w:tc>
        <w:tc>
          <w:tcPr>
            <w:tcW w:w="6470" w:type="dxa"/>
            <w:tcBorders>
              <w:tl2br w:val="nil"/>
              <w:tr2bl w:val="nil"/>
            </w:tcBorders>
            <w:noWrap w:val="0"/>
            <w:vAlign w:val="center"/>
          </w:tcPr>
          <w:p w14:paraId="2025CD30">
            <w:pPr>
              <w:keepNext w:val="0"/>
              <w:keepLines w:val="0"/>
              <w:pageBreakBefore w:val="0"/>
              <w:shd w:val="clear"/>
              <w:kinsoku/>
              <w:wordWrap/>
              <w:overflowPunct/>
              <w:topLinePunct w:val="0"/>
              <w:autoSpaceDE/>
              <w:autoSpaceDN/>
              <w:bidi w:val="0"/>
              <w:adjustRightInd/>
              <w:snapToGrid/>
              <w:spacing w:line="4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根据投标人提供的</w:t>
            </w:r>
            <w:r>
              <w:rPr>
                <w:rFonts w:hint="eastAsia" w:ascii="仿宋" w:hAnsi="仿宋" w:eastAsia="仿宋" w:cs="仿宋"/>
                <w:color w:val="auto"/>
                <w:sz w:val="24"/>
                <w:szCs w:val="24"/>
                <w:highlight w:val="none"/>
              </w:rPr>
              <w:t>服务质量保证措施、安全生产措施</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综合评分:</w:t>
            </w:r>
          </w:p>
          <w:p w14:paraId="3AFD985F">
            <w:pPr>
              <w:keepNext w:val="0"/>
              <w:keepLines w:val="0"/>
              <w:pageBreakBefore w:val="0"/>
              <w:numPr>
                <w:ilvl w:val="0"/>
                <w:numId w:val="9"/>
              </w:numPr>
              <w:shd w:val="clear"/>
              <w:kinsoku/>
              <w:wordWrap/>
              <w:overflowPunct/>
              <w:topLinePunct w:val="0"/>
              <w:autoSpaceDE/>
              <w:autoSpaceDN/>
              <w:bidi w:val="0"/>
              <w:adjustRightInd/>
              <w:snapToGrid/>
              <w:spacing w:line="400" w:lineRule="exact"/>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服务质量保证措施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评分分值范围0，0.2，…，3分，步长0.2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p>
          <w:p w14:paraId="6D92B86B">
            <w:pPr>
              <w:keepNext w:val="0"/>
              <w:keepLines w:val="0"/>
              <w:pageBreakBefore w:val="0"/>
              <w:numPr>
                <w:ilvl w:val="0"/>
                <w:numId w:val="0"/>
              </w:numPr>
              <w:shd w:val="clear"/>
              <w:kinsoku/>
              <w:wordWrap/>
              <w:overflowPunct/>
              <w:topLinePunct w:val="0"/>
              <w:autoSpaceDE/>
              <w:autoSpaceDN/>
              <w:bidi w:val="0"/>
              <w:adjustRightInd/>
              <w:snapToGrid/>
              <w:spacing w:line="40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（2）安全服务措施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评分分值范围0，0.2，…，3分，步长0.2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p>
        </w:tc>
        <w:tc>
          <w:tcPr>
            <w:tcW w:w="780" w:type="dxa"/>
            <w:tcBorders>
              <w:tl2br w:val="nil"/>
              <w:tr2bl w:val="nil"/>
            </w:tcBorders>
            <w:noWrap w:val="0"/>
            <w:vAlign w:val="center"/>
          </w:tcPr>
          <w:p w14:paraId="56DFC3B3">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分</w:t>
            </w:r>
          </w:p>
        </w:tc>
      </w:tr>
      <w:tr w14:paraId="6F7A0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5" w:hRule="atLeast"/>
        </w:trPr>
        <w:tc>
          <w:tcPr>
            <w:tcW w:w="780" w:type="dxa"/>
            <w:tcBorders>
              <w:tl2br w:val="nil"/>
              <w:tr2bl w:val="nil"/>
            </w:tcBorders>
            <w:noWrap w:val="0"/>
            <w:vAlign w:val="center"/>
          </w:tcPr>
          <w:p w14:paraId="55C95C04">
            <w:pPr>
              <w:keepNext w:val="0"/>
              <w:keepLines w:val="0"/>
              <w:pageBreakBefore w:val="0"/>
              <w:shd w:val="clear"/>
              <w:kinsoku/>
              <w:wordWrap/>
              <w:overflowPunct/>
              <w:topLinePunct w:val="0"/>
              <w:autoSpaceDE/>
              <w:autoSpaceDN/>
              <w:bidi w:val="0"/>
              <w:adjustRightInd/>
              <w:snapToGrid/>
              <w:spacing w:line="40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13</w:t>
            </w:r>
          </w:p>
        </w:tc>
        <w:tc>
          <w:tcPr>
            <w:tcW w:w="1500" w:type="dxa"/>
            <w:tcBorders>
              <w:tl2br w:val="nil"/>
              <w:tr2bl w:val="nil"/>
            </w:tcBorders>
            <w:noWrap w:val="0"/>
            <w:vAlign w:val="center"/>
          </w:tcPr>
          <w:p w14:paraId="5A867F7F">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培训方案</w:t>
            </w:r>
          </w:p>
        </w:tc>
        <w:tc>
          <w:tcPr>
            <w:tcW w:w="6470" w:type="dxa"/>
            <w:tcBorders>
              <w:tl2br w:val="nil"/>
              <w:tr2bl w:val="nil"/>
            </w:tcBorders>
            <w:noWrap w:val="0"/>
            <w:vAlign w:val="center"/>
          </w:tcPr>
          <w:p w14:paraId="2F671000">
            <w:pPr>
              <w:keepNext w:val="0"/>
              <w:keepLines w:val="0"/>
              <w:pageBreakBefore w:val="0"/>
              <w:shd w:val="clea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zh-CN"/>
              </w:rPr>
              <w:t>根据投标人提供的培训方案（</w:t>
            </w:r>
            <w:r>
              <w:rPr>
                <w:rFonts w:hint="eastAsia" w:ascii="仿宋" w:hAnsi="仿宋" w:eastAsia="仿宋" w:cs="仿宋"/>
                <w:color w:val="auto"/>
                <w:kern w:val="0"/>
                <w:sz w:val="24"/>
                <w:szCs w:val="24"/>
                <w:highlight w:val="none"/>
                <w:lang w:val="en-US" w:eastAsia="zh-CN"/>
              </w:rPr>
              <w:t>包括培训时间、地点、培训对象、培训方式、培训讲师的经验、资质</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等</w:t>
            </w:r>
            <w:r>
              <w:rPr>
                <w:rFonts w:hint="eastAsia" w:ascii="仿宋" w:hAnsi="仿宋" w:eastAsia="仿宋" w:cs="仿宋"/>
                <w:color w:val="auto"/>
                <w:kern w:val="0"/>
                <w:sz w:val="24"/>
                <w:szCs w:val="24"/>
                <w:highlight w:val="none"/>
                <w:lang w:val="zh-CN"/>
              </w:rPr>
              <w:t>的科学性、全面性、合理性等进行</w:t>
            </w:r>
            <w:r>
              <w:rPr>
                <w:rFonts w:hint="eastAsia" w:ascii="仿宋" w:hAnsi="仿宋" w:eastAsia="仿宋" w:cs="仿宋"/>
                <w:color w:val="auto"/>
                <w:kern w:val="0"/>
                <w:sz w:val="24"/>
                <w:szCs w:val="24"/>
                <w:highlight w:val="none"/>
                <w:lang w:val="en-US" w:eastAsia="zh-CN"/>
              </w:rPr>
              <w:t>综合评分</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评分分值范围0，0.2，…，5分，步长0.2</w:t>
            </w:r>
            <w:r>
              <w:rPr>
                <w:rFonts w:hint="eastAsia" w:ascii="仿宋" w:hAnsi="仿宋" w:eastAsia="仿宋" w:cs="仿宋"/>
                <w:color w:val="auto"/>
                <w:sz w:val="24"/>
                <w:szCs w:val="24"/>
                <w:highlight w:val="none"/>
                <w:lang w:eastAsia="zh-CN"/>
              </w:rPr>
              <w:t>）</w:t>
            </w:r>
          </w:p>
        </w:tc>
        <w:tc>
          <w:tcPr>
            <w:tcW w:w="780" w:type="dxa"/>
            <w:tcBorders>
              <w:tl2br w:val="nil"/>
              <w:tr2bl w:val="nil"/>
            </w:tcBorders>
            <w:noWrap w:val="0"/>
            <w:vAlign w:val="center"/>
          </w:tcPr>
          <w:p w14:paraId="24D41770">
            <w:pPr>
              <w:keepNext w:val="0"/>
              <w:keepLines w:val="0"/>
              <w:pageBreakBefore w:val="0"/>
              <w:shd w:val="clear"/>
              <w:kinsoku/>
              <w:wordWrap/>
              <w:overflowPunct/>
              <w:topLinePunct w:val="0"/>
              <w:autoSpaceDE/>
              <w:autoSpaceDN/>
              <w:bidi w:val="0"/>
              <w:adjustRightInd/>
              <w:snapToGrid/>
              <w:spacing w:line="40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5分</w:t>
            </w:r>
          </w:p>
        </w:tc>
      </w:tr>
      <w:tr w14:paraId="3AD26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5" w:hRule="atLeast"/>
        </w:trPr>
        <w:tc>
          <w:tcPr>
            <w:tcW w:w="780" w:type="dxa"/>
            <w:tcBorders>
              <w:tl2br w:val="nil"/>
              <w:tr2bl w:val="nil"/>
            </w:tcBorders>
            <w:noWrap w:val="0"/>
            <w:vAlign w:val="center"/>
          </w:tcPr>
          <w:p w14:paraId="38C527D4">
            <w:pPr>
              <w:keepNext w:val="0"/>
              <w:keepLines w:val="0"/>
              <w:pageBreakBefore w:val="0"/>
              <w:shd w:val="clear"/>
              <w:kinsoku/>
              <w:wordWrap/>
              <w:overflowPunct/>
              <w:topLinePunct w:val="0"/>
              <w:autoSpaceDE/>
              <w:autoSpaceDN/>
              <w:bidi w:val="0"/>
              <w:adjustRightInd/>
              <w:snapToGrid/>
              <w:spacing w:line="40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14</w:t>
            </w:r>
          </w:p>
        </w:tc>
        <w:tc>
          <w:tcPr>
            <w:tcW w:w="1500" w:type="dxa"/>
            <w:tcBorders>
              <w:tl2br w:val="nil"/>
              <w:tr2bl w:val="nil"/>
            </w:tcBorders>
            <w:noWrap w:val="0"/>
            <w:vAlign w:val="center"/>
          </w:tcPr>
          <w:p w14:paraId="23C751FD">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台账管理</w:t>
            </w:r>
          </w:p>
        </w:tc>
        <w:tc>
          <w:tcPr>
            <w:tcW w:w="6470" w:type="dxa"/>
            <w:tcBorders>
              <w:tl2br w:val="nil"/>
              <w:tr2bl w:val="nil"/>
            </w:tcBorders>
            <w:noWrap w:val="0"/>
            <w:vAlign w:val="center"/>
          </w:tcPr>
          <w:p w14:paraId="4CBC9F60">
            <w:pPr>
              <w:keepNext w:val="0"/>
              <w:keepLines w:val="0"/>
              <w:pageBreakBefore w:val="0"/>
              <w:numPr>
                <w:ilvl w:val="0"/>
                <w:numId w:val="0"/>
              </w:numPr>
              <w:shd w:val="clear"/>
              <w:kinsoku/>
              <w:wordWrap/>
              <w:overflowPunct/>
              <w:topLinePunct w:val="0"/>
              <w:autoSpaceDE/>
              <w:autoSpaceDN/>
              <w:bidi w:val="0"/>
              <w:adjustRightInd/>
              <w:snapToGrid/>
              <w:spacing w:line="400" w:lineRule="exact"/>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根据投标人提供的针对相关服务的台账的记录、管理、存档等进行综合评分。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评分分值范围0，0.2，…，3分，步长0.2</w:t>
            </w:r>
            <w:r>
              <w:rPr>
                <w:rFonts w:hint="eastAsia" w:ascii="仿宋" w:hAnsi="仿宋" w:eastAsia="仿宋" w:cs="仿宋"/>
                <w:color w:val="auto"/>
                <w:sz w:val="24"/>
                <w:szCs w:val="24"/>
                <w:highlight w:val="none"/>
                <w:lang w:eastAsia="zh-CN"/>
              </w:rPr>
              <w:t>）</w:t>
            </w:r>
          </w:p>
        </w:tc>
        <w:tc>
          <w:tcPr>
            <w:tcW w:w="780" w:type="dxa"/>
            <w:tcBorders>
              <w:tl2br w:val="nil"/>
              <w:tr2bl w:val="nil"/>
            </w:tcBorders>
            <w:noWrap w:val="0"/>
            <w:vAlign w:val="center"/>
          </w:tcPr>
          <w:p w14:paraId="0FB3EAB8">
            <w:pPr>
              <w:keepNext w:val="0"/>
              <w:keepLines w:val="0"/>
              <w:pageBreakBefore w:val="0"/>
              <w:shd w:val="clear"/>
              <w:kinsoku/>
              <w:wordWrap/>
              <w:overflowPunct/>
              <w:topLinePunct w:val="0"/>
              <w:autoSpaceDE/>
              <w:autoSpaceDN/>
              <w:bidi w:val="0"/>
              <w:adjustRightInd/>
              <w:snapToGrid/>
              <w:spacing w:line="40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3分</w:t>
            </w:r>
          </w:p>
        </w:tc>
      </w:tr>
      <w:tr w14:paraId="4255E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5" w:hRule="atLeast"/>
        </w:trPr>
        <w:tc>
          <w:tcPr>
            <w:tcW w:w="780" w:type="dxa"/>
            <w:tcBorders>
              <w:tl2br w:val="nil"/>
              <w:tr2bl w:val="nil"/>
            </w:tcBorders>
            <w:noWrap w:val="0"/>
            <w:vAlign w:val="center"/>
          </w:tcPr>
          <w:p w14:paraId="35FE3C21">
            <w:pPr>
              <w:keepNext w:val="0"/>
              <w:keepLines w:val="0"/>
              <w:pageBreakBefore w:val="0"/>
              <w:shd w:val="clear"/>
              <w:kinsoku/>
              <w:wordWrap/>
              <w:overflowPunct/>
              <w:topLinePunct w:val="0"/>
              <w:autoSpaceDE/>
              <w:autoSpaceDN/>
              <w:bidi w:val="0"/>
              <w:adjustRightInd/>
              <w:snapToGrid/>
              <w:spacing w:line="40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w:t>
            </w:r>
          </w:p>
        </w:tc>
        <w:tc>
          <w:tcPr>
            <w:tcW w:w="1500" w:type="dxa"/>
            <w:tcBorders>
              <w:tl2br w:val="nil"/>
              <w:tr2bl w:val="nil"/>
            </w:tcBorders>
            <w:noWrap w:val="0"/>
            <w:vAlign w:val="center"/>
          </w:tcPr>
          <w:p w14:paraId="0AE5033B">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保密措施</w:t>
            </w:r>
          </w:p>
        </w:tc>
        <w:tc>
          <w:tcPr>
            <w:tcW w:w="6470" w:type="dxa"/>
            <w:tcBorders>
              <w:tl2br w:val="nil"/>
              <w:tr2bl w:val="nil"/>
            </w:tcBorders>
            <w:noWrap w:val="0"/>
            <w:vAlign w:val="center"/>
          </w:tcPr>
          <w:p w14:paraId="496E6F83">
            <w:pPr>
              <w:keepNext w:val="0"/>
              <w:keepLines w:val="0"/>
              <w:pageBreakBefore w:val="0"/>
              <w:numPr>
                <w:ilvl w:val="0"/>
                <w:numId w:val="0"/>
              </w:numPr>
              <w:shd w:val="clear"/>
              <w:kinsoku/>
              <w:wordWrap/>
              <w:overflowPunct/>
              <w:topLinePunct w:val="0"/>
              <w:autoSpaceDE/>
              <w:autoSpaceDN/>
              <w:bidi w:val="0"/>
              <w:adjustRightInd/>
              <w:snapToGrid/>
              <w:spacing w:line="400" w:lineRule="exact"/>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根据供应商提供的针对学校师生信息及相关监控等的保密方案进行综合评分。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评分分值范围0，0.2，…，3分，步长0.2</w:t>
            </w:r>
            <w:r>
              <w:rPr>
                <w:rFonts w:hint="eastAsia" w:ascii="仿宋" w:hAnsi="仿宋" w:eastAsia="仿宋" w:cs="仿宋"/>
                <w:color w:val="auto"/>
                <w:sz w:val="24"/>
                <w:szCs w:val="24"/>
                <w:highlight w:val="none"/>
                <w:lang w:eastAsia="zh-CN"/>
              </w:rPr>
              <w:t>）</w:t>
            </w:r>
          </w:p>
        </w:tc>
        <w:tc>
          <w:tcPr>
            <w:tcW w:w="780" w:type="dxa"/>
            <w:tcBorders>
              <w:tl2br w:val="nil"/>
              <w:tr2bl w:val="nil"/>
            </w:tcBorders>
            <w:noWrap w:val="0"/>
            <w:vAlign w:val="center"/>
          </w:tcPr>
          <w:p w14:paraId="36F831C5">
            <w:pPr>
              <w:keepNext w:val="0"/>
              <w:keepLines w:val="0"/>
              <w:pageBreakBefore w:val="0"/>
              <w:shd w:val="clear"/>
              <w:kinsoku/>
              <w:wordWrap/>
              <w:overflowPunct/>
              <w:topLinePunct w:val="0"/>
              <w:autoSpaceDE/>
              <w:autoSpaceDN/>
              <w:bidi w:val="0"/>
              <w:adjustRightInd/>
              <w:snapToGrid/>
              <w:spacing w:line="40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3分</w:t>
            </w:r>
          </w:p>
        </w:tc>
      </w:tr>
      <w:tr w14:paraId="4F710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7" w:hRule="atLeast"/>
        </w:trPr>
        <w:tc>
          <w:tcPr>
            <w:tcW w:w="780" w:type="dxa"/>
            <w:tcBorders>
              <w:tl2br w:val="nil"/>
              <w:tr2bl w:val="nil"/>
            </w:tcBorders>
            <w:noWrap w:val="0"/>
            <w:vAlign w:val="center"/>
          </w:tcPr>
          <w:p w14:paraId="000EEB07">
            <w:pPr>
              <w:keepNext w:val="0"/>
              <w:keepLines w:val="0"/>
              <w:pageBreakBefore w:val="0"/>
              <w:widowControl/>
              <w:shd w:val="clear"/>
              <w:kinsoku/>
              <w:wordWrap/>
              <w:overflowPunct/>
              <w:topLinePunct w:val="0"/>
              <w:autoSpaceDE/>
              <w:autoSpaceDN/>
              <w:bidi w:val="0"/>
              <w:adjustRightInd/>
              <w:snapToGrid/>
              <w:spacing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16</w:t>
            </w:r>
          </w:p>
        </w:tc>
        <w:tc>
          <w:tcPr>
            <w:tcW w:w="1500" w:type="dxa"/>
            <w:tcBorders>
              <w:tl2br w:val="nil"/>
              <w:tr2bl w:val="nil"/>
            </w:tcBorders>
            <w:noWrap w:val="0"/>
            <w:vAlign w:val="center"/>
          </w:tcPr>
          <w:p w14:paraId="7C42619D">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rPr>
              <w:t>设施、设备及车辆</w:t>
            </w:r>
          </w:p>
        </w:tc>
        <w:tc>
          <w:tcPr>
            <w:tcW w:w="6470" w:type="dxa"/>
            <w:tcBorders>
              <w:tl2br w:val="nil"/>
              <w:tr2bl w:val="nil"/>
            </w:tcBorders>
            <w:noWrap w:val="0"/>
            <w:vAlign w:val="center"/>
          </w:tcPr>
          <w:p w14:paraId="1EA3EF84">
            <w:pPr>
              <w:keepNext w:val="0"/>
              <w:keepLines w:val="0"/>
              <w:pageBreakBefore w:val="0"/>
              <w:widowControl/>
              <w:shd w:val="clear"/>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sz w:val="24"/>
                <w:szCs w:val="24"/>
                <w:highlight w:val="none"/>
                <w:lang w:val="en-US"/>
              </w:rPr>
            </w:pPr>
            <w:r>
              <w:rPr>
                <w:rFonts w:hint="eastAsia" w:ascii="仿宋" w:hAnsi="仿宋" w:eastAsia="仿宋" w:cs="仿宋"/>
                <w:color w:val="auto"/>
                <w:sz w:val="24"/>
                <w:szCs w:val="24"/>
                <w:highlight w:val="none"/>
                <w:lang w:val="en-US" w:eastAsia="zh-CN"/>
              </w:rPr>
              <w:t>根据投标人</w:t>
            </w:r>
            <w:r>
              <w:rPr>
                <w:rFonts w:hint="eastAsia" w:ascii="仿宋" w:hAnsi="仿宋" w:eastAsia="仿宋" w:cs="仿宋"/>
                <w:color w:val="auto"/>
                <w:sz w:val="24"/>
                <w:szCs w:val="24"/>
                <w:highlight w:val="none"/>
              </w:rPr>
              <w:t>拟投入的物资、设备、执勤器材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车辆</w:t>
            </w:r>
            <w:r>
              <w:rPr>
                <w:rFonts w:hint="eastAsia" w:ascii="仿宋" w:hAnsi="仿宋" w:eastAsia="仿宋" w:cs="仿宋"/>
                <w:color w:val="auto"/>
                <w:sz w:val="24"/>
                <w:szCs w:val="24"/>
                <w:highlight w:val="none"/>
              </w:rPr>
              <w:t xml:space="preserve"> 等配备情况进行</w:t>
            </w:r>
            <w:r>
              <w:rPr>
                <w:rFonts w:hint="eastAsia" w:ascii="仿宋" w:hAnsi="仿宋" w:eastAsia="仿宋" w:cs="仿宋"/>
                <w:color w:val="auto"/>
                <w:sz w:val="24"/>
                <w:szCs w:val="24"/>
                <w:highlight w:val="none"/>
                <w:lang w:val="en-US" w:eastAsia="zh-CN"/>
              </w:rPr>
              <w:t>综合评分</w:t>
            </w:r>
            <w:r>
              <w:rPr>
                <w:rFonts w:hint="eastAsia" w:ascii="仿宋" w:hAnsi="仿宋" w:eastAsia="仿宋" w:cs="仿宋"/>
                <w:color w:val="auto"/>
                <w:sz w:val="24"/>
                <w:szCs w:val="24"/>
                <w:highlight w:val="none"/>
                <w:lang w:eastAsia="zh-CN"/>
              </w:rPr>
              <w:t>：</w:t>
            </w:r>
          </w:p>
          <w:p w14:paraId="03206BFC">
            <w:pPr>
              <w:keepNext w:val="0"/>
              <w:keepLines w:val="0"/>
              <w:pageBreakBefore w:val="0"/>
              <w:widowControl/>
              <w:numPr>
                <w:ilvl w:val="0"/>
                <w:numId w:val="10"/>
              </w:numPr>
              <w:shd w:val="clear"/>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物资、设备、执勤器材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评分分值范围0，0.2，…，3分，步长0.2</w:t>
            </w:r>
            <w:r>
              <w:rPr>
                <w:rFonts w:hint="eastAsia" w:ascii="仿宋" w:hAnsi="仿宋" w:eastAsia="仿宋" w:cs="仿宋"/>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w:t>
            </w:r>
          </w:p>
          <w:p w14:paraId="09948E16">
            <w:pPr>
              <w:keepNext w:val="0"/>
              <w:keepLines w:val="0"/>
              <w:pageBreakBefore w:val="0"/>
              <w:widowControl/>
              <w:numPr>
                <w:ilvl w:val="0"/>
                <w:numId w:val="10"/>
              </w:numPr>
              <w:shd w:val="clea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车辆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评分分值范围0，0.2，…，3分，步长0.2</w:t>
            </w:r>
            <w:r>
              <w:rPr>
                <w:rFonts w:hint="eastAsia" w:ascii="仿宋" w:hAnsi="仿宋" w:eastAsia="仿宋" w:cs="仿宋"/>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w:t>
            </w:r>
          </w:p>
          <w:p w14:paraId="1850D0A6">
            <w:pPr>
              <w:keepNext w:val="0"/>
              <w:keepLines w:val="0"/>
              <w:pageBreakBefore w:val="0"/>
              <w:widowControl/>
              <w:numPr>
                <w:ilvl w:val="0"/>
                <w:numId w:val="0"/>
              </w:numPr>
              <w:shd w:val="clear"/>
              <w:kinsoku/>
              <w:wordWrap/>
              <w:overflowPunct/>
              <w:topLinePunct w:val="0"/>
              <w:autoSpaceDE/>
              <w:autoSpaceDN/>
              <w:bidi w:val="0"/>
              <w:adjustRightInd/>
              <w:snapToGrid/>
              <w:spacing w:line="400" w:lineRule="exact"/>
              <w:ind w:lef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rPr>
              <w:t>（</w:t>
            </w:r>
            <w:r>
              <w:rPr>
                <w:rFonts w:hint="eastAsia" w:ascii="仿宋" w:hAnsi="仿宋" w:eastAsia="仿宋" w:cs="仿宋"/>
                <w:b/>
                <w:bCs/>
                <w:color w:val="auto"/>
                <w:sz w:val="24"/>
                <w:szCs w:val="24"/>
                <w:highlight w:val="none"/>
                <w:lang w:val="en-US" w:eastAsia="zh-CN"/>
              </w:rPr>
              <w:t>提供设备清单、购销合同或发票、设备照片、车辆行驶证并加盖CA签章</w:t>
            </w:r>
            <w:r>
              <w:rPr>
                <w:rFonts w:hint="eastAsia" w:ascii="仿宋" w:hAnsi="仿宋" w:eastAsia="仿宋" w:cs="仿宋"/>
                <w:b/>
                <w:bCs/>
                <w:color w:val="auto"/>
                <w:sz w:val="24"/>
                <w:szCs w:val="24"/>
                <w:highlight w:val="none"/>
                <w:lang w:val="en-US"/>
              </w:rPr>
              <w:t>）</w:t>
            </w:r>
          </w:p>
        </w:tc>
        <w:tc>
          <w:tcPr>
            <w:tcW w:w="780" w:type="dxa"/>
            <w:tcBorders>
              <w:tl2br w:val="nil"/>
              <w:tr2bl w:val="nil"/>
            </w:tcBorders>
            <w:noWrap w:val="0"/>
            <w:vAlign w:val="center"/>
          </w:tcPr>
          <w:p w14:paraId="1AB8B433">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6分</w:t>
            </w:r>
          </w:p>
        </w:tc>
      </w:tr>
      <w:tr w14:paraId="75635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60" w:hRule="atLeast"/>
        </w:trPr>
        <w:tc>
          <w:tcPr>
            <w:tcW w:w="780" w:type="dxa"/>
            <w:tcBorders>
              <w:tl2br w:val="nil"/>
              <w:tr2bl w:val="nil"/>
            </w:tcBorders>
            <w:noWrap w:val="0"/>
            <w:vAlign w:val="center"/>
          </w:tcPr>
          <w:p w14:paraId="1E7E9B00">
            <w:pPr>
              <w:keepNext w:val="0"/>
              <w:keepLines w:val="0"/>
              <w:pageBreakBefore w:val="0"/>
              <w:shd w:val="clear"/>
              <w:kinsoku/>
              <w:wordWrap/>
              <w:overflowPunct/>
              <w:topLinePunct w:val="0"/>
              <w:autoSpaceDE/>
              <w:autoSpaceDN/>
              <w:bidi w:val="0"/>
              <w:adjustRightInd/>
              <w:snapToGrid/>
              <w:spacing w:line="40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17</w:t>
            </w:r>
          </w:p>
        </w:tc>
        <w:tc>
          <w:tcPr>
            <w:tcW w:w="1500" w:type="dxa"/>
            <w:vMerge w:val="restart"/>
            <w:tcBorders>
              <w:tl2br w:val="nil"/>
              <w:tr2bl w:val="nil"/>
            </w:tcBorders>
            <w:noWrap w:val="0"/>
            <w:vAlign w:val="center"/>
          </w:tcPr>
          <w:p w14:paraId="60F3064D">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应急预案</w:t>
            </w:r>
            <w:r>
              <w:rPr>
                <w:rFonts w:hint="eastAsia" w:ascii="仿宋" w:hAnsi="仿宋" w:eastAsia="仿宋" w:cs="仿宋"/>
                <w:color w:val="auto"/>
                <w:kern w:val="0"/>
                <w:sz w:val="24"/>
                <w:szCs w:val="24"/>
                <w:highlight w:val="none"/>
                <w:lang w:val="en-US" w:eastAsia="zh-CN"/>
              </w:rPr>
              <w:t>及措施</w:t>
            </w:r>
          </w:p>
        </w:tc>
        <w:tc>
          <w:tcPr>
            <w:tcW w:w="6470" w:type="dxa"/>
            <w:tcBorders>
              <w:tl2br w:val="nil"/>
              <w:tr2bl w:val="nil"/>
            </w:tcBorders>
            <w:noWrap w:val="0"/>
            <w:vAlign w:val="center"/>
          </w:tcPr>
          <w:p w14:paraId="3694F33A">
            <w:pPr>
              <w:keepNext w:val="0"/>
              <w:keepLines w:val="0"/>
              <w:pageBreakBefore w:val="0"/>
              <w:widowControl/>
              <w:shd w:val="clea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rPr>
              <w:t>突发事件（包括台风、暴雨、地震等灾害性天气导致的各类突 发事件）时的应急预案及相应的措施。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评分分值范围0，0.2，…，2分，步长0.2</w:t>
            </w:r>
            <w:r>
              <w:rPr>
                <w:rFonts w:hint="eastAsia" w:ascii="仿宋" w:hAnsi="仿宋" w:eastAsia="仿宋" w:cs="仿宋"/>
                <w:color w:val="auto"/>
                <w:sz w:val="24"/>
                <w:szCs w:val="24"/>
                <w:highlight w:val="none"/>
                <w:lang w:eastAsia="zh-CN"/>
              </w:rPr>
              <w:t>）</w:t>
            </w:r>
          </w:p>
        </w:tc>
        <w:tc>
          <w:tcPr>
            <w:tcW w:w="780" w:type="dxa"/>
            <w:tcBorders>
              <w:tl2br w:val="nil"/>
              <w:tr2bl w:val="nil"/>
            </w:tcBorders>
            <w:noWrap w:val="0"/>
            <w:vAlign w:val="center"/>
          </w:tcPr>
          <w:p w14:paraId="0122491C">
            <w:pPr>
              <w:keepNext w:val="0"/>
              <w:keepLines w:val="0"/>
              <w:pageBreakBefore w:val="0"/>
              <w:shd w:val="clear"/>
              <w:kinsoku/>
              <w:wordWrap/>
              <w:overflowPunct/>
              <w:topLinePunct w:val="0"/>
              <w:autoSpaceDE/>
              <w:autoSpaceDN/>
              <w:bidi w:val="0"/>
              <w:adjustRightInd/>
              <w:snapToGrid/>
              <w:spacing w:line="40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2分</w:t>
            </w:r>
          </w:p>
        </w:tc>
      </w:tr>
      <w:tr w14:paraId="022CE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60" w:hRule="atLeast"/>
        </w:trPr>
        <w:tc>
          <w:tcPr>
            <w:tcW w:w="780" w:type="dxa"/>
            <w:tcBorders>
              <w:tl2br w:val="nil"/>
              <w:tr2bl w:val="nil"/>
            </w:tcBorders>
            <w:noWrap w:val="0"/>
            <w:vAlign w:val="center"/>
          </w:tcPr>
          <w:p w14:paraId="0DB146E1">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1500" w:type="dxa"/>
            <w:vMerge w:val="continue"/>
            <w:tcBorders>
              <w:tl2br w:val="nil"/>
              <w:tr2bl w:val="nil"/>
            </w:tcBorders>
            <w:noWrap w:val="0"/>
            <w:vAlign w:val="center"/>
          </w:tcPr>
          <w:p w14:paraId="30647AE8">
            <w:pPr>
              <w:keepNext w:val="0"/>
              <w:keepLines w:val="0"/>
              <w:pageBreakBefore w:val="0"/>
              <w:widowControl/>
              <w:shd w:val="clea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rPr>
            </w:pPr>
          </w:p>
        </w:tc>
        <w:tc>
          <w:tcPr>
            <w:tcW w:w="6470" w:type="dxa"/>
            <w:tcBorders>
              <w:tl2br w:val="nil"/>
              <w:tr2bl w:val="nil"/>
            </w:tcBorders>
            <w:noWrap w:val="0"/>
            <w:vAlign w:val="center"/>
          </w:tcPr>
          <w:p w14:paraId="5314E0B8">
            <w:pPr>
              <w:keepNext w:val="0"/>
              <w:keepLines w:val="0"/>
              <w:pageBreakBefore w:val="0"/>
              <w:widowControl/>
              <w:shd w:val="clea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rPr>
              <w:t xml:space="preserve">针对防盗、防火的安全防范巡查措施。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评分分值范围0，0.2，…，2分，步长0.2</w:t>
            </w:r>
            <w:r>
              <w:rPr>
                <w:rFonts w:hint="eastAsia" w:ascii="仿宋" w:hAnsi="仿宋" w:eastAsia="仿宋" w:cs="仿宋"/>
                <w:color w:val="auto"/>
                <w:sz w:val="24"/>
                <w:szCs w:val="24"/>
                <w:highlight w:val="none"/>
                <w:lang w:eastAsia="zh-CN"/>
              </w:rPr>
              <w:t>）</w:t>
            </w:r>
          </w:p>
        </w:tc>
        <w:tc>
          <w:tcPr>
            <w:tcW w:w="780" w:type="dxa"/>
            <w:tcBorders>
              <w:tl2br w:val="nil"/>
              <w:tr2bl w:val="nil"/>
            </w:tcBorders>
            <w:noWrap w:val="0"/>
            <w:vAlign w:val="center"/>
          </w:tcPr>
          <w:p w14:paraId="1CF9A7F5">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2分</w:t>
            </w:r>
          </w:p>
        </w:tc>
      </w:tr>
      <w:tr w14:paraId="1E2F2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60" w:hRule="atLeast"/>
        </w:trPr>
        <w:tc>
          <w:tcPr>
            <w:tcW w:w="780" w:type="dxa"/>
            <w:tcBorders>
              <w:tl2br w:val="nil"/>
              <w:tr2bl w:val="nil"/>
            </w:tcBorders>
            <w:noWrap w:val="0"/>
            <w:vAlign w:val="center"/>
          </w:tcPr>
          <w:p w14:paraId="56B3C5C2">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19</w:t>
            </w:r>
          </w:p>
        </w:tc>
        <w:tc>
          <w:tcPr>
            <w:tcW w:w="1500" w:type="dxa"/>
            <w:vMerge w:val="continue"/>
            <w:tcBorders>
              <w:tl2br w:val="nil"/>
              <w:tr2bl w:val="nil"/>
            </w:tcBorders>
            <w:noWrap w:val="0"/>
            <w:vAlign w:val="center"/>
          </w:tcPr>
          <w:p w14:paraId="2FC7BA93">
            <w:pPr>
              <w:keepNext w:val="0"/>
              <w:keepLines w:val="0"/>
              <w:pageBreakBefore w:val="0"/>
              <w:widowControl/>
              <w:shd w:val="clea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highlight w:val="none"/>
                <w:lang w:eastAsia="zh-CN"/>
              </w:rPr>
            </w:pPr>
          </w:p>
        </w:tc>
        <w:tc>
          <w:tcPr>
            <w:tcW w:w="6470" w:type="dxa"/>
            <w:tcBorders>
              <w:tl2br w:val="nil"/>
              <w:tr2bl w:val="nil"/>
            </w:tcBorders>
            <w:noWrap w:val="0"/>
            <w:vAlign w:val="center"/>
          </w:tcPr>
          <w:p w14:paraId="71B9E1EF">
            <w:pPr>
              <w:keepNext w:val="0"/>
              <w:keepLines w:val="0"/>
              <w:pageBreakBefore w:val="0"/>
              <w:widowControl/>
              <w:shd w:val="clea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rPr>
              <w:t>应对危及人员安全的突发事件的应急预案。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评分分值范围0，0.2，…，2分，步长0.2</w:t>
            </w:r>
            <w:r>
              <w:rPr>
                <w:rFonts w:hint="eastAsia" w:ascii="仿宋" w:hAnsi="仿宋" w:eastAsia="仿宋" w:cs="仿宋"/>
                <w:color w:val="auto"/>
                <w:sz w:val="24"/>
                <w:szCs w:val="24"/>
                <w:highlight w:val="none"/>
                <w:lang w:eastAsia="zh-CN"/>
              </w:rPr>
              <w:t>）</w:t>
            </w:r>
          </w:p>
        </w:tc>
        <w:tc>
          <w:tcPr>
            <w:tcW w:w="780" w:type="dxa"/>
            <w:tcBorders>
              <w:tl2br w:val="nil"/>
              <w:tr2bl w:val="nil"/>
            </w:tcBorders>
            <w:noWrap w:val="0"/>
            <w:vAlign w:val="center"/>
          </w:tcPr>
          <w:p w14:paraId="013935B3">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2分</w:t>
            </w:r>
          </w:p>
        </w:tc>
      </w:tr>
      <w:tr w14:paraId="6F64D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60" w:hRule="atLeast"/>
        </w:trPr>
        <w:tc>
          <w:tcPr>
            <w:tcW w:w="780" w:type="dxa"/>
            <w:tcBorders>
              <w:tl2br w:val="nil"/>
              <w:tr2bl w:val="nil"/>
            </w:tcBorders>
            <w:noWrap w:val="0"/>
            <w:vAlign w:val="center"/>
          </w:tcPr>
          <w:p w14:paraId="627BEEA2">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w:t>
            </w:r>
          </w:p>
        </w:tc>
        <w:tc>
          <w:tcPr>
            <w:tcW w:w="1500" w:type="dxa"/>
            <w:vMerge w:val="continue"/>
            <w:tcBorders>
              <w:tl2br w:val="nil"/>
              <w:tr2bl w:val="nil"/>
            </w:tcBorders>
            <w:noWrap w:val="0"/>
            <w:vAlign w:val="center"/>
          </w:tcPr>
          <w:p w14:paraId="1B1F9797">
            <w:pPr>
              <w:keepNext w:val="0"/>
              <w:keepLines w:val="0"/>
              <w:pageBreakBefore w:val="0"/>
              <w:widowControl/>
              <w:shd w:val="clea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highlight w:val="none"/>
                <w:lang w:eastAsia="zh-CN"/>
              </w:rPr>
            </w:pPr>
          </w:p>
        </w:tc>
        <w:tc>
          <w:tcPr>
            <w:tcW w:w="6470" w:type="dxa"/>
            <w:tcBorders>
              <w:tl2br w:val="nil"/>
              <w:tr2bl w:val="nil"/>
            </w:tcBorders>
            <w:noWrap w:val="0"/>
            <w:vAlign w:val="center"/>
          </w:tcPr>
          <w:p w14:paraId="547CD366">
            <w:pPr>
              <w:keepNext w:val="0"/>
              <w:keepLines w:val="0"/>
              <w:pageBreakBefore w:val="0"/>
              <w:widowControl/>
              <w:shd w:val="clea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rPr>
              <w:t>应对突发性公共卫生事件的应急预案。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评分分值范围0，0.2，…，2分，步长0.2</w:t>
            </w:r>
            <w:r>
              <w:rPr>
                <w:rFonts w:hint="eastAsia" w:ascii="仿宋" w:hAnsi="仿宋" w:eastAsia="仿宋" w:cs="仿宋"/>
                <w:color w:val="auto"/>
                <w:sz w:val="24"/>
                <w:szCs w:val="24"/>
                <w:highlight w:val="none"/>
                <w:lang w:eastAsia="zh-CN"/>
              </w:rPr>
              <w:t>）</w:t>
            </w:r>
          </w:p>
        </w:tc>
        <w:tc>
          <w:tcPr>
            <w:tcW w:w="780" w:type="dxa"/>
            <w:tcBorders>
              <w:tl2br w:val="nil"/>
              <w:tr2bl w:val="nil"/>
            </w:tcBorders>
            <w:noWrap w:val="0"/>
            <w:vAlign w:val="center"/>
          </w:tcPr>
          <w:p w14:paraId="16F53A53">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2分</w:t>
            </w:r>
          </w:p>
        </w:tc>
      </w:tr>
      <w:tr w14:paraId="0D0AB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60" w:hRule="atLeast"/>
        </w:trPr>
        <w:tc>
          <w:tcPr>
            <w:tcW w:w="780" w:type="dxa"/>
            <w:tcBorders>
              <w:tl2br w:val="nil"/>
              <w:tr2bl w:val="nil"/>
            </w:tcBorders>
            <w:noWrap w:val="0"/>
            <w:vAlign w:val="center"/>
          </w:tcPr>
          <w:p w14:paraId="6670E4E4">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21</w:t>
            </w:r>
          </w:p>
        </w:tc>
        <w:tc>
          <w:tcPr>
            <w:tcW w:w="1500" w:type="dxa"/>
            <w:vMerge w:val="continue"/>
            <w:tcBorders>
              <w:tl2br w:val="nil"/>
              <w:tr2bl w:val="nil"/>
            </w:tcBorders>
            <w:noWrap w:val="0"/>
            <w:vAlign w:val="center"/>
          </w:tcPr>
          <w:p w14:paraId="11A151FD">
            <w:pPr>
              <w:keepNext w:val="0"/>
              <w:keepLines w:val="0"/>
              <w:pageBreakBefore w:val="0"/>
              <w:widowControl/>
              <w:shd w:val="clea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highlight w:val="none"/>
                <w:lang w:eastAsia="zh-CN"/>
              </w:rPr>
            </w:pPr>
          </w:p>
        </w:tc>
        <w:tc>
          <w:tcPr>
            <w:tcW w:w="6470" w:type="dxa"/>
            <w:tcBorders>
              <w:tl2br w:val="nil"/>
              <w:tr2bl w:val="nil"/>
            </w:tcBorders>
            <w:noWrap w:val="0"/>
            <w:vAlign w:val="center"/>
          </w:tcPr>
          <w:p w14:paraId="40F30344">
            <w:pPr>
              <w:keepNext w:val="0"/>
              <w:keepLines w:val="0"/>
              <w:pageBreakBefore w:val="0"/>
              <w:widowControl/>
              <w:shd w:val="clea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rPr>
              <w:t>应对社会纠纷、暴恐事件等类型的应急预案。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评分分值范围0，0.2，…，2分，步长0.2</w:t>
            </w:r>
            <w:r>
              <w:rPr>
                <w:rFonts w:hint="eastAsia" w:ascii="仿宋" w:hAnsi="仿宋" w:eastAsia="仿宋" w:cs="仿宋"/>
                <w:color w:val="auto"/>
                <w:sz w:val="24"/>
                <w:szCs w:val="24"/>
                <w:highlight w:val="none"/>
                <w:lang w:eastAsia="zh-CN"/>
              </w:rPr>
              <w:t>）</w:t>
            </w:r>
          </w:p>
        </w:tc>
        <w:tc>
          <w:tcPr>
            <w:tcW w:w="780" w:type="dxa"/>
            <w:tcBorders>
              <w:tl2br w:val="nil"/>
              <w:tr2bl w:val="nil"/>
            </w:tcBorders>
            <w:noWrap w:val="0"/>
            <w:vAlign w:val="center"/>
          </w:tcPr>
          <w:p w14:paraId="41DE0B16">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2分</w:t>
            </w:r>
          </w:p>
        </w:tc>
      </w:tr>
      <w:tr w14:paraId="744AB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60" w:hRule="atLeast"/>
        </w:trPr>
        <w:tc>
          <w:tcPr>
            <w:tcW w:w="780" w:type="dxa"/>
            <w:tcBorders>
              <w:tl2br w:val="nil"/>
              <w:tr2bl w:val="nil"/>
            </w:tcBorders>
            <w:noWrap w:val="0"/>
            <w:vAlign w:val="center"/>
          </w:tcPr>
          <w:p w14:paraId="5CD9B2B5">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22</w:t>
            </w:r>
          </w:p>
        </w:tc>
        <w:tc>
          <w:tcPr>
            <w:tcW w:w="1500" w:type="dxa"/>
            <w:vMerge w:val="continue"/>
            <w:tcBorders>
              <w:tl2br w:val="nil"/>
              <w:tr2bl w:val="nil"/>
            </w:tcBorders>
            <w:noWrap w:val="0"/>
            <w:vAlign w:val="center"/>
          </w:tcPr>
          <w:p w14:paraId="06E22068">
            <w:pPr>
              <w:keepNext w:val="0"/>
              <w:keepLines w:val="0"/>
              <w:pageBreakBefore w:val="0"/>
              <w:widowControl/>
              <w:shd w:val="clea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highlight w:val="none"/>
                <w:lang w:eastAsia="zh-CN"/>
              </w:rPr>
            </w:pPr>
          </w:p>
        </w:tc>
        <w:tc>
          <w:tcPr>
            <w:tcW w:w="6470" w:type="dxa"/>
            <w:tcBorders>
              <w:tl2br w:val="nil"/>
              <w:tr2bl w:val="nil"/>
            </w:tcBorders>
            <w:noWrap w:val="0"/>
            <w:vAlign w:val="center"/>
          </w:tcPr>
          <w:p w14:paraId="04B22B25">
            <w:pPr>
              <w:keepNext w:val="0"/>
              <w:keepLines w:val="0"/>
              <w:pageBreakBefore w:val="0"/>
              <w:widowControl/>
              <w:shd w:val="clea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在不影响本项目正常服务的情况下，根据投标人额外组建应急处理人员情况、装备情况。</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评分分值范围0，0.2，…，3分，步长0.2</w:t>
            </w:r>
            <w:r>
              <w:rPr>
                <w:rFonts w:hint="eastAsia" w:ascii="仿宋" w:hAnsi="仿宋" w:eastAsia="仿宋" w:cs="仿宋"/>
                <w:color w:val="auto"/>
                <w:sz w:val="24"/>
                <w:szCs w:val="24"/>
                <w:highlight w:val="none"/>
                <w:lang w:eastAsia="zh-CN"/>
              </w:rPr>
              <w:t>）</w:t>
            </w:r>
          </w:p>
        </w:tc>
        <w:tc>
          <w:tcPr>
            <w:tcW w:w="780" w:type="dxa"/>
            <w:tcBorders>
              <w:tl2br w:val="nil"/>
              <w:tr2bl w:val="nil"/>
            </w:tcBorders>
            <w:noWrap w:val="0"/>
            <w:vAlign w:val="center"/>
          </w:tcPr>
          <w:p w14:paraId="57F58D23">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3分</w:t>
            </w:r>
          </w:p>
        </w:tc>
      </w:tr>
      <w:tr w14:paraId="7D67F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60" w:hRule="atLeast"/>
        </w:trPr>
        <w:tc>
          <w:tcPr>
            <w:tcW w:w="780" w:type="dxa"/>
            <w:tcBorders>
              <w:tl2br w:val="nil"/>
              <w:tr2bl w:val="nil"/>
            </w:tcBorders>
            <w:noWrap w:val="0"/>
            <w:vAlign w:val="center"/>
          </w:tcPr>
          <w:p w14:paraId="6E9002F7">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23</w:t>
            </w:r>
          </w:p>
        </w:tc>
        <w:tc>
          <w:tcPr>
            <w:tcW w:w="1500" w:type="dxa"/>
            <w:vMerge w:val="continue"/>
            <w:tcBorders>
              <w:tl2br w:val="nil"/>
              <w:tr2bl w:val="nil"/>
            </w:tcBorders>
            <w:noWrap w:val="0"/>
            <w:vAlign w:val="center"/>
          </w:tcPr>
          <w:p w14:paraId="68230995">
            <w:pPr>
              <w:keepNext w:val="0"/>
              <w:keepLines w:val="0"/>
              <w:pageBreakBefore w:val="0"/>
              <w:widowControl/>
              <w:shd w:val="clea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highlight w:val="none"/>
                <w:lang w:eastAsia="zh-CN"/>
              </w:rPr>
            </w:pPr>
          </w:p>
        </w:tc>
        <w:tc>
          <w:tcPr>
            <w:tcW w:w="6470" w:type="dxa"/>
            <w:tcBorders>
              <w:tl2br w:val="nil"/>
              <w:tr2bl w:val="nil"/>
            </w:tcBorders>
            <w:noWrap w:val="0"/>
            <w:vAlign w:val="center"/>
          </w:tcPr>
          <w:p w14:paraId="0EF3B62A">
            <w:pPr>
              <w:keepNext w:val="0"/>
              <w:keepLines w:val="0"/>
              <w:pageBreakBefore w:val="0"/>
              <w:widowControl/>
              <w:shd w:val="clea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（1）投标人承诺应急响应时间在10分钟以内的得3分；</w:t>
            </w:r>
          </w:p>
          <w:p w14:paraId="4166ED09">
            <w:pPr>
              <w:keepNext w:val="0"/>
              <w:keepLines w:val="0"/>
              <w:pageBreakBefore w:val="0"/>
              <w:widowControl/>
              <w:shd w:val="clea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（2）投标人承诺应急响应时间在20分钟以内的得2分；</w:t>
            </w:r>
          </w:p>
          <w:p w14:paraId="58FFC1EA">
            <w:pPr>
              <w:keepNext w:val="0"/>
              <w:keepLines w:val="0"/>
              <w:pageBreakBefore w:val="0"/>
              <w:widowControl/>
              <w:shd w:val="clea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（3）投标人承诺应急响应时间在30分钟以内的得1分。</w:t>
            </w:r>
          </w:p>
          <w:p w14:paraId="6613AE41">
            <w:pPr>
              <w:keepNext w:val="0"/>
              <w:keepLines w:val="0"/>
              <w:pageBreakBefore w:val="0"/>
              <w:widowControl/>
              <w:shd w:val="clea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提供服务承诺及</w:t>
            </w:r>
            <w:r>
              <w:rPr>
                <w:rFonts w:hint="eastAsia" w:ascii="仿宋" w:hAnsi="仿宋" w:eastAsia="仿宋" w:cs="仿宋"/>
                <w:b/>
                <w:bCs/>
                <w:color w:val="auto"/>
                <w:sz w:val="24"/>
                <w:szCs w:val="24"/>
                <w:highlight w:val="none"/>
                <w:lang w:val="en-US" w:eastAsia="zh-CN"/>
              </w:rPr>
              <w:t>投标人服务点至嵊州市教育体育局（嵊州市官河横路333号）的高德或百度导航在法定工作时间的路程及时间截图并加盖CA签章</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不提供不得分）</w:t>
            </w:r>
          </w:p>
        </w:tc>
        <w:tc>
          <w:tcPr>
            <w:tcW w:w="780" w:type="dxa"/>
            <w:tcBorders>
              <w:tl2br w:val="nil"/>
              <w:tr2bl w:val="nil"/>
            </w:tcBorders>
            <w:noWrap w:val="0"/>
            <w:vAlign w:val="center"/>
          </w:tcPr>
          <w:p w14:paraId="2DD1CB19">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rPr>
            </w:pPr>
          </w:p>
          <w:p w14:paraId="502AA9B7">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3分</w:t>
            </w:r>
          </w:p>
        </w:tc>
      </w:tr>
      <w:tr w14:paraId="2F991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60" w:hRule="atLeast"/>
        </w:trPr>
        <w:tc>
          <w:tcPr>
            <w:tcW w:w="780" w:type="dxa"/>
            <w:tcBorders>
              <w:tl2br w:val="nil"/>
              <w:tr2bl w:val="nil"/>
            </w:tcBorders>
            <w:noWrap w:val="0"/>
            <w:vAlign w:val="center"/>
          </w:tcPr>
          <w:p w14:paraId="23ADDAAE">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24</w:t>
            </w:r>
          </w:p>
        </w:tc>
        <w:tc>
          <w:tcPr>
            <w:tcW w:w="1500" w:type="dxa"/>
            <w:tcBorders>
              <w:tl2br w:val="nil"/>
              <w:tr2bl w:val="nil"/>
            </w:tcBorders>
            <w:noWrap w:val="0"/>
            <w:vAlign w:val="center"/>
          </w:tcPr>
          <w:p w14:paraId="6324551B">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交接方案</w:t>
            </w:r>
          </w:p>
        </w:tc>
        <w:tc>
          <w:tcPr>
            <w:tcW w:w="6470" w:type="dxa"/>
            <w:tcBorders>
              <w:tl2br w:val="nil"/>
              <w:tr2bl w:val="nil"/>
            </w:tcBorders>
            <w:noWrap w:val="0"/>
            <w:vAlign w:val="center"/>
          </w:tcPr>
          <w:p w14:paraId="39D28406">
            <w:pPr>
              <w:keepNext w:val="0"/>
              <w:keepLines w:val="0"/>
              <w:pageBreakBefore w:val="0"/>
              <w:widowControl/>
              <w:shd w:val="clear"/>
              <w:kinsoku/>
              <w:wordWrap/>
              <w:overflowPunct/>
              <w:topLinePunct w:val="0"/>
              <w:autoSpaceDE/>
              <w:autoSpaceDN/>
              <w:bidi w:val="0"/>
              <w:adjustRightInd/>
              <w:snapToGrid/>
              <w:spacing w:line="400" w:lineRule="exact"/>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根据投标人提供的项目交接方案进行综合评分。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评分分值范围0，0.2，…，3分，步长0.2</w:t>
            </w:r>
            <w:r>
              <w:rPr>
                <w:rFonts w:hint="eastAsia" w:ascii="仿宋" w:hAnsi="仿宋" w:eastAsia="仿宋" w:cs="仿宋"/>
                <w:color w:val="auto"/>
                <w:sz w:val="24"/>
                <w:szCs w:val="24"/>
                <w:highlight w:val="none"/>
                <w:lang w:eastAsia="zh-CN"/>
              </w:rPr>
              <w:t>）</w:t>
            </w:r>
          </w:p>
        </w:tc>
        <w:tc>
          <w:tcPr>
            <w:tcW w:w="780" w:type="dxa"/>
            <w:tcBorders>
              <w:tl2br w:val="nil"/>
              <w:tr2bl w:val="nil"/>
            </w:tcBorders>
            <w:noWrap w:val="0"/>
            <w:vAlign w:val="center"/>
          </w:tcPr>
          <w:p w14:paraId="10CB11F5">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3分</w:t>
            </w:r>
          </w:p>
        </w:tc>
      </w:tr>
      <w:tr w14:paraId="42BA4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60" w:hRule="atLeast"/>
        </w:trPr>
        <w:tc>
          <w:tcPr>
            <w:tcW w:w="780" w:type="dxa"/>
            <w:tcBorders>
              <w:tl2br w:val="nil"/>
              <w:tr2bl w:val="nil"/>
            </w:tcBorders>
            <w:noWrap w:val="0"/>
            <w:vAlign w:val="center"/>
          </w:tcPr>
          <w:p w14:paraId="2AD3553D">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25</w:t>
            </w:r>
          </w:p>
        </w:tc>
        <w:tc>
          <w:tcPr>
            <w:tcW w:w="1500" w:type="dxa"/>
            <w:tcBorders>
              <w:tl2br w:val="nil"/>
              <w:tr2bl w:val="nil"/>
            </w:tcBorders>
            <w:noWrap w:val="0"/>
            <w:vAlign w:val="center"/>
          </w:tcPr>
          <w:p w14:paraId="559C2444">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服务承诺</w:t>
            </w:r>
          </w:p>
        </w:tc>
        <w:tc>
          <w:tcPr>
            <w:tcW w:w="6470" w:type="dxa"/>
            <w:tcBorders>
              <w:tl2br w:val="nil"/>
              <w:tr2bl w:val="nil"/>
            </w:tcBorders>
            <w:noWrap w:val="0"/>
            <w:vAlign w:val="center"/>
          </w:tcPr>
          <w:p w14:paraId="1088CD61">
            <w:pPr>
              <w:keepNext w:val="0"/>
              <w:keepLines w:val="0"/>
              <w:pageBreakBefore w:val="0"/>
              <w:widowControl/>
              <w:shd w:val="clear"/>
              <w:kinsoku/>
              <w:wordWrap/>
              <w:overflowPunct/>
              <w:topLinePunct w:val="0"/>
              <w:autoSpaceDE/>
              <w:autoSpaceDN/>
              <w:bidi w:val="0"/>
              <w:adjustRightInd/>
              <w:snapToGrid/>
              <w:spacing w:line="400" w:lineRule="exact"/>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根据投标人提供的针对本项目相关服务承诺等进行综合评分。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评分分值范围0，0.2，…，3分，步长0.2</w:t>
            </w:r>
            <w:r>
              <w:rPr>
                <w:rFonts w:hint="eastAsia" w:ascii="仿宋" w:hAnsi="仿宋" w:eastAsia="仿宋" w:cs="仿宋"/>
                <w:color w:val="auto"/>
                <w:sz w:val="24"/>
                <w:szCs w:val="24"/>
                <w:highlight w:val="none"/>
                <w:lang w:eastAsia="zh-CN"/>
              </w:rPr>
              <w:t>）</w:t>
            </w:r>
          </w:p>
        </w:tc>
        <w:tc>
          <w:tcPr>
            <w:tcW w:w="780" w:type="dxa"/>
            <w:tcBorders>
              <w:tl2br w:val="nil"/>
              <w:tr2bl w:val="nil"/>
            </w:tcBorders>
            <w:noWrap w:val="0"/>
            <w:vAlign w:val="center"/>
          </w:tcPr>
          <w:p w14:paraId="04AF4025">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3分</w:t>
            </w:r>
          </w:p>
        </w:tc>
      </w:tr>
    </w:tbl>
    <w:p w14:paraId="746985AD">
      <w:pPr>
        <w:shd w:val="clear"/>
        <w:snapToGrid w:val="0"/>
        <w:spacing w:line="44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t>备注：</w:t>
      </w:r>
      <w:r>
        <w:rPr>
          <w:rFonts w:hint="eastAsia" w:ascii="仿宋" w:hAnsi="仿宋" w:eastAsia="仿宋" w:cs="仿宋"/>
          <w:color w:val="auto"/>
          <w:sz w:val="24"/>
          <w:highlight w:val="none"/>
        </w:rPr>
        <w:t>投标人编制投标文件（商务技术文件部分）时，建议按此目录（序号和内容）提供评标标准相应的商务技术资料。 </w:t>
      </w:r>
    </w:p>
    <w:p w14:paraId="53DE5E54">
      <w:pPr>
        <w:shd w:val="clear"/>
        <w:spacing w:line="440" w:lineRule="exact"/>
        <w:rPr>
          <w:rFonts w:hint="eastAsia" w:ascii="仿宋" w:hAnsi="仿宋" w:eastAsia="仿宋" w:cs="仿宋"/>
          <w:b/>
          <w:bCs/>
          <w:iCs/>
          <w:color w:val="auto"/>
          <w:sz w:val="24"/>
          <w:highlight w:val="none"/>
        </w:rPr>
      </w:pPr>
      <w:r>
        <w:rPr>
          <w:rFonts w:hint="eastAsia" w:ascii="仿宋" w:hAnsi="仿宋" w:eastAsia="仿宋" w:cs="仿宋"/>
          <w:b/>
          <w:bCs/>
          <w:iCs/>
          <w:color w:val="auto"/>
          <w:sz w:val="24"/>
          <w:highlight w:val="none"/>
        </w:rPr>
        <w:t>2.2价格分（</w:t>
      </w:r>
      <w:r>
        <w:rPr>
          <w:rFonts w:hint="eastAsia" w:ascii="仿宋" w:hAnsi="仿宋" w:eastAsia="仿宋" w:cs="仿宋"/>
          <w:b/>
          <w:bCs/>
          <w:iCs/>
          <w:color w:val="auto"/>
          <w:sz w:val="24"/>
          <w:highlight w:val="none"/>
          <w:u w:val="single"/>
        </w:rPr>
        <w:t xml:space="preserve"> </w:t>
      </w:r>
      <w:r>
        <w:rPr>
          <w:rFonts w:hint="eastAsia" w:ascii="仿宋" w:hAnsi="仿宋" w:eastAsia="仿宋" w:cs="仿宋"/>
          <w:b/>
          <w:bCs/>
          <w:iCs/>
          <w:color w:val="auto"/>
          <w:sz w:val="24"/>
          <w:highlight w:val="none"/>
          <w:u w:val="single"/>
          <w:lang w:val="en-US" w:eastAsia="zh-CN"/>
        </w:rPr>
        <w:t>1</w:t>
      </w:r>
      <w:r>
        <w:rPr>
          <w:rFonts w:hint="eastAsia" w:ascii="仿宋" w:hAnsi="仿宋" w:eastAsia="仿宋" w:cs="仿宋"/>
          <w:b/>
          <w:bCs/>
          <w:iCs/>
          <w:color w:val="auto"/>
          <w:sz w:val="24"/>
          <w:highlight w:val="none"/>
          <w:u w:val="single"/>
        </w:rPr>
        <w:t xml:space="preserve">0 </w:t>
      </w:r>
      <w:r>
        <w:rPr>
          <w:rFonts w:hint="eastAsia" w:ascii="仿宋" w:hAnsi="仿宋" w:eastAsia="仿宋" w:cs="仿宋"/>
          <w:b/>
          <w:bCs/>
          <w:iCs/>
          <w:color w:val="auto"/>
          <w:sz w:val="24"/>
          <w:highlight w:val="none"/>
        </w:rPr>
        <w:t>分）</w:t>
      </w:r>
    </w:p>
    <w:p w14:paraId="6215F06A">
      <w:pPr>
        <w:shd w:val="clear"/>
        <w:spacing w:line="440" w:lineRule="exact"/>
        <w:ind w:firstLine="480" w:firstLineChars="200"/>
        <w:rPr>
          <w:rFonts w:hint="eastAsia" w:ascii="仿宋" w:hAnsi="仿宋" w:eastAsia="仿宋" w:cs="仿宋"/>
          <w:bCs/>
          <w:iCs/>
          <w:color w:val="auto"/>
          <w:sz w:val="24"/>
          <w:highlight w:val="none"/>
        </w:rPr>
      </w:pPr>
      <w:r>
        <w:rPr>
          <w:rFonts w:hint="eastAsia" w:ascii="仿宋" w:hAnsi="仿宋" w:eastAsia="仿宋" w:cs="仿宋"/>
          <w:bCs/>
          <w:iCs/>
          <w:color w:val="auto"/>
          <w:sz w:val="24"/>
          <w:highlight w:val="none"/>
        </w:rPr>
        <w:t>2.2.1评标基准价：即满足招标文件要求且投标价格最低的投标报价为评标基准价，其价格分为满分。</w:t>
      </w:r>
    </w:p>
    <w:p w14:paraId="324BD9A2">
      <w:pPr>
        <w:shd w:val="clear"/>
        <w:spacing w:line="440" w:lineRule="exact"/>
        <w:ind w:firstLine="480" w:firstLineChars="200"/>
        <w:rPr>
          <w:rFonts w:hint="eastAsia" w:ascii="仿宋" w:hAnsi="仿宋" w:eastAsia="仿宋" w:cs="仿宋"/>
          <w:bCs/>
          <w:iCs/>
          <w:color w:val="auto"/>
          <w:sz w:val="24"/>
          <w:highlight w:val="none"/>
        </w:rPr>
      </w:pPr>
      <w:r>
        <w:rPr>
          <w:rFonts w:hint="eastAsia" w:ascii="仿宋" w:hAnsi="仿宋" w:eastAsia="仿宋" w:cs="仿宋"/>
          <w:bCs/>
          <w:iCs/>
          <w:color w:val="auto"/>
          <w:sz w:val="24"/>
          <w:highlight w:val="none"/>
        </w:rPr>
        <w:t>2.2.2其他投标人的价格分统一按照下列公式计算：</w:t>
      </w:r>
    </w:p>
    <w:p w14:paraId="4CF01938">
      <w:pPr>
        <w:shd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rPr>
          <w:rFonts w:hint="eastAsia" w:ascii="仿宋" w:hAnsi="仿宋" w:eastAsia="仿宋" w:cs="仿宋"/>
          <w:b/>
          <w:color w:val="auto"/>
          <w:sz w:val="36"/>
          <w:szCs w:val="20"/>
          <w:highlight w:val="none"/>
        </w:rPr>
      </w:pPr>
      <w:r>
        <w:rPr>
          <w:rFonts w:hint="eastAsia" w:ascii="仿宋" w:hAnsi="仿宋" w:eastAsia="仿宋" w:cs="仿宋"/>
          <w:bCs/>
          <w:iCs/>
          <w:color w:val="auto"/>
          <w:sz w:val="24"/>
          <w:highlight w:val="none"/>
        </w:rPr>
        <w:t>投标报价得分=(评标基准价／投标报价)×</w:t>
      </w:r>
      <w:r>
        <w:rPr>
          <w:rFonts w:hint="eastAsia" w:ascii="仿宋" w:hAnsi="仿宋" w:eastAsia="仿宋" w:cs="仿宋"/>
          <w:bCs/>
          <w:iCs/>
          <w:color w:val="auto"/>
          <w:sz w:val="24"/>
          <w:highlight w:val="none"/>
          <w:lang w:val="en-US" w:eastAsia="zh-CN"/>
        </w:rPr>
        <w:t>1</w:t>
      </w:r>
      <w:r>
        <w:rPr>
          <w:rFonts w:hint="eastAsia" w:ascii="仿宋" w:hAnsi="仿宋" w:eastAsia="仿宋" w:cs="仿宋"/>
          <w:bCs/>
          <w:iCs/>
          <w:color w:val="auto"/>
          <w:sz w:val="24"/>
          <w:highlight w:val="none"/>
        </w:rPr>
        <w:t>0%×100</w:t>
      </w:r>
    </w:p>
    <w:p w14:paraId="0468DE6D">
      <w:pPr>
        <w:shd w:val="clear"/>
        <w:spacing w:line="440" w:lineRule="exact"/>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报价超过单价最高限价的作无效标处理。</w:t>
      </w:r>
    </w:p>
    <w:p w14:paraId="0CA415A1">
      <w:pPr>
        <w:shd w:val="clear"/>
        <w:spacing w:line="440" w:lineRule="exact"/>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根据《关于推动解决政府采购异常低价问题的通知》（财库〔2026〕2号）第二条规定，政府采购评审中出现下列情形之一的，评审委员会应当启动异常低价投标（响应）审查程序： </w:t>
      </w:r>
    </w:p>
    <w:p w14:paraId="5BADB77E">
      <w:pPr>
        <w:shd w:val="clear"/>
        <w:spacing w:line="440" w:lineRule="exact"/>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1.投标（响应）报价低于全部通过符合性审查供应商投标（响应）报价平均值50%的，即投标（响应）报价＜全部通过符合性审查供应商投标（响应）报价平均值×50%； </w:t>
      </w:r>
    </w:p>
    <w:p w14:paraId="20CC7691">
      <w:pPr>
        <w:shd w:val="clear"/>
        <w:spacing w:line="440" w:lineRule="exact"/>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2.投标（响应）报价低于通过符合性审查的次低报价供应商投标（响应）报价50%的，即投标（响应）报价＜通过符合性审查的次低报价供应商投标（响应）报价×50%； </w:t>
      </w:r>
    </w:p>
    <w:p w14:paraId="57B72B46">
      <w:pPr>
        <w:shd w:val="clear"/>
        <w:spacing w:line="440" w:lineRule="exact"/>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3.投标（响应）报价低于采购项目最高限价45%的，即投标（响应）报价＜采购项目最高限价×45%； </w:t>
      </w:r>
    </w:p>
    <w:p w14:paraId="73EE2C4F">
      <w:pPr>
        <w:shd w:val="clear"/>
        <w:spacing w:line="440" w:lineRule="exact"/>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4.评审委员会基于专业判断，认为供应商报价过低，有可能影响产品质量或者不能诚信履约的其他情形。  </w:t>
      </w:r>
    </w:p>
    <w:p w14:paraId="33F1DB84">
      <w:pPr>
        <w:shd w:val="clear"/>
        <w:spacing w:line="440" w:lineRule="exact"/>
        <w:ind w:firstLine="482" w:firstLineChars="200"/>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r>
        <w:rPr>
          <w:rFonts w:hint="eastAsia" w:ascii="仿宋" w:hAnsi="仿宋" w:eastAsia="仿宋" w:cs="仿宋"/>
          <w:color w:val="auto"/>
          <w:kern w:val="0"/>
          <w:sz w:val="24"/>
          <w:highlight w:val="none"/>
        </w:rPr>
        <w:t xml:space="preserve"> </w:t>
      </w:r>
    </w:p>
    <w:p w14:paraId="7C05FEBD">
      <w:pPr>
        <w:shd w:val="clear"/>
        <w:spacing w:line="440" w:lineRule="exact"/>
        <w:ind w:firstLine="482" w:firstLineChars="200"/>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1EEAA6F">
      <w:pPr>
        <w:shd w:val="clear"/>
        <w:spacing w:line="440" w:lineRule="exact"/>
        <w:ind w:firstLine="482" w:firstLineChars="200"/>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7C75029">
      <w:pPr>
        <w:shd w:val="clear"/>
        <w:spacing w:line="440" w:lineRule="exact"/>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2B422CB3">
      <w:pPr>
        <w:shd w:val="clear"/>
        <w:spacing w:line="440" w:lineRule="exact"/>
        <w:ind w:firstLine="723" w:firstLineChars="20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br w:type="page"/>
      </w:r>
    </w:p>
    <w:p w14:paraId="4398B7D6">
      <w:pPr>
        <w:widowControl/>
        <w:shd w:val="clear"/>
        <w:adjustRightInd/>
        <w:jc w:val="center"/>
        <w:rPr>
          <w:rFonts w:hint="eastAsia" w:ascii="仿宋" w:hAnsi="仿宋" w:eastAsia="仿宋" w:cs="仿宋"/>
          <w:b/>
          <w:color w:val="auto"/>
          <w:sz w:val="36"/>
          <w:szCs w:val="20"/>
          <w:highlight w:val="none"/>
        </w:rPr>
      </w:pPr>
    </w:p>
    <w:p w14:paraId="20DF9E64">
      <w:pPr>
        <w:widowControl/>
        <w:shd w:val="clear"/>
        <w:adjustRightInd/>
        <w:jc w:val="center"/>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第六部分</w:t>
      </w:r>
      <w:bookmarkEnd w:id="36"/>
      <w:r>
        <w:rPr>
          <w:rFonts w:hint="eastAsia" w:ascii="仿宋" w:hAnsi="仿宋" w:eastAsia="仿宋" w:cs="仿宋"/>
          <w:b/>
          <w:color w:val="auto"/>
          <w:sz w:val="36"/>
          <w:szCs w:val="20"/>
          <w:highlight w:val="none"/>
        </w:rPr>
        <w:t xml:space="preserve"> </w:t>
      </w:r>
      <w:bookmarkEnd w:id="37"/>
      <w:r>
        <w:rPr>
          <w:rFonts w:hint="eastAsia" w:ascii="仿宋" w:hAnsi="仿宋" w:eastAsia="仿宋" w:cs="仿宋"/>
          <w:b/>
          <w:color w:val="auto"/>
          <w:sz w:val="36"/>
          <w:szCs w:val="20"/>
          <w:highlight w:val="none"/>
        </w:rPr>
        <w:t>投标文件及其附件格式</w:t>
      </w:r>
    </w:p>
    <w:p w14:paraId="10835D0D">
      <w:pPr>
        <w:pStyle w:val="16"/>
        <w:shd w:val="clear"/>
        <w:rPr>
          <w:rFonts w:hint="eastAsia" w:ascii="仿宋" w:hAnsi="仿宋" w:eastAsia="仿宋" w:cs="仿宋"/>
          <w:b/>
          <w:bCs/>
          <w:color w:val="auto"/>
          <w:sz w:val="36"/>
          <w:szCs w:val="36"/>
          <w:highlight w:val="none"/>
        </w:rPr>
      </w:pPr>
    </w:p>
    <w:p w14:paraId="3C91A7DE">
      <w:pPr>
        <w:pStyle w:val="16"/>
        <w:shd w:val="clear"/>
        <w:rPr>
          <w:rFonts w:hint="eastAsia" w:ascii="仿宋" w:hAnsi="仿宋" w:eastAsia="仿宋" w:cs="仿宋"/>
          <w:color w:val="auto"/>
          <w:sz w:val="44"/>
          <w:szCs w:val="44"/>
          <w:highlight w:val="none"/>
        </w:rPr>
      </w:pPr>
      <w:r>
        <w:rPr>
          <w:rFonts w:hint="eastAsia" w:ascii="仿宋" w:hAnsi="仿宋" w:eastAsia="仿宋" w:cs="仿宋"/>
          <w:b/>
          <w:bCs/>
          <w:color w:val="auto"/>
          <w:sz w:val="36"/>
          <w:szCs w:val="36"/>
          <w:highlight w:val="none"/>
        </w:rPr>
        <w:t>投标文件封面</w:t>
      </w:r>
      <w:r>
        <w:rPr>
          <w:rFonts w:hint="eastAsia" w:ascii="仿宋" w:hAnsi="仿宋" w:eastAsia="仿宋" w:cs="仿宋"/>
          <w:color w:val="auto"/>
          <w:sz w:val="24"/>
          <w:szCs w:val="22"/>
          <w:highlight w:val="none"/>
        </w:rPr>
        <w:t xml:space="preserve">                                                       </w:t>
      </w:r>
    </w:p>
    <w:p w14:paraId="41879504">
      <w:pPr>
        <w:shd w:val="clear"/>
        <w:rPr>
          <w:rFonts w:hint="eastAsia" w:ascii="仿宋" w:hAnsi="仿宋" w:eastAsia="仿宋" w:cs="仿宋"/>
          <w:color w:val="auto"/>
          <w:sz w:val="44"/>
          <w:szCs w:val="44"/>
          <w:highlight w:val="none"/>
        </w:rPr>
      </w:pPr>
    </w:p>
    <w:p w14:paraId="4728388F">
      <w:pPr>
        <w:shd w:val="clear"/>
        <w:jc w:val="center"/>
        <w:rPr>
          <w:rFonts w:hint="eastAsia" w:ascii="仿宋" w:hAnsi="仿宋" w:eastAsia="仿宋" w:cs="仿宋"/>
          <w:color w:val="auto"/>
          <w:sz w:val="36"/>
          <w:szCs w:val="36"/>
          <w:highlight w:val="none"/>
        </w:rPr>
      </w:pPr>
      <w:r>
        <w:rPr>
          <w:rFonts w:hint="eastAsia" w:ascii="仿宋" w:hAnsi="仿宋" w:eastAsia="仿宋" w:cs="仿宋"/>
          <w:color w:val="auto"/>
          <w:sz w:val="48"/>
          <w:szCs w:val="48"/>
          <w:highlight w:val="none"/>
        </w:rPr>
        <w:t xml:space="preserve"> </w:t>
      </w:r>
      <w:r>
        <w:rPr>
          <w:rFonts w:hint="eastAsia" w:ascii="仿宋" w:hAnsi="仿宋" w:eastAsia="仿宋" w:cs="仿宋"/>
          <w:color w:val="auto"/>
          <w:sz w:val="36"/>
          <w:szCs w:val="36"/>
          <w:highlight w:val="none"/>
        </w:rPr>
        <w:t>(项目名称)项目</w:t>
      </w:r>
    </w:p>
    <w:p w14:paraId="0B9A4FE7">
      <w:pPr>
        <w:shd w:val="clear"/>
        <w:jc w:val="center"/>
        <w:rPr>
          <w:rFonts w:hint="eastAsia" w:ascii="宋体" w:hAnsi="宋体" w:cs="宋体"/>
          <w:color w:val="auto"/>
          <w:sz w:val="36"/>
          <w:szCs w:val="36"/>
          <w:highlight w:val="none"/>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lang w:eastAsia="zh-CN"/>
        </w:rPr>
        <w:t>330683263030010000010-SXWH2026-4-3</w:t>
      </w:r>
      <w:r>
        <w:rPr>
          <w:rFonts w:hint="eastAsia" w:ascii="宋体" w:hAnsi="宋体" w:cs="宋体"/>
          <w:color w:val="auto"/>
          <w:sz w:val="36"/>
          <w:szCs w:val="36"/>
          <w:highlight w:val="none"/>
        </w:rPr>
        <w:t> </w:t>
      </w:r>
    </w:p>
    <w:p w14:paraId="4EA38CDA">
      <w:pPr>
        <w:shd w:val="clear"/>
        <w:jc w:val="center"/>
        <w:rPr>
          <w:rFonts w:hint="eastAsia" w:ascii="仿宋" w:hAnsi="仿宋" w:eastAsia="仿宋" w:cs="仿宋"/>
          <w:b/>
          <w:bCs/>
          <w:color w:val="auto"/>
          <w:sz w:val="48"/>
          <w:szCs w:val="48"/>
          <w:highlight w:val="none"/>
        </w:rPr>
      </w:pPr>
    </w:p>
    <w:p w14:paraId="6FC83254">
      <w:pPr>
        <w:shd w:val="clear"/>
        <w:jc w:val="center"/>
        <w:rPr>
          <w:rFonts w:hint="eastAsia" w:ascii="仿宋" w:hAnsi="仿宋" w:eastAsia="仿宋" w:cs="仿宋"/>
          <w:b/>
          <w:bCs/>
          <w:color w:val="auto"/>
          <w:sz w:val="48"/>
          <w:szCs w:val="48"/>
          <w:highlight w:val="none"/>
        </w:rPr>
      </w:pPr>
    </w:p>
    <w:p w14:paraId="67E0C385">
      <w:pPr>
        <w:shd w:val="clear"/>
        <w:jc w:val="center"/>
        <w:rPr>
          <w:rFonts w:hint="eastAsia" w:ascii="仿宋" w:hAnsi="仿宋" w:eastAsia="仿宋" w:cs="仿宋"/>
          <w:b/>
          <w:bCs/>
          <w:color w:val="auto"/>
          <w:sz w:val="48"/>
          <w:szCs w:val="48"/>
          <w:highlight w:val="none"/>
        </w:rPr>
      </w:pPr>
    </w:p>
    <w:p w14:paraId="3B5D08FE">
      <w:pPr>
        <w:shd w:val="clear"/>
        <w:jc w:val="center"/>
        <w:rPr>
          <w:rFonts w:hint="eastAsia" w:ascii="仿宋" w:hAnsi="仿宋" w:eastAsia="仿宋" w:cs="仿宋"/>
          <w:b/>
          <w:bCs/>
          <w:color w:val="auto"/>
          <w:sz w:val="48"/>
          <w:szCs w:val="48"/>
          <w:highlight w:val="none"/>
        </w:rPr>
      </w:pPr>
    </w:p>
    <w:p w14:paraId="6A536E67">
      <w:pPr>
        <w:shd w:val="clear"/>
        <w:jc w:val="center"/>
        <w:rPr>
          <w:rFonts w:hint="eastAsia" w:ascii="仿宋" w:hAnsi="仿宋" w:eastAsia="仿宋" w:cs="仿宋"/>
          <w:b/>
          <w:bCs/>
          <w:color w:val="auto"/>
          <w:sz w:val="48"/>
          <w:szCs w:val="48"/>
          <w:highlight w:val="none"/>
        </w:rPr>
      </w:pPr>
    </w:p>
    <w:p w14:paraId="0FB447C9">
      <w:pPr>
        <w:shd w:val="clear"/>
        <w:jc w:val="center"/>
        <w:rPr>
          <w:rFonts w:hint="eastAsia" w:ascii="仿宋" w:hAnsi="仿宋" w:eastAsia="仿宋" w:cs="仿宋"/>
          <w:b/>
          <w:bCs/>
          <w:color w:val="auto"/>
          <w:sz w:val="48"/>
          <w:szCs w:val="48"/>
          <w:highlight w:val="none"/>
        </w:rPr>
      </w:pPr>
    </w:p>
    <w:p w14:paraId="6F30E235">
      <w:pPr>
        <w:shd w:val="clear"/>
        <w:jc w:val="center"/>
        <w:rPr>
          <w:rFonts w:hint="eastAsia" w:ascii="仿宋" w:hAnsi="仿宋" w:eastAsia="仿宋" w:cs="仿宋"/>
          <w:b/>
          <w:bCs/>
          <w:color w:val="auto"/>
          <w:sz w:val="52"/>
          <w:szCs w:val="52"/>
          <w:highlight w:val="none"/>
        </w:rPr>
      </w:pPr>
      <w:r>
        <w:rPr>
          <w:rFonts w:hint="eastAsia" w:ascii="仿宋" w:hAnsi="仿宋" w:eastAsia="仿宋" w:cs="仿宋"/>
          <w:b/>
          <w:bCs/>
          <w:color w:val="auto"/>
          <w:sz w:val="48"/>
          <w:szCs w:val="48"/>
          <w:highlight w:val="none"/>
        </w:rPr>
        <w:t>资格文件/商务技术文件/报价文件</w:t>
      </w:r>
    </w:p>
    <w:p w14:paraId="4BDF80FC">
      <w:pPr>
        <w:shd w:val="clear"/>
        <w:rPr>
          <w:rFonts w:hint="eastAsia" w:ascii="仿宋" w:hAnsi="仿宋" w:eastAsia="仿宋" w:cs="仿宋"/>
          <w:color w:val="auto"/>
          <w:highlight w:val="none"/>
        </w:rPr>
      </w:pPr>
    </w:p>
    <w:p w14:paraId="1903D1E4">
      <w:pPr>
        <w:shd w:val="clear"/>
        <w:rPr>
          <w:rFonts w:hint="eastAsia" w:ascii="仿宋" w:hAnsi="仿宋" w:eastAsia="仿宋" w:cs="仿宋"/>
          <w:color w:val="auto"/>
          <w:highlight w:val="none"/>
        </w:rPr>
      </w:pPr>
    </w:p>
    <w:p w14:paraId="088B1B3A">
      <w:pPr>
        <w:shd w:val="clear"/>
        <w:rPr>
          <w:rFonts w:hint="eastAsia" w:ascii="仿宋" w:hAnsi="仿宋" w:eastAsia="仿宋" w:cs="仿宋"/>
          <w:color w:val="auto"/>
          <w:highlight w:val="none"/>
        </w:rPr>
      </w:pPr>
    </w:p>
    <w:p w14:paraId="767D4E23">
      <w:pPr>
        <w:pStyle w:val="40"/>
        <w:shd w:val="clear"/>
        <w:ind w:firstLine="420"/>
        <w:rPr>
          <w:rFonts w:hint="eastAsia" w:ascii="仿宋" w:hAnsi="仿宋" w:eastAsia="仿宋" w:cs="仿宋"/>
          <w:color w:val="auto"/>
          <w:highlight w:val="none"/>
        </w:rPr>
      </w:pPr>
    </w:p>
    <w:p w14:paraId="7378B525">
      <w:pPr>
        <w:pStyle w:val="40"/>
        <w:shd w:val="clear"/>
        <w:ind w:firstLine="420"/>
        <w:rPr>
          <w:rFonts w:hint="eastAsia" w:ascii="仿宋" w:hAnsi="仿宋" w:eastAsia="仿宋" w:cs="仿宋"/>
          <w:color w:val="auto"/>
          <w:highlight w:val="none"/>
        </w:rPr>
      </w:pPr>
    </w:p>
    <w:p w14:paraId="32292A31">
      <w:pPr>
        <w:pStyle w:val="40"/>
        <w:shd w:val="clear"/>
        <w:ind w:firstLine="420"/>
        <w:rPr>
          <w:rFonts w:hint="eastAsia" w:ascii="仿宋" w:hAnsi="仿宋" w:eastAsia="仿宋" w:cs="仿宋"/>
          <w:color w:val="auto"/>
          <w:highlight w:val="none"/>
        </w:rPr>
      </w:pPr>
    </w:p>
    <w:p w14:paraId="3D8D90CD">
      <w:pPr>
        <w:pStyle w:val="40"/>
        <w:shd w:val="clear"/>
        <w:ind w:firstLine="420"/>
        <w:rPr>
          <w:rFonts w:hint="eastAsia" w:ascii="仿宋" w:hAnsi="仿宋" w:eastAsia="仿宋" w:cs="仿宋"/>
          <w:color w:val="auto"/>
          <w:highlight w:val="none"/>
        </w:rPr>
      </w:pPr>
    </w:p>
    <w:p w14:paraId="7A62A9F0">
      <w:pPr>
        <w:pStyle w:val="40"/>
        <w:shd w:val="clear"/>
        <w:ind w:firstLine="420"/>
        <w:rPr>
          <w:rFonts w:hint="eastAsia" w:ascii="仿宋" w:hAnsi="仿宋" w:eastAsia="仿宋" w:cs="仿宋"/>
          <w:color w:val="auto"/>
          <w:highlight w:val="none"/>
        </w:rPr>
      </w:pPr>
    </w:p>
    <w:p w14:paraId="57B6304F">
      <w:pPr>
        <w:pStyle w:val="12"/>
        <w:shd w:val="clear"/>
        <w:rPr>
          <w:rFonts w:hint="eastAsia" w:ascii="仿宋" w:hAnsi="仿宋" w:eastAsia="仿宋" w:cs="仿宋"/>
          <w:color w:val="auto"/>
          <w:highlight w:val="none"/>
        </w:rPr>
      </w:pPr>
    </w:p>
    <w:p w14:paraId="142283C1">
      <w:pPr>
        <w:pStyle w:val="13"/>
        <w:shd w:val="clear"/>
        <w:rPr>
          <w:rFonts w:hint="eastAsia" w:ascii="仿宋" w:hAnsi="仿宋" w:eastAsia="仿宋" w:cs="仿宋"/>
          <w:color w:val="auto"/>
          <w:highlight w:val="none"/>
        </w:rPr>
      </w:pPr>
    </w:p>
    <w:p w14:paraId="37E54E62">
      <w:pPr>
        <w:shd w:val="clear"/>
        <w:rPr>
          <w:rFonts w:hint="eastAsia" w:ascii="仿宋" w:hAnsi="仿宋" w:eastAsia="仿宋" w:cs="仿宋"/>
          <w:color w:val="auto"/>
          <w:highlight w:val="none"/>
        </w:rPr>
      </w:pPr>
    </w:p>
    <w:p w14:paraId="30AC8796">
      <w:pPr>
        <w:shd w:val="clear"/>
        <w:rPr>
          <w:rFonts w:hint="eastAsia" w:ascii="仿宋" w:hAnsi="仿宋" w:eastAsia="仿宋" w:cs="仿宋"/>
          <w:color w:val="auto"/>
          <w:highlight w:val="none"/>
        </w:rPr>
      </w:pPr>
    </w:p>
    <w:p w14:paraId="2EAD2859">
      <w:pPr>
        <w:shd w:val="clear"/>
        <w:ind w:firstLine="480"/>
        <w:rPr>
          <w:rFonts w:hint="eastAsia" w:ascii="仿宋" w:hAnsi="仿宋" w:eastAsia="仿宋" w:cs="仿宋"/>
          <w:color w:val="auto"/>
          <w:highlight w:val="none"/>
        </w:rPr>
      </w:pPr>
    </w:p>
    <w:p w14:paraId="37E47521">
      <w:pPr>
        <w:shd w:val="clear"/>
        <w:spacing w:line="360" w:lineRule="auto"/>
        <w:ind w:firstLine="640"/>
        <w:rPr>
          <w:rFonts w:hint="eastAsia" w:ascii="仿宋" w:hAnsi="仿宋" w:eastAsia="仿宋" w:cs="仿宋"/>
          <w:color w:val="auto"/>
          <w:sz w:val="32"/>
          <w:highlight w:val="none"/>
          <w:u w:val="single"/>
        </w:rPr>
      </w:pPr>
      <w:r>
        <w:rPr>
          <w:rFonts w:hint="eastAsia" w:ascii="仿宋" w:hAnsi="仿宋" w:eastAsia="仿宋" w:cs="仿宋"/>
          <w:color w:val="auto"/>
          <w:sz w:val="32"/>
          <w:highlight w:val="none"/>
        </w:rPr>
        <w:t>投 标 人：</w:t>
      </w:r>
      <w:r>
        <w:rPr>
          <w:rFonts w:hint="eastAsia" w:ascii="仿宋" w:hAnsi="仿宋" w:eastAsia="仿宋" w:cs="仿宋"/>
          <w:color w:val="auto"/>
          <w:sz w:val="32"/>
          <w:highlight w:val="none"/>
          <w:u w:val="single"/>
        </w:rPr>
        <w:t xml:space="preserve">     （全称）（加盖公章）    </w:t>
      </w:r>
    </w:p>
    <w:p w14:paraId="35999AF9">
      <w:pPr>
        <w:shd w:val="clear"/>
        <w:spacing w:line="360" w:lineRule="auto"/>
        <w:ind w:firstLine="640" w:firstLineChars="200"/>
        <w:outlineLvl w:val="0"/>
        <w:rPr>
          <w:rFonts w:hint="eastAsia" w:ascii="仿宋" w:hAnsi="仿宋" w:eastAsia="仿宋" w:cs="仿宋"/>
          <w:b/>
          <w:color w:val="auto"/>
          <w:kern w:val="0"/>
          <w:sz w:val="36"/>
          <w:szCs w:val="36"/>
          <w:highlight w:val="none"/>
        </w:rPr>
      </w:pPr>
      <w:r>
        <w:rPr>
          <w:rFonts w:hint="eastAsia" w:ascii="仿宋" w:hAnsi="仿宋" w:eastAsia="仿宋" w:cs="仿宋"/>
          <w:color w:val="auto"/>
          <w:sz w:val="32"/>
          <w:highlight w:val="none"/>
        </w:rPr>
        <w:t>投标人地址：</w:t>
      </w:r>
      <w:r>
        <w:rPr>
          <w:rFonts w:hint="eastAsia" w:ascii="仿宋" w:hAnsi="仿宋" w:eastAsia="仿宋" w:cs="仿宋"/>
          <w:color w:val="auto"/>
          <w:sz w:val="32"/>
          <w:highlight w:val="none"/>
          <w:u w:val="single"/>
        </w:rPr>
        <w:t xml:space="preserve">                           </w:t>
      </w:r>
    </w:p>
    <w:p w14:paraId="3F750B71">
      <w:pPr>
        <w:shd w:val="clear"/>
        <w:spacing w:line="360" w:lineRule="auto"/>
        <w:jc w:val="center"/>
        <w:outlineLvl w:val="0"/>
        <w:rPr>
          <w:rFonts w:hint="eastAsia" w:ascii="仿宋" w:hAnsi="仿宋" w:eastAsia="仿宋" w:cs="仿宋"/>
          <w:bCs/>
          <w:color w:val="auto"/>
          <w:kern w:val="0"/>
          <w:sz w:val="36"/>
          <w:szCs w:val="36"/>
          <w:highlight w:val="none"/>
        </w:rPr>
      </w:pPr>
      <w:r>
        <w:rPr>
          <w:rFonts w:hint="eastAsia" w:ascii="仿宋" w:hAnsi="仿宋" w:eastAsia="仿宋" w:cs="仿宋"/>
          <w:bCs/>
          <w:color w:val="auto"/>
          <w:kern w:val="0"/>
          <w:sz w:val="36"/>
          <w:szCs w:val="36"/>
          <w:highlight w:val="none"/>
        </w:rPr>
        <w:t>日期:   年   月  日</w:t>
      </w:r>
    </w:p>
    <w:p w14:paraId="2365CC96">
      <w:pPr>
        <w:shd w:val="clear"/>
        <w:spacing w:line="360" w:lineRule="auto"/>
        <w:jc w:val="center"/>
        <w:outlineLvl w:val="0"/>
        <w:rPr>
          <w:rFonts w:hint="eastAsia" w:ascii="仿宋" w:hAnsi="仿宋" w:eastAsia="仿宋" w:cs="仿宋"/>
          <w:b/>
          <w:color w:val="auto"/>
          <w:kern w:val="0"/>
          <w:sz w:val="36"/>
          <w:szCs w:val="36"/>
          <w:highlight w:val="none"/>
        </w:rPr>
      </w:pPr>
    </w:p>
    <w:p w14:paraId="717D6C33">
      <w:pPr>
        <w:shd w:val="clea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资格文件部分</w:t>
      </w:r>
    </w:p>
    <w:p w14:paraId="3C66BC68">
      <w:pPr>
        <w:shd w:val="clea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52A1A6B8">
      <w:pPr>
        <w:shd w:val="clear"/>
        <w:spacing w:line="360" w:lineRule="auto"/>
        <w:jc w:val="center"/>
        <w:outlineLvl w:val="0"/>
        <w:rPr>
          <w:rFonts w:hint="eastAsia" w:ascii="仿宋" w:hAnsi="仿宋" w:eastAsia="仿宋" w:cs="仿宋"/>
          <w:b/>
          <w:color w:val="auto"/>
          <w:kern w:val="0"/>
          <w:sz w:val="36"/>
          <w:szCs w:val="36"/>
          <w:highlight w:val="none"/>
        </w:rPr>
      </w:pPr>
    </w:p>
    <w:p w14:paraId="03FC30D3">
      <w:pPr>
        <w:shd w:val="clea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（1）营业执照(或事业法人登记证或其他工商等登记证明材料)扫描件……（页码）</w:t>
      </w:r>
    </w:p>
    <w:p w14:paraId="550B0C0A">
      <w:pPr>
        <w:shd w:val="clea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（2）符合参加政府采购活动应当具备的一般条件的承诺函…………………（页码）</w:t>
      </w:r>
    </w:p>
    <w:p w14:paraId="06B09C8D">
      <w:pPr>
        <w:shd w:val="clear"/>
        <w:snapToGrid w:val="0"/>
        <w:spacing w:line="360" w:lineRule="auto"/>
        <w:rPr>
          <w:rFonts w:hint="eastAsia" w:ascii="仿宋" w:hAnsi="仿宋" w:eastAsia="仿宋" w:cs="仿宋"/>
          <w:color w:val="auto"/>
          <w:sz w:val="24"/>
          <w:highlight w:val="none"/>
        </w:rPr>
      </w:pPr>
      <w:r>
        <w:rPr>
          <w:rFonts w:hint="eastAsia" w:ascii="仿宋" w:hAnsi="仿宋" w:eastAsia="仿宋" w:cs="仿宋"/>
          <w:snapToGrid w:val="0"/>
          <w:color w:val="auto"/>
          <w:kern w:val="28"/>
          <w:sz w:val="24"/>
          <w:szCs w:val="20"/>
          <w:highlight w:val="none"/>
        </w:rPr>
        <w:t>（3）联合协议</w:t>
      </w:r>
      <w:r>
        <w:rPr>
          <w:rFonts w:hint="eastAsia" w:ascii="仿宋" w:hAnsi="仿宋" w:eastAsia="仿宋" w:cs="仿宋"/>
          <w:color w:val="auto"/>
          <w:sz w:val="24"/>
          <w:highlight w:val="none"/>
        </w:rPr>
        <w:t>……………………………………………………………………（页码）</w:t>
      </w:r>
    </w:p>
    <w:p w14:paraId="348B91B1">
      <w:pPr>
        <w:pStyle w:val="12"/>
        <w:shd w:val="clear"/>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rPr>
        <w:t>4</w:t>
      </w:r>
      <w:r>
        <w:rPr>
          <w:rFonts w:hint="eastAsia" w:ascii="仿宋" w:hAnsi="仿宋" w:eastAsia="仿宋" w:cs="仿宋"/>
          <w:color w:val="auto"/>
          <w:highlight w:val="none"/>
        </w:rPr>
        <w:t>）分包协议…………………………………………………………</w:t>
      </w:r>
      <w:r>
        <w:rPr>
          <w:rFonts w:hint="eastAsia" w:ascii="仿宋" w:hAnsi="仿宋" w:eastAsia="仿宋" w:cs="仿宋"/>
          <w:color w:val="auto"/>
          <w:sz w:val="24"/>
          <w:highlight w:val="none"/>
        </w:rPr>
        <w:t>……</w:t>
      </w:r>
      <w:r>
        <w:rPr>
          <w:rFonts w:hint="eastAsia" w:ascii="仿宋" w:hAnsi="仿宋" w:eastAsia="仿宋" w:cs="仿宋"/>
          <w:color w:val="auto"/>
          <w:highlight w:val="none"/>
        </w:rPr>
        <w:t>……（页码）</w:t>
      </w:r>
    </w:p>
    <w:p w14:paraId="22CA37B8">
      <w:pPr>
        <w:shd w:val="clea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（5）落实政府采购政策需满足的资格要求……………………………………（页码）</w:t>
      </w:r>
    </w:p>
    <w:p w14:paraId="64FCB10A">
      <w:pPr>
        <w:shd w:val="clea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（6）本项目的特定资格要求……………………………………………………（页码）</w:t>
      </w:r>
    </w:p>
    <w:p w14:paraId="08871A66">
      <w:pPr>
        <w:shd w:val="clear"/>
        <w:snapToGrid w:val="0"/>
        <w:spacing w:line="360" w:lineRule="auto"/>
        <w:ind w:firstLine="480" w:firstLineChars="200"/>
        <w:rPr>
          <w:rFonts w:hint="eastAsia" w:ascii="仿宋" w:hAnsi="仿宋" w:eastAsia="仿宋" w:cs="仿宋"/>
          <w:color w:val="auto"/>
          <w:sz w:val="24"/>
          <w:highlight w:val="none"/>
        </w:rPr>
      </w:pPr>
    </w:p>
    <w:p w14:paraId="1041CFAF">
      <w:pPr>
        <w:shd w:val="clear"/>
        <w:spacing w:line="360" w:lineRule="auto"/>
        <w:ind w:firstLine="480" w:firstLineChars="200"/>
        <w:rPr>
          <w:rFonts w:hint="eastAsia" w:ascii="仿宋" w:hAnsi="仿宋" w:eastAsia="仿宋" w:cs="仿宋"/>
          <w:color w:val="auto"/>
          <w:sz w:val="24"/>
          <w:highlight w:val="none"/>
        </w:rPr>
      </w:pPr>
    </w:p>
    <w:p w14:paraId="18DE5B34">
      <w:pPr>
        <w:shd w:val="clear"/>
        <w:snapToGrid w:val="0"/>
        <w:spacing w:line="360" w:lineRule="auto"/>
        <w:ind w:right="480"/>
        <w:jc w:val="center"/>
        <w:rPr>
          <w:rFonts w:hint="eastAsia" w:ascii="仿宋" w:hAnsi="仿宋" w:eastAsia="仿宋" w:cs="仿宋"/>
          <w:b/>
          <w:color w:val="auto"/>
          <w:kern w:val="0"/>
          <w:sz w:val="32"/>
          <w:szCs w:val="32"/>
          <w:highlight w:val="none"/>
        </w:rPr>
      </w:pPr>
      <w:r>
        <w:rPr>
          <w:rFonts w:hint="eastAsia" w:ascii="仿宋" w:hAnsi="仿宋" w:eastAsia="仿宋" w:cs="仿宋"/>
          <w:color w:val="auto"/>
          <w:kern w:val="0"/>
          <w:sz w:val="24"/>
          <w:highlight w:val="none"/>
        </w:rPr>
        <w:br w:type="page"/>
      </w:r>
      <w:r>
        <w:rPr>
          <w:rFonts w:hint="eastAsia" w:ascii="仿宋" w:hAnsi="仿宋" w:eastAsia="仿宋" w:cs="仿宋"/>
          <w:b/>
          <w:color w:val="auto"/>
          <w:kern w:val="0"/>
          <w:sz w:val="32"/>
          <w:szCs w:val="32"/>
          <w:highlight w:val="none"/>
        </w:rPr>
        <w:t xml:space="preserve">  一、 营业执照(或事业法人登记证或其他工商等登记证明材料)扫描件</w:t>
      </w:r>
    </w:p>
    <w:p w14:paraId="31F9FB8C">
      <w:pPr>
        <w:shd w:val="clear"/>
        <w:snapToGrid w:val="0"/>
        <w:spacing w:line="360" w:lineRule="auto"/>
        <w:ind w:right="480"/>
        <w:jc w:val="center"/>
        <w:rPr>
          <w:rFonts w:hint="eastAsia" w:ascii="仿宋" w:hAnsi="仿宋" w:eastAsia="仿宋" w:cs="仿宋"/>
          <w:b/>
          <w:color w:val="auto"/>
          <w:kern w:val="0"/>
          <w:sz w:val="32"/>
          <w:szCs w:val="32"/>
          <w:highlight w:val="none"/>
        </w:rPr>
      </w:pPr>
    </w:p>
    <w:p w14:paraId="4490E6C9">
      <w:pPr>
        <w:shd w:val="clear"/>
        <w:snapToGrid w:val="0"/>
        <w:spacing w:line="360" w:lineRule="auto"/>
        <w:ind w:right="48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二、符合参加政府采购活动应当具备的一般条件的承诺函</w:t>
      </w:r>
    </w:p>
    <w:p w14:paraId="60220FE1">
      <w:pPr>
        <w:shd w:val="clea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w:t>
      </w:r>
    </w:p>
    <w:p w14:paraId="5F86B94C">
      <w:pPr>
        <w:shd w:val="clea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我方参与（项目名称）【招标编号：（采购编号）】政府采购活动，郑重承诺：</w:t>
      </w:r>
    </w:p>
    <w:p w14:paraId="54D62AF4">
      <w:pPr>
        <w:shd w:val="clear"/>
        <w:snapToGrid w:val="0"/>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（一）具备《中华人民共和国政府采购法》第二十二条第一款规定的条件：</w:t>
      </w:r>
    </w:p>
    <w:p w14:paraId="4501E883">
      <w:pPr>
        <w:shd w:val="clea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r>
        <w:rPr>
          <w:rFonts w:hint="eastAsia" w:ascii="仿宋_GB2312" w:hAnsi="仿宋" w:eastAsia="仿宋_GB2312" w:cs="仿宋_GB2312"/>
          <w:color w:val="auto"/>
          <w:sz w:val="24"/>
          <w:highlight w:val="none"/>
        </w:rPr>
        <w:t>（</w:t>
      </w:r>
      <w:r>
        <w:rPr>
          <w:rFonts w:hint="eastAsia" w:ascii="仿宋_GB2312" w:hAnsi="仿宋" w:eastAsia="仿宋_GB2312"/>
          <w:color w:val="auto"/>
          <w:sz w:val="24"/>
          <w:highlight w:val="none"/>
        </w:rPr>
        <w:t>如投标人为</w:t>
      </w:r>
      <w:r>
        <w:rPr>
          <w:rFonts w:hint="eastAsia" w:ascii="仿宋_GB2312" w:hAnsi="仿宋_GB2312" w:eastAsia="仿宋_GB2312" w:cs="仿宋_GB2312"/>
          <w:color w:val="auto"/>
          <w:sz w:val="24"/>
          <w:highlight w:val="none"/>
        </w:rPr>
        <w:t>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42F5DB5E">
      <w:pPr>
        <w:shd w:val="clea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2、具有良好的商业信誉和健全的财务会计制度； </w:t>
      </w:r>
    </w:p>
    <w:p w14:paraId="32B44196">
      <w:pPr>
        <w:shd w:val="clea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14:paraId="65E8411B">
      <w:pPr>
        <w:shd w:val="clea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14:paraId="2ABA4BC8">
      <w:pPr>
        <w:shd w:val="clea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5、参加政府采购活动前三年内，在经营活动中没有重大违法记录；</w:t>
      </w:r>
    </w:p>
    <w:p w14:paraId="4BE9AC70">
      <w:pPr>
        <w:shd w:val="clea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6、具有法律、行政法规规定的其他条件。</w:t>
      </w:r>
    </w:p>
    <w:p w14:paraId="2B0B0D98">
      <w:pPr>
        <w:shd w:val="clea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（二）未被信用中国（www.creditchina.gov.cn)、中国政府采购网（www.ccgp.gov.cn）列入失信被执行人、重大税收违法案件当事人名单、政府采购严重违法失信行为记录名单。</w:t>
      </w:r>
    </w:p>
    <w:p w14:paraId="594F07B4">
      <w:pPr>
        <w:shd w:val="clea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（三）不存在以下情况：</w:t>
      </w:r>
    </w:p>
    <w:p w14:paraId="2347328F">
      <w:pPr>
        <w:shd w:val="clea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1、单位负责人为同一人或者存在直接控股、管理关系的不同供应商参加同一合同项下的政府采购活动的；</w:t>
      </w:r>
    </w:p>
    <w:p w14:paraId="648119BC">
      <w:pPr>
        <w:shd w:val="clea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2、为采购项目提供整体设计、规范编制或者项目管理、监理、检测等服务后再参加该采购项目的其他采购活动的。</w:t>
      </w:r>
    </w:p>
    <w:p w14:paraId="3C3A3F3C">
      <w:pPr>
        <w:shd w:val="clea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以上承诺如有虚假或隐瞒，采购人可取消我方任何资格（投标/中标/签订合同），我方对此无任何异议，并愿意承担一切后果和责任。</w:t>
      </w:r>
    </w:p>
    <w:p w14:paraId="300AE2F9">
      <w:pPr>
        <w:shd w:val="clear"/>
        <w:snapToGrid w:val="0"/>
        <w:spacing w:line="360" w:lineRule="auto"/>
        <w:ind w:firstLine="480" w:firstLineChars="200"/>
        <w:rPr>
          <w:rFonts w:hint="eastAsia" w:ascii="仿宋" w:hAnsi="仿宋" w:eastAsia="仿宋" w:cs="仿宋"/>
          <w:color w:val="auto"/>
          <w:sz w:val="24"/>
          <w:highlight w:val="none"/>
        </w:rPr>
      </w:pPr>
    </w:p>
    <w:p w14:paraId="63C7A18F">
      <w:pPr>
        <w:shd w:val="clear"/>
        <w:snapToGrid w:val="0"/>
        <w:spacing w:line="360" w:lineRule="auto"/>
        <w:ind w:firstLine="5520" w:firstLineChars="2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投标人名称(电子签名)：</w:t>
      </w:r>
    </w:p>
    <w:p w14:paraId="225EF666">
      <w:pPr>
        <w:shd w:val="clear"/>
        <w:snapToGrid w:val="0"/>
        <w:spacing w:line="360" w:lineRule="auto"/>
        <w:rPr>
          <w:rFonts w:hint="eastAsia" w:ascii="仿宋" w:hAnsi="仿宋" w:eastAsia="仿宋" w:cs="仿宋"/>
          <w:b/>
          <w:color w:val="auto"/>
          <w:kern w:val="0"/>
          <w:sz w:val="32"/>
          <w:szCs w:val="32"/>
          <w:highlight w:val="none"/>
        </w:rPr>
      </w:pPr>
      <w:r>
        <w:rPr>
          <w:rFonts w:hint="eastAsia" w:ascii="仿宋" w:hAnsi="仿宋" w:eastAsia="仿宋" w:cs="仿宋"/>
          <w:color w:val="auto"/>
          <w:kern w:val="0"/>
          <w:sz w:val="24"/>
          <w:highlight w:val="none"/>
          <w:lang w:val="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50015308">
      <w:pPr>
        <w:widowControl/>
        <w:shd w:val="clear"/>
        <w:spacing w:line="360" w:lineRule="auto"/>
        <w:ind w:firstLine="643" w:firstLineChars="20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三、联合协议（如有）</w:t>
      </w:r>
    </w:p>
    <w:p w14:paraId="4754F1D2">
      <w:pPr>
        <w:widowControl/>
        <w:shd w:val="clear"/>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[以联合体形式投标的，提供联合协议（附件4）；本项目不接受联合体投标或者投标供应商不以联合体形式投标的，则不需要提供）]</w:t>
      </w:r>
    </w:p>
    <w:p w14:paraId="29E80BD3">
      <w:pPr>
        <w:shd w:val="clear"/>
        <w:snapToGrid w:val="0"/>
        <w:spacing w:line="360" w:lineRule="auto"/>
        <w:ind w:right="480"/>
        <w:jc w:val="center"/>
        <w:rPr>
          <w:rFonts w:hint="eastAsia" w:ascii="仿宋" w:hAnsi="仿宋" w:eastAsia="仿宋" w:cs="仿宋"/>
          <w:b/>
          <w:color w:val="auto"/>
          <w:kern w:val="0"/>
          <w:sz w:val="32"/>
          <w:szCs w:val="32"/>
          <w:highlight w:val="none"/>
        </w:rPr>
      </w:pPr>
    </w:p>
    <w:p w14:paraId="108B00A9">
      <w:pPr>
        <w:shd w:val="clear"/>
        <w:snapToGrid w:val="0"/>
        <w:spacing w:line="360" w:lineRule="auto"/>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四、分包意向协议（如有）</w:t>
      </w:r>
    </w:p>
    <w:p w14:paraId="448A31B0">
      <w:pPr>
        <w:widowControl/>
        <w:shd w:val="clear"/>
        <w:spacing w:line="360" w:lineRule="auto"/>
        <w:ind w:firstLine="361" w:firstLineChars="1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[中标后以分包方式履行合同的，提供分包意向协议(附件5)；采购人不同意分包或者投标供应商中标后不以分包方式履行合同的，则不需要提供。]</w:t>
      </w:r>
    </w:p>
    <w:p w14:paraId="312A418F">
      <w:pPr>
        <w:shd w:val="clear"/>
        <w:snapToGrid w:val="0"/>
        <w:spacing w:line="360" w:lineRule="auto"/>
        <w:ind w:right="480"/>
        <w:jc w:val="center"/>
        <w:rPr>
          <w:rFonts w:hint="eastAsia" w:ascii="仿宋" w:hAnsi="仿宋" w:eastAsia="仿宋" w:cs="仿宋"/>
          <w:b/>
          <w:color w:val="auto"/>
          <w:kern w:val="0"/>
          <w:sz w:val="32"/>
          <w:szCs w:val="32"/>
          <w:highlight w:val="none"/>
        </w:rPr>
      </w:pPr>
    </w:p>
    <w:p w14:paraId="7B6559DB">
      <w:pPr>
        <w:shd w:val="clear"/>
        <w:snapToGrid w:val="0"/>
        <w:spacing w:line="360" w:lineRule="auto"/>
        <w:ind w:right="48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五、落实政府采购政策需满足的资格要求</w:t>
      </w:r>
    </w:p>
    <w:p w14:paraId="08343559">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（根据招标公告落实政府采购政策需满足的资格要求选择提供相应的材料；未要求的，无需提供）</w:t>
      </w:r>
    </w:p>
    <w:p w14:paraId="25F05F52">
      <w:pPr>
        <w:shd w:val="clear"/>
        <w:snapToGrid w:val="0"/>
        <w:spacing w:before="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专门面向中小企业，服务全部由符合政策要求的中小企业（或小微企业）承接的，提供相应的中小企业声明函（附件7）。 </w:t>
      </w:r>
    </w:p>
    <w:p w14:paraId="6647AE36">
      <w:pPr>
        <w:widowControl/>
        <w:shd w:val="clear"/>
        <w:spacing w:line="360" w:lineRule="auto"/>
        <w:ind w:left="150"/>
        <w:jc w:val="center"/>
        <w:rPr>
          <w:rFonts w:hint="eastAsia" w:ascii="仿宋" w:hAnsi="仿宋" w:eastAsia="仿宋" w:cs="仿宋"/>
          <w:b/>
          <w:color w:val="auto"/>
          <w:kern w:val="0"/>
          <w:sz w:val="32"/>
          <w:szCs w:val="32"/>
          <w:highlight w:val="none"/>
        </w:rPr>
      </w:pPr>
    </w:p>
    <w:p w14:paraId="760E8D84">
      <w:pPr>
        <w:widowControl/>
        <w:shd w:val="clear"/>
        <w:spacing w:line="360" w:lineRule="auto"/>
        <w:ind w:left="15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六、本项目的特定资格要求</w:t>
      </w:r>
    </w:p>
    <w:p w14:paraId="468AE539">
      <w:pPr>
        <w:shd w:val="clea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（根据招标公告本项目的特定资格要求提供相应的材料；未要求的，无需提供）</w:t>
      </w:r>
    </w:p>
    <w:p w14:paraId="703D4334">
      <w:pPr>
        <w:shd w:val="clear"/>
        <w:spacing w:line="360" w:lineRule="auto"/>
        <w:jc w:val="center"/>
        <w:outlineLvl w:val="0"/>
        <w:rPr>
          <w:rFonts w:hint="eastAsia" w:ascii="仿宋" w:hAnsi="仿宋" w:eastAsia="仿宋" w:cs="仿宋"/>
          <w:b/>
          <w:color w:val="auto"/>
          <w:kern w:val="0"/>
          <w:sz w:val="24"/>
          <w:highlight w:val="none"/>
        </w:rPr>
      </w:pPr>
    </w:p>
    <w:p w14:paraId="0F163503">
      <w:pPr>
        <w:shd w:val="clea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br w:type="page"/>
      </w:r>
    </w:p>
    <w:p w14:paraId="66A648E5">
      <w:pPr>
        <w:shd w:val="clear"/>
        <w:spacing w:line="336" w:lineRule="auto"/>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商务技术文件部分</w:t>
      </w:r>
    </w:p>
    <w:p w14:paraId="35368E05">
      <w:pPr>
        <w:shd w:val="clear"/>
        <w:spacing w:line="336" w:lineRule="auto"/>
        <w:jc w:val="center"/>
        <w:outlineLvl w:val="0"/>
        <w:rPr>
          <w:rFonts w:hint="eastAsia" w:ascii="仿宋" w:hAnsi="仿宋" w:eastAsia="仿宋" w:cs="仿宋"/>
          <w:b/>
          <w:color w:val="auto"/>
          <w:kern w:val="0"/>
          <w:sz w:val="24"/>
          <w:highlight w:val="none"/>
        </w:rPr>
      </w:pPr>
    </w:p>
    <w:p w14:paraId="7A0CD20D">
      <w:pPr>
        <w:shd w:val="clear"/>
        <w:spacing w:line="336" w:lineRule="auto"/>
        <w:jc w:val="center"/>
        <w:outlineLvl w:val="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目录</w:t>
      </w:r>
    </w:p>
    <w:p w14:paraId="6529DF7B">
      <w:pPr>
        <w:pStyle w:val="41"/>
        <w:numPr>
          <w:ilvl w:val="0"/>
          <w:numId w:val="11"/>
        </w:numPr>
        <w:shd w:val="clear"/>
        <w:spacing w:line="336" w:lineRule="auto"/>
        <w:ind w:left="0" w:firstLine="0" w:firstLineChars="0"/>
        <w:rPr>
          <w:rFonts w:hint="eastAsia" w:ascii="仿宋" w:eastAsia="仿宋" w:cs="仿宋"/>
          <w:color w:val="auto"/>
          <w:highlight w:val="none"/>
        </w:rPr>
      </w:pPr>
      <w:r>
        <w:rPr>
          <w:rFonts w:hint="eastAsia" w:ascii="仿宋" w:eastAsia="仿宋" w:cs="仿宋"/>
          <w:color w:val="auto"/>
          <w:highlight w:val="none"/>
        </w:rPr>
        <w:t>评分索引表……………………………………………………………………（页码）</w:t>
      </w:r>
    </w:p>
    <w:p w14:paraId="7BAAB73A">
      <w:pPr>
        <w:pStyle w:val="41"/>
        <w:numPr>
          <w:ilvl w:val="0"/>
          <w:numId w:val="11"/>
        </w:numPr>
        <w:shd w:val="clear"/>
        <w:spacing w:line="336" w:lineRule="auto"/>
        <w:ind w:left="0" w:firstLine="0" w:firstLineChars="0"/>
        <w:rPr>
          <w:rFonts w:hint="eastAsia" w:ascii="仿宋" w:eastAsia="仿宋" w:cs="仿宋"/>
          <w:color w:val="auto"/>
          <w:highlight w:val="none"/>
        </w:rPr>
      </w:pPr>
      <w:r>
        <w:rPr>
          <w:rFonts w:hint="eastAsia" w:ascii="仿宋" w:eastAsia="仿宋" w:cs="仿宋"/>
          <w:color w:val="auto"/>
          <w:highlight w:val="none"/>
        </w:rPr>
        <w:t>投标函…………………………………………………………………………（页码）</w:t>
      </w:r>
    </w:p>
    <w:p w14:paraId="4FF3F431">
      <w:pPr>
        <w:shd w:val="clear"/>
        <w:snapToGrid w:val="0"/>
        <w:spacing w:line="360" w:lineRule="auto"/>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（3）营业执照(或事业法人登记证或其他工商等登记证明材料)扫描件</w:t>
      </w:r>
      <w:r>
        <w:rPr>
          <w:rFonts w:hint="eastAsia" w:ascii="仿宋" w:eastAsia="仿宋" w:cs="仿宋"/>
          <w:color w:val="auto"/>
          <w:highlight w:val="none"/>
        </w:rPr>
        <w:t xml:space="preserve">………… </w:t>
      </w:r>
      <w:r>
        <w:rPr>
          <w:rFonts w:hint="eastAsia" w:ascii="仿宋" w:eastAsia="仿宋" w:cs="仿宋"/>
          <w:color w:val="auto"/>
          <w:sz w:val="24"/>
          <w:szCs w:val="24"/>
          <w:highlight w:val="none"/>
        </w:rPr>
        <w:t>（页码）</w:t>
      </w:r>
    </w:p>
    <w:p w14:paraId="6C39E6C5">
      <w:pPr>
        <w:shd w:val="clear"/>
        <w:snapToGrid w:val="0"/>
        <w:spacing w:line="360" w:lineRule="auto"/>
        <w:rPr>
          <w:rFonts w:hint="eastAsia" w:ascii="仿宋" w:hAnsi="仿宋" w:eastAsia="仿宋" w:cs="仿宋"/>
          <w:color w:val="auto"/>
          <w:sz w:val="24"/>
          <w:highlight w:val="none"/>
        </w:rPr>
      </w:pPr>
      <w:r>
        <w:rPr>
          <w:rFonts w:hint="eastAsia" w:ascii="仿宋" w:hAnsi="仿宋" w:eastAsia="仿宋" w:cs="仿宋"/>
          <w:snapToGrid w:val="0"/>
          <w:color w:val="auto"/>
          <w:kern w:val="28"/>
          <w:sz w:val="24"/>
          <w:szCs w:val="20"/>
          <w:highlight w:val="none"/>
        </w:rPr>
        <w:t>（4）联合协议</w:t>
      </w:r>
      <w:r>
        <w:rPr>
          <w:rFonts w:hint="eastAsia" w:ascii="仿宋" w:hAnsi="仿宋" w:eastAsia="仿宋" w:cs="仿宋"/>
          <w:color w:val="auto"/>
          <w:sz w:val="24"/>
          <w:highlight w:val="none"/>
        </w:rPr>
        <w:t>……………………………………………</w:t>
      </w:r>
      <w:r>
        <w:rPr>
          <w:rFonts w:hint="eastAsia" w:ascii="仿宋" w:eastAsia="仿宋" w:cs="仿宋"/>
          <w:color w:val="auto"/>
          <w:highlight w:val="none"/>
        </w:rPr>
        <w:t>…………</w:t>
      </w:r>
      <w:r>
        <w:rPr>
          <w:rFonts w:hint="eastAsia" w:ascii="仿宋" w:hAnsi="仿宋" w:eastAsia="仿宋" w:cs="仿宋"/>
          <w:color w:val="auto"/>
          <w:sz w:val="24"/>
          <w:highlight w:val="none"/>
        </w:rPr>
        <w:t>…………………（页码）</w:t>
      </w:r>
    </w:p>
    <w:p w14:paraId="6458BF5B">
      <w:pPr>
        <w:pStyle w:val="12"/>
        <w:shd w:val="clear"/>
        <w:rPr>
          <w:rFonts w:asci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rPr>
        <w:t>5</w:t>
      </w:r>
      <w:r>
        <w:rPr>
          <w:rFonts w:hint="eastAsia" w:ascii="仿宋" w:hAnsi="仿宋" w:eastAsia="仿宋" w:cs="仿宋"/>
          <w:color w:val="auto"/>
          <w:highlight w:val="none"/>
        </w:rPr>
        <w:t>）分包协议……………………………………………</w:t>
      </w:r>
      <w:r>
        <w:rPr>
          <w:rFonts w:hint="eastAsia" w:ascii="仿宋" w:eastAsia="仿宋" w:cs="仿宋"/>
          <w:color w:val="auto"/>
          <w:highlight w:val="none"/>
        </w:rPr>
        <w:t>…………</w:t>
      </w:r>
      <w:r>
        <w:rPr>
          <w:rFonts w:hint="eastAsia" w:ascii="仿宋" w:hAnsi="仿宋" w:eastAsia="仿宋" w:cs="仿宋"/>
          <w:color w:val="auto"/>
          <w:highlight w:val="none"/>
        </w:rPr>
        <w:t>…………………（页码）</w:t>
      </w:r>
    </w:p>
    <w:p w14:paraId="1C704461">
      <w:pPr>
        <w:pStyle w:val="41"/>
        <w:shd w:val="clear"/>
        <w:spacing w:line="336" w:lineRule="auto"/>
        <w:ind w:left="0" w:firstLine="0" w:firstLineChars="0"/>
        <w:rPr>
          <w:rFonts w:hint="eastAsia" w:ascii="仿宋" w:eastAsia="仿宋" w:cs="仿宋"/>
          <w:color w:val="auto"/>
          <w:highlight w:val="none"/>
        </w:rPr>
      </w:pPr>
      <w:r>
        <w:rPr>
          <w:rFonts w:hint="eastAsia" w:ascii="仿宋" w:eastAsia="仿宋" w:cs="仿宋"/>
          <w:color w:val="auto"/>
          <w:highlight w:val="none"/>
        </w:rPr>
        <w:t>（6）法定代表人授权书 ………………………………………………………… （页码）</w:t>
      </w:r>
    </w:p>
    <w:p w14:paraId="68720E40">
      <w:pPr>
        <w:pStyle w:val="41"/>
        <w:shd w:val="clear"/>
        <w:spacing w:line="336" w:lineRule="auto"/>
        <w:ind w:left="0" w:firstLine="0" w:firstLineChars="0"/>
        <w:rPr>
          <w:rFonts w:hint="eastAsia" w:ascii="仿宋" w:eastAsia="仿宋" w:cs="仿宋"/>
          <w:color w:val="auto"/>
          <w:highlight w:val="none"/>
        </w:rPr>
      </w:pPr>
      <w:r>
        <w:rPr>
          <w:rFonts w:hint="eastAsia" w:ascii="仿宋" w:eastAsia="仿宋" w:cs="仿宋"/>
          <w:color w:val="auto"/>
          <w:highlight w:val="none"/>
        </w:rPr>
        <w:t>（7）法定代表人及其授权代表身份证复印件………………………………………（页码）</w:t>
      </w:r>
    </w:p>
    <w:p w14:paraId="52461720">
      <w:pPr>
        <w:pStyle w:val="41"/>
        <w:shd w:val="clear"/>
        <w:spacing w:line="336" w:lineRule="auto"/>
        <w:ind w:left="0" w:firstLine="0" w:firstLineChars="0"/>
        <w:rPr>
          <w:rFonts w:hint="eastAsia" w:ascii="仿宋" w:eastAsia="仿宋" w:cs="仿宋"/>
          <w:color w:val="auto"/>
          <w:highlight w:val="none"/>
        </w:rPr>
      </w:pPr>
      <w:r>
        <w:rPr>
          <w:rFonts w:hint="eastAsia" w:ascii="仿宋" w:eastAsia="仿宋" w:cs="仿宋"/>
          <w:color w:val="auto"/>
          <w:highlight w:val="none"/>
        </w:rPr>
        <w:t>（8）法定代表人身份证明书……………………………………………………… （页码）</w:t>
      </w:r>
    </w:p>
    <w:p w14:paraId="3BB2F449">
      <w:pPr>
        <w:pStyle w:val="41"/>
        <w:shd w:val="clear"/>
        <w:spacing w:line="336" w:lineRule="auto"/>
        <w:ind w:left="0" w:firstLine="0" w:firstLineChars="0"/>
        <w:rPr>
          <w:rFonts w:hint="eastAsia" w:ascii="仿宋" w:eastAsia="仿宋" w:cs="仿宋"/>
          <w:color w:val="auto"/>
          <w:highlight w:val="none"/>
        </w:rPr>
      </w:pPr>
      <w:r>
        <w:rPr>
          <w:rFonts w:hint="eastAsia" w:ascii="仿宋" w:eastAsia="仿宋" w:cs="仿宋"/>
          <w:color w:val="auto"/>
          <w:highlight w:val="none"/>
          <w:lang w:val="zh-CN"/>
        </w:rPr>
        <w:t>（</w:t>
      </w:r>
      <w:r>
        <w:rPr>
          <w:rFonts w:hint="eastAsia" w:ascii="仿宋" w:eastAsia="仿宋" w:cs="仿宋"/>
          <w:color w:val="auto"/>
          <w:highlight w:val="none"/>
        </w:rPr>
        <w:t>9</w:t>
      </w:r>
      <w:r>
        <w:rPr>
          <w:rFonts w:hint="eastAsia" w:ascii="仿宋" w:eastAsia="仿宋" w:cs="仿宋"/>
          <w:color w:val="auto"/>
          <w:highlight w:val="none"/>
          <w:lang w:val="zh-CN"/>
        </w:rPr>
        <w:t>）商务资信响应表</w:t>
      </w:r>
      <w:r>
        <w:rPr>
          <w:rFonts w:hint="eastAsia" w:ascii="仿宋" w:eastAsia="仿宋" w:cs="仿宋"/>
          <w:color w:val="auto"/>
          <w:highlight w:val="none"/>
        </w:rPr>
        <w:t>…………………………………………………………………（页码）</w:t>
      </w:r>
    </w:p>
    <w:p w14:paraId="1EECB2FE">
      <w:pPr>
        <w:pStyle w:val="41"/>
        <w:shd w:val="clear"/>
        <w:spacing w:line="336" w:lineRule="auto"/>
        <w:ind w:left="0" w:firstLine="0" w:firstLineChars="0"/>
        <w:rPr>
          <w:rFonts w:hint="eastAsia" w:ascii="仿宋" w:eastAsia="仿宋" w:cs="仿宋"/>
          <w:color w:val="auto"/>
          <w:highlight w:val="none"/>
        </w:rPr>
      </w:pPr>
      <w:r>
        <w:rPr>
          <w:rFonts w:hint="eastAsia" w:ascii="仿宋" w:eastAsia="仿宋" w:cs="仿宋"/>
          <w:color w:val="auto"/>
          <w:highlight w:val="none"/>
        </w:rPr>
        <w:t>（10）技术</w:t>
      </w:r>
      <w:r>
        <w:rPr>
          <w:rFonts w:hint="eastAsia" w:ascii="仿宋" w:eastAsia="仿宋" w:cs="仿宋"/>
          <w:color w:val="auto"/>
          <w:highlight w:val="none"/>
          <w:lang w:val="zh-CN"/>
        </w:rPr>
        <w:t>偏离表</w:t>
      </w:r>
      <w:r>
        <w:rPr>
          <w:rFonts w:hint="eastAsia" w:ascii="仿宋" w:eastAsia="仿宋" w:cs="仿宋"/>
          <w:color w:val="auto"/>
          <w:highlight w:val="none"/>
        </w:rPr>
        <w:t>………………………………………………………………………（页码）</w:t>
      </w:r>
    </w:p>
    <w:p w14:paraId="33799BCA">
      <w:pPr>
        <w:shd w:val="clear"/>
        <w:spacing w:line="360" w:lineRule="auto"/>
        <w:ind w:right="-510" w:rightChars="-24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w:t>
      </w:r>
      <w:r>
        <w:rPr>
          <w:rFonts w:hint="eastAsia" w:ascii="仿宋_GB2312" w:hAnsi="仿宋_GB2312" w:eastAsia="仿宋_GB2312" w:cs="仿宋_GB2312"/>
          <w:color w:val="auto"/>
          <w:sz w:val="24"/>
          <w:highlight w:val="none"/>
          <w:lang w:val="zh-CN"/>
        </w:rPr>
        <w:t>主要业绩证明…………………………………………………</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zh-CN"/>
        </w:rPr>
        <w:t>…</w:t>
      </w:r>
      <w:r>
        <w:rPr>
          <w:rFonts w:hint="eastAsia" w:ascii="仿宋" w:eastAsia="仿宋" w:cs="仿宋"/>
          <w:color w:val="auto"/>
          <w:highlight w:val="none"/>
        </w:rPr>
        <w:t>……</w:t>
      </w:r>
      <w:r>
        <w:rPr>
          <w:rFonts w:hint="eastAsia" w:ascii="仿宋_GB2312" w:hAnsi="仿宋_GB2312" w:eastAsia="仿宋_GB2312" w:cs="仿宋_GB2312"/>
          <w:color w:val="auto"/>
          <w:sz w:val="24"/>
          <w:highlight w:val="none"/>
        </w:rPr>
        <w:t>（页码）</w:t>
      </w:r>
    </w:p>
    <w:p w14:paraId="6DE67AF3">
      <w:pPr>
        <w:shd w:val="clear"/>
        <w:spacing w:line="360" w:lineRule="auto"/>
        <w:ind w:right="-510" w:rightChars="-243"/>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（12）项目小组人员名单………………………………………</w:t>
      </w:r>
      <w:r>
        <w:rPr>
          <w:rFonts w:hint="eastAsia" w:ascii="仿宋_GB2312" w:hAnsi="仿宋_GB2312" w:eastAsia="仿宋_GB2312" w:cs="仿宋_GB2312"/>
          <w:color w:val="auto"/>
          <w:highlight w:val="none"/>
        </w:rPr>
        <w:t>…</w:t>
      </w:r>
      <w:r>
        <w:rPr>
          <w:rFonts w:hint="eastAsia" w:ascii="仿宋" w:eastAsia="仿宋" w:cs="仿宋"/>
          <w:color w:val="auto"/>
          <w:highlight w:val="none"/>
        </w:rPr>
        <w:t>…</w:t>
      </w:r>
      <w:r>
        <w:rPr>
          <w:rFonts w:hint="eastAsia" w:ascii="仿宋_GB2312" w:hAnsi="仿宋_GB2312" w:eastAsia="仿宋_GB2312" w:cs="仿宋_GB2312"/>
          <w:color w:val="auto"/>
          <w:highlight w:val="none"/>
        </w:rPr>
        <w:t>………</w:t>
      </w:r>
      <w:r>
        <w:rPr>
          <w:rFonts w:hint="eastAsia" w:ascii="仿宋" w:eastAsia="仿宋" w:cs="仿宋"/>
          <w:color w:val="auto"/>
          <w:highlight w:val="none"/>
        </w:rPr>
        <w:t>…</w:t>
      </w:r>
      <w:r>
        <w:rPr>
          <w:rFonts w:hint="eastAsia" w:ascii="仿宋_GB2312" w:hAnsi="仿宋_GB2312" w:eastAsia="仿宋_GB2312" w:cs="仿宋_GB2312"/>
          <w:color w:val="auto"/>
          <w:kern w:val="0"/>
          <w:sz w:val="24"/>
          <w:highlight w:val="none"/>
        </w:rPr>
        <w:t>………</w:t>
      </w:r>
      <w:r>
        <w:rPr>
          <w:rFonts w:hint="eastAsia" w:ascii="仿宋" w:eastAsia="仿宋" w:cs="仿宋"/>
          <w:color w:val="auto"/>
          <w:highlight w:val="none"/>
        </w:rPr>
        <w:t>…</w:t>
      </w:r>
      <w:r>
        <w:rPr>
          <w:rFonts w:hint="eastAsia" w:ascii="仿宋_GB2312" w:hAnsi="仿宋_GB2312" w:eastAsia="仿宋_GB2312" w:cs="仿宋_GB2312"/>
          <w:color w:val="auto"/>
          <w:kern w:val="0"/>
          <w:sz w:val="24"/>
          <w:highlight w:val="none"/>
        </w:rPr>
        <w:t>（页码）</w:t>
      </w:r>
    </w:p>
    <w:p w14:paraId="3A9C20ED">
      <w:pPr>
        <w:shd w:val="clear"/>
        <w:spacing w:line="360" w:lineRule="auto"/>
        <w:ind w:right="-510" w:rightChars="-243"/>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（13）</w:t>
      </w:r>
      <w:r>
        <w:rPr>
          <w:rFonts w:hint="eastAsia" w:ascii="仿宋_GB2312" w:hAnsi="仿宋_GB2312" w:eastAsia="仿宋_GB2312" w:cs="仿宋_GB2312"/>
          <w:color w:val="auto"/>
          <w:kern w:val="0"/>
          <w:sz w:val="24"/>
          <w:highlight w:val="none"/>
          <w:lang w:val="zh-CN"/>
        </w:rPr>
        <w:t>政府采购供应商廉洁自律承诺书……………………………………</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kern w:val="0"/>
          <w:sz w:val="24"/>
          <w:highlight w:val="none"/>
        </w:rPr>
        <w:t>（页码）</w:t>
      </w:r>
    </w:p>
    <w:p w14:paraId="5D38A620">
      <w:pPr>
        <w:shd w:val="clear"/>
        <w:spacing w:line="360" w:lineRule="auto"/>
        <w:ind w:right="-368" w:rightChars="-175"/>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color w:val="auto"/>
          <w:kern w:val="0"/>
          <w:sz w:val="24"/>
          <w:highlight w:val="none"/>
        </w:rPr>
        <w:t>（14）</w:t>
      </w:r>
      <w:r>
        <w:rPr>
          <w:rFonts w:hint="eastAsia" w:ascii="仿宋_GB2312" w:hAnsi="仿宋_GB2312" w:eastAsia="仿宋_GB2312" w:cs="仿宋_GB2312"/>
          <w:color w:val="auto"/>
          <w:kern w:val="0"/>
          <w:sz w:val="24"/>
          <w:highlight w:val="none"/>
          <w:lang w:val="zh-CN"/>
        </w:rPr>
        <w:t>认为需要的其他商务技术文件或说明……………………</w:t>
      </w:r>
      <w:r>
        <w:rPr>
          <w:rFonts w:hint="eastAsia" w:ascii="仿宋" w:eastAsia="仿宋" w:cs="仿宋"/>
          <w:color w:val="auto"/>
          <w:highlight w:val="none"/>
        </w:rPr>
        <w:t>……</w:t>
      </w:r>
      <w:r>
        <w:rPr>
          <w:rFonts w:hint="eastAsia" w:hAnsi="仿宋_GB2312" w:cs="仿宋_GB2312"/>
          <w:color w:val="auto"/>
          <w:highlight w:val="none"/>
        </w:rPr>
        <w:t>…</w:t>
      </w:r>
      <w:r>
        <w:rPr>
          <w:rFonts w:hint="eastAsia" w:ascii="仿宋_GB2312" w:hAnsi="仿宋_GB2312" w:eastAsia="仿宋_GB2312" w:cs="仿宋_GB2312"/>
          <w:color w:val="auto"/>
          <w:kern w:val="0"/>
          <w:sz w:val="24"/>
          <w:highlight w:val="none"/>
          <w:lang w:val="zh-CN"/>
        </w:rPr>
        <w:t>…</w:t>
      </w:r>
      <w:r>
        <w:rPr>
          <w:rFonts w:hint="eastAsia" w:hAnsi="仿宋_GB2312" w:cs="仿宋_GB2312"/>
          <w:color w:val="auto"/>
          <w:highlight w:val="none"/>
        </w:rPr>
        <w:t>………</w:t>
      </w:r>
      <w:r>
        <w:rPr>
          <w:rFonts w:hint="eastAsia" w:ascii="仿宋_GB2312" w:hAnsi="仿宋_GB2312" w:eastAsia="仿宋_GB2312" w:cs="仿宋_GB2312"/>
          <w:color w:val="auto"/>
          <w:kern w:val="0"/>
          <w:sz w:val="24"/>
          <w:highlight w:val="none"/>
          <w:lang w:val="zh-CN"/>
        </w:rPr>
        <w:t>…</w:t>
      </w:r>
      <w:r>
        <w:rPr>
          <w:rFonts w:hint="eastAsia" w:ascii="仿宋_GB2312" w:hAnsi="仿宋_GB2312" w:eastAsia="仿宋_GB2312" w:cs="仿宋_GB2312"/>
          <w:color w:val="auto"/>
          <w:kern w:val="0"/>
          <w:sz w:val="24"/>
          <w:highlight w:val="none"/>
        </w:rPr>
        <w:t>（页码）</w:t>
      </w:r>
    </w:p>
    <w:p w14:paraId="14DF6385">
      <w:pPr>
        <w:shd w:val="clear"/>
        <w:spacing w:line="500" w:lineRule="exact"/>
        <w:jc w:val="center"/>
        <w:textAlignment w:val="baseline"/>
        <w:rPr>
          <w:rStyle w:val="39"/>
          <w:rFonts w:hint="eastAsia" w:ascii="仿宋" w:hAnsi="仿宋" w:eastAsia="仿宋" w:cs="仿宋"/>
          <w:b/>
          <w:bCs/>
          <w:color w:val="auto"/>
          <w:sz w:val="30"/>
          <w:szCs w:val="30"/>
          <w:highlight w:val="none"/>
        </w:rPr>
      </w:pPr>
    </w:p>
    <w:p w14:paraId="2E880F8E">
      <w:pPr>
        <w:shd w:val="clear"/>
        <w:spacing w:line="500" w:lineRule="exact"/>
        <w:jc w:val="center"/>
        <w:textAlignment w:val="baseline"/>
        <w:rPr>
          <w:rStyle w:val="39"/>
          <w:rFonts w:hint="eastAsia" w:ascii="仿宋" w:hAnsi="仿宋" w:eastAsia="仿宋" w:cs="仿宋"/>
          <w:b/>
          <w:bCs/>
          <w:color w:val="auto"/>
          <w:sz w:val="30"/>
          <w:szCs w:val="30"/>
          <w:highlight w:val="none"/>
        </w:rPr>
      </w:pPr>
    </w:p>
    <w:p w14:paraId="5989C704">
      <w:pPr>
        <w:shd w:val="clear"/>
        <w:spacing w:line="500" w:lineRule="exact"/>
        <w:jc w:val="center"/>
        <w:textAlignment w:val="baseline"/>
        <w:rPr>
          <w:rStyle w:val="39"/>
          <w:rFonts w:hint="eastAsia" w:ascii="仿宋" w:hAnsi="仿宋" w:eastAsia="仿宋" w:cs="仿宋"/>
          <w:b/>
          <w:bCs/>
          <w:color w:val="auto"/>
          <w:sz w:val="30"/>
          <w:szCs w:val="30"/>
          <w:highlight w:val="none"/>
        </w:rPr>
      </w:pPr>
    </w:p>
    <w:p w14:paraId="05761725">
      <w:pPr>
        <w:shd w:val="clear"/>
        <w:spacing w:line="500" w:lineRule="exact"/>
        <w:jc w:val="center"/>
        <w:textAlignment w:val="baseline"/>
        <w:rPr>
          <w:rStyle w:val="39"/>
          <w:rFonts w:hint="eastAsia" w:ascii="仿宋" w:hAnsi="仿宋" w:eastAsia="仿宋" w:cs="仿宋"/>
          <w:b/>
          <w:bCs/>
          <w:color w:val="auto"/>
          <w:sz w:val="30"/>
          <w:szCs w:val="30"/>
          <w:highlight w:val="none"/>
        </w:rPr>
      </w:pPr>
    </w:p>
    <w:p w14:paraId="21C22F81">
      <w:pPr>
        <w:shd w:val="clear"/>
        <w:spacing w:line="500" w:lineRule="exact"/>
        <w:jc w:val="center"/>
        <w:textAlignment w:val="baseline"/>
        <w:rPr>
          <w:rStyle w:val="39"/>
          <w:rFonts w:hint="eastAsia" w:ascii="仿宋" w:hAnsi="仿宋" w:eastAsia="仿宋" w:cs="仿宋"/>
          <w:b/>
          <w:bCs/>
          <w:color w:val="auto"/>
          <w:sz w:val="30"/>
          <w:szCs w:val="30"/>
          <w:highlight w:val="none"/>
        </w:rPr>
      </w:pPr>
    </w:p>
    <w:p w14:paraId="7643540E">
      <w:pPr>
        <w:shd w:val="clear"/>
        <w:spacing w:line="500" w:lineRule="exact"/>
        <w:jc w:val="center"/>
        <w:textAlignment w:val="baseline"/>
        <w:rPr>
          <w:rStyle w:val="39"/>
          <w:rFonts w:hint="eastAsia" w:ascii="仿宋" w:hAnsi="仿宋" w:eastAsia="仿宋" w:cs="仿宋"/>
          <w:b/>
          <w:bCs/>
          <w:color w:val="auto"/>
          <w:sz w:val="30"/>
          <w:szCs w:val="30"/>
          <w:highlight w:val="none"/>
        </w:rPr>
      </w:pPr>
    </w:p>
    <w:p w14:paraId="151D7730">
      <w:pPr>
        <w:shd w:val="clear"/>
        <w:spacing w:line="500" w:lineRule="exact"/>
        <w:jc w:val="center"/>
        <w:textAlignment w:val="baseline"/>
        <w:rPr>
          <w:rStyle w:val="39"/>
          <w:rFonts w:hint="eastAsia" w:ascii="仿宋" w:hAnsi="仿宋" w:eastAsia="仿宋" w:cs="仿宋"/>
          <w:b/>
          <w:bCs/>
          <w:color w:val="auto"/>
          <w:sz w:val="30"/>
          <w:szCs w:val="30"/>
          <w:highlight w:val="none"/>
        </w:rPr>
      </w:pPr>
    </w:p>
    <w:p w14:paraId="53EC16FA">
      <w:pPr>
        <w:shd w:val="clear"/>
        <w:spacing w:line="500" w:lineRule="exact"/>
        <w:jc w:val="center"/>
        <w:textAlignment w:val="baseline"/>
        <w:rPr>
          <w:rStyle w:val="39"/>
          <w:rFonts w:hint="eastAsia" w:ascii="仿宋" w:hAnsi="仿宋" w:eastAsia="仿宋" w:cs="仿宋"/>
          <w:b/>
          <w:bCs/>
          <w:color w:val="auto"/>
          <w:sz w:val="30"/>
          <w:szCs w:val="30"/>
          <w:highlight w:val="none"/>
        </w:rPr>
      </w:pPr>
    </w:p>
    <w:p w14:paraId="366E7A8E">
      <w:pPr>
        <w:shd w:val="clear"/>
        <w:spacing w:line="500" w:lineRule="exact"/>
        <w:jc w:val="center"/>
        <w:textAlignment w:val="baseline"/>
        <w:rPr>
          <w:rStyle w:val="39"/>
          <w:rFonts w:hint="eastAsia" w:ascii="仿宋" w:hAnsi="仿宋" w:eastAsia="仿宋" w:cs="仿宋"/>
          <w:b/>
          <w:bCs/>
          <w:color w:val="auto"/>
          <w:sz w:val="30"/>
          <w:szCs w:val="30"/>
          <w:highlight w:val="none"/>
        </w:rPr>
      </w:pPr>
    </w:p>
    <w:p w14:paraId="6DD3DE5D">
      <w:pPr>
        <w:shd w:val="clear"/>
        <w:spacing w:line="500" w:lineRule="exact"/>
        <w:jc w:val="center"/>
        <w:textAlignment w:val="baseline"/>
        <w:rPr>
          <w:rStyle w:val="39"/>
          <w:rFonts w:hint="eastAsia" w:ascii="仿宋" w:hAnsi="仿宋" w:eastAsia="仿宋" w:cs="仿宋"/>
          <w:b/>
          <w:bCs/>
          <w:color w:val="auto"/>
          <w:sz w:val="30"/>
          <w:szCs w:val="30"/>
          <w:highlight w:val="none"/>
        </w:rPr>
      </w:pPr>
    </w:p>
    <w:p w14:paraId="20E9E028">
      <w:pPr>
        <w:shd w:val="clear"/>
        <w:spacing w:line="500" w:lineRule="exact"/>
        <w:jc w:val="center"/>
        <w:textAlignment w:val="baseline"/>
        <w:rPr>
          <w:rStyle w:val="39"/>
          <w:rFonts w:hint="eastAsia" w:ascii="仿宋" w:hAnsi="仿宋" w:eastAsia="仿宋" w:cs="仿宋"/>
          <w:b/>
          <w:bCs/>
          <w:color w:val="auto"/>
          <w:sz w:val="30"/>
          <w:szCs w:val="30"/>
          <w:highlight w:val="none"/>
        </w:rPr>
      </w:pPr>
    </w:p>
    <w:p w14:paraId="727561A2">
      <w:pPr>
        <w:shd w:val="clear"/>
        <w:spacing w:line="500" w:lineRule="exact"/>
        <w:textAlignment w:val="baseline"/>
        <w:rPr>
          <w:rStyle w:val="39"/>
          <w:rFonts w:hint="eastAsia" w:ascii="仿宋" w:hAnsi="仿宋" w:eastAsia="仿宋" w:cs="仿宋"/>
          <w:b/>
          <w:bCs/>
          <w:color w:val="auto"/>
          <w:sz w:val="30"/>
          <w:szCs w:val="30"/>
          <w:highlight w:val="none"/>
        </w:rPr>
      </w:pPr>
    </w:p>
    <w:p w14:paraId="24247F05">
      <w:pPr>
        <w:shd w:val="clear"/>
        <w:spacing w:line="500" w:lineRule="exact"/>
        <w:jc w:val="center"/>
        <w:textAlignment w:val="baseline"/>
        <w:rPr>
          <w:rStyle w:val="39"/>
          <w:rFonts w:hint="eastAsia" w:ascii="仿宋" w:hAnsi="仿宋" w:eastAsia="仿宋" w:cs="仿宋"/>
          <w:b/>
          <w:bCs/>
          <w:color w:val="auto"/>
          <w:sz w:val="30"/>
          <w:szCs w:val="30"/>
          <w:highlight w:val="none"/>
        </w:rPr>
      </w:pPr>
      <w:r>
        <w:rPr>
          <w:rStyle w:val="39"/>
          <w:rFonts w:hint="eastAsia" w:ascii="仿宋" w:hAnsi="仿宋" w:eastAsia="仿宋" w:cs="仿宋"/>
          <w:b/>
          <w:bCs/>
          <w:color w:val="auto"/>
          <w:sz w:val="30"/>
          <w:szCs w:val="30"/>
          <w:highlight w:val="none"/>
        </w:rPr>
        <w:t>一、评分索引表</w:t>
      </w:r>
    </w:p>
    <w:tbl>
      <w:tblPr>
        <w:tblStyle w:val="25"/>
        <w:tblW w:w="9461" w:type="dxa"/>
        <w:jc w:val="center"/>
        <w:tblLayout w:type="fixed"/>
        <w:tblCellMar>
          <w:top w:w="0" w:type="dxa"/>
          <w:left w:w="0" w:type="dxa"/>
          <w:bottom w:w="0" w:type="dxa"/>
          <w:right w:w="0" w:type="dxa"/>
        </w:tblCellMar>
      </w:tblPr>
      <w:tblGrid>
        <w:gridCol w:w="775"/>
        <w:gridCol w:w="1861"/>
        <w:gridCol w:w="4864"/>
        <w:gridCol w:w="1062"/>
        <w:gridCol w:w="899"/>
      </w:tblGrid>
      <w:tr w14:paraId="73EB656E">
        <w:tblPrEx>
          <w:tblCellMar>
            <w:top w:w="0" w:type="dxa"/>
            <w:left w:w="0" w:type="dxa"/>
            <w:bottom w:w="0" w:type="dxa"/>
            <w:right w:w="0" w:type="dxa"/>
          </w:tblCellMar>
        </w:tblPrEx>
        <w:trPr>
          <w:trHeight w:val="863"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14:paraId="26A7D29D">
            <w:pPr>
              <w:widowControl/>
              <w:shd w:val="clear"/>
              <w:spacing w:line="360" w:lineRule="auto"/>
              <w:jc w:val="center"/>
              <w:textAlignment w:val="center"/>
              <w:rPr>
                <w:rStyle w:val="39"/>
                <w:rFonts w:hint="eastAsia" w:ascii="仿宋" w:hAnsi="仿宋" w:eastAsia="仿宋" w:cs="仿宋"/>
                <w:b/>
                <w:bCs/>
                <w:color w:val="auto"/>
                <w:sz w:val="24"/>
                <w:highlight w:val="none"/>
              </w:rPr>
            </w:pPr>
            <w:r>
              <w:rPr>
                <w:rStyle w:val="39"/>
                <w:rFonts w:hint="eastAsia" w:ascii="仿宋" w:hAnsi="仿宋" w:eastAsia="仿宋" w:cs="仿宋"/>
                <w:b/>
                <w:bCs/>
                <w:color w:val="auto"/>
                <w:sz w:val="24"/>
                <w:highlight w:val="none"/>
              </w:rPr>
              <w:t>序号</w:t>
            </w:r>
          </w:p>
        </w:tc>
        <w:tc>
          <w:tcPr>
            <w:tcW w:w="1861" w:type="dxa"/>
            <w:tcBorders>
              <w:top w:val="single" w:color="000000" w:sz="4" w:space="0"/>
              <w:left w:val="single" w:color="000000" w:sz="4" w:space="0"/>
              <w:bottom w:val="single" w:color="000000" w:sz="4" w:space="0"/>
              <w:right w:val="single" w:color="000000" w:sz="4" w:space="0"/>
            </w:tcBorders>
            <w:vAlign w:val="center"/>
          </w:tcPr>
          <w:p w14:paraId="0B67BE3E">
            <w:pPr>
              <w:widowControl/>
              <w:shd w:val="clear"/>
              <w:spacing w:line="360" w:lineRule="auto"/>
              <w:jc w:val="center"/>
              <w:textAlignment w:val="center"/>
              <w:rPr>
                <w:rStyle w:val="39"/>
                <w:rFonts w:hint="eastAsia" w:ascii="仿宋" w:hAnsi="仿宋" w:eastAsia="仿宋" w:cs="仿宋"/>
                <w:b/>
                <w:bCs/>
                <w:color w:val="auto"/>
                <w:sz w:val="24"/>
                <w:highlight w:val="none"/>
              </w:rPr>
            </w:pPr>
            <w:r>
              <w:rPr>
                <w:rStyle w:val="39"/>
                <w:rFonts w:hint="eastAsia" w:ascii="仿宋" w:hAnsi="仿宋" w:eastAsia="仿宋" w:cs="仿宋"/>
                <w:b/>
                <w:bCs/>
                <w:color w:val="auto"/>
                <w:sz w:val="24"/>
                <w:highlight w:val="none"/>
              </w:rPr>
              <w:t>评审内容</w:t>
            </w:r>
          </w:p>
        </w:tc>
        <w:tc>
          <w:tcPr>
            <w:tcW w:w="4864" w:type="dxa"/>
            <w:tcBorders>
              <w:top w:val="single" w:color="000000" w:sz="4" w:space="0"/>
              <w:left w:val="single" w:color="000000" w:sz="4" w:space="0"/>
              <w:bottom w:val="single" w:color="000000" w:sz="4" w:space="0"/>
              <w:right w:val="single" w:color="000000" w:sz="4" w:space="0"/>
            </w:tcBorders>
            <w:vAlign w:val="center"/>
          </w:tcPr>
          <w:p w14:paraId="7F7656F6">
            <w:pPr>
              <w:widowControl/>
              <w:shd w:val="clear"/>
              <w:spacing w:line="360" w:lineRule="auto"/>
              <w:jc w:val="center"/>
              <w:textAlignment w:val="center"/>
              <w:rPr>
                <w:rStyle w:val="39"/>
                <w:rFonts w:hint="eastAsia" w:ascii="仿宋" w:hAnsi="仿宋" w:eastAsia="仿宋" w:cs="仿宋"/>
                <w:b/>
                <w:bCs/>
                <w:color w:val="auto"/>
                <w:sz w:val="24"/>
                <w:highlight w:val="none"/>
              </w:rPr>
            </w:pPr>
            <w:r>
              <w:rPr>
                <w:rStyle w:val="39"/>
                <w:rFonts w:hint="eastAsia" w:ascii="仿宋" w:hAnsi="仿宋" w:eastAsia="仿宋" w:cs="仿宋"/>
                <w:b/>
                <w:bCs/>
                <w:color w:val="auto"/>
                <w:sz w:val="24"/>
                <w:highlight w:val="none"/>
              </w:rPr>
              <w:t>评分标准</w:t>
            </w:r>
          </w:p>
        </w:tc>
        <w:tc>
          <w:tcPr>
            <w:tcW w:w="1062" w:type="dxa"/>
            <w:tcBorders>
              <w:top w:val="single" w:color="000000" w:sz="4" w:space="0"/>
              <w:left w:val="single" w:color="000000" w:sz="4" w:space="0"/>
              <w:bottom w:val="single" w:color="000000" w:sz="4" w:space="0"/>
              <w:right w:val="single" w:color="000000" w:sz="4" w:space="0"/>
            </w:tcBorders>
            <w:vAlign w:val="center"/>
          </w:tcPr>
          <w:p w14:paraId="1F011D57">
            <w:pPr>
              <w:widowControl/>
              <w:shd w:val="clear"/>
              <w:spacing w:line="360" w:lineRule="auto"/>
              <w:jc w:val="center"/>
              <w:textAlignment w:val="center"/>
              <w:rPr>
                <w:rStyle w:val="39"/>
                <w:rFonts w:hint="eastAsia" w:ascii="仿宋" w:hAnsi="仿宋" w:eastAsia="仿宋" w:cs="仿宋"/>
                <w:b/>
                <w:bCs/>
                <w:color w:val="auto"/>
                <w:sz w:val="24"/>
                <w:highlight w:val="none"/>
              </w:rPr>
            </w:pPr>
            <w:r>
              <w:rPr>
                <w:rStyle w:val="39"/>
                <w:rFonts w:hint="eastAsia" w:ascii="仿宋" w:hAnsi="仿宋" w:eastAsia="仿宋" w:cs="仿宋"/>
                <w:b/>
                <w:bCs/>
                <w:color w:val="auto"/>
                <w:sz w:val="24"/>
                <w:highlight w:val="none"/>
              </w:rPr>
              <w:t>分值</w:t>
            </w:r>
          </w:p>
        </w:tc>
        <w:tc>
          <w:tcPr>
            <w:tcW w:w="899" w:type="dxa"/>
            <w:tcBorders>
              <w:top w:val="single" w:color="000000" w:sz="4" w:space="0"/>
              <w:left w:val="single" w:color="000000" w:sz="4" w:space="0"/>
              <w:bottom w:val="single" w:color="000000" w:sz="4" w:space="0"/>
              <w:right w:val="single" w:color="000000" w:sz="4" w:space="0"/>
            </w:tcBorders>
            <w:vAlign w:val="center"/>
          </w:tcPr>
          <w:p w14:paraId="21702B56">
            <w:pPr>
              <w:widowControl/>
              <w:shd w:val="clear"/>
              <w:spacing w:line="360" w:lineRule="auto"/>
              <w:jc w:val="center"/>
              <w:textAlignment w:val="center"/>
              <w:rPr>
                <w:rStyle w:val="39"/>
                <w:rFonts w:hint="eastAsia" w:ascii="仿宋" w:hAnsi="仿宋" w:eastAsia="仿宋" w:cs="仿宋"/>
                <w:b/>
                <w:bCs/>
                <w:color w:val="auto"/>
                <w:sz w:val="24"/>
                <w:highlight w:val="none"/>
              </w:rPr>
            </w:pPr>
            <w:r>
              <w:rPr>
                <w:rStyle w:val="39"/>
                <w:rFonts w:hint="eastAsia" w:ascii="仿宋" w:hAnsi="仿宋" w:eastAsia="仿宋" w:cs="仿宋"/>
                <w:b/>
                <w:bCs/>
                <w:color w:val="auto"/>
                <w:sz w:val="24"/>
                <w:highlight w:val="none"/>
              </w:rPr>
              <w:t>评分对应页码</w:t>
            </w:r>
          </w:p>
        </w:tc>
      </w:tr>
      <w:tr w14:paraId="6AB6712B">
        <w:tblPrEx>
          <w:tblCellMar>
            <w:top w:w="0" w:type="dxa"/>
            <w:left w:w="0" w:type="dxa"/>
            <w:bottom w:w="0" w:type="dxa"/>
            <w:right w:w="0" w:type="dxa"/>
          </w:tblCellMar>
        </w:tblPrEx>
        <w:trPr>
          <w:trHeight w:val="73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14:paraId="16338936">
            <w:pPr>
              <w:widowControl/>
              <w:shd w:val="clear"/>
              <w:spacing w:line="360" w:lineRule="auto"/>
              <w:jc w:val="center"/>
              <w:textAlignment w:val="center"/>
              <w:rPr>
                <w:rStyle w:val="39"/>
                <w:rFonts w:hint="eastAsia" w:ascii="仿宋" w:hAnsi="仿宋" w:eastAsia="仿宋" w:cs="仿宋"/>
                <w:color w:val="auto"/>
                <w:sz w:val="24"/>
                <w:highlight w:val="none"/>
              </w:rPr>
            </w:pPr>
            <w:r>
              <w:rPr>
                <w:rStyle w:val="39"/>
                <w:rFonts w:hint="eastAsia" w:ascii="仿宋" w:hAnsi="仿宋" w:eastAsia="仿宋" w:cs="仿宋"/>
                <w:color w:val="auto"/>
                <w:sz w:val="24"/>
                <w:highlight w:val="none"/>
              </w:rPr>
              <w:t>1</w:t>
            </w:r>
          </w:p>
        </w:tc>
        <w:tc>
          <w:tcPr>
            <w:tcW w:w="1861" w:type="dxa"/>
            <w:tcBorders>
              <w:top w:val="single" w:color="000000" w:sz="4" w:space="0"/>
              <w:left w:val="single" w:color="000000" w:sz="4" w:space="0"/>
              <w:bottom w:val="single" w:color="000000" w:sz="4" w:space="0"/>
              <w:right w:val="single" w:color="000000" w:sz="4" w:space="0"/>
            </w:tcBorders>
            <w:vAlign w:val="center"/>
          </w:tcPr>
          <w:p w14:paraId="64CA884B">
            <w:pPr>
              <w:widowControl/>
              <w:shd w:val="clear"/>
              <w:spacing w:line="360" w:lineRule="auto"/>
              <w:jc w:val="center"/>
              <w:textAlignment w:val="center"/>
              <w:rPr>
                <w:rStyle w:val="39"/>
                <w:rFonts w:hint="eastAsia" w:ascii="仿宋" w:hAnsi="仿宋" w:eastAsia="仿宋" w:cs="仿宋"/>
                <w:color w:val="auto"/>
                <w:sz w:val="24"/>
                <w:highlight w:val="none"/>
              </w:rPr>
            </w:pPr>
          </w:p>
        </w:tc>
        <w:tc>
          <w:tcPr>
            <w:tcW w:w="4864" w:type="dxa"/>
            <w:tcBorders>
              <w:top w:val="single" w:color="000000" w:sz="4" w:space="0"/>
              <w:left w:val="single" w:color="000000" w:sz="4" w:space="0"/>
              <w:bottom w:val="single" w:color="000000" w:sz="4" w:space="0"/>
              <w:right w:val="single" w:color="000000" w:sz="4" w:space="0"/>
            </w:tcBorders>
            <w:vAlign w:val="center"/>
          </w:tcPr>
          <w:p w14:paraId="5438C6AB">
            <w:pPr>
              <w:widowControl/>
              <w:shd w:val="clear"/>
              <w:spacing w:line="360" w:lineRule="auto"/>
              <w:jc w:val="left"/>
              <w:textAlignment w:val="center"/>
              <w:rPr>
                <w:rStyle w:val="39"/>
                <w:rFonts w:hint="eastAsia" w:ascii="仿宋" w:hAnsi="仿宋" w:eastAsia="仿宋" w:cs="仿宋"/>
                <w:color w:val="auto"/>
                <w:sz w:val="24"/>
                <w:highlight w:val="none"/>
              </w:rPr>
            </w:pPr>
          </w:p>
        </w:tc>
        <w:tc>
          <w:tcPr>
            <w:tcW w:w="1062" w:type="dxa"/>
            <w:tcBorders>
              <w:top w:val="single" w:color="000000" w:sz="4" w:space="0"/>
              <w:left w:val="single" w:color="000000" w:sz="4" w:space="0"/>
              <w:bottom w:val="single" w:color="000000" w:sz="4" w:space="0"/>
              <w:right w:val="single" w:color="000000" w:sz="4" w:space="0"/>
            </w:tcBorders>
            <w:vAlign w:val="center"/>
          </w:tcPr>
          <w:p w14:paraId="1E854E7F">
            <w:pPr>
              <w:widowControl/>
              <w:shd w:val="clear"/>
              <w:spacing w:line="360" w:lineRule="auto"/>
              <w:jc w:val="center"/>
              <w:textAlignment w:val="baseline"/>
              <w:rPr>
                <w:rStyle w:val="39"/>
                <w:rFonts w:hint="eastAsia" w:ascii="仿宋" w:hAnsi="仿宋" w:eastAsia="仿宋" w:cs="仿宋"/>
                <w:color w:val="auto"/>
                <w:sz w:val="24"/>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79AFDCD7">
            <w:pPr>
              <w:widowControl/>
              <w:shd w:val="clear"/>
              <w:spacing w:line="360" w:lineRule="auto"/>
              <w:jc w:val="center"/>
              <w:textAlignment w:val="baseline"/>
              <w:rPr>
                <w:rStyle w:val="39"/>
                <w:rFonts w:hint="eastAsia" w:ascii="仿宋" w:hAnsi="仿宋" w:eastAsia="仿宋" w:cs="仿宋"/>
                <w:color w:val="auto"/>
                <w:sz w:val="24"/>
                <w:highlight w:val="none"/>
              </w:rPr>
            </w:pPr>
          </w:p>
        </w:tc>
      </w:tr>
      <w:tr w14:paraId="1B4D2407">
        <w:tblPrEx>
          <w:tblCellMar>
            <w:top w:w="0" w:type="dxa"/>
            <w:left w:w="0" w:type="dxa"/>
            <w:bottom w:w="0" w:type="dxa"/>
            <w:right w:w="0" w:type="dxa"/>
          </w:tblCellMar>
        </w:tblPrEx>
        <w:trPr>
          <w:trHeight w:val="73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14:paraId="310EB784">
            <w:pPr>
              <w:widowControl/>
              <w:shd w:val="clear"/>
              <w:spacing w:line="360" w:lineRule="auto"/>
              <w:jc w:val="center"/>
              <w:textAlignment w:val="center"/>
              <w:rPr>
                <w:rStyle w:val="39"/>
                <w:rFonts w:hint="eastAsia" w:ascii="仿宋" w:hAnsi="仿宋" w:eastAsia="仿宋" w:cs="仿宋"/>
                <w:color w:val="auto"/>
                <w:sz w:val="24"/>
                <w:highlight w:val="none"/>
              </w:rPr>
            </w:pPr>
            <w:r>
              <w:rPr>
                <w:rStyle w:val="39"/>
                <w:rFonts w:hint="eastAsia" w:ascii="仿宋" w:hAnsi="仿宋" w:eastAsia="仿宋" w:cs="仿宋"/>
                <w:color w:val="auto"/>
                <w:sz w:val="24"/>
                <w:highlight w:val="none"/>
              </w:rPr>
              <w:t>2</w:t>
            </w:r>
          </w:p>
        </w:tc>
        <w:tc>
          <w:tcPr>
            <w:tcW w:w="1861" w:type="dxa"/>
            <w:tcBorders>
              <w:top w:val="single" w:color="000000" w:sz="4" w:space="0"/>
              <w:left w:val="single" w:color="000000" w:sz="4" w:space="0"/>
              <w:bottom w:val="single" w:color="000000" w:sz="4" w:space="0"/>
              <w:right w:val="single" w:color="000000" w:sz="4" w:space="0"/>
            </w:tcBorders>
            <w:vAlign w:val="center"/>
          </w:tcPr>
          <w:p w14:paraId="394CF268">
            <w:pPr>
              <w:widowControl/>
              <w:shd w:val="clear"/>
              <w:spacing w:line="360" w:lineRule="auto"/>
              <w:jc w:val="center"/>
              <w:textAlignment w:val="center"/>
              <w:rPr>
                <w:rStyle w:val="39"/>
                <w:rFonts w:hint="eastAsia" w:ascii="仿宋" w:hAnsi="仿宋" w:eastAsia="仿宋" w:cs="仿宋"/>
                <w:color w:val="auto"/>
                <w:sz w:val="24"/>
                <w:highlight w:val="none"/>
              </w:rPr>
            </w:pPr>
          </w:p>
        </w:tc>
        <w:tc>
          <w:tcPr>
            <w:tcW w:w="4864" w:type="dxa"/>
            <w:tcBorders>
              <w:top w:val="single" w:color="000000" w:sz="4" w:space="0"/>
              <w:left w:val="single" w:color="000000" w:sz="4" w:space="0"/>
              <w:bottom w:val="single" w:color="000000" w:sz="4" w:space="0"/>
              <w:right w:val="single" w:color="000000" w:sz="4" w:space="0"/>
            </w:tcBorders>
            <w:vAlign w:val="center"/>
          </w:tcPr>
          <w:p w14:paraId="220A6A15">
            <w:pPr>
              <w:widowControl/>
              <w:shd w:val="clear"/>
              <w:spacing w:line="360" w:lineRule="auto"/>
              <w:jc w:val="left"/>
              <w:textAlignment w:val="center"/>
              <w:rPr>
                <w:rStyle w:val="39"/>
                <w:rFonts w:hint="eastAsia" w:ascii="仿宋" w:hAnsi="仿宋" w:eastAsia="仿宋" w:cs="仿宋"/>
                <w:color w:val="auto"/>
                <w:sz w:val="24"/>
                <w:highlight w:val="none"/>
              </w:rPr>
            </w:pPr>
          </w:p>
        </w:tc>
        <w:tc>
          <w:tcPr>
            <w:tcW w:w="1062" w:type="dxa"/>
            <w:tcBorders>
              <w:top w:val="single" w:color="000000" w:sz="4" w:space="0"/>
              <w:left w:val="single" w:color="000000" w:sz="4" w:space="0"/>
              <w:bottom w:val="single" w:color="000000" w:sz="4" w:space="0"/>
              <w:right w:val="single" w:color="000000" w:sz="4" w:space="0"/>
            </w:tcBorders>
            <w:vAlign w:val="center"/>
          </w:tcPr>
          <w:p w14:paraId="49C22E7A">
            <w:pPr>
              <w:widowControl/>
              <w:shd w:val="clear"/>
              <w:spacing w:line="360" w:lineRule="auto"/>
              <w:jc w:val="center"/>
              <w:textAlignment w:val="center"/>
              <w:rPr>
                <w:rStyle w:val="39"/>
                <w:rFonts w:hint="eastAsia" w:ascii="仿宋" w:hAnsi="仿宋" w:eastAsia="仿宋" w:cs="仿宋"/>
                <w:color w:val="auto"/>
                <w:sz w:val="24"/>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31559E24">
            <w:pPr>
              <w:widowControl/>
              <w:shd w:val="clear"/>
              <w:spacing w:line="360" w:lineRule="auto"/>
              <w:jc w:val="center"/>
              <w:textAlignment w:val="center"/>
              <w:rPr>
                <w:rStyle w:val="39"/>
                <w:rFonts w:hint="eastAsia" w:ascii="仿宋" w:hAnsi="仿宋" w:eastAsia="仿宋" w:cs="仿宋"/>
                <w:color w:val="auto"/>
                <w:sz w:val="24"/>
                <w:highlight w:val="none"/>
              </w:rPr>
            </w:pPr>
          </w:p>
        </w:tc>
      </w:tr>
      <w:tr w14:paraId="5E2C0332">
        <w:tblPrEx>
          <w:tblCellMar>
            <w:top w:w="0" w:type="dxa"/>
            <w:left w:w="0" w:type="dxa"/>
            <w:bottom w:w="0" w:type="dxa"/>
            <w:right w:w="0" w:type="dxa"/>
          </w:tblCellMar>
        </w:tblPrEx>
        <w:trPr>
          <w:trHeight w:val="73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14:paraId="36A948D8">
            <w:pPr>
              <w:widowControl/>
              <w:shd w:val="clear"/>
              <w:spacing w:line="360" w:lineRule="auto"/>
              <w:jc w:val="center"/>
              <w:textAlignment w:val="baseline"/>
              <w:rPr>
                <w:rStyle w:val="39"/>
                <w:rFonts w:hint="eastAsia" w:ascii="仿宋" w:hAnsi="仿宋" w:eastAsia="仿宋" w:cs="仿宋"/>
                <w:color w:val="auto"/>
                <w:sz w:val="24"/>
                <w:highlight w:val="none"/>
              </w:rPr>
            </w:pPr>
            <w:r>
              <w:rPr>
                <w:rStyle w:val="39"/>
                <w:rFonts w:hint="eastAsia" w:ascii="仿宋" w:hAnsi="仿宋" w:eastAsia="仿宋" w:cs="仿宋"/>
                <w:color w:val="auto"/>
                <w:sz w:val="24"/>
                <w:highlight w:val="none"/>
              </w:rPr>
              <w:t>3</w:t>
            </w:r>
          </w:p>
        </w:tc>
        <w:tc>
          <w:tcPr>
            <w:tcW w:w="1861" w:type="dxa"/>
            <w:tcBorders>
              <w:top w:val="single" w:color="000000" w:sz="4" w:space="0"/>
              <w:left w:val="single" w:color="000000" w:sz="4" w:space="0"/>
              <w:bottom w:val="single" w:color="000000" w:sz="4" w:space="0"/>
              <w:right w:val="single" w:color="000000" w:sz="4" w:space="0"/>
            </w:tcBorders>
            <w:vAlign w:val="center"/>
          </w:tcPr>
          <w:p w14:paraId="4DBE3F7D">
            <w:pPr>
              <w:widowControl/>
              <w:shd w:val="clear"/>
              <w:spacing w:line="360" w:lineRule="auto"/>
              <w:jc w:val="center"/>
              <w:textAlignment w:val="baseline"/>
              <w:rPr>
                <w:rStyle w:val="39"/>
                <w:rFonts w:hint="eastAsia" w:ascii="仿宋" w:hAnsi="仿宋" w:eastAsia="仿宋" w:cs="仿宋"/>
                <w:color w:val="auto"/>
                <w:sz w:val="24"/>
                <w:highlight w:val="none"/>
              </w:rPr>
            </w:pPr>
          </w:p>
        </w:tc>
        <w:tc>
          <w:tcPr>
            <w:tcW w:w="4864" w:type="dxa"/>
            <w:tcBorders>
              <w:top w:val="single" w:color="000000" w:sz="4" w:space="0"/>
              <w:left w:val="single" w:color="000000" w:sz="4" w:space="0"/>
              <w:bottom w:val="single" w:color="000000" w:sz="4" w:space="0"/>
              <w:right w:val="single" w:color="000000" w:sz="4" w:space="0"/>
            </w:tcBorders>
            <w:vAlign w:val="center"/>
          </w:tcPr>
          <w:p w14:paraId="64B95EC8">
            <w:pPr>
              <w:widowControl/>
              <w:shd w:val="clear"/>
              <w:spacing w:line="360" w:lineRule="auto"/>
              <w:textAlignment w:val="baseline"/>
              <w:rPr>
                <w:rStyle w:val="39"/>
                <w:rFonts w:hint="eastAsia" w:ascii="仿宋" w:hAnsi="仿宋" w:eastAsia="仿宋" w:cs="仿宋"/>
                <w:color w:val="auto"/>
                <w:sz w:val="24"/>
                <w:highlight w:val="none"/>
              </w:rPr>
            </w:pPr>
          </w:p>
        </w:tc>
        <w:tc>
          <w:tcPr>
            <w:tcW w:w="1062" w:type="dxa"/>
            <w:tcBorders>
              <w:top w:val="single" w:color="000000" w:sz="4" w:space="0"/>
              <w:left w:val="single" w:color="000000" w:sz="4" w:space="0"/>
              <w:bottom w:val="single" w:color="000000" w:sz="4" w:space="0"/>
              <w:right w:val="single" w:color="000000" w:sz="4" w:space="0"/>
            </w:tcBorders>
            <w:vAlign w:val="center"/>
          </w:tcPr>
          <w:p w14:paraId="7DF45436">
            <w:pPr>
              <w:widowControl/>
              <w:shd w:val="clear"/>
              <w:spacing w:line="360" w:lineRule="auto"/>
              <w:jc w:val="center"/>
              <w:textAlignment w:val="center"/>
              <w:rPr>
                <w:rStyle w:val="39"/>
                <w:rFonts w:hint="eastAsia" w:ascii="仿宋" w:hAnsi="仿宋" w:eastAsia="仿宋" w:cs="仿宋"/>
                <w:color w:val="auto"/>
                <w:sz w:val="24"/>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06DDAF60">
            <w:pPr>
              <w:widowControl/>
              <w:shd w:val="clear"/>
              <w:spacing w:line="360" w:lineRule="auto"/>
              <w:jc w:val="center"/>
              <w:textAlignment w:val="center"/>
              <w:rPr>
                <w:rStyle w:val="39"/>
                <w:rFonts w:hint="eastAsia" w:ascii="仿宋" w:hAnsi="仿宋" w:eastAsia="仿宋" w:cs="仿宋"/>
                <w:color w:val="auto"/>
                <w:sz w:val="24"/>
                <w:highlight w:val="none"/>
              </w:rPr>
            </w:pPr>
          </w:p>
        </w:tc>
      </w:tr>
      <w:tr w14:paraId="42DAED1D">
        <w:tblPrEx>
          <w:tblCellMar>
            <w:top w:w="0" w:type="dxa"/>
            <w:left w:w="0" w:type="dxa"/>
            <w:bottom w:w="0" w:type="dxa"/>
            <w:right w:w="0" w:type="dxa"/>
          </w:tblCellMar>
        </w:tblPrEx>
        <w:trPr>
          <w:trHeight w:val="73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14:paraId="737D04D3">
            <w:pPr>
              <w:widowControl/>
              <w:shd w:val="clear"/>
              <w:spacing w:line="360" w:lineRule="auto"/>
              <w:jc w:val="center"/>
              <w:textAlignment w:val="center"/>
              <w:rPr>
                <w:rStyle w:val="39"/>
                <w:rFonts w:hint="eastAsia" w:ascii="仿宋" w:hAnsi="仿宋" w:eastAsia="仿宋" w:cs="仿宋"/>
                <w:color w:val="auto"/>
                <w:sz w:val="24"/>
                <w:highlight w:val="none"/>
              </w:rPr>
            </w:pPr>
            <w:r>
              <w:rPr>
                <w:rStyle w:val="39"/>
                <w:rFonts w:hint="eastAsia" w:ascii="仿宋" w:hAnsi="仿宋" w:eastAsia="仿宋" w:cs="仿宋"/>
                <w:color w:val="auto"/>
                <w:sz w:val="24"/>
                <w:highlight w:val="none"/>
              </w:rPr>
              <w:t>4</w:t>
            </w:r>
          </w:p>
        </w:tc>
        <w:tc>
          <w:tcPr>
            <w:tcW w:w="1861" w:type="dxa"/>
            <w:tcBorders>
              <w:top w:val="single" w:color="000000" w:sz="4" w:space="0"/>
              <w:left w:val="single" w:color="000000" w:sz="4" w:space="0"/>
              <w:bottom w:val="single" w:color="000000" w:sz="4" w:space="0"/>
              <w:right w:val="single" w:color="000000" w:sz="4" w:space="0"/>
            </w:tcBorders>
            <w:vAlign w:val="center"/>
          </w:tcPr>
          <w:p w14:paraId="61C33FAB">
            <w:pPr>
              <w:widowControl/>
              <w:shd w:val="clear"/>
              <w:spacing w:line="360" w:lineRule="auto"/>
              <w:jc w:val="center"/>
              <w:textAlignment w:val="center"/>
              <w:rPr>
                <w:rStyle w:val="39"/>
                <w:rFonts w:hint="eastAsia" w:ascii="仿宋" w:hAnsi="仿宋" w:eastAsia="仿宋" w:cs="仿宋"/>
                <w:color w:val="auto"/>
                <w:sz w:val="24"/>
                <w:highlight w:val="none"/>
              </w:rPr>
            </w:pPr>
          </w:p>
        </w:tc>
        <w:tc>
          <w:tcPr>
            <w:tcW w:w="4864" w:type="dxa"/>
            <w:tcBorders>
              <w:top w:val="single" w:color="000000" w:sz="4" w:space="0"/>
              <w:left w:val="single" w:color="000000" w:sz="4" w:space="0"/>
              <w:bottom w:val="single" w:color="000000" w:sz="4" w:space="0"/>
              <w:right w:val="single" w:color="000000" w:sz="4" w:space="0"/>
            </w:tcBorders>
            <w:vAlign w:val="center"/>
          </w:tcPr>
          <w:p w14:paraId="703BE732">
            <w:pPr>
              <w:widowControl/>
              <w:shd w:val="clear"/>
              <w:spacing w:line="360" w:lineRule="auto"/>
              <w:jc w:val="center"/>
              <w:textAlignment w:val="center"/>
              <w:rPr>
                <w:rStyle w:val="39"/>
                <w:rFonts w:hint="eastAsia" w:ascii="仿宋" w:hAnsi="仿宋" w:eastAsia="仿宋" w:cs="仿宋"/>
                <w:color w:val="auto"/>
                <w:sz w:val="24"/>
                <w:highlight w:val="none"/>
              </w:rPr>
            </w:pPr>
          </w:p>
        </w:tc>
        <w:tc>
          <w:tcPr>
            <w:tcW w:w="1062" w:type="dxa"/>
            <w:tcBorders>
              <w:top w:val="single" w:color="000000" w:sz="4" w:space="0"/>
              <w:left w:val="single" w:color="000000" w:sz="4" w:space="0"/>
              <w:bottom w:val="single" w:color="000000" w:sz="4" w:space="0"/>
              <w:right w:val="single" w:color="000000" w:sz="4" w:space="0"/>
            </w:tcBorders>
            <w:vAlign w:val="center"/>
          </w:tcPr>
          <w:p w14:paraId="1DB20E17">
            <w:pPr>
              <w:widowControl/>
              <w:shd w:val="clear"/>
              <w:spacing w:line="360" w:lineRule="auto"/>
              <w:jc w:val="center"/>
              <w:textAlignment w:val="center"/>
              <w:rPr>
                <w:rStyle w:val="39"/>
                <w:rFonts w:hint="eastAsia" w:ascii="仿宋" w:hAnsi="仿宋" w:eastAsia="仿宋" w:cs="仿宋"/>
                <w:color w:val="auto"/>
                <w:sz w:val="24"/>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50614A43">
            <w:pPr>
              <w:widowControl/>
              <w:shd w:val="clear"/>
              <w:spacing w:line="360" w:lineRule="auto"/>
              <w:jc w:val="center"/>
              <w:textAlignment w:val="center"/>
              <w:rPr>
                <w:rStyle w:val="39"/>
                <w:rFonts w:hint="eastAsia" w:ascii="仿宋" w:hAnsi="仿宋" w:eastAsia="仿宋" w:cs="仿宋"/>
                <w:color w:val="auto"/>
                <w:sz w:val="24"/>
                <w:highlight w:val="none"/>
              </w:rPr>
            </w:pPr>
          </w:p>
        </w:tc>
      </w:tr>
      <w:tr w14:paraId="4110BD68">
        <w:tblPrEx>
          <w:tblCellMar>
            <w:top w:w="0" w:type="dxa"/>
            <w:left w:w="0" w:type="dxa"/>
            <w:bottom w:w="0" w:type="dxa"/>
            <w:right w:w="0" w:type="dxa"/>
          </w:tblCellMar>
        </w:tblPrEx>
        <w:trPr>
          <w:trHeight w:val="73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14:paraId="1FD78944">
            <w:pPr>
              <w:widowControl/>
              <w:shd w:val="clear"/>
              <w:spacing w:line="360" w:lineRule="auto"/>
              <w:jc w:val="center"/>
              <w:textAlignment w:val="center"/>
              <w:rPr>
                <w:rStyle w:val="39"/>
                <w:rFonts w:hint="eastAsia" w:ascii="仿宋" w:hAnsi="仿宋" w:eastAsia="仿宋" w:cs="仿宋"/>
                <w:color w:val="auto"/>
                <w:sz w:val="24"/>
                <w:highlight w:val="none"/>
              </w:rPr>
            </w:pPr>
            <w:r>
              <w:rPr>
                <w:rStyle w:val="39"/>
                <w:rFonts w:hint="eastAsia" w:ascii="仿宋" w:hAnsi="仿宋" w:eastAsia="仿宋" w:cs="仿宋"/>
                <w:color w:val="auto"/>
                <w:sz w:val="24"/>
                <w:highlight w:val="none"/>
              </w:rPr>
              <w:t>5</w:t>
            </w:r>
          </w:p>
        </w:tc>
        <w:tc>
          <w:tcPr>
            <w:tcW w:w="1861" w:type="dxa"/>
            <w:tcBorders>
              <w:top w:val="single" w:color="000000" w:sz="4" w:space="0"/>
              <w:left w:val="single" w:color="000000" w:sz="4" w:space="0"/>
              <w:bottom w:val="single" w:color="000000" w:sz="4" w:space="0"/>
              <w:right w:val="single" w:color="000000" w:sz="4" w:space="0"/>
            </w:tcBorders>
            <w:vAlign w:val="center"/>
          </w:tcPr>
          <w:p w14:paraId="3790F448">
            <w:pPr>
              <w:widowControl/>
              <w:shd w:val="clear"/>
              <w:spacing w:line="360" w:lineRule="auto"/>
              <w:jc w:val="center"/>
              <w:textAlignment w:val="center"/>
              <w:rPr>
                <w:rStyle w:val="39"/>
                <w:rFonts w:hint="eastAsia" w:ascii="仿宋" w:hAnsi="仿宋" w:eastAsia="仿宋" w:cs="仿宋"/>
                <w:color w:val="auto"/>
                <w:sz w:val="24"/>
                <w:highlight w:val="none"/>
              </w:rPr>
            </w:pPr>
          </w:p>
        </w:tc>
        <w:tc>
          <w:tcPr>
            <w:tcW w:w="4864" w:type="dxa"/>
            <w:tcBorders>
              <w:top w:val="single" w:color="000000" w:sz="4" w:space="0"/>
              <w:left w:val="single" w:color="000000" w:sz="4" w:space="0"/>
              <w:bottom w:val="single" w:color="000000" w:sz="4" w:space="0"/>
              <w:right w:val="single" w:color="000000" w:sz="4" w:space="0"/>
            </w:tcBorders>
            <w:vAlign w:val="center"/>
          </w:tcPr>
          <w:p w14:paraId="204C0373">
            <w:pPr>
              <w:widowControl/>
              <w:shd w:val="clear"/>
              <w:spacing w:line="360" w:lineRule="auto"/>
              <w:jc w:val="center"/>
              <w:textAlignment w:val="center"/>
              <w:rPr>
                <w:rStyle w:val="39"/>
                <w:rFonts w:hint="eastAsia" w:ascii="仿宋" w:hAnsi="仿宋" w:eastAsia="仿宋" w:cs="仿宋"/>
                <w:color w:val="auto"/>
                <w:sz w:val="24"/>
                <w:highlight w:val="none"/>
              </w:rPr>
            </w:pPr>
          </w:p>
        </w:tc>
        <w:tc>
          <w:tcPr>
            <w:tcW w:w="1062" w:type="dxa"/>
            <w:tcBorders>
              <w:top w:val="single" w:color="000000" w:sz="4" w:space="0"/>
              <w:left w:val="single" w:color="000000" w:sz="4" w:space="0"/>
              <w:bottom w:val="single" w:color="000000" w:sz="4" w:space="0"/>
              <w:right w:val="single" w:color="000000" w:sz="4" w:space="0"/>
            </w:tcBorders>
            <w:vAlign w:val="center"/>
          </w:tcPr>
          <w:p w14:paraId="7FC6C017">
            <w:pPr>
              <w:widowControl/>
              <w:shd w:val="clear"/>
              <w:spacing w:line="360" w:lineRule="auto"/>
              <w:jc w:val="center"/>
              <w:textAlignment w:val="center"/>
              <w:rPr>
                <w:rStyle w:val="39"/>
                <w:rFonts w:hint="eastAsia" w:ascii="仿宋" w:hAnsi="仿宋" w:eastAsia="仿宋" w:cs="仿宋"/>
                <w:color w:val="auto"/>
                <w:sz w:val="24"/>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49779EA3">
            <w:pPr>
              <w:widowControl/>
              <w:shd w:val="clear"/>
              <w:spacing w:line="360" w:lineRule="auto"/>
              <w:jc w:val="center"/>
              <w:textAlignment w:val="center"/>
              <w:rPr>
                <w:rStyle w:val="39"/>
                <w:rFonts w:hint="eastAsia" w:ascii="仿宋" w:hAnsi="仿宋" w:eastAsia="仿宋" w:cs="仿宋"/>
                <w:color w:val="auto"/>
                <w:sz w:val="24"/>
                <w:highlight w:val="none"/>
              </w:rPr>
            </w:pPr>
          </w:p>
        </w:tc>
      </w:tr>
      <w:tr w14:paraId="5CD9C74F">
        <w:tblPrEx>
          <w:tblCellMar>
            <w:top w:w="0" w:type="dxa"/>
            <w:left w:w="0" w:type="dxa"/>
            <w:bottom w:w="0" w:type="dxa"/>
            <w:right w:w="0" w:type="dxa"/>
          </w:tblCellMar>
        </w:tblPrEx>
        <w:trPr>
          <w:trHeight w:val="73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14:paraId="6FB7E6A9">
            <w:pPr>
              <w:widowControl/>
              <w:shd w:val="clear"/>
              <w:spacing w:line="360" w:lineRule="auto"/>
              <w:jc w:val="center"/>
              <w:textAlignment w:val="center"/>
              <w:rPr>
                <w:rStyle w:val="39"/>
                <w:rFonts w:hint="eastAsia" w:ascii="仿宋" w:hAnsi="仿宋" w:eastAsia="仿宋" w:cs="仿宋"/>
                <w:color w:val="auto"/>
                <w:sz w:val="24"/>
                <w:highlight w:val="none"/>
              </w:rPr>
            </w:pPr>
            <w:r>
              <w:rPr>
                <w:rStyle w:val="39"/>
                <w:rFonts w:hint="eastAsia" w:ascii="仿宋" w:hAnsi="仿宋" w:eastAsia="仿宋" w:cs="仿宋"/>
                <w:color w:val="auto"/>
                <w:sz w:val="24"/>
                <w:highlight w:val="none"/>
              </w:rPr>
              <w:t>6</w:t>
            </w:r>
          </w:p>
        </w:tc>
        <w:tc>
          <w:tcPr>
            <w:tcW w:w="1861" w:type="dxa"/>
            <w:tcBorders>
              <w:top w:val="single" w:color="000000" w:sz="4" w:space="0"/>
              <w:left w:val="single" w:color="000000" w:sz="4" w:space="0"/>
              <w:bottom w:val="single" w:color="000000" w:sz="4" w:space="0"/>
              <w:right w:val="single" w:color="000000" w:sz="4" w:space="0"/>
            </w:tcBorders>
            <w:vAlign w:val="center"/>
          </w:tcPr>
          <w:p w14:paraId="0ED3AA42">
            <w:pPr>
              <w:widowControl/>
              <w:shd w:val="clear"/>
              <w:spacing w:line="360" w:lineRule="auto"/>
              <w:jc w:val="center"/>
              <w:textAlignment w:val="center"/>
              <w:rPr>
                <w:rStyle w:val="39"/>
                <w:rFonts w:hint="eastAsia" w:ascii="仿宋" w:hAnsi="仿宋" w:eastAsia="仿宋" w:cs="仿宋"/>
                <w:color w:val="auto"/>
                <w:sz w:val="24"/>
                <w:highlight w:val="none"/>
              </w:rPr>
            </w:pPr>
          </w:p>
        </w:tc>
        <w:tc>
          <w:tcPr>
            <w:tcW w:w="4864" w:type="dxa"/>
            <w:tcBorders>
              <w:top w:val="single" w:color="000000" w:sz="4" w:space="0"/>
              <w:left w:val="single" w:color="000000" w:sz="4" w:space="0"/>
              <w:bottom w:val="single" w:color="000000" w:sz="4" w:space="0"/>
              <w:right w:val="single" w:color="000000" w:sz="4" w:space="0"/>
            </w:tcBorders>
            <w:vAlign w:val="center"/>
          </w:tcPr>
          <w:p w14:paraId="4A3867A2">
            <w:pPr>
              <w:widowControl/>
              <w:shd w:val="clear"/>
              <w:spacing w:line="360" w:lineRule="auto"/>
              <w:jc w:val="center"/>
              <w:textAlignment w:val="center"/>
              <w:rPr>
                <w:rStyle w:val="39"/>
                <w:rFonts w:hint="eastAsia" w:ascii="仿宋" w:hAnsi="仿宋" w:eastAsia="仿宋" w:cs="仿宋"/>
                <w:color w:val="auto"/>
                <w:sz w:val="24"/>
                <w:highlight w:val="none"/>
              </w:rPr>
            </w:pPr>
          </w:p>
        </w:tc>
        <w:tc>
          <w:tcPr>
            <w:tcW w:w="1062" w:type="dxa"/>
            <w:tcBorders>
              <w:top w:val="single" w:color="000000" w:sz="4" w:space="0"/>
              <w:left w:val="single" w:color="000000" w:sz="4" w:space="0"/>
              <w:bottom w:val="single" w:color="000000" w:sz="4" w:space="0"/>
              <w:right w:val="single" w:color="000000" w:sz="4" w:space="0"/>
            </w:tcBorders>
            <w:vAlign w:val="center"/>
          </w:tcPr>
          <w:p w14:paraId="187BE0E0">
            <w:pPr>
              <w:widowControl/>
              <w:shd w:val="clear"/>
              <w:spacing w:line="360" w:lineRule="auto"/>
              <w:jc w:val="center"/>
              <w:textAlignment w:val="center"/>
              <w:rPr>
                <w:rStyle w:val="39"/>
                <w:rFonts w:hint="eastAsia" w:ascii="仿宋" w:hAnsi="仿宋" w:eastAsia="仿宋" w:cs="仿宋"/>
                <w:color w:val="auto"/>
                <w:sz w:val="24"/>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79F0B52C">
            <w:pPr>
              <w:widowControl/>
              <w:shd w:val="clear"/>
              <w:spacing w:line="360" w:lineRule="auto"/>
              <w:jc w:val="center"/>
              <w:textAlignment w:val="center"/>
              <w:rPr>
                <w:rStyle w:val="39"/>
                <w:rFonts w:hint="eastAsia" w:ascii="仿宋" w:hAnsi="仿宋" w:eastAsia="仿宋" w:cs="仿宋"/>
                <w:color w:val="auto"/>
                <w:sz w:val="24"/>
                <w:highlight w:val="none"/>
              </w:rPr>
            </w:pPr>
          </w:p>
        </w:tc>
      </w:tr>
      <w:tr w14:paraId="07A94E6E">
        <w:tblPrEx>
          <w:tblCellMar>
            <w:top w:w="0" w:type="dxa"/>
            <w:left w:w="0" w:type="dxa"/>
            <w:bottom w:w="0" w:type="dxa"/>
            <w:right w:w="0" w:type="dxa"/>
          </w:tblCellMar>
        </w:tblPrEx>
        <w:trPr>
          <w:trHeight w:val="73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14:paraId="7D230F5D">
            <w:pPr>
              <w:widowControl/>
              <w:shd w:val="clear"/>
              <w:spacing w:line="360" w:lineRule="auto"/>
              <w:jc w:val="center"/>
              <w:textAlignment w:val="center"/>
              <w:rPr>
                <w:rStyle w:val="39"/>
                <w:rFonts w:hint="eastAsia" w:ascii="仿宋" w:hAnsi="仿宋" w:eastAsia="仿宋" w:cs="仿宋"/>
                <w:color w:val="auto"/>
                <w:sz w:val="24"/>
                <w:highlight w:val="none"/>
              </w:rPr>
            </w:pPr>
            <w:r>
              <w:rPr>
                <w:rStyle w:val="39"/>
                <w:rFonts w:hint="eastAsia" w:ascii="仿宋" w:hAnsi="仿宋" w:eastAsia="仿宋" w:cs="仿宋"/>
                <w:color w:val="auto"/>
                <w:sz w:val="24"/>
                <w:highlight w:val="none"/>
              </w:rPr>
              <w:t>7</w:t>
            </w:r>
          </w:p>
        </w:tc>
        <w:tc>
          <w:tcPr>
            <w:tcW w:w="1861" w:type="dxa"/>
            <w:tcBorders>
              <w:top w:val="single" w:color="000000" w:sz="4" w:space="0"/>
              <w:left w:val="single" w:color="000000" w:sz="4" w:space="0"/>
              <w:bottom w:val="single" w:color="000000" w:sz="4" w:space="0"/>
              <w:right w:val="single" w:color="000000" w:sz="4" w:space="0"/>
            </w:tcBorders>
            <w:vAlign w:val="center"/>
          </w:tcPr>
          <w:p w14:paraId="18BF5950">
            <w:pPr>
              <w:widowControl/>
              <w:shd w:val="clear"/>
              <w:spacing w:line="360" w:lineRule="auto"/>
              <w:jc w:val="center"/>
              <w:textAlignment w:val="center"/>
              <w:rPr>
                <w:rStyle w:val="39"/>
                <w:rFonts w:hint="eastAsia" w:ascii="仿宋" w:hAnsi="仿宋" w:eastAsia="仿宋" w:cs="仿宋"/>
                <w:color w:val="auto"/>
                <w:sz w:val="24"/>
                <w:highlight w:val="none"/>
              </w:rPr>
            </w:pPr>
          </w:p>
        </w:tc>
        <w:tc>
          <w:tcPr>
            <w:tcW w:w="4864" w:type="dxa"/>
            <w:tcBorders>
              <w:top w:val="single" w:color="000000" w:sz="4" w:space="0"/>
              <w:left w:val="single" w:color="000000" w:sz="4" w:space="0"/>
              <w:bottom w:val="single" w:color="000000" w:sz="4" w:space="0"/>
              <w:right w:val="single" w:color="000000" w:sz="4" w:space="0"/>
            </w:tcBorders>
            <w:vAlign w:val="center"/>
          </w:tcPr>
          <w:p w14:paraId="7C6A9271">
            <w:pPr>
              <w:widowControl/>
              <w:shd w:val="clear"/>
              <w:spacing w:line="360" w:lineRule="auto"/>
              <w:jc w:val="center"/>
              <w:textAlignment w:val="center"/>
              <w:rPr>
                <w:rStyle w:val="39"/>
                <w:rFonts w:hint="eastAsia" w:ascii="仿宋" w:hAnsi="仿宋" w:eastAsia="仿宋" w:cs="仿宋"/>
                <w:color w:val="auto"/>
                <w:sz w:val="24"/>
                <w:highlight w:val="none"/>
              </w:rPr>
            </w:pPr>
          </w:p>
        </w:tc>
        <w:tc>
          <w:tcPr>
            <w:tcW w:w="1062" w:type="dxa"/>
            <w:tcBorders>
              <w:top w:val="single" w:color="000000" w:sz="4" w:space="0"/>
              <w:left w:val="single" w:color="000000" w:sz="4" w:space="0"/>
              <w:bottom w:val="single" w:color="000000" w:sz="4" w:space="0"/>
              <w:right w:val="single" w:color="000000" w:sz="4" w:space="0"/>
            </w:tcBorders>
            <w:vAlign w:val="center"/>
          </w:tcPr>
          <w:p w14:paraId="22C14944">
            <w:pPr>
              <w:widowControl/>
              <w:shd w:val="clear"/>
              <w:spacing w:line="360" w:lineRule="auto"/>
              <w:jc w:val="center"/>
              <w:textAlignment w:val="center"/>
              <w:rPr>
                <w:rStyle w:val="39"/>
                <w:rFonts w:hint="eastAsia" w:ascii="仿宋" w:hAnsi="仿宋" w:eastAsia="仿宋" w:cs="仿宋"/>
                <w:color w:val="auto"/>
                <w:sz w:val="24"/>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7C7179AA">
            <w:pPr>
              <w:widowControl/>
              <w:shd w:val="clear"/>
              <w:spacing w:line="360" w:lineRule="auto"/>
              <w:jc w:val="center"/>
              <w:textAlignment w:val="center"/>
              <w:rPr>
                <w:rStyle w:val="39"/>
                <w:rFonts w:hint="eastAsia" w:ascii="仿宋" w:hAnsi="仿宋" w:eastAsia="仿宋" w:cs="仿宋"/>
                <w:color w:val="auto"/>
                <w:sz w:val="24"/>
                <w:highlight w:val="none"/>
              </w:rPr>
            </w:pPr>
          </w:p>
        </w:tc>
      </w:tr>
      <w:tr w14:paraId="7AFDE1D6">
        <w:tblPrEx>
          <w:tblCellMar>
            <w:top w:w="0" w:type="dxa"/>
            <w:left w:w="0" w:type="dxa"/>
            <w:bottom w:w="0" w:type="dxa"/>
            <w:right w:w="0" w:type="dxa"/>
          </w:tblCellMar>
        </w:tblPrEx>
        <w:trPr>
          <w:trHeight w:val="73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14:paraId="450C11B1">
            <w:pPr>
              <w:widowControl/>
              <w:shd w:val="clear"/>
              <w:spacing w:line="360" w:lineRule="auto"/>
              <w:jc w:val="center"/>
              <w:textAlignment w:val="center"/>
              <w:rPr>
                <w:rStyle w:val="39"/>
                <w:rFonts w:hint="eastAsia" w:ascii="仿宋" w:hAnsi="仿宋" w:eastAsia="仿宋" w:cs="仿宋"/>
                <w:color w:val="auto"/>
                <w:sz w:val="24"/>
                <w:highlight w:val="none"/>
              </w:rPr>
            </w:pPr>
            <w:r>
              <w:rPr>
                <w:rStyle w:val="39"/>
                <w:rFonts w:hint="eastAsia" w:ascii="仿宋" w:hAnsi="仿宋" w:eastAsia="仿宋" w:cs="仿宋"/>
                <w:color w:val="auto"/>
                <w:sz w:val="24"/>
                <w:highlight w:val="none"/>
              </w:rPr>
              <w:t>8</w:t>
            </w:r>
          </w:p>
        </w:tc>
        <w:tc>
          <w:tcPr>
            <w:tcW w:w="1861" w:type="dxa"/>
            <w:tcBorders>
              <w:top w:val="single" w:color="000000" w:sz="4" w:space="0"/>
              <w:left w:val="single" w:color="000000" w:sz="4" w:space="0"/>
              <w:bottom w:val="single" w:color="000000" w:sz="4" w:space="0"/>
              <w:right w:val="single" w:color="000000" w:sz="4" w:space="0"/>
            </w:tcBorders>
            <w:vAlign w:val="center"/>
          </w:tcPr>
          <w:p w14:paraId="7B24DB15">
            <w:pPr>
              <w:widowControl/>
              <w:shd w:val="clear"/>
              <w:spacing w:line="360" w:lineRule="auto"/>
              <w:jc w:val="center"/>
              <w:textAlignment w:val="center"/>
              <w:rPr>
                <w:rStyle w:val="39"/>
                <w:rFonts w:hint="eastAsia" w:ascii="仿宋" w:hAnsi="仿宋" w:eastAsia="仿宋" w:cs="仿宋"/>
                <w:color w:val="auto"/>
                <w:sz w:val="24"/>
                <w:highlight w:val="none"/>
              </w:rPr>
            </w:pPr>
          </w:p>
        </w:tc>
        <w:tc>
          <w:tcPr>
            <w:tcW w:w="4864" w:type="dxa"/>
            <w:tcBorders>
              <w:top w:val="single" w:color="000000" w:sz="4" w:space="0"/>
              <w:left w:val="single" w:color="000000" w:sz="4" w:space="0"/>
              <w:bottom w:val="single" w:color="000000" w:sz="4" w:space="0"/>
              <w:right w:val="single" w:color="000000" w:sz="4" w:space="0"/>
            </w:tcBorders>
            <w:vAlign w:val="center"/>
          </w:tcPr>
          <w:p w14:paraId="4CF81880">
            <w:pPr>
              <w:widowControl/>
              <w:shd w:val="clear"/>
              <w:spacing w:line="360" w:lineRule="auto"/>
              <w:jc w:val="center"/>
              <w:textAlignment w:val="center"/>
              <w:rPr>
                <w:rStyle w:val="39"/>
                <w:rFonts w:hint="eastAsia" w:ascii="仿宋" w:hAnsi="仿宋" w:eastAsia="仿宋" w:cs="仿宋"/>
                <w:color w:val="auto"/>
                <w:sz w:val="24"/>
                <w:highlight w:val="none"/>
              </w:rPr>
            </w:pPr>
          </w:p>
        </w:tc>
        <w:tc>
          <w:tcPr>
            <w:tcW w:w="1062" w:type="dxa"/>
            <w:tcBorders>
              <w:top w:val="single" w:color="000000" w:sz="4" w:space="0"/>
              <w:left w:val="single" w:color="000000" w:sz="4" w:space="0"/>
              <w:bottom w:val="single" w:color="000000" w:sz="4" w:space="0"/>
              <w:right w:val="single" w:color="000000" w:sz="4" w:space="0"/>
            </w:tcBorders>
            <w:vAlign w:val="center"/>
          </w:tcPr>
          <w:p w14:paraId="460FCB0E">
            <w:pPr>
              <w:widowControl/>
              <w:shd w:val="clear"/>
              <w:spacing w:line="360" w:lineRule="auto"/>
              <w:jc w:val="center"/>
              <w:textAlignment w:val="center"/>
              <w:rPr>
                <w:rStyle w:val="39"/>
                <w:rFonts w:hint="eastAsia" w:ascii="仿宋" w:hAnsi="仿宋" w:eastAsia="仿宋" w:cs="仿宋"/>
                <w:color w:val="auto"/>
                <w:sz w:val="24"/>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4068A1B4">
            <w:pPr>
              <w:widowControl/>
              <w:shd w:val="clear"/>
              <w:spacing w:line="360" w:lineRule="auto"/>
              <w:jc w:val="center"/>
              <w:textAlignment w:val="center"/>
              <w:rPr>
                <w:rStyle w:val="39"/>
                <w:rFonts w:hint="eastAsia" w:ascii="仿宋" w:hAnsi="仿宋" w:eastAsia="仿宋" w:cs="仿宋"/>
                <w:color w:val="auto"/>
                <w:sz w:val="24"/>
                <w:highlight w:val="none"/>
              </w:rPr>
            </w:pPr>
          </w:p>
        </w:tc>
      </w:tr>
      <w:tr w14:paraId="332CAF3C">
        <w:tblPrEx>
          <w:tblCellMar>
            <w:top w:w="0" w:type="dxa"/>
            <w:left w:w="0" w:type="dxa"/>
            <w:bottom w:w="0" w:type="dxa"/>
            <w:right w:w="0" w:type="dxa"/>
          </w:tblCellMar>
        </w:tblPrEx>
        <w:trPr>
          <w:trHeight w:val="73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14:paraId="0918AAA6">
            <w:pPr>
              <w:widowControl/>
              <w:shd w:val="clear"/>
              <w:spacing w:line="360" w:lineRule="auto"/>
              <w:jc w:val="center"/>
              <w:textAlignment w:val="baseline"/>
              <w:rPr>
                <w:rStyle w:val="39"/>
                <w:rFonts w:hint="eastAsia" w:ascii="仿宋" w:hAnsi="仿宋" w:eastAsia="仿宋" w:cs="仿宋"/>
                <w:color w:val="auto"/>
                <w:sz w:val="24"/>
                <w:highlight w:val="none"/>
              </w:rPr>
            </w:pPr>
            <w:r>
              <w:rPr>
                <w:rStyle w:val="39"/>
                <w:rFonts w:hint="eastAsia" w:ascii="仿宋" w:hAnsi="仿宋" w:eastAsia="仿宋" w:cs="仿宋"/>
                <w:color w:val="auto"/>
                <w:sz w:val="24"/>
                <w:highlight w:val="none"/>
              </w:rPr>
              <w:t>9</w:t>
            </w:r>
          </w:p>
        </w:tc>
        <w:tc>
          <w:tcPr>
            <w:tcW w:w="1861" w:type="dxa"/>
            <w:tcBorders>
              <w:top w:val="single" w:color="000000" w:sz="4" w:space="0"/>
              <w:left w:val="single" w:color="000000" w:sz="4" w:space="0"/>
              <w:bottom w:val="single" w:color="000000" w:sz="4" w:space="0"/>
              <w:right w:val="single" w:color="000000" w:sz="4" w:space="0"/>
            </w:tcBorders>
            <w:vAlign w:val="center"/>
          </w:tcPr>
          <w:p w14:paraId="3CCA341A">
            <w:pPr>
              <w:widowControl/>
              <w:shd w:val="clear"/>
              <w:spacing w:line="360" w:lineRule="auto"/>
              <w:jc w:val="center"/>
              <w:textAlignment w:val="baseline"/>
              <w:rPr>
                <w:rStyle w:val="39"/>
                <w:rFonts w:hint="eastAsia" w:ascii="仿宋" w:hAnsi="仿宋" w:eastAsia="仿宋" w:cs="仿宋"/>
                <w:color w:val="auto"/>
                <w:sz w:val="24"/>
                <w:highlight w:val="none"/>
              </w:rPr>
            </w:pPr>
          </w:p>
        </w:tc>
        <w:tc>
          <w:tcPr>
            <w:tcW w:w="4864" w:type="dxa"/>
            <w:tcBorders>
              <w:top w:val="single" w:color="000000" w:sz="4" w:space="0"/>
              <w:left w:val="single" w:color="000000" w:sz="4" w:space="0"/>
              <w:bottom w:val="single" w:color="000000" w:sz="4" w:space="0"/>
              <w:right w:val="single" w:color="000000" w:sz="4" w:space="0"/>
            </w:tcBorders>
            <w:vAlign w:val="center"/>
          </w:tcPr>
          <w:p w14:paraId="38DE6FE6">
            <w:pPr>
              <w:widowControl/>
              <w:shd w:val="clear"/>
              <w:spacing w:line="380" w:lineRule="exact"/>
              <w:jc w:val="left"/>
              <w:textAlignment w:val="baseline"/>
              <w:rPr>
                <w:rStyle w:val="39"/>
                <w:rFonts w:hint="eastAsia" w:ascii="仿宋" w:hAnsi="仿宋" w:eastAsia="仿宋" w:cs="仿宋"/>
                <w:color w:val="auto"/>
                <w:sz w:val="24"/>
                <w:highlight w:val="none"/>
              </w:rPr>
            </w:pPr>
          </w:p>
        </w:tc>
        <w:tc>
          <w:tcPr>
            <w:tcW w:w="1062" w:type="dxa"/>
            <w:tcBorders>
              <w:top w:val="single" w:color="000000" w:sz="4" w:space="0"/>
              <w:left w:val="single" w:color="000000" w:sz="4" w:space="0"/>
              <w:bottom w:val="single" w:color="000000" w:sz="4" w:space="0"/>
              <w:right w:val="single" w:color="000000" w:sz="4" w:space="0"/>
            </w:tcBorders>
            <w:vAlign w:val="center"/>
          </w:tcPr>
          <w:p w14:paraId="1C59489F">
            <w:pPr>
              <w:widowControl/>
              <w:shd w:val="clear"/>
              <w:spacing w:line="360" w:lineRule="auto"/>
              <w:jc w:val="center"/>
              <w:textAlignment w:val="center"/>
              <w:rPr>
                <w:rStyle w:val="39"/>
                <w:rFonts w:hint="eastAsia" w:ascii="仿宋" w:hAnsi="仿宋" w:eastAsia="仿宋" w:cs="仿宋"/>
                <w:color w:val="auto"/>
                <w:sz w:val="24"/>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292D2764">
            <w:pPr>
              <w:widowControl/>
              <w:shd w:val="clear"/>
              <w:spacing w:line="360" w:lineRule="auto"/>
              <w:jc w:val="center"/>
              <w:textAlignment w:val="center"/>
              <w:rPr>
                <w:rStyle w:val="39"/>
                <w:rFonts w:hint="eastAsia" w:ascii="仿宋" w:hAnsi="仿宋" w:eastAsia="仿宋" w:cs="仿宋"/>
                <w:color w:val="auto"/>
                <w:sz w:val="24"/>
                <w:highlight w:val="none"/>
              </w:rPr>
            </w:pPr>
          </w:p>
        </w:tc>
      </w:tr>
      <w:tr w14:paraId="29899E88">
        <w:tblPrEx>
          <w:tblCellMar>
            <w:top w:w="0" w:type="dxa"/>
            <w:left w:w="0" w:type="dxa"/>
            <w:bottom w:w="0" w:type="dxa"/>
            <w:right w:w="0" w:type="dxa"/>
          </w:tblCellMar>
        </w:tblPrEx>
        <w:trPr>
          <w:trHeight w:val="73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14:paraId="0CB15F85">
            <w:pPr>
              <w:widowControl/>
              <w:shd w:val="clear"/>
              <w:spacing w:line="360" w:lineRule="auto"/>
              <w:jc w:val="center"/>
              <w:textAlignment w:val="baseline"/>
              <w:rPr>
                <w:rStyle w:val="39"/>
                <w:rFonts w:hint="eastAsia" w:ascii="仿宋" w:hAnsi="仿宋" w:eastAsia="仿宋" w:cs="仿宋"/>
                <w:color w:val="auto"/>
                <w:sz w:val="24"/>
                <w:highlight w:val="none"/>
              </w:rPr>
            </w:pPr>
          </w:p>
        </w:tc>
        <w:tc>
          <w:tcPr>
            <w:tcW w:w="1861" w:type="dxa"/>
            <w:tcBorders>
              <w:top w:val="single" w:color="000000" w:sz="4" w:space="0"/>
              <w:left w:val="single" w:color="000000" w:sz="4" w:space="0"/>
              <w:bottom w:val="single" w:color="000000" w:sz="4" w:space="0"/>
              <w:right w:val="single" w:color="000000" w:sz="4" w:space="0"/>
            </w:tcBorders>
            <w:vAlign w:val="center"/>
          </w:tcPr>
          <w:p w14:paraId="3CB67A01">
            <w:pPr>
              <w:widowControl/>
              <w:shd w:val="clear"/>
              <w:spacing w:line="360" w:lineRule="auto"/>
              <w:jc w:val="center"/>
              <w:textAlignment w:val="baseline"/>
              <w:rPr>
                <w:rStyle w:val="39"/>
                <w:rFonts w:hint="eastAsia" w:ascii="仿宋" w:hAnsi="仿宋" w:eastAsia="仿宋" w:cs="仿宋"/>
                <w:color w:val="auto"/>
                <w:sz w:val="24"/>
                <w:highlight w:val="none"/>
              </w:rPr>
            </w:pPr>
            <w:r>
              <w:rPr>
                <w:rStyle w:val="39"/>
                <w:rFonts w:hint="eastAsia" w:ascii="仿宋" w:hAnsi="仿宋" w:eastAsia="仿宋" w:cs="仿宋"/>
                <w:color w:val="auto"/>
                <w:sz w:val="24"/>
                <w:highlight w:val="none"/>
              </w:rPr>
              <w:t>......</w:t>
            </w:r>
          </w:p>
        </w:tc>
        <w:tc>
          <w:tcPr>
            <w:tcW w:w="4864" w:type="dxa"/>
            <w:tcBorders>
              <w:top w:val="single" w:color="000000" w:sz="4" w:space="0"/>
              <w:left w:val="single" w:color="000000" w:sz="4" w:space="0"/>
              <w:bottom w:val="single" w:color="000000" w:sz="4" w:space="0"/>
              <w:right w:val="single" w:color="000000" w:sz="4" w:space="0"/>
            </w:tcBorders>
            <w:vAlign w:val="center"/>
          </w:tcPr>
          <w:p w14:paraId="02E33F04">
            <w:pPr>
              <w:widowControl/>
              <w:shd w:val="clear"/>
              <w:spacing w:line="380" w:lineRule="exact"/>
              <w:jc w:val="left"/>
              <w:textAlignment w:val="baseline"/>
              <w:rPr>
                <w:rStyle w:val="39"/>
                <w:rFonts w:hint="eastAsia" w:ascii="仿宋" w:hAnsi="仿宋" w:eastAsia="仿宋" w:cs="仿宋"/>
                <w:color w:val="auto"/>
                <w:sz w:val="24"/>
                <w:highlight w:val="none"/>
              </w:rPr>
            </w:pPr>
          </w:p>
        </w:tc>
        <w:tc>
          <w:tcPr>
            <w:tcW w:w="1062" w:type="dxa"/>
            <w:tcBorders>
              <w:top w:val="single" w:color="000000" w:sz="4" w:space="0"/>
              <w:left w:val="single" w:color="000000" w:sz="4" w:space="0"/>
              <w:bottom w:val="single" w:color="000000" w:sz="4" w:space="0"/>
              <w:right w:val="single" w:color="000000" w:sz="4" w:space="0"/>
            </w:tcBorders>
            <w:vAlign w:val="center"/>
          </w:tcPr>
          <w:p w14:paraId="7B7A2400">
            <w:pPr>
              <w:widowControl/>
              <w:shd w:val="clear"/>
              <w:spacing w:line="360" w:lineRule="auto"/>
              <w:jc w:val="center"/>
              <w:textAlignment w:val="center"/>
              <w:rPr>
                <w:rStyle w:val="39"/>
                <w:rFonts w:hint="eastAsia" w:ascii="仿宋" w:hAnsi="仿宋" w:eastAsia="仿宋" w:cs="仿宋"/>
                <w:color w:val="auto"/>
                <w:sz w:val="24"/>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5F2365E7">
            <w:pPr>
              <w:widowControl/>
              <w:shd w:val="clear"/>
              <w:spacing w:line="360" w:lineRule="auto"/>
              <w:jc w:val="center"/>
              <w:textAlignment w:val="center"/>
              <w:rPr>
                <w:rStyle w:val="39"/>
                <w:rFonts w:hint="eastAsia" w:ascii="仿宋" w:hAnsi="仿宋" w:eastAsia="仿宋" w:cs="仿宋"/>
                <w:color w:val="auto"/>
                <w:sz w:val="24"/>
                <w:highlight w:val="none"/>
              </w:rPr>
            </w:pPr>
          </w:p>
        </w:tc>
      </w:tr>
    </w:tbl>
    <w:p w14:paraId="18F3BDB7">
      <w:pPr>
        <w:shd w:val="clear"/>
        <w:spacing w:line="440" w:lineRule="exact"/>
        <w:textAlignment w:val="baseline"/>
        <w:rPr>
          <w:rStyle w:val="39"/>
          <w:rFonts w:hint="eastAsia" w:ascii="仿宋" w:hAnsi="仿宋" w:eastAsia="仿宋" w:cs="仿宋"/>
          <w:b/>
          <w:bCs/>
          <w:color w:val="auto"/>
          <w:sz w:val="24"/>
          <w:highlight w:val="none"/>
        </w:rPr>
      </w:pPr>
      <w:r>
        <w:rPr>
          <w:rStyle w:val="39"/>
          <w:rFonts w:hint="eastAsia" w:ascii="仿宋" w:hAnsi="仿宋" w:eastAsia="仿宋" w:cs="仿宋"/>
          <w:b/>
          <w:bCs/>
          <w:color w:val="auto"/>
          <w:sz w:val="24"/>
          <w:highlight w:val="none"/>
        </w:rPr>
        <w:t>注：评审内容、评分标准、分值对应“评审标准”内容。</w:t>
      </w:r>
    </w:p>
    <w:p w14:paraId="0175DA80">
      <w:pPr>
        <w:shd w:val="clear"/>
        <w:snapToGrid w:val="0"/>
        <w:spacing w:line="360" w:lineRule="auto"/>
        <w:jc w:val="center"/>
        <w:outlineLvl w:val="0"/>
        <w:rPr>
          <w:rFonts w:hint="eastAsia" w:ascii="仿宋" w:hAnsi="仿宋" w:eastAsia="仿宋" w:cs="仿宋"/>
          <w:b/>
          <w:color w:val="auto"/>
          <w:kern w:val="0"/>
          <w:sz w:val="32"/>
          <w:szCs w:val="32"/>
          <w:highlight w:val="none"/>
        </w:rPr>
      </w:pPr>
    </w:p>
    <w:p w14:paraId="4EE0EEB8">
      <w:pPr>
        <w:shd w:val="clear"/>
        <w:snapToGrid w:val="0"/>
        <w:spacing w:line="360" w:lineRule="auto"/>
        <w:jc w:val="center"/>
        <w:outlineLvl w:val="0"/>
        <w:rPr>
          <w:rFonts w:hint="eastAsia" w:ascii="仿宋" w:hAnsi="仿宋" w:eastAsia="仿宋" w:cs="仿宋"/>
          <w:b/>
          <w:color w:val="auto"/>
          <w:kern w:val="0"/>
          <w:sz w:val="32"/>
          <w:szCs w:val="32"/>
          <w:highlight w:val="none"/>
        </w:rPr>
      </w:pPr>
    </w:p>
    <w:p w14:paraId="573CC2DC">
      <w:pPr>
        <w:shd w:val="clear"/>
        <w:snapToGrid w:val="0"/>
        <w:spacing w:line="360" w:lineRule="auto"/>
        <w:jc w:val="center"/>
        <w:outlineLvl w:val="0"/>
        <w:rPr>
          <w:rFonts w:hint="eastAsia" w:ascii="仿宋" w:hAnsi="仿宋" w:eastAsia="仿宋" w:cs="仿宋"/>
          <w:b/>
          <w:color w:val="auto"/>
          <w:kern w:val="0"/>
          <w:sz w:val="32"/>
          <w:szCs w:val="32"/>
          <w:highlight w:val="none"/>
        </w:rPr>
      </w:pPr>
    </w:p>
    <w:p w14:paraId="04DCF777">
      <w:pPr>
        <w:shd w:val="clear"/>
        <w:snapToGrid w:val="0"/>
        <w:spacing w:line="360" w:lineRule="auto"/>
        <w:jc w:val="center"/>
        <w:outlineLvl w:val="0"/>
        <w:rPr>
          <w:rFonts w:hint="eastAsia" w:ascii="仿宋" w:hAnsi="仿宋" w:eastAsia="仿宋" w:cs="仿宋"/>
          <w:b/>
          <w:color w:val="auto"/>
          <w:kern w:val="0"/>
          <w:sz w:val="32"/>
          <w:szCs w:val="32"/>
          <w:highlight w:val="none"/>
        </w:rPr>
      </w:pPr>
    </w:p>
    <w:p w14:paraId="32E8519C">
      <w:pPr>
        <w:shd w:val="clear"/>
        <w:snapToGrid w:val="0"/>
        <w:spacing w:line="360" w:lineRule="auto"/>
        <w:jc w:val="center"/>
        <w:outlineLvl w:val="0"/>
        <w:rPr>
          <w:rFonts w:hint="eastAsia" w:ascii="仿宋" w:hAnsi="仿宋" w:eastAsia="仿宋" w:cs="仿宋"/>
          <w:b/>
          <w:color w:val="auto"/>
          <w:kern w:val="0"/>
          <w:sz w:val="32"/>
          <w:szCs w:val="32"/>
          <w:highlight w:val="none"/>
        </w:rPr>
      </w:pPr>
    </w:p>
    <w:p w14:paraId="25B0AFFA">
      <w:pPr>
        <w:shd w:val="clea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35154E7A">
      <w:pPr>
        <w:shd w:val="clear"/>
        <w:snapToGrid w:val="0"/>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kern w:val="0"/>
          <w:sz w:val="32"/>
          <w:szCs w:val="32"/>
          <w:highlight w:val="none"/>
        </w:rPr>
        <w:t>二、投标</w:t>
      </w:r>
      <w:r>
        <w:rPr>
          <w:rFonts w:hint="eastAsia" w:ascii="仿宋" w:hAnsi="仿宋" w:eastAsia="仿宋" w:cs="仿宋"/>
          <w:b/>
          <w:color w:val="auto"/>
          <w:sz w:val="32"/>
          <w:szCs w:val="32"/>
          <w:highlight w:val="none"/>
        </w:rPr>
        <w:t>函</w:t>
      </w:r>
    </w:p>
    <w:p w14:paraId="179CA2AD">
      <w:pPr>
        <w:pStyle w:val="42"/>
        <w:shd w:val="clear"/>
        <w:spacing w:after="120" w:line="336" w:lineRule="auto"/>
        <w:ind w:firstLine="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致：</w:t>
      </w:r>
      <w:r>
        <w:rPr>
          <w:rFonts w:hint="eastAsia" w:ascii="仿宋" w:hAnsi="仿宋" w:eastAsia="仿宋" w:cs="仿宋"/>
          <w:color w:val="auto"/>
          <w:szCs w:val="24"/>
          <w:highlight w:val="none"/>
          <w:u w:val="single"/>
        </w:rPr>
        <w:t xml:space="preserve">              </w:t>
      </w:r>
    </w:p>
    <w:p w14:paraId="533C8488">
      <w:pPr>
        <w:pStyle w:val="42"/>
        <w:shd w:val="clear"/>
        <w:spacing w:after="12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根据贵方招标文件（</w:t>
      </w:r>
      <w:r>
        <w:rPr>
          <w:rFonts w:hint="eastAsia" w:ascii="仿宋" w:hAnsi="仿宋" w:eastAsia="仿宋" w:cs="仿宋"/>
          <w:b/>
          <w:color w:val="auto"/>
          <w:szCs w:val="24"/>
          <w:highlight w:val="none"/>
          <w:u w:val="single"/>
        </w:rPr>
        <w:t>填写招标编号：</w:t>
      </w:r>
      <w:r>
        <w:rPr>
          <w:rFonts w:hint="eastAsia" w:ascii="仿宋" w:hAnsi="仿宋" w:eastAsia="仿宋" w:cs="仿宋"/>
          <w:color w:val="auto"/>
          <w:szCs w:val="24"/>
          <w:highlight w:val="none"/>
        </w:rPr>
        <w:t>）的要求，正式授权</w:t>
      </w:r>
      <w:r>
        <w:rPr>
          <w:rFonts w:hint="eastAsia" w:ascii="仿宋" w:hAnsi="仿宋" w:eastAsia="仿宋" w:cs="仿宋"/>
          <w:b/>
          <w:color w:val="auto"/>
          <w:szCs w:val="24"/>
          <w:highlight w:val="none"/>
          <w:u w:val="single"/>
        </w:rPr>
        <w:t>（全权代表姓名    、单位    、职务   ）</w:t>
      </w:r>
      <w:r>
        <w:rPr>
          <w:rFonts w:hint="eastAsia" w:ascii="仿宋" w:hAnsi="仿宋" w:eastAsia="仿宋" w:cs="仿宋"/>
          <w:color w:val="auto"/>
          <w:szCs w:val="24"/>
          <w:highlight w:val="none"/>
        </w:rPr>
        <w:t>代表投标人</w:t>
      </w:r>
      <w:r>
        <w:rPr>
          <w:rFonts w:hint="eastAsia" w:ascii="仿宋" w:hAnsi="仿宋" w:eastAsia="仿宋" w:cs="仿宋"/>
          <w:color w:val="auto"/>
          <w:szCs w:val="24"/>
          <w:highlight w:val="none"/>
          <w:u w:val="single"/>
        </w:rPr>
        <w:t>（</w:t>
      </w:r>
      <w:r>
        <w:rPr>
          <w:rFonts w:hint="eastAsia" w:ascii="仿宋" w:hAnsi="仿宋" w:eastAsia="仿宋" w:cs="仿宋"/>
          <w:b/>
          <w:color w:val="auto"/>
          <w:szCs w:val="24"/>
          <w:highlight w:val="none"/>
          <w:u w:val="single"/>
        </w:rPr>
        <w:t xml:space="preserve">填写单位    、地址   </w:t>
      </w:r>
      <w:r>
        <w:rPr>
          <w:rFonts w:hint="eastAsia" w:ascii="仿宋" w:hAnsi="仿宋" w:eastAsia="仿宋" w:cs="仿宋"/>
          <w:color w:val="auto"/>
          <w:szCs w:val="24"/>
          <w:highlight w:val="none"/>
          <w:u w:val="single"/>
        </w:rPr>
        <w:t>）</w:t>
      </w:r>
      <w:r>
        <w:rPr>
          <w:rFonts w:hint="eastAsia" w:ascii="仿宋" w:hAnsi="仿宋" w:eastAsia="仿宋" w:cs="仿宋"/>
          <w:color w:val="auto"/>
          <w:szCs w:val="24"/>
          <w:highlight w:val="none"/>
        </w:rPr>
        <w:t>提交投标文件。</w:t>
      </w:r>
    </w:p>
    <w:p w14:paraId="2E4706E7">
      <w:pPr>
        <w:pStyle w:val="42"/>
        <w:shd w:val="clear"/>
        <w:spacing w:after="12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我方已完全明白招标文件的所有条款要求，兹声明同意如下：</w:t>
      </w:r>
    </w:p>
    <w:p w14:paraId="3A15B43B">
      <w:pPr>
        <w:pStyle w:val="8"/>
        <w:numPr>
          <w:ilvl w:val="0"/>
          <w:numId w:val="0"/>
        </w:numPr>
        <w:shd w:val="clear"/>
        <w:spacing w:after="120"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1.我方同意在投标人须知规定的开标日期起遵守本投标文件中的承诺且在投标有效期满之前均具有约束力。</w:t>
      </w:r>
    </w:p>
    <w:p w14:paraId="7ABDB419">
      <w:pPr>
        <w:pStyle w:val="42"/>
        <w:shd w:val="clear"/>
        <w:spacing w:after="12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2.我方承诺已经具备《中华人民共和国政府采购法》中规定的参加政府采购活动的供应商应当具备的条件。</w:t>
      </w:r>
    </w:p>
    <w:p w14:paraId="7A5E5851">
      <w:pPr>
        <w:pStyle w:val="42"/>
        <w:shd w:val="clear"/>
        <w:spacing w:after="12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3.本公司投标文件中填列的技术参数、配置、服务、数量等相关内容都是真实、准确的。保证在本次项目中所提供的资料全部真实和合法。同意向采购代理机构提供可能另外要求的与投标有关的任何数据或资料。</w:t>
      </w:r>
    </w:p>
    <w:p w14:paraId="406E2A7C">
      <w:pPr>
        <w:pStyle w:val="42"/>
        <w:shd w:val="clear"/>
        <w:spacing w:after="12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4.我方理解贵方将不受你们所收到的最低报价的约束。</w:t>
      </w:r>
    </w:p>
    <w:p w14:paraId="191E3434">
      <w:pPr>
        <w:pStyle w:val="42"/>
        <w:shd w:val="clear"/>
        <w:spacing w:after="12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5.本投标自开标之日（投标截止之日）起90天内有效。</w:t>
      </w:r>
    </w:p>
    <w:p w14:paraId="32EFB310">
      <w:pPr>
        <w:pStyle w:val="42"/>
        <w:shd w:val="clear"/>
        <w:spacing w:after="120"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6.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4098391D">
      <w:pPr>
        <w:shd w:val="clea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a)提供虚假材料谋取中标、成交的；</w:t>
      </w:r>
    </w:p>
    <w:p w14:paraId="2DABCE4F">
      <w:pPr>
        <w:shd w:val="clea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b)采取不正当手段诋毁、排挤其他供应商的；</w:t>
      </w:r>
    </w:p>
    <w:p w14:paraId="01FCAC53">
      <w:pPr>
        <w:shd w:val="clea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c)与采购人、其它供应商或者采购代理机构恶意串通的；</w:t>
      </w:r>
    </w:p>
    <w:p w14:paraId="3E64C726">
      <w:pPr>
        <w:shd w:val="clea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d)向采购人、采购代理机构行贿或者提供其他不正当利益的；</w:t>
      </w:r>
    </w:p>
    <w:p w14:paraId="43877CE5">
      <w:pPr>
        <w:shd w:val="clea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e)在招标采购过程中与采购人进行协商谈判的；</w:t>
      </w:r>
    </w:p>
    <w:p w14:paraId="1CD57263">
      <w:pPr>
        <w:shd w:val="clea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f)拒绝有关部门监督检查或提供虚假情况的。</w:t>
      </w:r>
    </w:p>
    <w:p w14:paraId="61CD6884">
      <w:pPr>
        <w:shd w:val="clea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供应商有前款第a)至e)项情形之一的，中标、成交无效。</w:t>
      </w:r>
    </w:p>
    <w:p w14:paraId="03E0F4EC">
      <w:pPr>
        <w:pStyle w:val="42"/>
        <w:shd w:val="clear"/>
        <w:spacing w:after="120" w:line="336"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地址：　　　　　　　　　　　　　　　邮政编码：</w:t>
      </w:r>
    </w:p>
    <w:p w14:paraId="3797AA35">
      <w:pPr>
        <w:pStyle w:val="42"/>
        <w:shd w:val="clear"/>
        <w:spacing w:after="120" w:line="336"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电话：                              传真：</w:t>
      </w:r>
    </w:p>
    <w:p w14:paraId="6CCF9912">
      <w:pPr>
        <w:pStyle w:val="42"/>
        <w:shd w:val="clear"/>
        <w:spacing w:after="120" w:line="336"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开户银行：                          账号：</w:t>
      </w:r>
    </w:p>
    <w:p w14:paraId="4C6B7AC3">
      <w:pPr>
        <w:pStyle w:val="42"/>
        <w:shd w:val="clear"/>
        <w:spacing w:after="120" w:line="336"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法定代表人或其授权代表(签字或盖章)：</w:t>
      </w:r>
    </w:p>
    <w:p w14:paraId="6F23A04B">
      <w:pPr>
        <w:shd w:val="clear"/>
        <w:snapToGrid w:val="0"/>
        <w:spacing w:line="336" w:lineRule="auto"/>
        <w:jc w:val="left"/>
        <w:rPr>
          <w:rFonts w:hint="eastAsia" w:ascii="仿宋" w:hAnsi="仿宋" w:eastAsia="仿宋" w:cs="仿宋"/>
          <w:color w:val="auto"/>
          <w:sz w:val="24"/>
          <w:highlight w:val="none"/>
        </w:rPr>
      </w:pPr>
    </w:p>
    <w:p w14:paraId="7B2DCF10">
      <w:pPr>
        <w:shd w:val="clear"/>
        <w:snapToGrid w:val="0"/>
        <w:spacing w:line="336" w:lineRule="auto"/>
        <w:ind w:firstLine="480" w:firstLineChars="200"/>
        <w:jc w:val="left"/>
        <w:rPr>
          <w:rFonts w:hint="eastAsia" w:ascii="仿宋" w:hAnsi="仿宋" w:eastAsia="仿宋" w:cs="仿宋"/>
          <w:b/>
          <w:color w:val="auto"/>
          <w:kern w:val="0"/>
          <w:sz w:val="32"/>
          <w:szCs w:val="32"/>
          <w:highlight w:val="none"/>
        </w:rPr>
      </w:pPr>
      <w:r>
        <w:rPr>
          <w:rFonts w:hint="eastAsia" w:ascii="仿宋" w:hAnsi="仿宋" w:eastAsia="仿宋" w:cs="仿宋"/>
          <w:color w:val="auto"/>
          <w:sz w:val="24"/>
          <w:highlight w:val="none"/>
        </w:rPr>
        <w:t xml:space="preserve">投标人(电子签章)：　　　　　　　　　日期：  </w:t>
      </w:r>
    </w:p>
    <w:p w14:paraId="288596DD">
      <w:pPr>
        <w:widowControl/>
        <w:shd w:val="clear"/>
        <w:spacing w:line="360" w:lineRule="auto"/>
        <w:rPr>
          <w:rFonts w:hint="eastAsia" w:ascii="仿宋" w:hAnsi="仿宋" w:eastAsia="仿宋" w:cs="仿宋"/>
          <w:b/>
          <w:color w:val="auto"/>
          <w:sz w:val="30"/>
          <w:szCs w:val="30"/>
          <w:highlight w:val="none"/>
        </w:rPr>
      </w:pPr>
    </w:p>
    <w:p w14:paraId="140E6961">
      <w:pPr>
        <w:widowControl/>
        <w:shd w:val="clear"/>
        <w:spacing w:line="360" w:lineRule="auto"/>
        <w:rPr>
          <w:rFonts w:hint="eastAsia" w:ascii="仿宋" w:hAnsi="仿宋" w:eastAsia="仿宋" w:cs="仿宋"/>
          <w:b/>
          <w:color w:val="auto"/>
          <w:sz w:val="30"/>
          <w:szCs w:val="30"/>
          <w:highlight w:val="none"/>
        </w:rPr>
      </w:pPr>
    </w:p>
    <w:p w14:paraId="35FD0136">
      <w:pPr>
        <w:widowControl/>
        <w:shd w:val="clear"/>
        <w:spacing w:line="360" w:lineRule="auto"/>
        <w:rPr>
          <w:rFonts w:hint="eastAsia" w:ascii="仿宋" w:hAnsi="仿宋" w:eastAsia="仿宋" w:cs="仿宋"/>
          <w:b/>
          <w:color w:val="auto"/>
          <w:sz w:val="30"/>
          <w:szCs w:val="30"/>
          <w:highlight w:val="none"/>
        </w:rPr>
      </w:pPr>
    </w:p>
    <w:p w14:paraId="545F93F9">
      <w:pPr>
        <w:widowControl/>
        <w:shd w:val="clear"/>
        <w:spacing w:line="360" w:lineRule="auto"/>
        <w:rPr>
          <w:rFonts w:hint="eastAsia" w:ascii="仿宋" w:hAnsi="仿宋" w:eastAsia="仿宋" w:cs="仿宋"/>
          <w:b/>
          <w:color w:val="auto"/>
          <w:sz w:val="30"/>
          <w:szCs w:val="30"/>
          <w:highlight w:val="none"/>
        </w:rPr>
      </w:pPr>
    </w:p>
    <w:p w14:paraId="7D8C4B8C">
      <w:pPr>
        <w:widowControl/>
        <w:numPr>
          <w:ilvl w:val="0"/>
          <w:numId w:val="12"/>
        </w:numPr>
        <w:shd w:val="clear"/>
        <w:spacing w:line="36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营业执照(或事业法人登记证或其他工商等登记证明材料)扫描件</w:t>
      </w:r>
      <w:r>
        <w:rPr>
          <w:rFonts w:hint="eastAsia" w:ascii="仿宋" w:hAnsi="仿宋" w:eastAsia="仿宋" w:cs="仿宋"/>
          <w:b/>
          <w:color w:val="auto"/>
          <w:sz w:val="30"/>
          <w:szCs w:val="30"/>
          <w:highlight w:val="none"/>
        </w:rPr>
        <w:br w:type="textWrapping"/>
      </w:r>
    </w:p>
    <w:p w14:paraId="12FD085E">
      <w:pPr>
        <w:widowControl/>
        <w:shd w:val="clear"/>
        <w:spacing w:line="360" w:lineRule="auto"/>
        <w:jc w:val="center"/>
        <w:rPr>
          <w:rFonts w:hint="eastAsia" w:ascii="仿宋" w:hAnsi="仿宋" w:eastAsia="仿宋" w:cs="仿宋"/>
          <w:b/>
          <w:color w:val="auto"/>
          <w:sz w:val="30"/>
          <w:szCs w:val="30"/>
          <w:highlight w:val="none"/>
        </w:rPr>
      </w:pPr>
    </w:p>
    <w:p w14:paraId="349DA5AE">
      <w:pPr>
        <w:widowControl/>
        <w:shd w:val="clear"/>
        <w:spacing w:line="360" w:lineRule="auto"/>
        <w:jc w:val="center"/>
        <w:rPr>
          <w:rFonts w:hint="eastAsia" w:ascii="仿宋" w:hAnsi="仿宋" w:eastAsia="仿宋" w:cs="仿宋"/>
          <w:b/>
          <w:color w:val="auto"/>
          <w:sz w:val="30"/>
          <w:szCs w:val="30"/>
          <w:highlight w:val="none"/>
        </w:rPr>
      </w:pPr>
    </w:p>
    <w:p w14:paraId="40EF52F1">
      <w:pPr>
        <w:widowControl/>
        <w:numPr>
          <w:ilvl w:val="255"/>
          <w:numId w:val="0"/>
        </w:numPr>
        <w:shd w:val="clear"/>
        <w:spacing w:line="360" w:lineRule="auto"/>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四、联合协议（如有）</w:t>
      </w:r>
    </w:p>
    <w:p w14:paraId="65441631">
      <w:pPr>
        <w:widowControl/>
        <w:shd w:val="clear"/>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[以联合体形式投标的，提供联合协议（附件4）；本项目不接受联合体投标或者投标供应商不以联合体形式投标的，则不需要提供）]</w:t>
      </w:r>
    </w:p>
    <w:p w14:paraId="73B2A1DB">
      <w:pPr>
        <w:shd w:val="clear"/>
        <w:snapToGrid w:val="0"/>
        <w:spacing w:line="360" w:lineRule="auto"/>
        <w:ind w:right="480"/>
        <w:jc w:val="center"/>
        <w:rPr>
          <w:rFonts w:hint="eastAsia" w:ascii="仿宋" w:hAnsi="仿宋" w:eastAsia="仿宋" w:cs="仿宋"/>
          <w:b/>
          <w:color w:val="auto"/>
          <w:kern w:val="0"/>
          <w:sz w:val="32"/>
          <w:szCs w:val="32"/>
          <w:highlight w:val="none"/>
        </w:rPr>
      </w:pPr>
    </w:p>
    <w:p w14:paraId="2A9613C4">
      <w:pPr>
        <w:shd w:val="clear"/>
        <w:snapToGrid w:val="0"/>
        <w:spacing w:line="360" w:lineRule="auto"/>
        <w:jc w:val="center"/>
        <w:rPr>
          <w:rFonts w:hint="eastAsia" w:ascii="仿宋" w:hAnsi="仿宋" w:eastAsia="仿宋" w:cs="仿宋"/>
          <w:b/>
          <w:color w:val="auto"/>
          <w:kern w:val="0"/>
          <w:sz w:val="32"/>
          <w:szCs w:val="32"/>
          <w:highlight w:val="none"/>
        </w:rPr>
      </w:pPr>
    </w:p>
    <w:p w14:paraId="5284E778">
      <w:pPr>
        <w:shd w:val="clear"/>
        <w:snapToGrid w:val="0"/>
        <w:spacing w:line="360" w:lineRule="auto"/>
        <w:rPr>
          <w:rFonts w:hint="eastAsia" w:ascii="仿宋" w:hAnsi="仿宋" w:eastAsia="仿宋" w:cs="仿宋"/>
          <w:b/>
          <w:color w:val="auto"/>
          <w:kern w:val="0"/>
          <w:sz w:val="32"/>
          <w:szCs w:val="32"/>
          <w:highlight w:val="none"/>
        </w:rPr>
      </w:pPr>
    </w:p>
    <w:p w14:paraId="1830A955">
      <w:pPr>
        <w:shd w:val="clear"/>
        <w:snapToGrid w:val="0"/>
        <w:spacing w:line="360" w:lineRule="auto"/>
        <w:jc w:val="center"/>
        <w:rPr>
          <w:rFonts w:hint="eastAsia" w:ascii="仿宋" w:hAnsi="仿宋" w:eastAsia="仿宋" w:cs="仿宋"/>
          <w:b/>
          <w:color w:val="auto"/>
          <w:kern w:val="0"/>
          <w:sz w:val="32"/>
          <w:szCs w:val="32"/>
          <w:highlight w:val="none"/>
        </w:rPr>
      </w:pPr>
    </w:p>
    <w:p w14:paraId="145049BE">
      <w:pPr>
        <w:shd w:val="clear"/>
        <w:snapToGrid w:val="0"/>
        <w:spacing w:line="360" w:lineRule="auto"/>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五、分包意向协议（如有）</w:t>
      </w:r>
    </w:p>
    <w:p w14:paraId="7132AC97">
      <w:pPr>
        <w:widowControl/>
        <w:shd w:val="clear"/>
        <w:spacing w:line="360" w:lineRule="auto"/>
        <w:ind w:firstLine="361" w:firstLineChars="150"/>
        <w:jc w:val="left"/>
        <w:rPr>
          <w:rFonts w:hint="eastAsia" w:ascii="仿宋" w:hAnsi="仿宋" w:eastAsia="仿宋" w:cs="仿宋"/>
          <w:b/>
          <w:color w:val="auto"/>
          <w:sz w:val="30"/>
          <w:szCs w:val="30"/>
          <w:highlight w:val="none"/>
        </w:rPr>
      </w:pPr>
      <w:r>
        <w:rPr>
          <w:rFonts w:hint="eastAsia" w:ascii="仿宋" w:hAnsi="仿宋" w:eastAsia="仿宋" w:cs="仿宋"/>
          <w:b/>
          <w:color w:val="auto"/>
          <w:sz w:val="24"/>
          <w:highlight w:val="none"/>
        </w:rPr>
        <w:t>[中标后以分包方式履行合同的，提供分包意向协议(附件5)；采购人不同意分包或者投标供应商中标后不以分包方式履行合同的，则不需要提供。]</w:t>
      </w:r>
    </w:p>
    <w:p w14:paraId="54CA45AD">
      <w:pPr>
        <w:pageBreakBefore/>
        <w:shd w:val="clear"/>
        <w:spacing w:line="80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 xml:space="preserve">六、法定代表人授权委托书（格式） </w:t>
      </w:r>
      <w:r>
        <w:rPr>
          <w:rFonts w:hint="eastAsia" w:ascii="仿宋" w:hAnsi="仿宋" w:eastAsia="仿宋" w:cs="仿宋"/>
          <w:b/>
          <w:color w:val="auto"/>
          <w:kern w:val="0"/>
          <w:sz w:val="32"/>
          <w:szCs w:val="32"/>
          <w:highlight w:val="none"/>
          <w:lang w:val="zh-CN"/>
        </w:rPr>
        <w:t>（适用于非联合体投标）</w:t>
      </w:r>
    </w:p>
    <w:p w14:paraId="10E5F030">
      <w:pPr>
        <w:shd w:val="clear"/>
        <w:jc w:val="center"/>
        <w:rPr>
          <w:rFonts w:hint="eastAsia" w:ascii="仿宋" w:hAnsi="仿宋" w:eastAsia="仿宋" w:cs="仿宋"/>
          <w:b/>
          <w:color w:val="auto"/>
          <w:sz w:val="24"/>
          <w:highlight w:val="none"/>
        </w:rPr>
      </w:pPr>
    </w:p>
    <w:p w14:paraId="31C0DB80">
      <w:pPr>
        <w:shd w:val="clear"/>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本授权委托书声明：我</w:t>
      </w:r>
      <w:r>
        <w:rPr>
          <w:rFonts w:hint="eastAsia" w:ascii="仿宋" w:hAnsi="仿宋" w:eastAsia="仿宋" w:cs="仿宋"/>
          <w:color w:val="auto"/>
          <w:sz w:val="24"/>
          <w:highlight w:val="none"/>
          <w:u w:val="single"/>
        </w:rPr>
        <w:t xml:space="preserve">         (填写姓名)</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（填写投标人单位全称）</w:t>
      </w:r>
      <w:r>
        <w:rPr>
          <w:rFonts w:hint="eastAsia" w:ascii="仿宋" w:hAnsi="仿宋" w:eastAsia="仿宋" w:cs="仿宋"/>
          <w:color w:val="auto"/>
          <w:sz w:val="24"/>
          <w:highlight w:val="none"/>
        </w:rPr>
        <w:t>的法定代表人，现授权委托</w:t>
      </w:r>
      <w:r>
        <w:rPr>
          <w:rFonts w:hint="eastAsia" w:ascii="仿宋" w:hAnsi="仿宋" w:eastAsia="仿宋" w:cs="仿宋"/>
          <w:color w:val="auto"/>
          <w:sz w:val="24"/>
          <w:highlight w:val="none"/>
          <w:u w:val="single"/>
        </w:rPr>
        <w:t xml:space="preserve">                  （填写单位全称）</w:t>
      </w:r>
      <w:r>
        <w:rPr>
          <w:rFonts w:hint="eastAsia" w:ascii="仿宋" w:hAnsi="仿宋" w:eastAsia="仿宋" w:cs="仿宋"/>
          <w:color w:val="auto"/>
          <w:sz w:val="24"/>
          <w:highlight w:val="none"/>
        </w:rPr>
        <w:t>的（填写姓名）为我公司授权代表，</w:t>
      </w:r>
      <w:r>
        <w:rPr>
          <w:rFonts w:hint="eastAsia" w:ascii="仿宋" w:hAnsi="仿宋" w:eastAsia="仿宋" w:cs="仿宋"/>
          <w:color w:val="auto"/>
          <w:sz w:val="24"/>
          <w:highlight w:val="none"/>
          <w:u w:val="single"/>
        </w:rPr>
        <w:t>（填写身份证号码：                       ）</w:t>
      </w:r>
      <w:r>
        <w:rPr>
          <w:rFonts w:hint="eastAsia" w:ascii="仿宋" w:hAnsi="仿宋" w:eastAsia="仿宋" w:cs="仿宋"/>
          <w:color w:val="auto"/>
          <w:sz w:val="24"/>
          <w:highlight w:val="none"/>
        </w:rPr>
        <w:t>。以本公司的名义参加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组织的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投标活动。授权代表在开标、评标、合同谈判过程中所签署的一切文件和处理与之有关的一切事务，我均予以承认。</w:t>
      </w:r>
    </w:p>
    <w:p w14:paraId="5A1F9FF5">
      <w:pPr>
        <w:shd w:val="clear"/>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在撤销授权的书面通知以前，本授权书一直有效。全权代表在授权书有效期内签署的所有文件不因授权的撤销而失效。</w:t>
      </w:r>
    </w:p>
    <w:p w14:paraId="254747CC">
      <w:pPr>
        <w:shd w:val="clea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授权代表无转委托权。特此委托。</w:t>
      </w:r>
    </w:p>
    <w:p w14:paraId="140793D4">
      <w:pPr>
        <w:shd w:val="clear"/>
        <w:snapToGrid w:val="0"/>
        <w:spacing w:line="600" w:lineRule="exact"/>
        <w:jc w:val="left"/>
        <w:rPr>
          <w:rFonts w:hint="eastAsia" w:ascii="仿宋" w:hAnsi="仿宋" w:eastAsia="仿宋" w:cs="仿宋"/>
          <w:color w:val="auto"/>
          <w:sz w:val="24"/>
          <w:highlight w:val="none"/>
        </w:rPr>
      </w:pPr>
    </w:p>
    <w:p w14:paraId="13FBA7D6">
      <w:pPr>
        <w:shd w:val="clea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授权代表姓名：              性别：               年龄：</w:t>
      </w:r>
    </w:p>
    <w:p w14:paraId="1514AB78">
      <w:pPr>
        <w:shd w:val="clear"/>
        <w:spacing w:line="360" w:lineRule="exact"/>
        <w:rPr>
          <w:rFonts w:hint="eastAsia" w:ascii="仿宋" w:hAnsi="仿宋" w:eastAsia="仿宋" w:cs="仿宋"/>
          <w:color w:val="auto"/>
          <w:sz w:val="24"/>
          <w:highlight w:val="none"/>
        </w:rPr>
      </w:pPr>
    </w:p>
    <w:p w14:paraId="3BA63E52">
      <w:pPr>
        <w:shd w:val="clea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单位：                      部门：               职务：</w:t>
      </w:r>
    </w:p>
    <w:p w14:paraId="014F83D6">
      <w:pPr>
        <w:shd w:val="clear"/>
        <w:spacing w:line="360" w:lineRule="exact"/>
        <w:rPr>
          <w:rFonts w:hint="eastAsia" w:ascii="仿宋" w:hAnsi="仿宋" w:eastAsia="仿宋" w:cs="仿宋"/>
          <w:color w:val="auto"/>
          <w:sz w:val="24"/>
          <w:highlight w:val="none"/>
        </w:rPr>
      </w:pPr>
    </w:p>
    <w:p w14:paraId="68953FEC">
      <w:pPr>
        <w:widowControl/>
        <w:shd w:val="clear"/>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办公地址：                  联系电话：           传真：</w:t>
      </w:r>
    </w:p>
    <w:p w14:paraId="3648E80E">
      <w:pPr>
        <w:shd w:val="clear"/>
        <w:spacing w:line="360" w:lineRule="exact"/>
        <w:rPr>
          <w:rFonts w:hint="eastAsia" w:ascii="仿宋" w:hAnsi="仿宋" w:eastAsia="仿宋" w:cs="仿宋"/>
          <w:color w:val="auto"/>
          <w:sz w:val="24"/>
          <w:highlight w:val="none"/>
        </w:rPr>
      </w:pPr>
    </w:p>
    <w:p w14:paraId="2A817041">
      <w:pPr>
        <w:shd w:val="clear"/>
        <w:spacing w:line="360" w:lineRule="exact"/>
        <w:rPr>
          <w:rFonts w:hint="eastAsia" w:ascii="仿宋" w:hAnsi="仿宋" w:eastAsia="仿宋" w:cs="仿宋"/>
          <w:color w:val="auto"/>
          <w:sz w:val="24"/>
          <w:highlight w:val="none"/>
        </w:rPr>
      </w:pPr>
    </w:p>
    <w:p w14:paraId="0F22B1BC">
      <w:pPr>
        <w:shd w:val="clea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投标人（电子签章）：</w:t>
      </w:r>
    </w:p>
    <w:p w14:paraId="6A777BED">
      <w:pPr>
        <w:shd w:val="clear"/>
        <w:spacing w:line="360" w:lineRule="exact"/>
        <w:rPr>
          <w:rFonts w:hint="eastAsia" w:ascii="仿宋" w:hAnsi="仿宋" w:eastAsia="仿宋" w:cs="仿宋"/>
          <w:color w:val="auto"/>
          <w:sz w:val="24"/>
          <w:highlight w:val="none"/>
        </w:rPr>
      </w:pPr>
    </w:p>
    <w:p w14:paraId="418CD3FE">
      <w:pPr>
        <w:shd w:val="clear"/>
        <w:spacing w:line="360" w:lineRule="exact"/>
        <w:rPr>
          <w:rFonts w:hint="eastAsia" w:ascii="仿宋" w:hAnsi="仿宋" w:eastAsia="仿宋" w:cs="仿宋"/>
          <w:color w:val="auto"/>
          <w:sz w:val="24"/>
          <w:highlight w:val="none"/>
        </w:rPr>
      </w:pPr>
    </w:p>
    <w:p w14:paraId="7F6FC42D">
      <w:pPr>
        <w:shd w:val="clea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法定代表人（签字或盖章）：</w:t>
      </w:r>
    </w:p>
    <w:p w14:paraId="1BB143A6">
      <w:pPr>
        <w:shd w:val="clear"/>
        <w:spacing w:line="360" w:lineRule="exact"/>
        <w:rPr>
          <w:rFonts w:hint="eastAsia" w:ascii="仿宋" w:hAnsi="仿宋" w:eastAsia="仿宋" w:cs="仿宋"/>
          <w:color w:val="auto"/>
          <w:sz w:val="24"/>
          <w:highlight w:val="none"/>
        </w:rPr>
      </w:pPr>
    </w:p>
    <w:p w14:paraId="6BB59747">
      <w:pPr>
        <w:shd w:val="clear"/>
        <w:spacing w:line="360" w:lineRule="exact"/>
        <w:rPr>
          <w:rFonts w:hint="eastAsia" w:ascii="仿宋" w:hAnsi="仿宋" w:eastAsia="仿宋" w:cs="仿宋"/>
          <w:color w:val="auto"/>
          <w:sz w:val="24"/>
          <w:highlight w:val="none"/>
        </w:rPr>
      </w:pPr>
    </w:p>
    <w:p w14:paraId="563EC467">
      <w:pPr>
        <w:shd w:val="clear"/>
        <w:ind w:firstLine="5280" w:firstLineChars="2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016FBE4A">
      <w:pPr>
        <w:shd w:val="clear"/>
        <w:ind w:firstLine="4920" w:firstLineChars="2050"/>
        <w:jc w:val="left"/>
        <w:rPr>
          <w:rFonts w:hint="eastAsia" w:ascii="仿宋" w:hAnsi="仿宋" w:eastAsia="仿宋" w:cs="仿宋"/>
          <w:color w:val="auto"/>
          <w:sz w:val="24"/>
          <w:highlight w:val="none"/>
        </w:rPr>
      </w:pPr>
    </w:p>
    <w:p w14:paraId="1BFAFCB7">
      <w:pPr>
        <w:shd w:val="clear"/>
        <w:spacing w:line="800" w:lineRule="exact"/>
        <w:rPr>
          <w:rFonts w:hint="eastAsia" w:ascii="仿宋" w:hAnsi="仿宋" w:eastAsia="仿宋" w:cs="仿宋"/>
          <w:b/>
          <w:color w:val="auto"/>
          <w:sz w:val="24"/>
          <w:highlight w:val="none"/>
        </w:rPr>
      </w:pPr>
    </w:p>
    <w:p w14:paraId="78975971">
      <w:pPr>
        <w:shd w:val="clear"/>
        <w:spacing w:line="800" w:lineRule="exact"/>
        <w:rPr>
          <w:rFonts w:hint="eastAsia" w:ascii="仿宋" w:hAnsi="仿宋" w:eastAsia="仿宋" w:cs="仿宋"/>
          <w:b/>
          <w:color w:val="auto"/>
          <w:sz w:val="24"/>
          <w:highlight w:val="none"/>
        </w:rPr>
      </w:pPr>
    </w:p>
    <w:p w14:paraId="6C634EEB">
      <w:pPr>
        <w:pageBreakBefore/>
        <w:shd w:val="clear"/>
        <w:spacing w:line="80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 xml:space="preserve">法定代表人授权委托书（格式） </w:t>
      </w:r>
      <w:r>
        <w:rPr>
          <w:rFonts w:hint="eastAsia" w:ascii="仿宋" w:hAnsi="仿宋" w:eastAsia="仿宋" w:cs="仿宋"/>
          <w:b/>
          <w:color w:val="auto"/>
          <w:kern w:val="0"/>
          <w:sz w:val="32"/>
          <w:szCs w:val="32"/>
          <w:highlight w:val="none"/>
          <w:lang w:val="zh-CN"/>
        </w:rPr>
        <w:t>（适用于联合体投标）</w:t>
      </w:r>
    </w:p>
    <w:p w14:paraId="3090A818">
      <w:pPr>
        <w:shd w:val="clear"/>
        <w:jc w:val="center"/>
        <w:rPr>
          <w:rFonts w:hint="eastAsia" w:ascii="仿宋" w:hAnsi="仿宋" w:eastAsia="仿宋" w:cs="仿宋"/>
          <w:b/>
          <w:color w:val="auto"/>
          <w:sz w:val="24"/>
          <w:highlight w:val="none"/>
        </w:rPr>
      </w:pPr>
    </w:p>
    <w:p w14:paraId="3ADA6989">
      <w:pPr>
        <w:shd w:val="clear"/>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本授权委托书声明：</w:t>
      </w:r>
    </w:p>
    <w:p w14:paraId="7F8F7F7A">
      <w:pPr>
        <w:shd w:val="clear"/>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现授权委托</w:t>
      </w:r>
      <w:r>
        <w:rPr>
          <w:rFonts w:hint="eastAsia" w:ascii="仿宋" w:hAnsi="仿宋" w:eastAsia="仿宋" w:cs="仿宋"/>
          <w:color w:val="auto"/>
          <w:sz w:val="24"/>
          <w:highlight w:val="none"/>
          <w:u w:val="single"/>
        </w:rPr>
        <w:t xml:space="preserve">                  （填写单位全称）</w:t>
      </w:r>
      <w:r>
        <w:rPr>
          <w:rFonts w:hint="eastAsia" w:ascii="仿宋" w:hAnsi="仿宋" w:eastAsia="仿宋" w:cs="仿宋"/>
          <w:color w:val="auto"/>
          <w:sz w:val="24"/>
          <w:highlight w:val="none"/>
        </w:rPr>
        <w:t>的（填写姓名）为我方授权代表，</w:t>
      </w:r>
      <w:r>
        <w:rPr>
          <w:rFonts w:hint="eastAsia" w:ascii="仿宋" w:hAnsi="仿宋" w:eastAsia="仿宋" w:cs="仿宋"/>
          <w:color w:val="auto"/>
          <w:sz w:val="24"/>
          <w:highlight w:val="none"/>
          <w:u w:val="single"/>
        </w:rPr>
        <w:t>（填写身份证号码：                       ）</w:t>
      </w:r>
      <w:r>
        <w:rPr>
          <w:rFonts w:hint="eastAsia" w:ascii="仿宋" w:hAnsi="仿宋" w:eastAsia="仿宋" w:cs="仿宋"/>
          <w:color w:val="auto"/>
          <w:sz w:val="24"/>
          <w:highlight w:val="none"/>
        </w:rPr>
        <w:t>。以我方的名义参加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组织的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投标活动。授权代表在开标、评标、合同谈判过程中所签署的一切文件和处理与之有关的一切事务，我均予以承认。</w:t>
      </w:r>
    </w:p>
    <w:p w14:paraId="369DF115">
      <w:pPr>
        <w:shd w:val="clear"/>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在撤销授权的书面通知以前，本授权书一直有效。全权代表在授权书有效期内签署的所有文件不因授权的撤销而失效。</w:t>
      </w:r>
    </w:p>
    <w:p w14:paraId="19A748A5">
      <w:pPr>
        <w:shd w:val="clea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授权代表无转委托权。特此委托。</w:t>
      </w:r>
    </w:p>
    <w:p w14:paraId="2809D2ED">
      <w:pPr>
        <w:shd w:val="clear"/>
        <w:snapToGrid w:val="0"/>
        <w:spacing w:line="600" w:lineRule="exact"/>
        <w:jc w:val="left"/>
        <w:rPr>
          <w:rFonts w:hint="eastAsia" w:ascii="仿宋" w:hAnsi="仿宋" w:eastAsia="仿宋" w:cs="仿宋"/>
          <w:color w:val="auto"/>
          <w:sz w:val="24"/>
          <w:highlight w:val="none"/>
        </w:rPr>
      </w:pPr>
    </w:p>
    <w:p w14:paraId="33DBD687">
      <w:pPr>
        <w:shd w:val="clea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授权代表姓名：              性别：               年龄：</w:t>
      </w:r>
    </w:p>
    <w:p w14:paraId="69F3A8B2">
      <w:pPr>
        <w:shd w:val="clear"/>
        <w:spacing w:line="360" w:lineRule="exact"/>
        <w:rPr>
          <w:rFonts w:hint="eastAsia" w:ascii="仿宋" w:hAnsi="仿宋" w:eastAsia="仿宋" w:cs="仿宋"/>
          <w:color w:val="auto"/>
          <w:sz w:val="24"/>
          <w:highlight w:val="none"/>
        </w:rPr>
      </w:pPr>
    </w:p>
    <w:p w14:paraId="63BDCA3E">
      <w:pPr>
        <w:shd w:val="clea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单位：                      部门：               职务：</w:t>
      </w:r>
    </w:p>
    <w:p w14:paraId="62285EF4">
      <w:pPr>
        <w:shd w:val="clear"/>
        <w:spacing w:line="360" w:lineRule="exact"/>
        <w:rPr>
          <w:rFonts w:hint="eastAsia" w:ascii="仿宋" w:hAnsi="仿宋" w:eastAsia="仿宋" w:cs="仿宋"/>
          <w:color w:val="auto"/>
          <w:sz w:val="24"/>
          <w:highlight w:val="none"/>
        </w:rPr>
      </w:pPr>
    </w:p>
    <w:p w14:paraId="556BF4A9">
      <w:pPr>
        <w:widowControl/>
        <w:shd w:val="clear"/>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办公地址：                  联系电话：           传真：</w:t>
      </w:r>
    </w:p>
    <w:p w14:paraId="48597E0D">
      <w:pPr>
        <w:shd w:val="clear"/>
        <w:spacing w:line="360" w:lineRule="exact"/>
        <w:rPr>
          <w:rFonts w:hint="eastAsia" w:ascii="仿宋" w:hAnsi="仿宋" w:eastAsia="仿宋" w:cs="仿宋"/>
          <w:color w:val="auto"/>
          <w:sz w:val="24"/>
          <w:highlight w:val="none"/>
        </w:rPr>
      </w:pPr>
    </w:p>
    <w:p w14:paraId="732CBD84">
      <w:pPr>
        <w:shd w:val="clear"/>
        <w:spacing w:line="360" w:lineRule="exact"/>
        <w:rPr>
          <w:rFonts w:hint="eastAsia" w:ascii="仿宋" w:hAnsi="仿宋" w:eastAsia="仿宋" w:cs="仿宋"/>
          <w:color w:val="auto"/>
          <w:sz w:val="24"/>
          <w:highlight w:val="none"/>
        </w:rPr>
      </w:pPr>
    </w:p>
    <w:p w14:paraId="5960C2AB">
      <w:pPr>
        <w:shd w:val="clear"/>
        <w:jc w:val="center"/>
        <w:rPr>
          <w:rFonts w:hint="eastAsia" w:ascii="仿宋" w:hAnsi="仿宋" w:eastAsia="仿宋" w:cs="仿宋"/>
          <w:b/>
          <w:color w:val="auto"/>
          <w:kern w:val="0"/>
          <w:sz w:val="32"/>
          <w:szCs w:val="32"/>
          <w:highlight w:val="none"/>
        </w:rPr>
      </w:pPr>
    </w:p>
    <w:p w14:paraId="494E8591">
      <w:pPr>
        <w:shd w:val="clear"/>
        <w:rPr>
          <w:rFonts w:hint="eastAsia" w:ascii="仿宋" w:hAnsi="仿宋" w:eastAsia="仿宋" w:cs="仿宋"/>
          <w:color w:val="auto"/>
          <w:highlight w:val="none"/>
        </w:rPr>
      </w:pPr>
    </w:p>
    <w:p w14:paraId="1D698478">
      <w:pPr>
        <w:shd w:val="clea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3520E41A">
      <w:pPr>
        <w:shd w:val="clea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68587735">
      <w:pPr>
        <w:shd w:val="clear"/>
        <w:snapToGrid w:val="0"/>
        <w:spacing w:line="360" w:lineRule="auto"/>
        <w:ind w:firstLine="5760" w:firstLineChars="24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54FA028F">
      <w:pPr>
        <w:shd w:val="clea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08587134">
      <w:pPr>
        <w:shd w:val="clear"/>
        <w:ind w:firstLine="5280" w:firstLineChars="2200"/>
        <w:jc w:val="left"/>
        <w:rPr>
          <w:rFonts w:hint="eastAsia" w:ascii="仿宋" w:hAnsi="仿宋" w:eastAsia="仿宋" w:cs="仿宋"/>
          <w:color w:val="auto"/>
          <w:sz w:val="24"/>
          <w:highlight w:val="none"/>
        </w:rPr>
      </w:pPr>
    </w:p>
    <w:p w14:paraId="5D652144">
      <w:pPr>
        <w:shd w:val="clear"/>
        <w:ind w:firstLine="4920" w:firstLineChars="2050"/>
        <w:jc w:val="left"/>
        <w:rPr>
          <w:rFonts w:hint="eastAsia" w:ascii="仿宋" w:hAnsi="仿宋" w:eastAsia="仿宋" w:cs="仿宋"/>
          <w:color w:val="auto"/>
          <w:sz w:val="24"/>
          <w:highlight w:val="none"/>
        </w:rPr>
      </w:pPr>
    </w:p>
    <w:p w14:paraId="68588EF6">
      <w:pPr>
        <w:shd w:val="clear"/>
        <w:spacing w:line="800" w:lineRule="exact"/>
        <w:jc w:val="center"/>
        <w:rPr>
          <w:rFonts w:hint="eastAsia" w:ascii="仿宋" w:hAnsi="仿宋" w:eastAsia="仿宋" w:cs="仿宋"/>
          <w:b/>
          <w:color w:val="auto"/>
          <w:sz w:val="30"/>
          <w:szCs w:val="30"/>
          <w:highlight w:val="none"/>
        </w:rPr>
      </w:pPr>
    </w:p>
    <w:p w14:paraId="45C43A70">
      <w:pPr>
        <w:shd w:val="clear"/>
        <w:spacing w:line="800" w:lineRule="exact"/>
        <w:jc w:val="center"/>
        <w:rPr>
          <w:rFonts w:hint="eastAsia" w:ascii="仿宋" w:hAnsi="仿宋" w:eastAsia="仿宋" w:cs="仿宋"/>
          <w:b/>
          <w:color w:val="auto"/>
          <w:sz w:val="30"/>
          <w:szCs w:val="30"/>
          <w:highlight w:val="none"/>
        </w:rPr>
      </w:pPr>
    </w:p>
    <w:p w14:paraId="0F921F5A">
      <w:pPr>
        <w:shd w:val="clear"/>
        <w:spacing w:line="80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七、法定代表人及其授权代表身份证复印件（正反面）</w:t>
      </w:r>
    </w:p>
    <w:p w14:paraId="198482B1">
      <w:pPr>
        <w:shd w:val="clear"/>
        <w:spacing w:line="800" w:lineRule="exact"/>
        <w:rPr>
          <w:rFonts w:hint="eastAsia" w:ascii="仿宋" w:hAnsi="仿宋" w:eastAsia="仿宋" w:cs="仿宋"/>
          <w:b/>
          <w:color w:val="auto"/>
          <w:sz w:val="24"/>
          <w:highlight w:val="none"/>
        </w:rPr>
      </w:pPr>
    </w:p>
    <w:p w14:paraId="7F9375B5">
      <w:pPr>
        <w:shd w:val="clear"/>
        <w:spacing w:line="800" w:lineRule="exact"/>
        <w:rPr>
          <w:rFonts w:hint="eastAsia" w:ascii="仿宋" w:hAnsi="仿宋" w:eastAsia="仿宋" w:cs="仿宋"/>
          <w:b/>
          <w:color w:val="auto"/>
          <w:sz w:val="24"/>
          <w:highlight w:val="none"/>
        </w:rPr>
      </w:pPr>
    </w:p>
    <w:p w14:paraId="334C13F7">
      <w:pPr>
        <w:shd w:val="clear"/>
        <w:spacing w:line="800" w:lineRule="exact"/>
        <w:jc w:val="center"/>
        <w:rPr>
          <w:rFonts w:hint="eastAsia" w:ascii="仿宋" w:hAnsi="仿宋" w:eastAsia="仿宋" w:cs="仿宋"/>
          <w:b/>
          <w:color w:val="auto"/>
          <w:sz w:val="30"/>
          <w:szCs w:val="30"/>
          <w:highlight w:val="none"/>
        </w:rPr>
      </w:pPr>
    </w:p>
    <w:p w14:paraId="59AFF71D">
      <w:pPr>
        <w:shd w:val="clear"/>
        <w:spacing w:line="800" w:lineRule="exact"/>
        <w:jc w:val="center"/>
        <w:rPr>
          <w:rFonts w:hint="eastAsia" w:ascii="仿宋" w:hAnsi="仿宋" w:eastAsia="仿宋" w:cs="仿宋"/>
          <w:b/>
          <w:color w:val="auto"/>
          <w:sz w:val="30"/>
          <w:szCs w:val="30"/>
          <w:highlight w:val="none"/>
        </w:rPr>
      </w:pPr>
    </w:p>
    <w:p w14:paraId="7C5E6328">
      <w:pPr>
        <w:shd w:val="clear"/>
        <w:spacing w:line="80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八、法定代表人身份证明书(格式)</w:t>
      </w:r>
    </w:p>
    <w:p w14:paraId="4783025C">
      <w:pPr>
        <w:shd w:val="clea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w:t>
      </w:r>
    </w:p>
    <w:p w14:paraId="625B71AD">
      <w:pPr>
        <w:shd w:val="clea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07E65E3C">
      <w:pPr>
        <w:shd w:val="clear"/>
        <w:spacing w:line="440" w:lineRule="exact"/>
        <w:ind w:right="281" w:rightChars="134"/>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p>
    <w:p w14:paraId="290FEE3F">
      <w:pPr>
        <w:shd w:val="clear"/>
        <w:spacing w:line="440" w:lineRule="exact"/>
        <w:ind w:right="281" w:rightChars="134"/>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14:paraId="4AC651F1">
      <w:pPr>
        <w:shd w:val="clear"/>
        <w:spacing w:line="440" w:lineRule="exact"/>
        <w:ind w:right="281" w:rightChars="134"/>
        <w:rPr>
          <w:rFonts w:hint="eastAsia" w:ascii="仿宋" w:hAnsi="仿宋" w:eastAsia="仿宋" w:cs="仿宋"/>
          <w:color w:val="auto"/>
          <w:sz w:val="24"/>
          <w:highlight w:val="none"/>
        </w:rPr>
      </w:pPr>
      <w:r>
        <w:rPr>
          <w:rFonts w:hint="eastAsia" w:ascii="仿宋" w:hAnsi="仿宋" w:eastAsia="仿宋" w:cs="仿宋"/>
          <w:color w:val="auto"/>
          <w:sz w:val="24"/>
          <w:highlight w:val="none"/>
        </w:rPr>
        <w:t>职   务：</w:t>
      </w:r>
      <w:r>
        <w:rPr>
          <w:rFonts w:hint="eastAsia" w:ascii="仿宋" w:hAnsi="仿宋" w:eastAsia="仿宋" w:cs="仿宋"/>
          <w:color w:val="auto"/>
          <w:sz w:val="24"/>
          <w:highlight w:val="none"/>
          <w:u w:val="single"/>
        </w:rPr>
        <w:t xml:space="preserve">                           </w:t>
      </w:r>
    </w:p>
    <w:p w14:paraId="5C7E9D18">
      <w:pPr>
        <w:shd w:val="clea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（填写投标人名称）</w:t>
      </w:r>
      <w:r>
        <w:rPr>
          <w:rFonts w:hint="eastAsia" w:ascii="仿宋" w:hAnsi="仿宋" w:eastAsia="仿宋" w:cs="仿宋"/>
          <w:color w:val="auto"/>
          <w:sz w:val="24"/>
          <w:highlight w:val="none"/>
        </w:rPr>
        <w:t>的法定代表人。</w:t>
      </w:r>
    </w:p>
    <w:p w14:paraId="7A3A6E9A">
      <w:pPr>
        <w:shd w:val="clea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71995679">
      <w:pPr>
        <w:shd w:val="clear"/>
        <w:spacing w:line="440" w:lineRule="exact"/>
        <w:rPr>
          <w:rFonts w:hint="eastAsia" w:ascii="仿宋" w:hAnsi="仿宋" w:eastAsia="仿宋" w:cs="仿宋"/>
          <w:color w:val="auto"/>
          <w:sz w:val="24"/>
          <w:highlight w:val="none"/>
        </w:rPr>
      </w:pPr>
    </w:p>
    <w:p w14:paraId="04C8F02A">
      <w:pPr>
        <w:shd w:val="clea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                             （电子签章）</w:t>
      </w:r>
    </w:p>
    <w:p w14:paraId="279EB9B0">
      <w:pPr>
        <w:shd w:val="clear"/>
        <w:spacing w:line="440" w:lineRule="exact"/>
        <w:ind w:right="480"/>
        <w:rPr>
          <w:rFonts w:hint="eastAsia" w:ascii="仿宋" w:hAnsi="仿宋" w:eastAsia="仿宋" w:cs="仿宋"/>
          <w:color w:val="auto"/>
          <w:sz w:val="24"/>
          <w:highlight w:val="none"/>
        </w:rPr>
      </w:pPr>
    </w:p>
    <w:p w14:paraId="03BD4A91">
      <w:pPr>
        <w:shd w:val="clear"/>
        <w:spacing w:line="440" w:lineRule="exact"/>
        <w:ind w:right="72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1F7AD1EA">
      <w:pPr>
        <w:shd w:val="clear"/>
        <w:jc w:val="center"/>
        <w:rPr>
          <w:rFonts w:hint="eastAsia" w:ascii="仿宋" w:hAnsi="仿宋" w:eastAsia="仿宋" w:cs="仿宋"/>
          <w:b/>
          <w:color w:val="auto"/>
          <w:kern w:val="0"/>
          <w:sz w:val="32"/>
          <w:szCs w:val="32"/>
          <w:highlight w:val="none"/>
        </w:rPr>
      </w:pPr>
    </w:p>
    <w:p w14:paraId="18CCABE3">
      <w:pPr>
        <w:shd w:val="clear"/>
        <w:jc w:val="center"/>
        <w:rPr>
          <w:rFonts w:hint="eastAsia" w:ascii="仿宋" w:hAnsi="仿宋" w:eastAsia="仿宋" w:cs="仿宋"/>
          <w:b/>
          <w:color w:val="auto"/>
          <w:kern w:val="0"/>
          <w:sz w:val="32"/>
          <w:szCs w:val="32"/>
          <w:highlight w:val="none"/>
        </w:rPr>
      </w:pPr>
    </w:p>
    <w:p w14:paraId="46CF4CE2">
      <w:pPr>
        <w:shd w:val="clear"/>
        <w:rPr>
          <w:rFonts w:hint="eastAsia" w:ascii="仿宋" w:hAnsi="仿宋" w:eastAsia="仿宋" w:cs="仿宋"/>
          <w:b/>
          <w:color w:val="auto"/>
          <w:kern w:val="0"/>
          <w:sz w:val="32"/>
          <w:szCs w:val="32"/>
          <w:highlight w:val="none"/>
        </w:rPr>
      </w:pPr>
    </w:p>
    <w:p w14:paraId="5E63C0C2">
      <w:pPr>
        <w:shd w:val="clear"/>
        <w:jc w:val="center"/>
        <w:rPr>
          <w:rFonts w:hint="eastAsia" w:ascii="仿宋" w:hAnsi="仿宋" w:eastAsia="仿宋" w:cs="仿宋"/>
          <w:b/>
          <w:color w:val="auto"/>
          <w:kern w:val="0"/>
          <w:sz w:val="32"/>
          <w:szCs w:val="32"/>
          <w:highlight w:val="none"/>
        </w:rPr>
      </w:pPr>
    </w:p>
    <w:p w14:paraId="43B2E27C">
      <w:pPr>
        <w:shd w:val="clear"/>
        <w:jc w:val="center"/>
        <w:rPr>
          <w:rFonts w:hint="eastAsia" w:ascii="仿宋" w:hAnsi="仿宋" w:eastAsia="仿宋" w:cs="仿宋"/>
          <w:b/>
          <w:color w:val="auto"/>
          <w:kern w:val="0"/>
          <w:sz w:val="32"/>
          <w:szCs w:val="32"/>
          <w:highlight w:val="none"/>
        </w:rPr>
      </w:pPr>
    </w:p>
    <w:p w14:paraId="2CA73018">
      <w:pPr>
        <w:shd w:val="clear"/>
        <w:jc w:val="center"/>
        <w:rPr>
          <w:rFonts w:hint="eastAsia" w:ascii="仿宋" w:hAnsi="仿宋" w:eastAsia="仿宋" w:cs="仿宋"/>
          <w:b/>
          <w:color w:val="auto"/>
          <w:kern w:val="0"/>
          <w:sz w:val="32"/>
          <w:szCs w:val="32"/>
          <w:highlight w:val="none"/>
        </w:rPr>
      </w:pPr>
    </w:p>
    <w:p w14:paraId="38AC68C4">
      <w:pPr>
        <w:shd w:val="clear"/>
        <w:jc w:val="center"/>
        <w:rPr>
          <w:rFonts w:hint="eastAsia" w:ascii="仿宋" w:hAnsi="仿宋" w:eastAsia="仿宋" w:cs="仿宋"/>
          <w:b/>
          <w:color w:val="auto"/>
          <w:kern w:val="0"/>
          <w:sz w:val="32"/>
          <w:szCs w:val="32"/>
          <w:highlight w:val="none"/>
        </w:rPr>
      </w:pPr>
    </w:p>
    <w:p w14:paraId="6248B3C0">
      <w:pPr>
        <w:shd w:val="clear"/>
        <w:jc w:val="center"/>
        <w:rPr>
          <w:rFonts w:hint="eastAsia" w:ascii="仿宋" w:hAnsi="仿宋" w:eastAsia="仿宋" w:cs="仿宋"/>
          <w:b/>
          <w:color w:val="auto"/>
          <w:kern w:val="0"/>
          <w:sz w:val="32"/>
          <w:szCs w:val="32"/>
          <w:highlight w:val="none"/>
        </w:rPr>
      </w:pPr>
    </w:p>
    <w:p w14:paraId="663DC0E0">
      <w:pPr>
        <w:shd w:val="clear"/>
        <w:jc w:val="center"/>
        <w:rPr>
          <w:rFonts w:hint="eastAsia" w:ascii="仿宋" w:hAnsi="仿宋" w:eastAsia="仿宋" w:cs="仿宋"/>
          <w:b/>
          <w:color w:val="auto"/>
          <w:kern w:val="0"/>
          <w:sz w:val="32"/>
          <w:szCs w:val="32"/>
          <w:highlight w:val="none"/>
        </w:rPr>
      </w:pPr>
    </w:p>
    <w:p w14:paraId="605F9F13">
      <w:pPr>
        <w:shd w:val="clea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br w:type="page"/>
      </w:r>
    </w:p>
    <w:p w14:paraId="6C8E3CD6">
      <w:pPr>
        <w:shd w:val="clear"/>
        <w:jc w:val="center"/>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rPr>
        <w:t>九、</w:t>
      </w:r>
      <w:r>
        <w:rPr>
          <w:rFonts w:hint="eastAsia" w:ascii="仿宋" w:hAnsi="仿宋" w:eastAsia="仿宋" w:cs="仿宋"/>
          <w:b/>
          <w:bCs/>
          <w:color w:val="auto"/>
          <w:sz w:val="30"/>
          <w:szCs w:val="30"/>
          <w:highlight w:val="none"/>
          <w:lang w:val="zh-CN"/>
        </w:rPr>
        <w:t>商务资信响应表</w:t>
      </w:r>
    </w:p>
    <w:p w14:paraId="662B639B">
      <w:pPr>
        <w:shd w:val="clear"/>
        <w:spacing w:line="360" w:lineRule="auto"/>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（由供应商根据采购需求及采购文件要求编制）</w:t>
      </w:r>
    </w:p>
    <w:tbl>
      <w:tblPr>
        <w:tblStyle w:val="25"/>
        <w:tblpPr w:leftFromText="180" w:rightFromText="180" w:vertAnchor="text" w:horzAnchor="page" w:tblpX="1632" w:tblpY="391"/>
        <w:tblOverlap w:val="never"/>
        <w:tblW w:w="9125"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75"/>
        <w:gridCol w:w="3262"/>
        <w:gridCol w:w="2399"/>
        <w:gridCol w:w="2589"/>
      </w:tblGrid>
      <w:tr w14:paraId="77558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2" w:hRule="atLeast"/>
        </w:trPr>
        <w:tc>
          <w:tcPr>
            <w:tcW w:w="875" w:type="dxa"/>
            <w:tcBorders>
              <w:top w:val="single" w:color="auto" w:sz="4" w:space="0"/>
              <w:left w:val="single" w:color="auto" w:sz="4" w:space="0"/>
              <w:bottom w:val="single" w:color="auto" w:sz="4" w:space="0"/>
              <w:right w:val="single" w:color="auto" w:sz="4" w:space="0"/>
            </w:tcBorders>
            <w:vAlign w:val="center"/>
          </w:tcPr>
          <w:p w14:paraId="5D410187">
            <w:pPr>
              <w:shd w:val="clear"/>
              <w:adjustRightInd/>
              <w:snapToGrid w:val="0"/>
              <w:spacing w:line="44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bidi="ar"/>
              </w:rPr>
              <w:t>序号</w:t>
            </w:r>
          </w:p>
        </w:tc>
        <w:tc>
          <w:tcPr>
            <w:tcW w:w="3262" w:type="dxa"/>
            <w:tcBorders>
              <w:top w:val="single" w:color="auto" w:sz="4" w:space="0"/>
              <w:left w:val="single" w:color="auto" w:sz="4" w:space="0"/>
              <w:bottom w:val="single" w:color="auto" w:sz="4" w:space="0"/>
              <w:right w:val="single" w:color="auto" w:sz="4" w:space="0"/>
            </w:tcBorders>
            <w:vAlign w:val="center"/>
          </w:tcPr>
          <w:p w14:paraId="1C0792F1">
            <w:pPr>
              <w:shd w:val="clear"/>
              <w:adjustRightInd/>
              <w:snapToGrid w:val="0"/>
              <w:spacing w:line="44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bidi="ar"/>
              </w:rPr>
              <w:t>采购文件要求</w:t>
            </w:r>
          </w:p>
        </w:tc>
        <w:tc>
          <w:tcPr>
            <w:tcW w:w="2399" w:type="dxa"/>
            <w:tcBorders>
              <w:top w:val="single" w:color="auto" w:sz="4" w:space="0"/>
              <w:left w:val="single" w:color="auto" w:sz="4" w:space="0"/>
              <w:bottom w:val="single" w:color="auto" w:sz="4" w:space="0"/>
              <w:right w:val="single" w:color="auto" w:sz="4" w:space="0"/>
            </w:tcBorders>
            <w:vAlign w:val="center"/>
          </w:tcPr>
          <w:p w14:paraId="1793D640">
            <w:pPr>
              <w:shd w:val="clear"/>
              <w:adjustRightInd/>
              <w:snapToGrid w:val="0"/>
              <w:spacing w:line="44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bidi="ar"/>
              </w:rPr>
              <w:t>是否响应</w:t>
            </w:r>
          </w:p>
        </w:tc>
        <w:tc>
          <w:tcPr>
            <w:tcW w:w="2589" w:type="dxa"/>
            <w:tcBorders>
              <w:top w:val="single" w:color="auto" w:sz="4" w:space="0"/>
              <w:left w:val="single" w:color="auto" w:sz="4" w:space="0"/>
              <w:bottom w:val="single" w:color="auto" w:sz="4" w:space="0"/>
              <w:right w:val="single" w:color="auto" w:sz="4" w:space="0"/>
            </w:tcBorders>
            <w:vAlign w:val="center"/>
          </w:tcPr>
          <w:p w14:paraId="1DF57A80">
            <w:pPr>
              <w:shd w:val="clear"/>
              <w:adjustRightInd/>
              <w:snapToGrid w:val="0"/>
              <w:spacing w:line="44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bidi="ar"/>
              </w:rPr>
              <w:t>供应商的承诺或说明</w:t>
            </w:r>
          </w:p>
        </w:tc>
      </w:tr>
      <w:tr w14:paraId="151E097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3" w:hRule="atLeast"/>
        </w:trPr>
        <w:tc>
          <w:tcPr>
            <w:tcW w:w="875" w:type="dxa"/>
            <w:tcBorders>
              <w:top w:val="single" w:color="auto" w:sz="4" w:space="0"/>
              <w:left w:val="single" w:color="auto" w:sz="4" w:space="0"/>
              <w:bottom w:val="single" w:color="auto" w:sz="4" w:space="0"/>
              <w:right w:val="single" w:color="auto" w:sz="4" w:space="0"/>
            </w:tcBorders>
            <w:vAlign w:val="center"/>
          </w:tcPr>
          <w:p w14:paraId="6B471FCF">
            <w:pPr>
              <w:shd w:val="clear"/>
              <w:spacing w:line="340" w:lineRule="exact"/>
              <w:jc w:val="center"/>
              <w:rPr>
                <w:rFonts w:hint="eastAsia" w:ascii="仿宋" w:hAnsi="仿宋" w:eastAsia="仿宋" w:cs="仿宋"/>
                <w:color w:val="auto"/>
                <w:sz w:val="24"/>
                <w:highlight w:val="none"/>
              </w:rPr>
            </w:pPr>
          </w:p>
        </w:tc>
        <w:tc>
          <w:tcPr>
            <w:tcW w:w="3262" w:type="dxa"/>
            <w:tcBorders>
              <w:top w:val="single" w:color="auto" w:sz="4" w:space="0"/>
              <w:left w:val="single" w:color="auto" w:sz="4" w:space="0"/>
              <w:bottom w:val="single" w:color="auto" w:sz="4" w:space="0"/>
              <w:right w:val="single" w:color="auto" w:sz="4" w:space="0"/>
            </w:tcBorders>
            <w:vAlign w:val="center"/>
          </w:tcPr>
          <w:p w14:paraId="2AA4B492">
            <w:pPr>
              <w:shd w:val="clear"/>
              <w:snapToGrid w:val="0"/>
              <w:spacing w:before="120" w:beforeLines="50" w:line="360" w:lineRule="auto"/>
              <w:jc w:val="center"/>
              <w:rPr>
                <w:rFonts w:hint="eastAsia" w:ascii="仿宋" w:hAnsi="仿宋" w:eastAsia="仿宋" w:cs="仿宋"/>
                <w:color w:val="auto"/>
                <w:sz w:val="24"/>
                <w:highlight w:val="none"/>
              </w:rPr>
            </w:pPr>
          </w:p>
        </w:tc>
        <w:tc>
          <w:tcPr>
            <w:tcW w:w="2399" w:type="dxa"/>
            <w:tcBorders>
              <w:top w:val="single" w:color="auto" w:sz="4" w:space="0"/>
              <w:left w:val="single" w:color="auto" w:sz="4" w:space="0"/>
              <w:bottom w:val="single" w:color="auto" w:sz="4" w:space="0"/>
              <w:right w:val="single" w:color="auto" w:sz="4" w:space="0"/>
            </w:tcBorders>
            <w:vAlign w:val="center"/>
          </w:tcPr>
          <w:p w14:paraId="34F3CA63">
            <w:pPr>
              <w:shd w:val="clear"/>
              <w:snapToGrid w:val="0"/>
              <w:spacing w:before="120" w:beforeLines="50" w:line="360" w:lineRule="auto"/>
              <w:ind w:left="43"/>
              <w:jc w:val="center"/>
              <w:rPr>
                <w:rFonts w:hint="eastAsia" w:ascii="仿宋" w:hAnsi="仿宋" w:eastAsia="仿宋" w:cs="仿宋"/>
                <w:color w:val="auto"/>
                <w:sz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5D8952C2">
            <w:pPr>
              <w:shd w:val="clear"/>
              <w:snapToGrid w:val="0"/>
              <w:spacing w:before="120" w:beforeLines="50" w:line="360" w:lineRule="auto"/>
              <w:ind w:left="43"/>
              <w:jc w:val="center"/>
              <w:rPr>
                <w:rFonts w:hint="eastAsia" w:ascii="仿宋" w:hAnsi="仿宋" w:eastAsia="仿宋" w:cs="仿宋"/>
                <w:color w:val="auto"/>
                <w:sz w:val="24"/>
                <w:highlight w:val="none"/>
              </w:rPr>
            </w:pPr>
          </w:p>
        </w:tc>
      </w:tr>
      <w:tr w14:paraId="686449E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875" w:type="dxa"/>
            <w:tcBorders>
              <w:top w:val="single" w:color="auto" w:sz="4" w:space="0"/>
              <w:left w:val="single" w:color="auto" w:sz="4" w:space="0"/>
              <w:bottom w:val="single" w:color="auto" w:sz="4" w:space="0"/>
              <w:right w:val="single" w:color="auto" w:sz="4" w:space="0"/>
            </w:tcBorders>
            <w:vAlign w:val="center"/>
          </w:tcPr>
          <w:p w14:paraId="25E9C9A1">
            <w:pPr>
              <w:shd w:val="clear"/>
              <w:spacing w:line="340" w:lineRule="exact"/>
              <w:jc w:val="center"/>
              <w:rPr>
                <w:rFonts w:hint="eastAsia" w:ascii="仿宋" w:hAnsi="仿宋" w:eastAsia="仿宋" w:cs="仿宋"/>
                <w:color w:val="auto"/>
                <w:sz w:val="24"/>
                <w:highlight w:val="none"/>
              </w:rPr>
            </w:pPr>
          </w:p>
        </w:tc>
        <w:tc>
          <w:tcPr>
            <w:tcW w:w="3262" w:type="dxa"/>
            <w:tcBorders>
              <w:top w:val="single" w:color="auto" w:sz="4" w:space="0"/>
              <w:left w:val="single" w:color="auto" w:sz="4" w:space="0"/>
              <w:bottom w:val="single" w:color="auto" w:sz="4" w:space="0"/>
              <w:right w:val="single" w:color="auto" w:sz="4" w:space="0"/>
            </w:tcBorders>
            <w:vAlign w:val="center"/>
          </w:tcPr>
          <w:p w14:paraId="27854AFF">
            <w:pPr>
              <w:shd w:val="clear"/>
              <w:snapToGrid w:val="0"/>
              <w:spacing w:before="120" w:beforeLines="50" w:line="360" w:lineRule="auto"/>
              <w:jc w:val="center"/>
              <w:rPr>
                <w:rFonts w:hint="eastAsia" w:ascii="仿宋" w:hAnsi="仿宋" w:eastAsia="仿宋" w:cs="仿宋"/>
                <w:color w:val="auto"/>
                <w:sz w:val="24"/>
                <w:highlight w:val="none"/>
              </w:rPr>
            </w:pPr>
          </w:p>
        </w:tc>
        <w:tc>
          <w:tcPr>
            <w:tcW w:w="2399" w:type="dxa"/>
            <w:tcBorders>
              <w:top w:val="single" w:color="auto" w:sz="4" w:space="0"/>
              <w:left w:val="single" w:color="auto" w:sz="4" w:space="0"/>
              <w:bottom w:val="single" w:color="auto" w:sz="4" w:space="0"/>
              <w:right w:val="single" w:color="auto" w:sz="4" w:space="0"/>
            </w:tcBorders>
            <w:vAlign w:val="center"/>
          </w:tcPr>
          <w:p w14:paraId="2EA46F2D">
            <w:pPr>
              <w:shd w:val="clear"/>
              <w:snapToGrid w:val="0"/>
              <w:spacing w:before="120" w:beforeLines="50" w:line="360" w:lineRule="auto"/>
              <w:jc w:val="center"/>
              <w:rPr>
                <w:rFonts w:hint="eastAsia" w:ascii="仿宋" w:hAnsi="仿宋" w:eastAsia="仿宋" w:cs="仿宋"/>
                <w:color w:val="auto"/>
                <w:sz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0942E9C1">
            <w:pPr>
              <w:shd w:val="clear"/>
              <w:snapToGrid w:val="0"/>
              <w:spacing w:before="120" w:beforeLines="50" w:line="360" w:lineRule="auto"/>
              <w:jc w:val="center"/>
              <w:rPr>
                <w:rFonts w:hint="eastAsia" w:ascii="仿宋" w:hAnsi="仿宋" w:eastAsia="仿宋" w:cs="仿宋"/>
                <w:color w:val="auto"/>
                <w:sz w:val="24"/>
                <w:highlight w:val="none"/>
              </w:rPr>
            </w:pPr>
          </w:p>
        </w:tc>
      </w:tr>
      <w:tr w14:paraId="0B64BC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875" w:type="dxa"/>
            <w:tcBorders>
              <w:top w:val="single" w:color="auto" w:sz="4" w:space="0"/>
              <w:left w:val="single" w:color="auto" w:sz="4" w:space="0"/>
              <w:bottom w:val="single" w:color="auto" w:sz="4" w:space="0"/>
              <w:right w:val="single" w:color="auto" w:sz="4" w:space="0"/>
            </w:tcBorders>
            <w:vAlign w:val="center"/>
          </w:tcPr>
          <w:p w14:paraId="217857FF">
            <w:pPr>
              <w:shd w:val="clear"/>
              <w:spacing w:line="340" w:lineRule="exact"/>
              <w:jc w:val="center"/>
              <w:rPr>
                <w:rFonts w:hint="eastAsia" w:ascii="仿宋" w:hAnsi="仿宋" w:eastAsia="仿宋" w:cs="仿宋"/>
                <w:color w:val="auto"/>
                <w:sz w:val="24"/>
                <w:highlight w:val="none"/>
              </w:rPr>
            </w:pPr>
          </w:p>
        </w:tc>
        <w:tc>
          <w:tcPr>
            <w:tcW w:w="3262" w:type="dxa"/>
            <w:tcBorders>
              <w:top w:val="single" w:color="auto" w:sz="4" w:space="0"/>
              <w:left w:val="single" w:color="auto" w:sz="4" w:space="0"/>
              <w:bottom w:val="single" w:color="auto" w:sz="4" w:space="0"/>
              <w:right w:val="single" w:color="auto" w:sz="4" w:space="0"/>
            </w:tcBorders>
            <w:vAlign w:val="center"/>
          </w:tcPr>
          <w:p w14:paraId="57524847">
            <w:pPr>
              <w:shd w:val="clear"/>
              <w:snapToGrid w:val="0"/>
              <w:spacing w:before="120" w:beforeLines="50" w:line="360" w:lineRule="auto"/>
              <w:jc w:val="center"/>
              <w:rPr>
                <w:rFonts w:hint="eastAsia" w:ascii="仿宋" w:hAnsi="仿宋" w:eastAsia="仿宋" w:cs="仿宋"/>
                <w:color w:val="auto"/>
                <w:sz w:val="24"/>
                <w:highlight w:val="none"/>
              </w:rPr>
            </w:pPr>
          </w:p>
        </w:tc>
        <w:tc>
          <w:tcPr>
            <w:tcW w:w="2399" w:type="dxa"/>
            <w:tcBorders>
              <w:top w:val="single" w:color="auto" w:sz="4" w:space="0"/>
              <w:left w:val="single" w:color="auto" w:sz="4" w:space="0"/>
              <w:bottom w:val="single" w:color="auto" w:sz="4" w:space="0"/>
              <w:right w:val="single" w:color="auto" w:sz="4" w:space="0"/>
            </w:tcBorders>
            <w:vAlign w:val="center"/>
          </w:tcPr>
          <w:p w14:paraId="717CE9A2">
            <w:pPr>
              <w:shd w:val="clear"/>
              <w:snapToGrid w:val="0"/>
              <w:spacing w:before="120" w:beforeLines="50" w:line="360" w:lineRule="auto"/>
              <w:jc w:val="center"/>
              <w:rPr>
                <w:rFonts w:hint="eastAsia" w:ascii="仿宋" w:hAnsi="仿宋" w:eastAsia="仿宋" w:cs="仿宋"/>
                <w:color w:val="auto"/>
                <w:sz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35F81AB3">
            <w:pPr>
              <w:shd w:val="clear"/>
              <w:snapToGrid w:val="0"/>
              <w:spacing w:before="120" w:beforeLines="50" w:line="360" w:lineRule="auto"/>
              <w:jc w:val="center"/>
              <w:rPr>
                <w:rFonts w:hint="eastAsia" w:ascii="仿宋" w:hAnsi="仿宋" w:eastAsia="仿宋" w:cs="仿宋"/>
                <w:color w:val="auto"/>
                <w:sz w:val="24"/>
                <w:highlight w:val="none"/>
              </w:rPr>
            </w:pPr>
          </w:p>
        </w:tc>
      </w:tr>
      <w:tr w14:paraId="3908FAD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875" w:type="dxa"/>
            <w:tcBorders>
              <w:top w:val="single" w:color="auto" w:sz="4" w:space="0"/>
              <w:left w:val="single" w:color="auto" w:sz="4" w:space="0"/>
              <w:bottom w:val="single" w:color="auto" w:sz="4" w:space="0"/>
              <w:right w:val="single" w:color="auto" w:sz="4" w:space="0"/>
            </w:tcBorders>
            <w:vAlign w:val="center"/>
          </w:tcPr>
          <w:p w14:paraId="29558835">
            <w:pPr>
              <w:shd w:val="clear"/>
              <w:snapToGrid w:val="0"/>
              <w:spacing w:before="120" w:beforeLines="50" w:line="360" w:lineRule="auto"/>
              <w:jc w:val="center"/>
              <w:rPr>
                <w:rFonts w:hint="eastAsia" w:ascii="仿宋" w:hAnsi="仿宋" w:eastAsia="仿宋" w:cs="仿宋"/>
                <w:color w:val="auto"/>
                <w:sz w:val="24"/>
                <w:highlight w:val="none"/>
              </w:rPr>
            </w:pPr>
          </w:p>
        </w:tc>
        <w:tc>
          <w:tcPr>
            <w:tcW w:w="3262" w:type="dxa"/>
            <w:tcBorders>
              <w:top w:val="single" w:color="auto" w:sz="4" w:space="0"/>
              <w:left w:val="single" w:color="auto" w:sz="4" w:space="0"/>
              <w:bottom w:val="single" w:color="auto" w:sz="4" w:space="0"/>
              <w:right w:val="single" w:color="auto" w:sz="4" w:space="0"/>
            </w:tcBorders>
            <w:vAlign w:val="center"/>
          </w:tcPr>
          <w:p w14:paraId="31D2BB93">
            <w:pPr>
              <w:shd w:val="clear"/>
              <w:snapToGrid w:val="0"/>
              <w:spacing w:before="120" w:beforeLines="50"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2399" w:type="dxa"/>
            <w:tcBorders>
              <w:top w:val="single" w:color="auto" w:sz="4" w:space="0"/>
              <w:left w:val="single" w:color="auto" w:sz="4" w:space="0"/>
              <w:bottom w:val="single" w:color="auto" w:sz="4" w:space="0"/>
              <w:right w:val="single" w:color="auto" w:sz="4" w:space="0"/>
            </w:tcBorders>
            <w:vAlign w:val="center"/>
          </w:tcPr>
          <w:p w14:paraId="4671E957">
            <w:pPr>
              <w:shd w:val="clear"/>
              <w:snapToGrid w:val="0"/>
              <w:spacing w:before="120" w:beforeLines="50" w:line="360" w:lineRule="auto"/>
              <w:jc w:val="center"/>
              <w:rPr>
                <w:rFonts w:hint="eastAsia" w:ascii="仿宋" w:hAnsi="仿宋" w:eastAsia="仿宋" w:cs="仿宋"/>
                <w:color w:val="auto"/>
                <w:sz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00E16CA0">
            <w:pPr>
              <w:shd w:val="clear"/>
              <w:snapToGrid w:val="0"/>
              <w:spacing w:before="120" w:beforeLines="50" w:line="360" w:lineRule="auto"/>
              <w:jc w:val="center"/>
              <w:rPr>
                <w:rFonts w:hint="eastAsia" w:ascii="仿宋" w:hAnsi="仿宋" w:eastAsia="仿宋" w:cs="仿宋"/>
                <w:color w:val="auto"/>
                <w:sz w:val="24"/>
                <w:highlight w:val="none"/>
              </w:rPr>
            </w:pPr>
          </w:p>
        </w:tc>
      </w:tr>
    </w:tbl>
    <w:p w14:paraId="1138E5C8">
      <w:pPr>
        <w:shd w:val="clear"/>
        <w:snapToGrid w:val="0"/>
        <w:spacing w:before="50" w:after="50" w:line="600" w:lineRule="exact"/>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 xml:space="preserve">      注：如不填写，视为完全响应。</w:t>
      </w:r>
    </w:p>
    <w:p w14:paraId="7DBF84FA">
      <w:pPr>
        <w:shd w:val="clear"/>
        <w:snapToGrid w:val="0"/>
        <w:spacing w:before="50" w:after="50" w:line="600" w:lineRule="exact"/>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bidi="ar"/>
        </w:rPr>
        <w:t xml:space="preserve">                     </w:t>
      </w:r>
      <w:r>
        <w:rPr>
          <w:rFonts w:hint="eastAsia" w:ascii="仿宋" w:hAnsi="仿宋" w:eastAsia="仿宋" w:cs="仿宋"/>
          <w:color w:val="auto"/>
          <w:kern w:val="0"/>
          <w:sz w:val="24"/>
          <w:highlight w:val="none"/>
        </w:rPr>
        <w:t xml:space="preserve">                      供应商名称（</w:t>
      </w:r>
      <w:r>
        <w:rPr>
          <w:rFonts w:hint="eastAsia" w:ascii="仿宋" w:hAnsi="仿宋" w:eastAsia="仿宋" w:cs="仿宋"/>
          <w:color w:val="auto"/>
          <w:kern w:val="0"/>
          <w:sz w:val="24"/>
          <w:highlight w:val="none"/>
          <w:lang w:val="zh-CN"/>
        </w:rPr>
        <w:t>电子签名</w:t>
      </w:r>
      <w:r>
        <w:rPr>
          <w:rFonts w:hint="eastAsia" w:ascii="仿宋" w:hAnsi="仿宋" w:eastAsia="仿宋" w:cs="仿宋"/>
          <w:color w:val="auto"/>
          <w:kern w:val="0"/>
          <w:sz w:val="24"/>
          <w:highlight w:val="none"/>
        </w:rPr>
        <w:t xml:space="preserve">）：                       </w:t>
      </w:r>
    </w:p>
    <w:p w14:paraId="149C7A50">
      <w:pPr>
        <w:shd w:val="clear"/>
        <w:spacing w:line="360" w:lineRule="auto"/>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rPr>
        <w:t xml:space="preserve">                                                    日期：  年  月   日</w:t>
      </w:r>
    </w:p>
    <w:p w14:paraId="2754E2E2">
      <w:pPr>
        <w:pStyle w:val="14"/>
        <w:shd w:val="clear"/>
        <w:ind w:firstLine="482"/>
        <w:jc w:val="center"/>
        <w:rPr>
          <w:rFonts w:hint="eastAsia" w:ascii="仿宋" w:hAnsi="仿宋" w:eastAsia="仿宋" w:cs="仿宋"/>
          <w:b/>
          <w:bCs/>
          <w:color w:val="auto"/>
          <w:highlight w:val="none"/>
        </w:rPr>
      </w:pPr>
    </w:p>
    <w:p w14:paraId="0BA040E1">
      <w:pPr>
        <w:pStyle w:val="14"/>
        <w:shd w:val="clear"/>
        <w:ind w:firstLine="602"/>
        <w:jc w:val="center"/>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rPr>
        <w:t>十、技术偏离</w:t>
      </w:r>
      <w:r>
        <w:rPr>
          <w:rFonts w:hint="eastAsia" w:ascii="仿宋" w:hAnsi="仿宋" w:eastAsia="仿宋" w:cs="仿宋"/>
          <w:b/>
          <w:bCs/>
          <w:color w:val="auto"/>
          <w:sz w:val="30"/>
          <w:szCs w:val="30"/>
          <w:highlight w:val="none"/>
          <w:lang w:val="zh-CN"/>
        </w:rPr>
        <w:t>表</w:t>
      </w:r>
    </w:p>
    <w:p w14:paraId="4A2AE452">
      <w:pPr>
        <w:shd w:val="clear"/>
        <w:spacing w:line="360" w:lineRule="auto"/>
        <w:ind w:firstLine="240" w:firstLineChars="100"/>
        <w:jc w:val="center"/>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（由供应商根据采购需求及采购文件要求编制）</w:t>
      </w:r>
    </w:p>
    <w:tbl>
      <w:tblPr>
        <w:tblStyle w:val="25"/>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274"/>
        <w:gridCol w:w="2388"/>
        <w:gridCol w:w="2413"/>
      </w:tblGrid>
      <w:tr w14:paraId="632A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834398C">
            <w:pPr>
              <w:shd w:val="clear"/>
              <w:tabs>
                <w:tab w:val="left" w:pos="4905"/>
              </w:tabs>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274" w:type="dxa"/>
            <w:tcBorders>
              <w:top w:val="single" w:color="auto" w:sz="4" w:space="0"/>
              <w:left w:val="single" w:color="auto" w:sz="4" w:space="0"/>
              <w:bottom w:val="single" w:color="auto" w:sz="4" w:space="0"/>
              <w:right w:val="single" w:color="auto" w:sz="4" w:space="0"/>
            </w:tcBorders>
            <w:vAlign w:val="center"/>
          </w:tcPr>
          <w:p w14:paraId="56BBF592">
            <w:pPr>
              <w:shd w:val="clear"/>
              <w:tabs>
                <w:tab w:val="left" w:pos="4905"/>
              </w:tabs>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采购文件要求</w:t>
            </w:r>
          </w:p>
        </w:tc>
        <w:tc>
          <w:tcPr>
            <w:tcW w:w="2388" w:type="dxa"/>
            <w:tcBorders>
              <w:top w:val="single" w:color="auto" w:sz="4" w:space="0"/>
              <w:left w:val="single" w:color="auto" w:sz="4" w:space="0"/>
              <w:bottom w:val="single" w:color="auto" w:sz="4" w:space="0"/>
              <w:right w:val="single" w:color="auto" w:sz="4" w:space="0"/>
            </w:tcBorders>
            <w:vAlign w:val="center"/>
          </w:tcPr>
          <w:p w14:paraId="261DB3EA">
            <w:pPr>
              <w:shd w:val="clear"/>
              <w:tabs>
                <w:tab w:val="left" w:pos="4905"/>
              </w:tabs>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是否响应</w:t>
            </w:r>
          </w:p>
        </w:tc>
        <w:tc>
          <w:tcPr>
            <w:tcW w:w="2413" w:type="dxa"/>
            <w:tcBorders>
              <w:top w:val="single" w:color="auto" w:sz="4" w:space="0"/>
              <w:left w:val="single" w:color="auto" w:sz="4" w:space="0"/>
              <w:bottom w:val="single" w:color="auto" w:sz="4" w:space="0"/>
              <w:right w:val="single" w:color="auto" w:sz="4" w:space="0"/>
            </w:tcBorders>
            <w:vAlign w:val="center"/>
          </w:tcPr>
          <w:p w14:paraId="2B781573">
            <w:pPr>
              <w:shd w:val="clear"/>
              <w:tabs>
                <w:tab w:val="left" w:pos="4905"/>
              </w:tabs>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偏离情况</w:t>
            </w:r>
          </w:p>
        </w:tc>
      </w:tr>
      <w:tr w14:paraId="2EC6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288024AB">
            <w:pPr>
              <w:shd w:val="clear"/>
              <w:tabs>
                <w:tab w:val="left" w:pos="4905"/>
              </w:tabs>
              <w:spacing w:line="400" w:lineRule="exact"/>
              <w:jc w:val="center"/>
              <w:rPr>
                <w:rFonts w:hint="eastAsia" w:ascii="仿宋" w:hAnsi="仿宋" w:eastAsia="仿宋" w:cs="仿宋"/>
                <w:color w:val="auto"/>
                <w:sz w:val="24"/>
                <w:highlight w:val="none"/>
              </w:rPr>
            </w:pPr>
          </w:p>
        </w:tc>
        <w:tc>
          <w:tcPr>
            <w:tcW w:w="3274" w:type="dxa"/>
            <w:tcBorders>
              <w:top w:val="single" w:color="auto" w:sz="4" w:space="0"/>
              <w:left w:val="single" w:color="auto" w:sz="4" w:space="0"/>
              <w:bottom w:val="single" w:color="auto" w:sz="4" w:space="0"/>
              <w:right w:val="single" w:color="auto" w:sz="4" w:space="0"/>
            </w:tcBorders>
            <w:vAlign w:val="center"/>
          </w:tcPr>
          <w:p w14:paraId="35B7D6C8">
            <w:pPr>
              <w:shd w:val="clear"/>
              <w:tabs>
                <w:tab w:val="left" w:pos="4905"/>
              </w:tabs>
              <w:spacing w:line="400" w:lineRule="exact"/>
              <w:rPr>
                <w:rFonts w:hint="eastAsia" w:ascii="仿宋" w:hAnsi="仿宋" w:eastAsia="仿宋" w:cs="仿宋"/>
                <w:color w:val="auto"/>
                <w:sz w:val="24"/>
                <w:highlight w:val="none"/>
              </w:rPr>
            </w:pPr>
          </w:p>
        </w:tc>
        <w:tc>
          <w:tcPr>
            <w:tcW w:w="2388" w:type="dxa"/>
            <w:tcBorders>
              <w:top w:val="single" w:color="auto" w:sz="4" w:space="0"/>
              <w:left w:val="single" w:color="auto" w:sz="4" w:space="0"/>
              <w:bottom w:val="single" w:color="auto" w:sz="4" w:space="0"/>
              <w:right w:val="single" w:color="auto" w:sz="4" w:space="0"/>
            </w:tcBorders>
            <w:vAlign w:val="center"/>
          </w:tcPr>
          <w:p w14:paraId="1B24251A">
            <w:pPr>
              <w:shd w:val="clear"/>
              <w:tabs>
                <w:tab w:val="left" w:pos="4905"/>
              </w:tabs>
              <w:spacing w:line="400" w:lineRule="exact"/>
              <w:rPr>
                <w:rFonts w:hint="eastAsia" w:ascii="仿宋" w:hAnsi="仿宋" w:eastAsia="仿宋" w:cs="仿宋"/>
                <w:color w:val="auto"/>
                <w:sz w:val="24"/>
                <w:highlight w:val="none"/>
              </w:rPr>
            </w:pPr>
          </w:p>
        </w:tc>
        <w:tc>
          <w:tcPr>
            <w:tcW w:w="2413" w:type="dxa"/>
            <w:tcBorders>
              <w:top w:val="single" w:color="auto" w:sz="4" w:space="0"/>
              <w:left w:val="single" w:color="auto" w:sz="4" w:space="0"/>
              <w:bottom w:val="single" w:color="auto" w:sz="4" w:space="0"/>
              <w:right w:val="single" w:color="auto" w:sz="4" w:space="0"/>
            </w:tcBorders>
            <w:vAlign w:val="center"/>
          </w:tcPr>
          <w:p w14:paraId="3545AA83">
            <w:pPr>
              <w:shd w:val="clear"/>
              <w:tabs>
                <w:tab w:val="left" w:pos="4905"/>
              </w:tabs>
              <w:spacing w:line="400" w:lineRule="exact"/>
              <w:jc w:val="center"/>
              <w:rPr>
                <w:rFonts w:hint="eastAsia" w:ascii="仿宋" w:hAnsi="仿宋" w:eastAsia="仿宋" w:cs="仿宋"/>
                <w:color w:val="auto"/>
                <w:sz w:val="24"/>
                <w:highlight w:val="none"/>
              </w:rPr>
            </w:pPr>
          </w:p>
        </w:tc>
      </w:tr>
      <w:tr w14:paraId="4ABE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2C7CEE83">
            <w:pPr>
              <w:shd w:val="clear"/>
              <w:tabs>
                <w:tab w:val="left" w:pos="4905"/>
              </w:tabs>
              <w:spacing w:line="400" w:lineRule="exact"/>
              <w:jc w:val="center"/>
              <w:rPr>
                <w:rFonts w:hint="eastAsia" w:ascii="仿宋" w:hAnsi="仿宋" w:eastAsia="仿宋" w:cs="仿宋"/>
                <w:color w:val="auto"/>
                <w:sz w:val="24"/>
                <w:highlight w:val="none"/>
              </w:rPr>
            </w:pPr>
          </w:p>
        </w:tc>
        <w:tc>
          <w:tcPr>
            <w:tcW w:w="3274" w:type="dxa"/>
            <w:tcBorders>
              <w:top w:val="single" w:color="auto" w:sz="4" w:space="0"/>
              <w:left w:val="single" w:color="auto" w:sz="4" w:space="0"/>
              <w:bottom w:val="single" w:color="auto" w:sz="4" w:space="0"/>
              <w:right w:val="single" w:color="auto" w:sz="4" w:space="0"/>
            </w:tcBorders>
            <w:vAlign w:val="center"/>
          </w:tcPr>
          <w:p w14:paraId="151FAF20">
            <w:pPr>
              <w:shd w:val="clear"/>
              <w:tabs>
                <w:tab w:val="left" w:pos="4905"/>
              </w:tabs>
              <w:spacing w:line="400" w:lineRule="exact"/>
              <w:rPr>
                <w:rFonts w:hint="eastAsia" w:ascii="仿宋" w:hAnsi="仿宋" w:eastAsia="仿宋" w:cs="仿宋"/>
                <w:color w:val="auto"/>
                <w:sz w:val="24"/>
                <w:highlight w:val="none"/>
              </w:rPr>
            </w:pPr>
          </w:p>
        </w:tc>
        <w:tc>
          <w:tcPr>
            <w:tcW w:w="2388" w:type="dxa"/>
            <w:tcBorders>
              <w:top w:val="single" w:color="auto" w:sz="4" w:space="0"/>
              <w:left w:val="single" w:color="auto" w:sz="4" w:space="0"/>
              <w:bottom w:val="single" w:color="auto" w:sz="4" w:space="0"/>
              <w:right w:val="single" w:color="auto" w:sz="4" w:space="0"/>
            </w:tcBorders>
            <w:vAlign w:val="center"/>
          </w:tcPr>
          <w:p w14:paraId="5B96DE7A">
            <w:pPr>
              <w:shd w:val="clear"/>
              <w:tabs>
                <w:tab w:val="left" w:pos="4905"/>
              </w:tabs>
              <w:spacing w:line="400" w:lineRule="exact"/>
              <w:rPr>
                <w:rFonts w:hint="eastAsia" w:ascii="仿宋" w:hAnsi="仿宋" w:eastAsia="仿宋" w:cs="仿宋"/>
                <w:color w:val="auto"/>
                <w:sz w:val="24"/>
                <w:highlight w:val="none"/>
              </w:rPr>
            </w:pPr>
          </w:p>
        </w:tc>
        <w:tc>
          <w:tcPr>
            <w:tcW w:w="2413" w:type="dxa"/>
            <w:tcBorders>
              <w:top w:val="single" w:color="auto" w:sz="4" w:space="0"/>
              <w:left w:val="single" w:color="auto" w:sz="4" w:space="0"/>
              <w:bottom w:val="single" w:color="auto" w:sz="4" w:space="0"/>
              <w:right w:val="single" w:color="auto" w:sz="4" w:space="0"/>
            </w:tcBorders>
            <w:vAlign w:val="center"/>
          </w:tcPr>
          <w:p w14:paraId="64E8DCD5">
            <w:pPr>
              <w:shd w:val="clear"/>
              <w:tabs>
                <w:tab w:val="left" w:pos="4905"/>
              </w:tabs>
              <w:spacing w:line="400" w:lineRule="exact"/>
              <w:jc w:val="center"/>
              <w:rPr>
                <w:rFonts w:hint="eastAsia" w:ascii="仿宋" w:hAnsi="仿宋" w:eastAsia="仿宋" w:cs="仿宋"/>
                <w:color w:val="auto"/>
                <w:sz w:val="24"/>
                <w:highlight w:val="none"/>
              </w:rPr>
            </w:pPr>
          </w:p>
        </w:tc>
      </w:tr>
      <w:tr w14:paraId="5150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8B99267">
            <w:pPr>
              <w:shd w:val="clear"/>
              <w:tabs>
                <w:tab w:val="left" w:pos="4905"/>
              </w:tabs>
              <w:spacing w:line="400" w:lineRule="exact"/>
              <w:jc w:val="center"/>
              <w:rPr>
                <w:rFonts w:hint="eastAsia" w:ascii="仿宋" w:hAnsi="仿宋" w:eastAsia="仿宋" w:cs="仿宋"/>
                <w:color w:val="auto"/>
                <w:sz w:val="24"/>
                <w:highlight w:val="none"/>
              </w:rPr>
            </w:pPr>
          </w:p>
        </w:tc>
        <w:tc>
          <w:tcPr>
            <w:tcW w:w="3274" w:type="dxa"/>
            <w:tcBorders>
              <w:top w:val="single" w:color="auto" w:sz="4" w:space="0"/>
              <w:left w:val="single" w:color="auto" w:sz="4" w:space="0"/>
              <w:bottom w:val="single" w:color="auto" w:sz="4" w:space="0"/>
              <w:right w:val="single" w:color="auto" w:sz="4" w:space="0"/>
            </w:tcBorders>
            <w:vAlign w:val="center"/>
          </w:tcPr>
          <w:p w14:paraId="179859BC">
            <w:pPr>
              <w:shd w:val="clear"/>
              <w:tabs>
                <w:tab w:val="left" w:pos="4905"/>
              </w:tabs>
              <w:spacing w:line="400" w:lineRule="exact"/>
              <w:rPr>
                <w:rFonts w:hint="eastAsia" w:ascii="仿宋" w:hAnsi="仿宋" w:eastAsia="仿宋" w:cs="仿宋"/>
                <w:color w:val="auto"/>
                <w:sz w:val="24"/>
                <w:highlight w:val="none"/>
              </w:rPr>
            </w:pPr>
          </w:p>
        </w:tc>
        <w:tc>
          <w:tcPr>
            <w:tcW w:w="2388" w:type="dxa"/>
            <w:tcBorders>
              <w:top w:val="single" w:color="auto" w:sz="4" w:space="0"/>
              <w:left w:val="single" w:color="auto" w:sz="4" w:space="0"/>
              <w:bottom w:val="single" w:color="auto" w:sz="4" w:space="0"/>
              <w:right w:val="single" w:color="auto" w:sz="4" w:space="0"/>
            </w:tcBorders>
            <w:vAlign w:val="center"/>
          </w:tcPr>
          <w:p w14:paraId="7E51F1D3">
            <w:pPr>
              <w:shd w:val="clear"/>
              <w:tabs>
                <w:tab w:val="left" w:pos="4905"/>
              </w:tabs>
              <w:spacing w:line="400" w:lineRule="exact"/>
              <w:rPr>
                <w:rFonts w:hint="eastAsia" w:ascii="仿宋" w:hAnsi="仿宋" w:eastAsia="仿宋" w:cs="仿宋"/>
                <w:color w:val="auto"/>
                <w:sz w:val="24"/>
                <w:highlight w:val="none"/>
              </w:rPr>
            </w:pPr>
          </w:p>
        </w:tc>
        <w:tc>
          <w:tcPr>
            <w:tcW w:w="2413" w:type="dxa"/>
            <w:tcBorders>
              <w:top w:val="single" w:color="auto" w:sz="4" w:space="0"/>
              <w:left w:val="single" w:color="auto" w:sz="4" w:space="0"/>
              <w:bottom w:val="single" w:color="auto" w:sz="4" w:space="0"/>
              <w:right w:val="single" w:color="auto" w:sz="4" w:space="0"/>
            </w:tcBorders>
            <w:vAlign w:val="center"/>
          </w:tcPr>
          <w:p w14:paraId="4DB0F78B">
            <w:pPr>
              <w:shd w:val="clear"/>
              <w:tabs>
                <w:tab w:val="left" w:pos="4905"/>
              </w:tabs>
              <w:spacing w:line="400" w:lineRule="exact"/>
              <w:jc w:val="center"/>
              <w:rPr>
                <w:rFonts w:hint="eastAsia" w:ascii="仿宋" w:hAnsi="仿宋" w:eastAsia="仿宋" w:cs="仿宋"/>
                <w:color w:val="auto"/>
                <w:sz w:val="24"/>
                <w:highlight w:val="none"/>
              </w:rPr>
            </w:pPr>
          </w:p>
        </w:tc>
      </w:tr>
      <w:tr w14:paraId="1589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A5D5032">
            <w:pPr>
              <w:shd w:val="clear"/>
              <w:tabs>
                <w:tab w:val="left" w:pos="4905"/>
              </w:tabs>
              <w:spacing w:line="400" w:lineRule="exact"/>
              <w:jc w:val="center"/>
              <w:rPr>
                <w:rFonts w:hint="eastAsia" w:ascii="仿宋" w:hAnsi="仿宋" w:eastAsia="仿宋" w:cs="仿宋"/>
                <w:color w:val="auto"/>
                <w:sz w:val="24"/>
                <w:highlight w:val="none"/>
              </w:rPr>
            </w:pPr>
          </w:p>
        </w:tc>
        <w:tc>
          <w:tcPr>
            <w:tcW w:w="3274" w:type="dxa"/>
            <w:tcBorders>
              <w:top w:val="single" w:color="auto" w:sz="4" w:space="0"/>
              <w:left w:val="single" w:color="auto" w:sz="4" w:space="0"/>
              <w:bottom w:val="single" w:color="auto" w:sz="4" w:space="0"/>
              <w:right w:val="single" w:color="auto" w:sz="4" w:space="0"/>
            </w:tcBorders>
            <w:vAlign w:val="center"/>
          </w:tcPr>
          <w:p w14:paraId="5F1BD5B8">
            <w:pPr>
              <w:shd w:val="clear"/>
              <w:tabs>
                <w:tab w:val="left" w:pos="4905"/>
              </w:tabs>
              <w:spacing w:line="400" w:lineRule="exact"/>
              <w:rPr>
                <w:rFonts w:hint="eastAsia" w:ascii="仿宋" w:hAnsi="仿宋" w:eastAsia="仿宋" w:cs="仿宋"/>
                <w:color w:val="auto"/>
                <w:sz w:val="24"/>
                <w:highlight w:val="none"/>
              </w:rPr>
            </w:pPr>
          </w:p>
        </w:tc>
        <w:tc>
          <w:tcPr>
            <w:tcW w:w="2388" w:type="dxa"/>
            <w:tcBorders>
              <w:top w:val="single" w:color="auto" w:sz="4" w:space="0"/>
              <w:left w:val="single" w:color="auto" w:sz="4" w:space="0"/>
              <w:bottom w:val="single" w:color="auto" w:sz="4" w:space="0"/>
              <w:right w:val="single" w:color="auto" w:sz="4" w:space="0"/>
            </w:tcBorders>
            <w:vAlign w:val="center"/>
          </w:tcPr>
          <w:p w14:paraId="4DAFB4EE">
            <w:pPr>
              <w:shd w:val="clear"/>
              <w:tabs>
                <w:tab w:val="left" w:pos="4905"/>
              </w:tabs>
              <w:spacing w:line="400" w:lineRule="exact"/>
              <w:rPr>
                <w:rFonts w:hint="eastAsia" w:ascii="仿宋" w:hAnsi="仿宋" w:eastAsia="仿宋" w:cs="仿宋"/>
                <w:color w:val="auto"/>
                <w:sz w:val="24"/>
                <w:highlight w:val="none"/>
              </w:rPr>
            </w:pPr>
          </w:p>
        </w:tc>
        <w:tc>
          <w:tcPr>
            <w:tcW w:w="2413" w:type="dxa"/>
            <w:tcBorders>
              <w:top w:val="single" w:color="auto" w:sz="4" w:space="0"/>
              <w:left w:val="single" w:color="auto" w:sz="4" w:space="0"/>
              <w:bottom w:val="single" w:color="auto" w:sz="4" w:space="0"/>
              <w:right w:val="single" w:color="auto" w:sz="4" w:space="0"/>
            </w:tcBorders>
            <w:vAlign w:val="center"/>
          </w:tcPr>
          <w:p w14:paraId="3D8E7E57">
            <w:pPr>
              <w:shd w:val="clear"/>
              <w:tabs>
                <w:tab w:val="left" w:pos="4905"/>
              </w:tabs>
              <w:spacing w:line="400" w:lineRule="exact"/>
              <w:jc w:val="center"/>
              <w:rPr>
                <w:rFonts w:hint="eastAsia" w:ascii="仿宋" w:hAnsi="仿宋" w:eastAsia="仿宋" w:cs="仿宋"/>
                <w:color w:val="auto"/>
                <w:sz w:val="24"/>
                <w:highlight w:val="none"/>
              </w:rPr>
            </w:pPr>
          </w:p>
        </w:tc>
      </w:tr>
      <w:tr w14:paraId="085B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9625604">
            <w:pPr>
              <w:shd w:val="clear"/>
              <w:tabs>
                <w:tab w:val="left" w:pos="4905"/>
              </w:tabs>
              <w:spacing w:line="400" w:lineRule="exact"/>
              <w:jc w:val="center"/>
              <w:rPr>
                <w:rFonts w:hint="eastAsia" w:ascii="仿宋" w:hAnsi="仿宋" w:eastAsia="仿宋" w:cs="仿宋"/>
                <w:color w:val="auto"/>
                <w:sz w:val="24"/>
                <w:highlight w:val="none"/>
              </w:rPr>
            </w:pPr>
          </w:p>
        </w:tc>
        <w:tc>
          <w:tcPr>
            <w:tcW w:w="3274" w:type="dxa"/>
            <w:tcBorders>
              <w:top w:val="single" w:color="auto" w:sz="4" w:space="0"/>
              <w:left w:val="single" w:color="auto" w:sz="4" w:space="0"/>
              <w:bottom w:val="single" w:color="auto" w:sz="4" w:space="0"/>
              <w:right w:val="single" w:color="auto" w:sz="4" w:space="0"/>
            </w:tcBorders>
            <w:vAlign w:val="center"/>
          </w:tcPr>
          <w:p w14:paraId="0BE26A57">
            <w:pPr>
              <w:shd w:val="clear"/>
              <w:tabs>
                <w:tab w:val="left" w:pos="4905"/>
              </w:tabs>
              <w:spacing w:line="400" w:lineRule="exact"/>
              <w:rPr>
                <w:rFonts w:hint="eastAsia" w:ascii="仿宋" w:hAnsi="仿宋" w:eastAsia="仿宋" w:cs="仿宋"/>
                <w:color w:val="auto"/>
                <w:sz w:val="24"/>
                <w:highlight w:val="none"/>
              </w:rPr>
            </w:pPr>
          </w:p>
        </w:tc>
        <w:tc>
          <w:tcPr>
            <w:tcW w:w="2388" w:type="dxa"/>
            <w:tcBorders>
              <w:top w:val="single" w:color="auto" w:sz="4" w:space="0"/>
              <w:left w:val="single" w:color="auto" w:sz="4" w:space="0"/>
              <w:bottom w:val="single" w:color="auto" w:sz="4" w:space="0"/>
              <w:right w:val="single" w:color="auto" w:sz="4" w:space="0"/>
            </w:tcBorders>
            <w:vAlign w:val="center"/>
          </w:tcPr>
          <w:p w14:paraId="440A7066">
            <w:pPr>
              <w:shd w:val="clear"/>
              <w:tabs>
                <w:tab w:val="left" w:pos="4905"/>
              </w:tabs>
              <w:spacing w:line="400" w:lineRule="exact"/>
              <w:rPr>
                <w:rFonts w:hint="eastAsia" w:ascii="仿宋" w:hAnsi="仿宋" w:eastAsia="仿宋" w:cs="仿宋"/>
                <w:color w:val="auto"/>
                <w:sz w:val="24"/>
                <w:highlight w:val="none"/>
              </w:rPr>
            </w:pPr>
          </w:p>
        </w:tc>
        <w:tc>
          <w:tcPr>
            <w:tcW w:w="2413" w:type="dxa"/>
            <w:tcBorders>
              <w:top w:val="single" w:color="auto" w:sz="4" w:space="0"/>
              <w:left w:val="single" w:color="auto" w:sz="4" w:space="0"/>
              <w:bottom w:val="single" w:color="auto" w:sz="4" w:space="0"/>
              <w:right w:val="single" w:color="auto" w:sz="4" w:space="0"/>
            </w:tcBorders>
            <w:vAlign w:val="center"/>
          </w:tcPr>
          <w:p w14:paraId="11DB1CE5">
            <w:pPr>
              <w:shd w:val="clear"/>
              <w:tabs>
                <w:tab w:val="left" w:pos="4905"/>
              </w:tabs>
              <w:spacing w:line="400" w:lineRule="exact"/>
              <w:jc w:val="center"/>
              <w:rPr>
                <w:rFonts w:hint="eastAsia" w:ascii="仿宋" w:hAnsi="仿宋" w:eastAsia="仿宋" w:cs="仿宋"/>
                <w:color w:val="auto"/>
                <w:sz w:val="24"/>
                <w:highlight w:val="none"/>
              </w:rPr>
            </w:pPr>
          </w:p>
        </w:tc>
      </w:tr>
    </w:tbl>
    <w:p w14:paraId="2F5CB36F">
      <w:pPr>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投标人保证：除技术偏离表列出的偏离外，投标人响应招标文件的全部要求。</w:t>
      </w:r>
    </w:p>
    <w:p w14:paraId="618D59A7">
      <w:pPr>
        <w:shd w:val="clear"/>
        <w:snapToGrid w:val="0"/>
        <w:spacing w:before="50" w:after="50" w:line="600" w:lineRule="exact"/>
        <w:ind w:firstLine="4320" w:firstLineChars="18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 xml:space="preserve">                 </w:t>
      </w:r>
    </w:p>
    <w:p w14:paraId="0CD06CDE">
      <w:pPr>
        <w:shd w:val="clear"/>
        <w:snapToGrid w:val="0"/>
        <w:spacing w:before="50" w:after="50" w:line="600" w:lineRule="exact"/>
        <w:ind w:firstLine="5760" w:firstLineChars="24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kern w:val="0"/>
          <w:sz w:val="24"/>
          <w:highlight w:val="none"/>
          <w:lang w:val="zh-CN"/>
        </w:rPr>
        <w:t>电子签名</w:t>
      </w:r>
      <w:r>
        <w:rPr>
          <w:rFonts w:hint="eastAsia" w:ascii="仿宋" w:hAnsi="仿宋" w:eastAsia="仿宋" w:cs="仿宋"/>
          <w:color w:val="auto"/>
          <w:kern w:val="0"/>
          <w:sz w:val="24"/>
          <w:highlight w:val="none"/>
        </w:rPr>
        <w:t xml:space="preserve">）：                       </w:t>
      </w:r>
    </w:p>
    <w:p w14:paraId="12AADB6B">
      <w:pPr>
        <w:shd w:val="clear"/>
        <w:snapToGrid w:val="0"/>
        <w:spacing w:before="50" w:after="50" w:line="600" w:lineRule="exact"/>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                                                         日期：  年  月   日</w:t>
      </w:r>
    </w:p>
    <w:p w14:paraId="04A195D7">
      <w:pPr>
        <w:shd w:val="clea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注：此表仅提供了表格形式，供应商可按此表格格式进行扩展。</w:t>
      </w:r>
    </w:p>
    <w:p w14:paraId="6BFC70F1">
      <w:pPr>
        <w:pStyle w:val="32"/>
        <w:shd w:val="clear"/>
        <w:jc w:val="center"/>
        <w:rPr>
          <w:rFonts w:hint="eastAsia" w:ascii="仿宋" w:hAnsi="仿宋" w:eastAsia="仿宋" w:cs="仿宋"/>
          <w:b/>
          <w:bCs/>
          <w:color w:val="auto"/>
          <w:highlight w:val="none"/>
        </w:rPr>
      </w:pPr>
    </w:p>
    <w:p w14:paraId="38160373">
      <w:pPr>
        <w:shd w:val="clear"/>
        <w:spacing w:line="360" w:lineRule="auto"/>
        <w:rPr>
          <w:rFonts w:hint="eastAsia" w:ascii="仿宋_GB2312" w:hAnsi="仿宋_GB2312" w:eastAsia="仿宋_GB2312" w:cs="仿宋_GB2312"/>
          <w:b/>
          <w:color w:val="auto"/>
          <w:sz w:val="32"/>
          <w:szCs w:val="32"/>
          <w:highlight w:val="none"/>
        </w:rPr>
      </w:pPr>
    </w:p>
    <w:p w14:paraId="7B86AEBE">
      <w:pPr>
        <w:shd w:val="clear"/>
        <w:spacing w:line="360" w:lineRule="auto"/>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color w:val="auto"/>
          <w:sz w:val="32"/>
          <w:szCs w:val="32"/>
          <w:highlight w:val="none"/>
        </w:rPr>
        <w:t>十一、</w:t>
      </w:r>
      <w:r>
        <w:rPr>
          <w:rFonts w:hint="eastAsia" w:ascii="仿宋_GB2312" w:hAnsi="仿宋_GB2312" w:eastAsia="仿宋_GB2312" w:cs="仿宋_GB2312"/>
          <w:b/>
          <w:color w:val="auto"/>
          <w:kern w:val="0"/>
          <w:sz w:val="32"/>
          <w:szCs w:val="32"/>
          <w:highlight w:val="none"/>
          <w:lang w:val="zh-CN"/>
        </w:rPr>
        <w:t>主要业绩证明</w:t>
      </w:r>
    </w:p>
    <w:p w14:paraId="088F0DA2">
      <w:pPr>
        <w:shd w:val="clear"/>
        <w:autoSpaceDE w:val="0"/>
        <w:autoSpaceDN w:val="0"/>
        <w:spacing w:line="360" w:lineRule="auto"/>
        <w:ind w:firstLine="12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附表 :项目业绩表</w:t>
      </w:r>
    </w:p>
    <w:tbl>
      <w:tblPr>
        <w:tblStyle w:val="25"/>
        <w:tblW w:w="9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32"/>
        <w:gridCol w:w="1390"/>
        <w:gridCol w:w="966"/>
        <w:gridCol w:w="1242"/>
        <w:gridCol w:w="1229"/>
        <w:gridCol w:w="1428"/>
        <w:gridCol w:w="1248"/>
      </w:tblGrid>
      <w:tr w14:paraId="3064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136DAC10">
            <w:pPr>
              <w:shd w:val="clea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232" w:type="dxa"/>
            <w:vAlign w:val="center"/>
          </w:tcPr>
          <w:p w14:paraId="529D8E27">
            <w:pPr>
              <w:shd w:val="clea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合同时间</w:t>
            </w:r>
          </w:p>
        </w:tc>
        <w:tc>
          <w:tcPr>
            <w:tcW w:w="1390" w:type="dxa"/>
            <w:vAlign w:val="center"/>
          </w:tcPr>
          <w:p w14:paraId="0E5E9BC7">
            <w:pPr>
              <w:shd w:val="clea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项目名称 </w:t>
            </w:r>
          </w:p>
        </w:tc>
        <w:tc>
          <w:tcPr>
            <w:tcW w:w="966" w:type="dxa"/>
            <w:vAlign w:val="center"/>
          </w:tcPr>
          <w:p w14:paraId="250B9938">
            <w:pPr>
              <w:shd w:val="clea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金额</w:t>
            </w:r>
          </w:p>
        </w:tc>
        <w:tc>
          <w:tcPr>
            <w:tcW w:w="1242" w:type="dxa"/>
            <w:vAlign w:val="center"/>
          </w:tcPr>
          <w:p w14:paraId="7B6738CF">
            <w:pPr>
              <w:shd w:val="clea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实施情况</w:t>
            </w:r>
          </w:p>
        </w:tc>
        <w:tc>
          <w:tcPr>
            <w:tcW w:w="1229" w:type="dxa"/>
            <w:vAlign w:val="center"/>
          </w:tcPr>
          <w:p w14:paraId="63D1FF33">
            <w:pPr>
              <w:shd w:val="clea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采购方单位名称</w:t>
            </w:r>
          </w:p>
        </w:tc>
        <w:tc>
          <w:tcPr>
            <w:tcW w:w="1428" w:type="dxa"/>
            <w:vAlign w:val="center"/>
          </w:tcPr>
          <w:p w14:paraId="584FD4AA">
            <w:pPr>
              <w:shd w:val="clea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联系人姓名</w:t>
            </w:r>
          </w:p>
          <w:p w14:paraId="49C432CB">
            <w:pPr>
              <w:shd w:val="clea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联系方式</w:t>
            </w:r>
          </w:p>
        </w:tc>
        <w:tc>
          <w:tcPr>
            <w:tcW w:w="1248" w:type="dxa"/>
            <w:vAlign w:val="center"/>
          </w:tcPr>
          <w:p w14:paraId="60F43CA1">
            <w:pPr>
              <w:shd w:val="clea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所在页码</w:t>
            </w:r>
          </w:p>
        </w:tc>
      </w:tr>
      <w:tr w14:paraId="59C6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14:paraId="289E7558">
            <w:pPr>
              <w:shd w:val="clear"/>
              <w:jc w:val="center"/>
              <w:rPr>
                <w:rFonts w:hint="eastAsia" w:ascii="仿宋" w:hAnsi="仿宋" w:eastAsia="仿宋" w:cs="仿宋"/>
                <w:color w:val="auto"/>
                <w:sz w:val="24"/>
                <w:highlight w:val="none"/>
              </w:rPr>
            </w:pPr>
          </w:p>
        </w:tc>
        <w:tc>
          <w:tcPr>
            <w:tcW w:w="1232" w:type="dxa"/>
          </w:tcPr>
          <w:p w14:paraId="69FCFE26">
            <w:pPr>
              <w:shd w:val="clear"/>
              <w:jc w:val="center"/>
              <w:rPr>
                <w:rFonts w:hint="eastAsia" w:ascii="仿宋" w:hAnsi="仿宋" w:eastAsia="仿宋" w:cs="仿宋"/>
                <w:color w:val="auto"/>
                <w:sz w:val="24"/>
                <w:highlight w:val="none"/>
              </w:rPr>
            </w:pPr>
          </w:p>
        </w:tc>
        <w:tc>
          <w:tcPr>
            <w:tcW w:w="1390" w:type="dxa"/>
            <w:vAlign w:val="center"/>
          </w:tcPr>
          <w:p w14:paraId="240F7EB4">
            <w:pPr>
              <w:shd w:val="clear"/>
              <w:jc w:val="center"/>
              <w:rPr>
                <w:rFonts w:hint="eastAsia" w:ascii="仿宋" w:hAnsi="仿宋" w:eastAsia="仿宋" w:cs="仿宋"/>
                <w:color w:val="auto"/>
                <w:sz w:val="24"/>
                <w:highlight w:val="none"/>
              </w:rPr>
            </w:pPr>
          </w:p>
        </w:tc>
        <w:tc>
          <w:tcPr>
            <w:tcW w:w="966" w:type="dxa"/>
            <w:vAlign w:val="center"/>
          </w:tcPr>
          <w:p w14:paraId="0DFA02F6">
            <w:pPr>
              <w:shd w:val="clear"/>
              <w:jc w:val="center"/>
              <w:rPr>
                <w:rFonts w:hint="eastAsia" w:ascii="仿宋" w:hAnsi="仿宋" w:eastAsia="仿宋" w:cs="仿宋"/>
                <w:color w:val="auto"/>
                <w:sz w:val="24"/>
                <w:highlight w:val="none"/>
              </w:rPr>
            </w:pPr>
          </w:p>
        </w:tc>
        <w:tc>
          <w:tcPr>
            <w:tcW w:w="1242" w:type="dxa"/>
            <w:vAlign w:val="center"/>
          </w:tcPr>
          <w:p w14:paraId="3BA8F709">
            <w:pPr>
              <w:shd w:val="clear"/>
              <w:jc w:val="center"/>
              <w:rPr>
                <w:rFonts w:hint="eastAsia" w:ascii="仿宋" w:hAnsi="仿宋" w:eastAsia="仿宋" w:cs="仿宋"/>
                <w:color w:val="auto"/>
                <w:sz w:val="24"/>
                <w:highlight w:val="none"/>
              </w:rPr>
            </w:pPr>
          </w:p>
        </w:tc>
        <w:tc>
          <w:tcPr>
            <w:tcW w:w="1229" w:type="dxa"/>
            <w:vAlign w:val="center"/>
          </w:tcPr>
          <w:p w14:paraId="57FB2EB6">
            <w:pPr>
              <w:shd w:val="clear"/>
              <w:jc w:val="center"/>
              <w:rPr>
                <w:rFonts w:hint="eastAsia" w:ascii="仿宋" w:hAnsi="仿宋" w:eastAsia="仿宋" w:cs="仿宋"/>
                <w:color w:val="auto"/>
                <w:sz w:val="24"/>
                <w:highlight w:val="none"/>
              </w:rPr>
            </w:pPr>
          </w:p>
        </w:tc>
        <w:tc>
          <w:tcPr>
            <w:tcW w:w="1428" w:type="dxa"/>
            <w:vAlign w:val="center"/>
          </w:tcPr>
          <w:p w14:paraId="564D6205">
            <w:pPr>
              <w:shd w:val="clear"/>
              <w:jc w:val="center"/>
              <w:rPr>
                <w:rFonts w:hint="eastAsia" w:ascii="仿宋" w:hAnsi="仿宋" w:eastAsia="仿宋" w:cs="仿宋"/>
                <w:color w:val="auto"/>
                <w:sz w:val="24"/>
                <w:highlight w:val="none"/>
              </w:rPr>
            </w:pPr>
          </w:p>
        </w:tc>
        <w:tc>
          <w:tcPr>
            <w:tcW w:w="1248" w:type="dxa"/>
            <w:vAlign w:val="center"/>
          </w:tcPr>
          <w:p w14:paraId="363A513A">
            <w:pPr>
              <w:shd w:val="clear"/>
              <w:jc w:val="center"/>
              <w:rPr>
                <w:rFonts w:hint="eastAsia" w:ascii="仿宋" w:hAnsi="仿宋" w:eastAsia="仿宋" w:cs="仿宋"/>
                <w:color w:val="auto"/>
                <w:sz w:val="24"/>
                <w:highlight w:val="none"/>
              </w:rPr>
            </w:pPr>
          </w:p>
        </w:tc>
      </w:tr>
      <w:tr w14:paraId="7F7C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14:paraId="265E5F9E">
            <w:pPr>
              <w:shd w:val="clear"/>
              <w:jc w:val="center"/>
              <w:rPr>
                <w:rFonts w:hint="eastAsia" w:ascii="仿宋" w:hAnsi="仿宋" w:eastAsia="仿宋" w:cs="仿宋"/>
                <w:color w:val="auto"/>
                <w:sz w:val="24"/>
                <w:highlight w:val="none"/>
              </w:rPr>
            </w:pPr>
          </w:p>
        </w:tc>
        <w:tc>
          <w:tcPr>
            <w:tcW w:w="1232" w:type="dxa"/>
          </w:tcPr>
          <w:p w14:paraId="670CBA24">
            <w:pPr>
              <w:shd w:val="clear"/>
              <w:jc w:val="center"/>
              <w:rPr>
                <w:rFonts w:hint="eastAsia" w:ascii="仿宋" w:hAnsi="仿宋" w:eastAsia="仿宋" w:cs="仿宋"/>
                <w:color w:val="auto"/>
                <w:sz w:val="24"/>
                <w:highlight w:val="none"/>
              </w:rPr>
            </w:pPr>
          </w:p>
        </w:tc>
        <w:tc>
          <w:tcPr>
            <w:tcW w:w="1390" w:type="dxa"/>
            <w:vAlign w:val="center"/>
          </w:tcPr>
          <w:p w14:paraId="476D7967">
            <w:pPr>
              <w:shd w:val="clear"/>
              <w:jc w:val="center"/>
              <w:rPr>
                <w:rFonts w:hint="eastAsia" w:ascii="仿宋" w:hAnsi="仿宋" w:eastAsia="仿宋" w:cs="仿宋"/>
                <w:color w:val="auto"/>
                <w:sz w:val="24"/>
                <w:highlight w:val="none"/>
              </w:rPr>
            </w:pPr>
          </w:p>
        </w:tc>
        <w:tc>
          <w:tcPr>
            <w:tcW w:w="966" w:type="dxa"/>
            <w:vAlign w:val="center"/>
          </w:tcPr>
          <w:p w14:paraId="21CB924D">
            <w:pPr>
              <w:shd w:val="clear"/>
              <w:jc w:val="center"/>
              <w:rPr>
                <w:rFonts w:hint="eastAsia" w:ascii="仿宋" w:hAnsi="仿宋" w:eastAsia="仿宋" w:cs="仿宋"/>
                <w:color w:val="auto"/>
                <w:sz w:val="24"/>
                <w:highlight w:val="none"/>
              </w:rPr>
            </w:pPr>
          </w:p>
        </w:tc>
        <w:tc>
          <w:tcPr>
            <w:tcW w:w="1242" w:type="dxa"/>
            <w:vAlign w:val="center"/>
          </w:tcPr>
          <w:p w14:paraId="3093DBB0">
            <w:pPr>
              <w:shd w:val="clear"/>
              <w:jc w:val="center"/>
              <w:rPr>
                <w:rFonts w:hint="eastAsia" w:ascii="仿宋" w:hAnsi="仿宋" w:eastAsia="仿宋" w:cs="仿宋"/>
                <w:color w:val="auto"/>
                <w:sz w:val="24"/>
                <w:highlight w:val="none"/>
              </w:rPr>
            </w:pPr>
          </w:p>
        </w:tc>
        <w:tc>
          <w:tcPr>
            <w:tcW w:w="1229" w:type="dxa"/>
            <w:vAlign w:val="center"/>
          </w:tcPr>
          <w:p w14:paraId="625FD2F1">
            <w:pPr>
              <w:shd w:val="clear"/>
              <w:jc w:val="center"/>
              <w:rPr>
                <w:rFonts w:hint="eastAsia" w:ascii="仿宋" w:hAnsi="仿宋" w:eastAsia="仿宋" w:cs="仿宋"/>
                <w:color w:val="auto"/>
                <w:sz w:val="24"/>
                <w:highlight w:val="none"/>
              </w:rPr>
            </w:pPr>
          </w:p>
        </w:tc>
        <w:tc>
          <w:tcPr>
            <w:tcW w:w="1428" w:type="dxa"/>
            <w:vAlign w:val="center"/>
          </w:tcPr>
          <w:p w14:paraId="12928A96">
            <w:pPr>
              <w:shd w:val="clear"/>
              <w:jc w:val="center"/>
              <w:rPr>
                <w:rFonts w:hint="eastAsia" w:ascii="仿宋" w:hAnsi="仿宋" w:eastAsia="仿宋" w:cs="仿宋"/>
                <w:color w:val="auto"/>
                <w:sz w:val="24"/>
                <w:highlight w:val="none"/>
              </w:rPr>
            </w:pPr>
          </w:p>
        </w:tc>
        <w:tc>
          <w:tcPr>
            <w:tcW w:w="1248" w:type="dxa"/>
            <w:vAlign w:val="center"/>
          </w:tcPr>
          <w:p w14:paraId="07A3EBCD">
            <w:pPr>
              <w:shd w:val="clear"/>
              <w:jc w:val="center"/>
              <w:rPr>
                <w:rFonts w:hint="eastAsia" w:ascii="仿宋" w:hAnsi="仿宋" w:eastAsia="仿宋" w:cs="仿宋"/>
                <w:color w:val="auto"/>
                <w:sz w:val="24"/>
                <w:highlight w:val="none"/>
              </w:rPr>
            </w:pPr>
          </w:p>
        </w:tc>
      </w:tr>
      <w:tr w14:paraId="1D65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14:paraId="5E80E647">
            <w:pPr>
              <w:shd w:val="clear"/>
              <w:jc w:val="center"/>
              <w:rPr>
                <w:rFonts w:hint="eastAsia" w:ascii="仿宋" w:hAnsi="仿宋" w:eastAsia="仿宋" w:cs="仿宋"/>
                <w:color w:val="auto"/>
                <w:sz w:val="24"/>
                <w:highlight w:val="none"/>
              </w:rPr>
            </w:pPr>
          </w:p>
        </w:tc>
        <w:tc>
          <w:tcPr>
            <w:tcW w:w="1232" w:type="dxa"/>
          </w:tcPr>
          <w:p w14:paraId="25ADA09C">
            <w:pPr>
              <w:shd w:val="clear"/>
              <w:jc w:val="center"/>
              <w:rPr>
                <w:rFonts w:hint="eastAsia" w:ascii="仿宋" w:hAnsi="仿宋" w:eastAsia="仿宋" w:cs="仿宋"/>
                <w:color w:val="auto"/>
                <w:sz w:val="24"/>
                <w:highlight w:val="none"/>
              </w:rPr>
            </w:pPr>
          </w:p>
        </w:tc>
        <w:tc>
          <w:tcPr>
            <w:tcW w:w="1390" w:type="dxa"/>
            <w:vAlign w:val="center"/>
          </w:tcPr>
          <w:p w14:paraId="10909D1E">
            <w:pPr>
              <w:shd w:val="clear"/>
              <w:jc w:val="center"/>
              <w:rPr>
                <w:rFonts w:hint="eastAsia" w:ascii="仿宋" w:hAnsi="仿宋" w:eastAsia="仿宋" w:cs="仿宋"/>
                <w:color w:val="auto"/>
                <w:sz w:val="24"/>
                <w:highlight w:val="none"/>
              </w:rPr>
            </w:pPr>
          </w:p>
        </w:tc>
        <w:tc>
          <w:tcPr>
            <w:tcW w:w="966" w:type="dxa"/>
            <w:vAlign w:val="center"/>
          </w:tcPr>
          <w:p w14:paraId="13DD52C3">
            <w:pPr>
              <w:shd w:val="clear"/>
              <w:jc w:val="center"/>
              <w:rPr>
                <w:rFonts w:hint="eastAsia" w:ascii="仿宋" w:hAnsi="仿宋" w:eastAsia="仿宋" w:cs="仿宋"/>
                <w:color w:val="auto"/>
                <w:sz w:val="24"/>
                <w:highlight w:val="none"/>
              </w:rPr>
            </w:pPr>
          </w:p>
        </w:tc>
        <w:tc>
          <w:tcPr>
            <w:tcW w:w="1242" w:type="dxa"/>
            <w:vAlign w:val="center"/>
          </w:tcPr>
          <w:p w14:paraId="7493771F">
            <w:pPr>
              <w:shd w:val="clear"/>
              <w:jc w:val="center"/>
              <w:rPr>
                <w:rFonts w:hint="eastAsia" w:ascii="仿宋" w:hAnsi="仿宋" w:eastAsia="仿宋" w:cs="仿宋"/>
                <w:color w:val="auto"/>
                <w:sz w:val="24"/>
                <w:highlight w:val="none"/>
              </w:rPr>
            </w:pPr>
          </w:p>
        </w:tc>
        <w:tc>
          <w:tcPr>
            <w:tcW w:w="1229" w:type="dxa"/>
            <w:vAlign w:val="center"/>
          </w:tcPr>
          <w:p w14:paraId="239E836B">
            <w:pPr>
              <w:shd w:val="clear"/>
              <w:jc w:val="center"/>
              <w:rPr>
                <w:rFonts w:hint="eastAsia" w:ascii="仿宋" w:hAnsi="仿宋" w:eastAsia="仿宋" w:cs="仿宋"/>
                <w:color w:val="auto"/>
                <w:sz w:val="24"/>
                <w:highlight w:val="none"/>
              </w:rPr>
            </w:pPr>
          </w:p>
        </w:tc>
        <w:tc>
          <w:tcPr>
            <w:tcW w:w="1428" w:type="dxa"/>
            <w:vAlign w:val="center"/>
          </w:tcPr>
          <w:p w14:paraId="303F6462">
            <w:pPr>
              <w:shd w:val="clear"/>
              <w:jc w:val="center"/>
              <w:rPr>
                <w:rFonts w:hint="eastAsia" w:ascii="仿宋" w:hAnsi="仿宋" w:eastAsia="仿宋" w:cs="仿宋"/>
                <w:color w:val="auto"/>
                <w:sz w:val="24"/>
                <w:highlight w:val="none"/>
              </w:rPr>
            </w:pPr>
          </w:p>
        </w:tc>
        <w:tc>
          <w:tcPr>
            <w:tcW w:w="1248" w:type="dxa"/>
            <w:vAlign w:val="center"/>
          </w:tcPr>
          <w:p w14:paraId="78A9CAE3">
            <w:pPr>
              <w:shd w:val="clear"/>
              <w:jc w:val="center"/>
              <w:rPr>
                <w:rFonts w:hint="eastAsia" w:ascii="仿宋" w:hAnsi="仿宋" w:eastAsia="仿宋" w:cs="仿宋"/>
                <w:color w:val="auto"/>
                <w:sz w:val="24"/>
                <w:highlight w:val="none"/>
              </w:rPr>
            </w:pPr>
          </w:p>
        </w:tc>
      </w:tr>
      <w:tr w14:paraId="7771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14:paraId="107BAD02">
            <w:pPr>
              <w:shd w:val="clear"/>
              <w:jc w:val="center"/>
              <w:rPr>
                <w:rFonts w:hint="eastAsia" w:ascii="仿宋" w:hAnsi="仿宋" w:eastAsia="仿宋" w:cs="仿宋"/>
                <w:color w:val="auto"/>
                <w:sz w:val="24"/>
                <w:highlight w:val="none"/>
              </w:rPr>
            </w:pPr>
          </w:p>
        </w:tc>
        <w:tc>
          <w:tcPr>
            <w:tcW w:w="1232" w:type="dxa"/>
          </w:tcPr>
          <w:p w14:paraId="189FF97F">
            <w:pPr>
              <w:shd w:val="clear"/>
              <w:jc w:val="center"/>
              <w:rPr>
                <w:rFonts w:hint="eastAsia" w:ascii="仿宋" w:hAnsi="仿宋" w:eastAsia="仿宋" w:cs="仿宋"/>
                <w:color w:val="auto"/>
                <w:sz w:val="24"/>
                <w:highlight w:val="none"/>
              </w:rPr>
            </w:pPr>
          </w:p>
        </w:tc>
        <w:tc>
          <w:tcPr>
            <w:tcW w:w="1390" w:type="dxa"/>
            <w:vAlign w:val="center"/>
          </w:tcPr>
          <w:p w14:paraId="5DBDE1DC">
            <w:pPr>
              <w:shd w:val="clear"/>
              <w:jc w:val="center"/>
              <w:rPr>
                <w:rFonts w:hint="eastAsia" w:ascii="仿宋" w:hAnsi="仿宋" w:eastAsia="仿宋" w:cs="仿宋"/>
                <w:color w:val="auto"/>
                <w:sz w:val="24"/>
                <w:highlight w:val="none"/>
              </w:rPr>
            </w:pPr>
          </w:p>
        </w:tc>
        <w:tc>
          <w:tcPr>
            <w:tcW w:w="966" w:type="dxa"/>
            <w:vAlign w:val="center"/>
          </w:tcPr>
          <w:p w14:paraId="3D9745B9">
            <w:pPr>
              <w:shd w:val="clear"/>
              <w:jc w:val="center"/>
              <w:rPr>
                <w:rFonts w:hint="eastAsia" w:ascii="仿宋" w:hAnsi="仿宋" w:eastAsia="仿宋" w:cs="仿宋"/>
                <w:color w:val="auto"/>
                <w:sz w:val="24"/>
                <w:highlight w:val="none"/>
              </w:rPr>
            </w:pPr>
          </w:p>
        </w:tc>
        <w:tc>
          <w:tcPr>
            <w:tcW w:w="1242" w:type="dxa"/>
            <w:vAlign w:val="center"/>
          </w:tcPr>
          <w:p w14:paraId="040EE095">
            <w:pPr>
              <w:shd w:val="clear"/>
              <w:jc w:val="center"/>
              <w:rPr>
                <w:rFonts w:hint="eastAsia" w:ascii="仿宋" w:hAnsi="仿宋" w:eastAsia="仿宋" w:cs="仿宋"/>
                <w:color w:val="auto"/>
                <w:sz w:val="24"/>
                <w:highlight w:val="none"/>
              </w:rPr>
            </w:pPr>
          </w:p>
        </w:tc>
        <w:tc>
          <w:tcPr>
            <w:tcW w:w="1229" w:type="dxa"/>
            <w:vAlign w:val="center"/>
          </w:tcPr>
          <w:p w14:paraId="20911413">
            <w:pPr>
              <w:shd w:val="clear"/>
              <w:jc w:val="center"/>
              <w:rPr>
                <w:rFonts w:hint="eastAsia" w:ascii="仿宋" w:hAnsi="仿宋" w:eastAsia="仿宋" w:cs="仿宋"/>
                <w:color w:val="auto"/>
                <w:sz w:val="24"/>
                <w:highlight w:val="none"/>
              </w:rPr>
            </w:pPr>
          </w:p>
        </w:tc>
        <w:tc>
          <w:tcPr>
            <w:tcW w:w="1428" w:type="dxa"/>
            <w:vAlign w:val="center"/>
          </w:tcPr>
          <w:p w14:paraId="336A86FA">
            <w:pPr>
              <w:shd w:val="clear"/>
              <w:jc w:val="center"/>
              <w:rPr>
                <w:rFonts w:hint="eastAsia" w:ascii="仿宋" w:hAnsi="仿宋" w:eastAsia="仿宋" w:cs="仿宋"/>
                <w:color w:val="auto"/>
                <w:sz w:val="24"/>
                <w:highlight w:val="none"/>
              </w:rPr>
            </w:pPr>
          </w:p>
        </w:tc>
        <w:tc>
          <w:tcPr>
            <w:tcW w:w="1248" w:type="dxa"/>
            <w:vAlign w:val="center"/>
          </w:tcPr>
          <w:p w14:paraId="05722868">
            <w:pPr>
              <w:shd w:val="clear"/>
              <w:jc w:val="center"/>
              <w:rPr>
                <w:rFonts w:hint="eastAsia" w:ascii="仿宋" w:hAnsi="仿宋" w:eastAsia="仿宋" w:cs="仿宋"/>
                <w:color w:val="auto"/>
                <w:sz w:val="24"/>
                <w:highlight w:val="none"/>
              </w:rPr>
            </w:pPr>
          </w:p>
        </w:tc>
      </w:tr>
      <w:tr w14:paraId="657A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14:paraId="6577E260">
            <w:pPr>
              <w:shd w:val="clear"/>
              <w:jc w:val="center"/>
              <w:rPr>
                <w:rFonts w:hint="eastAsia" w:ascii="仿宋" w:hAnsi="仿宋" w:eastAsia="仿宋" w:cs="仿宋"/>
                <w:color w:val="auto"/>
                <w:sz w:val="24"/>
                <w:highlight w:val="none"/>
              </w:rPr>
            </w:pPr>
          </w:p>
        </w:tc>
        <w:tc>
          <w:tcPr>
            <w:tcW w:w="1232" w:type="dxa"/>
          </w:tcPr>
          <w:p w14:paraId="12893CB8">
            <w:pPr>
              <w:shd w:val="clear"/>
              <w:jc w:val="center"/>
              <w:rPr>
                <w:rFonts w:hint="eastAsia" w:ascii="仿宋" w:hAnsi="仿宋" w:eastAsia="仿宋" w:cs="仿宋"/>
                <w:color w:val="auto"/>
                <w:sz w:val="24"/>
                <w:highlight w:val="none"/>
              </w:rPr>
            </w:pPr>
          </w:p>
        </w:tc>
        <w:tc>
          <w:tcPr>
            <w:tcW w:w="1390" w:type="dxa"/>
            <w:vAlign w:val="center"/>
          </w:tcPr>
          <w:p w14:paraId="74A79E32">
            <w:pPr>
              <w:shd w:val="clear"/>
              <w:jc w:val="center"/>
              <w:rPr>
                <w:rFonts w:hint="eastAsia" w:ascii="仿宋" w:hAnsi="仿宋" w:eastAsia="仿宋" w:cs="仿宋"/>
                <w:color w:val="auto"/>
                <w:sz w:val="24"/>
                <w:highlight w:val="none"/>
              </w:rPr>
            </w:pPr>
          </w:p>
        </w:tc>
        <w:tc>
          <w:tcPr>
            <w:tcW w:w="966" w:type="dxa"/>
            <w:vAlign w:val="center"/>
          </w:tcPr>
          <w:p w14:paraId="2EBE095F">
            <w:pPr>
              <w:shd w:val="clear"/>
              <w:jc w:val="center"/>
              <w:rPr>
                <w:rFonts w:hint="eastAsia" w:ascii="仿宋" w:hAnsi="仿宋" w:eastAsia="仿宋" w:cs="仿宋"/>
                <w:color w:val="auto"/>
                <w:sz w:val="24"/>
                <w:highlight w:val="none"/>
              </w:rPr>
            </w:pPr>
          </w:p>
        </w:tc>
        <w:tc>
          <w:tcPr>
            <w:tcW w:w="1242" w:type="dxa"/>
            <w:vAlign w:val="center"/>
          </w:tcPr>
          <w:p w14:paraId="7342BCB0">
            <w:pPr>
              <w:shd w:val="clear"/>
              <w:jc w:val="center"/>
              <w:rPr>
                <w:rFonts w:hint="eastAsia" w:ascii="仿宋" w:hAnsi="仿宋" w:eastAsia="仿宋" w:cs="仿宋"/>
                <w:color w:val="auto"/>
                <w:sz w:val="24"/>
                <w:highlight w:val="none"/>
              </w:rPr>
            </w:pPr>
          </w:p>
        </w:tc>
        <w:tc>
          <w:tcPr>
            <w:tcW w:w="1229" w:type="dxa"/>
            <w:vAlign w:val="center"/>
          </w:tcPr>
          <w:p w14:paraId="3690BDCF">
            <w:pPr>
              <w:shd w:val="clear"/>
              <w:jc w:val="center"/>
              <w:rPr>
                <w:rFonts w:hint="eastAsia" w:ascii="仿宋" w:hAnsi="仿宋" w:eastAsia="仿宋" w:cs="仿宋"/>
                <w:color w:val="auto"/>
                <w:sz w:val="24"/>
                <w:highlight w:val="none"/>
              </w:rPr>
            </w:pPr>
          </w:p>
        </w:tc>
        <w:tc>
          <w:tcPr>
            <w:tcW w:w="1428" w:type="dxa"/>
            <w:vAlign w:val="center"/>
          </w:tcPr>
          <w:p w14:paraId="2AE8C9BE">
            <w:pPr>
              <w:shd w:val="clear"/>
              <w:jc w:val="center"/>
              <w:rPr>
                <w:rFonts w:hint="eastAsia" w:ascii="仿宋" w:hAnsi="仿宋" w:eastAsia="仿宋" w:cs="仿宋"/>
                <w:color w:val="auto"/>
                <w:sz w:val="24"/>
                <w:highlight w:val="none"/>
              </w:rPr>
            </w:pPr>
          </w:p>
        </w:tc>
        <w:tc>
          <w:tcPr>
            <w:tcW w:w="1248" w:type="dxa"/>
            <w:vAlign w:val="center"/>
          </w:tcPr>
          <w:p w14:paraId="0E105C61">
            <w:pPr>
              <w:shd w:val="clear"/>
              <w:jc w:val="center"/>
              <w:rPr>
                <w:rFonts w:hint="eastAsia" w:ascii="仿宋" w:hAnsi="仿宋" w:eastAsia="仿宋" w:cs="仿宋"/>
                <w:color w:val="auto"/>
                <w:sz w:val="24"/>
                <w:highlight w:val="none"/>
              </w:rPr>
            </w:pPr>
          </w:p>
        </w:tc>
      </w:tr>
      <w:tr w14:paraId="180C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14:paraId="6ED44852">
            <w:pPr>
              <w:shd w:val="clear"/>
              <w:jc w:val="center"/>
              <w:rPr>
                <w:rFonts w:hint="eastAsia" w:ascii="仿宋" w:hAnsi="仿宋" w:eastAsia="仿宋" w:cs="仿宋"/>
                <w:color w:val="auto"/>
                <w:sz w:val="24"/>
                <w:highlight w:val="none"/>
              </w:rPr>
            </w:pPr>
          </w:p>
        </w:tc>
        <w:tc>
          <w:tcPr>
            <w:tcW w:w="1232" w:type="dxa"/>
          </w:tcPr>
          <w:p w14:paraId="792BC32E">
            <w:pPr>
              <w:shd w:val="clear"/>
              <w:jc w:val="center"/>
              <w:rPr>
                <w:rFonts w:hint="eastAsia" w:ascii="仿宋" w:hAnsi="仿宋" w:eastAsia="仿宋" w:cs="仿宋"/>
                <w:color w:val="auto"/>
                <w:sz w:val="24"/>
                <w:highlight w:val="none"/>
              </w:rPr>
            </w:pPr>
          </w:p>
        </w:tc>
        <w:tc>
          <w:tcPr>
            <w:tcW w:w="1390" w:type="dxa"/>
            <w:vAlign w:val="center"/>
          </w:tcPr>
          <w:p w14:paraId="56253DE5">
            <w:pPr>
              <w:shd w:val="clear"/>
              <w:jc w:val="center"/>
              <w:rPr>
                <w:rFonts w:hint="eastAsia" w:ascii="仿宋" w:hAnsi="仿宋" w:eastAsia="仿宋" w:cs="仿宋"/>
                <w:color w:val="auto"/>
                <w:sz w:val="24"/>
                <w:highlight w:val="none"/>
              </w:rPr>
            </w:pPr>
          </w:p>
        </w:tc>
        <w:tc>
          <w:tcPr>
            <w:tcW w:w="966" w:type="dxa"/>
            <w:vAlign w:val="center"/>
          </w:tcPr>
          <w:p w14:paraId="128FC2E3">
            <w:pPr>
              <w:shd w:val="clear"/>
              <w:jc w:val="center"/>
              <w:rPr>
                <w:rFonts w:hint="eastAsia" w:ascii="仿宋" w:hAnsi="仿宋" w:eastAsia="仿宋" w:cs="仿宋"/>
                <w:color w:val="auto"/>
                <w:sz w:val="24"/>
                <w:highlight w:val="none"/>
              </w:rPr>
            </w:pPr>
          </w:p>
        </w:tc>
        <w:tc>
          <w:tcPr>
            <w:tcW w:w="1242" w:type="dxa"/>
            <w:vAlign w:val="center"/>
          </w:tcPr>
          <w:p w14:paraId="2322A29F">
            <w:pPr>
              <w:shd w:val="clear"/>
              <w:jc w:val="center"/>
              <w:rPr>
                <w:rFonts w:hint="eastAsia" w:ascii="仿宋" w:hAnsi="仿宋" w:eastAsia="仿宋" w:cs="仿宋"/>
                <w:color w:val="auto"/>
                <w:sz w:val="24"/>
                <w:highlight w:val="none"/>
              </w:rPr>
            </w:pPr>
          </w:p>
        </w:tc>
        <w:tc>
          <w:tcPr>
            <w:tcW w:w="1229" w:type="dxa"/>
            <w:vAlign w:val="center"/>
          </w:tcPr>
          <w:p w14:paraId="6218B5DA">
            <w:pPr>
              <w:shd w:val="clear"/>
              <w:jc w:val="center"/>
              <w:rPr>
                <w:rFonts w:hint="eastAsia" w:ascii="仿宋" w:hAnsi="仿宋" w:eastAsia="仿宋" w:cs="仿宋"/>
                <w:color w:val="auto"/>
                <w:sz w:val="24"/>
                <w:highlight w:val="none"/>
              </w:rPr>
            </w:pPr>
          </w:p>
        </w:tc>
        <w:tc>
          <w:tcPr>
            <w:tcW w:w="1428" w:type="dxa"/>
            <w:vAlign w:val="center"/>
          </w:tcPr>
          <w:p w14:paraId="188B6A8D">
            <w:pPr>
              <w:shd w:val="clear"/>
              <w:jc w:val="center"/>
              <w:rPr>
                <w:rFonts w:hint="eastAsia" w:ascii="仿宋" w:hAnsi="仿宋" w:eastAsia="仿宋" w:cs="仿宋"/>
                <w:color w:val="auto"/>
                <w:sz w:val="24"/>
                <w:highlight w:val="none"/>
              </w:rPr>
            </w:pPr>
          </w:p>
        </w:tc>
        <w:tc>
          <w:tcPr>
            <w:tcW w:w="1248" w:type="dxa"/>
            <w:vAlign w:val="center"/>
          </w:tcPr>
          <w:p w14:paraId="5EDE1539">
            <w:pPr>
              <w:shd w:val="clear"/>
              <w:jc w:val="center"/>
              <w:rPr>
                <w:rFonts w:hint="eastAsia" w:ascii="仿宋" w:hAnsi="仿宋" w:eastAsia="仿宋" w:cs="仿宋"/>
                <w:color w:val="auto"/>
                <w:sz w:val="24"/>
                <w:highlight w:val="none"/>
              </w:rPr>
            </w:pPr>
          </w:p>
        </w:tc>
      </w:tr>
      <w:tr w14:paraId="225F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14:paraId="695AF4CF">
            <w:pPr>
              <w:shd w:val="clear"/>
              <w:jc w:val="center"/>
              <w:rPr>
                <w:rFonts w:hint="eastAsia" w:ascii="仿宋" w:hAnsi="仿宋" w:eastAsia="仿宋" w:cs="仿宋"/>
                <w:color w:val="auto"/>
                <w:sz w:val="24"/>
                <w:highlight w:val="none"/>
              </w:rPr>
            </w:pPr>
          </w:p>
        </w:tc>
        <w:tc>
          <w:tcPr>
            <w:tcW w:w="1232" w:type="dxa"/>
          </w:tcPr>
          <w:p w14:paraId="77B977FA">
            <w:pPr>
              <w:shd w:val="clear"/>
              <w:jc w:val="center"/>
              <w:rPr>
                <w:rFonts w:hint="eastAsia" w:ascii="仿宋" w:hAnsi="仿宋" w:eastAsia="仿宋" w:cs="仿宋"/>
                <w:color w:val="auto"/>
                <w:sz w:val="24"/>
                <w:highlight w:val="none"/>
              </w:rPr>
            </w:pPr>
          </w:p>
        </w:tc>
        <w:tc>
          <w:tcPr>
            <w:tcW w:w="1390" w:type="dxa"/>
            <w:vAlign w:val="center"/>
          </w:tcPr>
          <w:p w14:paraId="24FEC7E8">
            <w:pPr>
              <w:shd w:val="clear"/>
              <w:jc w:val="center"/>
              <w:rPr>
                <w:rFonts w:hint="eastAsia" w:ascii="仿宋" w:hAnsi="仿宋" w:eastAsia="仿宋" w:cs="仿宋"/>
                <w:color w:val="auto"/>
                <w:sz w:val="24"/>
                <w:highlight w:val="none"/>
              </w:rPr>
            </w:pPr>
          </w:p>
        </w:tc>
        <w:tc>
          <w:tcPr>
            <w:tcW w:w="966" w:type="dxa"/>
            <w:vAlign w:val="center"/>
          </w:tcPr>
          <w:p w14:paraId="256672F4">
            <w:pPr>
              <w:shd w:val="clear"/>
              <w:jc w:val="center"/>
              <w:rPr>
                <w:rFonts w:hint="eastAsia" w:ascii="仿宋" w:hAnsi="仿宋" w:eastAsia="仿宋" w:cs="仿宋"/>
                <w:color w:val="auto"/>
                <w:sz w:val="24"/>
                <w:highlight w:val="none"/>
              </w:rPr>
            </w:pPr>
          </w:p>
        </w:tc>
        <w:tc>
          <w:tcPr>
            <w:tcW w:w="1242" w:type="dxa"/>
            <w:vAlign w:val="center"/>
          </w:tcPr>
          <w:p w14:paraId="0A28170A">
            <w:pPr>
              <w:shd w:val="clear"/>
              <w:jc w:val="center"/>
              <w:rPr>
                <w:rFonts w:hint="eastAsia" w:ascii="仿宋" w:hAnsi="仿宋" w:eastAsia="仿宋" w:cs="仿宋"/>
                <w:color w:val="auto"/>
                <w:sz w:val="24"/>
                <w:highlight w:val="none"/>
              </w:rPr>
            </w:pPr>
          </w:p>
        </w:tc>
        <w:tc>
          <w:tcPr>
            <w:tcW w:w="1229" w:type="dxa"/>
            <w:vAlign w:val="center"/>
          </w:tcPr>
          <w:p w14:paraId="73E0CF9E">
            <w:pPr>
              <w:shd w:val="clear"/>
              <w:jc w:val="center"/>
              <w:rPr>
                <w:rFonts w:hint="eastAsia" w:ascii="仿宋" w:hAnsi="仿宋" w:eastAsia="仿宋" w:cs="仿宋"/>
                <w:color w:val="auto"/>
                <w:sz w:val="24"/>
                <w:highlight w:val="none"/>
              </w:rPr>
            </w:pPr>
          </w:p>
        </w:tc>
        <w:tc>
          <w:tcPr>
            <w:tcW w:w="1428" w:type="dxa"/>
            <w:vAlign w:val="center"/>
          </w:tcPr>
          <w:p w14:paraId="70302DB8">
            <w:pPr>
              <w:shd w:val="clear"/>
              <w:jc w:val="center"/>
              <w:rPr>
                <w:rFonts w:hint="eastAsia" w:ascii="仿宋" w:hAnsi="仿宋" w:eastAsia="仿宋" w:cs="仿宋"/>
                <w:color w:val="auto"/>
                <w:sz w:val="24"/>
                <w:highlight w:val="none"/>
              </w:rPr>
            </w:pPr>
          </w:p>
        </w:tc>
        <w:tc>
          <w:tcPr>
            <w:tcW w:w="1248" w:type="dxa"/>
            <w:vAlign w:val="center"/>
          </w:tcPr>
          <w:p w14:paraId="1377458A">
            <w:pPr>
              <w:shd w:val="clear"/>
              <w:jc w:val="center"/>
              <w:rPr>
                <w:rFonts w:hint="eastAsia" w:ascii="仿宋" w:hAnsi="仿宋" w:eastAsia="仿宋" w:cs="仿宋"/>
                <w:color w:val="auto"/>
                <w:sz w:val="24"/>
                <w:highlight w:val="none"/>
              </w:rPr>
            </w:pPr>
          </w:p>
        </w:tc>
      </w:tr>
      <w:tr w14:paraId="4F99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14:paraId="3ECB49C3">
            <w:pPr>
              <w:shd w:val="clear"/>
              <w:jc w:val="center"/>
              <w:rPr>
                <w:rFonts w:hint="eastAsia" w:ascii="仿宋" w:hAnsi="仿宋" w:eastAsia="仿宋" w:cs="仿宋"/>
                <w:color w:val="auto"/>
                <w:sz w:val="24"/>
                <w:highlight w:val="none"/>
              </w:rPr>
            </w:pPr>
          </w:p>
        </w:tc>
        <w:tc>
          <w:tcPr>
            <w:tcW w:w="1232" w:type="dxa"/>
          </w:tcPr>
          <w:p w14:paraId="6A625F16">
            <w:pPr>
              <w:shd w:val="clear"/>
              <w:jc w:val="center"/>
              <w:rPr>
                <w:rFonts w:hint="eastAsia" w:ascii="仿宋" w:hAnsi="仿宋" w:eastAsia="仿宋" w:cs="仿宋"/>
                <w:color w:val="auto"/>
                <w:sz w:val="24"/>
                <w:highlight w:val="none"/>
              </w:rPr>
            </w:pPr>
          </w:p>
        </w:tc>
        <w:tc>
          <w:tcPr>
            <w:tcW w:w="1390" w:type="dxa"/>
            <w:vAlign w:val="center"/>
          </w:tcPr>
          <w:p w14:paraId="763B0576">
            <w:pPr>
              <w:shd w:val="clear"/>
              <w:jc w:val="center"/>
              <w:rPr>
                <w:rFonts w:hint="eastAsia" w:ascii="仿宋" w:hAnsi="仿宋" w:eastAsia="仿宋" w:cs="仿宋"/>
                <w:color w:val="auto"/>
                <w:sz w:val="24"/>
                <w:highlight w:val="none"/>
              </w:rPr>
            </w:pPr>
          </w:p>
        </w:tc>
        <w:tc>
          <w:tcPr>
            <w:tcW w:w="966" w:type="dxa"/>
            <w:vAlign w:val="center"/>
          </w:tcPr>
          <w:p w14:paraId="0800A174">
            <w:pPr>
              <w:shd w:val="clear"/>
              <w:jc w:val="center"/>
              <w:rPr>
                <w:rFonts w:hint="eastAsia" w:ascii="仿宋" w:hAnsi="仿宋" w:eastAsia="仿宋" w:cs="仿宋"/>
                <w:color w:val="auto"/>
                <w:sz w:val="24"/>
                <w:highlight w:val="none"/>
              </w:rPr>
            </w:pPr>
          </w:p>
        </w:tc>
        <w:tc>
          <w:tcPr>
            <w:tcW w:w="1242" w:type="dxa"/>
            <w:vAlign w:val="center"/>
          </w:tcPr>
          <w:p w14:paraId="70D56A24">
            <w:pPr>
              <w:shd w:val="clear"/>
              <w:jc w:val="center"/>
              <w:rPr>
                <w:rFonts w:hint="eastAsia" w:ascii="仿宋" w:hAnsi="仿宋" w:eastAsia="仿宋" w:cs="仿宋"/>
                <w:color w:val="auto"/>
                <w:sz w:val="24"/>
                <w:highlight w:val="none"/>
              </w:rPr>
            </w:pPr>
          </w:p>
        </w:tc>
        <w:tc>
          <w:tcPr>
            <w:tcW w:w="1229" w:type="dxa"/>
            <w:vAlign w:val="center"/>
          </w:tcPr>
          <w:p w14:paraId="42C7F034">
            <w:pPr>
              <w:shd w:val="clear"/>
              <w:jc w:val="center"/>
              <w:rPr>
                <w:rFonts w:hint="eastAsia" w:ascii="仿宋" w:hAnsi="仿宋" w:eastAsia="仿宋" w:cs="仿宋"/>
                <w:color w:val="auto"/>
                <w:sz w:val="24"/>
                <w:highlight w:val="none"/>
              </w:rPr>
            </w:pPr>
          </w:p>
        </w:tc>
        <w:tc>
          <w:tcPr>
            <w:tcW w:w="1428" w:type="dxa"/>
            <w:vAlign w:val="center"/>
          </w:tcPr>
          <w:p w14:paraId="32C29D94">
            <w:pPr>
              <w:shd w:val="clear"/>
              <w:jc w:val="center"/>
              <w:rPr>
                <w:rFonts w:hint="eastAsia" w:ascii="仿宋" w:hAnsi="仿宋" w:eastAsia="仿宋" w:cs="仿宋"/>
                <w:color w:val="auto"/>
                <w:sz w:val="24"/>
                <w:highlight w:val="none"/>
              </w:rPr>
            </w:pPr>
          </w:p>
        </w:tc>
        <w:tc>
          <w:tcPr>
            <w:tcW w:w="1248" w:type="dxa"/>
            <w:vAlign w:val="center"/>
          </w:tcPr>
          <w:p w14:paraId="3AF98F66">
            <w:pPr>
              <w:shd w:val="clear"/>
              <w:jc w:val="center"/>
              <w:rPr>
                <w:rFonts w:hint="eastAsia" w:ascii="仿宋" w:hAnsi="仿宋" w:eastAsia="仿宋" w:cs="仿宋"/>
                <w:color w:val="auto"/>
                <w:sz w:val="24"/>
                <w:highlight w:val="none"/>
              </w:rPr>
            </w:pPr>
          </w:p>
        </w:tc>
      </w:tr>
      <w:tr w14:paraId="4223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14:paraId="2367351B">
            <w:pPr>
              <w:shd w:val="clear"/>
              <w:jc w:val="center"/>
              <w:rPr>
                <w:rFonts w:hint="eastAsia" w:ascii="仿宋" w:hAnsi="仿宋" w:eastAsia="仿宋" w:cs="仿宋"/>
                <w:color w:val="auto"/>
                <w:sz w:val="24"/>
                <w:highlight w:val="none"/>
              </w:rPr>
            </w:pPr>
          </w:p>
        </w:tc>
        <w:tc>
          <w:tcPr>
            <w:tcW w:w="1232" w:type="dxa"/>
          </w:tcPr>
          <w:p w14:paraId="48B2F8BD">
            <w:pPr>
              <w:shd w:val="clear"/>
              <w:jc w:val="center"/>
              <w:rPr>
                <w:rFonts w:hint="eastAsia" w:ascii="仿宋" w:hAnsi="仿宋" w:eastAsia="仿宋" w:cs="仿宋"/>
                <w:color w:val="auto"/>
                <w:sz w:val="24"/>
                <w:highlight w:val="none"/>
              </w:rPr>
            </w:pPr>
          </w:p>
        </w:tc>
        <w:tc>
          <w:tcPr>
            <w:tcW w:w="1390" w:type="dxa"/>
            <w:vAlign w:val="center"/>
          </w:tcPr>
          <w:p w14:paraId="1240EE55">
            <w:pPr>
              <w:shd w:val="clear"/>
              <w:jc w:val="center"/>
              <w:rPr>
                <w:rFonts w:hint="eastAsia" w:ascii="仿宋" w:hAnsi="仿宋" w:eastAsia="仿宋" w:cs="仿宋"/>
                <w:color w:val="auto"/>
                <w:sz w:val="24"/>
                <w:highlight w:val="none"/>
              </w:rPr>
            </w:pPr>
          </w:p>
        </w:tc>
        <w:tc>
          <w:tcPr>
            <w:tcW w:w="966" w:type="dxa"/>
            <w:vAlign w:val="center"/>
          </w:tcPr>
          <w:p w14:paraId="29E2E2E1">
            <w:pPr>
              <w:shd w:val="clear"/>
              <w:jc w:val="center"/>
              <w:rPr>
                <w:rFonts w:hint="eastAsia" w:ascii="仿宋" w:hAnsi="仿宋" w:eastAsia="仿宋" w:cs="仿宋"/>
                <w:color w:val="auto"/>
                <w:sz w:val="24"/>
                <w:highlight w:val="none"/>
              </w:rPr>
            </w:pPr>
          </w:p>
        </w:tc>
        <w:tc>
          <w:tcPr>
            <w:tcW w:w="1242" w:type="dxa"/>
            <w:vAlign w:val="center"/>
          </w:tcPr>
          <w:p w14:paraId="7B21EA37">
            <w:pPr>
              <w:shd w:val="clear"/>
              <w:jc w:val="center"/>
              <w:rPr>
                <w:rFonts w:hint="eastAsia" w:ascii="仿宋" w:hAnsi="仿宋" w:eastAsia="仿宋" w:cs="仿宋"/>
                <w:color w:val="auto"/>
                <w:sz w:val="24"/>
                <w:highlight w:val="none"/>
              </w:rPr>
            </w:pPr>
          </w:p>
        </w:tc>
        <w:tc>
          <w:tcPr>
            <w:tcW w:w="1229" w:type="dxa"/>
            <w:vAlign w:val="center"/>
          </w:tcPr>
          <w:p w14:paraId="6F429A87">
            <w:pPr>
              <w:shd w:val="clear"/>
              <w:jc w:val="center"/>
              <w:rPr>
                <w:rFonts w:hint="eastAsia" w:ascii="仿宋" w:hAnsi="仿宋" w:eastAsia="仿宋" w:cs="仿宋"/>
                <w:color w:val="auto"/>
                <w:sz w:val="24"/>
                <w:highlight w:val="none"/>
              </w:rPr>
            </w:pPr>
          </w:p>
        </w:tc>
        <w:tc>
          <w:tcPr>
            <w:tcW w:w="1428" w:type="dxa"/>
            <w:vAlign w:val="center"/>
          </w:tcPr>
          <w:p w14:paraId="752ABD6C">
            <w:pPr>
              <w:shd w:val="clear"/>
              <w:jc w:val="center"/>
              <w:rPr>
                <w:rFonts w:hint="eastAsia" w:ascii="仿宋" w:hAnsi="仿宋" w:eastAsia="仿宋" w:cs="仿宋"/>
                <w:color w:val="auto"/>
                <w:sz w:val="24"/>
                <w:highlight w:val="none"/>
              </w:rPr>
            </w:pPr>
          </w:p>
        </w:tc>
        <w:tc>
          <w:tcPr>
            <w:tcW w:w="1248" w:type="dxa"/>
            <w:vAlign w:val="center"/>
          </w:tcPr>
          <w:p w14:paraId="0CE5E45A">
            <w:pPr>
              <w:shd w:val="clear"/>
              <w:jc w:val="center"/>
              <w:rPr>
                <w:rFonts w:hint="eastAsia" w:ascii="仿宋" w:hAnsi="仿宋" w:eastAsia="仿宋" w:cs="仿宋"/>
                <w:color w:val="auto"/>
                <w:sz w:val="24"/>
                <w:highlight w:val="none"/>
              </w:rPr>
            </w:pPr>
          </w:p>
        </w:tc>
      </w:tr>
    </w:tbl>
    <w:p w14:paraId="36AD4621">
      <w:pPr>
        <w:shd w:val="clear"/>
        <w:autoSpaceDE w:val="0"/>
        <w:autoSpaceDN w:val="0"/>
        <w:spacing w:line="360" w:lineRule="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注：供应商可按上述的格式自行编制，须随表提交相应的证明资料并注明页码。</w:t>
      </w:r>
    </w:p>
    <w:p w14:paraId="072EB218">
      <w:pPr>
        <w:shd w:val="clear"/>
        <w:autoSpaceDE w:val="0"/>
        <w:autoSpaceDN w:val="0"/>
        <w:spacing w:line="360" w:lineRule="auto"/>
        <w:rPr>
          <w:rFonts w:hint="eastAsia" w:ascii="仿宋_GB2312" w:hAnsi="仿宋_GB2312" w:eastAsia="仿宋_GB2312" w:cs="仿宋_GB2312"/>
          <w:b/>
          <w:color w:val="auto"/>
          <w:sz w:val="24"/>
          <w:highlight w:val="none"/>
        </w:rPr>
      </w:pPr>
    </w:p>
    <w:p w14:paraId="1B31EAD3">
      <w:pPr>
        <w:shd w:val="clear"/>
        <w:autoSpaceDE w:val="0"/>
        <w:autoSpaceDN w:val="0"/>
        <w:spacing w:line="360" w:lineRule="auto"/>
        <w:rPr>
          <w:rFonts w:hint="eastAsia" w:ascii="仿宋_GB2312" w:hAnsi="仿宋_GB2312" w:eastAsia="仿宋_GB2312" w:cs="仿宋_GB2312"/>
          <w:color w:val="auto"/>
          <w:sz w:val="24"/>
          <w:highlight w:val="none"/>
        </w:rPr>
      </w:pPr>
    </w:p>
    <w:p w14:paraId="11F65A22">
      <w:pPr>
        <w:shd w:val="clear"/>
        <w:autoSpaceDE w:val="0"/>
        <w:autoSpaceDN w:val="0"/>
        <w:spacing w:line="360" w:lineRule="auto"/>
        <w:rPr>
          <w:rFonts w:hint="eastAsia" w:ascii="仿宋_GB2312" w:hAnsi="仿宋_GB2312" w:eastAsia="仿宋_GB2312" w:cs="仿宋_GB2312"/>
          <w:color w:val="auto"/>
          <w:sz w:val="24"/>
          <w:highlight w:val="none"/>
        </w:rPr>
      </w:pPr>
    </w:p>
    <w:p w14:paraId="3AC3430A">
      <w:pPr>
        <w:shd w:val="clear"/>
        <w:autoSpaceDE w:val="0"/>
        <w:autoSpaceDN w:val="0"/>
        <w:spacing w:line="360" w:lineRule="auto"/>
        <w:rPr>
          <w:rFonts w:hint="eastAsia" w:ascii="仿宋_GB2312" w:hAnsi="仿宋_GB2312" w:eastAsia="仿宋_GB2312" w:cs="仿宋_GB2312"/>
          <w:color w:val="auto"/>
          <w:sz w:val="24"/>
          <w:highlight w:val="none"/>
        </w:rPr>
      </w:pPr>
    </w:p>
    <w:p w14:paraId="38E080C7">
      <w:pPr>
        <w:shd w:val="clear"/>
        <w:autoSpaceDE w:val="0"/>
        <w:autoSpaceDN w:val="0"/>
        <w:spacing w:line="360" w:lineRule="auto"/>
        <w:rPr>
          <w:rFonts w:hint="eastAsia" w:ascii="仿宋_GB2312" w:hAnsi="仿宋_GB2312" w:eastAsia="仿宋_GB2312" w:cs="仿宋_GB2312"/>
          <w:color w:val="auto"/>
          <w:sz w:val="24"/>
          <w:highlight w:val="none"/>
        </w:rPr>
      </w:pPr>
    </w:p>
    <w:p w14:paraId="7BCF98A3">
      <w:pPr>
        <w:shd w:val="clear"/>
        <w:autoSpaceDE w:val="0"/>
        <w:autoSpaceDN w:val="0"/>
        <w:spacing w:line="360" w:lineRule="auto"/>
        <w:rPr>
          <w:rFonts w:hint="eastAsia" w:ascii="仿宋_GB2312" w:hAnsi="仿宋_GB2312" w:eastAsia="仿宋_GB2312" w:cs="仿宋_GB2312"/>
          <w:color w:val="auto"/>
          <w:sz w:val="24"/>
          <w:highlight w:val="none"/>
        </w:rPr>
      </w:pPr>
    </w:p>
    <w:p w14:paraId="46761957">
      <w:pPr>
        <w:shd w:val="clear"/>
        <w:spacing w:line="336" w:lineRule="auto"/>
        <w:ind w:firstLine="4560" w:firstLineChars="19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投标人名称（电子签名）：                          </w:t>
      </w:r>
    </w:p>
    <w:p w14:paraId="1DA10CB4">
      <w:pPr>
        <w:shd w:val="clear"/>
        <w:spacing w:line="336"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7F33240D">
      <w:pPr>
        <w:pStyle w:val="43"/>
        <w:shd w:val="clear"/>
        <w:ind w:firstLine="0"/>
        <w:jc w:val="both"/>
        <w:rPr>
          <w:rFonts w:hint="eastAsia" w:hAnsi="仿宋_GB2312" w:cs="仿宋_GB2312"/>
          <w:color w:val="auto"/>
          <w:highlight w:val="none"/>
        </w:rPr>
      </w:pPr>
    </w:p>
    <w:p w14:paraId="48CDB7E8">
      <w:pPr>
        <w:shd w:val="clear"/>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br w:type="page"/>
      </w:r>
    </w:p>
    <w:p w14:paraId="16E0614C">
      <w:pPr>
        <w:shd w:val="clear"/>
        <w:spacing w:line="336" w:lineRule="auto"/>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color w:val="auto"/>
          <w:sz w:val="32"/>
          <w:szCs w:val="32"/>
          <w:highlight w:val="none"/>
        </w:rPr>
        <w:t>十二、</w:t>
      </w:r>
      <w:r>
        <w:rPr>
          <w:rFonts w:hint="eastAsia" w:ascii="仿宋_GB2312" w:hAnsi="仿宋_GB2312" w:eastAsia="仿宋_GB2312" w:cs="仿宋_GB2312"/>
          <w:b/>
          <w:bCs/>
          <w:color w:val="auto"/>
          <w:sz w:val="32"/>
          <w:szCs w:val="32"/>
          <w:highlight w:val="none"/>
        </w:rPr>
        <w:t>项目小组人员名单</w:t>
      </w:r>
    </w:p>
    <w:p w14:paraId="4CBBC1CF">
      <w:pPr>
        <w:shd w:val="clear"/>
        <w:spacing w:line="360" w:lineRule="auto"/>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color w:val="auto"/>
          <w:sz w:val="24"/>
          <w:highlight w:val="none"/>
        </w:rPr>
        <w:t>（由投标人根据采购需求及招标文件要求编制）</w:t>
      </w:r>
    </w:p>
    <w:p w14:paraId="57945288">
      <w:pPr>
        <w:keepNext/>
        <w:shd w:val="clear"/>
        <w:autoSpaceDE w:val="0"/>
        <w:autoSpaceDN w:val="0"/>
        <w:spacing w:line="360" w:lineRule="auto"/>
        <w:ind w:firstLine="477"/>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附表A:本项目的项目经理情况表</w:t>
      </w:r>
    </w:p>
    <w:tbl>
      <w:tblPr>
        <w:tblStyle w:val="25"/>
        <w:tblW w:w="8755" w:type="dxa"/>
        <w:tblInd w:w="0" w:type="dxa"/>
        <w:tblLayout w:type="fixed"/>
        <w:tblCellMar>
          <w:top w:w="0" w:type="dxa"/>
          <w:left w:w="108" w:type="dxa"/>
          <w:bottom w:w="0" w:type="dxa"/>
          <w:right w:w="108" w:type="dxa"/>
        </w:tblCellMar>
      </w:tblPr>
      <w:tblGrid>
        <w:gridCol w:w="2061"/>
        <w:gridCol w:w="1287"/>
        <w:gridCol w:w="1260"/>
        <w:gridCol w:w="4147"/>
      </w:tblGrid>
      <w:tr w14:paraId="7492D3C0">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vAlign w:val="center"/>
          </w:tcPr>
          <w:p w14:paraId="73B0D7EB">
            <w:pPr>
              <w:shd w:val="clear"/>
              <w:autoSpaceDE w:val="0"/>
              <w:autoSpaceDN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3AE6BAA2">
            <w:pPr>
              <w:shd w:val="clear"/>
              <w:autoSpaceDE w:val="0"/>
              <w:autoSpaceDN w:val="0"/>
              <w:spacing w:line="360" w:lineRule="auto"/>
              <w:jc w:val="center"/>
              <w:rPr>
                <w:rFonts w:hint="eastAsia" w:ascii="仿宋_GB2312" w:hAnsi="仿宋_GB2312"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2007232">
            <w:pPr>
              <w:shd w:val="clear"/>
              <w:autoSpaceDE w:val="0"/>
              <w:autoSpaceDN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1327BA86">
            <w:pPr>
              <w:shd w:val="clear"/>
              <w:autoSpaceDE w:val="0"/>
              <w:autoSpaceDN w:val="0"/>
              <w:spacing w:line="360" w:lineRule="auto"/>
              <w:rPr>
                <w:rFonts w:hint="eastAsia" w:ascii="仿宋_GB2312" w:hAnsi="仿宋_GB2312" w:eastAsia="仿宋_GB2312" w:cs="仿宋_GB2312"/>
                <w:color w:val="auto"/>
                <w:sz w:val="24"/>
                <w:highlight w:val="none"/>
              </w:rPr>
            </w:pPr>
          </w:p>
        </w:tc>
      </w:tr>
      <w:tr w14:paraId="4439453E">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5EFB3B9">
            <w:pPr>
              <w:shd w:val="clear"/>
              <w:autoSpaceDE w:val="0"/>
              <w:autoSpaceDN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vAlign w:val="center"/>
          </w:tcPr>
          <w:p w14:paraId="5DC54132">
            <w:pPr>
              <w:shd w:val="clear"/>
              <w:autoSpaceDE w:val="0"/>
              <w:autoSpaceDN w:val="0"/>
              <w:spacing w:line="360" w:lineRule="auto"/>
              <w:jc w:val="center"/>
              <w:rPr>
                <w:rFonts w:hint="eastAsia" w:ascii="仿宋_GB2312" w:hAnsi="仿宋_GB2312"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EEEBD16">
            <w:pPr>
              <w:shd w:val="clear"/>
              <w:autoSpaceDE w:val="0"/>
              <w:autoSpaceDN w:val="0"/>
              <w:spacing w:line="360" w:lineRule="auto"/>
              <w:jc w:val="center"/>
              <w:rPr>
                <w:rFonts w:hint="eastAsia" w:ascii="仿宋_GB2312" w:hAnsi="仿宋_GB2312" w:eastAsia="仿宋_GB2312" w:cs="仿宋_GB2312"/>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5F2996A1">
            <w:pPr>
              <w:shd w:val="clear"/>
              <w:autoSpaceDE w:val="0"/>
              <w:autoSpaceDN w:val="0"/>
              <w:spacing w:line="360" w:lineRule="auto"/>
              <w:jc w:val="center"/>
              <w:rPr>
                <w:rFonts w:hint="eastAsia" w:ascii="仿宋_GB2312" w:hAnsi="仿宋_GB2312" w:eastAsia="仿宋_GB2312" w:cs="仿宋_GB2312"/>
                <w:color w:val="auto"/>
                <w:sz w:val="24"/>
                <w:highlight w:val="none"/>
              </w:rPr>
            </w:pPr>
          </w:p>
        </w:tc>
      </w:tr>
      <w:tr w14:paraId="162BA360">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vAlign w:val="center"/>
          </w:tcPr>
          <w:p w14:paraId="37A4E5A2">
            <w:pPr>
              <w:shd w:val="clear"/>
              <w:autoSpaceDE w:val="0"/>
              <w:autoSpaceDN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vAlign w:val="center"/>
          </w:tcPr>
          <w:p w14:paraId="0EC02352">
            <w:pPr>
              <w:shd w:val="clear"/>
              <w:autoSpaceDE w:val="0"/>
              <w:autoSpaceDN w:val="0"/>
              <w:spacing w:line="360" w:lineRule="auto"/>
              <w:jc w:val="center"/>
              <w:rPr>
                <w:rFonts w:hint="eastAsia" w:ascii="仿宋_GB2312" w:hAnsi="仿宋_GB2312"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5D3D9A0">
            <w:pPr>
              <w:shd w:val="clear"/>
              <w:autoSpaceDE w:val="0"/>
              <w:autoSpaceDN w:val="0"/>
              <w:spacing w:line="360" w:lineRule="auto"/>
              <w:jc w:val="center"/>
              <w:rPr>
                <w:rFonts w:hint="eastAsia" w:ascii="仿宋_GB2312" w:hAnsi="仿宋_GB2312"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A4FD93A">
            <w:pPr>
              <w:shd w:val="clear"/>
              <w:autoSpaceDE w:val="0"/>
              <w:autoSpaceDN w:val="0"/>
              <w:spacing w:line="360" w:lineRule="auto"/>
              <w:jc w:val="center"/>
              <w:rPr>
                <w:rFonts w:hint="eastAsia" w:ascii="仿宋_GB2312" w:hAnsi="仿宋_GB2312" w:eastAsia="仿宋_GB2312" w:cs="仿宋_GB2312"/>
                <w:color w:val="auto"/>
                <w:sz w:val="24"/>
                <w:highlight w:val="none"/>
              </w:rPr>
            </w:pPr>
          </w:p>
        </w:tc>
      </w:tr>
      <w:tr w14:paraId="65E675B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37C28812">
            <w:pPr>
              <w:shd w:val="clear"/>
              <w:autoSpaceDE w:val="0"/>
              <w:autoSpaceDN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4A20AD3B">
            <w:pPr>
              <w:shd w:val="clear"/>
              <w:autoSpaceDE w:val="0"/>
              <w:autoSpaceDN w:val="0"/>
              <w:spacing w:line="360" w:lineRule="auto"/>
              <w:jc w:val="center"/>
              <w:rPr>
                <w:rFonts w:hint="eastAsia" w:ascii="仿宋_GB2312" w:hAnsi="仿宋_GB2312"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A59F7F4">
            <w:pPr>
              <w:shd w:val="clear"/>
              <w:autoSpaceDE w:val="0"/>
              <w:autoSpaceDN w:val="0"/>
              <w:spacing w:line="360" w:lineRule="auto"/>
              <w:jc w:val="center"/>
              <w:rPr>
                <w:rFonts w:hint="eastAsia" w:ascii="仿宋_GB2312" w:hAnsi="仿宋_GB2312"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0ECE790">
            <w:pPr>
              <w:shd w:val="clear"/>
              <w:autoSpaceDE w:val="0"/>
              <w:autoSpaceDN w:val="0"/>
              <w:spacing w:line="360" w:lineRule="auto"/>
              <w:jc w:val="center"/>
              <w:rPr>
                <w:rFonts w:hint="eastAsia" w:ascii="仿宋_GB2312" w:hAnsi="仿宋_GB2312" w:eastAsia="仿宋_GB2312" w:cs="仿宋_GB2312"/>
                <w:color w:val="auto"/>
                <w:sz w:val="24"/>
                <w:highlight w:val="none"/>
              </w:rPr>
            </w:pPr>
          </w:p>
        </w:tc>
      </w:tr>
      <w:tr w14:paraId="71A7C9E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183C3C27">
            <w:pPr>
              <w:shd w:val="clear"/>
              <w:autoSpaceDE w:val="0"/>
              <w:autoSpaceDN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34CE9A3B">
            <w:pPr>
              <w:shd w:val="clear"/>
              <w:autoSpaceDE w:val="0"/>
              <w:autoSpaceDN w:val="0"/>
              <w:spacing w:line="360" w:lineRule="auto"/>
              <w:jc w:val="center"/>
              <w:rPr>
                <w:rFonts w:hint="eastAsia" w:ascii="仿宋_GB2312" w:hAnsi="仿宋_GB2312"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2873115">
            <w:pPr>
              <w:shd w:val="clear"/>
              <w:autoSpaceDE w:val="0"/>
              <w:autoSpaceDN w:val="0"/>
              <w:spacing w:line="360" w:lineRule="auto"/>
              <w:jc w:val="center"/>
              <w:rPr>
                <w:rFonts w:hint="eastAsia" w:ascii="仿宋_GB2312" w:hAnsi="仿宋_GB2312"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C9D4520">
            <w:pPr>
              <w:shd w:val="clear"/>
              <w:autoSpaceDE w:val="0"/>
              <w:autoSpaceDN w:val="0"/>
              <w:spacing w:line="360" w:lineRule="auto"/>
              <w:jc w:val="center"/>
              <w:rPr>
                <w:rFonts w:hint="eastAsia" w:ascii="仿宋_GB2312" w:hAnsi="仿宋_GB2312" w:eastAsia="仿宋_GB2312" w:cs="仿宋_GB2312"/>
                <w:color w:val="auto"/>
                <w:sz w:val="24"/>
                <w:highlight w:val="none"/>
              </w:rPr>
            </w:pPr>
          </w:p>
        </w:tc>
      </w:tr>
      <w:tr w14:paraId="48920DA8">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4B0C3F22">
            <w:pPr>
              <w:shd w:val="clear"/>
              <w:autoSpaceDE w:val="0"/>
              <w:autoSpaceDN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76E78CF0">
            <w:pPr>
              <w:shd w:val="clear"/>
              <w:autoSpaceDE w:val="0"/>
              <w:autoSpaceDN w:val="0"/>
              <w:spacing w:line="360" w:lineRule="auto"/>
              <w:jc w:val="center"/>
              <w:rPr>
                <w:rFonts w:hint="eastAsia" w:ascii="仿宋_GB2312" w:hAnsi="仿宋_GB2312"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B9BA563">
            <w:pPr>
              <w:shd w:val="clear"/>
              <w:autoSpaceDE w:val="0"/>
              <w:autoSpaceDN w:val="0"/>
              <w:spacing w:line="360" w:lineRule="auto"/>
              <w:jc w:val="center"/>
              <w:rPr>
                <w:rFonts w:hint="eastAsia" w:ascii="仿宋_GB2312" w:hAnsi="仿宋_GB2312"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1612766">
            <w:pPr>
              <w:shd w:val="clear"/>
              <w:autoSpaceDE w:val="0"/>
              <w:autoSpaceDN w:val="0"/>
              <w:spacing w:line="360" w:lineRule="auto"/>
              <w:jc w:val="center"/>
              <w:rPr>
                <w:rFonts w:hint="eastAsia" w:ascii="仿宋_GB2312" w:hAnsi="仿宋_GB2312" w:eastAsia="仿宋_GB2312" w:cs="仿宋_GB2312"/>
                <w:color w:val="auto"/>
                <w:sz w:val="24"/>
                <w:highlight w:val="none"/>
              </w:rPr>
            </w:pPr>
          </w:p>
        </w:tc>
      </w:tr>
      <w:tr w14:paraId="7C0AF480">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3B33F556">
            <w:pPr>
              <w:shd w:val="clear"/>
              <w:autoSpaceDE w:val="0"/>
              <w:autoSpaceDN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70CA0FF6">
            <w:pPr>
              <w:shd w:val="clear"/>
              <w:autoSpaceDE w:val="0"/>
              <w:autoSpaceDN w:val="0"/>
              <w:spacing w:line="360" w:lineRule="auto"/>
              <w:jc w:val="center"/>
              <w:rPr>
                <w:rFonts w:hint="eastAsia" w:ascii="仿宋_GB2312" w:hAnsi="仿宋_GB2312"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399230A">
            <w:pPr>
              <w:shd w:val="clear"/>
              <w:autoSpaceDE w:val="0"/>
              <w:autoSpaceDN w:val="0"/>
              <w:spacing w:line="360" w:lineRule="auto"/>
              <w:jc w:val="center"/>
              <w:rPr>
                <w:rFonts w:hint="eastAsia" w:ascii="仿宋_GB2312" w:hAnsi="仿宋_GB2312"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F64E394">
            <w:pPr>
              <w:shd w:val="clear"/>
              <w:autoSpaceDE w:val="0"/>
              <w:autoSpaceDN w:val="0"/>
              <w:spacing w:line="360" w:lineRule="auto"/>
              <w:jc w:val="center"/>
              <w:rPr>
                <w:rFonts w:hint="eastAsia" w:ascii="仿宋_GB2312" w:hAnsi="仿宋_GB2312" w:eastAsia="仿宋_GB2312" w:cs="仿宋_GB2312"/>
                <w:color w:val="auto"/>
                <w:sz w:val="24"/>
                <w:highlight w:val="none"/>
              </w:rPr>
            </w:pPr>
          </w:p>
        </w:tc>
      </w:tr>
      <w:tr w14:paraId="3CA8F5B2">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0E3ECD3A">
            <w:pPr>
              <w:shd w:val="clear"/>
              <w:autoSpaceDE w:val="0"/>
              <w:autoSpaceDN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796A5CCB">
            <w:pPr>
              <w:shd w:val="clear"/>
              <w:autoSpaceDE w:val="0"/>
              <w:autoSpaceDN w:val="0"/>
              <w:spacing w:line="360" w:lineRule="auto"/>
              <w:jc w:val="center"/>
              <w:rPr>
                <w:rFonts w:hint="eastAsia" w:ascii="仿宋_GB2312" w:hAnsi="仿宋_GB2312"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5D6F0E6">
            <w:pPr>
              <w:shd w:val="clear"/>
              <w:autoSpaceDE w:val="0"/>
              <w:autoSpaceDN w:val="0"/>
              <w:spacing w:line="360" w:lineRule="auto"/>
              <w:jc w:val="center"/>
              <w:rPr>
                <w:rFonts w:hint="eastAsia" w:ascii="仿宋_GB2312" w:hAnsi="仿宋_GB2312"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8E5E8A6">
            <w:pPr>
              <w:shd w:val="clear"/>
              <w:autoSpaceDE w:val="0"/>
              <w:autoSpaceDN w:val="0"/>
              <w:spacing w:line="360" w:lineRule="auto"/>
              <w:jc w:val="center"/>
              <w:rPr>
                <w:rFonts w:hint="eastAsia" w:ascii="仿宋_GB2312" w:hAnsi="仿宋_GB2312" w:eastAsia="仿宋_GB2312" w:cs="仿宋_GB2312"/>
                <w:color w:val="auto"/>
                <w:sz w:val="24"/>
                <w:highlight w:val="none"/>
              </w:rPr>
            </w:pPr>
          </w:p>
        </w:tc>
      </w:tr>
      <w:tr w14:paraId="6A7EDCE1">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26BB1F5B">
            <w:pPr>
              <w:shd w:val="clear"/>
              <w:autoSpaceDE w:val="0"/>
              <w:autoSpaceDN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676D12E7">
            <w:pPr>
              <w:shd w:val="clear"/>
              <w:autoSpaceDE w:val="0"/>
              <w:autoSpaceDN w:val="0"/>
              <w:spacing w:line="360" w:lineRule="auto"/>
              <w:jc w:val="center"/>
              <w:rPr>
                <w:rFonts w:hint="eastAsia" w:ascii="仿宋_GB2312" w:hAnsi="仿宋_GB2312"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F241981">
            <w:pPr>
              <w:shd w:val="clear"/>
              <w:autoSpaceDE w:val="0"/>
              <w:autoSpaceDN w:val="0"/>
              <w:spacing w:line="360" w:lineRule="auto"/>
              <w:jc w:val="center"/>
              <w:rPr>
                <w:rFonts w:hint="eastAsia" w:ascii="仿宋_GB2312" w:hAnsi="仿宋_GB2312"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E49F584">
            <w:pPr>
              <w:shd w:val="clear"/>
              <w:autoSpaceDE w:val="0"/>
              <w:autoSpaceDN w:val="0"/>
              <w:spacing w:line="360" w:lineRule="auto"/>
              <w:jc w:val="center"/>
              <w:rPr>
                <w:rFonts w:hint="eastAsia" w:ascii="仿宋_GB2312" w:hAnsi="仿宋_GB2312" w:eastAsia="仿宋_GB2312" w:cs="仿宋_GB2312"/>
                <w:color w:val="auto"/>
                <w:sz w:val="24"/>
                <w:highlight w:val="none"/>
              </w:rPr>
            </w:pPr>
          </w:p>
        </w:tc>
      </w:tr>
      <w:tr w14:paraId="5B30A6C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vAlign w:val="center"/>
          </w:tcPr>
          <w:p w14:paraId="5CE04623">
            <w:pPr>
              <w:shd w:val="clear"/>
              <w:autoSpaceDE w:val="0"/>
              <w:autoSpaceDN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vAlign w:val="center"/>
          </w:tcPr>
          <w:p w14:paraId="013871B4">
            <w:pPr>
              <w:shd w:val="clear"/>
              <w:autoSpaceDE w:val="0"/>
              <w:autoSpaceDN w:val="0"/>
              <w:spacing w:line="360" w:lineRule="auto"/>
              <w:jc w:val="center"/>
              <w:rPr>
                <w:rFonts w:hint="eastAsia" w:ascii="仿宋_GB2312" w:hAnsi="仿宋_GB2312"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77BD913">
            <w:pPr>
              <w:shd w:val="clear"/>
              <w:autoSpaceDE w:val="0"/>
              <w:autoSpaceDN w:val="0"/>
              <w:spacing w:line="360" w:lineRule="auto"/>
              <w:jc w:val="center"/>
              <w:rPr>
                <w:rFonts w:hint="eastAsia" w:ascii="仿宋_GB2312" w:hAnsi="仿宋_GB2312"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413E0D9">
            <w:pPr>
              <w:shd w:val="clear"/>
              <w:autoSpaceDE w:val="0"/>
              <w:autoSpaceDN w:val="0"/>
              <w:spacing w:line="360" w:lineRule="auto"/>
              <w:jc w:val="center"/>
              <w:rPr>
                <w:rFonts w:hint="eastAsia" w:ascii="仿宋_GB2312" w:hAnsi="仿宋_GB2312" w:eastAsia="仿宋_GB2312" w:cs="仿宋_GB2312"/>
                <w:color w:val="auto"/>
                <w:sz w:val="24"/>
                <w:highlight w:val="none"/>
              </w:rPr>
            </w:pPr>
          </w:p>
        </w:tc>
      </w:tr>
    </w:tbl>
    <w:p w14:paraId="7C3D8448">
      <w:pPr>
        <w:shd w:val="clear"/>
        <w:autoSpaceDE w:val="0"/>
        <w:autoSpaceDN w:val="0"/>
        <w:spacing w:line="360" w:lineRule="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注：须随表提交相应的证书扫描件并注明所在投标技术文件页码。</w:t>
      </w:r>
    </w:p>
    <w:p w14:paraId="1888ABAB">
      <w:pPr>
        <w:shd w:val="clear"/>
        <w:autoSpaceDE w:val="0"/>
        <w:autoSpaceDN w:val="0"/>
        <w:spacing w:line="360" w:lineRule="auto"/>
        <w:rPr>
          <w:rFonts w:hint="eastAsia" w:ascii="仿宋_GB2312" w:hAnsi="仿宋_GB2312" w:eastAsia="仿宋_GB2312" w:cs="仿宋_GB2312"/>
          <w:b/>
          <w:color w:val="auto"/>
          <w:sz w:val="24"/>
          <w:highlight w:val="none"/>
        </w:rPr>
      </w:pPr>
    </w:p>
    <w:p w14:paraId="186EAB39">
      <w:pPr>
        <w:shd w:val="clear"/>
        <w:autoSpaceDE w:val="0"/>
        <w:autoSpaceDN w:val="0"/>
        <w:spacing w:line="360" w:lineRule="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附表B:本项目的项目小组人员情况表</w:t>
      </w:r>
      <w:r>
        <w:rPr>
          <w:rFonts w:hint="eastAsia" w:ascii="仿宋_GB2312" w:hAnsi="仿宋_GB2312" w:eastAsia="仿宋_GB2312" w:cs="仿宋_GB2312"/>
          <w:color w:val="auto"/>
          <w:sz w:val="24"/>
          <w:highlight w:val="none"/>
        </w:rPr>
        <w:t>（按此格式自制）</w:t>
      </w:r>
    </w:p>
    <w:tbl>
      <w:tblPr>
        <w:tblStyle w:val="25"/>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D652EEC">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6B1A97DD">
            <w:pPr>
              <w:shd w:val="clear"/>
              <w:autoSpaceDE w:val="0"/>
              <w:autoSpaceDN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5CD2D82A">
            <w:pPr>
              <w:shd w:val="clear"/>
              <w:autoSpaceDE w:val="0"/>
              <w:autoSpaceDN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76A12794">
            <w:pPr>
              <w:shd w:val="clear"/>
              <w:autoSpaceDE w:val="0"/>
              <w:autoSpaceDN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3D29120E">
            <w:pPr>
              <w:shd w:val="clear"/>
              <w:autoSpaceDE w:val="0"/>
              <w:autoSpaceDN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17BA0C17">
            <w:pPr>
              <w:shd w:val="clear"/>
              <w:autoSpaceDE w:val="0"/>
              <w:autoSpaceDN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学历</w:t>
            </w:r>
          </w:p>
          <w:p w14:paraId="1EE48612">
            <w:pPr>
              <w:shd w:val="clear"/>
              <w:autoSpaceDE w:val="0"/>
              <w:autoSpaceDN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CE00CE9">
            <w:pPr>
              <w:shd w:val="clear"/>
              <w:autoSpaceDE w:val="0"/>
              <w:autoSpaceDN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专业</w:t>
            </w:r>
          </w:p>
          <w:p w14:paraId="26E7100F">
            <w:pPr>
              <w:shd w:val="clear"/>
              <w:autoSpaceDE w:val="0"/>
              <w:autoSpaceDN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6054C31">
            <w:pPr>
              <w:shd w:val="clear"/>
              <w:autoSpaceDE w:val="0"/>
              <w:autoSpaceDN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职称</w:t>
            </w:r>
          </w:p>
          <w:p w14:paraId="5801B653">
            <w:pPr>
              <w:shd w:val="clear"/>
              <w:autoSpaceDE w:val="0"/>
              <w:autoSpaceDN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5D223B0C">
            <w:pPr>
              <w:shd w:val="clear"/>
              <w:autoSpaceDE w:val="0"/>
              <w:autoSpaceDN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99B5C9F">
            <w:pPr>
              <w:shd w:val="clear"/>
              <w:autoSpaceDE w:val="0"/>
              <w:autoSpaceDN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523FB7B6">
            <w:pPr>
              <w:shd w:val="clear"/>
              <w:autoSpaceDE w:val="0"/>
              <w:autoSpaceDN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参与本项目的到位情况</w:t>
            </w:r>
          </w:p>
        </w:tc>
      </w:tr>
      <w:tr w14:paraId="6B42C617">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50C6222C">
            <w:pPr>
              <w:shd w:val="clear"/>
              <w:autoSpaceDE w:val="0"/>
              <w:autoSpaceDN w:val="0"/>
              <w:spacing w:line="360" w:lineRule="auto"/>
              <w:jc w:val="center"/>
              <w:rPr>
                <w:rFonts w:hint="eastAsia" w:ascii="仿宋_GB2312" w:hAnsi="仿宋_GB2312"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C124AD8">
            <w:pPr>
              <w:shd w:val="clear"/>
              <w:autoSpaceDE w:val="0"/>
              <w:autoSpaceDN w:val="0"/>
              <w:spacing w:line="360" w:lineRule="auto"/>
              <w:rPr>
                <w:rFonts w:hint="eastAsia" w:ascii="仿宋_GB2312" w:hAnsi="仿宋_GB2312"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FB47EC3">
            <w:pPr>
              <w:shd w:val="clear"/>
              <w:autoSpaceDE w:val="0"/>
              <w:autoSpaceDN w:val="0"/>
              <w:spacing w:line="360" w:lineRule="auto"/>
              <w:rPr>
                <w:rFonts w:hint="eastAsia" w:ascii="仿宋_GB2312" w:hAnsi="仿宋_GB2312"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5A3212F1">
            <w:pPr>
              <w:shd w:val="clear"/>
              <w:autoSpaceDE w:val="0"/>
              <w:autoSpaceDN w:val="0"/>
              <w:spacing w:line="360" w:lineRule="auto"/>
              <w:rPr>
                <w:rFonts w:hint="eastAsia" w:ascii="仿宋_GB2312" w:hAnsi="仿宋_GB2312"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3577E709">
            <w:pPr>
              <w:shd w:val="clear"/>
              <w:autoSpaceDE w:val="0"/>
              <w:autoSpaceDN w:val="0"/>
              <w:spacing w:line="360" w:lineRule="auto"/>
              <w:rPr>
                <w:rFonts w:hint="eastAsia" w:ascii="仿宋_GB2312" w:hAnsi="仿宋_GB2312"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1EE1299">
            <w:pPr>
              <w:shd w:val="clear"/>
              <w:autoSpaceDE w:val="0"/>
              <w:autoSpaceDN w:val="0"/>
              <w:spacing w:line="360" w:lineRule="auto"/>
              <w:rPr>
                <w:rFonts w:hint="eastAsia" w:ascii="仿宋_GB2312" w:hAnsi="仿宋_GB2312"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7ECD32F">
            <w:pPr>
              <w:shd w:val="clear"/>
              <w:autoSpaceDE w:val="0"/>
              <w:autoSpaceDN w:val="0"/>
              <w:spacing w:line="360" w:lineRule="auto"/>
              <w:rPr>
                <w:rFonts w:hint="eastAsia" w:ascii="仿宋_GB2312" w:hAnsi="仿宋_GB2312"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4C60843">
            <w:pPr>
              <w:shd w:val="clear"/>
              <w:autoSpaceDE w:val="0"/>
              <w:autoSpaceDN w:val="0"/>
              <w:spacing w:line="360" w:lineRule="auto"/>
              <w:rPr>
                <w:rFonts w:hint="eastAsia" w:ascii="仿宋_GB2312" w:hAnsi="仿宋_GB2312"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E34D9CE">
            <w:pPr>
              <w:shd w:val="clear"/>
              <w:autoSpaceDE w:val="0"/>
              <w:autoSpaceDN w:val="0"/>
              <w:spacing w:line="360" w:lineRule="auto"/>
              <w:rPr>
                <w:rFonts w:hint="eastAsia" w:ascii="仿宋_GB2312" w:hAnsi="仿宋_GB2312"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D5CDD2E">
            <w:pPr>
              <w:shd w:val="clear"/>
              <w:autoSpaceDE w:val="0"/>
              <w:autoSpaceDN w:val="0"/>
              <w:spacing w:line="360" w:lineRule="auto"/>
              <w:rPr>
                <w:rFonts w:hint="eastAsia" w:ascii="仿宋_GB2312" w:hAnsi="仿宋_GB2312" w:eastAsia="仿宋_GB2312" w:cs="仿宋_GB2312"/>
                <w:color w:val="auto"/>
                <w:sz w:val="24"/>
                <w:highlight w:val="none"/>
              </w:rPr>
            </w:pPr>
          </w:p>
        </w:tc>
      </w:tr>
      <w:tr w14:paraId="571D061F">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325AA0EA">
            <w:pPr>
              <w:shd w:val="clear"/>
              <w:autoSpaceDE w:val="0"/>
              <w:autoSpaceDN w:val="0"/>
              <w:spacing w:line="360" w:lineRule="auto"/>
              <w:jc w:val="center"/>
              <w:rPr>
                <w:rFonts w:hint="eastAsia" w:ascii="仿宋_GB2312" w:hAnsi="仿宋_GB2312"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5F7E9069">
            <w:pPr>
              <w:shd w:val="clear"/>
              <w:autoSpaceDE w:val="0"/>
              <w:autoSpaceDN w:val="0"/>
              <w:spacing w:line="360" w:lineRule="auto"/>
              <w:rPr>
                <w:rFonts w:hint="eastAsia" w:ascii="仿宋_GB2312" w:hAnsi="仿宋_GB2312"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4454A28">
            <w:pPr>
              <w:shd w:val="clear"/>
              <w:autoSpaceDE w:val="0"/>
              <w:autoSpaceDN w:val="0"/>
              <w:spacing w:line="360" w:lineRule="auto"/>
              <w:rPr>
                <w:rFonts w:hint="eastAsia" w:ascii="仿宋_GB2312" w:hAnsi="仿宋_GB2312"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3FB3E770">
            <w:pPr>
              <w:shd w:val="clear"/>
              <w:autoSpaceDE w:val="0"/>
              <w:autoSpaceDN w:val="0"/>
              <w:spacing w:line="360" w:lineRule="auto"/>
              <w:rPr>
                <w:rFonts w:hint="eastAsia" w:ascii="仿宋_GB2312" w:hAnsi="仿宋_GB2312"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0DDEC159">
            <w:pPr>
              <w:shd w:val="clear"/>
              <w:autoSpaceDE w:val="0"/>
              <w:autoSpaceDN w:val="0"/>
              <w:spacing w:line="360" w:lineRule="auto"/>
              <w:rPr>
                <w:rFonts w:hint="eastAsia" w:ascii="仿宋_GB2312" w:hAnsi="仿宋_GB2312"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74151C5">
            <w:pPr>
              <w:shd w:val="clear"/>
              <w:autoSpaceDE w:val="0"/>
              <w:autoSpaceDN w:val="0"/>
              <w:spacing w:line="360" w:lineRule="auto"/>
              <w:rPr>
                <w:rFonts w:hint="eastAsia" w:ascii="仿宋_GB2312" w:hAnsi="仿宋_GB2312"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7A6FC12">
            <w:pPr>
              <w:shd w:val="clear"/>
              <w:autoSpaceDE w:val="0"/>
              <w:autoSpaceDN w:val="0"/>
              <w:spacing w:line="360" w:lineRule="auto"/>
              <w:rPr>
                <w:rFonts w:hint="eastAsia" w:ascii="仿宋_GB2312" w:hAnsi="仿宋_GB2312"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10C5308">
            <w:pPr>
              <w:shd w:val="clear"/>
              <w:autoSpaceDE w:val="0"/>
              <w:autoSpaceDN w:val="0"/>
              <w:spacing w:line="360" w:lineRule="auto"/>
              <w:rPr>
                <w:rFonts w:hint="eastAsia" w:ascii="仿宋_GB2312" w:hAnsi="仿宋_GB2312"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5A43803">
            <w:pPr>
              <w:shd w:val="clear"/>
              <w:autoSpaceDE w:val="0"/>
              <w:autoSpaceDN w:val="0"/>
              <w:spacing w:line="360" w:lineRule="auto"/>
              <w:rPr>
                <w:rFonts w:hint="eastAsia" w:ascii="仿宋_GB2312" w:hAnsi="仿宋_GB2312"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35FA11A8">
            <w:pPr>
              <w:shd w:val="clear"/>
              <w:autoSpaceDE w:val="0"/>
              <w:autoSpaceDN w:val="0"/>
              <w:spacing w:line="360" w:lineRule="auto"/>
              <w:rPr>
                <w:rFonts w:hint="eastAsia" w:ascii="仿宋_GB2312" w:hAnsi="仿宋_GB2312" w:eastAsia="仿宋_GB2312" w:cs="仿宋_GB2312"/>
                <w:color w:val="auto"/>
                <w:sz w:val="24"/>
                <w:highlight w:val="none"/>
              </w:rPr>
            </w:pPr>
          </w:p>
        </w:tc>
      </w:tr>
    </w:tbl>
    <w:p w14:paraId="1148DA39">
      <w:pPr>
        <w:shd w:val="clear"/>
        <w:spacing w:line="360" w:lineRule="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color w:val="auto"/>
          <w:sz w:val="24"/>
          <w:highlight w:val="none"/>
        </w:rPr>
        <w:t>注：投标人可按上述的格式自行编制，须随表提交相应的证书扫描件并注明所在投标技术文件页码。</w:t>
      </w:r>
    </w:p>
    <w:p w14:paraId="6A912834">
      <w:pPr>
        <w:shd w:val="clear"/>
        <w:spacing w:line="360" w:lineRule="auto"/>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b/>
          <w:color w:val="auto"/>
          <w:sz w:val="24"/>
          <w:highlight w:val="none"/>
        </w:rPr>
        <w:t>附表C:本项目的项目负责人和小组人员社会保障资金记录情况表</w:t>
      </w:r>
      <w:r>
        <w:rPr>
          <w:rFonts w:hint="eastAsia" w:ascii="仿宋_GB2312" w:hAnsi="仿宋_GB2312" w:eastAsia="仿宋_GB2312" w:cs="仿宋_GB2312"/>
          <w:color w:val="auto"/>
          <w:sz w:val="24"/>
          <w:highlight w:val="none"/>
        </w:rPr>
        <w:t>（以社保部门出具缴纳凭证作附件）</w:t>
      </w:r>
    </w:p>
    <w:p w14:paraId="36AC8BE0">
      <w:pPr>
        <w:shd w:val="clear"/>
        <w:spacing w:line="336"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投标人名称（电子签名）：</w:t>
      </w:r>
    </w:p>
    <w:p w14:paraId="143CB751">
      <w:pPr>
        <w:shd w:val="clear"/>
        <w:spacing w:line="336" w:lineRule="auto"/>
        <w:jc w:val="center"/>
        <w:rPr>
          <w:rFonts w:hint="eastAsia" w:ascii="仿宋" w:hAnsi="仿宋" w:eastAsia="仿宋" w:cs="仿宋_GB2312"/>
          <w:color w:val="auto"/>
          <w:sz w:val="32"/>
          <w:szCs w:val="32"/>
          <w:highlight w:val="none"/>
        </w:rPr>
      </w:pPr>
      <w:r>
        <w:rPr>
          <w:rFonts w:hint="eastAsia" w:ascii="仿宋" w:hAnsi="仿宋" w:eastAsia="仿宋" w:cs="仿宋"/>
          <w:color w:val="auto"/>
          <w:sz w:val="24"/>
          <w:highlight w:val="none"/>
        </w:rPr>
        <w:t xml:space="preserve">     日期：  年   月   日</w:t>
      </w:r>
    </w:p>
    <w:p w14:paraId="56AD687A">
      <w:pPr>
        <w:pStyle w:val="3"/>
        <w:shd w:val="clear"/>
        <w:tabs>
          <w:tab w:val="left" w:pos="1318"/>
          <w:tab w:val="center" w:pos="4513"/>
          <w:tab w:val="clear" w:pos="432"/>
        </w:tabs>
        <w:spacing w:before="0" w:after="0" w:line="440" w:lineRule="exact"/>
        <w:ind w:left="0" w:firstLine="0"/>
        <w:jc w:val="center"/>
        <w:rPr>
          <w:rFonts w:hint="eastAsia" w:ascii="仿宋" w:hAnsi="仿宋" w:eastAsia="仿宋" w:cs="仿宋_GB2312"/>
          <w:color w:val="auto"/>
          <w:kern w:val="2"/>
          <w:sz w:val="32"/>
          <w:szCs w:val="32"/>
          <w:highlight w:val="none"/>
        </w:rPr>
      </w:pPr>
    </w:p>
    <w:p w14:paraId="117852B0">
      <w:pPr>
        <w:widowControl/>
        <w:shd w:val="clear"/>
        <w:adjustRightInd/>
        <w:jc w:val="center"/>
        <w:rPr>
          <w:rFonts w:hint="eastAsia" w:ascii="仿宋" w:hAnsi="仿宋" w:eastAsia="仿宋" w:cs="仿宋_GB2312"/>
          <w:b/>
          <w:bCs/>
          <w:color w:val="auto"/>
          <w:sz w:val="32"/>
          <w:szCs w:val="32"/>
          <w:highlight w:val="none"/>
        </w:rPr>
      </w:pPr>
    </w:p>
    <w:p w14:paraId="5AB95A63">
      <w:pPr>
        <w:widowControl/>
        <w:shd w:val="clear"/>
        <w:adjustRightInd/>
        <w:jc w:val="center"/>
        <w:rPr>
          <w:rFonts w:hint="eastAsia" w:ascii="仿宋" w:hAnsi="仿宋" w:eastAsia="仿宋" w:cs="仿宋_GB2312"/>
          <w:b/>
          <w:bCs/>
          <w:color w:val="auto"/>
          <w:sz w:val="32"/>
          <w:szCs w:val="32"/>
          <w:highlight w:val="none"/>
        </w:rPr>
      </w:pPr>
    </w:p>
    <w:p w14:paraId="3D7B1FA3">
      <w:pPr>
        <w:widowControl/>
        <w:shd w:val="clear"/>
        <w:adjustRightInd/>
        <w:jc w:val="center"/>
        <w:rPr>
          <w:rFonts w:hint="eastAsia" w:ascii="仿宋" w:hAnsi="仿宋" w:eastAsia="仿宋" w:cs="仿宋"/>
          <w:b/>
          <w:color w:val="auto"/>
          <w:kern w:val="0"/>
          <w:sz w:val="32"/>
          <w:szCs w:val="32"/>
          <w:highlight w:val="none"/>
        </w:rPr>
      </w:pPr>
      <w:r>
        <w:rPr>
          <w:rFonts w:hint="eastAsia" w:ascii="仿宋" w:hAnsi="仿宋" w:eastAsia="仿宋" w:cs="仿宋_GB2312"/>
          <w:b/>
          <w:bCs/>
          <w:color w:val="auto"/>
          <w:sz w:val="32"/>
          <w:szCs w:val="32"/>
          <w:highlight w:val="none"/>
        </w:rPr>
        <w:t>十</w:t>
      </w:r>
      <w:r>
        <w:rPr>
          <w:rFonts w:hint="eastAsia" w:ascii="仿宋" w:hAnsi="仿宋" w:eastAsia="仿宋" w:cs="仿宋_GB2312"/>
          <w:b/>
          <w:bCs/>
          <w:color w:val="auto"/>
          <w:sz w:val="32"/>
          <w:szCs w:val="32"/>
          <w:highlight w:val="none"/>
          <w:lang w:val="en-US" w:eastAsia="zh-CN"/>
        </w:rPr>
        <w:t>三</w:t>
      </w:r>
      <w:r>
        <w:rPr>
          <w:rFonts w:hint="eastAsia" w:ascii="仿宋" w:hAnsi="仿宋" w:eastAsia="仿宋" w:cs="仿宋"/>
          <w:b/>
          <w:color w:val="auto"/>
          <w:kern w:val="0"/>
          <w:sz w:val="32"/>
          <w:szCs w:val="32"/>
          <w:highlight w:val="none"/>
        </w:rPr>
        <w:t>、</w:t>
      </w:r>
      <w:r>
        <w:rPr>
          <w:rFonts w:hint="eastAsia" w:ascii="仿宋" w:hAnsi="仿宋" w:eastAsia="仿宋" w:cs="仿宋"/>
          <w:b/>
          <w:color w:val="auto"/>
          <w:kern w:val="0"/>
          <w:sz w:val="32"/>
          <w:szCs w:val="32"/>
          <w:highlight w:val="none"/>
          <w:lang w:val="zh-CN"/>
        </w:rPr>
        <w:t>政府采购供应商廉洁自律承诺书</w:t>
      </w:r>
    </w:p>
    <w:p w14:paraId="04621D4B">
      <w:pPr>
        <w:shd w:val="clear"/>
        <w:snapToGrid w:val="0"/>
        <w:spacing w:line="360" w:lineRule="auto"/>
        <w:rPr>
          <w:rFonts w:hint="eastAsia" w:ascii="仿宋" w:hAnsi="仿宋" w:eastAsia="仿宋" w:cs="仿宋"/>
          <w:color w:val="auto"/>
          <w:sz w:val="24"/>
          <w:highlight w:val="none"/>
        </w:rPr>
      </w:pPr>
    </w:p>
    <w:p w14:paraId="3E38E508">
      <w:pPr>
        <w:shd w:val="clea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（采购人）、（采购代理机构）</w:t>
      </w:r>
      <w:r>
        <w:rPr>
          <w:rFonts w:hint="eastAsia" w:ascii="仿宋" w:hAnsi="仿宋" w:eastAsia="仿宋" w:cs="仿宋"/>
          <w:color w:val="auto"/>
          <w:kern w:val="0"/>
          <w:sz w:val="24"/>
          <w:highlight w:val="none"/>
          <w:lang w:val="zh-CN"/>
        </w:rPr>
        <w:t>：</w:t>
      </w:r>
    </w:p>
    <w:p w14:paraId="3777E47C">
      <w:pPr>
        <w:shd w:val="clea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我单位响应你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项目招标要求参加投标。在这次投标过程中和中标后，我们将严格遵守国家法律法规要求，并郑重承诺：</w:t>
      </w:r>
    </w:p>
    <w:p w14:paraId="0BAA43D7">
      <w:pPr>
        <w:shd w:val="clea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一、不向项目有关人员及部门赠送礼金礼物、有价证券、回扣以及中介费、介绍费、咨询费等好处费； </w:t>
      </w:r>
    </w:p>
    <w:p w14:paraId="7081C9D9">
      <w:pPr>
        <w:shd w:val="clea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二、不为项目有关人员及部门报销应由你方单位或个人支付的费用； </w:t>
      </w:r>
    </w:p>
    <w:p w14:paraId="01CBF5CF">
      <w:pPr>
        <w:shd w:val="clea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三、不向项目有关人员及部门提供有可能影响公正的宴请和健身娱乐等活动； </w:t>
      </w:r>
    </w:p>
    <w:p w14:paraId="41440ACE">
      <w:pPr>
        <w:shd w:val="clea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四、不为项目有关人员及部门出国（境）、旅游等提供方便；</w:t>
      </w:r>
    </w:p>
    <w:p w14:paraId="319A2BA1">
      <w:pPr>
        <w:shd w:val="clear"/>
        <w:autoSpaceDE w:val="0"/>
        <w:autoSpaceDN w:val="0"/>
        <w:spacing w:line="360" w:lineRule="auto"/>
        <w:ind w:left="481" w:leftChars="229"/>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五、不为项目有关人员个人装修住房、婚丧嫁娶、配偶子女工作安排等提供</w:t>
      </w:r>
    </w:p>
    <w:p w14:paraId="67642EA5">
      <w:pPr>
        <w:shd w:val="clear"/>
        <w:autoSpaceDE w:val="0"/>
        <w:autoSpaceDN w:val="0"/>
        <w:spacing w:line="360" w:lineRule="auto"/>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好处；</w:t>
      </w:r>
    </w:p>
    <w:p w14:paraId="1D9F8DD4">
      <w:pPr>
        <w:shd w:val="clear"/>
        <w:autoSpaceDE w:val="0"/>
        <w:autoSpaceDN w:val="0"/>
        <w:spacing w:line="360" w:lineRule="auto"/>
        <w:ind w:left="481" w:leftChars="229"/>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六、严格遵守《</w:t>
      </w:r>
      <w:r>
        <w:rPr>
          <w:rFonts w:hint="eastAsia" w:ascii="仿宋" w:hAnsi="仿宋" w:eastAsia="仿宋" w:cs="仿宋"/>
          <w:color w:val="auto"/>
          <w:sz w:val="24"/>
          <w:highlight w:val="none"/>
          <w:lang w:val="zh-CN"/>
        </w:rPr>
        <w:t>中华人民共和国</w:t>
      </w:r>
      <w:r>
        <w:rPr>
          <w:rFonts w:hint="eastAsia" w:ascii="仿宋" w:hAnsi="仿宋" w:eastAsia="仿宋" w:cs="仿宋"/>
          <w:color w:val="auto"/>
          <w:kern w:val="0"/>
          <w:sz w:val="24"/>
          <w:highlight w:val="none"/>
          <w:lang w:val="zh-CN"/>
        </w:rPr>
        <w:t>政府采购法》《</w:t>
      </w:r>
      <w:r>
        <w:rPr>
          <w:rFonts w:hint="eastAsia" w:ascii="仿宋" w:hAnsi="仿宋" w:eastAsia="仿宋" w:cs="仿宋"/>
          <w:color w:val="auto"/>
          <w:sz w:val="24"/>
          <w:highlight w:val="none"/>
          <w:lang w:val="zh-CN"/>
        </w:rPr>
        <w:t>中华人民共和国</w:t>
      </w:r>
      <w:r>
        <w:rPr>
          <w:rFonts w:hint="eastAsia" w:ascii="仿宋" w:hAnsi="仿宋" w:eastAsia="仿宋" w:cs="仿宋"/>
          <w:color w:val="auto"/>
          <w:kern w:val="0"/>
          <w:sz w:val="24"/>
          <w:highlight w:val="none"/>
          <w:lang w:val="zh-CN"/>
        </w:rPr>
        <w:t>招标投标</w:t>
      </w:r>
    </w:p>
    <w:p w14:paraId="51A68696">
      <w:pPr>
        <w:shd w:val="clear"/>
        <w:autoSpaceDE w:val="0"/>
        <w:autoSpaceDN w:val="0"/>
        <w:spacing w:line="360" w:lineRule="auto"/>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法》</w:t>
      </w:r>
      <w:r>
        <w:rPr>
          <w:rFonts w:hint="eastAsia" w:ascii="仿宋" w:hAnsi="仿宋" w:eastAsia="仿宋" w:cs="仿宋"/>
          <w:color w:val="auto"/>
          <w:sz w:val="24"/>
          <w:highlight w:val="none"/>
          <w:lang w:val="zh-CN"/>
        </w:rPr>
        <w:t>《中华人民共和国民法典》</w:t>
      </w:r>
      <w:r>
        <w:rPr>
          <w:rFonts w:hint="eastAsia" w:ascii="仿宋" w:hAnsi="仿宋" w:eastAsia="仿宋" w:cs="仿宋"/>
          <w:color w:val="auto"/>
          <w:kern w:val="0"/>
          <w:sz w:val="24"/>
          <w:highlight w:val="none"/>
          <w:lang w:val="zh-CN"/>
        </w:rPr>
        <w:t xml:space="preserve">等法律法规，诚实守信，合法经营，坚决抵制各种违法违纪行为。 </w:t>
      </w:r>
    </w:p>
    <w:p w14:paraId="4936CFEF">
      <w:pPr>
        <w:shd w:val="clear"/>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如违反上述承诺，你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有权立即取消我单位投标、中标或在建项目的建设资格，有权拒绝我单位在一定时期内进入你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进行项目建设或其他经营活动，并通报市财政局。由此引起的相应损失均由我单位承担。</w:t>
      </w:r>
    </w:p>
    <w:p w14:paraId="41A02BD5">
      <w:pPr>
        <w:shd w:val="clear"/>
        <w:autoSpaceDE w:val="0"/>
        <w:autoSpaceDN w:val="0"/>
        <w:spacing w:line="360" w:lineRule="auto"/>
        <w:ind w:left="2"/>
        <w:jc w:val="left"/>
        <w:rPr>
          <w:rFonts w:hint="eastAsia" w:ascii="仿宋" w:hAnsi="仿宋" w:eastAsia="仿宋" w:cs="仿宋"/>
          <w:color w:val="auto"/>
          <w:kern w:val="0"/>
          <w:sz w:val="24"/>
          <w:highlight w:val="none"/>
          <w:lang w:val="zh-CN"/>
        </w:rPr>
      </w:pPr>
    </w:p>
    <w:p w14:paraId="6A6CF3DC">
      <w:pPr>
        <w:shd w:val="clear"/>
        <w:autoSpaceDE w:val="0"/>
        <w:autoSpaceDN w:val="0"/>
        <w:spacing w:line="360" w:lineRule="auto"/>
        <w:ind w:left="2"/>
        <w:jc w:val="left"/>
        <w:rPr>
          <w:rFonts w:hint="eastAsia" w:ascii="仿宋" w:hAnsi="仿宋" w:eastAsia="仿宋" w:cs="仿宋"/>
          <w:color w:val="auto"/>
          <w:kern w:val="0"/>
          <w:sz w:val="24"/>
          <w:highlight w:val="none"/>
          <w:lang w:val="zh-CN"/>
        </w:rPr>
      </w:pPr>
    </w:p>
    <w:p w14:paraId="269075A4">
      <w:pPr>
        <w:shd w:val="clear"/>
        <w:autoSpaceDE w:val="0"/>
        <w:autoSpaceDN w:val="0"/>
        <w:spacing w:line="360" w:lineRule="auto"/>
        <w:ind w:left="2"/>
        <w:jc w:val="left"/>
        <w:rPr>
          <w:rFonts w:hint="eastAsia" w:ascii="仿宋" w:hAnsi="仿宋" w:eastAsia="仿宋" w:cs="仿宋"/>
          <w:color w:val="auto"/>
          <w:kern w:val="0"/>
          <w:sz w:val="24"/>
          <w:highlight w:val="none"/>
          <w:lang w:val="zh-CN"/>
        </w:rPr>
      </w:pPr>
    </w:p>
    <w:p w14:paraId="6D3FF860">
      <w:pPr>
        <w:shd w:val="clear"/>
        <w:autoSpaceDE w:val="0"/>
        <w:autoSpaceDN w:val="0"/>
        <w:spacing w:line="360" w:lineRule="auto"/>
        <w:ind w:left="2" w:leftChars="1" w:right="1120" w:firstLine="4560" w:firstLineChars="19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投标人名称（</w:t>
      </w:r>
      <w:r>
        <w:rPr>
          <w:rFonts w:hint="eastAsia" w:ascii="仿宋" w:hAnsi="仿宋" w:eastAsia="仿宋" w:cs="仿宋"/>
          <w:color w:val="auto"/>
          <w:sz w:val="24"/>
          <w:highlight w:val="none"/>
        </w:rPr>
        <w:t>电子签名</w:t>
      </w:r>
      <w:r>
        <w:rPr>
          <w:rFonts w:hint="eastAsia" w:ascii="仿宋" w:hAnsi="仿宋" w:eastAsia="仿宋" w:cs="仿宋"/>
          <w:color w:val="auto"/>
          <w:kern w:val="0"/>
          <w:sz w:val="24"/>
          <w:highlight w:val="none"/>
          <w:lang w:val="zh-CN"/>
        </w:rPr>
        <w:t xml:space="preserve">）：                                                                                                                                                                                                               </w:t>
      </w:r>
    </w:p>
    <w:p w14:paraId="7CECF051">
      <w:pPr>
        <w:shd w:val="clear"/>
        <w:spacing w:line="360" w:lineRule="auto"/>
        <w:ind w:left="4620" w:leftChars="2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 xml:space="preserve">   年   月   日</w:t>
      </w:r>
    </w:p>
    <w:p w14:paraId="024AD994">
      <w:pPr>
        <w:shd w:val="clear"/>
        <w:spacing w:line="360" w:lineRule="auto"/>
        <w:jc w:val="center"/>
        <w:rPr>
          <w:rFonts w:hint="eastAsia" w:ascii="仿宋" w:hAnsi="仿宋" w:eastAsia="仿宋" w:cs="仿宋"/>
          <w:b/>
          <w:bCs/>
          <w:color w:val="auto"/>
          <w:sz w:val="24"/>
          <w:highlight w:val="none"/>
        </w:rPr>
      </w:pPr>
    </w:p>
    <w:p w14:paraId="7B9E2275">
      <w:pPr>
        <w:shd w:val="clea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254097AB">
      <w:pPr>
        <w:shd w:val="clea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br w:type="page"/>
      </w:r>
    </w:p>
    <w:p w14:paraId="56349E1D">
      <w:pPr>
        <w:shd w:val="clear"/>
        <w:spacing w:line="360" w:lineRule="auto"/>
        <w:jc w:val="center"/>
        <w:rPr>
          <w:rFonts w:hint="eastAsia" w:ascii="仿宋_GB2312" w:hAnsi="仿宋_GB2312" w:eastAsia="仿宋_GB2312" w:cs="仿宋_GB2312"/>
          <w:b/>
          <w:color w:val="auto"/>
          <w:kern w:val="0"/>
          <w:sz w:val="32"/>
          <w:szCs w:val="32"/>
          <w:highlight w:val="none"/>
          <w:lang w:val="zh-CN"/>
        </w:rPr>
      </w:pPr>
      <w:r>
        <w:rPr>
          <w:rFonts w:hint="eastAsia" w:ascii="仿宋_GB2312" w:hAnsi="仿宋_GB2312" w:eastAsia="仿宋_GB2312" w:cs="仿宋_GB2312"/>
          <w:b/>
          <w:bCs/>
          <w:color w:val="auto"/>
          <w:sz w:val="32"/>
          <w:szCs w:val="32"/>
          <w:highlight w:val="none"/>
        </w:rPr>
        <w:t>十</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、认为需要的</w:t>
      </w:r>
      <w:r>
        <w:rPr>
          <w:rFonts w:hint="eastAsia" w:ascii="仿宋_GB2312" w:hAnsi="仿宋_GB2312" w:eastAsia="仿宋_GB2312" w:cs="仿宋_GB2312"/>
          <w:b/>
          <w:color w:val="auto"/>
          <w:kern w:val="0"/>
          <w:sz w:val="32"/>
          <w:szCs w:val="32"/>
          <w:highlight w:val="none"/>
          <w:lang w:val="zh-CN"/>
        </w:rPr>
        <w:t>其他商务技术文件或说明</w:t>
      </w:r>
    </w:p>
    <w:p w14:paraId="307889FB">
      <w:pPr>
        <w:shd w:val="clea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（由投标人根据采购需求自行编制）</w:t>
      </w:r>
    </w:p>
    <w:p w14:paraId="495CDA3B">
      <w:pPr>
        <w:shd w:val="clear"/>
        <w:spacing w:line="360" w:lineRule="auto"/>
        <w:rPr>
          <w:rFonts w:hint="eastAsia" w:ascii="仿宋_GB2312" w:hAnsi="仿宋_GB2312" w:eastAsia="仿宋_GB2312" w:cs="仿宋_GB2312"/>
          <w:color w:val="auto"/>
          <w:sz w:val="24"/>
          <w:highlight w:val="none"/>
        </w:rPr>
      </w:pPr>
    </w:p>
    <w:p w14:paraId="7BF4E82D">
      <w:pPr>
        <w:shd w:val="clear"/>
        <w:spacing w:line="336" w:lineRule="auto"/>
        <w:ind w:firstLine="3600" w:firstLineChars="15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投标人名称（电子签名）：                          </w:t>
      </w:r>
    </w:p>
    <w:p w14:paraId="3316F5AF">
      <w:pPr>
        <w:shd w:val="clear"/>
        <w:spacing w:line="336"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1C0F6857">
      <w:pPr>
        <w:pStyle w:val="33"/>
        <w:shd w:val="clear"/>
        <w:rPr>
          <w:color w:val="auto"/>
          <w:highlight w:val="none"/>
        </w:rPr>
        <w:sectPr>
          <w:headerReference r:id="rId14" w:type="first"/>
          <w:footerReference r:id="rId16" w:type="first"/>
          <w:headerReference r:id="rId13" w:type="default"/>
          <w:footerReference r:id="rId15" w:type="default"/>
          <w:pgSz w:w="11906" w:h="16838"/>
          <w:pgMar w:top="1276" w:right="1418" w:bottom="1247" w:left="1418" w:header="851" w:footer="992" w:gutter="0"/>
          <w:cols w:space="720" w:num="1"/>
          <w:titlePg/>
          <w:docGrid w:linePitch="312" w:charSpace="0"/>
        </w:sectPr>
      </w:pPr>
    </w:p>
    <w:p w14:paraId="57A88187">
      <w:pPr>
        <w:shd w:val="clear"/>
        <w:spacing w:line="360" w:lineRule="auto"/>
        <w:outlineLvl w:val="0"/>
        <w:rPr>
          <w:rFonts w:hint="eastAsia" w:ascii="仿宋" w:hAnsi="仿宋" w:eastAsia="仿宋" w:cs="仿宋"/>
          <w:b/>
          <w:color w:val="auto"/>
          <w:kern w:val="0"/>
          <w:sz w:val="36"/>
          <w:szCs w:val="36"/>
          <w:highlight w:val="none"/>
        </w:rPr>
      </w:pPr>
    </w:p>
    <w:p w14:paraId="4F52D3E7">
      <w:pPr>
        <w:shd w:val="clea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报价文件部分</w:t>
      </w:r>
    </w:p>
    <w:p w14:paraId="254A511A">
      <w:pPr>
        <w:shd w:val="clea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1F3015AA">
      <w:pPr>
        <w:shd w:val="clear"/>
        <w:spacing w:line="360" w:lineRule="auto"/>
        <w:jc w:val="center"/>
        <w:outlineLvl w:val="0"/>
        <w:rPr>
          <w:rFonts w:hint="eastAsia" w:ascii="仿宋" w:hAnsi="仿宋" w:eastAsia="仿宋" w:cs="仿宋"/>
          <w:b/>
          <w:color w:val="auto"/>
          <w:kern w:val="0"/>
          <w:sz w:val="36"/>
          <w:szCs w:val="36"/>
          <w:highlight w:val="none"/>
        </w:rPr>
      </w:pPr>
    </w:p>
    <w:p w14:paraId="517AA3A9">
      <w:pPr>
        <w:shd w:val="clea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（1）开标一览表（报价表）………………………………………………………（页码）</w:t>
      </w:r>
    </w:p>
    <w:p w14:paraId="18569431">
      <w:pPr>
        <w:shd w:val="clea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（2）中小企业声明函………………………………………………………………（页码）</w:t>
      </w:r>
    </w:p>
    <w:p w14:paraId="4D631677">
      <w:pPr>
        <w:pStyle w:val="12"/>
        <w:shd w:val="clear"/>
        <w:snapToGrid w:val="0"/>
        <w:rPr>
          <w:rFonts w:hint="eastAsia" w:ascii="仿宋" w:hAnsi="仿宋" w:eastAsia="仿宋" w:cs="仿宋"/>
          <w:color w:val="auto"/>
          <w:highlight w:val="none"/>
        </w:rPr>
      </w:pPr>
      <w:r>
        <w:rPr>
          <w:rFonts w:ascii="仿宋" w:hAnsi="仿宋" w:eastAsia="仿宋" w:cs="仿宋"/>
          <w:color w:val="auto"/>
          <w:szCs w:val="24"/>
          <w:highlight w:val="none"/>
          <w:lang w:val="en-US"/>
        </w:rPr>
        <w:t>（</w:t>
      </w:r>
      <w:r>
        <w:rPr>
          <w:rFonts w:hint="eastAsia" w:ascii="仿宋" w:hAnsi="仿宋" w:eastAsia="仿宋" w:cs="仿宋"/>
          <w:color w:val="auto"/>
          <w:szCs w:val="24"/>
          <w:highlight w:val="none"/>
          <w:lang w:val="en-US" w:eastAsia="zh-CN"/>
        </w:rPr>
        <w:t>3</w:t>
      </w:r>
      <w:r>
        <w:rPr>
          <w:rFonts w:ascii="仿宋" w:hAnsi="仿宋" w:eastAsia="仿宋" w:cs="仿宋"/>
          <w:color w:val="auto"/>
          <w:szCs w:val="24"/>
          <w:highlight w:val="none"/>
          <w:lang w:val="en-US"/>
        </w:rPr>
        <w:t>）残疾人福利性单位声明函……………………………………………………（页码）</w:t>
      </w:r>
    </w:p>
    <w:p w14:paraId="0FE4737B">
      <w:pPr>
        <w:shd w:val="clear"/>
        <w:snapToGrid w:val="0"/>
        <w:spacing w:line="360" w:lineRule="auto"/>
        <w:ind w:right="480"/>
        <w:jc w:val="center"/>
        <w:rPr>
          <w:rFonts w:hint="eastAsia" w:ascii="仿宋" w:hAnsi="仿宋" w:eastAsia="仿宋" w:cs="仿宋"/>
          <w:b/>
          <w:color w:val="auto"/>
          <w:kern w:val="0"/>
          <w:sz w:val="32"/>
          <w:szCs w:val="32"/>
          <w:highlight w:val="none"/>
        </w:rPr>
      </w:pPr>
    </w:p>
    <w:p w14:paraId="52E25504">
      <w:pPr>
        <w:shd w:val="clear"/>
        <w:snapToGrid w:val="0"/>
        <w:spacing w:line="360" w:lineRule="auto"/>
        <w:ind w:right="480"/>
        <w:jc w:val="center"/>
        <w:rPr>
          <w:rFonts w:hint="eastAsia" w:ascii="仿宋" w:hAnsi="仿宋" w:eastAsia="仿宋" w:cs="仿宋"/>
          <w:b/>
          <w:color w:val="auto"/>
          <w:kern w:val="0"/>
          <w:sz w:val="32"/>
          <w:szCs w:val="32"/>
          <w:highlight w:val="none"/>
        </w:rPr>
      </w:pPr>
    </w:p>
    <w:p w14:paraId="075A7312">
      <w:pPr>
        <w:shd w:val="clear"/>
        <w:snapToGrid w:val="0"/>
        <w:spacing w:line="360" w:lineRule="auto"/>
        <w:ind w:right="480"/>
        <w:jc w:val="center"/>
        <w:rPr>
          <w:rFonts w:hint="eastAsia" w:ascii="仿宋" w:hAnsi="仿宋" w:eastAsia="仿宋" w:cs="仿宋"/>
          <w:b/>
          <w:color w:val="auto"/>
          <w:kern w:val="0"/>
          <w:sz w:val="32"/>
          <w:szCs w:val="32"/>
          <w:highlight w:val="none"/>
        </w:rPr>
      </w:pPr>
    </w:p>
    <w:p w14:paraId="7539A12A">
      <w:pPr>
        <w:shd w:val="clear"/>
        <w:snapToGrid w:val="0"/>
        <w:spacing w:line="360" w:lineRule="auto"/>
        <w:ind w:right="480"/>
        <w:jc w:val="center"/>
        <w:rPr>
          <w:rFonts w:hint="eastAsia" w:ascii="仿宋" w:hAnsi="仿宋" w:eastAsia="仿宋" w:cs="仿宋"/>
          <w:b/>
          <w:color w:val="auto"/>
          <w:kern w:val="0"/>
          <w:sz w:val="32"/>
          <w:szCs w:val="32"/>
          <w:highlight w:val="none"/>
        </w:rPr>
      </w:pPr>
    </w:p>
    <w:p w14:paraId="3E2E1611">
      <w:pPr>
        <w:shd w:val="clear"/>
        <w:snapToGrid w:val="0"/>
        <w:spacing w:line="360" w:lineRule="auto"/>
        <w:ind w:right="480"/>
        <w:jc w:val="center"/>
        <w:rPr>
          <w:rFonts w:hint="eastAsia" w:ascii="仿宋" w:hAnsi="仿宋" w:eastAsia="仿宋" w:cs="仿宋"/>
          <w:b/>
          <w:color w:val="auto"/>
          <w:kern w:val="0"/>
          <w:sz w:val="32"/>
          <w:szCs w:val="32"/>
          <w:highlight w:val="none"/>
        </w:rPr>
      </w:pPr>
    </w:p>
    <w:p w14:paraId="417254DA">
      <w:pPr>
        <w:shd w:val="clear"/>
        <w:snapToGrid w:val="0"/>
        <w:spacing w:line="360" w:lineRule="auto"/>
        <w:ind w:right="480"/>
        <w:jc w:val="center"/>
        <w:rPr>
          <w:rFonts w:hint="eastAsia" w:ascii="仿宋" w:hAnsi="仿宋" w:eastAsia="仿宋" w:cs="仿宋"/>
          <w:b/>
          <w:color w:val="auto"/>
          <w:kern w:val="0"/>
          <w:sz w:val="32"/>
          <w:szCs w:val="32"/>
          <w:highlight w:val="none"/>
        </w:rPr>
      </w:pPr>
    </w:p>
    <w:p w14:paraId="2EEB38DE">
      <w:pPr>
        <w:shd w:val="clear"/>
        <w:snapToGrid w:val="0"/>
        <w:spacing w:line="360" w:lineRule="auto"/>
        <w:ind w:right="480"/>
        <w:jc w:val="center"/>
        <w:rPr>
          <w:rFonts w:hint="eastAsia" w:ascii="仿宋" w:hAnsi="仿宋" w:eastAsia="仿宋" w:cs="仿宋"/>
          <w:b/>
          <w:color w:val="auto"/>
          <w:kern w:val="0"/>
          <w:sz w:val="32"/>
          <w:szCs w:val="32"/>
          <w:highlight w:val="none"/>
        </w:rPr>
      </w:pPr>
    </w:p>
    <w:p w14:paraId="748CC5E8">
      <w:pPr>
        <w:shd w:val="clear"/>
        <w:snapToGrid w:val="0"/>
        <w:spacing w:line="360" w:lineRule="auto"/>
        <w:ind w:right="480"/>
        <w:jc w:val="center"/>
        <w:rPr>
          <w:rFonts w:hint="eastAsia" w:ascii="仿宋" w:hAnsi="仿宋" w:eastAsia="仿宋" w:cs="仿宋"/>
          <w:b/>
          <w:color w:val="auto"/>
          <w:kern w:val="0"/>
          <w:sz w:val="32"/>
          <w:szCs w:val="32"/>
          <w:highlight w:val="none"/>
        </w:rPr>
      </w:pPr>
    </w:p>
    <w:p w14:paraId="3C6A812C">
      <w:pPr>
        <w:shd w:val="clear"/>
        <w:snapToGrid w:val="0"/>
        <w:spacing w:line="360" w:lineRule="auto"/>
        <w:ind w:right="480"/>
        <w:jc w:val="center"/>
        <w:rPr>
          <w:rFonts w:hint="eastAsia" w:ascii="仿宋" w:hAnsi="仿宋" w:eastAsia="仿宋" w:cs="仿宋"/>
          <w:b/>
          <w:color w:val="auto"/>
          <w:kern w:val="0"/>
          <w:sz w:val="32"/>
          <w:szCs w:val="32"/>
          <w:highlight w:val="none"/>
        </w:rPr>
      </w:pPr>
    </w:p>
    <w:p w14:paraId="76C710A1">
      <w:pPr>
        <w:shd w:val="clear"/>
        <w:snapToGrid w:val="0"/>
        <w:spacing w:line="360" w:lineRule="auto"/>
        <w:ind w:right="480"/>
        <w:jc w:val="center"/>
        <w:rPr>
          <w:rFonts w:hint="eastAsia" w:ascii="仿宋" w:hAnsi="仿宋" w:eastAsia="仿宋" w:cs="仿宋"/>
          <w:b/>
          <w:color w:val="auto"/>
          <w:kern w:val="0"/>
          <w:sz w:val="32"/>
          <w:szCs w:val="32"/>
          <w:highlight w:val="none"/>
        </w:rPr>
      </w:pPr>
    </w:p>
    <w:p w14:paraId="388052B2">
      <w:pPr>
        <w:shd w:val="clear"/>
        <w:snapToGrid w:val="0"/>
        <w:spacing w:line="360" w:lineRule="auto"/>
        <w:ind w:right="480"/>
        <w:jc w:val="center"/>
        <w:rPr>
          <w:rFonts w:hint="eastAsia" w:ascii="仿宋" w:hAnsi="仿宋" w:eastAsia="仿宋" w:cs="仿宋"/>
          <w:b/>
          <w:color w:val="auto"/>
          <w:kern w:val="0"/>
          <w:sz w:val="32"/>
          <w:szCs w:val="32"/>
          <w:highlight w:val="none"/>
        </w:rPr>
      </w:pPr>
    </w:p>
    <w:p w14:paraId="66328BE3">
      <w:pPr>
        <w:shd w:val="clear"/>
        <w:snapToGrid w:val="0"/>
        <w:spacing w:line="360" w:lineRule="auto"/>
        <w:ind w:right="480"/>
        <w:jc w:val="center"/>
        <w:rPr>
          <w:rFonts w:hint="eastAsia" w:ascii="仿宋" w:hAnsi="仿宋" w:eastAsia="仿宋" w:cs="仿宋"/>
          <w:b/>
          <w:color w:val="auto"/>
          <w:kern w:val="0"/>
          <w:sz w:val="32"/>
          <w:szCs w:val="32"/>
          <w:highlight w:val="none"/>
        </w:rPr>
      </w:pPr>
    </w:p>
    <w:p w14:paraId="76C44CD1">
      <w:pPr>
        <w:shd w:val="clear"/>
        <w:snapToGrid w:val="0"/>
        <w:spacing w:line="360" w:lineRule="auto"/>
        <w:ind w:right="480"/>
        <w:jc w:val="center"/>
        <w:rPr>
          <w:rFonts w:hint="eastAsia" w:ascii="仿宋" w:hAnsi="仿宋" w:eastAsia="仿宋" w:cs="仿宋"/>
          <w:b/>
          <w:color w:val="auto"/>
          <w:kern w:val="0"/>
          <w:sz w:val="32"/>
          <w:szCs w:val="32"/>
          <w:highlight w:val="none"/>
        </w:rPr>
      </w:pPr>
    </w:p>
    <w:p w14:paraId="0E617398">
      <w:pPr>
        <w:pStyle w:val="44"/>
        <w:keepNext w:val="0"/>
        <w:pageBreakBefore w:val="0"/>
        <w:shd w:val="clear"/>
        <w:tabs>
          <w:tab w:val="clear" w:pos="720"/>
        </w:tabs>
        <w:snapToGrid w:val="0"/>
        <w:spacing w:before="120" w:after="120"/>
        <w:ind w:firstLine="643"/>
        <w:outlineLvl w:val="9"/>
        <w:rPr>
          <w:rFonts w:hint="eastAsia" w:ascii="仿宋" w:hAnsi="仿宋" w:eastAsia="仿宋" w:cs="仿宋"/>
          <w:color w:val="auto"/>
          <w:kern w:val="2"/>
          <w:sz w:val="32"/>
          <w:szCs w:val="32"/>
          <w:highlight w:val="none"/>
        </w:rPr>
        <w:sectPr>
          <w:headerReference r:id="rId18" w:type="first"/>
          <w:footerReference r:id="rId20" w:type="first"/>
          <w:headerReference r:id="rId17" w:type="default"/>
          <w:footerReference r:id="rId19" w:type="default"/>
          <w:pgSz w:w="11906" w:h="16838"/>
          <w:pgMar w:top="1276" w:right="1418" w:bottom="1247" w:left="1418" w:header="851" w:footer="992" w:gutter="0"/>
          <w:cols w:space="720" w:num="1"/>
          <w:titlePg/>
          <w:docGrid w:linePitch="312" w:charSpace="0"/>
        </w:sectPr>
      </w:pPr>
    </w:p>
    <w:p w14:paraId="18713038">
      <w:pPr>
        <w:pStyle w:val="44"/>
        <w:keepNext w:val="0"/>
        <w:pageBreakBefore w:val="0"/>
        <w:shd w:val="clear"/>
        <w:tabs>
          <w:tab w:val="clear" w:pos="720"/>
        </w:tabs>
        <w:snapToGrid w:val="0"/>
        <w:spacing w:before="120" w:after="120"/>
        <w:ind w:firstLine="643"/>
        <w:outlineLvl w:val="9"/>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一、开标一览表（报价表）</w:t>
      </w:r>
    </w:p>
    <w:p w14:paraId="61B0244A">
      <w:pPr>
        <w:shd w:val="clear"/>
        <w:snapToGrid w:val="0"/>
        <w:spacing w:line="360" w:lineRule="auto"/>
        <w:ind w:firstLine="482"/>
        <w:rPr>
          <w:rFonts w:hint="eastAsia" w:ascii="仿宋" w:hAnsi="仿宋" w:eastAsia="仿宋" w:cs="仿宋"/>
          <w:color w:val="auto"/>
          <w:sz w:val="24"/>
          <w:highlight w:val="none"/>
        </w:rPr>
      </w:pPr>
    </w:p>
    <w:p w14:paraId="3E9FF800">
      <w:pPr>
        <w:shd w:val="clear"/>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14:paraId="249BFFE9">
      <w:pPr>
        <w:shd w:val="clear"/>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p w14:paraId="64CE2295">
      <w:pPr>
        <w:shd w:val="clear"/>
        <w:snapToGrid w:val="0"/>
        <w:spacing w:line="360" w:lineRule="auto"/>
        <w:ind w:firstLine="482"/>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rPr>
        <w:t>单位：人民币</w:t>
      </w:r>
    </w:p>
    <w:tbl>
      <w:tblPr>
        <w:tblStyle w:val="25"/>
        <w:tblW w:w="8965" w:type="dxa"/>
        <w:tblInd w:w="0" w:type="dxa"/>
        <w:tblLayout w:type="fixed"/>
        <w:tblCellMar>
          <w:top w:w="0" w:type="dxa"/>
          <w:left w:w="0" w:type="dxa"/>
          <w:bottom w:w="0" w:type="dxa"/>
          <w:right w:w="0" w:type="dxa"/>
        </w:tblCellMar>
      </w:tblPr>
      <w:tblGrid>
        <w:gridCol w:w="826"/>
        <w:gridCol w:w="3130"/>
        <w:gridCol w:w="1420"/>
        <w:gridCol w:w="2220"/>
        <w:gridCol w:w="1369"/>
      </w:tblGrid>
      <w:tr w14:paraId="1866772D">
        <w:tblPrEx>
          <w:tblCellMar>
            <w:top w:w="0" w:type="dxa"/>
            <w:left w:w="0" w:type="dxa"/>
            <w:bottom w:w="0" w:type="dxa"/>
            <w:right w:w="0" w:type="dxa"/>
          </w:tblCellMar>
        </w:tblPrEx>
        <w:trPr>
          <w:trHeight w:val="856" w:hRule="atLeast"/>
        </w:trPr>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4A4CD">
            <w:pPr>
              <w:widowControl/>
              <w:shd w:val="clear"/>
              <w:jc w:val="center"/>
              <w:textAlignment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kern w:val="0"/>
                <w:sz w:val="24"/>
                <w:szCs w:val="24"/>
                <w:highlight w:val="none"/>
                <w:lang w:val="en-US" w:eastAsia="zh-CN" w:bidi="ar"/>
              </w:rPr>
              <w:t>标项</w:t>
            </w:r>
          </w:p>
        </w:tc>
        <w:tc>
          <w:tcPr>
            <w:tcW w:w="3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8CF39">
            <w:pPr>
              <w:widowControl/>
              <w:shd w:val="clear"/>
              <w:jc w:val="center"/>
              <w:textAlignment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kern w:val="0"/>
                <w:sz w:val="24"/>
                <w:szCs w:val="24"/>
                <w:highlight w:val="none"/>
                <w:lang w:val="en-US" w:eastAsia="zh-CN" w:bidi="ar"/>
              </w:rPr>
              <w:t>标项名称</w:t>
            </w:r>
          </w:p>
        </w:tc>
        <w:tc>
          <w:tcPr>
            <w:tcW w:w="1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C5BB9">
            <w:pPr>
              <w:widowControl/>
              <w:shd w:val="clear"/>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kern w:val="0"/>
                <w:sz w:val="24"/>
                <w:szCs w:val="24"/>
                <w:highlight w:val="none"/>
                <w:lang w:eastAsia="zh-CN" w:bidi="ar"/>
              </w:rPr>
              <w:t>服务</w:t>
            </w:r>
            <w:r>
              <w:rPr>
                <w:rFonts w:hint="eastAsia" w:ascii="仿宋" w:hAnsi="仿宋" w:eastAsia="仿宋" w:cs="仿宋"/>
                <w:b/>
                <w:color w:val="auto"/>
                <w:kern w:val="0"/>
                <w:sz w:val="24"/>
                <w:szCs w:val="24"/>
                <w:highlight w:val="none"/>
                <w:lang w:val="en-US" w:eastAsia="zh-CN" w:bidi="ar"/>
              </w:rPr>
              <w:t>期</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A9CB3">
            <w:pPr>
              <w:widowControl/>
              <w:shd w:val="clear"/>
              <w:jc w:val="center"/>
              <w:textAlignment w:val="center"/>
              <w:rPr>
                <w:rFonts w:hint="eastAsia" w:ascii="仿宋" w:hAnsi="仿宋" w:eastAsia="仿宋" w:cs="仿宋"/>
                <w:b/>
                <w:color w:val="auto"/>
                <w:sz w:val="24"/>
                <w:szCs w:val="24"/>
                <w:highlight w:val="none"/>
                <w:lang w:val="en-US"/>
              </w:rPr>
            </w:pPr>
            <w:r>
              <w:rPr>
                <w:rFonts w:hint="eastAsia" w:ascii="仿宋" w:hAnsi="仿宋" w:eastAsia="仿宋" w:cs="仿宋"/>
                <w:b/>
                <w:color w:val="auto"/>
                <w:sz w:val="24"/>
                <w:szCs w:val="24"/>
                <w:highlight w:val="none"/>
                <w:lang w:val="en-US"/>
              </w:rPr>
              <w:t>投标单价</w:t>
            </w:r>
          </w:p>
          <w:p w14:paraId="6AD469C9">
            <w:pPr>
              <w:widowControl/>
              <w:shd w:val="clear"/>
              <w:jc w:val="center"/>
              <w:textAlignment w:val="center"/>
              <w:rPr>
                <w:rFonts w:hint="eastAsia" w:ascii="仿宋" w:hAnsi="仿宋" w:eastAsia="仿宋" w:cs="仿宋"/>
                <w:b/>
                <w:color w:val="auto"/>
                <w:sz w:val="24"/>
                <w:szCs w:val="24"/>
                <w:highlight w:val="none"/>
                <w:lang w:val="en-US"/>
              </w:rPr>
            </w:pPr>
            <w:r>
              <w:rPr>
                <w:rFonts w:hint="eastAsia" w:ascii="仿宋" w:hAnsi="仿宋" w:eastAsia="仿宋" w:cs="仿宋"/>
                <w:b/>
                <w:color w:val="auto"/>
                <w:sz w:val="24"/>
                <w:szCs w:val="24"/>
                <w:highlight w:val="none"/>
                <w:lang w:val="en-US" w:eastAsia="zh-CN"/>
              </w:rPr>
              <w:t>（元/人/年）</w:t>
            </w:r>
          </w:p>
        </w:tc>
        <w:tc>
          <w:tcPr>
            <w:tcW w:w="1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83436">
            <w:pPr>
              <w:widowControl/>
              <w:shd w:val="clear"/>
              <w:jc w:val="center"/>
              <w:textAlignment w:val="center"/>
              <w:rPr>
                <w:rFonts w:hint="eastAsia" w:ascii="仿宋" w:hAnsi="仿宋" w:eastAsia="仿宋" w:cs="仿宋"/>
                <w:b/>
                <w:color w:val="auto"/>
                <w:kern w:val="0"/>
                <w:sz w:val="24"/>
                <w:szCs w:val="24"/>
                <w:highlight w:val="none"/>
                <w:lang w:eastAsia="zh-CN" w:bidi="ar"/>
              </w:rPr>
            </w:pPr>
            <w:r>
              <w:rPr>
                <w:rFonts w:hint="eastAsia" w:ascii="仿宋" w:hAnsi="仿宋" w:eastAsia="仿宋" w:cs="仿宋"/>
                <w:b/>
                <w:color w:val="auto"/>
                <w:kern w:val="0"/>
                <w:sz w:val="24"/>
                <w:szCs w:val="24"/>
                <w:highlight w:val="none"/>
                <w:lang w:val="en-US" w:eastAsia="zh-CN" w:bidi="ar"/>
              </w:rPr>
              <w:t>备注</w:t>
            </w:r>
          </w:p>
        </w:tc>
      </w:tr>
      <w:tr w14:paraId="39E1157A">
        <w:tblPrEx>
          <w:tblCellMar>
            <w:top w:w="0" w:type="dxa"/>
            <w:left w:w="0" w:type="dxa"/>
            <w:bottom w:w="0" w:type="dxa"/>
            <w:right w:w="0" w:type="dxa"/>
          </w:tblCellMar>
        </w:tblPrEx>
        <w:trPr>
          <w:trHeight w:val="1091" w:hRule="atLeast"/>
        </w:trPr>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47B16">
            <w:pPr>
              <w:widowControl/>
              <w:shd w:val="clear"/>
              <w:jc w:val="center"/>
              <w:textAlignment w:val="center"/>
              <w:rPr>
                <w:rFonts w:hint="eastAsia" w:ascii="仿宋" w:hAnsi="仿宋" w:eastAsia="仿宋" w:cs="仿宋"/>
                <w:color w:val="auto"/>
                <w:sz w:val="24"/>
                <w:szCs w:val="24"/>
                <w:highlight w:val="none"/>
              </w:rPr>
            </w:pPr>
          </w:p>
        </w:tc>
        <w:tc>
          <w:tcPr>
            <w:tcW w:w="3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1FF41">
            <w:pPr>
              <w:widowControl/>
              <w:shd w:val="clear"/>
              <w:jc w:val="center"/>
              <w:textAlignment w:val="center"/>
              <w:rPr>
                <w:rFonts w:hint="eastAsia" w:ascii="仿宋" w:hAnsi="仿宋" w:eastAsia="仿宋" w:cs="仿宋"/>
                <w:color w:val="auto"/>
                <w:sz w:val="24"/>
                <w:szCs w:val="24"/>
                <w:highlight w:val="none"/>
                <w:lang w:eastAsia="zh-CN"/>
              </w:rPr>
            </w:pPr>
          </w:p>
        </w:tc>
        <w:tc>
          <w:tcPr>
            <w:tcW w:w="1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4BB710">
            <w:pPr>
              <w:widowControl/>
              <w:shd w:val="clear"/>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w:t>
            </w:r>
          </w:p>
        </w:tc>
        <w:tc>
          <w:tcPr>
            <w:tcW w:w="2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B0D6A">
            <w:pPr>
              <w:shd w:val="clear"/>
              <w:jc w:val="center"/>
              <w:rPr>
                <w:rFonts w:hint="eastAsia" w:ascii="仿宋" w:hAnsi="仿宋" w:eastAsia="仿宋" w:cs="仿宋"/>
                <w:color w:val="auto"/>
                <w:sz w:val="24"/>
                <w:szCs w:val="24"/>
                <w:highlight w:val="none"/>
                <w:lang w:val="en-US" w:eastAsia="zh-CN"/>
              </w:rPr>
            </w:pPr>
          </w:p>
        </w:tc>
        <w:tc>
          <w:tcPr>
            <w:tcW w:w="1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7E7B3">
            <w:pPr>
              <w:shd w:val="clear"/>
              <w:jc w:val="center"/>
              <w:rPr>
                <w:rFonts w:hint="eastAsia" w:ascii="仿宋" w:hAnsi="仿宋" w:eastAsia="仿宋" w:cs="仿宋"/>
                <w:b/>
                <w:bCs w:val="0"/>
                <w:color w:val="auto"/>
                <w:sz w:val="24"/>
                <w:szCs w:val="24"/>
                <w:highlight w:val="none"/>
              </w:rPr>
            </w:pPr>
          </w:p>
        </w:tc>
      </w:tr>
    </w:tbl>
    <w:p w14:paraId="0AC78FE5">
      <w:pPr>
        <w:shd w:val="clear"/>
        <w:snapToGrid w:val="0"/>
        <w:spacing w:line="360" w:lineRule="auto"/>
        <w:ind w:left="480"/>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注：</w:t>
      </w:r>
    </w:p>
    <w:p w14:paraId="3251DE24">
      <w:pPr>
        <w:shd w:val="clea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1、有关本项目实施所涉及的一切费用均计入报价。</w:t>
      </w:r>
      <w:r>
        <w:rPr>
          <w:rFonts w:hint="eastAsia" w:ascii="仿宋" w:hAnsi="仿宋" w:eastAsia="仿宋" w:cs="仿宋"/>
          <w:b/>
          <w:color w:val="auto"/>
          <w:kern w:val="0"/>
          <w:sz w:val="24"/>
          <w:highlight w:val="none"/>
          <w:lang w:val="zh-CN"/>
        </w:rPr>
        <w:t>采购人将以合同形式有偿取得货物或服务，不接受投标人给予的赠品、回扣或者与采购无关的其他商品、服务</w:t>
      </w:r>
      <w:r>
        <w:rPr>
          <w:rFonts w:hint="eastAsia" w:ascii="仿宋" w:hAnsi="仿宋" w:eastAsia="仿宋" w:cs="仿宋"/>
          <w:color w:val="auto"/>
          <w:kern w:val="0"/>
          <w:sz w:val="24"/>
          <w:highlight w:val="none"/>
          <w:lang w:val="zh-CN"/>
        </w:rPr>
        <w:t>，</w:t>
      </w:r>
      <w:r>
        <w:rPr>
          <w:rFonts w:hint="eastAsia" w:ascii="仿宋" w:hAnsi="仿宋" w:eastAsia="仿宋" w:cs="仿宋"/>
          <w:b/>
          <w:color w:val="auto"/>
          <w:kern w:val="0"/>
          <w:sz w:val="24"/>
          <w:highlight w:val="none"/>
          <w:lang w:val="zh-CN"/>
        </w:rPr>
        <w:t>不得出现“0元”“免费赠送”等形式的无偿报价，</w:t>
      </w:r>
      <w:r>
        <w:rPr>
          <w:rFonts w:hint="eastAsia" w:ascii="仿宋" w:hAnsi="仿宋" w:eastAsia="仿宋" w:cs="仿宋"/>
          <w:b/>
          <w:color w:val="auto"/>
          <w:kern w:val="0"/>
          <w:sz w:val="24"/>
          <w:highlight w:val="none"/>
        </w:rPr>
        <w:t>否则视为</w:t>
      </w:r>
      <w:r>
        <w:rPr>
          <w:rFonts w:hint="eastAsia" w:ascii="仿宋" w:hAnsi="仿宋" w:eastAsia="仿宋" w:cs="仿宋"/>
          <w:b/>
          <w:color w:val="auto"/>
          <w:sz w:val="24"/>
          <w:highlight w:val="none"/>
        </w:rPr>
        <w:t>投标文件含有采购人不能接受的附加条件，投标无效。</w:t>
      </w:r>
    </w:p>
    <w:p w14:paraId="321F4B1B">
      <w:pPr>
        <w:shd w:val="clear"/>
        <w:snapToGrid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szCs w:val="22"/>
          <w:highlight w:val="none"/>
        </w:rPr>
        <w:t>2</w:t>
      </w:r>
      <w:r>
        <w:rPr>
          <w:rFonts w:hint="eastAsia" w:ascii="仿宋" w:hAnsi="仿宋" w:eastAsia="仿宋" w:cs="仿宋"/>
          <w:color w:val="auto"/>
          <w:kern w:val="0"/>
          <w:sz w:val="24"/>
          <w:szCs w:val="22"/>
          <w:highlight w:val="none"/>
          <w:lang w:val="zh-CN"/>
        </w:rPr>
        <w:t>、</w:t>
      </w:r>
      <w:r>
        <w:rPr>
          <w:rFonts w:hint="eastAsia" w:ascii="仿宋" w:hAnsi="仿宋" w:eastAsia="仿宋" w:cs="仿宋"/>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4FCD6733">
      <w:pPr>
        <w:shd w:val="clear"/>
        <w:snapToGrid w:val="0"/>
        <w:spacing w:line="360" w:lineRule="auto"/>
        <w:ind w:firstLine="482" w:firstLineChars="200"/>
        <w:jc w:val="left"/>
        <w:rPr>
          <w:rFonts w:hint="eastAsia" w:ascii="仿宋" w:hAnsi="仿宋" w:eastAsia="仿宋" w:cs="仿宋"/>
          <w:b/>
          <w:bCs/>
          <w:color w:val="auto"/>
          <w:kern w:val="0"/>
          <w:sz w:val="24"/>
          <w:highlight w:val="none"/>
          <w:lang w:val="en-US"/>
        </w:rPr>
      </w:pPr>
      <w:r>
        <w:rPr>
          <w:rFonts w:hint="eastAsia" w:ascii="仿宋" w:hAnsi="仿宋" w:eastAsia="仿宋" w:cs="仿宋"/>
          <w:b/>
          <w:bCs/>
          <w:color w:val="auto"/>
          <w:kern w:val="0"/>
          <w:sz w:val="24"/>
          <w:highlight w:val="none"/>
          <w:lang w:val="en-US" w:eastAsia="zh-CN"/>
        </w:rPr>
        <w:t>3、本项目单价最高限价为45000元/人/年，投标单价报价不得超过单价最高限价，否则作无效标处理。</w:t>
      </w:r>
    </w:p>
    <w:p w14:paraId="4CB9FE0D">
      <w:pPr>
        <w:pStyle w:val="44"/>
        <w:keepNext w:val="0"/>
        <w:pageBreakBefore w:val="0"/>
        <w:shd w:val="clear"/>
        <w:tabs>
          <w:tab w:val="clear" w:pos="720"/>
        </w:tabs>
        <w:snapToGrid w:val="0"/>
        <w:spacing w:before="120" w:after="120"/>
        <w:jc w:val="both"/>
        <w:outlineLvl w:val="9"/>
        <w:rPr>
          <w:rFonts w:hint="eastAsia" w:ascii="仿宋" w:hAnsi="仿宋" w:eastAsia="仿宋" w:cs="仿宋"/>
          <w:color w:val="auto"/>
          <w:kern w:val="2"/>
          <w:sz w:val="32"/>
          <w:szCs w:val="32"/>
          <w:highlight w:val="none"/>
        </w:rPr>
      </w:pPr>
    </w:p>
    <w:p w14:paraId="350BB4B9">
      <w:pPr>
        <w:shd w:val="clear"/>
        <w:spacing w:line="336" w:lineRule="auto"/>
        <w:ind w:firstLine="5280" w:firstLineChars="2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投标人名称（电子签名）：                          </w:t>
      </w:r>
    </w:p>
    <w:p w14:paraId="10D32A35">
      <w:pPr>
        <w:shd w:val="clear"/>
        <w:spacing w:line="336" w:lineRule="auto"/>
        <w:jc w:val="center"/>
        <w:rPr>
          <w:rFonts w:hint="eastAsia" w:ascii="仿宋" w:hAnsi="仿宋" w:eastAsia="仿宋" w:cs="仿宋"/>
          <w:color w:val="auto"/>
          <w:sz w:val="32"/>
          <w:szCs w:val="32"/>
          <w:highlight w:val="none"/>
          <w:lang w:val="en-US" w:eastAsia="zh-CN"/>
        </w:rPr>
        <w:sectPr>
          <w:pgSz w:w="11906" w:h="16838"/>
          <w:pgMar w:top="1247" w:right="1418" w:bottom="1276" w:left="1418" w:header="851" w:footer="992" w:gutter="0"/>
          <w:cols w:space="720" w:num="1"/>
          <w:titlePg/>
          <w:docGrid w:linePitch="312" w:charSpace="0"/>
        </w:sectPr>
      </w:pPr>
      <w:r>
        <w:rPr>
          <w:rFonts w:hint="eastAsia" w:ascii="仿宋" w:hAnsi="仿宋" w:eastAsia="仿宋" w:cs="仿宋"/>
          <w:color w:val="auto"/>
          <w:sz w:val="24"/>
          <w:highlight w:val="none"/>
        </w:rPr>
        <w:t xml:space="preserve">                                  日期：  年   月   </w:t>
      </w:r>
      <w:r>
        <w:rPr>
          <w:rFonts w:hint="eastAsia" w:ascii="仿宋" w:hAnsi="仿宋" w:eastAsia="仿宋" w:cs="仿宋"/>
          <w:color w:val="auto"/>
          <w:sz w:val="24"/>
          <w:highlight w:val="none"/>
          <w:lang w:val="en-US" w:eastAsia="zh-CN"/>
        </w:rPr>
        <w:t>日</w:t>
      </w:r>
    </w:p>
    <w:p w14:paraId="4D8068AE">
      <w:pPr>
        <w:pStyle w:val="44"/>
        <w:keepNext w:val="0"/>
        <w:pageBreakBefore w:val="0"/>
        <w:shd w:val="clear"/>
        <w:tabs>
          <w:tab w:val="clear" w:pos="720"/>
        </w:tabs>
        <w:snapToGrid w:val="0"/>
        <w:spacing w:before="120" w:after="120"/>
        <w:ind w:firstLine="643"/>
        <w:outlineLvl w:val="9"/>
        <w:rPr>
          <w:rFonts w:hint="eastAsia" w:ascii="仿宋" w:hAnsi="仿宋" w:eastAsia="仿宋" w:cs="仿宋"/>
          <w:color w:val="auto"/>
          <w:sz w:val="32"/>
          <w:szCs w:val="32"/>
          <w:highlight w:val="none"/>
        </w:rPr>
      </w:pPr>
      <w:r>
        <w:rPr>
          <w:rFonts w:hint="eastAsia" w:ascii="仿宋" w:hAnsi="仿宋" w:eastAsia="仿宋" w:cs="仿宋"/>
          <w:color w:val="auto"/>
          <w:kern w:val="2"/>
          <w:sz w:val="32"/>
          <w:szCs w:val="32"/>
          <w:highlight w:val="none"/>
          <w:lang w:val="en-US" w:eastAsia="zh-CN"/>
        </w:rPr>
        <w:t>二</w:t>
      </w:r>
      <w:r>
        <w:rPr>
          <w:rFonts w:hint="eastAsia" w:ascii="仿宋" w:hAnsi="仿宋" w:eastAsia="仿宋" w:cs="仿宋"/>
          <w:color w:val="auto"/>
          <w:kern w:val="2"/>
          <w:sz w:val="32"/>
          <w:szCs w:val="32"/>
          <w:highlight w:val="none"/>
        </w:rPr>
        <w:t>、</w:t>
      </w:r>
      <w:r>
        <w:rPr>
          <w:rFonts w:hint="eastAsia" w:ascii="仿宋" w:hAnsi="仿宋" w:eastAsia="仿宋" w:cs="仿宋"/>
          <w:color w:val="auto"/>
          <w:sz w:val="32"/>
          <w:szCs w:val="32"/>
          <w:highlight w:val="none"/>
        </w:rPr>
        <w:t>中小企业声明函（如有）</w:t>
      </w:r>
    </w:p>
    <w:p w14:paraId="0F4FDC62">
      <w:pPr>
        <w:widowControl/>
        <w:shd w:val="clear"/>
        <w:spacing w:line="360" w:lineRule="auto"/>
        <w:ind w:firstLine="120" w:firstLineChars="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5F269220">
      <w:pPr>
        <w:pStyle w:val="32"/>
        <w:shd w:val="clear"/>
        <w:rPr>
          <w:rFonts w:hint="eastAsia" w:ascii="仿宋" w:hAnsi="仿宋" w:eastAsia="仿宋" w:cs="仿宋"/>
          <w:b/>
          <w:color w:val="auto"/>
          <w:highlight w:val="none"/>
        </w:rPr>
      </w:pPr>
    </w:p>
    <w:p w14:paraId="66FACEF9">
      <w:pPr>
        <w:pStyle w:val="33"/>
        <w:shd w:val="clear"/>
        <w:rPr>
          <w:rFonts w:hint="eastAsia" w:ascii="仿宋" w:hAnsi="仿宋" w:eastAsia="仿宋" w:cs="仿宋"/>
          <w:b/>
          <w:color w:val="auto"/>
          <w:sz w:val="24"/>
          <w:highlight w:val="none"/>
        </w:rPr>
      </w:pPr>
    </w:p>
    <w:p w14:paraId="588024A7">
      <w:pPr>
        <w:shd w:val="clear"/>
        <w:rPr>
          <w:rFonts w:hint="eastAsia" w:ascii="仿宋" w:hAnsi="仿宋" w:eastAsia="仿宋" w:cs="仿宋"/>
          <w:b/>
          <w:color w:val="auto"/>
          <w:sz w:val="24"/>
          <w:highlight w:val="none"/>
        </w:rPr>
      </w:pPr>
    </w:p>
    <w:p w14:paraId="73D5EB9E">
      <w:pPr>
        <w:pStyle w:val="32"/>
        <w:shd w:val="clear"/>
        <w:rPr>
          <w:rFonts w:hint="eastAsia" w:ascii="仿宋" w:hAnsi="仿宋" w:eastAsia="仿宋" w:cs="仿宋"/>
          <w:b/>
          <w:color w:val="auto"/>
          <w:highlight w:val="none"/>
        </w:rPr>
      </w:pPr>
    </w:p>
    <w:p w14:paraId="69134EDA">
      <w:pPr>
        <w:pStyle w:val="33"/>
        <w:shd w:val="clear"/>
        <w:rPr>
          <w:rFonts w:hint="eastAsia" w:ascii="仿宋" w:hAnsi="仿宋" w:eastAsia="仿宋" w:cs="仿宋"/>
          <w:b/>
          <w:color w:val="auto"/>
          <w:sz w:val="24"/>
          <w:highlight w:val="none"/>
        </w:rPr>
      </w:pPr>
    </w:p>
    <w:p w14:paraId="2ED27E0A">
      <w:pPr>
        <w:shd w:val="clear"/>
        <w:rPr>
          <w:color w:val="auto"/>
          <w:highlight w:val="none"/>
        </w:rPr>
      </w:pPr>
    </w:p>
    <w:p w14:paraId="3CA0C33B">
      <w:pPr>
        <w:widowControl/>
        <w:shd w:val="clear"/>
        <w:spacing w:line="360" w:lineRule="auto"/>
        <w:ind w:firstLine="161" w:firstLineChars="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三</w:t>
      </w:r>
      <w:r>
        <w:rPr>
          <w:rFonts w:hint="eastAsia" w:ascii="仿宋" w:hAnsi="仿宋" w:eastAsia="仿宋" w:cs="仿宋"/>
          <w:b/>
          <w:color w:val="auto"/>
          <w:sz w:val="32"/>
          <w:szCs w:val="32"/>
          <w:highlight w:val="none"/>
        </w:rPr>
        <w:t>、残疾人福利性单位声明函（如有）</w:t>
      </w:r>
    </w:p>
    <w:p w14:paraId="0ADD74F5">
      <w:pPr>
        <w:pStyle w:val="12"/>
        <w:widowControl/>
        <w:shd w:val="clear"/>
        <w:ind w:firstLine="120" w:firstLineChars="50"/>
        <w:jc w:val="left"/>
        <w:rPr>
          <w:rFonts w:hint="eastAsia" w:ascii="仿宋" w:hAnsi="仿宋" w:eastAsia="仿宋" w:cs="仿宋"/>
          <w:b/>
          <w:color w:val="auto"/>
          <w:highlight w:val="none"/>
        </w:rPr>
      </w:pPr>
      <w:r>
        <w:rPr>
          <w:rFonts w:hint="eastAsia" w:ascii="仿宋" w:hAnsi="仿宋" w:eastAsia="仿宋" w:cs="仿宋"/>
          <w:b/>
          <w:color w:val="auto"/>
          <w:highlight w:val="none"/>
        </w:rPr>
        <w:t>[符合条件的残疾人福利性单位，提供残疾人福利性单位声明函(附件</w:t>
      </w:r>
      <w:r>
        <w:rPr>
          <w:rFonts w:hint="eastAsia" w:ascii="仿宋" w:hAnsi="仿宋" w:eastAsia="仿宋" w:cs="仿宋"/>
          <w:b/>
          <w:color w:val="auto"/>
          <w:highlight w:val="none"/>
          <w:lang w:val="en-US"/>
        </w:rPr>
        <w:t>6</w:t>
      </w:r>
      <w:r>
        <w:rPr>
          <w:rFonts w:hint="eastAsia" w:ascii="仿宋" w:hAnsi="仿宋" w:eastAsia="仿宋" w:cs="仿宋"/>
          <w:b/>
          <w:color w:val="auto"/>
          <w:highlight w:val="none"/>
        </w:rPr>
        <w:t>)，否则不需要提供。]</w:t>
      </w:r>
    </w:p>
    <w:p w14:paraId="70534995">
      <w:pPr>
        <w:pStyle w:val="44"/>
        <w:keepNext w:val="0"/>
        <w:pageBreakBefore w:val="0"/>
        <w:shd w:val="clear"/>
        <w:tabs>
          <w:tab w:val="clear" w:pos="720"/>
        </w:tabs>
        <w:snapToGrid w:val="0"/>
        <w:spacing w:before="120" w:after="120"/>
        <w:ind w:firstLine="643"/>
        <w:outlineLvl w:val="9"/>
        <w:rPr>
          <w:rFonts w:hint="eastAsia" w:ascii="仿宋" w:hAnsi="仿宋" w:eastAsia="仿宋" w:cs="仿宋"/>
          <w:b w:val="0"/>
          <w:color w:val="auto"/>
          <w:sz w:val="32"/>
          <w:szCs w:val="32"/>
          <w:highlight w:val="none"/>
        </w:rPr>
      </w:pPr>
    </w:p>
    <w:p w14:paraId="58661D4C">
      <w:pPr>
        <w:shd w:val="clear"/>
        <w:spacing w:line="360" w:lineRule="auto"/>
        <w:ind w:right="420" w:firstLine="3614" w:firstLineChars="1000"/>
        <w:rPr>
          <w:rFonts w:hint="eastAsia" w:ascii="仿宋" w:hAnsi="仿宋" w:eastAsia="仿宋" w:cs="仿宋"/>
          <w:b/>
          <w:color w:val="auto"/>
          <w:kern w:val="0"/>
          <w:sz w:val="36"/>
          <w:szCs w:val="36"/>
          <w:highlight w:val="none"/>
        </w:rPr>
      </w:pPr>
    </w:p>
    <w:p w14:paraId="3586A68D">
      <w:pPr>
        <w:shd w:val="clear"/>
        <w:spacing w:line="360" w:lineRule="auto"/>
        <w:ind w:right="420" w:firstLine="3614" w:firstLineChars="1000"/>
        <w:rPr>
          <w:rFonts w:hint="eastAsia" w:ascii="仿宋" w:hAnsi="仿宋" w:eastAsia="仿宋" w:cs="仿宋"/>
          <w:b/>
          <w:color w:val="auto"/>
          <w:kern w:val="0"/>
          <w:sz w:val="36"/>
          <w:szCs w:val="36"/>
          <w:highlight w:val="none"/>
        </w:rPr>
      </w:pPr>
    </w:p>
    <w:p w14:paraId="2A4A38FA">
      <w:pPr>
        <w:shd w:val="clear"/>
        <w:spacing w:line="360" w:lineRule="auto"/>
        <w:ind w:right="420" w:firstLine="3614" w:firstLineChars="1000"/>
        <w:rPr>
          <w:rFonts w:hint="eastAsia" w:ascii="仿宋" w:hAnsi="仿宋" w:eastAsia="仿宋" w:cs="仿宋"/>
          <w:b/>
          <w:color w:val="auto"/>
          <w:kern w:val="0"/>
          <w:sz w:val="36"/>
          <w:szCs w:val="36"/>
          <w:highlight w:val="none"/>
        </w:rPr>
      </w:pPr>
    </w:p>
    <w:p w14:paraId="0275E3D9">
      <w:pPr>
        <w:shd w:val="clear"/>
        <w:spacing w:line="360" w:lineRule="auto"/>
        <w:ind w:right="420" w:firstLine="3614" w:firstLineChars="1000"/>
        <w:rPr>
          <w:rFonts w:hint="eastAsia" w:ascii="仿宋" w:hAnsi="仿宋" w:eastAsia="仿宋" w:cs="仿宋"/>
          <w:b/>
          <w:color w:val="auto"/>
          <w:kern w:val="0"/>
          <w:sz w:val="36"/>
          <w:szCs w:val="36"/>
          <w:highlight w:val="none"/>
        </w:rPr>
      </w:pPr>
    </w:p>
    <w:p w14:paraId="68437A5C">
      <w:pPr>
        <w:shd w:val="clear"/>
        <w:spacing w:line="360" w:lineRule="auto"/>
        <w:ind w:right="420" w:firstLine="3614" w:firstLineChars="1000"/>
        <w:rPr>
          <w:rFonts w:hint="eastAsia" w:ascii="仿宋" w:hAnsi="仿宋" w:eastAsia="仿宋" w:cs="仿宋"/>
          <w:b/>
          <w:color w:val="auto"/>
          <w:kern w:val="0"/>
          <w:sz w:val="36"/>
          <w:szCs w:val="36"/>
          <w:highlight w:val="none"/>
        </w:rPr>
      </w:pPr>
    </w:p>
    <w:p w14:paraId="5F941C6D">
      <w:pPr>
        <w:shd w:val="clear"/>
        <w:spacing w:line="360" w:lineRule="auto"/>
        <w:ind w:right="420" w:firstLine="3614" w:firstLineChars="1000"/>
        <w:rPr>
          <w:rFonts w:hint="eastAsia" w:ascii="仿宋" w:hAnsi="仿宋" w:eastAsia="仿宋" w:cs="仿宋"/>
          <w:b/>
          <w:color w:val="auto"/>
          <w:kern w:val="0"/>
          <w:sz w:val="36"/>
          <w:szCs w:val="36"/>
          <w:highlight w:val="none"/>
        </w:rPr>
      </w:pPr>
    </w:p>
    <w:p w14:paraId="1AE6890A">
      <w:pPr>
        <w:shd w:val="clear"/>
        <w:spacing w:line="360" w:lineRule="auto"/>
        <w:ind w:right="420" w:firstLine="3614" w:firstLineChars="1000"/>
        <w:rPr>
          <w:rFonts w:hint="eastAsia" w:ascii="仿宋" w:hAnsi="仿宋" w:eastAsia="仿宋" w:cs="仿宋"/>
          <w:b/>
          <w:color w:val="auto"/>
          <w:kern w:val="0"/>
          <w:sz w:val="36"/>
          <w:szCs w:val="36"/>
          <w:highlight w:val="none"/>
        </w:rPr>
      </w:pPr>
    </w:p>
    <w:p w14:paraId="144B1DBF">
      <w:pPr>
        <w:shd w:val="clear"/>
        <w:spacing w:line="360" w:lineRule="auto"/>
        <w:ind w:right="420"/>
        <w:rPr>
          <w:rFonts w:hint="eastAsia" w:ascii="仿宋" w:hAnsi="仿宋" w:eastAsia="仿宋" w:cs="仿宋"/>
          <w:b/>
          <w:color w:val="auto"/>
          <w:kern w:val="0"/>
          <w:sz w:val="36"/>
          <w:szCs w:val="36"/>
          <w:highlight w:val="none"/>
        </w:rPr>
      </w:pPr>
    </w:p>
    <w:p w14:paraId="5DF12A35">
      <w:pPr>
        <w:pStyle w:val="3"/>
        <w:keepNext w:val="0"/>
        <w:keepLines w:val="0"/>
        <w:pageBreakBefore/>
        <w:widowControl/>
        <w:shd w:val="clear"/>
        <w:spacing w:before="100" w:beforeAutospacing="1" w:after="100" w:afterAutospacing="1" w:line="360" w:lineRule="auto"/>
        <w:ind w:left="1290" w:firstLine="3080" w:firstLineChars="700"/>
        <w:rPr>
          <w:rFonts w:hint="eastAsia" w:ascii="仿宋" w:hAnsi="仿宋" w:eastAsia="仿宋" w:cs="仿宋"/>
          <w:color w:val="auto"/>
          <w:highlight w:val="none"/>
        </w:rPr>
      </w:pPr>
      <w:r>
        <w:rPr>
          <w:rFonts w:hint="eastAsia" w:ascii="仿宋" w:hAnsi="仿宋" w:eastAsia="仿宋" w:cs="仿宋"/>
          <w:color w:val="auto"/>
          <w:highlight w:val="none"/>
        </w:rPr>
        <w:t>附件</w:t>
      </w:r>
    </w:p>
    <w:p w14:paraId="1B2BBB1C">
      <w:pPr>
        <w:shd w:val="clear"/>
        <w:spacing w:line="360" w:lineRule="auto"/>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附件1：质疑函范本及制作说明</w:t>
      </w:r>
    </w:p>
    <w:p w14:paraId="78F61F2B">
      <w:pPr>
        <w:shd w:val="clear"/>
        <w:spacing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质疑函范本</w:t>
      </w:r>
    </w:p>
    <w:p w14:paraId="6BFE0423">
      <w:pPr>
        <w:shd w:val="clear"/>
        <w:snapToGrid w:val="0"/>
        <w:spacing w:before="240" w:beforeLines="100"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一、质疑供应商基本信息</w:t>
      </w:r>
    </w:p>
    <w:p w14:paraId="69D01DCC">
      <w:pPr>
        <w:shd w:val="clea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质疑供应商：</w:t>
      </w:r>
      <w:r>
        <w:rPr>
          <w:rFonts w:hint="eastAsia" w:ascii="仿宋" w:hAnsi="仿宋" w:eastAsia="仿宋" w:cs="仿宋"/>
          <w:color w:val="auto"/>
          <w:sz w:val="24"/>
          <w:highlight w:val="none"/>
          <w:u w:val="dotted"/>
        </w:rPr>
        <w:t xml:space="preserve">                                        </w:t>
      </w:r>
    </w:p>
    <w:p w14:paraId="3D488BA4">
      <w:pPr>
        <w:shd w:val="clea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384DB050">
      <w:pPr>
        <w:shd w:val="clea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35698C0C">
      <w:pPr>
        <w:shd w:val="clea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p>
    <w:p w14:paraId="5E7C807F">
      <w:pPr>
        <w:shd w:val="clea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1B9F5519">
      <w:pPr>
        <w:shd w:val="clea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7151A79C">
      <w:pPr>
        <w:shd w:val="clea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二、质疑项目基本情况</w:t>
      </w:r>
    </w:p>
    <w:p w14:paraId="0802A30E">
      <w:pPr>
        <w:shd w:val="clea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u w:val="dotted"/>
        </w:rPr>
        <w:t xml:space="preserve">                                      </w:t>
      </w:r>
    </w:p>
    <w:p w14:paraId="4125FB91">
      <w:pPr>
        <w:shd w:val="clea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194AD515">
      <w:pPr>
        <w:shd w:val="clea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p>
    <w:p w14:paraId="6802675A">
      <w:pPr>
        <w:shd w:val="clea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采购文件获取日期：</w:t>
      </w:r>
      <w:r>
        <w:rPr>
          <w:rFonts w:hint="eastAsia" w:ascii="仿宋" w:hAnsi="仿宋" w:eastAsia="仿宋" w:cs="仿宋"/>
          <w:color w:val="auto"/>
          <w:sz w:val="24"/>
          <w:highlight w:val="none"/>
          <w:u w:val="dotted"/>
        </w:rPr>
        <w:t xml:space="preserve">                                           </w:t>
      </w:r>
    </w:p>
    <w:p w14:paraId="2B051561">
      <w:pPr>
        <w:shd w:val="clea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三、质疑事项具体内容</w:t>
      </w:r>
    </w:p>
    <w:p w14:paraId="27CDB076">
      <w:pPr>
        <w:shd w:val="clea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质疑事项1：</w:t>
      </w:r>
      <w:r>
        <w:rPr>
          <w:rFonts w:hint="eastAsia" w:ascii="仿宋" w:hAnsi="仿宋" w:eastAsia="仿宋" w:cs="仿宋"/>
          <w:color w:val="auto"/>
          <w:sz w:val="24"/>
          <w:highlight w:val="none"/>
          <w:u w:val="dotted"/>
        </w:rPr>
        <w:t xml:space="preserve">                                         </w:t>
      </w:r>
    </w:p>
    <w:p w14:paraId="2FB0C7C4">
      <w:pPr>
        <w:shd w:val="clea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336F7E80">
      <w:pPr>
        <w:shd w:val="clea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 xml:space="preserve">                                                       </w:t>
      </w:r>
    </w:p>
    <w:p w14:paraId="43ACF770">
      <w:pPr>
        <w:shd w:val="clea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71DB8354">
      <w:pPr>
        <w:shd w:val="clea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0C7EA2F6">
      <w:pPr>
        <w:shd w:val="clea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质疑事项2</w:t>
      </w:r>
    </w:p>
    <w:p w14:paraId="2CF2025A">
      <w:pPr>
        <w:shd w:val="clea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18FF71FC">
      <w:pPr>
        <w:shd w:val="clea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四、与质疑事项相关的质疑请求</w:t>
      </w:r>
    </w:p>
    <w:p w14:paraId="2184CF65">
      <w:pPr>
        <w:shd w:val="clea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p>
    <w:p w14:paraId="205F2F8A">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519506B0">
      <w:pPr>
        <w:shd w:val="clear"/>
        <w:spacing w:line="360" w:lineRule="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 xml:space="preserve">日期：    </w:t>
      </w:r>
    </w:p>
    <w:p w14:paraId="0B2A5879">
      <w:pPr>
        <w:shd w:val="clea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质疑函制作说明：</w:t>
      </w:r>
    </w:p>
    <w:p w14:paraId="3A2D9D70">
      <w:pPr>
        <w:widowControl/>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1BB12318">
      <w:pPr>
        <w:widowControl/>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24"/>
          <w:highlight w:val="none"/>
        </w:rPr>
        <w:t>供应商签署的授权委托书。授权委托书应载明代理人的姓名或者名称、代理事项、具体权限、期限和相关事项。</w:t>
      </w:r>
    </w:p>
    <w:p w14:paraId="77214923">
      <w:pPr>
        <w:widowControl/>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3.质疑供应商若对项目的某一分包进行质疑，质疑函中应列明具体分包号。</w:t>
      </w:r>
    </w:p>
    <w:p w14:paraId="250771ED">
      <w:pPr>
        <w:widowControl/>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42D4ED5B">
      <w:pPr>
        <w:widowControl/>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2E8CD030">
      <w:pPr>
        <w:widowControl/>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6.质疑供应商为自然人的，质疑函应由本人签字；质疑供应商为法人或者其他组织的，质疑函应由法定代表人、主要负责人，或者其授权代表签字或者盖章，并加盖公章。</w:t>
      </w:r>
    </w:p>
    <w:p w14:paraId="1DA99E18">
      <w:pPr>
        <w:widowControl/>
        <w:shd w:val="clear"/>
        <w:spacing w:line="360" w:lineRule="auto"/>
        <w:ind w:firstLine="600" w:firstLineChars="200"/>
        <w:jc w:val="left"/>
        <w:rPr>
          <w:rFonts w:hint="eastAsia" w:ascii="仿宋" w:hAnsi="仿宋" w:eastAsia="仿宋" w:cs="仿宋"/>
          <w:color w:val="auto"/>
          <w:sz w:val="30"/>
          <w:szCs w:val="30"/>
          <w:highlight w:val="none"/>
        </w:rPr>
      </w:pPr>
    </w:p>
    <w:p w14:paraId="5F85E667">
      <w:pPr>
        <w:shd w:val="clear"/>
        <w:spacing w:line="360" w:lineRule="auto"/>
        <w:jc w:val="center"/>
        <w:rPr>
          <w:rFonts w:hint="eastAsia" w:ascii="仿宋" w:hAnsi="仿宋" w:eastAsia="仿宋" w:cs="仿宋"/>
          <w:b/>
          <w:color w:val="auto"/>
          <w:spacing w:val="6"/>
          <w:sz w:val="32"/>
          <w:szCs w:val="32"/>
          <w:highlight w:val="none"/>
        </w:rPr>
      </w:pPr>
    </w:p>
    <w:p w14:paraId="14268A44">
      <w:pPr>
        <w:shd w:val="clear"/>
        <w:spacing w:line="360" w:lineRule="auto"/>
        <w:jc w:val="center"/>
        <w:rPr>
          <w:rFonts w:hint="eastAsia" w:ascii="仿宋" w:hAnsi="仿宋" w:eastAsia="仿宋" w:cs="仿宋"/>
          <w:b/>
          <w:color w:val="auto"/>
          <w:spacing w:val="6"/>
          <w:sz w:val="32"/>
          <w:szCs w:val="32"/>
          <w:highlight w:val="none"/>
        </w:rPr>
      </w:pPr>
    </w:p>
    <w:p w14:paraId="38E81F52">
      <w:pPr>
        <w:shd w:val="clear"/>
        <w:spacing w:line="360" w:lineRule="auto"/>
        <w:jc w:val="center"/>
        <w:rPr>
          <w:rFonts w:hint="eastAsia" w:ascii="仿宋" w:hAnsi="仿宋" w:eastAsia="仿宋" w:cs="仿宋"/>
          <w:b/>
          <w:color w:val="auto"/>
          <w:spacing w:val="6"/>
          <w:sz w:val="32"/>
          <w:szCs w:val="32"/>
          <w:highlight w:val="none"/>
        </w:rPr>
      </w:pPr>
    </w:p>
    <w:p w14:paraId="4896300C">
      <w:pPr>
        <w:shd w:val="clear"/>
        <w:spacing w:line="360" w:lineRule="auto"/>
        <w:jc w:val="center"/>
        <w:rPr>
          <w:rFonts w:hint="eastAsia" w:ascii="仿宋" w:hAnsi="仿宋" w:eastAsia="仿宋" w:cs="仿宋"/>
          <w:b/>
          <w:color w:val="auto"/>
          <w:spacing w:val="6"/>
          <w:sz w:val="32"/>
          <w:szCs w:val="32"/>
          <w:highlight w:val="none"/>
        </w:rPr>
      </w:pPr>
    </w:p>
    <w:p w14:paraId="43490566">
      <w:pPr>
        <w:shd w:val="clear"/>
        <w:spacing w:line="360" w:lineRule="auto"/>
        <w:jc w:val="center"/>
        <w:rPr>
          <w:rFonts w:hint="eastAsia" w:ascii="仿宋" w:hAnsi="仿宋" w:eastAsia="仿宋" w:cs="仿宋"/>
          <w:b/>
          <w:color w:val="auto"/>
          <w:spacing w:val="6"/>
          <w:sz w:val="32"/>
          <w:szCs w:val="32"/>
          <w:highlight w:val="none"/>
        </w:rPr>
      </w:pPr>
    </w:p>
    <w:p w14:paraId="220938DF">
      <w:pPr>
        <w:shd w:val="clear"/>
        <w:spacing w:line="360" w:lineRule="auto"/>
        <w:jc w:val="center"/>
        <w:rPr>
          <w:rFonts w:hint="eastAsia" w:ascii="仿宋" w:hAnsi="仿宋" w:eastAsia="仿宋" w:cs="仿宋"/>
          <w:b/>
          <w:color w:val="auto"/>
          <w:spacing w:val="6"/>
          <w:sz w:val="32"/>
          <w:szCs w:val="32"/>
          <w:highlight w:val="none"/>
        </w:rPr>
      </w:pPr>
    </w:p>
    <w:p w14:paraId="1F339548">
      <w:pPr>
        <w:shd w:val="clear"/>
        <w:spacing w:line="360" w:lineRule="auto"/>
        <w:jc w:val="center"/>
        <w:rPr>
          <w:rFonts w:hint="eastAsia" w:ascii="仿宋" w:hAnsi="仿宋" w:eastAsia="仿宋" w:cs="仿宋"/>
          <w:b/>
          <w:color w:val="auto"/>
          <w:spacing w:val="6"/>
          <w:sz w:val="32"/>
          <w:szCs w:val="32"/>
          <w:highlight w:val="none"/>
        </w:rPr>
      </w:pPr>
    </w:p>
    <w:p w14:paraId="3C341963">
      <w:pPr>
        <w:shd w:val="clear"/>
        <w:spacing w:line="360" w:lineRule="auto"/>
        <w:jc w:val="left"/>
        <w:rPr>
          <w:rFonts w:hint="eastAsia" w:ascii="仿宋" w:hAnsi="仿宋" w:eastAsia="仿宋" w:cs="仿宋"/>
          <w:b/>
          <w:color w:val="auto"/>
          <w:spacing w:val="6"/>
          <w:sz w:val="32"/>
          <w:szCs w:val="32"/>
          <w:highlight w:val="none"/>
        </w:rPr>
      </w:pPr>
    </w:p>
    <w:p w14:paraId="1DBFAC8C">
      <w:pPr>
        <w:shd w:val="clear"/>
        <w:spacing w:line="360" w:lineRule="auto"/>
        <w:jc w:val="left"/>
        <w:rPr>
          <w:rFonts w:hint="eastAsia" w:ascii="仿宋" w:hAnsi="仿宋" w:eastAsia="仿宋" w:cs="仿宋"/>
          <w:b/>
          <w:color w:val="auto"/>
          <w:spacing w:val="6"/>
          <w:sz w:val="32"/>
          <w:szCs w:val="32"/>
          <w:highlight w:val="none"/>
        </w:rPr>
      </w:pPr>
    </w:p>
    <w:p w14:paraId="004D33A1">
      <w:pPr>
        <w:shd w:val="clear"/>
        <w:spacing w:line="360" w:lineRule="auto"/>
        <w:jc w:val="left"/>
        <w:rPr>
          <w:rFonts w:hint="eastAsia" w:ascii="仿宋" w:hAnsi="仿宋" w:eastAsia="仿宋" w:cs="仿宋"/>
          <w:b/>
          <w:color w:val="auto"/>
          <w:spacing w:val="6"/>
          <w:sz w:val="32"/>
          <w:szCs w:val="32"/>
          <w:highlight w:val="none"/>
        </w:rPr>
      </w:pPr>
    </w:p>
    <w:p w14:paraId="0057576A">
      <w:pPr>
        <w:shd w:val="clear"/>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br w:type="page"/>
      </w:r>
    </w:p>
    <w:p w14:paraId="6A1FA7BB">
      <w:pPr>
        <w:shd w:val="clear"/>
        <w:spacing w:line="360" w:lineRule="auto"/>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附件2：投诉书范本及制作说明</w:t>
      </w:r>
    </w:p>
    <w:p w14:paraId="0DCC6993">
      <w:pPr>
        <w:shd w:val="clear"/>
        <w:spacing w:line="360" w:lineRule="auto"/>
        <w:jc w:val="center"/>
        <w:rPr>
          <w:rFonts w:hint="eastAsia" w:ascii="仿宋" w:hAnsi="仿宋" w:eastAsia="仿宋" w:cs="仿宋"/>
          <w:b/>
          <w:color w:val="auto"/>
          <w:sz w:val="24"/>
          <w:highlight w:val="none"/>
        </w:rPr>
      </w:pPr>
    </w:p>
    <w:p w14:paraId="10ED5219">
      <w:pPr>
        <w:shd w:val="clear"/>
        <w:spacing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投诉书范本</w:t>
      </w:r>
    </w:p>
    <w:p w14:paraId="354EB217">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一、投诉相关主体基本情况</w:t>
      </w:r>
    </w:p>
    <w:p w14:paraId="0A2FF9D5">
      <w:pPr>
        <w:shd w:val="clea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w:t>
      </w:r>
      <w:r>
        <w:rPr>
          <w:rFonts w:hint="eastAsia" w:ascii="仿宋" w:hAnsi="仿宋" w:eastAsia="仿宋" w:cs="仿宋"/>
          <w:color w:val="auto"/>
          <w:sz w:val="24"/>
          <w:highlight w:val="none"/>
          <w:u w:val="dotted"/>
        </w:rPr>
        <w:t xml:space="preserve">                                               </w:t>
      </w:r>
    </w:p>
    <w:p w14:paraId="218699C1">
      <w:pPr>
        <w:shd w:val="clea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79ECCD53">
      <w:pPr>
        <w:shd w:val="clear"/>
        <w:tabs>
          <w:tab w:val="left" w:pos="651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法定代表人/主要负责人：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332652C0">
      <w:pPr>
        <w:shd w:val="clear"/>
        <w:tabs>
          <w:tab w:val="left" w:pos="6510"/>
        </w:tabs>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5F803398">
      <w:pPr>
        <w:shd w:val="clea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67219C4C">
      <w:pPr>
        <w:shd w:val="clea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dotted"/>
        </w:rPr>
        <w:t xml:space="preserve">                   </w:t>
      </w:r>
    </w:p>
    <w:p w14:paraId="6855AE3C">
      <w:pPr>
        <w:shd w:val="clea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被投诉人1：</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60ACC716">
      <w:pPr>
        <w:shd w:val="clea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4703847B">
      <w:pPr>
        <w:shd w:val="clea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6AB08666">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被投诉人2</w:t>
      </w:r>
    </w:p>
    <w:p w14:paraId="18B88F60">
      <w:pPr>
        <w:shd w:val="clea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2ED8B9F2">
      <w:pPr>
        <w:shd w:val="clea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相关供应商：</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0915E612">
      <w:pPr>
        <w:shd w:val="clea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274E25E5">
      <w:pPr>
        <w:shd w:val="clea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33281A4C">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二、投诉项目基本情况</w:t>
      </w:r>
    </w:p>
    <w:p w14:paraId="40B0FCDC">
      <w:pPr>
        <w:shd w:val="clea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dotted"/>
        </w:rPr>
        <w:t xml:space="preserve">                                        </w:t>
      </w:r>
    </w:p>
    <w:p w14:paraId="7ECE838E">
      <w:pPr>
        <w:shd w:val="clea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采购项目编号：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6B1E091E">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3E9A721D">
      <w:pPr>
        <w:shd w:val="clea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代理机构名称：</w:t>
      </w:r>
      <w:r>
        <w:rPr>
          <w:rFonts w:hint="eastAsia" w:ascii="仿宋" w:hAnsi="仿宋" w:eastAsia="仿宋" w:cs="仿宋"/>
          <w:color w:val="auto"/>
          <w:sz w:val="24"/>
          <w:highlight w:val="none"/>
          <w:u w:val="dotted"/>
        </w:rPr>
        <w:t xml:space="preserve">                                         </w:t>
      </w:r>
    </w:p>
    <w:p w14:paraId="5E497B0E">
      <w:pPr>
        <w:shd w:val="clea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采购文件公告:</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07C30A58">
      <w:pPr>
        <w:shd w:val="clea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采购结果公告:</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7A57ADDE">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三、质疑基本情况</w:t>
      </w:r>
    </w:p>
    <w:p w14:paraId="5308D2BF">
      <w:pPr>
        <w:shd w:val="clear"/>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日,向</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提出质疑，质疑事项为：</w:t>
      </w:r>
      <w:r>
        <w:rPr>
          <w:rFonts w:hint="eastAsia" w:ascii="仿宋" w:hAnsi="仿宋" w:eastAsia="仿宋" w:cs="仿宋"/>
          <w:color w:val="auto"/>
          <w:sz w:val="24"/>
          <w:highlight w:val="none"/>
          <w:u w:val="dotted"/>
        </w:rPr>
        <w:t xml:space="preserve">                                </w:t>
      </w:r>
    </w:p>
    <w:p w14:paraId="5FAC223F">
      <w:pPr>
        <w:shd w:val="clea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71535FCB">
      <w:pPr>
        <w:shd w:val="clea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采购人/代理机构</w:t>
      </w:r>
      <w:r>
        <w:rPr>
          <w:rFonts w:hint="eastAsia" w:ascii="仿宋" w:hAnsi="仿宋" w:eastAsia="仿宋" w:cs="仿宋"/>
          <w:color w:val="auto"/>
          <w:sz w:val="24"/>
          <w:highlight w:val="none"/>
        </w:rPr>
        <w:t>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日,就质疑事项作出了答复/没有在法定期限内作出答复。</w:t>
      </w:r>
    </w:p>
    <w:p w14:paraId="6104DDC7">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四、投诉事项具体内容</w:t>
      </w:r>
    </w:p>
    <w:p w14:paraId="09A90D3B">
      <w:pPr>
        <w:shd w:val="clea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投诉事项 1：</w:t>
      </w:r>
      <w:r>
        <w:rPr>
          <w:rFonts w:hint="eastAsia" w:ascii="仿宋" w:hAnsi="仿宋" w:eastAsia="仿宋" w:cs="仿宋"/>
          <w:color w:val="auto"/>
          <w:sz w:val="24"/>
          <w:highlight w:val="none"/>
          <w:u w:val="dotted"/>
        </w:rPr>
        <w:t xml:space="preserve">                                       </w:t>
      </w:r>
    </w:p>
    <w:p w14:paraId="1931718C">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1044526B">
      <w:pPr>
        <w:shd w:val="clea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729F1FCC">
      <w:pPr>
        <w:shd w:val="clea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57FCEA48">
      <w:pPr>
        <w:shd w:val="clea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78E22AD3">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投诉事项2</w:t>
      </w:r>
    </w:p>
    <w:p w14:paraId="791BA060">
      <w:pPr>
        <w:shd w:val="clea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1F26B4FA">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五、与投诉事项相关的投诉请求</w:t>
      </w:r>
    </w:p>
    <w:p w14:paraId="2F60F4CA">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12925670">
      <w:pPr>
        <w:shd w:val="clea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w:t>
      </w:r>
    </w:p>
    <w:p w14:paraId="11D6BFD5">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36D66188">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5B4E1D49">
      <w:pPr>
        <w:shd w:val="clear"/>
        <w:spacing w:line="360" w:lineRule="auto"/>
        <w:rPr>
          <w:rFonts w:hint="eastAsia" w:ascii="仿宋" w:hAnsi="仿宋" w:eastAsia="仿宋" w:cs="仿宋"/>
          <w:b/>
          <w:color w:val="auto"/>
          <w:sz w:val="24"/>
          <w:highlight w:val="none"/>
        </w:rPr>
      </w:pPr>
    </w:p>
    <w:p w14:paraId="5833BE2B">
      <w:pPr>
        <w:shd w:val="clear"/>
        <w:spacing w:line="360" w:lineRule="auto"/>
        <w:rPr>
          <w:rFonts w:hint="eastAsia" w:ascii="仿宋" w:hAnsi="仿宋" w:eastAsia="仿宋" w:cs="仿宋"/>
          <w:b/>
          <w:color w:val="auto"/>
          <w:sz w:val="24"/>
          <w:highlight w:val="none"/>
        </w:rPr>
      </w:pPr>
    </w:p>
    <w:p w14:paraId="6F7071C0">
      <w:pPr>
        <w:shd w:val="clea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投诉书制作说明：</w:t>
      </w:r>
    </w:p>
    <w:p w14:paraId="07279622">
      <w:pPr>
        <w:widowControl/>
        <w:shd w:val="clea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1.投诉人提起投诉时，应当提交投诉书和必要的证明材料，并按照被投诉人和与投诉事项有关的供应商数量提供投诉书副本。</w:t>
      </w:r>
    </w:p>
    <w:p w14:paraId="0155CF47">
      <w:pPr>
        <w:widowControl/>
        <w:shd w:val="clea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2.投诉人若委托代理人进行投诉的，投诉书应按照要求列明“授权代表”的有关内容，并在附件中提交由</w:t>
      </w:r>
      <w:r>
        <w:rPr>
          <w:rFonts w:hint="eastAsia" w:ascii="仿宋" w:hAnsi="仿宋" w:eastAsia="仿宋" w:cs="仿宋"/>
          <w:color w:val="auto"/>
          <w:kern w:val="0"/>
          <w:sz w:val="24"/>
          <w:highlight w:val="none"/>
        </w:rPr>
        <w:t>投诉人签署的授权委托书。授权委托书应当载明代理人的姓名或者名称、代理事项、具体权限、期限和相关事项。</w:t>
      </w:r>
    </w:p>
    <w:p w14:paraId="7694BA60">
      <w:pPr>
        <w:widowControl/>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3.投诉人若对项目的某一分包进行投诉，投诉书应列明具体分包号。</w:t>
      </w:r>
    </w:p>
    <w:p w14:paraId="475F76C3">
      <w:pPr>
        <w:widowControl/>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4.投诉书应简要列明质疑事项，质疑函、质疑答复等作为附件材料提供。</w:t>
      </w:r>
    </w:p>
    <w:p w14:paraId="04C50316">
      <w:pPr>
        <w:widowControl/>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5.投诉书的投诉事项应具体、明确，并有必要的事实依据和法律依据。</w:t>
      </w:r>
    </w:p>
    <w:p w14:paraId="1A449F11">
      <w:pPr>
        <w:widowControl/>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6.投诉书的投诉请求应与投诉事项相关。</w:t>
      </w:r>
    </w:p>
    <w:p w14:paraId="63417A5B">
      <w:pPr>
        <w:widowControl/>
        <w:shd w:val="clea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7.投诉人为自然人的，投诉书应当由本人签字；投诉人为法人或者其他组织的，投诉书应当由法定代表人、主要负责人，或者其授权代表签字或者盖章，并加盖公章。</w:t>
      </w:r>
    </w:p>
    <w:p w14:paraId="682C10EA">
      <w:pPr>
        <w:shd w:val="clear"/>
        <w:spacing w:line="360" w:lineRule="auto"/>
        <w:rPr>
          <w:rFonts w:hint="eastAsia" w:ascii="仿宋" w:hAnsi="仿宋" w:eastAsia="仿宋" w:cs="仿宋"/>
          <w:b/>
          <w:color w:val="auto"/>
          <w:sz w:val="24"/>
          <w:highlight w:val="none"/>
        </w:rPr>
      </w:pPr>
    </w:p>
    <w:p w14:paraId="6ECF69A9">
      <w:pPr>
        <w:shd w:val="clear"/>
        <w:autoSpaceDE w:val="0"/>
        <w:autoSpaceDN w:val="0"/>
        <w:jc w:val="center"/>
        <w:rPr>
          <w:rFonts w:hint="eastAsia" w:ascii="仿宋" w:hAnsi="仿宋" w:eastAsia="仿宋" w:cs="仿宋"/>
          <w:b/>
          <w:color w:val="auto"/>
          <w:spacing w:val="6"/>
          <w:sz w:val="32"/>
          <w:szCs w:val="32"/>
          <w:highlight w:val="none"/>
        </w:rPr>
      </w:pPr>
    </w:p>
    <w:p w14:paraId="33D635E2">
      <w:pPr>
        <w:shd w:val="clear"/>
        <w:autoSpaceDE w:val="0"/>
        <w:autoSpaceDN w:val="0"/>
        <w:jc w:val="center"/>
        <w:rPr>
          <w:rFonts w:hint="eastAsia" w:ascii="仿宋" w:hAnsi="仿宋" w:eastAsia="仿宋" w:cs="仿宋"/>
          <w:b/>
          <w:color w:val="auto"/>
          <w:spacing w:val="6"/>
          <w:sz w:val="32"/>
          <w:szCs w:val="32"/>
          <w:highlight w:val="none"/>
        </w:rPr>
      </w:pPr>
    </w:p>
    <w:p w14:paraId="154EA93F">
      <w:pPr>
        <w:shd w:val="clear"/>
        <w:autoSpaceDE w:val="0"/>
        <w:autoSpaceDN w:val="0"/>
        <w:jc w:val="center"/>
        <w:rPr>
          <w:rFonts w:hint="eastAsia" w:ascii="仿宋" w:hAnsi="仿宋" w:eastAsia="仿宋" w:cs="仿宋"/>
          <w:b/>
          <w:bCs/>
          <w:color w:val="auto"/>
          <w:sz w:val="32"/>
          <w:szCs w:val="32"/>
          <w:highlight w:val="none"/>
        </w:rPr>
      </w:pPr>
      <w:r>
        <w:rPr>
          <w:rFonts w:hint="eastAsia" w:ascii="仿宋" w:hAnsi="仿宋" w:eastAsia="仿宋" w:cs="仿宋"/>
          <w:b/>
          <w:color w:val="auto"/>
          <w:spacing w:val="6"/>
          <w:sz w:val="32"/>
          <w:szCs w:val="32"/>
          <w:highlight w:val="none"/>
        </w:rPr>
        <w:t>附件3：</w:t>
      </w:r>
      <w:r>
        <w:rPr>
          <w:rFonts w:hint="eastAsia" w:ascii="仿宋" w:hAnsi="仿宋" w:eastAsia="仿宋" w:cs="仿宋"/>
          <w:b/>
          <w:bCs/>
          <w:color w:val="auto"/>
          <w:sz w:val="32"/>
          <w:szCs w:val="32"/>
          <w:highlight w:val="none"/>
        </w:rPr>
        <w:t>业务专用章使用说明函</w:t>
      </w:r>
    </w:p>
    <w:p w14:paraId="1EDBF6C8">
      <w:pPr>
        <w:shd w:val="clear"/>
        <w:spacing w:line="360" w:lineRule="auto"/>
        <w:rPr>
          <w:rFonts w:hint="eastAsia" w:ascii="仿宋" w:hAnsi="仿宋" w:eastAsia="仿宋" w:cs="仿宋"/>
          <w:color w:val="auto"/>
          <w:sz w:val="24"/>
          <w:highlight w:val="none"/>
          <w:u w:val="single"/>
        </w:rPr>
      </w:pPr>
    </w:p>
    <w:p w14:paraId="6C2A4F0D">
      <w:pPr>
        <w:shd w:val="clea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（采购人）、（采购代理机构）：</w:t>
      </w:r>
    </w:p>
    <w:p w14:paraId="70CA04CA">
      <w:pPr>
        <w:shd w:val="clea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我方</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sz w:val="24"/>
          <w:highlight w:val="none"/>
        </w:rPr>
        <w:t>(投标人全称)是中华人民共和国依法登记注册的合法企业，</w:t>
      </w:r>
      <w:r>
        <w:rPr>
          <w:rFonts w:hint="eastAsia" w:ascii="仿宋" w:hAnsi="仿宋" w:eastAsia="仿宋" w:cs="仿宋"/>
          <w:bCs/>
          <w:color w:val="auto"/>
          <w:sz w:val="24"/>
          <w:highlight w:val="none"/>
        </w:rPr>
        <w:t>在参加</w:t>
      </w:r>
      <w:r>
        <w:rPr>
          <w:rFonts w:hint="eastAsia" w:ascii="仿宋" w:hAnsi="仿宋" w:eastAsia="仿宋" w:cs="仿宋"/>
          <w:color w:val="auto"/>
          <w:sz w:val="24"/>
          <w:highlight w:val="none"/>
        </w:rPr>
        <w:t>你方组织的（项目名称）【招标编号：（采购编号）】</w:t>
      </w:r>
      <w:r>
        <w:rPr>
          <w:rFonts w:hint="eastAsia" w:ascii="仿宋" w:hAnsi="仿宋" w:eastAsia="仿宋" w:cs="仿宋"/>
          <w:bCs/>
          <w:color w:val="auto"/>
          <w:sz w:val="24"/>
          <w:highlight w:val="none"/>
        </w:rPr>
        <w:t>投标活动中作如下说明：</w:t>
      </w:r>
      <w:r>
        <w:rPr>
          <w:rFonts w:hint="eastAsia" w:ascii="仿宋" w:hAnsi="仿宋" w:eastAsia="仿宋" w:cs="仿宋"/>
          <w:color w:val="auto"/>
          <w:sz w:val="24"/>
          <w:highlight w:val="none"/>
        </w:rPr>
        <w:t xml:space="preserve">我方所使用的“XX专用章”与法定名称章具有同等的法律效力，对使用“XX专用章”的行为予以完全承认，并愿意承担相应责任。   </w:t>
      </w:r>
    </w:p>
    <w:p w14:paraId="55CC2972">
      <w:pPr>
        <w:shd w:val="clea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特此说明。</w:t>
      </w:r>
    </w:p>
    <w:p w14:paraId="3F86D4DA">
      <w:pPr>
        <w:shd w:val="clear"/>
        <w:spacing w:line="360" w:lineRule="auto"/>
        <w:ind w:firstLine="494"/>
        <w:rPr>
          <w:rFonts w:hint="eastAsia" w:ascii="仿宋" w:hAnsi="仿宋" w:eastAsia="仿宋" w:cs="仿宋"/>
          <w:color w:val="auto"/>
          <w:sz w:val="24"/>
          <w:highlight w:val="none"/>
        </w:rPr>
      </w:pPr>
    </w:p>
    <w:p w14:paraId="1A4AB407">
      <w:pPr>
        <w:shd w:val="clear"/>
        <w:spacing w:line="360" w:lineRule="auto"/>
        <w:ind w:firstLine="494"/>
        <w:rPr>
          <w:rFonts w:hint="eastAsia" w:ascii="仿宋" w:hAnsi="仿宋" w:eastAsia="仿宋" w:cs="仿宋"/>
          <w:color w:val="auto"/>
          <w:sz w:val="24"/>
          <w:highlight w:val="none"/>
        </w:rPr>
      </w:pPr>
    </w:p>
    <w:p w14:paraId="238A4F6C">
      <w:pPr>
        <w:shd w:val="clear"/>
        <w:spacing w:line="360" w:lineRule="auto"/>
        <w:ind w:firstLine="494"/>
        <w:rPr>
          <w:rFonts w:hint="eastAsia" w:ascii="仿宋" w:hAnsi="仿宋" w:eastAsia="仿宋" w:cs="仿宋"/>
          <w:color w:val="auto"/>
          <w:sz w:val="24"/>
          <w:highlight w:val="none"/>
        </w:rPr>
      </w:pPr>
    </w:p>
    <w:p w14:paraId="25417FC3">
      <w:pPr>
        <w:shd w:val="clear"/>
        <w:spacing w:line="360" w:lineRule="auto"/>
        <w:ind w:firstLine="494"/>
        <w:rPr>
          <w:rFonts w:hint="eastAsia" w:ascii="仿宋" w:hAnsi="仿宋" w:eastAsia="仿宋" w:cs="仿宋"/>
          <w:color w:val="auto"/>
          <w:sz w:val="24"/>
          <w:highlight w:val="none"/>
        </w:rPr>
      </w:pPr>
    </w:p>
    <w:p w14:paraId="5F24E406">
      <w:pPr>
        <w:shd w:val="clear"/>
        <w:spacing w:line="360" w:lineRule="auto"/>
        <w:ind w:right="480"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投标单位（法定名称章）：</w:t>
      </w:r>
    </w:p>
    <w:p w14:paraId="4823E157">
      <w:pPr>
        <w:shd w:val="clear"/>
        <w:ind w:right="1440" w:firstLine="49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3463D077">
      <w:pPr>
        <w:shd w:val="clea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附：</w:t>
      </w:r>
    </w:p>
    <w:p w14:paraId="7F2C007E">
      <w:pPr>
        <w:shd w:val="clear"/>
        <w:spacing w:line="360" w:lineRule="auto"/>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mc:AlternateContent>
          <mc:Choice Requires="wps">
            <w:drawing>
              <wp:anchor distT="0" distB="0" distL="0" distR="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026"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wps:spPr>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x&#10;z/jB2AAAAAoBAAAPAAAAAAAAAAEAIAAAACIAAABkcnMvZG93bnJldi54bWxQSwECFAAUAAAACACH&#10;TuJADfIsy+sBAAAaBAAADgAAAAAAAAABACAAAAAnAQAAZHJzL2Uyb0RvYy54bWxQSwUGAAAAAAYA&#10;BgBZAQAAhAUAAAAA&#10;">
                <v:fill on="t" focussize="0,0"/>
                <v:stroke color="#000000" joinstyle="miter"/>
                <v:imagedata o:title=""/>
                <o:lock v:ext="edit" aspectratio="f"/>
              </v:rect>
            </w:pict>
          </mc:Fallback>
        </mc:AlternateContent>
      </w:r>
      <w:r>
        <w:rPr>
          <w:rFonts w:hint="eastAsia" w:ascii="仿宋" w:hAnsi="仿宋" w:eastAsia="仿宋" w:cs="仿宋"/>
          <w:b/>
          <w:bCs/>
          <w:color w:val="auto"/>
          <w:sz w:val="24"/>
          <w:highlight w:val="none"/>
        </w:rPr>
        <mc:AlternateContent>
          <mc:Choice Requires="wps">
            <w:drawing>
              <wp:anchor distT="0" distB="0" distL="0" distR="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1027"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wps:spPr>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dOwWNgAAAAKAQAADwAAAAAAAAABACAAAAAiAAAAZHJzL2Rvd25yZXYueG1sUEsBAhQAFAAAAAgA&#10;h07iQJjnx4nsAQAAGgQAAA4AAAAAAAAAAQAgAAAAJwEAAGRycy9lMm9Eb2MueG1sUEsFBgAAAAAG&#10;AAYAWQEAAIUFAAAAAA==&#10;">
                <v:fill on="t" focussize="0,0"/>
                <v:stroke color="#000000" joinstyle="miter"/>
                <v:imagedata o:title=""/>
                <o:lock v:ext="edit" aspectratio="f"/>
              </v:rect>
            </w:pict>
          </mc:Fallback>
        </mc:AlternateContent>
      </w:r>
      <w:r>
        <w:rPr>
          <w:rFonts w:hint="eastAsia" w:ascii="仿宋" w:hAnsi="仿宋" w:eastAsia="仿宋" w:cs="仿宋"/>
          <w:color w:val="auto"/>
          <w:sz w:val="24"/>
          <w:highlight w:val="none"/>
        </w:rPr>
        <w:t>投标单位法定名称章（印模）                投标单位“XX专用章”（印模）</w:t>
      </w:r>
    </w:p>
    <w:p w14:paraId="28B73F2F">
      <w:pPr>
        <w:shd w:val="clear"/>
        <w:autoSpaceDE w:val="0"/>
        <w:autoSpaceDN w:val="0"/>
        <w:jc w:val="center"/>
        <w:rPr>
          <w:rFonts w:hint="eastAsia" w:ascii="仿宋" w:hAnsi="仿宋" w:eastAsia="仿宋" w:cs="仿宋"/>
          <w:b/>
          <w:color w:val="auto"/>
          <w:spacing w:val="6"/>
          <w:sz w:val="32"/>
          <w:szCs w:val="32"/>
          <w:highlight w:val="none"/>
        </w:rPr>
      </w:pPr>
    </w:p>
    <w:p w14:paraId="08E621E8">
      <w:pPr>
        <w:shd w:val="clear"/>
        <w:autoSpaceDE w:val="0"/>
        <w:autoSpaceDN w:val="0"/>
        <w:jc w:val="center"/>
        <w:rPr>
          <w:rFonts w:hint="eastAsia" w:ascii="仿宋" w:hAnsi="仿宋" w:eastAsia="仿宋" w:cs="仿宋"/>
          <w:b/>
          <w:color w:val="auto"/>
          <w:spacing w:val="6"/>
          <w:sz w:val="32"/>
          <w:szCs w:val="32"/>
          <w:highlight w:val="none"/>
        </w:rPr>
      </w:pPr>
    </w:p>
    <w:p w14:paraId="5B261A56">
      <w:pPr>
        <w:shd w:val="clear"/>
        <w:autoSpaceDE w:val="0"/>
        <w:autoSpaceDN w:val="0"/>
        <w:jc w:val="center"/>
        <w:rPr>
          <w:rFonts w:hint="eastAsia" w:ascii="仿宋" w:hAnsi="仿宋" w:eastAsia="仿宋" w:cs="仿宋"/>
          <w:b/>
          <w:color w:val="auto"/>
          <w:spacing w:val="6"/>
          <w:sz w:val="32"/>
          <w:szCs w:val="32"/>
          <w:highlight w:val="none"/>
        </w:rPr>
      </w:pPr>
    </w:p>
    <w:p w14:paraId="57C20A8F">
      <w:pPr>
        <w:shd w:val="clear"/>
        <w:autoSpaceDE w:val="0"/>
        <w:autoSpaceDN w:val="0"/>
        <w:jc w:val="center"/>
        <w:rPr>
          <w:rFonts w:hint="eastAsia" w:ascii="仿宋" w:hAnsi="仿宋" w:eastAsia="仿宋" w:cs="仿宋"/>
          <w:b/>
          <w:color w:val="auto"/>
          <w:spacing w:val="6"/>
          <w:sz w:val="32"/>
          <w:szCs w:val="32"/>
          <w:highlight w:val="none"/>
        </w:rPr>
      </w:pPr>
    </w:p>
    <w:p w14:paraId="6B261B3C">
      <w:pPr>
        <w:shd w:val="clear"/>
        <w:autoSpaceDE w:val="0"/>
        <w:autoSpaceDN w:val="0"/>
        <w:jc w:val="center"/>
        <w:rPr>
          <w:rFonts w:hint="eastAsia" w:ascii="仿宋" w:hAnsi="仿宋" w:eastAsia="仿宋" w:cs="仿宋"/>
          <w:b/>
          <w:color w:val="auto"/>
          <w:spacing w:val="6"/>
          <w:sz w:val="32"/>
          <w:szCs w:val="32"/>
          <w:highlight w:val="none"/>
        </w:rPr>
      </w:pPr>
    </w:p>
    <w:p w14:paraId="754E4CD8">
      <w:pPr>
        <w:shd w:val="clear"/>
        <w:autoSpaceDE w:val="0"/>
        <w:autoSpaceDN w:val="0"/>
        <w:jc w:val="center"/>
        <w:rPr>
          <w:rFonts w:hint="eastAsia" w:ascii="仿宋" w:hAnsi="仿宋" w:eastAsia="仿宋" w:cs="仿宋"/>
          <w:b/>
          <w:color w:val="auto"/>
          <w:spacing w:val="6"/>
          <w:sz w:val="32"/>
          <w:szCs w:val="32"/>
          <w:highlight w:val="none"/>
        </w:rPr>
      </w:pPr>
    </w:p>
    <w:p w14:paraId="4F277872">
      <w:pPr>
        <w:shd w:val="clear"/>
        <w:autoSpaceDE w:val="0"/>
        <w:autoSpaceDN w:val="0"/>
        <w:jc w:val="center"/>
        <w:rPr>
          <w:rFonts w:hint="eastAsia" w:ascii="仿宋" w:hAnsi="仿宋" w:eastAsia="仿宋" w:cs="仿宋"/>
          <w:b/>
          <w:color w:val="auto"/>
          <w:spacing w:val="6"/>
          <w:sz w:val="32"/>
          <w:szCs w:val="32"/>
          <w:highlight w:val="none"/>
        </w:rPr>
      </w:pPr>
    </w:p>
    <w:p w14:paraId="51B2F952">
      <w:pPr>
        <w:shd w:val="clear"/>
        <w:autoSpaceDE w:val="0"/>
        <w:autoSpaceDN w:val="0"/>
        <w:jc w:val="center"/>
        <w:rPr>
          <w:rFonts w:hint="eastAsia" w:ascii="仿宋" w:hAnsi="仿宋" w:eastAsia="仿宋" w:cs="仿宋"/>
          <w:b/>
          <w:color w:val="auto"/>
          <w:spacing w:val="6"/>
          <w:sz w:val="32"/>
          <w:szCs w:val="32"/>
          <w:highlight w:val="none"/>
        </w:rPr>
      </w:pPr>
    </w:p>
    <w:p w14:paraId="4C99F574">
      <w:pPr>
        <w:shd w:val="clear"/>
        <w:autoSpaceDE w:val="0"/>
        <w:autoSpaceDN w:val="0"/>
        <w:rPr>
          <w:rFonts w:hint="eastAsia" w:ascii="仿宋" w:hAnsi="仿宋" w:eastAsia="仿宋" w:cs="仿宋"/>
          <w:b/>
          <w:color w:val="auto"/>
          <w:spacing w:val="6"/>
          <w:sz w:val="32"/>
          <w:szCs w:val="32"/>
          <w:highlight w:val="none"/>
        </w:rPr>
      </w:pPr>
    </w:p>
    <w:p w14:paraId="5E984E76">
      <w:pPr>
        <w:shd w:val="clear"/>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br w:type="page"/>
      </w:r>
    </w:p>
    <w:p w14:paraId="32174895">
      <w:pPr>
        <w:shd w:val="clear"/>
        <w:snapToGrid w:val="0"/>
        <w:spacing w:line="360" w:lineRule="auto"/>
        <w:jc w:val="center"/>
        <w:outlineLvl w:val="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附件4：联合协议</w:t>
      </w:r>
    </w:p>
    <w:p w14:paraId="4B17E77B">
      <w:pPr>
        <w:widowControl/>
        <w:shd w:val="clear"/>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（以联合体形式投标的，提供联合协议；本项目不接受联合体投标或者投标人不以联合体形式投标的，则不需要提供）</w:t>
      </w:r>
    </w:p>
    <w:p w14:paraId="77E41750">
      <w:pPr>
        <w:shd w:val="clea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（联合体所有成员名称）</w:t>
      </w:r>
      <w:r>
        <w:rPr>
          <w:rFonts w:hint="eastAsia" w:ascii="仿宋" w:hAnsi="仿宋" w:eastAsia="仿宋" w:cs="仿宋"/>
          <w:color w:val="auto"/>
          <w:kern w:val="0"/>
          <w:sz w:val="24"/>
          <w:highlight w:val="none"/>
        </w:rPr>
        <w:t>自愿</w:t>
      </w:r>
      <w:r>
        <w:rPr>
          <w:rFonts w:hint="eastAsia" w:ascii="仿宋" w:hAnsi="仿宋" w:eastAsia="仿宋" w:cs="仿宋"/>
          <w:color w:val="auto"/>
          <w:kern w:val="0"/>
          <w:sz w:val="24"/>
          <w:highlight w:val="none"/>
          <w:lang w:val="zh-CN"/>
        </w:rPr>
        <w:t>组成一个联合体，以一个投标人的身份</w:t>
      </w:r>
      <w:r>
        <w:rPr>
          <w:rFonts w:hint="eastAsia" w:ascii="仿宋" w:hAnsi="仿宋" w:eastAsia="仿宋" w:cs="仿宋"/>
          <w:color w:val="auto"/>
          <w:kern w:val="0"/>
          <w:sz w:val="24"/>
          <w:highlight w:val="none"/>
        </w:rPr>
        <w:t>参加</w:t>
      </w:r>
      <w:r>
        <w:rPr>
          <w:rFonts w:hint="eastAsia" w:ascii="仿宋" w:hAnsi="仿宋" w:eastAsia="仿宋" w:cs="仿宋"/>
          <w:color w:val="auto"/>
          <w:sz w:val="24"/>
          <w:highlight w:val="none"/>
        </w:rPr>
        <w:t>（项目名称）【招标编号：（采购编号）】</w:t>
      </w:r>
      <w:r>
        <w:rPr>
          <w:rFonts w:hint="eastAsia" w:ascii="仿宋" w:hAnsi="仿宋" w:eastAsia="仿宋" w:cs="仿宋"/>
          <w:color w:val="auto"/>
          <w:kern w:val="0"/>
          <w:sz w:val="24"/>
          <w:highlight w:val="none"/>
          <w:lang w:val="zh-CN"/>
        </w:rPr>
        <w:t xml:space="preserve">投标。 </w:t>
      </w:r>
    </w:p>
    <w:p w14:paraId="54F90B7C">
      <w:pPr>
        <w:shd w:val="clea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一、各方一致决定，</w:t>
      </w:r>
      <w:r>
        <w:rPr>
          <w:rFonts w:hint="eastAsia" w:ascii="仿宋" w:hAnsi="仿宋" w:eastAsia="仿宋" w:cs="仿宋"/>
          <w:color w:val="auto"/>
          <w:kern w:val="0"/>
          <w:sz w:val="24"/>
          <w:highlight w:val="none"/>
          <w:u w:val="single"/>
        </w:rPr>
        <w:t>（某联合体成员名称）</w:t>
      </w:r>
      <w:r>
        <w:rPr>
          <w:rFonts w:hint="eastAsia" w:ascii="仿宋" w:hAnsi="仿宋" w:eastAsia="仿宋" w:cs="仿宋"/>
          <w:color w:val="auto"/>
          <w:kern w:val="0"/>
          <w:sz w:val="24"/>
          <w:highlight w:val="none"/>
        </w:rPr>
        <w:t>为联合体</w:t>
      </w:r>
      <w:r>
        <w:rPr>
          <w:rFonts w:hint="eastAsia" w:ascii="仿宋" w:hAnsi="仿宋" w:eastAsia="仿宋" w:cs="仿宋"/>
          <w:color w:val="auto"/>
          <w:kern w:val="0"/>
          <w:sz w:val="24"/>
          <w:highlight w:val="none"/>
          <w:lang w:val="zh-CN"/>
        </w:rPr>
        <w:t>牵头人</w:t>
      </w:r>
      <w:r>
        <w:rPr>
          <w:rFonts w:hint="eastAsia" w:ascii="仿宋" w:hAnsi="仿宋" w:eastAsia="仿宋" w:cs="仿宋"/>
          <w:color w:val="auto"/>
          <w:sz w:val="24"/>
          <w:highlight w:val="none"/>
        </w:rPr>
        <w:t>，代表所有联合体成员负责投标和合同实施阶段的主办、协调工作</w:t>
      </w:r>
      <w:r>
        <w:rPr>
          <w:rFonts w:hint="eastAsia" w:ascii="仿宋" w:hAnsi="仿宋" w:eastAsia="仿宋" w:cs="仿宋"/>
          <w:color w:val="auto"/>
          <w:kern w:val="0"/>
          <w:sz w:val="24"/>
          <w:highlight w:val="none"/>
          <w:lang w:val="zh-CN"/>
        </w:rPr>
        <w:t>。</w:t>
      </w:r>
    </w:p>
    <w:p w14:paraId="2007AD88">
      <w:pPr>
        <w:shd w:val="clea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w:t>
      </w:r>
      <w:r>
        <w:rPr>
          <w:rFonts w:hint="eastAsia" w:ascii="仿宋" w:hAnsi="仿宋" w:eastAsia="仿宋" w:cs="仿宋"/>
          <w:color w:val="auto"/>
          <w:sz w:val="24"/>
          <w:highlight w:val="none"/>
        </w:rPr>
        <w:t>所有联合体成员各方签署授权书，授权书载明的</w:t>
      </w:r>
      <w:r>
        <w:rPr>
          <w:rFonts w:hint="eastAsia" w:ascii="仿宋" w:hAnsi="仿宋" w:eastAsia="仿宋" w:cs="仿宋"/>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2D3B4963">
      <w:pPr>
        <w:shd w:val="clea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三、本次联合投标中，分工如下：</w:t>
      </w:r>
    </w:p>
    <w:p w14:paraId="1166689F">
      <w:pPr>
        <w:shd w:val="clear"/>
        <w:snapToGrid w:val="0"/>
        <w:spacing w:line="360" w:lineRule="auto"/>
        <w:ind w:firstLine="576"/>
        <w:rPr>
          <w:rFonts w:hint="eastAsia" w:ascii="仿宋" w:hAnsi="仿宋" w:eastAsia="仿宋" w:cs="仿宋"/>
          <w:color w:val="auto"/>
          <w:kern w:val="0"/>
          <w:sz w:val="24"/>
          <w:highlight w:val="none"/>
          <w:lang w:val="zh-CN"/>
        </w:rPr>
      </w:pPr>
      <w:bookmarkStart w:id="54" w:name="_Hlk101134295"/>
      <w:r>
        <w:rPr>
          <w:rFonts w:hint="eastAsia" w:ascii="仿宋" w:hAnsi="仿宋" w:eastAsia="仿宋" w:cs="仿宋"/>
          <w:color w:val="auto"/>
          <w:kern w:val="0"/>
          <w:sz w:val="24"/>
          <w:highlight w:val="none"/>
          <w:u w:val="single"/>
        </w:rPr>
        <w:t>（联合体成员1）</w:t>
      </w:r>
      <w:r>
        <w:rPr>
          <w:rFonts w:hint="eastAsia" w:ascii="仿宋" w:hAnsi="仿宋" w:eastAsia="仿宋" w:cs="仿宋"/>
          <w:color w:val="auto"/>
          <w:kern w:val="0"/>
          <w:sz w:val="24"/>
          <w:highlight w:val="none"/>
          <w:lang w:val="zh-CN"/>
        </w:rPr>
        <w:t>承担的工作和义务为：</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w:t>
      </w:r>
    </w:p>
    <w:p w14:paraId="32DAB57C">
      <w:pPr>
        <w:shd w:val="clea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（联合体成员2）</w:t>
      </w:r>
      <w:r>
        <w:rPr>
          <w:rFonts w:hint="eastAsia" w:ascii="仿宋" w:hAnsi="仿宋" w:eastAsia="仿宋" w:cs="仿宋"/>
          <w:color w:val="auto"/>
          <w:kern w:val="0"/>
          <w:sz w:val="24"/>
          <w:highlight w:val="none"/>
          <w:lang w:val="zh-CN"/>
        </w:rPr>
        <w:t>承担的工作和义务为：</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w:t>
      </w:r>
    </w:p>
    <w:p w14:paraId="3C32E7D2">
      <w:pPr>
        <w:shd w:val="clea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w:t>
      </w:r>
    </w:p>
    <w:bookmarkEnd w:id="54"/>
    <w:p w14:paraId="1D1ABDEC">
      <w:pPr>
        <w:shd w:val="clea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四、联合体成员中小企业合同份额。</w:t>
      </w:r>
    </w:p>
    <w:p w14:paraId="3271681F">
      <w:pPr>
        <w:shd w:val="clear"/>
        <w:snapToGrid w:val="0"/>
        <w:spacing w:line="360" w:lineRule="auto"/>
        <w:ind w:firstLine="576"/>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u w:val="single"/>
        </w:rPr>
        <w:t>（联合体成员X,……）</w:t>
      </w:r>
      <w:r>
        <w:rPr>
          <w:rFonts w:hint="eastAsia" w:ascii="仿宋" w:hAnsi="仿宋" w:eastAsia="仿宋" w:cs="仿宋"/>
          <w:color w:val="auto"/>
          <w:kern w:val="0"/>
          <w:sz w:val="24"/>
          <w:highlight w:val="none"/>
        </w:rPr>
        <w:t>提供的全部货物由小微企业制造，其合同份额占到合同总金额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%以上；</w:t>
      </w:r>
      <w:r>
        <w:rPr>
          <w:rFonts w:hint="eastAsia" w:ascii="仿宋" w:hAnsi="仿宋" w:eastAsia="仿宋" w:cs="仿宋"/>
          <w:color w:val="auto"/>
          <w:kern w:val="0"/>
          <w:sz w:val="24"/>
          <w:highlight w:val="none"/>
          <w:lang w:val="zh-CN"/>
        </w:rPr>
        <w:t>……。</w:t>
      </w:r>
      <w:r>
        <w:rPr>
          <w:rFonts w:hint="eastAsia" w:ascii="仿宋" w:hAnsi="仿宋" w:eastAsia="仿宋" w:cs="仿宋"/>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 w:hAnsi="仿宋" w:eastAsia="仿宋" w:cs="仿宋"/>
          <w:b/>
          <w:color w:val="auto"/>
          <w:sz w:val="24"/>
          <w:highlight w:val="none"/>
        </w:rPr>
        <w:t>拟享受以上价格扣除政策的，填写有关内容。</w:t>
      </w:r>
      <w:r>
        <w:rPr>
          <w:rFonts w:hint="eastAsia" w:ascii="仿宋" w:hAnsi="仿宋" w:eastAsia="仿宋" w:cs="仿宋"/>
          <w:b/>
          <w:color w:val="auto"/>
          <w:kern w:val="0"/>
          <w:sz w:val="24"/>
          <w:highlight w:val="none"/>
          <w:lang w:val="zh-CN"/>
        </w:rPr>
        <w:t>）</w:t>
      </w:r>
    </w:p>
    <w:p w14:paraId="532FA83C">
      <w:pPr>
        <w:shd w:val="clea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rPr>
        <w:t>2、中小企业合同金额达到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仿宋" w:hAnsi="仿宋" w:eastAsia="仿宋" w:cs="仿宋"/>
          <w:b/>
          <w:bCs/>
          <w:color w:val="auto"/>
          <w:kern w:val="0"/>
          <w:sz w:val="24"/>
          <w:highlight w:val="none"/>
          <w:lang w:val="zh-CN"/>
        </w:rPr>
        <w:t>）</w:t>
      </w:r>
    </w:p>
    <w:p w14:paraId="1F15C4B9">
      <w:pPr>
        <w:shd w:val="clea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五、如果中标，</w:t>
      </w:r>
      <w:r>
        <w:rPr>
          <w:rFonts w:hint="eastAsia" w:ascii="仿宋" w:hAnsi="仿宋" w:eastAsia="仿宋" w:cs="仿宋"/>
          <w:color w:val="auto"/>
          <w:sz w:val="24"/>
          <w:highlight w:val="none"/>
        </w:rPr>
        <w:t>联合体各成员方共同与采购人签订合同，并就采购合同约定的事项对采购人承担连带责任。</w:t>
      </w:r>
    </w:p>
    <w:p w14:paraId="40EDB77B">
      <w:pPr>
        <w:shd w:val="clea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六、有关本次联合投标的其他事宜：</w:t>
      </w:r>
    </w:p>
    <w:p w14:paraId="32841CB4">
      <w:pPr>
        <w:shd w:val="clea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1、联合体各方不再单独参加或者与其他供应商另外组成联合体参加同一合同项下的政府采购活动。</w:t>
      </w:r>
    </w:p>
    <w:p w14:paraId="4732991D">
      <w:pPr>
        <w:shd w:val="clea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2、联合体中有同类资质的各方按照联合体分工承担相同工作的，按照资质等级较低的供应商确定资质等级。</w:t>
      </w:r>
    </w:p>
    <w:p w14:paraId="797A9076">
      <w:pPr>
        <w:shd w:val="clea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3、本协议提交采购人、采购代理机构后，联合体各方不得以任何形式对上述内容进行修改或撤销。</w:t>
      </w:r>
    </w:p>
    <w:p w14:paraId="668D8B83">
      <w:pPr>
        <w:shd w:val="clea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158159F6">
      <w:pPr>
        <w:shd w:val="clea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03741398">
      <w:pPr>
        <w:shd w:val="clear"/>
        <w:snapToGrid w:val="0"/>
        <w:spacing w:line="360" w:lineRule="auto"/>
        <w:ind w:right="960"/>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132C37EA">
      <w:pPr>
        <w:shd w:val="clear"/>
        <w:snapToGrid w:val="0"/>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5AA5F364">
      <w:pPr>
        <w:shd w:val="clea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26F8B892">
      <w:pPr>
        <w:shd w:val="clear"/>
        <w:autoSpaceDE w:val="0"/>
        <w:autoSpaceDN w:val="0"/>
        <w:jc w:val="center"/>
        <w:rPr>
          <w:rFonts w:hint="eastAsia" w:ascii="仿宋" w:hAnsi="仿宋" w:eastAsia="仿宋" w:cs="仿宋"/>
          <w:b/>
          <w:color w:val="auto"/>
          <w:spacing w:val="6"/>
          <w:sz w:val="32"/>
          <w:szCs w:val="32"/>
          <w:highlight w:val="none"/>
        </w:rPr>
      </w:pPr>
    </w:p>
    <w:p w14:paraId="66C20832">
      <w:pPr>
        <w:shd w:val="clear"/>
        <w:autoSpaceDE w:val="0"/>
        <w:autoSpaceDN w:val="0"/>
        <w:jc w:val="center"/>
        <w:rPr>
          <w:rFonts w:hint="eastAsia" w:ascii="仿宋" w:hAnsi="仿宋" w:eastAsia="仿宋" w:cs="仿宋"/>
          <w:b/>
          <w:color w:val="auto"/>
          <w:spacing w:val="6"/>
          <w:sz w:val="32"/>
          <w:szCs w:val="32"/>
          <w:highlight w:val="none"/>
        </w:rPr>
      </w:pPr>
    </w:p>
    <w:p w14:paraId="0102871E">
      <w:pPr>
        <w:shd w:val="clear"/>
        <w:autoSpaceDE w:val="0"/>
        <w:autoSpaceDN w:val="0"/>
        <w:jc w:val="center"/>
        <w:rPr>
          <w:rFonts w:hint="eastAsia" w:ascii="仿宋" w:hAnsi="仿宋" w:eastAsia="仿宋" w:cs="仿宋"/>
          <w:b/>
          <w:color w:val="auto"/>
          <w:spacing w:val="6"/>
          <w:sz w:val="32"/>
          <w:szCs w:val="32"/>
          <w:highlight w:val="none"/>
        </w:rPr>
      </w:pPr>
    </w:p>
    <w:p w14:paraId="3330889F">
      <w:pPr>
        <w:shd w:val="clear"/>
        <w:autoSpaceDE w:val="0"/>
        <w:autoSpaceDN w:val="0"/>
        <w:jc w:val="center"/>
        <w:rPr>
          <w:rFonts w:hint="eastAsia" w:ascii="仿宋" w:hAnsi="仿宋" w:eastAsia="仿宋" w:cs="仿宋"/>
          <w:b/>
          <w:color w:val="auto"/>
          <w:spacing w:val="6"/>
          <w:sz w:val="32"/>
          <w:szCs w:val="32"/>
          <w:highlight w:val="none"/>
        </w:rPr>
      </w:pPr>
    </w:p>
    <w:p w14:paraId="41D2415C">
      <w:pPr>
        <w:shd w:val="clear"/>
        <w:autoSpaceDE w:val="0"/>
        <w:autoSpaceDN w:val="0"/>
        <w:jc w:val="center"/>
        <w:rPr>
          <w:rFonts w:hint="eastAsia" w:ascii="仿宋" w:hAnsi="仿宋" w:eastAsia="仿宋" w:cs="仿宋"/>
          <w:b/>
          <w:color w:val="auto"/>
          <w:spacing w:val="6"/>
          <w:sz w:val="32"/>
          <w:szCs w:val="32"/>
          <w:highlight w:val="none"/>
        </w:rPr>
      </w:pPr>
    </w:p>
    <w:p w14:paraId="7020E802">
      <w:pPr>
        <w:shd w:val="clear"/>
        <w:autoSpaceDE w:val="0"/>
        <w:autoSpaceDN w:val="0"/>
        <w:jc w:val="center"/>
        <w:rPr>
          <w:rFonts w:hint="eastAsia" w:ascii="仿宋" w:hAnsi="仿宋" w:eastAsia="仿宋" w:cs="仿宋"/>
          <w:b/>
          <w:color w:val="auto"/>
          <w:spacing w:val="6"/>
          <w:sz w:val="32"/>
          <w:szCs w:val="32"/>
          <w:highlight w:val="none"/>
        </w:rPr>
      </w:pPr>
    </w:p>
    <w:p w14:paraId="46830EFD">
      <w:pPr>
        <w:shd w:val="clear"/>
        <w:autoSpaceDE w:val="0"/>
        <w:autoSpaceDN w:val="0"/>
        <w:jc w:val="center"/>
        <w:rPr>
          <w:rFonts w:hint="eastAsia" w:ascii="仿宋" w:hAnsi="仿宋" w:eastAsia="仿宋" w:cs="仿宋"/>
          <w:b/>
          <w:color w:val="auto"/>
          <w:spacing w:val="6"/>
          <w:sz w:val="32"/>
          <w:szCs w:val="32"/>
          <w:highlight w:val="none"/>
        </w:rPr>
      </w:pPr>
    </w:p>
    <w:p w14:paraId="0C2A207C">
      <w:pPr>
        <w:shd w:val="clear"/>
        <w:autoSpaceDE w:val="0"/>
        <w:autoSpaceDN w:val="0"/>
        <w:jc w:val="center"/>
        <w:rPr>
          <w:rFonts w:hint="eastAsia" w:ascii="仿宋" w:hAnsi="仿宋" w:eastAsia="仿宋" w:cs="仿宋"/>
          <w:b/>
          <w:color w:val="auto"/>
          <w:spacing w:val="6"/>
          <w:sz w:val="32"/>
          <w:szCs w:val="32"/>
          <w:highlight w:val="none"/>
        </w:rPr>
      </w:pPr>
    </w:p>
    <w:p w14:paraId="10F2A4C4">
      <w:pPr>
        <w:shd w:val="clear"/>
        <w:autoSpaceDE w:val="0"/>
        <w:autoSpaceDN w:val="0"/>
        <w:jc w:val="center"/>
        <w:rPr>
          <w:rFonts w:hint="eastAsia" w:ascii="仿宋" w:hAnsi="仿宋" w:eastAsia="仿宋" w:cs="仿宋"/>
          <w:b/>
          <w:color w:val="auto"/>
          <w:spacing w:val="6"/>
          <w:sz w:val="32"/>
          <w:szCs w:val="32"/>
          <w:highlight w:val="none"/>
        </w:rPr>
      </w:pPr>
    </w:p>
    <w:p w14:paraId="23C699E9">
      <w:pPr>
        <w:shd w:val="clear"/>
        <w:autoSpaceDE w:val="0"/>
        <w:autoSpaceDN w:val="0"/>
        <w:jc w:val="center"/>
        <w:rPr>
          <w:rFonts w:hint="eastAsia" w:ascii="仿宋" w:hAnsi="仿宋" w:eastAsia="仿宋" w:cs="仿宋"/>
          <w:b/>
          <w:color w:val="auto"/>
          <w:spacing w:val="6"/>
          <w:sz w:val="32"/>
          <w:szCs w:val="32"/>
          <w:highlight w:val="none"/>
        </w:rPr>
      </w:pPr>
    </w:p>
    <w:p w14:paraId="54EC253B">
      <w:pPr>
        <w:shd w:val="clear"/>
        <w:autoSpaceDE w:val="0"/>
        <w:autoSpaceDN w:val="0"/>
        <w:jc w:val="center"/>
        <w:rPr>
          <w:rFonts w:hint="eastAsia" w:ascii="仿宋" w:hAnsi="仿宋" w:eastAsia="仿宋" w:cs="仿宋"/>
          <w:b/>
          <w:color w:val="auto"/>
          <w:spacing w:val="6"/>
          <w:sz w:val="32"/>
          <w:szCs w:val="32"/>
          <w:highlight w:val="none"/>
        </w:rPr>
      </w:pPr>
    </w:p>
    <w:p w14:paraId="3F78EEBB">
      <w:pPr>
        <w:shd w:val="clear"/>
        <w:autoSpaceDE w:val="0"/>
        <w:autoSpaceDN w:val="0"/>
        <w:jc w:val="center"/>
        <w:rPr>
          <w:rFonts w:hint="eastAsia" w:ascii="仿宋" w:hAnsi="仿宋" w:eastAsia="仿宋" w:cs="仿宋"/>
          <w:b/>
          <w:color w:val="auto"/>
          <w:spacing w:val="6"/>
          <w:sz w:val="32"/>
          <w:szCs w:val="32"/>
          <w:highlight w:val="none"/>
        </w:rPr>
      </w:pPr>
    </w:p>
    <w:p w14:paraId="636AE02F">
      <w:pPr>
        <w:shd w:val="clear"/>
        <w:autoSpaceDE w:val="0"/>
        <w:autoSpaceDN w:val="0"/>
        <w:jc w:val="center"/>
        <w:rPr>
          <w:rFonts w:hint="eastAsia" w:ascii="仿宋" w:hAnsi="仿宋" w:eastAsia="仿宋" w:cs="仿宋"/>
          <w:b/>
          <w:color w:val="auto"/>
          <w:spacing w:val="6"/>
          <w:sz w:val="32"/>
          <w:szCs w:val="32"/>
          <w:highlight w:val="none"/>
        </w:rPr>
      </w:pPr>
    </w:p>
    <w:p w14:paraId="17B9C14B">
      <w:pPr>
        <w:shd w:val="clear"/>
        <w:autoSpaceDE w:val="0"/>
        <w:autoSpaceDN w:val="0"/>
        <w:jc w:val="center"/>
        <w:rPr>
          <w:rFonts w:hint="eastAsia" w:ascii="仿宋" w:hAnsi="仿宋" w:eastAsia="仿宋" w:cs="仿宋"/>
          <w:b/>
          <w:color w:val="auto"/>
          <w:spacing w:val="6"/>
          <w:sz w:val="32"/>
          <w:szCs w:val="32"/>
          <w:highlight w:val="none"/>
        </w:rPr>
      </w:pPr>
    </w:p>
    <w:p w14:paraId="3DFC7D01">
      <w:pPr>
        <w:shd w:val="clear"/>
        <w:autoSpaceDE w:val="0"/>
        <w:autoSpaceDN w:val="0"/>
        <w:jc w:val="center"/>
        <w:rPr>
          <w:rFonts w:hint="eastAsia" w:ascii="仿宋" w:hAnsi="仿宋" w:eastAsia="仿宋" w:cs="仿宋"/>
          <w:b/>
          <w:color w:val="auto"/>
          <w:spacing w:val="6"/>
          <w:sz w:val="32"/>
          <w:szCs w:val="32"/>
          <w:highlight w:val="none"/>
        </w:rPr>
      </w:pPr>
    </w:p>
    <w:p w14:paraId="738C2A9B">
      <w:pPr>
        <w:shd w:val="clear"/>
        <w:autoSpaceDE w:val="0"/>
        <w:autoSpaceDN w:val="0"/>
        <w:jc w:val="center"/>
        <w:rPr>
          <w:rFonts w:hint="eastAsia" w:ascii="仿宋" w:hAnsi="仿宋" w:eastAsia="仿宋" w:cs="仿宋"/>
          <w:b/>
          <w:color w:val="auto"/>
          <w:spacing w:val="6"/>
          <w:sz w:val="32"/>
          <w:szCs w:val="32"/>
          <w:highlight w:val="none"/>
        </w:rPr>
      </w:pPr>
    </w:p>
    <w:p w14:paraId="02C51A93">
      <w:pPr>
        <w:shd w:val="clear"/>
        <w:snapToGrid w:val="0"/>
        <w:spacing w:line="360" w:lineRule="auto"/>
        <w:jc w:val="center"/>
        <w:outlineLvl w:val="0"/>
        <w:rPr>
          <w:rFonts w:hint="eastAsia" w:ascii="仿宋" w:hAnsi="仿宋" w:eastAsia="仿宋" w:cs="仿宋"/>
          <w:b/>
          <w:color w:val="auto"/>
          <w:kern w:val="0"/>
          <w:sz w:val="32"/>
          <w:szCs w:val="32"/>
          <w:highlight w:val="none"/>
        </w:rPr>
      </w:pPr>
    </w:p>
    <w:p w14:paraId="635DDCAC">
      <w:pPr>
        <w:shd w:val="clear"/>
        <w:snapToGrid w:val="0"/>
        <w:spacing w:line="360" w:lineRule="auto"/>
        <w:jc w:val="center"/>
        <w:outlineLvl w:val="0"/>
        <w:rPr>
          <w:rFonts w:hint="eastAsia" w:ascii="仿宋" w:hAnsi="仿宋" w:eastAsia="仿宋" w:cs="仿宋"/>
          <w:b/>
          <w:color w:val="auto"/>
          <w:kern w:val="0"/>
          <w:sz w:val="32"/>
          <w:szCs w:val="32"/>
          <w:highlight w:val="none"/>
        </w:rPr>
      </w:pPr>
    </w:p>
    <w:p w14:paraId="148B953D">
      <w:pPr>
        <w:shd w:val="clear"/>
        <w:snapToGrid w:val="0"/>
        <w:spacing w:line="360" w:lineRule="auto"/>
        <w:jc w:val="center"/>
        <w:outlineLvl w:val="0"/>
        <w:rPr>
          <w:rFonts w:hint="eastAsia" w:ascii="仿宋" w:hAnsi="仿宋" w:eastAsia="仿宋" w:cs="仿宋"/>
          <w:b/>
          <w:color w:val="auto"/>
          <w:kern w:val="0"/>
          <w:sz w:val="32"/>
          <w:szCs w:val="32"/>
          <w:highlight w:val="none"/>
        </w:rPr>
      </w:pPr>
    </w:p>
    <w:p w14:paraId="1221539D">
      <w:pPr>
        <w:shd w:val="clea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2A776F17">
      <w:pPr>
        <w:shd w:val="clear"/>
        <w:snapToGrid w:val="0"/>
        <w:spacing w:line="360" w:lineRule="auto"/>
        <w:jc w:val="center"/>
        <w:outlineLvl w:val="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附件5：分包意向协议</w:t>
      </w:r>
    </w:p>
    <w:p w14:paraId="3999E61E">
      <w:pPr>
        <w:widowControl/>
        <w:shd w:val="clear"/>
        <w:spacing w:line="360" w:lineRule="auto"/>
        <w:ind w:firstLine="120" w:firstLineChars="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中标后以分包方式履行合同的，提供分包意向协议；采购人不同意分包或者投标人中标后不以分包方式履行合同的，则不需要提供。</w:t>
      </w:r>
      <w:r>
        <w:rPr>
          <w:rFonts w:hint="eastAsia" w:ascii="仿宋" w:hAnsi="仿宋" w:eastAsia="仿宋" w:cs="仿宋"/>
          <w:color w:val="auto"/>
          <w:sz w:val="24"/>
          <w:highlight w:val="none"/>
        </w:rPr>
        <w:t>）</w:t>
      </w:r>
    </w:p>
    <w:p w14:paraId="62190F09">
      <w:pPr>
        <w:shd w:val="clea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若成为</w:t>
      </w:r>
      <w:r>
        <w:rPr>
          <w:rFonts w:hint="eastAsia" w:ascii="仿宋" w:hAnsi="仿宋" w:eastAsia="仿宋" w:cs="仿宋"/>
          <w:color w:val="auto"/>
          <w:sz w:val="24"/>
          <w:highlight w:val="none"/>
        </w:rPr>
        <w:t>（项目名称）【招标编号：（采购编号）】</w:t>
      </w:r>
      <w:r>
        <w:rPr>
          <w:rFonts w:hint="eastAsia" w:ascii="仿宋" w:hAnsi="仿宋" w:eastAsia="仿宋" w:cs="仿宋"/>
          <w:color w:val="auto"/>
          <w:kern w:val="0"/>
          <w:sz w:val="24"/>
          <w:highlight w:val="none"/>
          <w:lang w:val="zh-CN"/>
        </w:rPr>
        <w:t>的中标供应商，将依法采取分包方式履行合同。</w:t>
      </w: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rPr>
        <w:t>与</w:t>
      </w:r>
      <w:r>
        <w:rPr>
          <w:rFonts w:hint="eastAsia" w:ascii="仿宋" w:hAnsi="仿宋" w:eastAsia="仿宋" w:cs="仿宋"/>
          <w:color w:val="auto"/>
          <w:kern w:val="0"/>
          <w:sz w:val="24"/>
          <w:highlight w:val="none"/>
          <w:u w:val="single"/>
        </w:rPr>
        <w:t>（所有分包供应商名称）</w:t>
      </w:r>
      <w:r>
        <w:rPr>
          <w:rFonts w:hint="eastAsia" w:ascii="仿宋" w:hAnsi="仿宋" w:eastAsia="仿宋" w:cs="仿宋"/>
          <w:color w:val="auto"/>
          <w:kern w:val="0"/>
          <w:sz w:val="24"/>
          <w:highlight w:val="none"/>
        </w:rPr>
        <w:t>达成分包意向协议</w:t>
      </w:r>
      <w:r>
        <w:rPr>
          <w:rFonts w:hint="eastAsia" w:ascii="仿宋" w:hAnsi="仿宋" w:eastAsia="仿宋" w:cs="仿宋"/>
          <w:color w:val="auto"/>
          <w:kern w:val="0"/>
          <w:sz w:val="24"/>
          <w:highlight w:val="none"/>
          <w:lang w:val="zh-CN"/>
        </w:rPr>
        <w:t xml:space="preserve">。 </w:t>
      </w:r>
    </w:p>
    <w:p w14:paraId="504B5B8C">
      <w:pPr>
        <w:shd w:val="clea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一、分包标的及数量</w:t>
      </w:r>
    </w:p>
    <w:p w14:paraId="2A5C5F90">
      <w:pPr>
        <w:shd w:val="clea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将</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u w:val="single"/>
        </w:rPr>
        <w:t xml:space="preserve">  XX工作内容   </w:t>
      </w:r>
      <w:r>
        <w:rPr>
          <w:rFonts w:hint="eastAsia" w:ascii="仿宋" w:hAnsi="仿宋" w:eastAsia="仿宋" w:cs="仿宋"/>
          <w:color w:val="auto"/>
          <w:sz w:val="24"/>
          <w:highlight w:val="none"/>
        </w:rPr>
        <w:t>分包给</w:t>
      </w:r>
      <w:r>
        <w:rPr>
          <w:rFonts w:hint="eastAsia" w:ascii="仿宋" w:hAnsi="仿宋" w:eastAsia="仿宋" w:cs="仿宋"/>
          <w:color w:val="auto"/>
          <w:kern w:val="0"/>
          <w:sz w:val="24"/>
          <w:highlight w:val="none"/>
          <w:u w:val="single"/>
        </w:rPr>
        <w:t>（分包供应商1名称）</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u w:val="single"/>
        </w:rPr>
        <w:t>（分包供应商1名称），</w:t>
      </w:r>
      <w:r>
        <w:rPr>
          <w:rFonts w:hint="eastAsia" w:ascii="仿宋" w:hAnsi="仿宋" w:eastAsia="仿宋" w:cs="仿宋"/>
          <w:color w:val="auto"/>
          <w:kern w:val="0"/>
          <w:sz w:val="24"/>
          <w:highlight w:val="none"/>
          <w:lang w:val="zh-CN"/>
        </w:rPr>
        <w:t>具备承</w:t>
      </w:r>
      <w:r>
        <w:rPr>
          <w:rFonts w:hint="eastAsia" w:ascii="仿宋" w:hAnsi="仿宋" w:eastAsia="仿宋" w:cs="仿宋"/>
          <w:color w:val="auto"/>
          <w:kern w:val="0"/>
          <w:sz w:val="24"/>
          <w:highlight w:val="none"/>
        </w:rPr>
        <w:t>担</w:t>
      </w:r>
      <w:r>
        <w:rPr>
          <w:rFonts w:hint="eastAsia" w:ascii="仿宋" w:hAnsi="仿宋" w:eastAsia="仿宋" w:cs="仿宋"/>
          <w:color w:val="auto"/>
          <w:kern w:val="0"/>
          <w:sz w:val="24"/>
          <w:highlight w:val="none"/>
          <w:u w:val="single"/>
          <w:lang w:val="zh-CN"/>
        </w:rPr>
        <w:t>XX工作内容</w:t>
      </w:r>
      <w:r>
        <w:rPr>
          <w:rFonts w:hint="eastAsia" w:ascii="仿宋" w:hAnsi="仿宋" w:eastAsia="仿宋" w:cs="仿宋"/>
          <w:color w:val="auto"/>
          <w:kern w:val="0"/>
          <w:sz w:val="24"/>
          <w:highlight w:val="none"/>
          <w:lang w:val="zh-CN"/>
        </w:rPr>
        <w:t>相应资质条件且不得再次分包；</w:t>
      </w:r>
    </w:p>
    <w:p w14:paraId="4419739F">
      <w:pPr>
        <w:pStyle w:val="2"/>
        <w:shd w:val="clear"/>
        <w:ind w:left="664" w:leftChars="316" w:firstLine="229" w:firstLineChars="95"/>
        <w:rPr>
          <w:rFonts w:hint="eastAsia" w:ascii="仿宋" w:eastAsia="仿宋" w:cs="仿宋"/>
          <w:color w:val="auto"/>
          <w:kern w:val="0"/>
          <w:sz w:val="24"/>
          <w:szCs w:val="24"/>
          <w:highlight w:val="none"/>
        </w:rPr>
      </w:pPr>
      <w:r>
        <w:rPr>
          <w:rFonts w:hint="eastAsia" w:ascii="仿宋" w:eastAsia="仿宋" w:cs="仿宋"/>
          <w:color w:val="auto"/>
          <w:kern w:val="0"/>
          <w:sz w:val="24"/>
          <w:szCs w:val="24"/>
          <w:highlight w:val="none"/>
        </w:rPr>
        <w:t>……</w:t>
      </w:r>
    </w:p>
    <w:p w14:paraId="29591263">
      <w:pPr>
        <w:shd w:val="clea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二、分包供应商中小企业合同份额</w:t>
      </w:r>
    </w:p>
    <w:p w14:paraId="5169135E">
      <w:pPr>
        <w:shd w:val="clear"/>
        <w:snapToGrid w:val="0"/>
        <w:spacing w:line="360" w:lineRule="auto"/>
        <w:ind w:firstLine="576"/>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u w:val="single"/>
        </w:rPr>
        <w:t>（分包供应商X,……）提供的货物全部由小微企业制造，</w:t>
      </w:r>
      <w:r>
        <w:rPr>
          <w:rFonts w:hint="eastAsia" w:ascii="仿宋" w:hAnsi="仿宋" w:eastAsia="仿宋" w:cs="仿宋"/>
          <w:color w:val="auto"/>
          <w:kern w:val="0"/>
          <w:sz w:val="24"/>
          <w:highlight w:val="none"/>
        </w:rPr>
        <w:t>其合同份额占到合同总金额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%以上</w:t>
      </w:r>
      <w:r>
        <w:rPr>
          <w:rFonts w:hint="eastAsia" w:ascii="仿宋" w:hAnsi="仿宋" w:eastAsia="仿宋" w:cs="仿宋"/>
          <w:color w:val="auto"/>
          <w:highlight w:val="none"/>
        </w:rPr>
        <w:t>。</w:t>
      </w:r>
      <w:r>
        <w:rPr>
          <w:rFonts w:hint="eastAsia" w:ascii="仿宋" w:hAnsi="仿宋" w:eastAsia="仿宋" w:cs="仿宋"/>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仿宋" w:hAnsi="仿宋" w:eastAsia="仿宋" w:cs="仿宋"/>
          <w:b/>
          <w:color w:val="auto"/>
          <w:sz w:val="24"/>
          <w:highlight w:val="none"/>
        </w:rPr>
        <w:t>拟享受以上价格扣除政策的，填写有关内容。</w:t>
      </w:r>
      <w:r>
        <w:rPr>
          <w:rFonts w:hint="eastAsia" w:ascii="仿宋" w:hAnsi="仿宋" w:eastAsia="仿宋" w:cs="仿宋"/>
          <w:b/>
          <w:color w:val="auto"/>
          <w:kern w:val="0"/>
          <w:sz w:val="24"/>
          <w:highlight w:val="none"/>
          <w:lang w:val="zh-CN"/>
        </w:rPr>
        <w:t>）</w:t>
      </w:r>
    </w:p>
    <w:p w14:paraId="0C77D2C3">
      <w:pPr>
        <w:shd w:val="clear"/>
        <w:spacing w:line="360" w:lineRule="auto"/>
        <w:ind w:firstLine="480" w:firstLineChars="200"/>
        <w:rPr>
          <w:rFonts w:hint="eastAsia" w:ascii="仿宋" w:hAnsi="仿宋" w:eastAsia="仿宋" w:cs="仿宋"/>
          <w:b/>
          <w:bCs/>
          <w:color w:val="auto"/>
          <w:kern w:val="0"/>
          <w:sz w:val="24"/>
          <w:highlight w:val="none"/>
          <w:lang w:val="zh-CN"/>
        </w:rPr>
      </w:pPr>
      <w:r>
        <w:rPr>
          <w:rFonts w:hint="eastAsia" w:ascii="仿宋" w:hAnsi="仿宋" w:eastAsia="仿宋" w:cs="仿宋"/>
          <w:color w:val="auto"/>
          <w:sz w:val="24"/>
          <w:highlight w:val="none"/>
        </w:rPr>
        <w:t>2、</w:t>
      </w:r>
      <w:bookmarkStart w:id="55" w:name="_Hlk101133173"/>
      <w:r>
        <w:rPr>
          <w:rFonts w:hint="eastAsia" w:ascii="仿宋" w:hAnsi="仿宋" w:eastAsia="仿宋" w:cs="仿宋"/>
          <w:color w:val="auto"/>
          <w:sz w:val="24"/>
          <w:highlight w:val="none"/>
        </w:rPr>
        <w:t>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sz w:val="24"/>
          <w:highlight w:val="none"/>
        </w:rPr>
        <w:t>要求合同分包形式参加的项目或采购包，供应商按招标文件第一部分招标公告申请人的资格要求中规定的</w:t>
      </w:r>
      <w:r>
        <w:rPr>
          <w:rFonts w:hint="eastAsia" w:ascii="仿宋" w:hAnsi="仿宋" w:eastAsia="仿宋" w:cs="仿宋"/>
          <w:b/>
          <w:color w:val="auto"/>
          <w:kern w:val="0"/>
          <w:sz w:val="24"/>
          <w:highlight w:val="none"/>
          <w:lang w:val="zh-CN"/>
        </w:rPr>
        <w:t>分包意向协议</w:t>
      </w:r>
      <w:r>
        <w:rPr>
          <w:rFonts w:hint="eastAsia" w:ascii="仿宋" w:hAnsi="仿宋" w:eastAsia="仿宋" w:cs="仿宋"/>
          <w:b/>
          <w:bCs/>
          <w:color w:val="auto"/>
          <w:sz w:val="24"/>
          <w:highlight w:val="none"/>
        </w:rPr>
        <w:t>中中小企业、小微企业合同金额应当达到的比例要求填写。</w:t>
      </w:r>
      <w:r>
        <w:rPr>
          <w:rFonts w:hint="eastAsia" w:ascii="仿宋" w:hAnsi="仿宋" w:eastAsia="仿宋" w:cs="仿宋"/>
          <w:b/>
          <w:bCs/>
          <w:color w:val="auto"/>
          <w:kern w:val="0"/>
          <w:sz w:val="24"/>
          <w:highlight w:val="none"/>
          <w:lang w:val="zh-CN"/>
        </w:rPr>
        <w:t>）</w:t>
      </w:r>
      <w:bookmarkEnd w:id="55"/>
    </w:p>
    <w:p w14:paraId="2FC87523">
      <w:pPr>
        <w:shd w:val="clea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三、分包工作履行期限、地点、方式</w:t>
      </w:r>
    </w:p>
    <w:p w14:paraId="541AEEB8">
      <w:pPr>
        <w:shd w:val="clear"/>
        <w:snapToGrid w:val="0"/>
        <w:spacing w:line="360" w:lineRule="auto"/>
        <w:ind w:firstLine="576"/>
        <w:rPr>
          <w:rFonts w:hint="eastAsia" w:ascii="仿宋" w:hAnsi="仿宋" w:eastAsia="仿宋" w:cs="仿宋"/>
          <w:color w:val="auto"/>
          <w:highlight w:val="none"/>
          <w:u w:val="single"/>
        </w:rPr>
      </w:pPr>
      <w:r>
        <w:rPr>
          <w:rFonts w:hint="eastAsia" w:ascii="仿宋" w:hAnsi="仿宋" w:eastAsia="仿宋" w:cs="仿宋"/>
          <w:color w:val="auto"/>
          <w:highlight w:val="none"/>
          <w:u w:val="single"/>
        </w:rPr>
        <w:t xml:space="preserve">                                                                                  </w:t>
      </w:r>
    </w:p>
    <w:p w14:paraId="4AAAFBE7">
      <w:pPr>
        <w:shd w:val="clea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四、质量</w:t>
      </w:r>
    </w:p>
    <w:p w14:paraId="54784E48">
      <w:pPr>
        <w:shd w:val="clea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2EA69646">
      <w:pPr>
        <w:shd w:val="clea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五、价款或者报酬</w:t>
      </w:r>
    </w:p>
    <w:p w14:paraId="0C473420">
      <w:pPr>
        <w:shd w:val="clea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680EB052">
      <w:pPr>
        <w:shd w:val="clea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六、违约责任</w:t>
      </w:r>
    </w:p>
    <w:p w14:paraId="52FF61B9">
      <w:pPr>
        <w:shd w:val="clea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7EAE7F4F">
      <w:pPr>
        <w:shd w:val="clea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七、争议解决的办法</w:t>
      </w:r>
    </w:p>
    <w:p w14:paraId="250BB4DC">
      <w:pPr>
        <w:shd w:val="clea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785D3875">
      <w:pPr>
        <w:shd w:val="clear"/>
        <w:snapToGrid w:val="0"/>
        <w:spacing w:line="360" w:lineRule="auto"/>
        <w:ind w:left="5758" w:leftChars="342" w:hanging="5040" w:hanging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投标人名称(电子签名)：</w:t>
      </w:r>
    </w:p>
    <w:p w14:paraId="202EC228">
      <w:pPr>
        <w:shd w:val="clear"/>
        <w:snapToGrid w:val="0"/>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分包供应商名称(电子签名/公章)：</w:t>
      </w:r>
    </w:p>
    <w:p w14:paraId="301C56A8">
      <w:pPr>
        <w:shd w:val="clear"/>
        <w:snapToGrid w:val="0"/>
        <w:spacing w:line="360" w:lineRule="auto"/>
        <w:ind w:firstLine="5760" w:firstLineChars="24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2D9406C1">
      <w:pPr>
        <w:shd w:val="clear"/>
        <w:spacing w:line="360" w:lineRule="auto"/>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580D63C9">
      <w:pPr>
        <w:shd w:val="clea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61D984C3">
      <w:pPr>
        <w:shd w:val="clea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br w:type="page"/>
      </w:r>
    </w:p>
    <w:p w14:paraId="260D2B25">
      <w:pPr>
        <w:shd w:val="clear"/>
        <w:spacing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附件6：</w:t>
      </w:r>
      <w:bookmarkStart w:id="56" w:name="OLE_LINK13"/>
      <w:bookmarkStart w:id="57" w:name="OLE_LINK14"/>
      <w:r>
        <w:rPr>
          <w:rFonts w:hint="eastAsia" w:ascii="仿宋" w:hAnsi="仿宋" w:eastAsia="仿宋" w:cs="仿宋"/>
          <w:b/>
          <w:color w:val="auto"/>
          <w:spacing w:val="6"/>
          <w:sz w:val="32"/>
          <w:szCs w:val="32"/>
          <w:highlight w:val="none"/>
        </w:rPr>
        <w:t>残疾人福利性单位声明函</w:t>
      </w:r>
    </w:p>
    <w:bookmarkEnd w:id="56"/>
    <w:bookmarkEnd w:id="57"/>
    <w:p w14:paraId="581F7ADB">
      <w:pPr>
        <w:shd w:val="clear"/>
        <w:spacing w:line="360" w:lineRule="auto"/>
        <w:rPr>
          <w:rFonts w:hint="eastAsia" w:ascii="仿宋" w:hAnsi="仿宋" w:eastAsia="仿宋" w:cs="仿宋"/>
          <w:b/>
          <w:color w:val="auto"/>
          <w:spacing w:val="6"/>
          <w:sz w:val="30"/>
          <w:szCs w:val="30"/>
          <w:highlight w:val="none"/>
        </w:rPr>
      </w:pPr>
    </w:p>
    <w:p w14:paraId="673D53D7">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仿宋" w:hAnsi="仿宋" w:eastAsia="仿宋" w:cs="仿宋"/>
          <w:color w:val="auto"/>
          <w:sz w:val="24"/>
          <w:highlight w:val="none"/>
          <w:u w:val="single"/>
        </w:rPr>
        <w:t>(采购人)</w:t>
      </w:r>
      <w:r>
        <w:rPr>
          <w:rFonts w:hint="eastAsia" w:ascii="仿宋" w:hAnsi="仿宋" w:eastAsia="仿宋" w:cs="仿宋"/>
          <w:color w:val="auto"/>
          <w:sz w:val="24"/>
          <w:highlight w:val="none"/>
        </w:rPr>
        <w:t>_单位的_</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3EF7B36C">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2FF6C473">
      <w:pPr>
        <w:shd w:val="clear"/>
        <w:spacing w:line="360" w:lineRule="auto"/>
        <w:ind w:firstLine="480" w:firstLineChars="200"/>
        <w:rPr>
          <w:rFonts w:hint="eastAsia" w:ascii="仿宋" w:hAnsi="仿宋" w:eastAsia="仿宋" w:cs="仿宋"/>
          <w:color w:val="auto"/>
          <w:sz w:val="24"/>
          <w:highlight w:val="none"/>
        </w:rPr>
      </w:pPr>
    </w:p>
    <w:p w14:paraId="5A2DC8F1">
      <w:pPr>
        <w:shd w:val="clear"/>
        <w:spacing w:line="360" w:lineRule="auto"/>
        <w:ind w:firstLine="480" w:firstLineChars="200"/>
        <w:rPr>
          <w:rFonts w:hint="eastAsia" w:ascii="仿宋" w:hAnsi="仿宋" w:eastAsia="仿宋" w:cs="仿宋"/>
          <w:color w:val="auto"/>
          <w:sz w:val="24"/>
          <w:highlight w:val="none"/>
        </w:rPr>
      </w:pPr>
    </w:p>
    <w:p w14:paraId="5AA7394B">
      <w:pPr>
        <w:shd w:val="clear"/>
        <w:tabs>
          <w:tab w:val="left" w:pos="4860"/>
        </w:tabs>
        <w:spacing w:line="360" w:lineRule="auto"/>
        <w:ind w:right="1560"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lang w:val="zh-CN"/>
        </w:rPr>
        <w:t>投标人名称（电子签名）</w:t>
      </w:r>
      <w:r>
        <w:rPr>
          <w:rFonts w:hint="eastAsia" w:ascii="仿宋" w:hAnsi="仿宋" w:eastAsia="仿宋" w:cs="仿宋"/>
          <w:color w:val="auto"/>
          <w:sz w:val="24"/>
          <w:highlight w:val="none"/>
        </w:rPr>
        <w:t>：</w:t>
      </w:r>
    </w:p>
    <w:p w14:paraId="23E6B002">
      <w:pPr>
        <w:shd w:val="clear"/>
        <w:tabs>
          <w:tab w:val="left" w:pos="4860"/>
        </w:tabs>
        <w:spacing w:line="360" w:lineRule="auto"/>
        <w:ind w:right="1560"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14:paraId="3D5988FE">
      <w:pPr>
        <w:shd w:val="clear"/>
        <w:autoSpaceDE w:val="0"/>
        <w:autoSpaceDN w:val="0"/>
        <w:jc w:val="center"/>
        <w:rPr>
          <w:rFonts w:hint="eastAsia" w:ascii="仿宋" w:hAnsi="仿宋" w:eastAsia="仿宋" w:cs="仿宋"/>
          <w:b/>
          <w:color w:val="auto"/>
          <w:spacing w:val="6"/>
          <w:sz w:val="32"/>
          <w:szCs w:val="32"/>
          <w:highlight w:val="none"/>
        </w:rPr>
      </w:pPr>
    </w:p>
    <w:p w14:paraId="4AB62299">
      <w:pPr>
        <w:shd w:val="clear"/>
        <w:autoSpaceDE w:val="0"/>
        <w:autoSpaceDN w:val="0"/>
        <w:jc w:val="center"/>
        <w:rPr>
          <w:rFonts w:hint="eastAsia" w:ascii="仿宋" w:hAnsi="仿宋" w:eastAsia="仿宋" w:cs="仿宋"/>
          <w:b/>
          <w:color w:val="auto"/>
          <w:spacing w:val="6"/>
          <w:sz w:val="32"/>
          <w:szCs w:val="32"/>
          <w:highlight w:val="none"/>
        </w:rPr>
      </w:pPr>
    </w:p>
    <w:p w14:paraId="39733B99">
      <w:pPr>
        <w:shd w:val="clear"/>
        <w:autoSpaceDE w:val="0"/>
        <w:autoSpaceDN w:val="0"/>
        <w:jc w:val="center"/>
        <w:rPr>
          <w:rFonts w:hint="eastAsia" w:ascii="仿宋" w:hAnsi="仿宋" w:eastAsia="仿宋" w:cs="仿宋"/>
          <w:b/>
          <w:color w:val="auto"/>
          <w:spacing w:val="6"/>
          <w:sz w:val="32"/>
          <w:szCs w:val="32"/>
          <w:highlight w:val="none"/>
        </w:rPr>
      </w:pPr>
    </w:p>
    <w:p w14:paraId="48E2DDC2">
      <w:pPr>
        <w:shd w:val="clear"/>
        <w:autoSpaceDE w:val="0"/>
        <w:autoSpaceDN w:val="0"/>
        <w:jc w:val="center"/>
        <w:rPr>
          <w:rFonts w:hint="eastAsia" w:ascii="仿宋" w:hAnsi="仿宋" w:eastAsia="仿宋" w:cs="仿宋"/>
          <w:b/>
          <w:color w:val="auto"/>
          <w:spacing w:val="6"/>
          <w:sz w:val="32"/>
          <w:szCs w:val="32"/>
          <w:highlight w:val="none"/>
        </w:rPr>
      </w:pPr>
    </w:p>
    <w:p w14:paraId="3D6450F0">
      <w:pPr>
        <w:shd w:val="clear"/>
        <w:autoSpaceDE w:val="0"/>
        <w:autoSpaceDN w:val="0"/>
        <w:jc w:val="center"/>
        <w:rPr>
          <w:rFonts w:hint="eastAsia" w:ascii="仿宋" w:hAnsi="仿宋" w:eastAsia="仿宋" w:cs="仿宋"/>
          <w:b/>
          <w:color w:val="auto"/>
          <w:spacing w:val="6"/>
          <w:sz w:val="32"/>
          <w:szCs w:val="32"/>
          <w:highlight w:val="none"/>
        </w:rPr>
      </w:pPr>
    </w:p>
    <w:p w14:paraId="29B8501C">
      <w:pPr>
        <w:shd w:val="clear"/>
        <w:snapToGrid w:val="0"/>
        <w:spacing w:line="360" w:lineRule="auto"/>
        <w:rPr>
          <w:rFonts w:hint="eastAsia" w:ascii="仿宋" w:hAnsi="仿宋" w:eastAsia="仿宋" w:cs="仿宋"/>
          <w:b/>
          <w:color w:val="auto"/>
          <w:kern w:val="0"/>
          <w:sz w:val="32"/>
          <w:szCs w:val="32"/>
          <w:highlight w:val="none"/>
        </w:rPr>
      </w:pPr>
    </w:p>
    <w:p w14:paraId="1C28DD7B">
      <w:pPr>
        <w:shd w:val="clea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13DD1BC4">
      <w:pPr>
        <w:shd w:val="clear"/>
        <w:snapToGri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kern w:val="0"/>
          <w:sz w:val="32"/>
          <w:szCs w:val="32"/>
          <w:highlight w:val="none"/>
        </w:rPr>
        <w:t>附件7：中小企业声明函</w:t>
      </w:r>
    </w:p>
    <w:p w14:paraId="0EBC3F6B">
      <w:pPr>
        <w:shd w:val="clear"/>
        <w:spacing w:line="5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中小企业声明函（工程、服务）</w:t>
      </w:r>
    </w:p>
    <w:p w14:paraId="5F781D05">
      <w:pPr>
        <w:shd w:val="clear"/>
        <w:spacing w:line="5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 （财库﹝2020﹞46 号）的规定，本公司（联合体）参加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采购活动，工程的施工单位全部为符合政策要求的中小企业（或者：服务全部由符合政策要求的中小企业承接） 。相关企业（含联合体中的中小企业、签订分包意向协议的中小企业）的具体情况如下：</w:t>
      </w:r>
    </w:p>
    <w:p w14:paraId="2B371574">
      <w:pPr>
        <w:shd w:val="clear"/>
        <w:spacing w:line="5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 xml:space="preserve">        （标的名称）</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（采购文件中明确的所属行业）</w:t>
      </w:r>
      <w:r>
        <w:rPr>
          <w:rFonts w:hint="eastAsia" w:ascii="仿宋" w:hAnsi="仿宋" w:eastAsia="仿宋" w:cs="仿宋"/>
          <w:color w:val="auto"/>
          <w:sz w:val="24"/>
          <w:highlight w:val="none"/>
        </w:rPr>
        <w:t>；承建（承接）企业为</w:t>
      </w:r>
      <w:r>
        <w:rPr>
          <w:rFonts w:hint="eastAsia" w:ascii="仿宋" w:hAnsi="仿宋" w:eastAsia="仿宋" w:cs="仿宋"/>
          <w:color w:val="auto"/>
          <w:sz w:val="24"/>
          <w:highlight w:val="none"/>
          <w:u w:val="single"/>
        </w:rPr>
        <w:t xml:space="preserve">           （企业名称） </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 ，属于</w:t>
      </w:r>
      <w:r>
        <w:rPr>
          <w:rFonts w:hint="eastAsia" w:ascii="仿宋" w:hAnsi="仿宋" w:eastAsia="仿宋" w:cs="仿宋"/>
          <w:color w:val="auto"/>
          <w:sz w:val="24"/>
          <w:highlight w:val="none"/>
          <w:u w:val="single"/>
        </w:rPr>
        <w:t xml:space="preserve">       （中型企业、小型企业、微型企业）</w:t>
      </w:r>
      <w:r>
        <w:rPr>
          <w:rFonts w:hint="eastAsia" w:ascii="仿宋" w:hAnsi="仿宋" w:eastAsia="仿宋" w:cs="仿宋"/>
          <w:color w:val="auto"/>
          <w:sz w:val="24"/>
          <w:highlight w:val="none"/>
        </w:rPr>
        <w:t xml:space="preserve"> ；</w:t>
      </w:r>
    </w:p>
    <w:p w14:paraId="66562C78">
      <w:pPr>
        <w:shd w:val="clear"/>
        <w:spacing w:line="5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 xml:space="preserve">        （标的名称）</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（采购文件中明确的所属行业）</w:t>
      </w:r>
      <w:r>
        <w:rPr>
          <w:rFonts w:hint="eastAsia" w:ascii="仿宋" w:hAnsi="仿宋" w:eastAsia="仿宋" w:cs="仿宋"/>
          <w:color w:val="auto"/>
          <w:sz w:val="24"/>
          <w:highlight w:val="none"/>
        </w:rPr>
        <w:t>；承建（承接）企业为</w:t>
      </w:r>
      <w:r>
        <w:rPr>
          <w:rFonts w:hint="eastAsia" w:ascii="仿宋" w:hAnsi="仿宋" w:eastAsia="仿宋" w:cs="仿宋"/>
          <w:color w:val="auto"/>
          <w:sz w:val="24"/>
          <w:highlight w:val="none"/>
          <w:u w:val="single"/>
        </w:rPr>
        <w:t xml:space="preserve">           （企业名称） </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 ，属于</w:t>
      </w:r>
      <w:r>
        <w:rPr>
          <w:rFonts w:hint="eastAsia" w:ascii="仿宋" w:hAnsi="仿宋" w:eastAsia="仿宋" w:cs="仿宋"/>
          <w:color w:val="auto"/>
          <w:sz w:val="24"/>
          <w:highlight w:val="none"/>
          <w:u w:val="single"/>
        </w:rPr>
        <w:t xml:space="preserve">       （中型企业、小型企业、微型企业）</w:t>
      </w:r>
      <w:r>
        <w:rPr>
          <w:rFonts w:hint="eastAsia" w:ascii="仿宋" w:hAnsi="仿宋" w:eastAsia="仿宋" w:cs="仿宋"/>
          <w:color w:val="auto"/>
          <w:sz w:val="24"/>
          <w:highlight w:val="none"/>
        </w:rPr>
        <w:t xml:space="preserve"> ；</w:t>
      </w:r>
    </w:p>
    <w:p w14:paraId="66A7CC6E">
      <w:pPr>
        <w:shd w:val="clear"/>
        <w:spacing w:line="5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39982E97">
      <w:pPr>
        <w:shd w:val="clear"/>
        <w:spacing w:line="5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39BC07B3">
      <w:pPr>
        <w:shd w:val="clear"/>
        <w:spacing w:line="5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619418A7">
      <w:pPr>
        <w:shd w:val="clear"/>
        <w:spacing w:line="500" w:lineRule="exact"/>
        <w:ind w:right="420" w:firstLine="5880" w:firstLineChars="2450"/>
        <w:jc w:val="left"/>
        <w:rPr>
          <w:rFonts w:hint="eastAsia" w:ascii="仿宋" w:hAnsi="仿宋" w:eastAsia="仿宋" w:cs="仿宋"/>
          <w:color w:val="auto"/>
          <w:sz w:val="24"/>
          <w:highlight w:val="none"/>
        </w:rPr>
      </w:pPr>
    </w:p>
    <w:p w14:paraId="6A3D1C22">
      <w:pPr>
        <w:shd w:val="clear"/>
        <w:spacing w:line="500" w:lineRule="exact"/>
        <w:ind w:right="420" w:firstLine="5880" w:firstLineChars="24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企业名称（盖章）： </w:t>
      </w:r>
    </w:p>
    <w:p w14:paraId="178B2A74">
      <w:pPr>
        <w:shd w:val="clear"/>
        <w:spacing w:line="500" w:lineRule="exact"/>
        <w:ind w:right="420" w:firstLine="5520" w:firstLineChars="23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5C1DD4A0">
      <w:pPr>
        <w:shd w:val="clear"/>
        <w:spacing w:line="360" w:lineRule="auto"/>
        <w:ind w:right="420"/>
        <w:rPr>
          <w:rFonts w:hint="eastAsia" w:ascii="仿宋" w:hAnsi="仿宋" w:eastAsia="仿宋" w:cs="仿宋"/>
          <w:color w:val="auto"/>
          <w:sz w:val="24"/>
          <w:highlight w:val="none"/>
        </w:rPr>
      </w:pPr>
    </w:p>
    <w:p w14:paraId="4C6758FF">
      <w:pPr>
        <w:shd w:val="clea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注：</w:t>
      </w:r>
    </w:p>
    <w:p w14:paraId="21D5A8DE">
      <w:pPr>
        <w:shd w:val="clear"/>
        <w:spacing w:line="360" w:lineRule="auto"/>
        <w:ind w:right="42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3A3154E5">
      <w:pPr>
        <w:shd w:val="clear"/>
        <w:spacing w:line="360" w:lineRule="auto"/>
        <w:ind w:right="420"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符合《关于促进残疾人就业政府采购政策的通知》（财库〔2017〕141号）规定的条件并提供《残疾人福利性单位声明函》（附件4）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44898694">
      <w:pPr>
        <w:pStyle w:val="2"/>
        <w:shd w:val="clear"/>
        <w:rPr>
          <w:rFonts w:hint="eastAsia" w:ascii="仿宋" w:eastAsia="仿宋" w:cs="仿宋"/>
          <w:color w:val="auto"/>
          <w:highlight w:val="none"/>
          <w:lang w:val="en-US"/>
        </w:rPr>
      </w:pPr>
    </w:p>
    <w:p w14:paraId="412B4E9A">
      <w:pPr>
        <w:pStyle w:val="45"/>
        <w:numPr>
          <w:ilvl w:val="0"/>
          <w:numId w:val="0"/>
        </w:numPr>
        <w:shd w:val="clear"/>
        <w:adjustRightInd/>
        <w:snapToGrid w:val="0"/>
        <w:spacing w:line="500" w:lineRule="exact"/>
        <w:ind w:firstLine="482" w:firstLineChars="200"/>
        <w:rPr>
          <w:rFonts w:ascii="仿宋" w:hAnsi="仿宋" w:eastAsia="仿宋" w:cs="仿宋"/>
          <w:b/>
          <w:bCs/>
          <w:color w:val="auto"/>
          <w:sz w:val="24"/>
          <w:szCs w:val="24"/>
          <w:highlight w:val="none"/>
        </w:rPr>
      </w:pPr>
    </w:p>
    <w:p w14:paraId="58D5B1DF">
      <w:pPr>
        <w:pStyle w:val="45"/>
        <w:numPr>
          <w:ilvl w:val="0"/>
          <w:numId w:val="0"/>
        </w:numPr>
        <w:shd w:val="clear"/>
        <w:adjustRightInd/>
        <w:snapToGrid w:val="0"/>
        <w:spacing w:line="500" w:lineRule="exact"/>
        <w:ind w:firstLine="482" w:firstLineChars="200"/>
        <w:rPr>
          <w:rFonts w:ascii="仿宋" w:hAnsi="仿宋" w:eastAsia="仿宋" w:cs="仿宋"/>
          <w:b/>
          <w:bCs/>
          <w:color w:val="auto"/>
          <w:sz w:val="24"/>
          <w:szCs w:val="24"/>
          <w:highlight w:val="none"/>
        </w:rPr>
      </w:pPr>
    </w:p>
    <w:p w14:paraId="41959A19">
      <w:pPr>
        <w:pStyle w:val="45"/>
        <w:numPr>
          <w:ilvl w:val="0"/>
          <w:numId w:val="0"/>
        </w:numPr>
        <w:shd w:val="clear"/>
        <w:adjustRightInd/>
        <w:snapToGrid w:val="0"/>
        <w:spacing w:line="500" w:lineRule="exact"/>
        <w:ind w:firstLine="482" w:firstLineChars="200"/>
        <w:rPr>
          <w:rFonts w:ascii="仿宋" w:hAnsi="仿宋" w:eastAsia="仿宋" w:cs="仿宋"/>
          <w:b/>
          <w:bCs/>
          <w:color w:val="auto"/>
          <w:sz w:val="24"/>
          <w:szCs w:val="24"/>
          <w:highlight w:val="none"/>
        </w:rPr>
      </w:pPr>
    </w:p>
    <w:p w14:paraId="1037795F">
      <w:pPr>
        <w:pStyle w:val="45"/>
        <w:numPr>
          <w:ilvl w:val="0"/>
          <w:numId w:val="0"/>
        </w:numPr>
        <w:shd w:val="clear"/>
        <w:adjustRightInd/>
        <w:snapToGrid w:val="0"/>
        <w:spacing w:line="500" w:lineRule="exact"/>
        <w:ind w:firstLine="482" w:firstLineChars="200"/>
        <w:rPr>
          <w:rFonts w:ascii="仿宋" w:hAnsi="仿宋" w:eastAsia="仿宋" w:cs="仿宋"/>
          <w:b/>
          <w:bCs/>
          <w:color w:val="auto"/>
          <w:sz w:val="24"/>
          <w:szCs w:val="24"/>
          <w:highlight w:val="none"/>
        </w:rPr>
      </w:pPr>
    </w:p>
    <w:p w14:paraId="014BB09F">
      <w:pPr>
        <w:pStyle w:val="45"/>
        <w:numPr>
          <w:ilvl w:val="0"/>
          <w:numId w:val="0"/>
        </w:numPr>
        <w:shd w:val="clear"/>
        <w:adjustRightInd/>
        <w:snapToGrid w:val="0"/>
        <w:spacing w:line="500" w:lineRule="exact"/>
        <w:ind w:firstLine="482" w:firstLineChars="200"/>
        <w:rPr>
          <w:rFonts w:ascii="仿宋" w:hAnsi="仿宋" w:eastAsia="仿宋" w:cs="仿宋"/>
          <w:b/>
          <w:bCs/>
          <w:color w:val="auto"/>
          <w:sz w:val="24"/>
          <w:szCs w:val="24"/>
          <w:highlight w:val="none"/>
        </w:rPr>
      </w:pPr>
    </w:p>
    <w:p w14:paraId="38473842">
      <w:pPr>
        <w:pStyle w:val="45"/>
        <w:numPr>
          <w:ilvl w:val="0"/>
          <w:numId w:val="0"/>
        </w:numPr>
        <w:shd w:val="clear"/>
        <w:adjustRightInd/>
        <w:snapToGrid w:val="0"/>
        <w:spacing w:line="500" w:lineRule="exact"/>
        <w:ind w:firstLine="482" w:firstLineChars="200"/>
        <w:rPr>
          <w:rFonts w:ascii="仿宋" w:hAnsi="仿宋" w:eastAsia="仿宋" w:cs="仿宋"/>
          <w:b/>
          <w:bCs/>
          <w:color w:val="auto"/>
          <w:sz w:val="24"/>
          <w:szCs w:val="24"/>
          <w:highlight w:val="none"/>
        </w:rPr>
      </w:pPr>
    </w:p>
    <w:p w14:paraId="6FE0AC7A">
      <w:pPr>
        <w:pStyle w:val="45"/>
        <w:numPr>
          <w:ilvl w:val="0"/>
          <w:numId w:val="0"/>
        </w:numPr>
        <w:shd w:val="clear"/>
        <w:adjustRightInd/>
        <w:snapToGrid w:val="0"/>
        <w:spacing w:line="500" w:lineRule="exact"/>
        <w:ind w:firstLine="482" w:firstLineChars="200"/>
        <w:rPr>
          <w:rFonts w:ascii="仿宋" w:hAnsi="仿宋" w:eastAsia="仿宋" w:cs="仿宋"/>
          <w:b/>
          <w:bCs/>
          <w:color w:val="auto"/>
          <w:sz w:val="24"/>
          <w:szCs w:val="24"/>
          <w:highlight w:val="none"/>
        </w:rPr>
      </w:pPr>
    </w:p>
    <w:p w14:paraId="5316B058">
      <w:pPr>
        <w:pStyle w:val="45"/>
        <w:numPr>
          <w:ilvl w:val="0"/>
          <w:numId w:val="0"/>
        </w:numPr>
        <w:shd w:val="clear"/>
        <w:adjustRightInd/>
        <w:snapToGrid w:val="0"/>
        <w:spacing w:line="500" w:lineRule="exact"/>
        <w:rPr>
          <w:rFonts w:ascii="仿宋" w:hAnsi="仿宋" w:eastAsia="仿宋" w:cs="仿宋"/>
          <w:b/>
          <w:bCs/>
          <w:color w:val="auto"/>
          <w:sz w:val="24"/>
          <w:szCs w:val="24"/>
          <w:highlight w:val="none"/>
        </w:rPr>
      </w:pPr>
    </w:p>
    <w:p w14:paraId="56FA7700">
      <w:pPr>
        <w:pStyle w:val="45"/>
        <w:numPr>
          <w:ilvl w:val="0"/>
          <w:numId w:val="0"/>
        </w:numPr>
        <w:shd w:val="clear"/>
        <w:adjustRightInd/>
        <w:snapToGrid w:val="0"/>
        <w:spacing w:line="500" w:lineRule="exact"/>
        <w:ind w:firstLine="482" w:firstLineChars="200"/>
        <w:rPr>
          <w:rFonts w:ascii="仿宋" w:hAnsi="仿宋" w:eastAsia="仿宋" w:cs="仿宋"/>
          <w:b/>
          <w:bCs/>
          <w:color w:val="auto"/>
          <w:sz w:val="24"/>
          <w:szCs w:val="24"/>
          <w:highlight w:val="none"/>
        </w:rPr>
      </w:pPr>
    </w:p>
    <w:p w14:paraId="7D47125C">
      <w:pPr>
        <w:pStyle w:val="45"/>
        <w:numPr>
          <w:ilvl w:val="0"/>
          <w:numId w:val="0"/>
        </w:numPr>
        <w:shd w:val="clear"/>
        <w:adjustRightInd/>
        <w:snapToGrid w:val="0"/>
        <w:spacing w:line="500" w:lineRule="exact"/>
        <w:ind w:firstLine="482" w:firstLineChars="200"/>
        <w:rPr>
          <w:rFonts w:ascii="仿宋" w:hAnsi="仿宋" w:eastAsia="仿宋" w:cs="仿宋"/>
          <w:b/>
          <w:bCs/>
          <w:color w:val="auto"/>
          <w:sz w:val="24"/>
          <w:szCs w:val="24"/>
          <w:highlight w:val="none"/>
        </w:rPr>
      </w:pPr>
    </w:p>
    <w:p w14:paraId="14F947AF">
      <w:pPr>
        <w:pStyle w:val="45"/>
        <w:numPr>
          <w:ilvl w:val="0"/>
          <w:numId w:val="0"/>
        </w:numPr>
        <w:shd w:val="clear"/>
        <w:adjustRightInd/>
        <w:snapToGrid w:val="0"/>
        <w:spacing w:line="500" w:lineRule="exact"/>
        <w:ind w:firstLine="482" w:firstLineChars="200"/>
        <w:rPr>
          <w:rFonts w:ascii="仿宋" w:hAnsi="仿宋" w:eastAsia="仿宋" w:cs="仿宋"/>
          <w:b/>
          <w:bCs/>
          <w:color w:val="auto"/>
          <w:sz w:val="24"/>
          <w:szCs w:val="24"/>
          <w:highlight w:val="none"/>
        </w:rPr>
      </w:pPr>
    </w:p>
    <w:p w14:paraId="5AA33B49">
      <w:pPr>
        <w:pStyle w:val="45"/>
        <w:numPr>
          <w:ilvl w:val="0"/>
          <w:numId w:val="0"/>
        </w:numPr>
        <w:shd w:val="clear"/>
        <w:adjustRightInd/>
        <w:snapToGrid w:val="0"/>
        <w:spacing w:line="500" w:lineRule="exact"/>
        <w:rPr>
          <w:rFonts w:ascii="仿宋" w:hAnsi="仿宋" w:eastAsia="仿宋" w:cs="仿宋"/>
          <w:b/>
          <w:bCs/>
          <w:color w:val="auto"/>
          <w:sz w:val="24"/>
          <w:szCs w:val="24"/>
          <w:highlight w:val="none"/>
        </w:rPr>
      </w:pPr>
    </w:p>
    <w:p w14:paraId="19672205">
      <w:pPr>
        <w:shd w:val="clea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65F3FF99">
      <w:pPr>
        <w:pStyle w:val="45"/>
        <w:numPr>
          <w:ilvl w:val="0"/>
          <w:numId w:val="0"/>
        </w:numPr>
        <w:shd w:val="clear"/>
        <w:adjustRightInd/>
        <w:snapToGrid w:val="0"/>
        <w:spacing w:line="500" w:lineRule="exact"/>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各投标供应商：</w:t>
      </w:r>
    </w:p>
    <w:p w14:paraId="48AEBEE5">
      <w:pPr>
        <w:pStyle w:val="45"/>
        <w:numPr>
          <w:ilvl w:val="0"/>
          <w:numId w:val="0"/>
        </w:numPr>
        <w:shd w:val="clear"/>
        <w:adjustRightInd/>
        <w:snapToGrid w:val="0"/>
        <w:spacing w:line="500" w:lineRule="exact"/>
        <w:ind w:firstLine="482" w:firstLineChars="20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根据浙江省财政厅关于印发《浙江省政府采购活动现场组织管理办法》的通知（浙财采监【2015】13号）文件要求，由各投标供应商在投标文件解密后半小时内如实填写政府采购活动现场确认声明书，并以扫描件形式发送至984537027@qq.com邮箱，如未如实填写，将有可能影响你的投标文件评审（政府采购活动现场确认声明书格式见附表）。</w:t>
      </w:r>
    </w:p>
    <w:p w14:paraId="683A674C">
      <w:pPr>
        <w:pStyle w:val="45"/>
        <w:numPr>
          <w:ilvl w:val="0"/>
          <w:numId w:val="0"/>
        </w:numPr>
        <w:shd w:val="clear"/>
        <w:adjustRightInd/>
        <w:snapToGrid w:val="0"/>
        <w:spacing w:line="360" w:lineRule="auto"/>
        <w:rPr>
          <w:rFonts w:ascii="仿宋" w:hAnsi="仿宋" w:eastAsia="仿宋" w:cs="仿宋"/>
          <w:b/>
          <w:bCs/>
          <w:color w:val="auto"/>
          <w:sz w:val="24"/>
          <w:szCs w:val="24"/>
          <w:highlight w:val="none"/>
        </w:rPr>
      </w:pPr>
    </w:p>
    <w:p w14:paraId="44F94489">
      <w:pPr>
        <w:shd w:val="clear"/>
        <w:rPr>
          <w:rFonts w:hint="eastAsia" w:ascii="仿宋" w:hAnsi="仿宋" w:eastAsia="仿宋" w:cs="仿宋"/>
          <w:b/>
          <w:bCs/>
          <w:color w:val="auto"/>
          <w:sz w:val="28"/>
          <w:szCs w:val="28"/>
          <w:highlight w:val="none"/>
        </w:rPr>
      </w:pPr>
      <w:r>
        <w:rPr>
          <w:rFonts w:ascii="仿宋" w:hAnsi="仿宋" w:eastAsia="仿宋" w:cs="仿宋"/>
          <w:b/>
          <w:bCs/>
          <w:color w:val="auto"/>
          <w:sz w:val="28"/>
          <w:szCs w:val="28"/>
          <w:highlight w:val="none"/>
        </w:rPr>
        <w:br w:type="page"/>
      </w:r>
    </w:p>
    <w:p w14:paraId="22499869">
      <w:pPr>
        <w:pStyle w:val="45"/>
        <w:numPr>
          <w:ilvl w:val="0"/>
          <w:numId w:val="0"/>
        </w:numPr>
        <w:shd w:val="clear"/>
        <w:adjustRightInd/>
        <w:snapToGrid w:val="0"/>
        <w:spacing w:line="360" w:lineRule="auto"/>
        <w:rPr>
          <w:rFonts w:ascii="仿宋" w:hAnsi="仿宋" w:eastAsia="仿宋" w:cs="仿宋"/>
          <w:b/>
          <w:bCs/>
          <w:color w:val="auto"/>
          <w:sz w:val="28"/>
          <w:szCs w:val="28"/>
          <w:highlight w:val="none"/>
        </w:rPr>
      </w:pPr>
      <w:r>
        <w:rPr>
          <w:rFonts w:ascii="仿宋" w:hAnsi="仿宋" w:eastAsia="仿宋" w:cs="仿宋"/>
          <w:b/>
          <w:bCs/>
          <w:color w:val="auto"/>
          <w:sz w:val="28"/>
          <w:szCs w:val="28"/>
          <w:highlight w:val="none"/>
        </w:rPr>
        <w:t xml:space="preserve">附表：               </w:t>
      </w:r>
    </w:p>
    <w:p w14:paraId="195F6EF6">
      <w:pPr>
        <w:pStyle w:val="45"/>
        <w:numPr>
          <w:ilvl w:val="0"/>
          <w:numId w:val="0"/>
        </w:numPr>
        <w:shd w:val="clear"/>
        <w:adjustRightInd/>
        <w:snapToGrid w:val="0"/>
        <w:spacing w:line="360" w:lineRule="auto"/>
        <w:jc w:val="center"/>
        <w:rPr>
          <w:rFonts w:ascii="仿宋" w:hAnsi="仿宋" w:eastAsia="仿宋" w:cs="仿宋"/>
          <w:b/>
          <w:bCs/>
          <w:color w:val="auto"/>
          <w:sz w:val="28"/>
          <w:szCs w:val="28"/>
          <w:highlight w:val="none"/>
        </w:rPr>
      </w:pPr>
      <w:r>
        <w:rPr>
          <w:rFonts w:ascii="仿宋" w:hAnsi="仿宋" w:eastAsia="仿宋" w:cs="仿宋"/>
          <w:b/>
          <w:bCs/>
          <w:color w:val="auto"/>
          <w:sz w:val="28"/>
          <w:szCs w:val="28"/>
          <w:highlight w:val="none"/>
        </w:rPr>
        <w:t>政府采购活动现场确认声明书</w:t>
      </w:r>
    </w:p>
    <w:p w14:paraId="1A795790">
      <w:pPr>
        <w:pStyle w:val="45"/>
        <w:numPr>
          <w:ilvl w:val="0"/>
          <w:numId w:val="0"/>
        </w:numPr>
        <w:shd w:val="clear"/>
        <w:adjustRightInd/>
        <w:snapToGrid w:val="0"/>
        <w:spacing w:line="460" w:lineRule="exact"/>
        <w:rPr>
          <w:rFonts w:ascii="仿宋" w:hAnsi="仿宋" w:eastAsia="仿宋" w:cs="仿宋"/>
          <w:b/>
          <w:color w:val="auto"/>
          <w:sz w:val="24"/>
          <w:szCs w:val="24"/>
          <w:highlight w:val="none"/>
        </w:rPr>
      </w:pPr>
      <w:r>
        <w:rPr>
          <w:rFonts w:ascii="仿宋" w:hAnsi="仿宋" w:eastAsia="仿宋" w:cs="仿宋"/>
          <w:color w:val="auto"/>
          <w:sz w:val="24"/>
          <w:szCs w:val="24"/>
          <w:highlight w:val="none"/>
          <w:u w:val="single"/>
        </w:rPr>
        <w:t>绍兴市文汇项目管理有限公司</w:t>
      </w:r>
      <w:r>
        <w:rPr>
          <w:rFonts w:ascii="仿宋" w:hAnsi="仿宋" w:eastAsia="仿宋" w:cs="仿宋"/>
          <w:color w:val="auto"/>
          <w:sz w:val="24"/>
          <w:szCs w:val="24"/>
          <w:highlight w:val="none"/>
        </w:rPr>
        <w:t>：</w:t>
      </w:r>
    </w:p>
    <w:p w14:paraId="4F5FE172">
      <w:pPr>
        <w:pStyle w:val="45"/>
        <w:numPr>
          <w:ilvl w:val="0"/>
          <w:numId w:val="0"/>
        </w:numPr>
        <w:shd w:val="clear"/>
        <w:adjustRightInd/>
        <w:snapToGrid w:val="0"/>
        <w:spacing w:line="460" w:lineRule="exact"/>
        <w:ind w:firstLine="504" w:firstLineChars="200"/>
        <w:rPr>
          <w:rFonts w:ascii="仿宋" w:hAnsi="仿宋" w:eastAsia="仿宋" w:cs="仿宋"/>
          <w:color w:val="auto"/>
          <w:spacing w:val="6"/>
          <w:sz w:val="24"/>
          <w:szCs w:val="24"/>
          <w:highlight w:val="none"/>
        </w:rPr>
      </w:pPr>
      <w:r>
        <w:rPr>
          <w:rFonts w:ascii="仿宋" w:hAnsi="仿宋" w:eastAsia="仿宋" w:cs="仿宋"/>
          <w:color w:val="auto"/>
          <w:spacing w:val="6"/>
          <w:sz w:val="24"/>
          <w:szCs w:val="24"/>
          <w:highlight w:val="none"/>
        </w:rPr>
        <w:t>本人</w:t>
      </w:r>
      <w:r>
        <w:rPr>
          <w:rFonts w:ascii="仿宋" w:hAnsi="仿宋" w:eastAsia="仿宋" w:cs="仿宋"/>
          <w:color w:val="auto"/>
          <w:spacing w:val="6"/>
          <w:sz w:val="24"/>
          <w:szCs w:val="24"/>
          <w:highlight w:val="none"/>
          <w:u w:val="single"/>
        </w:rPr>
        <w:t xml:space="preserve">      </w:t>
      </w:r>
      <w:r>
        <w:rPr>
          <w:rFonts w:ascii="仿宋" w:hAnsi="仿宋" w:eastAsia="仿宋" w:cs="仿宋"/>
          <w:color w:val="auto"/>
          <w:spacing w:val="6"/>
          <w:sz w:val="24"/>
          <w:szCs w:val="24"/>
          <w:highlight w:val="none"/>
        </w:rPr>
        <w:t>经由</w:t>
      </w:r>
      <w:r>
        <w:rPr>
          <w:rFonts w:ascii="仿宋" w:hAnsi="仿宋" w:eastAsia="仿宋" w:cs="仿宋"/>
          <w:color w:val="auto"/>
          <w:spacing w:val="6"/>
          <w:sz w:val="24"/>
          <w:szCs w:val="24"/>
          <w:highlight w:val="none"/>
          <w:u w:val="single"/>
        </w:rPr>
        <w:t xml:space="preserve">                                （单位）</w:t>
      </w:r>
      <w:r>
        <w:rPr>
          <w:rFonts w:ascii="仿宋" w:hAnsi="仿宋" w:eastAsia="仿宋" w:cs="仿宋"/>
          <w:color w:val="auto"/>
          <w:spacing w:val="6"/>
          <w:sz w:val="24"/>
          <w:szCs w:val="24"/>
          <w:highlight w:val="none"/>
        </w:rPr>
        <w:t>负责人</w:t>
      </w:r>
      <w:r>
        <w:rPr>
          <w:rFonts w:ascii="仿宋" w:hAnsi="仿宋" w:eastAsia="仿宋" w:cs="仿宋"/>
          <w:color w:val="auto"/>
          <w:spacing w:val="6"/>
          <w:sz w:val="24"/>
          <w:szCs w:val="24"/>
          <w:highlight w:val="none"/>
          <w:u w:val="single"/>
        </w:rPr>
        <w:t xml:space="preserve"> </w:t>
      </w:r>
      <w:r>
        <w:rPr>
          <w:rFonts w:ascii="仿宋" w:hAnsi="仿宋" w:eastAsia="仿宋" w:cs="仿宋"/>
          <w:i/>
          <w:iCs/>
          <w:color w:val="auto"/>
          <w:spacing w:val="6"/>
          <w:sz w:val="24"/>
          <w:szCs w:val="24"/>
          <w:highlight w:val="none"/>
          <w:u w:val="single"/>
        </w:rPr>
        <w:t xml:space="preserve">     </w:t>
      </w:r>
      <w:r>
        <w:rPr>
          <w:rFonts w:ascii="仿宋" w:hAnsi="仿宋" w:eastAsia="仿宋" w:cs="仿宋"/>
          <w:color w:val="auto"/>
          <w:spacing w:val="6"/>
          <w:sz w:val="24"/>
          <w:szCs w:val="24"/>
          <w:highlight w:val="none"/>
          <w:u w:val="single"/>
        </w:rPr>
        <w:t>（姓名）</w:t>
      </w:r>
      <w:r>
        <w:rPr>
          <w:rFonts w:ascii="仿宋" w:hAnsi="仿宋" w:eastAsia="仿宋" w:cs="仿宋"/>
          <w:color w:val="auto"/>
          <w:spacing w:val="6"/>
          <w:sz w:val="24"/>
          <w:szCs w:val="24"/>
          <w:highlight w:val="none"/>
        </w:rPr>
        <w:t>合法授权参加</w:t>
      </w:r>
      <w:r>
        <w:rPr>
          <w:rFonts w:ascii="仿宋" w:hAnsi="仿宋" w:eastAsia="仿宋" w:cs="仿宋"/>
          <w:color w:val="auto"/>
          <w:spacing w:val="6"/>
          <w:sz w:val="24"/>
          <w:szCs w:val="24"/>
          <w:highlight w:val="none"/>
          <w:u w:val="single"/>
        </w:rPr>
        <w:t xml:space="preserve">                </w:t>
      </w:r>
      <w:r>
        <w:rPr>
          <w:rFonts w:ascii="仿宋" w:hAnsi="仿宋" w:eastAsia="仿宋" w:cs="仿宋"/>
          <w:color w:val="auto"/>
          <w:spacing w:val="6"/>
          <w:sz w:val="24"/>
          <w:szCs w:val="24"/>
          <w:highlight w:val="none"/>
        </w:rPr>
        <w:t>（项目编号：</w:t>
      </w:r>
      <w:r>
        <w:rPr>
          <w:rFonts w:ascii="仿宋" w:hAnsi="仿宋" w:eastAsia="仿宋" w:cs="仿宋"/>
          <w:color w:val="auto"/>
          <w:spacing w:val="6"/>
          <w:sz w:val="24"/>
          <w:szCs w:val="24"/>
          <w:highlight w:val="none"/>
          <w:u w:val="single"/>
        </w:rPr>
        <w:t xml:space="preserve">            </w:t>
      </w:r>
      <w:r>
        <w:rPr>
          <w:rFonts w:ascii="仿宋" w:hAnsi="仿宋" w:eastAsia="仿宋" w:cs="仿宋"/>
          <w:color w:val="auto"/>
          <w:spacing w:val="6"/>
          <w:sz w:val="24"/>
          <w:szCs w:val="24"/>
          <w:highlight w:val="none"/>
        </w:rPr>
        <w:t xml:space="preserve">）政府采购活动，经与本单位法人代表（负责人）联系确认，现就有关公平竞争事项郑重声明如下： </w:t>
      </w:r>
    </w:p>
    <w:p w14:paraId="04539C1B">
      <w:pPr>
        <w:pStyle w:val="46"/>
        <w:widowControl/>
        <w:shd w:val="clear"/>
        <w:snapToGrid w:val="0"/>
        <w:spacing w:line="460" w:lineRule="exact"/>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一、本单位与采购人之间 </w:t>
      </w:r>
    </w:p>
    <w:p w14:paraId="6526AA59">
      <w:pPr>
        <w:pStyle w:val="46"/>
        <w:widowControl/>
        <w:shd w:val="clear"/>
        <w:snapToGrid w:val="0"/>
        <w:spacing w:line="460" w:lineRule="exact"/>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□不存在利害关系;</w:t>
      </w:r>
    </w:p>
    <w:p w14:paraId="7A7C536E">
      <w:pPr>
        <w:pStyle w:val="46"/>
        <w:widowControl/>
        <w:shd w:val="clear"/>
        <w:snapToGrid w:val="0"/>
        <w:spacing w:line="460" w:lineRule="exact"/>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□存在下列利害关系</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w:t>
      </w:r>
    </w:p>
    <w:p w14:paraId="6037ADC2">
      <w:pPr>
        <w:pStyle w:val="46"/>
        <w:widowControl/>
        <w:shd w:val="clear"/>
        <w:snapToGrid w:val="0"/>
        <w:spacing w:line="460" w:lineRule="exact"/>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A.投资关系    B.行政隶属关系    C.业务指导关系</w:t>
      </w:r>
    </w:p>
    <w:p w14:paraId="49DD8EFC">
      <w:pPr>
        <w:pStyle w:val="46"/>
        <w:widowControl/>
        <w:shd w:val="clear"/>
        <w:snapToGrid w:val="0"/>
        <w:spacing w:line="460" w:lineRule="exact"/>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D.其他可能</w:t>
      </w:r>
      <w:r>
        <w:rPr>
          <w:rFonts w:ascii="仿宋" w:hAnsi="仿宋" w:eastAsia="仿宋" w:cs="仿宋"/>
          <w:color w:val="auto"/>
          <w:sz w:val="24"/>
          <w:szCs w:val="24"/>
          <w:highlight w:val="none"/>
        </w:rPr>
        <w:t>影响采购公正的</w:t>
      </w:r>
      <w:r>
        <w:rPr>
          <w:rFonts w:ascii="仿宋" w:hAnsi="仿宋" w:eastAsia="仿宋" w:cs="仿宋"/>
          <w:color w:val="auto"/>
          <w:kern w:val="0"/>
          <w:sz w:val="24"/>
          <w:szCs w:val="24"/>
          <w:highlight w:val="none"/>
        </w:rPr>
        <w:t>利害关系</w:t>
      </w:r>
      <w:r>
        <w:rPr>
          <w:rFonts w:ascii="仿宋" w:hAnsi="仿宋" w:eastAsia="仿宋" w:cs="仿宋"/>
          <w:color w:val="auto"/>
          <w:kern w:val="0"/>
          <w:sz w:val="24"/>
          <w:szCs w:val="24"/>
          <w:highlight w:val="none"/>
          <w:u w:val="single"/>
        </w:rPr>
        <w:t xml:space="preserve">（如有，请如实说明）                 </w:t>
      </w:r>
      <w:r>
        <w:rPr>
          <w:rFonts w:ascii="仿宋" w:hAnsi="仿宋" w:eastAsia="仿宋" w:cs="仿宋"/>
          <w:color w:val="auto"/>
          <w:kern w:val="0"/>
          <w:sz w:val="24"/>
          <w:szCs w:val="24"/>
          <w:highlight w:val="none"/>
        </w:rPr>
        <w:t>。</w:t>
      </w:r>
    </w:p>
    <w:p w14:paraId="6BD99B0C">
      <w:pPr>
        <w:pStyle w:val="46"/>
        <w:widowControl/>
        <w:shd w:val="clear"/>
        <w:snapToGrid w:val="0"/>
        <w:spacing w:line="460" w:lineRule="exact"/>
        <w:rPr>
          <w:rFonts w:ascii="仿宋" w:hAnsi="仿宋" w:eastAsia="仿宋" w:cs="仿宋"/>
          <w:color w:val="auto"/>
          <w:kern w:val="0"/>
          <w:sz w:val="24"/>
          <w:szCs w:val="24"/>
          <w:highlight w:val="none"/>
        </w:rPr>
      </w:pPr>
      <w:r>
        <w:rPr>
          <w:rFonts w:ascii="仿宋" w:hAnsi="仿宋" w:eastAsia="仿宋" w:cs="仿宋"/>
          <w:color w:val="auto"/>
          <w:spacing w:val="6"/>
          <w:sz w:val="24"/>
          <w:szCs w:val="24"/>
          <w:highlight w:val="none"/>
        </w:rPr>
        <w:t>二、</w:t>
      </w:r>
      <w:r>
        <w:rPr>
          <w:rFonts w:ascii="仿宋" w:hAnsi="仿宋" w:eastAsia="仿宋" w:cs="仿宋"/>
          <w:color w:val="auto"/>
          <w:kern w:val="0"/>
          <w:sz w:val="24"/>
          <w:szCs w:val="24"/>
          <w:highlight w:val="none"/>
        </w:rPr>
        <w:t xml:space="preserve">现已清楚知道参加本项目采购活动的其他所有供应商名称，本单位 </w:t>
      </w:r>
    </w:p>
    <w:p w14:paraId="1D01DF72">
      <w:pPr>
        <w:pStyle w:val="46"/>
        <w:widowControl/>
        <w:shd w:val="clear"/>
        <w:snapToGrid w:val="0"/>
        <w:spacing w:line="460" w:lineRule="exact"/>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□与其他所有供应商之间均不存在利害关系 </w:t>
      </w:r>
    </w:p>
    <w:p w14:paraId="0729F1DE">
      <w:pPr>
        <w:pStyle w:val="46"/>
        <w:widowControl/>
        <w:shd w:val="clear"/>
        <w:snapToGrid w:val="0"/>
        <w:spacing w:line="460" w:lineRule="exact"/>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□与</w:t>
      </w:r>
      <w:r>
        <w:rPr>
          <w:rFonts w:ascii="仿宋" w:hAnsi="仿宋" w:eastAsia="仿宋" w:cs="仿宋"/>
          <w:color w:val="auto"/>
          <w:kern w:val="0"/>
          <w:sz w:val="24"/>
          <w:szCs w:val="24"/>
          <w:highlight w:val="none"/>
          <w:u w:val="single"/>
        </w:rPr>
        <w:t xml:space="preserve">           （供应商名称）</w:t>
      </w:r>
      <w:r>
        <w:rPr>
          <w:rFonts w:ascii="仿宋" w:hAnsi="仿宋" w:eastAsia="仿宋" w:cs="仿宋"/>
          <w:color w:val="auto"/>
          <w:kern w:val="0"/>
          <w:sz w:val="24"/>
          <w:szCs w:val="24"/>
          <w:highlight w:val="none"/>
        </w:rPr>
        <w:t>之间存在下列利害关系</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w:t>
      </w:r>
    </w:p>
    <w:p w14:paraId="5F741120">
      <w:pPr>
        <w:pStyle w:val="45"/>
        <w:numPr>
          <w:ilvl w:val="0"/>
          <w:numId w:val="0"/>
        </w:numPr>
        <w:shd w:val="clear"/>
        <w:adjustRightInd/>
        <w:snapToGrid w:val="0"/>
        <w:spacing w:line="46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A.法定代表人或负责人或实际控制人是同一人</w:t>
      </w:r>
    </w:p>
    <w:p w14:paraId="2243243F">
      <w:pPr>
        <w:pStyle w:val="45"/>
        <w:numPr>
          <w:ilvl w:val="0"/>
          <w:numId w:val="0"/>
        </w:numPr>
        <w:shd w:val="clear"/>
        <w:adjustRightInd/>
        <w:snapToGrid w:val="0"/>
        <w:spacing w:line="460" w:lineRule="exact"/>
        <w:rPr>
          <w:rFonts w:ascii="仿宋" w:hAnsi="仿宋" w:eastAsia="仿宋" w:cs="仿宋"/>
          <w:color w:val="auto"/>
          <w:spacing w:val="6"/>
          <w:sz w:val="24"/>
          <w:szCs w:val="24"/>
          <w:highlight w:val="none"/>
        </w:rPr>
      </w:pPr>
      <w:r>
        <w:rPr>
          <w:rFonts w:ascii="仿宋" w:hAnsi="仿宋" w:eastAsia="仿宋" w:cs="仿宋"/>
          <w:color w:val="auto"/>
          <w:sz w:val="24"/>
          <w:szCs w:val="24"/>
          <w:highlight w:val="none"/>
        </w:rPr>
        <w:t>B.法定代表人或负责人或实际控制人是夫妻关系</w:t>
      </w:r>
    </w:p>
    <w:p w14:paraId="5ED73AE6">
      <w:pPr>
        <w:pStyle w:val="45"/>
        <w:numPr>
          <w:ilvl w:val="0"/>
          <w:numId w:val="0"/>
        </w:numPr>
        <w:shd w:val="clear"/>
        <w:adjustRightInd/>
        <w:snapToGrid w:val="0"/>
        <w:spacing w:line="460" w:lineRule="exact"/>
        <w:rPr>
          <w:rFonts w:ascii="仿宋" w:hAnsi="仿宋" w:eastAsia="仿宋" w:cs="仿宋"/>
          <w:color w:val="auto"/>
          <w:spacing w:val="6"/>
          <w:sz w:val="24"/>
          <w:szCs w:val="24"/>
          <w:highlight w:val="none"/>
        </w:rPr>
      </w:pPr>
      <w:r>
        <w:rPr>
          <w:rFonts w:ascii="仿宋" w:hAnsi="仿宋" w:eastAsia="仿宋" w:cs="仿宋"/>
          <w:color w:val="auto"/>
          <w:sz w:val="24"/>
          <w:szCs w:val="24"/>
          <w:highlight w:val="none"/>
        </w:rPr>
        <w:t>C.法定代表人或负责人或实际控制人是直系血亲关系</w:t>
      </w:r>
    </w:p>
    <w:p w14:paraId="7390E6C0">
      <w:pPr>
        <w:pStyle w:val="45"/>
        <w:numPr>
          <w:ilvl w:val="0"/>
          <w:numId w:val="0"/>
        </w:numPr>
        <w:shd w:val="clear"/>
        <w:adjustRightInd/>
        <w:snapToGrid w:val="0"/>
        <w:spacing w:line="46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D.法定代表人或负责人或实际控制人存在三代以内旁系血亲关系</w:t>
      </w:r>
    </w:p>
    <w:p w14:paraId="1CA3ED92">
      <w:pPr>
        <w:pStyle w:val="45"/>
        <w:numPr>
          <w:ilvl w:val="0"/>
          <w:numId w:val="0"/>
        </w:numPr>
        <w:shd w:val="clear"/>
        <w:adjustRightInd/>
        <w:snapToGrid w:val="0"/>
        <w:spacing w:line="46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E.法定代表人或负责人或实际控制人存在近姻亲关系</w:t>
      </w:r>
    </w:p>
    <w:p w14:paraId="30C348E4">
      <w:pPr>
        <w:pStyle w:val="45"/>
        <w:numPr>
          <w:ilvl w:val="0"/>
          <w:numId w:val="0"/>
        </w:numPr>
        <w:shd w:val="clear"/>
        <w:adjustRightInd/>
        <w:snapToGrid w:val="0"/>
        <w:spacing w:line="46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F.法定代表人或负责人或实际控制人存在股份控制或实际控制关系</w:t>
      </w:r>
      <w:bookmarkStart w:id="58" w:name="_Toc11926"/>
    </w:p>
    <w:p w14:paraId="6C5994D3">
      <w:pPr>
        <w:pStyle w:val="45"/>
        <w:numPr>
          <w:ilvl w:val="0"/>
          <w:numId w:val="0"/>
        </w:numPr>
        <w:shd w:val="clear"/>
        <w:adjustRightInd/>
        <w:snapToGrid w:val="0"/>
        <w:spacing w:line="46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G.存在共同直接或间接投资设立子公司、联营企业和合营企业情况</w:t>
      </w:r>
      <w:bookmarkEnd w:id="58"/>
    </w:p>
    <w:p w14:paraId="79484D39">
      <w:pPr>
        <w:pStyle w:val="45"/>
        <w:numPr>
          <w:ilvl w:val="0"/>
          <w:numId w:val="0"/>
        </w:numPr>
        <w:shd w:val="clear"/>
        <w:adjustRightInd/>
        <w:snapToGrid w:val="0"/>
        <w:spacing w:line="46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H.存在分级代理或代销关系、同一生产制造商关系、管理关系、重要业务（占主营业务收入50%以上）或重要财务往来关系（如融资）等其他实质性控制关系</w:t>
      </w:r>
    </w:p>
    <w:p w14:paraId="14EF9927">
      <w:pPr>
        <w:pStyle w:val="45"/>
        <w:numPr>
          <w:ilvl w:val="0"/>
          <w:numId w:val="0"/>
        </w:numPr>
        <w:shd w:val="clear"/>
        <w:adjustRightInd/>
        <w:snapToGrid w:val="0"/>
        <w:spacing w:line="460" w:lineRule="exact"/>
        <w:rPr>
          <w:rFonts w:ascii="仿宋" w:hAnsi="仿宋" w:eastAsia="仿宋" w:cs="仿宋"/>
          <w:color w:val="auto"/>
          <w:spacing w:val="6"/>
          <w:sz w:val="24"/>
          <w:szCs w:val="24"/>
          <w:highlight w:val="none"/>
        </w:rPr>
      </w:pPr>
      <w:r>
        <w:rPr>
          <w:rFonts w:ascii="仿宋" w:hAnsi="仿宋" w:eastAsia="仿宋" w:cs="仿宋"/>
          <w:color w:val="auto"/>
          <w:sz w:val="24"/>
          <w:szCs w:val="24"/>
          <w:highlight w:val="none"/>
        </w:rPr>
        <w:t>I.其他利害关系情况</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p>
    <w:p w14:paraId="6313D043">
      <w:pPr>
        <w:pStyle w:val="46"/>
        <w:widowControl/>
        <w:shd w:val="clear"/>
        <w:snapToGrid w:val="0"/>
        <w:spacing w:line="460" w:lineRule="exact"/>
        <w:rPr>
          <w:rFonts w:ascii="仿宋" w:hAnsi="仿宋" w:eastAsia="仿宋" w:cs="仿宋"/>
          <w:color w:val="auto"/>
          <w:kern w:val="0"/>
          <w:sz w:val="24"/>
          <w:szCs w:val="24"/>
          <w:highlight w:val="none"/>
        </w:rPr>
      </w:pPr>
      <w:r>
        <w:rPr>
          <w:rFonts w:ascii="仿宋" w:hAnsi="仿宋" w:eastAsia="仿宋" w:cs="仿宋"/>
          <w:color w:val="auto"/>
          <w:sz w:val="24"/>
          <w:szCs w:val="24"/>
          <w:highlight w:val="none"/>
        </w:rPr>
        <w:t>三、现已清楚知道并</w:t>
      </w:r>
      <w:r>
        <w:rPr>
          <w:rFonts w:ascii="仿宋" w:hAnsi="仿宋" w:eastAsia="仿宋" w:cs="仿宋"/>
          <w:color w:val="auto"/>
          <w:kern w:val="0"/>
          <w:sz w:val="24"/>
          <w:szCs w:val="24"/>
          <w:highlight w:val="none"/>
        </w:rPr>
        <w:t>严格遵守政府采购法律法规和现场纪律。</w:t>
      </w:r>
    </w:p>
    <w:p w14:paraId="74AC9BFE">
      <w:pPr>
        <w:pStyle w:val="46"/>
        <w:widowControl/>
        <w:shd w:val="clear"/>
        <w:snapToGrid w:val="0"/>
        <w:spacing w:line="460" w:lineRule="exact"/>
        <w:rPr>
          <w:rFonts w:ascii="仿宋" w:hAnsi="仿宋" w:eastAsia="仿宋" w:cs="仿宋"/>
          <w:color w:val="auto"/>
          <w:sz w:val="24"/>
          <w:szCs w:val="24"/>
          <w:highlight w:val="none"/>
        </w:rPr>
      </w:pPr>
      <w:r>
        <w:rPr>
          <w:rFonts w:ascii="仿宋" w:hAnsi="仿宋" w:eastAsia="仿宋" w:cs="仿宋"/>
          <w:color w:val="auto"/>
          <w:kern w:val="0"/>
          <w:sz w:val="24"/>
          <w:szCs w:val="24"/>
          <w:highlight w:val="none"/>
        </w:rPr>
        <w:t>四、我发现</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供应商之间存在或可能存在上述第二条第</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项利害关系。</w:t>
      </w:r>
    </w:p>
    <w:p w14:paraId="01556C7E">
      <w:pPr>
        <w:pStyle w:val="45"/>
        <w:numPr>
          <w:ilvl w:val="0"/>
          <w:numId w:val="0"/>
        </w:numPr>
        <w:shd w:val="clear"/>
        <w:adjustRightInd/>
        <w:snapToGrid w:val="0"/>
        <w:spacing w:line="360" w:lineRule="auto"/>
        <w:rPr>
          <w:rFonts w:ascii="仿宋" w:hAnsi="仿宋" w:eastAsia="仿宋" w:cs="仿宋"/>
          <w:color w:val="auto"/>
          <w:sz w:val="24"/>
          <w:szCs w:val="24"/>
          <w:highlight w:val="none"/>
        </w:rPr>
      </w:pPr>
    </w:p>
    <w:p w14:paraId="666A4DCB">
      <w:pPr>
        <w:pStyle w:val="45"/>
        <w:numPr>
          <w:ilvl w:val="0"/>
          <w:numId w:val="0"/>
        </w:numPr>
        <w:shd w:val="clear"/>
        <w:adjustRightInd/>
        <w:snapToGrid w:val="0"/>
        <w:spacing w:line="360" w:lineRule="auto"/>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（供应商代表签名）：                                  年  月   日          </w:t>
      </w:r>
    </w:p>
    <w:p w14:paraId="47C52546">
      <w:pPr>
        <w:pageBreakBefore/>
        <w:shd w:val="clear" w:color="auto"/>
        <w:spacing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国家统计局关于印发《统计上大中小微型企业划分办法（2017）》的通知</w:t>
      </w:r>
    </w:p>
    <w:p w14:paraId="59875754">
      <w:pPr>
        <w:widowControl/>
        <w:shd w:val="clear" w:color="auto"/>
        <w:spacing w:before="150"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各省、自治区、直辖市统计局，新疆生产建设兵团统计局，国务院各有关部门，国家统计局各调查总队：</w:t>
      </w:r>
    </w:p>
    <w:p w14:paraId="0B333350">
      <w:pPr>
        <w:widowControl/>
        <w:shd w:val="clear" w:color="auto"/>
        <w:spacing w:before="150" w:line="420" w:lineRule="atLeast"/>
        <w:ind w:firstLine="420" w:firstLineChars="200"/>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075263EF">
      <w:pPr>
        <w:widowControl/>
        <w:shd w:val="clear" w:color="auto"/>
        <w:spacing w:before="150" w:line="420" w:lineRule="atLeast"/>
        <w:ind w:firstLine="420" w:firstLineChars="200"/>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附件：《统计上大中小微型企业划分办法（2017）》修订说明</w:t>
      </w:r>
    </w:p>
    <w:p w14:paraId="5740A4F7">
      <w:pPr>
        <w:widowControl/>
        <w:shd w:val="clear" w:color="auto"/>
        <w:spacing w:before="150" w:line="420" w:lineRule="atLeast"/>
        <w:ind w:right="825"/>
        <w:jc w:val="righ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国家统计局  </w:t>
      </w:r>
    </w:p>
    <w:p w14:paraId="7ED72B82">
      <w:pPr>
        <w:widowControl/>
        <w:shd w:val="clear" w:color="auto"/>
        <w:spacing w:before="150" w:line="420" w:lineRule="atLeast"/>
        <w:ind w:right="825"/>
        <w:jc w:val="righ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2017年12月28日</w:t>
      </w:r>
    </w:p>
    <w:p w14:paraId="43E9C5F7">
      <w:pPr>
        <w:pStyle w:val="12"/>
        <w:shd w:val="clear"/>
        <w:rPr>
          <w:color w:val="auto"/>
          <w:highlight w:val="none"/>
          <w:lang w:val="en-US"/>
        </w:rPr>
      </w:pPr>
    </w:p>
    <w:p w14:paraId="29575040">
      <w:pPr>
        <w:widowControl/>
        <w:shd w:val="clear" w:color="auto"/>
        <w:spacing w:before="150"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统计上大中小微型企业划分办法（2017）</w:t>
      </w:r>
    </w:p>
    <w:p w14:paraId="7234B9FA">
      <w:pPr>
        <w:widowControl/>
        <w:shd w:val="clear" w:color="auto"/>
        <w:spacing w:before="150"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一、根据工业和信息化部、国家统计局、国家发展改革委、财政部《关于印发中小企业划型标准规定的通知》（工信部联企业〔2011〕300号），以《国民经济行业分类》（GB/T4754-2017）为基础，结合统计工作的实际情况，制定本办法。</w:t>
      </w:r>
    </w:p>
    <w:p w14:paraId="34E08E06">
      <w:pPr>
        <w:widowControl/>
        <w:shd w:val="clear" w:color="auto"/>
        <w:spacing w:before="150"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二、本办法适用对象为在中华人民共和国境内依法设立的各种组织形式的法人企业或单位。个体工商户参照本办法进行划分。</w:t>
      </w:r>
    </w:p>
    <w:p w14:paraId="338C7690">
      <w:pPr>
        <w:widowControl/>
        <w:shd w:val="clear" w:color="auto"/>
        <w:spacing w:before="150"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3A1E9549">
      <w:pPr>
        <w:widowControl/>
        <w:shd w:val="clear" w:color="auto"/>
        <w:spacing w:before="150"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四、本办法按照行业门类、大类、中类和组合类别，依据从业人员、营业收入、资产总额等指标或替代指标，将我国的企业划分为大型、中型、小型、微型等四种类型。具体划分标准见附表。</w:t>
      </w:r>
    </w:p>
    <w:p w14:paraId="5CEFB607">
      <w:pPr>
        <w:widowControl/>
        <w:shd w:val="clear" w:color="auto"/>
        <w:spacing w:before="150"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五、企业划分由政府综合统计部门根据统计年报每年确定一次，定报统计原则上不进行调整。</w:t>
      </w:r>
    </w:p>
    <w:p w14:paraId="50182D34">
      <w:pPr>
        <w:widowControl/>
        <w:shd w:val="clear" w:color="auto"/>
        <w:spacing w:before="150"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六、本办法自印发之日起执行，国家统计局2011年印发的《统计上大中小微型企业划分办法》（国统字〔2011〕75号）同时废止。</w:t>
      </w:r>
    </w:p>
    <w:p w14:paraId="7354C6E3">
      <w:pPr>
        <w:widowControl/>
        <w:shd w:val="clear" w:color="auto"/>
        <w:spacing w:before="150"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附表：统计上大中小微型企业划分标准</w:t>
      </w:r>
    </w:p>
    <w:p w14:paraId="5D565035">
      <w:pPr>
        <w:widowControl/>
        <w:shd w:val="clear"/>
        <w:jc w:val="left"/>
        <w:rPr>
          <w:rFonts w:hint="eastAsia" w:ascii="仿宋" w:hAnsi="仿宋" w:eastAsia="仿宋" w:cs="仿宋"/>
          <w:color w:val="auto"/>
          <w:kern w:val="0"/>
          <w:sz w:val="24"/>
          <w:highlight w:val="none"/>
        </w:rPr>
      </w:pPr>
    </w:p>
    <w:p w14:paraId="5138C9AD">
      <w:pPr>
        <w:widowControl/>
        <w:shd w:val="clear" w:color="auto"/>
        <w:spacing w:before="150"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统计上大中小微型企业划分标准</w:t>
      </w:r>
    </w:p>
    <w:tbl>
      <w:tblPr>
        <w:tblStyle w:val="25"/>
        <w:tblW w:w="97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57"/>
        <w:gridCol w:w="1560"/>
        <w:gridCol w:w="671"/>
        <w:gridCol w:w="1231"/>
        <w:gridCol w:w="1891"/>
        <w:gridCol w:w="1730"/>
        <w:gridCol w:w="1203"/>
      </w:tblGrid>
      <w:tr w14:paraId="3BD7B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tcMar>
              <w:top w:w="75" w:type="dxa"/>
              <w:left w:w="75" w:type="dxa"/>
              <w:bottom w:w="75" w:type="dxa"/>
              <w:right w:w="75" w:type="dxa"/>
            </w:tcMar>
            <w:vAlign w:val="bottom"/>
          </w:tcPr>
          <w:p w14:paraId="2CBB7FBC">
            <w:pPr>
              <w:widowControl/>
              <w:shd w:val="clear"/>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行业名称</w:t>
            </w:r>
          </w:p>
        </w:tc>
        <w:tc>
          <w:tcPr>
            <w:tcW w:w="1560" w:type="dxa"/>
            <w:tcMar>
              <w:top w:w="75" w:type="dxa"/>
              <w:left w:w="75" w:type="dxa"/>
              <w:bottom w:w="75" w:type="dxa"/>
              <w:right w:w="75" w:type="dxa"/>
            </w:tcMar>
            <w:vAlign w:val="bottom"/>
          </w:tcPr>
          <w:p w14:paraId="42B9EB2D">
            <w:pPr>
              <w:widowControl/>
              <w:shd w:val="clear"/>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指标名称</w:t>
            </w:r>
          </w:p>
        </w:tc>
        <w:tc>
          <w:tcPr>
            <w:tcW w:w="671" w:type="dxa"/>
            <w:tcMar>
              <w:top w:w="75" w:type="dxa"/>
              <w:left w:w="75" w:type="dxa"/>
              <w:bottom w:w="75" w:type="dxa"/>
              <w:right w:w="75" w:type="dxa"/>
            </w:tcMar>
            <w:vAlign w:val="bottom"/>
          </w:tcPr>
          <w:p w14:paraId="4B323698">
            <w:pPr>
              <w:widowControl/>
              <w:shd w:val="clear"/>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计量单位</w:t>
            </w:r>
          </w:p>
        </w:tc>
        <w:tc>
          <w:tcPr>
            <w:tcW w:w="1231" w:type="dxa"/>
            <w:tcMar>
              <w:top w:w="75" w:type="dxa"/>
              <w:left w:w="75" w:type="dxa"/>
              <w:bottom w:w="75" w:type="dxa"/>
              <w:right w:w="75" w:type="dxa"/>
            </w:tcMar>
            <w:vAlign w:val="bottom"/>
          </w:tcPr>
          <w:p w14:paraId="4B41BDE9">
            <w:pPr>
              <w:widowControl/>
              <w:shd w:val="clear"/>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大型</w:t>
            </w:r>
          </w:p>
        </w:tc>
        <w:tc>
          <w:tcPr>
            <w:tcW w:w="1891" w:type="dxa"/>
            <w:tcMar>
              <w:top w:w="75" w:type="dxa"/>
              <w:left w:w="75" w:type="dxa"/>
              <w:bottom w:w="75" w:type="dxa"/>
              <w:right w:w="75" w:type="dxa"/>
            </w:tcMar>
            <w:vAlign w:val="bottom"/>
          </w:tcPr>
          <w:p w14:paraId="1FEB42EA">
            <w:pPr>
              <w:widowControl/>
              <w:shd w:val="clear"/>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中型</w:t>
            </w:r>
          </w:p>
        </w:tc>
        <w:tc>
          <w:tcPr>
            <w:tcW w:w="1730" w:type="dxa"/>
            <w:tcMar>
              <w:top w:w="75" w:type="dxa"/>
              <w:left w:w="75" w:type="dxa"/>
              <w:bottom w:w="75" w:type="dxa"/>
              <w:right w:w="75" w:type="dxa"/>
            </w:tcMar>
            <w:vAlign w:val="bottom"/>
          </w:tcPr>
          <w:p w14:paraId="6C623091">
            <w:pPr>
              <w:widowControl/>
              <w:shd w:val="clear"/>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小型</w:t>
            </w:r>
          </w:p>
        </w:tc>
        <w:tc>
          <w:tcPr>
            <w:tcW w:w="1203" w:type="dxa"/>
            <w:tcMar>
              <w:top w:w="75" w:type="dxa"/>
              <w:left w:w="75" w:type="dxa"/>
              <w:bottom w:w="75" w:type="dxa"/>
              <w:right w:w="75" w:type="dxa"/>
            </w:tcMar>
            <w:vAlign w:val="bottom"/>
          </w:tcPr>
          <w:p w14:paraId="30AC3F5D">
            <w:pPr>
              <w:widowControl/>
              <w:shd w:val="clear"/>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微型</w:t>
            </w:r>
          </w:p>
        </w:tc>
      </w:tr>
      <w:tr w14:paraId="314E7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Align w:val="center"/>
          </w:tcPr>
          <w:p w14:paraId="5EAA5B33">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农、林、牧、渔业</w:t>
            </w:r>
          </w:p>
        </w:tc>
        <w:tc>
          <w:tcPr>
            <w:tcW w:w="1560" w:type="dxa"/>
            <w:vAlign w:val="center"/>
          </w:tcPr>
          <w:p w14:paraId="1E211620">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营业收入(Y)</w:t>
            </w:r>
          </w:p>
        </w:tc>
        <w:tc>
          <w:tcPr>
            <w:tcW w:w="671" w:type="dxa"/>
            <w:vAlign w:val="center"/>
          </w:tcPr>
          <w:p w14:paraId="7678C83B">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5AAD7272">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Y≥20000</w:t>
            </w:r>
          </w:p>
        </w:tc>
        <w:tc>
          <w:tcPr>
            <w:tcW w:w="1891" w:type="dxa"/>
            <w:vAlign w:val="center"/>
          </w:tcPr>
          <w:p w14:paraId="6BC24009">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500≤Y＜20000</w:t>
            </w:r>
          </w:p>
        </w:tc>
        <w:tc>
          <w:tcPr>
            <w:tcW w:w="1730" w:type="dxa"/>
            <w:vAlign w:val="center"/>
          </w:tcPr>
          <w:p w14:paraId="254F48A3">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50≤Y＜500</w:t>
            </w:r>
          </w:p>
        </w:tc>
        <w:tc>
          <w:tcPr>
            <w:tcW w:w="1203" w:type="dxa"/>
            <w:vAlign w:val="center"/>
          </w:tcPr>
          <w:p w14:paraId="62870674">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Y＜50</w:t>
            </w:r>
          </w:p>
        </w:tc>
      </w:tr>
      <w:tr w14:paraId="3A982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152D9D3E">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工业 *</w:t>
            </w:r>
          </w:p>
        </w:tc>
        <w:tc>
          <w:tcPr>
            <w:tcW w:w="1560" w:type="dxa"/>
            <w:vAlign w:val="center"/>
          </w:tcPr>
          <w:p w14:paraId="5957125E">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从业人员(X)</w:t>
            </w:r>
          </w:p>
        </w:tc>
        <w:tc>
          <w:tcPr>
            <w:tcW w:w="671" w:type="dxa"/>
            <w:vAlign w:val="center"/>
          </w:tcPr>
          <w:p w14:paraId="7AF310D0">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w:t>
            </w:r>
          </w:p>
        </w:tc>
        <w:tc>
          <w:tcPr>
            <w:tcW w:w="1231" w:type="dxa"/>
            <w:vAlign w:val="center"/>
          </w:tcPr>
          <w:p w14:paraId="43C6BB5D">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X≥1000</w:t>
            </w:r>
          </w:p>
        </w:tc>
        <w:tc>
          <w:tcPr>
            <w:tcW w:w="1891" w:type="dxa"/>
            <w:vAlign w:val="center"/>
          </w:tcPr>
          <w:p w14:paraId="2DCC17CA">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300≤X＜1000</w:t>
            </w:r>
          </w:p>
        </w:tc>
        <w:tc>
          <w:tcPr>
            <w:tcW w:w="1730" w:type="dxa"/>
            <w:vAlign w:val="center"/>
          </w:tcPr>
          <w:p w14:paraId="5A44BA40">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20≤X＜300</w:t>
            </w:r>
          </w:p>
        </w:tc>
        <w:tc>
          <w:tcPr>
            <w:tcW w:w="1203" w:type="dxa"/>
            <w:vAlign w:val="center"/>
          </w:tcPr>
          <w:p w14:paraId="597ED0ED">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X＜20</w:t>
            </w:r>
          </w:p>
        </w:tc>
      </w:tr>
      <w:tr w14:paraId="2CAA8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130B8E59">
            <w:pPr>
              <w:widowControl/>
              <w:shd w:val="clear"/>
              <w:jc w:val="left"/>
              <w:rPr>
                <w:rFonts w:hint="eastAsia" w:ascii="仿宋" w:hAnsi="仿宋" w:eastAsia="仿宋" w:cs="仿宋"/>
                <w:color w:val="auto"/>
                <w:kern w:val="0"/>
                <w:sz w:val="24"/>
                <w:highlight w:val="none"/>
              </w:rPr>
            </w:pPr>
          </w:p>
        </w:tc>
        <w:tc>
          <w:tcPr>
            <w:tcW w:w="1560" w:type="dxa"/>
            <w:vAlign w:val="center"/>
          </w:tcPr>
          <w:p w14:paraId="4EE9A5DE">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营业收入(Y)</w:t>
            </w:r>
          </w:p>
        </w:tc>
        <w:tc>
          <w:tcPr>
            <w:tcW w:w="671" w:type="dxa"/>
            <w:vAlign w:val="center"/>
          </w:tcPr>
          <w:p w14:paraId="7A03A5BA">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60081711">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Y≥40000</w:t>
            </w:r>
          </w:p>
        </w:tc>
        <w:tc>
          <w:tcPr>
            <w:tcW w:w="1891" w:type="dxa"/>
            <w:vAlign w:val="center"/>
          </w:tcPr>
          <w:p w14:paraId="2510EF6D">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2000≤Y＜40000</w:t>
            </w:r>
          </w:p>
        </w:tc>
        <w:tc>
          <w:tcPr>
            <w:tcW w:w="1730" w:type="dxa"/>
            <w:vAlign w:val="center"/>
          </w:tcPr>
          <w:p w14:paraId="5B9284CE">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300≤Y＜2000</w:t>
            </w:r>
          </w:p>
        </w:tc>
        <w:tc>
          <w:tcPr>
            <w:tcW w:w="1203" w:type="dxa"/>
            <w:vAlign w:val="center"/>
          </w:tcPr>
          <w:p w14:paraId="338879BA">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Y＜300</w:t>
            </w:r>
          </w:p>
        </w:tc>
      </w:tr>
      <w:tr w14:paraId="59919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369EF1C3">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建筑业</w:t>
            </w:r>
          </w:p>
        </w:tc>
        <w:tc>
          <w:tcPr>
            <w:tcW w:w="1560" w:type="dxa"/>
            <w:vAlign w:val="center"/>
          </w:tcPr>
          <w:p w14:paraId="5328BB6F">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营业收入(Y)</w:t>
            </w:r>
          </w:p>
        </w:tc>
        <w:tc>
          <w:tcPr>
            <w:tcW w:w="671" w:type="dxa"/>
            <w:vAlign w:val="center"/>
          </w:tcPr>
          <w:p w14:paraId="10C28BBF">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19B4ACCD">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Y≥80000</w:t>
            </w:r>
          </w:p>
        </w:tc>
        <w:tc>
          <w:tcPr>
            <w:tcW w:w="1891" w:type="dxa"/>
            <w:vAlign w:val="center"/>
          </w:tcPr>
          <w:p w14:paraId="53086D38">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6000≤Y＜80000</w:t>
            </w:r>
          </w:p>
        </w:tc>
        <w:tc>
          <w:tcPr>
            <w:tcW w:w="1730" w:type="dxa"/>
            <w:vAlign w:val="center"/>
          </w:tcPr>
          <w:p w14:paraId="10100698">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300≤Y＜6000</w:t>
            </w:r>
          </w:p>
        </w:tc>
        <w:tc>
          <w:tcPr>
            <w:tcW w:w="1203" w:type="dxa"/>
            <w:vAlign w:val="center"/>
          </w:tcPr>
          <w:p w14:paraId="2717BE65">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Y＜300</w:t>
            </w:r>
          </w:p>
        </w:tc>
      </w:tr>
      <w:tr w14:paraId="57557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0E1BCDBD">
            <w:pPr>
              <w:widowControl/>
              <w:shd w:val="clear"/>
              <w:jc w:val="left"/>
              <w:rPr>
                <w:rFonts w:hint="eastAsia" w:ascii="仿宋" w:hAnsi="仿宋" w:eastAsia="仿宋" w:cs="仿宋"/>
                <w:color w:val="auto"/>
                <w:kern w:val="0"/>
                <w:sz w:val="24"/>
                <w:highlight w:val="none"/>
              </w:rPr>
            </w:pPr>
          </w:p>
        </w:tc>
        <w:tc>
          <w:tcPr>
            <w:tcW w:w="1560" w:type="dxa"/>
            <w:vAlign w:val="center"/>
          </w:tcPr>
          <w:p w14:paraId="15B8FBFD">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资产总额(Z)</w:t>
            </w:r>
          </w:p>
        </w:tc>
        <w:tc>
          <w:tcPr>
            <w:tcW w:w="671" w:type="dxa"/>
            <w:vAlign w:val="center"/>
          </w:tcPr>
          <w:p w14:paraId="255F1C78">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55A2972B">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Z≥80000</w:t>
            </w:r>
          </w:p>
        </w:tc>
        <w:tc>
          <w:tcPr>
            <w:tcW w:w="1891" w:type="dxa"/>
            <w:vAlign w:val="center"/>
          </w:tcPr>
          <w:p w14:paraId="315645C0">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5000≤Z＜80000</w:t>
            </w:r>
          </w:p>
        </w:tc>
        <w:tc>
          <w:tcPr>
            <w:tcW w:w="1730" w:type="dxa"/>
            <w:vAlign w:val="center"/>
          </w:tcPr>
          <w:p w14:paraId="76BA4F7C">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300≤Z＜5000</w:t>
            </w:r>
          </w:p>
        </w:tc>
        <w:tc>
          <w:tcPr>
            <w:tcW w:w="1203" w:type="dxa"/>
            <w:vAlign w:val="center"/>
          </w:tcPr>
          <w:p w14:paraId="1CBE5117">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Z＜300</w:t>
            </w:r>
          </w:p>
        </w:tc>
      </w:tr>
      <w:tr w14:paraId="2B9E1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457" w:type="dxa"/>
            <w:vMerge w:val="restart"/>
            <w:vAlign w:val="center"/>
          </w:tcPr>
          <w:p w14:paraId="54DCE228">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批发业</w:t>
            </w:r>
          </w:p>
        </w:tc>
        <w:tc>
          <w:tcPr>
            <w:tcW w:w="1560" w:type="dxa"/>
            <w:vAlign w:val="center"/>
          </w:tcPr>
          <w:p w14:paraId="41830BAC">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从业人员(X)</w:t>
            </w:r>
          </w:p>
        </w:tc>
        <w:tc>
          <w:tcPr>
            <w:tcW w:w="671" w:type="dxa"/>
            <w:vAlign w:val="center"/>
          </w:tcPr>
          <w:p w14:paraId="675385B9">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w:t>
            </w:r>
          </w:p>
        </w:tc>
        <w:tc>
          <w:tcPr>
            <w:tcW w:w="1231" w:type="dxa"/>
            <w:vAlign w:val="center"/>
          </w:tcPr>
          <w:p w14:paraId="196F737B">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X≥200</w:t>
            </w:r>
          </w:p>
        </w:tc>
        <w:tc>
          <w:tcPr>
            <w:tcW w:w="1891" w:type="dxa"/>
            <w:vAlign w:val="center"/>
          </w:tcPr>
          <w:p w14:paraId="1AED127A">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20≤X＜200</w:t>
            </w:r>
          </w:p>
        </w:tc>
        <w:tc>
          <w:tcPr>
            <w:tcW w:w="1730" w:type="dxa"/>
            <w:vAlign w:val="center"/>
          </w:tcPr>
          <w:p w14:paraId="5A9A59C9">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5≤X＜20</w:t>
            </w:r>
          </w:p>
        </w:tc>
        <w:tc>
          <w:tcPr>
            <w:tcW w:w="1203" w:type="dxa"/>
            <w:vAlign w:val="center"/>
          </w:tcPr>
          <w:p w14:paraId="347E4E24">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X＜5</w:t>
            </w:r>
          </w:p>
        </w:tc>
      </w:tr>
      <w:tr w14:paraId="23B41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2967B069">
            <w:pPr>
              <w:widowControl/>
              <w:shd w:val="clear"/>
              <w:jc w:val="left"/>
              <w:rPr>
                <w:rFonts w:hint="eastAsia" w:ascii="仿宋" w:hAnsi="仿宋" w:eastAsia="仿宋" w:cs="仿宋"/>
                <w:color w:val="auto"/>
                <w:kern w:val="0"/>
                <w:sz w:val="24"/>
                <w:highlight w:val="none"/>
              </w:rPr>
            </w:pPr>
          </w:p>
        </w:tc>
        <w:tc>
          <w:tcPr>
            <w:tcW w:w="1560" w:type="dxa"/>
            <w:vAlign w:val="center"/>
          </w:tcPr>
          <w:p w14:paraId="2C5CF650">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营业收入(Y)</w:t>
            </w:r>
          </w:p>
        </w:tc>
        <w:tc>
          <w:tcPr>
            <w:tcW w:w="671" w:type="dxa"/>
            <w:vAlign w:val="center"/>
          </w:tcPr>
          <w:p w14:paraId="6634CC5C">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42019074">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Y≥40000</w:t>
            </w:r>
          </w:p>
        </w:tc>
        <w:tc>
          <w:tcPr>
            <w:tcW w:w="1891" w:type="dxa"/>
            <w:vAlign w:val="center"/>
          </w:tcPr>
          <w:p w14:paraId="30A2B491">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5000≤Y＜40000</w:t>
            </w:r>
          </w:p>
        </w:tc>
        <w:tc>
          <w:tcPr>
            <w:tcW w:w="1730" w:type="dxa"/>
            <w:vAlign w:val="center"/>
          </w:tcPr>
          <w:p w14:paraId="31BB67B1">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1000≤Y＜5000</w:t>
            </w:r>
          </w:p>
        </w:tc>
        <w:tc>
          <w:tcPr>
            <w:tcW w:w="1203" w:type="dxa"/>
            <w:vAlign w:val="center"/>
          </w:tcPr>
          <w:p w14:paraId="4BD740ED">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Y＜1000</w:t>
            </w:r>
          </w:p>
        </w:tc>
      </w:tr>
      <w:tr w14:paraId="7960B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5FF14332">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零售业</w:t>
            </w:r>
          </w:p>
        </w:tc>
        <w:tc>
          <w:tcPr>
            <w:tcW w:w="1560" w:type="dxa"/>
            <w:vAlign w:val="center"/>
          </w:tcPr>
          <w:p w14:paraId="69B5EA83">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从业人员(X)</w:t>
            </w:r>
          </w:p>
        </w:tc>
        <w:tc>
          <w:tcPr>
            <w:tcW w:w="671" w:type="dxa"/>
            <w:vAlign w:val="center"/>
          </w:tcPr>
          <w:p w14:paraId="132B3FD1">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w:t>
            </w:r>
          </w:p>
        </w:tc>
        <w:tc>
          <w:tcPr>
            <w:tcW w:w="1231" w:type="dxa"/>
            <w:vAlign w:val="center"/>
          </w:tcPr>
          <w:p w14:paraId="050C8BBD">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X≥300</w:t>
            </w:r>
          </w:p>
        </w:tc>
        <w:tc>
          <w:tcPr>
            <w:tcW w:w="1891" w:type="dxa"/>
            <w:vAlign w:val="center"/>
          </w:tcPr>
          <w:p w14:paraId="0829057B">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50≤X＜300</w:t>
            </w:r>
          </w:p>
        </w:tc>
        <w:tc>
          <w:tcPr>
            <w:tcW w:w="1730" w:type="dxa"/>
            <w:vAlign w:val="center"/>
          </w:tcPr>
          <w:p w14:paraId="2497E592">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10≤X＜50</w:t>
            </w:r>
          </w:p>
        </w:tc>
        <w:tc>
          <w:tcPr>
            <w:tcW w:w="1203" w:type="dxa"/>
            <w:vAlign w:val="center"/>
          </w:tcPr>
          <w:p w14:paraId="57EC721B">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X＜10</w:t>
            </w:r>
          </w:p>
        </w:tc>
      </w:tr>
      <w:tr w14:paraId="7FD06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273C26E4">
            <w:pPr>
              <w:widowControl/>
              <w:shd w:val="clear"/>
              <w:jc w:val="left"/>
              <w:rPr>
                <w:rFonts w:hint="eastAsia" w:ascii="仿宋" w:hAnsi="仿宋" w:eastAsia="仿宋" w:cs="仿宋"/>
                <w:color w:val="auto"/>
                <w:kern w:val="0"/>
                <w:sz w:val="24"/>
                <w:highlight w:val="none"/>
              </w:rPr>
            </w:pPr>
          </w:p>
        </w:tc>
        <w:tc>
          <w:tcPr>
            <w:tcW w:w="1560" w:type="dxa"/>
            <w:vAlign w:val="center"/>
          </w:tcPr>
          <w:p w14:paraId="26110679">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营业收入(Y)</w:t>
            </w:r>
          </w:p>
        </w:tc>
        <w:tc>
          <w:tcPr>
            <w:tcW w:w="671" w:type="dxa"/>
            <w:vAlign w:val="center"/>
          </w:tcPr>
          <w:p w14:paraId="0574ECBC">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5ABE8A3A">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Y≥20000</w:t>
            </w:r>
          </w:p>
        </w:tc>
        <w:tc>
          <w:tcPr>
            <w:tcW w:w="1891" w:type="dxa"/>
            <w:vAlign w:val="center"/>
          </w:tcPr>
          <w:p w14:paraId="196B57E5">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500≤Y＜20000</w:t>
            </w:r>
          </w:p>
        </w:tc>
        <w:tc>
          <w:tcPr>
            <w:tcW w:w="1730" w:type="dxa"/>
            <w:vAlign w:val="center"/>
          </w:tcPr>
          <w:p w14:paraId="6BFE488D">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100≤Y＜500</w:t>
            </w:r>
          </w:p>
        </w:tc>
        <w:tc>
          <w:tcPr>
            <w:tcW w:w="1203" w:type="dxa"/>
            <w:vAlign w:val="center"/>
          </w:tcPr>
          <w:p w14:paraId="5ECA7A0A">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Y＜100</w:t>
            </w:r>
          </w:p>
        </w:tc>
      </w:tr>
      <w:tr w14:paraId="0BF84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58D72A0C">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交通运输业 *</w:t>
            </w:r>
          </w:p>
        </w:tc>
        <w:tc>
          <w:tcPr>
            <w:tcW w:w="1560" w:type="dxa"/>
            <w:vAlign w:val="center"/>
          </w:tcPr>
          <w:p w14:paraId="44D1CE95">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从业人员(X)</w:t>
            </w:r>
          </w:p>
        </w:tc>
        <w:tc>
          <w:tcPr>
            <w:tcW w:w="671" w:type="dxa"/>
            <w:vAlign w:val="center"/>
          </w:tcPr>
          <w:p w14:paraId="0162DC9E">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w:t>
            </w:r>
          </w:p>
        </w:tc>
        <w:tc>
          <w:tcPr>
            <w:tcW w:w="1231" w:type="dxa"/>
            <w:vAlign w:val="center"/>
          </w:tcPr>
          <w:p w14:paraId="130E87F6">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X≥1000</w:t>
            </w:r>
          </w:p>
        </w:tc>
        <w:tc>
          <w:tcPr>
            <w:tcW w:w="1891" w:type="dxa"/>
            <w:vAlign w:val="center"/>
          </w:tcPr>
          <w:p w14:paraId="38FA7133">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300≤X＜1000</w:t>
            </w:r>
          </w:p>
        </w:tc>
        <w:tc>
          <w:tcPr>
            <w:tcW w:w="1730" w:type="dxa"/>
            <w:vAlign w:val="center"/>
          </w:tcPr>
          <w:p w14:paraId="03EFC121">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20≤X＜300</w:t>
            </w:r>
          </w:p>
        </w:tc>
        <w:tc>
          <w:tcPr>
            <w:tcW w:w="1203" w:type="dxa"/>
            <w:vAlign w:val="center"/>
          </w:tcPr>
          <w:p w14:paraId="5A74533B">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X＜20</w:t>
            </w:r>
          </w:p>
        </w:tc>
      </w:tr>
      <w:tr w14:paraId="3DFD1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5899D8B3">
            <w:pPr>
              <w:widowControl/>
              <w:shd w:val="clear"/>
              <w:jc w:val="left"/>
              <w:rPr>
                <w:rFonts w:hint="eastAsia" w:ascii="仿宋" w:hAnsi="仿宋" w:eastAsia="仿宋" w:cs="仿宋"/>
                <w:color w:val="auto"/>
                <w:kern w:val="0"/>
                <w:sz w:val="24"/>
                <w:highlight w:val="none"/>
              </w:rPr>
            </w:pPr>
          </w:p>
        </w:tc>
        <w:tc>
          <w:tcPr>
            <w:tcW w:w="1560" w:type="dxa"/>
            <w:vAlign w:val="center"/>
          </w:tcPr>
          <w:p w14:paraId="3FB7368F">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营业收入(Y)</w:t>
            </w:r>
          </w:p>
        </w:tc>
        <w:tc>
          <w:tcPr>
            <w:tcW w:w="671" w:type="dxa"/>
            <w:vAlign w:val="center"/>
          </w:tcPr>
          <w:p w14:paraId="62141A89">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1427FD3E">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Y≥30000</w:t>
            </w:r>
          </w:p>
        </w:tc>
        <w:tc>
          <w:tcPr>
            <w:tcW w:w="1891" w:type="dxa"/>
            <w:vAlign w:val="center"/>
          </w:tcPr>
          <w:p w14:paraId="638F091E">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3000≤Y＜30000</w:t>
            </w:r>
          </w:p>
        </w:tc>
        <w:tc>
          <w:tcPr>
            <w:tcW w:w="1730" w:type="dxa"/>
            <w:vAlign w:val="center"/>
          </w:tcPr>
          <w:p w14:paraId="40FBA521">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200≤Y＜3000</w:t>
            </w:r>
          </w:p>
        </w:tc>
        <w:tc>
          <w:tcPr>
            <w:tcW w:w="1203" w:type="dxa"/>
            <w:vAlign w:val="center"/>
          </w:tcPr>
          <w:p w14:paraId="4D2BFDD3">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Y＜200</w:t>
            </w:r>
          </w:p>
        </w:tc>
      </w:tr>
      <w:tr w14:paraId="4AEF7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59CC1F28">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仓储业*</w:t>
            </w:r>
          </w:p>
        </w:tc>
        <w:tc>
          <w:tcPr>
            <w:tcW w:w="1560" w:type="dxa"/>
            <w:vAlign w:val="center"/>
          </w:tcPr>
          <w:p w14:paraId="7B329B02">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从业人员(X)</w:t>
            </w:r>
          </w:p>
        </w:tc>
        <w:tc>
          <w:tcPr>
            <w:tcW w:w="671" w:type="dxa"/>
            <w:vAlign w:val="center"/>
          </w:tcPr>
          <w:p w14:paraId="0CA00B66">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w:t>
            </w:r>
          </w:p>
        </w:tc>
        <w:tc>
          <w:tcPr>
            <w:tcW w:w="1231" w:type="dxa"/>
            <w:vAlign w:val="center"/>
          </w:tcPr>
          <w:p w14:paraId="32460BEB">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X≥200</w:t>
            </w:r>
          </w:p>
        </w:tc>
        <w:tc>
          <w:tcPr>
            <w:tcW w:w="1891" w:type="dxa"/>
            <w:vAlign w:val="center"/>
          </w:tcPr>
          <w:p w14:paraId="64D1E74A">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100≤X＜200</w:t>
            </w:r>
          </w:p>
        </w:tc>
        <w:tc>
          <w:tcPr>
            <w:tcW w:w="1730" w:type="dxa"/>
            <w:vAlign w:val="center"/>
          </w:tcPr>
          <w:p w14:paraId="18B4A886">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20≤X＜100</w:t>
            </w:r>
          </w:p>
        </w:tc>
        <w:tc>
          <w:tcPr>
            <w:tcW w:w="1203" w:type="dxa"/>
            <w:vAlign w:val="center"/>
          </w:tcPr>
          <w:p w14:paraId="43367A68">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X＜20</w:t>
            </w:r>
          </w:p>
        </w:tc>
      </w:tr>
      <w:tr w14:paraId="6745C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17C4D71B">
            <w:pPr>
              <w:widowControl/>
              <w:shd w:val="clear"/>
              <w:jc w:val="left"/>
              <w:rPr>
                <w:rFonts w:hint="eastAsia" w:ascii="仿宋" w:hAnsi="仿宋" w:eastAsia="仿宋" w:cs="仿宋"/>
                <w:color w:val="auto"/>
                <w:kern w:val="0"/>
                <w:sz w:val="24"/>
                <w:highlight w:val="none"/>
              </w:rPr>
            </w:pPr>
          </w:p>
        </w:tc>
        <w:tc>
          <w:tcPr>
            <w:tcW w:w="1560" w:type="dxa"/>
            <w:vAlign w:val="center"/>
          </w:tcPr>
          <w:p w14:paraId="3E92645F">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营业收入(Y)</w:t>
            </w:r>
          </w:p>
        </w:tc>
        <w:tc>
          <w:tcPr>
            <w:tcW w:w="671" w:type="dxa"/>
            <w:vAlign w:val="center"/>
          </w:tcPr>
          <w:p w14:paraId="147E965D">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4CAEA5E5">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Y≥30000</w:t>
            </w:r>
          </w:p>
        </w:tc>
        <w:tc>
          <w:tcPr>
            <w:tcW w:w="1891" w:type="dxa"/>
            <w:vAlign w:val="center"/>
          </w:tcPr>
          <w:p w14:paraId="4800FD14">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1000≤Y＜30000</w:t>
            </w:r>
          </w:p>
        </w:tc>
        <w:tc>
          <w:tcPr>
            <w:tcW w:w="1730" w:type="dxa"/>
            <w:vAlign w:val="center"/>
          </w:tcPr>
          <w:p w14:paraId="48D6FB69">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100≤Y＜1000</w:t>
            </w:r>
          </w:p>
        </w:tc>
        <w:tc>
          <w:tcPr>
            <w:tcW w:w="1203" w:type="dxa"/>
            <w:vAlign w:val="center"/>
          </w:tcPr>
          <w:p w14:paraId="1EF5C142">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Y＜100</w:t>
            </w:r>
          </w:p>
        </w:tc>
      </w:tr>
      <w:tr w14:paraId="74D4B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5DBDFA4F">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邮政业</w:t>
            </w:r>
          </w:p>
        </w:tc>
        <w:tc>
          <w:tcPr>
            <w:tcW w:w="1560" w:type="dxa"/>
            <w:vAlign w:val="center"/>
          </w:tcPr>
          <w:p w14:paraId="5995E262">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从业人员(X)</w:t>
            </w:r>
          </w:p>
        </w:tc>
        <w:tc>
          <w:tcPr>
            <w:tcW w:w="671" w:type="dxa"/>
            <w:vAlign w:val="center"/>
          </w:tcPr>
          <w:p w14:paraId="660BF472">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w:t>
            </w:r>
          </w:p>
        </w:tc>
        <w:tc>
          <w:tcPr>
            <w:tcW w:w="1231" w:type="dxa"/>
            <w:vAlign w:val="center"/>
          </w:tcPr>
          <w:p w14:paraId="2F2F0370">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X≥1000</w:t>
            </w:r>
          </w:p>
        </w:tc>
        <w:tc>
          <w:tcPr>
            <w:tcW w:w="1891" w:type="dxa"/>
            <w:vAlign w:val="center"/>
          </w:tcPr>
          <w:p w14:paraId="26A3FA2A">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300≤X＜1000</w:t>
            </w:r>
          </w:p>
        </w:tc>
        <w:tc>
          <w:tcPr>
            <w:tcW w:w="1730" w:type="dxa"/>
            <w:vAlign w:val="center"/>
          </w:tcPr>
          <w:p w14:paraId="0646C37F">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20≤X＜300</w:t>
            </w:r>
          </w:p>
        </w:tc>
        <w:tc>
          <w:tcPr>
            <w:tcW w:w="1203" w:type="dxa"/>
            <w:vAlign w:val="center"/>
          </w:tcPr>
          <w:p w14:paraId="3693CF2F">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X＜20</w:t>
            </w:r>
          </w:p>
        </w:tc>
      </w:tr>
      <w:tr w14:paraId="1AB9D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3A2D311B">
            <w:pPr>
              <w:widowControl/>
              <w:shd w:val="clear"/>
              <w:jc w:val="left"/>
              <w:rPr>
                <w:rFonts w:hint="eastAsia" w:ascii="仿宋" w:hAnsi="仿宋" w:eastAsia="仿宋" w:cs="仿宋"/>
                <w:color w:val="auto"/>
                <w:kern w:val="0"/>
                <w:sz w:val="24"/>
                <w:highlight w:val="none"/>
              </w:rPr>
            </w:pPr>
          </w:p>
        </w:tc>
        <w:tc>
          <w:tcPr>
            <w:tcW w:w="1560" w:type="dxa"/>
            <w:vAlign w:val="center"/>
          </w:tcPr>
          <w:p w14:paraId="2EAE5CA9">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营业收入(Y)</w:t>
            </w:r>
          </w:p>
        </w:tc>
        <w:tc>
          <w:tcPr>
            <w:tcW w:w="671" w:type="dxa"/>
            <w:vAlign w:val="center"/>
          </w:tcPr>
          <w:p w14:paraId="07E9BF3F">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68927EE4">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Y≥30000</w:t>
            </w:r>
          </w:p>
        </w:tc>
        <w:tc>
          <w:tcPr>
            <w:tcW w:w="1891" w:type="dxa"/>
            <w:vAlign w:val="center"/>
          </w:tcPr>
          <w:p w14:paraId="3F710B63">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2000≤Y＜30000</w:t>
            </w:r>
          </w:p>
        </w:tc>
        <w:tc>
          <w:tcPr>
            <w:tcW w:w="1730" w:type="dxa"/>
            <w:vAlign w:val="center"/>
          </w:tcPr>
          <w:p w14:paraId="1D980F53">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100≤Y＜2000</w:t>
            </w:r>
          </w:p>
        </w:tc>
        <w:tc>
          <w:tcPr>
            <w:tcW w:w="1203" w:type="dxa"/>
            <w:vAlign w:val="center"/>
          </w:tcPr>
          <w:p w14:paraId="4ADBA509">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Y＜100</w:t>
            </w:r>
          </w:p>
        </w:tc>
      </w:tr>
      <w:tr w14:paraId="5DA83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457" w:type="dxa"/>
            <w:vMerge w:val="restart"/>
            <w:vAlign w:val="center"/>
          </w:tcPr>
          <w:p w14:paraId="6C433533">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住宿业</w:t>
            </w:r>
          </w:p>
        </w:tc>
        <w:tc>
          <w:tcPr>
            <w:tcW w:w="1560" w:type="dxa"/>
            <w:vAlign w:val="center"/>
          </w:tcPr>
          <w:p w14:paraId="7E697521">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从业人员(X)</w:t>
            </w:r>
          </w:p>
        </w:tc>
        <w:tc>
          <w:tcPr>
            <w:tcW w:w="671" w:type="dxa"/>
            <w:vAlign w:val="center"/>
          </w:tcPr>
          <w:p w14:paraId="2C6EE1A0">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w:t>
            </w:r>
          </w:p>
        </w:tc>
        <w:tc>
          <w:tcPr>
            <w:tcW w:w="1231" w:type="dxa"/>
            <w:vAlign w:val="center"/>
          </w:tcPr>
          <w:p w14:paraId="52256D95">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X≥300</w:t>
            </w:r>
          </w:p>
        </w:tc>
        <w:tc>
          <w:tcPr>
            <w:tcW w:w="1891" w:type="dxa"/>
            <w:vAlign w:val="center"/>
          </w:tcPr>
          <w:p w14:paraId="303CB427">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100≤X＜300</w:t>
            </w:r>
          </w:p>
        </w:tc>
        <w:tc>
          <w:tcPr>
            <w:tcW w:w="1730" w:type="dxa"/>
            <w:vAlign w:val="center"/>
          </w:tcPr>
          <w:p w14:paraId="10F48515">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10≤X＜100</w:t>
            </w:r>
          </w:p>
        </w:tc>
        <w:tc>
          <w:tcPr>
            <w:tcW w:w="1203" w:type="dxa"/>
            <w:vAlign w:val="center"/>
          </w:tcPr>
          <w:p w14:paraId="0DCD610B">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X＜10</w:t>
            </w:r>
          </w:p>
        </w:tc>
      </w:tr>
      <w:tr w14:paraId="4CC30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07C22E2B">
            <w:pPr>
              <w:widowControl/>
              <w:shd w:val="clear"/>
              <w:jc w:val="left"/>
              <w:rPr>
                <w:rFonts w:hint="eastAsia" w:ascii="仿宋" w:hAnsi="仿宋" w:eastAsia="仿宋" w:cs="仿宋"/>
                <w:color w:val="auto"/>
                <w:kern w:val="0"/>
                <w:sz w:val="24"/>
                <w:highlight w:val="none"/>
              </w:rPr>
            </w:pPr>
          </w:p>
        </w:tc>
        <w:tc>
          <w:tcPr>
            <w:tcW w:w="1560" w:type="dxa"/>
            <w:vAlign w:val="center"/>
          </w:tcPr>
          <w:p w14:paraId="58F31A89">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营业收入(Y)</w:t>
            </w:r>
          </w:p>
        </w:tc>
        <w:tc>
          <w:tcPr>
            <w:tcW w:w="671" w:type="dxa"/>
            <w:vAlign w:val="center"/>
          </w:tcPr>
          <w:p w14:paraId="53F7AB14">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70E953D8">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Y≥10000</w:t>
            </w:r>
          </w:p>
        </w:tc>
        <w:tc>
          <w:tcPr>
            <w:tcW w:w="1891" w:type="dxa"/>
            <w:vAlign w:val="center"/>
          </w:tcPr>
          <w:p w14:paraId="624B797A">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2000≤Y＜10000</w:t>
            </w:r>
          </w:p>
        </w:tc>
        <w:tc>
          <w:tcPr>
            <w:tcW w:w="1730" w:type="dxa"/>
            <w:vAlign w:val="center"/>
          </w:tcPr>
          <w:p w14:paraId="4ABB6D92">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100≤Y＜2000</w:t>
            </w:r>
          </w:p>
        </w:tc>
        <w:tc>
          <w:tcPr>
            <w:tcW w:w="1203" w:type="dxa"/>
            <w:vAlign w:val="center"/>
          </w:tcPr>
          <w:p w14:paraId="2099779A">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Y＜100</w:t>
            </w:r>
          </w:p>
        </w:tc>
      </w:tr>
      <w:tr w14:paraId="31187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457" w:type="dxa"/>
            <w:vMerge w:val="restart"/>
            <w:vAlign w:val="center"/>
          </w:tcPr>
          <w:p w14:paraId="55949767">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餐饮业</w:t>
            </w:r>
          </w:p>
        </w:tc>
        <w:tc>
          <w:tcPr>
            <w:tcW w:w="1560" w:type="dxa"/>
            <w:vAlign w:val="center"/>
          </w:tcPr>
          <w:p w14:paraId="1E5D0B36">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从业人员(X)</w:t>
            </w:r>
          </w:p>
        </w:tc>
        <w:tc>
          <w:tcPr>
            <w:tcW w:w="671" w:type="dxa"/>
            <w:vAlign w:val="center"/>
          </w:tcPr>
          <w:p w14:paraId="197246A2">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w:t>
            </w:r>
          </w:p>
        </w:tc>
        <w:tc>
          <w:tcPr>
            <w:tcW w:w="1231" w:type="dxa"/>
            <w:vAlign w:val="center"/>
          </w:tcPr>
          <w:p w14:paraId="46245952">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X≥300</w:t>
            </w:r>
          </w:p>
        </w:tc>
        <w:tc>
          <w:tcPr>
            <w:tcW w:w="1891" w:type="dxa"/>
            <w:vAlign w:val="center"/>
          </w:tcPr>
          <w:p w14:paraId="1D6BBACD">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100≤X＜300</w:t>
            </w:r>
          </w:p>
        </w:tc>
        <w:tc>
          <w:tcPr>
            <w:tcW w:w="1730" w:type="dxa"/>
            <w:vAlign w:val="center"/>
          </w:tcPr>
          <w:p w14:paraId="6E6CFB2D">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10≤X＜100</w:t>
            </w:r>
          </w:p>
        </w:tc>
        <w:tc>
          <w:tcPr>
            <w:tcW w:w="1203" w:type="dxa"/>
            <w:vAlign w:val="center"/>
          </w:tcPr>
          <w:p w14:paraId="5972E771">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X＜10</w:t>
            </w:r>
          </w:p>
        </w:tc>
      </w:tr>
      <w:tr w14:paraId="4F01D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15B0069B">
            <w:pPr>
              <w:widowControl/>
              <w:shd w:val="clear"/>
              <w:jc w:val="left"/>
              <w:rPr>
                <w:rFonts w:hint="eastAsia" w:ascii="仿宋" w:hAnsi="仿宋" w:eastAsia="仿宋" w:cs="仿宋"/>
                <w:color w:val="auto"/>
                <w:kern w:val="0"/>
                <w:sz w:val="24"/>
                <w:highlight w:val="none"/>
              </w:rPr>
            </w:pPr>
          </w:p>
        </w:tc>
        <w:tc>
          <w:tcPr>
            <w:tcW w:w="1560" w:type="dxa"/>
            <w:vAlign w:val="center"/>
          </w:tcPr>
          <w:p w14:paraId="051DF6C4">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营业收入(Y)</w:t>
            </w:r>
          </w:p>
        </w:tc>
        <w:tc>
          <w:tcPr>
            <w:tcW w:w="671" w:type="dxa"/>
            <w:vAlign w:val="center"/>
          </w:tcPr>
          <w:p w14:paraId="343E1451">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38F50272">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Y≥10000</w:t>
            </w:r>
          </w:p>
        </w:tc>
        <w:tc>
          <w:tcPr>
            <w:tcW w:w="1891" w:type="dxa"/>
            <w:vAlign w:val="center"/>
          </w:tcPr>
          <w:p w14:paraId="1A70DB5B">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2000≤Y＜10000</w:t>
            </w:r>
          </w:p>
        </w:tc>
        <w:tc>
          <w:tcPr>
            <w:tcW w:w="1730" w:type="dxa"/>
            <w:vAlign w:val="center"/>
          </w:tcPr>
          <w:p w14:paraId="06E151FD">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100≤Y＜2000</w:t>
            </w:r>
          </w:p>
        </w:tc>
        <w:tc>
          <w:tcPr>
            <w:tcW w:w="1203" w:type="dxa"/>
            <w:vAlign w:val="center"/>
          </w:tcPr>
          <w:p w14:paraId="54A9CC9E">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Y＜100</w:t>
            </w:r>
          </w:p>
        </w:tc>
      </w:tr>
      <w:tr w14:paraId="2D710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1B99EC5D">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信息传输业 *</w:t>
            </w:r>
          </w:p>
        </w:tc>
        <w:tc>
          <w:tcPr>
            <w:tcW w:w="1560" w:type="dxa"/>
            <w:vAlign w:val="center"/>
          </w:tcPr>
          <w:p w14:paraId="26EACDD2">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从业人员(X)</w:t>
            </w:r>
          </w:p>
        </w:tc>
        <w:tc>
          <w:tcPr>
            <w:tcW w:w="671" w:type="dxa"/>
            <w:vAlign w:val="center"/>
          </w:tcPr>
          <w:p w14:paraId="0B9D8C21">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w:t>
            </w:r>
          </w:p>
        </w:tc>
        <w:tc>
          <w:tcPr>
            <w:tcW w:w="1231" w:type="dxa"/>
            <w:vAlign w:val="center"/>
          </w:tcPr>
          <w:p w14:paraId="19D38A61">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X≥2000</w:t>
            </w:r>
          </w:p>
        </w:tc>
        <w:tc>
          <w:tcPr>
            <w:tcW w:w="1891" w:type="dxa"/>
            <w:vAlign w:val="center"/>
          </w:tcPr>
          <w:p w14:paraId="42939E1C">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100≤X＜2000</w:t>
            </w:r>
          </w:p>
        </w:tc>
        <w:tc>
          <w:tcPr>
            <w:tcW w:w="1730" w:type="dxa"/>
            <w:vAlign w:val="center"/>
          </w:tcPr>
          <w:p w14:paraId="594A2892">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10≤X＜100</w:t>
            </w:r>
          </w:p>
        </w:tc>
        <w:tc>
          <w:tcPr>
            <w:tcW w:w="1203" w:type="dxa"/>
            <w:vAlign w:val="center"/>
          </w:tcPr>
          <w:p w14:paraId="734C5B58">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X＜10</w:t>
            </w:r>
          </w:p>
        </w:tc>
      </w:tr>
      <w:tr w14:paraId="06C96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4EC586CD">
            <w:pPr>
              <w:widowControl/>
              <w:shd w:val="clear"/>
              <w:jc w:val="left"/>
              <w:rPr>
                <w:rFonts w:hint="eastAsia" w:ascii="仿宋" w:hAnsi="仿宋" w:eastAsia="仿宋" w:cs="仿宋"/>
                <w:color w:val="auto"/>
                <w:kern w:val="0"/>
                <w:sz w:val="24"/>
                <w:highlight w:val="none"/>
              </w:rPr>
            </w:pPr>
          </w:p>
        </w:tc>
        <w:tc>
          <w:tcPr>
            <w:tcW w:w="1560" w:type="dxa"/>
            <w:vAlign w:val="center"/>
          </w:tcPr>
          <w:p w14:paraId="54F83138">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营业收入(Y)</w:t>
            </w:r>
          </w:p>
        </w:tc>
        <w:tc>
          <w:tcPr>
            <w:tcW w:w="671" w:type="dxa"/>
            <w:vAlign w:val="center"/>
          </w:tcPr>
          <w:p w14:paraId="4D7B925A">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0ABF96A2">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Y≥100000</w:t>
            </w:r>
          </w:p>
        </w:tc>
        <w:tc>
          <w:tcPr>
            <w:tcW w:w="1891" w:type="dxa"/>
            <w:vAlign w:val="center"/>
          </w:tcPr>
          <w:p w14:paraId="2E25E19E">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1000≤Y＜100000</w:t>
            </w:r>
          </w:p>
        </w:tc>
        <w:tc>
          <w:tcPr>
            <w:tcW w:w="1730" w:type="dxa"/>
            <w:vAlign w:val="center"/>
          </w:tcPr>
          <w:p w14:paraId="2FD9A5B0">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100≤Y＜1000</w:t>
            </w:r>
          </w:p>
        </w:tc>
        <w:tc>
          <w:tcPr>
            <w:tcW w:w="1203" w:type="dxa"/>
            <w:vAlign w:val="center"/>
          </w:tcPr>
          <w:p w14:paraId="1BBB108C">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Y＜100</w:t>
            </w:r>
          </w:p>
        </w:tc>
      </w:tr>
      <w:tr w14:paraId="5BA5A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34056FD8">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软件和信息技术服务业</w:t>
            </w:r>
          </w:p>
        </w:tc>
        <w:tc>
          <w:tcPr>
            <w:tcW w:w="1560" w:type="dxa"/>
            <w:vAlign w:val="center"/>
          </w:tcPr>
          <w:p w14:paraId="3DCAD5B3">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从业人员(X)</w:t>
            </w:r>
          </w:p>
        </w:tc>
        <w:tc>
          <w:tcPr>
            <w:tcW w:w="671" w:type="dxa"/>
            <w:vAlign w:val="center"/>
          </w:tcPr>
          <w:p w14:paraId="187BDDDC">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w:t>
            </w:r>
          </w:p>
        </w:tc>
        <w:tc>
          <w:tcPr>
            <w:tcW w:w="1231" w:type="dxa"/>
            <w:vAlign w:val="center"/>
          </w:tcPr>
          <w:p w14:paraId="26813AF1">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X≥300</w:t>
            </w:r>
          </w:p>
        </w:tc>
        <w:tc>
          <w:tcPr>
            <w:tcW w:w="1891" w:type="dxa"/>
            <w:vAlign w:val="center"/>
          </w:tcPr>
          <w:p w14:paraId="2398EB9F">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100≤X＜300</w:t>
            </w:r>
          </w:p>
        </w:tc>
        <w:tc>
          <w:tcPr>
            <w:tcW w:w="1730" w:type="dxa"/>
            <w:vAlign w:val="center"/>
          </w:tcPr>
          <w:p w14:paraId="25D58A61">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10≤X＜100</w:t>
            </w:r>
          </w:p>
        </w:tc>
        <w:tc>
          <w:tcPr>
            <w:tcW w:w="1203" w:type="dxa"/>
            <w:vAlign w:val="center"/>
          </w:tcPr>
          <w:p w14:paraId="29994BBE">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X＜10</w:t>
            </w:r>
          </w:p>
        </w:tc>
      </w:tr>
      <w:tr w14:paraId="21F07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43B3091D">
            <w:pPr>
              <w:widowControl/>
              <w:shd w:val="clear"/>
              <w:jc w:val="left"/>
              <w:rPr>
                <w:rFonts w:hint="eastAsia" w:ascii="仿宋" w:hAnsi="仿宋" w:eastAsia="仿宋" w:cs="仿宋"/>
                <w:color w:val="auto"/>
                <w:kern w:val="0"/>
                <w:sz w:val="24"/>
                <w:highlight w:val="none"/>
              </w:rPr>
            </w:pPr>
          </w:p>
        </w:tc>
        <w:tc>
          <w:tcPr>
            <w:tcW w:w="1560" w:type="dxa"/>
            <w:vAlign w:val="center"/>
          </w:tcPr>
          <w:p w14:paraId="49FF639D">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营业收入(Y)</w:t>
            </w:r>
          </w:p>
        </w:tc>
        <w:tc>
          <w:tcPr>
            <w:tcW w:w="671" w:type="dxa"/>
            <w:vAlign w:val="center"/>
          </w:tcPr>
          <w:p w14:paraId="56C24B98">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5DDE3BD9">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Y≥10000</w:t>
            </w:r>
          </w:p>
        </w:tc>
        <w:tc>
          <w:tcPr>
            <w:tcW w:w="1891" w:type="dxa"/>
            <w:vAlign w:val="center"/>
          </w:tcPr>
          <w:p w14:paraId="21843215">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1000≤Y＜10000</w:t>
            </w:r>
          </w:p>
        </w:tc>
        <w:tc>
          <w:tcPr>
            <w:tcW w:w="1730" w:type="dxa"/>
            <w:vAlign w:val="center"/>
          </w:tcPr>
          <w:p w14:paraId="52C0F837">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50≤Y＜1000</w:t>
            </w:r>
          </w:p>
        </w:tc>
        <w:tc>
          <w:tcPr>
            <w:tcW w:w="1203" w:type="dxa"/>
            <w:vAlign w:val="center"/>
          </w:tcPr>
          <w:p w14:paraId="0654E185">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Y＜50</w:t>
            </w:r>
          </w:p>
        </w:tc>
      </w:tr>
      <w:tr w14:paraId="13C68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2CC2DD71">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房地产开发经营</w:t>
            </w:r>
          </w:p>
        </w:tc>
        <w:tc>
          <w:tcPr>
            <w:tcW w:w="1560" w:type="dxa"/>
            <w:vAlign w:val="center"/>
          </w:tcPr>
          <w:p w14:paraId="526B189A">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营业收入(Y)</w:t>
            </w:r>
          </w:p>
        </w:tc>
        <w:tc>
          <w:tcPr>
            <w:tcW w:w="671" w:type="dxa"/>
            <w:vAlign w:val="center"/>
          </w:tcPr>
          <w:p w14:paraId="26369BDD">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6B4AF736">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Y≥200000</w:t>
            </w:r>
          </w:p>
        </w:tc>
        <w:tc>
          <w:tcPr>
            <w:tcW w:w="1891" w:type="dxa"/>
            <w:vAlign w:val="center"/>
          </w:tcPr>
          <w:p w14:paraId="17CFD5A4">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1000≤Y＜200000</w:t>
            </w:r>
          </w:p>
        </w:tc>
        <w:tc>
          <w:tcPr>
            <w:tcW w:w="1730" w:type="dxa"/>
            <w:vAlign w:val="center"/>
          </w:tcPr>
          <w:p w14:paraId="567B2AB2">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100≤Y＜1000</w:t>
            </w:r>
          </w:p>
        </w:tc>
        <w:tc>
          <w:tcPr>
            <w:tcW w:w="1203" w:type="dxa"/>
            <w:vAlign w:val="center"/>
          </w:tcPr>
          <w:p w14:paraId="1C5AE192">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Y＜100</w:t>
            </w:r>
          </w:p>
        </w:tc>
      </w:tr>
      <w:tr w14:paraId="3B3D4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6E2E0EA0">
            <w:pPr>
              <w:widowControl/>
              <w:shd w:val="clear"/>
              <w:jc w:val="left"/>
              <w:rPr>
                <w:rFonts w:hint="eastAsia" w:ascii="仿宋" w:hAnsi="仿宋" w:eastAsia="仿宋" w:cs="仿宋"/>
                <w:color w:val="auto"/>
                <w:kern w:val="0"/>
                <w:sz w:val="24"/>
                <w:highlight w:val="none"/>
              </w:rPr>
            </w:pPr>
          </w:p>
        </w:tc>
        <w:tc>
          <w:tcPr>
            <w:tcW w:w="1560" w:type="dxa"/>
            <w:vAlign w:val="center"/>
          </w:tcPr>
          <w:p w14:paraId="7959FEE5">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资产总额(Z)</w:t>
            </w:r>
          </w:p>
        </w:tc>
        <w:tc>
          <w:tcPr>
            <w:tcW w:w="671" w:type="dxa"/>
            <w:vAlign w:val="center"/>
          </w:tcPr>
          <w:p w14:paraId="469C2D95">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48EE9922">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Z≥10000</w:t>
            </w:r>
          </w:p>
        </w:tc>
        <w:tc>
          <w:tcPr>
            <w:tcW w:w="1891" w:type="dxa"/>
            <w:vAlign w:val="center"/>
          </w:tcPr>
          <w:p w14:paraId="38EA9E0D">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5000≤Z＜10000</w:t>
            </w:r>
          </w:p>
        </w:tc>
        <w:tc>
          <w:tcPr>
            <w:tcW w:w="1730" w:type="dxa"/>
            <w:vAlign w:val="center"/>
          </w:tcPr>
          <w:p w14:paraId="35B4188E">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2000≤Z＜5000</w:t>
            </w:r>
          </w:p>
        </w:tc>
        <w:tc>
          <w:tcPr>
            <w:tcW w:w="1203" w:type="dxa"/>
            <w:vAlign w:val="center"/>
          </w:tcPr>
          <w:p w14:paraId="715C6AF5">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Z＜2000</w:t>
            </w:r>
          </w:p>
        </w:tc>
      </w:tr>
      <w:tr w14:paraId="42F7A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571DB38F">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物业管理</w:t>
            </w:r>
          </w:p>
        </w:tc>
        <w:tc>
          <w:tcPr>
            <w:tcW w:w="1560" w:type="dxa"/>
            <w:vAlign w:val="center"/>
          </w:tcPr>
          <w:p w14:paraId="1E8E750F">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从业人员(X)</w:t>
            </w:r>
          </w:p>
        </w:tc>
        <w:tc>
          <w:tcPr>
            <w:tcW w:w="671" w:type="dxa"/>
            <w:vAlign w:val="center"/>
          </w:tcPr>
          <w:p w14:paraId="5DB46C29">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w:t>
            </w:r>
          </w:p>
        </w:tc>
        <w:tc>
          <w:tcPr>
            <w:tcW w:w="1231" w:type="dxa"/>
            <w:vAlign w:val="center"/>
          </w:tcPr>
          <w:p w14:paraId="46CDA7E1">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X≥1000</w:t>
            </w:r>
          </w:p>
        </w:tc>
        <w:tc>
          <w:tcPr>
            <w:tcW w:w="1891" w:type="dxa"/>
            <w:vAlign w:val="center"/>
          </w:tcPr>
          <w:p w14:paraId="02852DD0">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300≤X＜1000</w:t>
            </w:r>
          </w:p>
        </w:tc>
        <w:tc>
          <w:tcPr>
            <w:tcW w:w="1730" w:type="dxa"/>
            <w:vAlign w:val="center"/>
          </w:tcPr>
          <w:p w14:paraId="7AC56E44">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100≤X＜300</w:t>
            </w:r>
          </w:p>
        </w:tc>
        <w:tc>
          <w:tcPr>
            <w:tcW w:w="1203" w:type="dxa"/>
            <w:vAlign w:val="center"/>
          </w:tcPr>
          <w:p w14:paraId="338B6EDC">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X＜100</w:t>
            </w:r>
          </w:p>
        </w:tc>
      </w:tr>
      <w:tr w14:paraId="0F0A7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175D187F">
            <w:pPr>
              <w:widowControl/>
              <w:shd w:val="clear"/>
              <w:jc w:val="left"/>
              <w:rPr>
                <w:rFonts w:hint="eastAsia" w:ascii="仿宋" w:hAnsi="仿宋" w:eastAsia="仿宋" w:cs="仿宋"/>
                <w:color w:val="auto"/>
                <w:kern w:val="0"/>
                <w:sz w:val="24"/>
                <w:highlight w:val="none"/>
              </w:rPr>
            </w:pPr>
          </w:p>
        </w:tc>
        <w:tc>
          <w:tcPr>
            <w:tcW w:w="1560" w:type="dxa"/>
            <w:vAlign w:val="center"/>
          </w:tcPr>
          <w:p w14:paraId="18D9A5DA">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营业收入(Y)</w:t>
            </w:r>
          </w:p>
        </w:tc>
        <w:tc>
          <w:tcPr>
            <w:tcW w:w="671" w:type="dxa"/>
            <w:vAlign w:val="center"/>
          </w:tcPr>
          <w:p w14:paraId="36548080">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291FC8D3">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Y≥5000</w:t>
            </w:r>
          </w:p>
        </w:tc>
        <w:tc>
          <w:tcPr>
            <w:tcW w:w="1891" w:type="dxa"/>
            <w:vAlign w:val="center"/>
          </w:tcPr>
          <w:p w14:paraId="58118B2F">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1000≤Y＜5000</w:t>
            </w:r>
          </w:p>
        </w:tc>
        <w:tc>
          <w:tcPr>
            <w:tcW w:w="1730" w:type="dxa"/>
            <w:vAlign w:val="center"/>
          </w:tcPr>
          <w:p w14:paraId="51083BA8">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500≤Y＜1000</w:t>
            </w:r>
          </w:p>
        </w:tc>
        <w:tc>
          <w:tcPr>
            <w:tcW w:w="1203" w:type="dxa"/>
            <w:vAlign w:val="center"/>
          </w:tcPr>
          <w:p w14:paraId="284F6C56">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Y＜500</w:t>
            </w:r>
          </w:p>
        </w:tc>
      </w:tr>
      <w:tr w14:paraId="5459C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794A1B72">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租赁和商务服务业</w:t>
            </w:r>
          </w:p>
        </w:tc>
        <w:tc>
          <w:tcPr>
            <w:tcW w:w="1560" w:type="dxa"/>
            <w:vAlign w:val="center"/>
          </w:tcPr>
          <w:p w14:paraId="2FDF407C">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从业人员(X)</w:t>
            </w:r>
          </w:p>
        </w:tc>
        <w:tc>
          <w:tcPr>
            <w:tcW w:w="671" w:type="dxa"/>
            <w:vAlign w:val="center"/>
          </w:tcPr>
          <w:p w14:paraId="56E2C205">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w:t>
            </w:r>
          </w:p>
        </w:tc>
        <w:tc>
          <w:tcPr>
            <w:tcW w:w="1231" w:type="dxa"/>
            <w:vAlign w:val="center"/>
          </w:tcPr>
          <w:p w14:paraId="41990918">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X≥300</w:t>
            </w:r>
          </w:p>
        </w:tc>
        <w:tc>
          <w:tcPr>
            <w:tcW w:w="1891" w:type="dxa"/>
            <w:vAlign w:val="center"/>
          </w:tcPr>
          <w:p w14:paraId="13C38A49">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100≤X＜300</w:t>
            </w:r>
          </w:p>
        </w:tc>
        <w:tc>
          <w:tcPr>
            <w:tcW w:w="1730" w:type="dxa"/>
            <w:vAlign w:val="center"/>
          </w:tcPr>
          <w:p w14:paraId="1C32B963">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10≤X＜100</w:t>
            </w:r>
          </w:p>
        </w:tc>
        <w:tc>
          <w:tcPr>
            <w:tcW w:w="1203" w:type="dxa"/>
            <w:vAlign w:val="center"/>
          </w:tcPr>
          <w:p w14:paraId="354CDCFE">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X＜10</w:t>
            </w:r>
          </w:p>
        </w:tc>
      </w:tr>
      <w:tr w14:paraId="2AEF3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285E2D90">
            <w:pPr>
              <w:widowControl/>
              <w:shd w:val="clear"/>
              <w:jc w:val="left"/>
              <w:rPr>
                <w:rFonts w:hint="eastAsia" w:ascii="仿宋" w:hAnsi="仿宋" w:eastAsia="仿宋" w:cs="仿宋"/>
                <w:color w:val="auto"/>
                <w:kern w:val="0"/>
                <w:sz w:val="24"/>
                <w:highlight w:val="none"/>
              </w:rPr>
            </w:pPr>
          </w:p>
        </w:tc>
        <w:tc>
          <w:tcPr>
            <w:tcW w:w="1560" w:type="dxa"/>
            <w:vAlign w:val="center"/>
          </w:tcPr>
          <w:p w14:paraId="7B662A4F">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资产总额(Z)</w:t>
            </w:r>
          </w:p>
        </w:tc>
        <w:tc>
          <w:tcPr>
            <w:tcW w:w="671" w:type="dxa"/>
            <w:vAlign w:val="center"/>
          </w:tcPr>
          <w:p w14:paraId="03019D98">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0BD2566A">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Z≥120000</w:t>
            </w:r>
          </w:p>
        </w:tc>
        <w:tc>
          <w:tcPr>
            <w:tcW w:w="1891" w:type="dxa"/>
            <w:vAlign w:val="center"/>
          </w:tcPr>
          <w:p w14:paraId="4EF618AA">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8000≤Z＜120000</w:t>
            </w:r>
          </w:p>
        </w:tc>
        <w:tc>
          <w:tcPr>
            <w:tcW w:w="1730" w:type="dxa"/>
            <w:vAlign w:val="center"/>
          </w:tcPr>
          <w:p w14:paraId="506E7888">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100≤Z＜8000</w:t>
            </w:r>
          </w:p>
        </w:tc>
        <w:tc>
          <w:tcPr>
            <w:tcW w:w="1203" w:type="dxa"/>
            <w:vAlign w:val="center"/>
          </w:tcPr>
          <w:p w14:paraId="38CEEF44">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Z＜100</w:t>
            </w:r>
          </w:p>
        </w:tc>
      </w:tr>
      <w:tr w14:paraId="12742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Align w:val="center"/>
          </w:tcPr>
          <w:p w14:paraId="33EBC5DB">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其他未列明行业 *</w:t>
            </w:r>
          </w:p>
        </w:tc>
        <w:tc>
          <w:tcPr>
            <w:tcW w:w="1560" w:type="dxa"/>
            <w:vAlign w:val="center"/>
          </w:tcPr>
          <w:p w14:paraId="744A55D5">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从业人员(X)</w:t>
            </w:r>
          </w:p>
        </w:tc>
        <w:tc>
          <w:tcPr>
            <w:tcW w:w="671" w:type="dxa"/>
            <w:vAlign w:val="center"/>
          </w:tcPr>
          <w:p w14:paraId="40DD915A">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w:t>
            </w:r>
          </w:p>
        </w:tc>
        <w:tc>
          <w:tcPr>
            <w:tcW w:w="1231" w:type="dxa"/>
            <w:vAlign w:val="center"/>
          </w:tcPr>
          <w:p w14:paraId="7C6C2784">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X≥300</w:t>
            </w:r>
          </w:p>
        </w:tc>
        <w:tc>
          <w:tcPr>
            <w:tcW w:w="1891" w:type="dxa"/>
            <w:vAlign w:val="center"/>
          </w:tcPr>
          <w:p w14:paraId="758F52AA">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100≤X＜300</w:t>
            </w:r>
          </w:p>
        </w:tc>
        <w:tc>
          <w:tcPr>
            <w:tcW w:w="1730" w:type="dxa"/>
            <w:vAlign w:val="center"/>
          </w:tcPr>
          <w:p w14:paraId="1C057D1D">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10≤X＜100</w:t>
            </w:r>
          </w:p>
        </w:tc>
        <w:tc>
          <w:tcPr>
            <w:tcW w:w="1203" w:type="dxa"/>
            <w:vAlign w:val="center"/>
          </w:tcPr>
          <w:p w14:paraId="2B8985E7">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X＜10</w:t>
            </w:r>
          </w:p>
        </w:tc>
      </w:tr>
    </w:tbl>
    <w:p w14:paraId="038CB1C7">
      <w:pPr>
        <w:widowControl/>
        <w:shd w:val="clear" w:color="auto"/>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说明： 　　</w:t>
      </w:r>
    </w:p>
    <w:p w14:paraId="0520B3F1">
      <w:pPr>
        <w:widowControl/>
        <w:shd w:val="clear" w:color="auto"/>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1.大型、中型和小型企业须同时满足所列指标的下限，否则下划一档；微型企业只须满足所列指标中的一项即可。 　　</w:t>
      </w:r>
    </w:p>
    <w:p w14:paraId="29F3ADF0">
      <w:pPr>
        <w:widowControl/>
        <w:shd w:val="clear" w:color="auto"/>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 　　</w:t>
      </w:r>
    </w:p>
    <w:p w14:paraId="786AF3F6">
      <w:pPr>
        <w:widowControl/>
        <w:shd w:val="clear" w:color="auto"/>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3.企业划分指标以现行统计制度为准。</w:t>
      </w:r>
    </w:p>
    <w:p w14:paraId="2E572390">
      <w:pPr>
        <w:widowControl/>
        <w:shd w:val="clear" w:color="auto"/>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（1）从业人员，是指期末从业人员数，没有期末从业人员数的，采用全年平均人员数代替。</w:t>
      </w:r>
    </w:p>
    <w:p w14:paraId="18AC30DD">
      <w:pPr>
        <w:widowControl/>
        <w:shd w:val="clear" w:color="auto"/>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0602E30E">
      <w:pPr>
        <w:widowControl/>
        <w:shd w:val="clear" w:color="auto"/>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（3）资产总额，采用资产总计代替。</w:t>
      </w:r>
    </w:p>
    <w:p w14:paraId="3150C105">
      <w:pPr>
        <w:widowControl/>
        <w:shd w:val="clear"/>
        <w:jc w:val="left"/>
        <w:rPr>
          <w:rFonts w:hint="eastAsia" w:ascii="仿宋" w:hAnsi="仿宋" w:eastAsia="仿宋" w:cs="仿宋"/>
          <w:color w:val="auto"/>
          <w:kern w:val="0"/>
          <w:sz w:val="24"/>
          <w:highlight w:val="none"/>
        </w:rPr>
      </w:pPr>
    </w:p>
    <w:p w14:paraId="294CF215">
      <w:pPr>
        <w:widowControl/>
        <w:shd w:val="clear"/>
        <w:jc w:val="left"/>
        <w:rPr>
          <w:rFonts w:hint="eastAsia" w:ascii="仿宋" w:hAnsi="仿宋" w:eastAsia="仿宋" w:cs="仿宋"/>
          <w:color w:val="auto"/>
          <w:kern w:val="0"/>
          <w:sz w:val="24"/>
          <w:highlight w:val="none"/>
        </w:rPr>
      </w:pPr>
    </w:p>
    <w:p w14:paraId="7BD1696F">
      <w:pPr>
        <w:widowControl/>
        <w:shd w:val="clear" w:color="auto"/>
        <w:spacing w:before="150"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《统计上大中小微型企业划分办法（2017）》修订说明</w:t>
      </w:r>
    </w:p>
    <w:p w14:paraId="65F39562">
      <w:pPr>
        <w:widowControl/>
        <w:shd w:val="clear" w:color="auto"/>
        <w:spacing w:before="150" w:line="540" w:lineRule="atLeast"/>
        <w:jc w:val="left"/>
        <w:textAlignment w:val="baseline"/>
        <w:rPr>
          <w:rFonts w:hint="eastAsia" w:ascii="仿宋" w:hAnsi="仿宋" w:eastAsia="仿宋" w:cs="仿宋"/>
          <w:b/>
          <w:bCs/>
          <w:color w:val="auto"/>
          <w:kern w:val="0"/>
          <w:sz w:val="27"/>
          <w:szCs w:val="27"/>
          <w:highlight w:val="none"/>
        </w:rPr>
      </w:pPr>
      <w:r>
        <w:rPr>
          <w:rFonts w:hint="eastAsia" w:ascii="仿宋" w:hAnsi="仿宋" w:eastAsia="仿宋" w:cs="仿宋"/>
          <w:b/>
          <w:bCs/>
          <w:color w:val="auto"/>
          <w:kern w:val="0"/>
          <w:sz w:val="27"/>
          <w:szCs w:val="27"/>
          <w:highlight w:val="none"/>
        </w:rPr>
        <w:t>一、修订背景</w:t>
      </w:r>
    </w:p>
    <w:p w14:paraId="5286D975">
      <w:pPr>
        <w:widowControl/>
        <w:shd w:val="clear" w:color="auto"/>
        <w:spacing w:before="150"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目前执行的《统计上大中小微型企业划分办法》是2011年国家统计局根据工业和信息化部、国家统计局、国家发展改革委、财政部《关于印发中小企业划型标准规定的通知》（工信部联企业〔2011〕300号），同时依据《国民经济行业分类》（GB/T4754—2011），制定并颁布的。</w:t>
      </w:r>
    </w:p>
    <w:p w14:paraId="065DB128">
      <w:pPr>
        <w:widowControl/>
        <w:shd w:val="clear" w:color="auto"/>
        <w:spacing w:before="150"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2017年6月30日，《国民经济行业分类》（GB/T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0041E7E0">
      <w:pPr>
        <w:widowControl/>
        <w:shd w:val="clear" w:color="auto"/>
        <w:spacing w:before="150" w:line="540" w:lineRule="atLeast"/>
        <w:jc w:val="left"/>
        <w:textAlignment w:val="baseline"/>
        <w:rPr>
          <w:rFonts w:hint="eastAsia" w:ascii="仿宋" w:hAnsi="仿宋" w:eastAsia="仿宋" w:cs="仿宋"/>
          <w:b/>
          <w:bCs/>
          <w:color w:val="auto"/>
          <w:kern w:val="0"/>
          <w:sz w:val="27"/>
          <w:szCs w:val="27"/>
          <w:highlight w:val="none"/>
        </w:rPr>
      </w:pPr>
      <w:r>
        <w:rPr>
          <w:rFonts w:hint="eastAsia" w:ascii="仿宋" w:hAnsi="仿宋" w:eastAsia="仿宋" w:cs="仿宋"/>
          <w:b/>
          <w:bCs/>
          <w:color w:val="auto"/>
          <w:kern w:val="0"/>
          <w:sz w:val="27"/>
          <w:szCs w:val="27"/>
          <w:highlight w:val="none"/>
        </w:rPr>
        <w:t>二、修订主要内容</w:t>
      </w:r>
    </w:p>
    <w:p w14:paraId="484A542B">
      <w:pPr>
        <w:widowControl/>
        <w:shd w:val="clear" w:color="auto"/>
        <w:spacing w:before="150"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本次修订是在2011年《统计上大中小微型企业划分办法》基础上进行的，修订延续原有的分类原则、方法和结构框架，在保持适用范围不变的情况下,依据标准由《国民经济行业分类》（GB/T4754—2011）修改为《国民经济行业分类》（GB/T4754—2017），并根据新旧国民经济行业的对应关系，进行了行业所包含类别的对应调整。</w:t>
      </w:r>
    </w:p>
    <w:p w14:paraId="3D5417FB">
      <w:pPr>
        <w:widowControl/>
        <w:shd w:val="clear" w:color="auto"/>
        <w:spacing w:before="150"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将交通运输业中包括的“装卸搬运和运输代理业”修改为“多式联运和运输代理业、装卸搬运”。</w:t>
      </w:r>
    </w:p>
    <w:p w14:paraId="1794307F">
      <w:pPr>
        <w:widowControl/>
        <w:shd w:val="clear" w:color="auto"/>
        <w:spacing w:before="150"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仓储业所包括的行业中类，根据《国民经济行业分类》（GB/T4754—2017）调整为“通用仓储，低温仓储，危险品仓储，谷物、棉花等农产品仓储，中药材仓储和其他仓储业”。</w:t>
      </w:r>
    </w:p>
    <w:p w14:paraId="474A35E7">
      <w:pPr>
        <w:widowControl/>
        <w:shd w:val="clear"/>
        <w:jc w:val="left"/>
        <w:rPr>
          <w:rFonts w:hint="eastAsia" w:ascii="仿宋" w:hAnsi="仿宋" w:eastAsia="仿宋" w:cs="仿宋"/>
          <w:color w:val="auto"/>
          <w:kern w:val="0"/>
          <w:sz w:val="18"/>
          <w:szCs w:val="18"/>
          <w:highlight w:val="none"/>
        </w:rPr>
      </w:pPr>
    </w:p>
    <w:p w14:paraId="398A0680">
      <w:pPr>
        <w:widowControl/>
        <w:shd w:val="clear"/>
        <w:jc w:val="left"/>
        <w:rPr>
          <w:rFonts w:hint="eastAsia" w:ascii="仿宋" w:hAnsi="仿宋" w:eastAsia="仿宋" w:cs="仿宋"/>
          <w:color w:val="auto"/>
          <w:kern w:val="0"/>
          <w:sz w:val="18"/>
          <w:szCs w:val="18"/>
          <w:highlight w:val="none"/>
        </w:rPr>
      </w:pPr>
    </w:p>
    <w:p w14:paraId="302790CF">
      <w:pPr>
        <w:widowControl/>
        <w:shd w:val="clear"/>
        <w:jc w:val="left"/>
        <w:rPr>
          <w:rFonts w:hint="eastAsia" w:ascii="仿宋" w:hAnsi="仿宋" w:eastAsia="仿宋" w:cs="仿宋"/>
          <w:color w:val="auto"/>
          <w:kern w:val="0"/>
          <w:sz w:val="18"/>
          <w:szCs w:val="18"/>
          <w:highlight w:val="none"/>
        </w:rPr>
      </w:pPr>
    </w:p>
    <w:p w14:paraId="6B41E3E3">
      <w:pPr>
        <w:widowControl/>
        <w:shd w:val="clear" w:color="auto"/>
        <w:spacing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中国人民银行中国银行业监督管理委员会</w:t>
      </w:r>
    </w:p>
    <w:p w14:paraId="62B979B3">
      <w:pPr>
        <w:widowControl/>
        <w:shd w:val="clear" w:color="auto"/>
        <w:spacing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中国证券监督管理委员会中国保险监督管理委员会</w:t>
      </w:r>
    </w:p>
    <w:p w14:paraId="7D47B2C7">
      <w:pPr>
        <w:widowControl/>
        <w:shd w:val="clear" w:color="auto"/>
        <w:spacing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国家统计局关于印发《金融业企业划型标准规定》的通知</w:t>
      </w:r>
    </w:p>
    <w:p w14:paraId="16509CBC">
      <w:pPr>
        <w:widowControl/>
        <w:shd w:val="clear" w:color="auto"/>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 经国务院同意，现印发给你们，请遵照执行。</w:t>
      </w:r>
    </w:p>
    <w:p w14:paraId="155B39CC">
      <w:pPr>
        <w:widowControl/>
        <w:shd w:val="clear" w:color="auto"/>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请人民银行上海总部，各分行、营业管理部、省会（首府）城市中心支行、副省级城市中心支行会同所在省（区、市）银监局、证监局、保监局、统计局将本通知联合转发至辖内相关机构。</w:t>
      </w:r>
    </w:p>
    <w:p w14:paraId="7CC34470">
      <w:pPr>
        <w:widowControl/>
        <w:shd w:val="clear" w:color="auto"/>
        <w:spacing w:before="150"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附件：金融业企业划型标准规定</w:t>
      </w:r>
    </w:p>
    <w:p w14:paraId="2452C3BE">
      <w:pPr>
        <w:widowControl/>
        <w:shd w:val="clear" w:color="auto"/>
        <w:spacing w:before="150"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金融业企业划型标准规定</w:t>
      </w:r>
    </w:p>
    <w:p w14:paraId="212FFD94">
      <w:pPr>
        <w:widowControl/>
        <w:shd w:val="clear" w:color="auto"/>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一、 根据《中华人民共和国中小企业促进法》、《国务院关于进一步促进中小企业发展的若干意见》（国发〔2009〕36号）和《国务院办公厅关于金融支持小微企业发展的实施意见》（国办发〔2013〕87号），制定本规定。</w:t>
      </w:r>
    </w:p>
    <w:p w14:paraId="7A05FB44">
      <w:pPr>
        <w:widowControl/>
        <w:shd w:val="clear" w:color="auto"/>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二、 适用范围。本规定适用于从事《国民经济行业分类》(GB/T4754-2011)中J门类（金融业）活动的企业。</w:t>
      </w:r>
    </w:p>
    <w:p w14:paraId="31C01D02">
      <w:pPr>
        <w:widowControl/>
        <w:shd w:val="clear" w:color="auto"/>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三、 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业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43E7C1B8">
      <w:pPr>
        <w:widowControl/>
        <w:shd w:val="clear" w:color="auto"/>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四、划型标准指标。采用一个完整会计年度中四个季度末法人并表口径的资产总额（信托公司为信托资产）平均值作为划型指标，该指标以监管部门数据为准。</w:t>
      </w:r>
    </w:p>
    <w:p w14:paraId="75C73DFF">
      <w:pPr>
        <w:widowControl/>
        <w:shd w:val="clear" w:color="auto"/>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五、指标标准值。依据指标标准值，将各类金融业企业划分为大、中、小、微四个规模类型，中型企业标准上限及以上的为大型企业。</w:t>
      </w:r>
    </w:p>
    <w:p w14:paraId="65D60CAD">
      <w:pPr>
        <w:widowControl/>
        <w:shd w:val="clear" w:color="auto"/>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(一) 银行业存款类金融机构。资产总额40000亿元以下的为中小微型企业。其中，资产总额5000亿元及以上的为中型企业，资产总额50亿元及以上的为小型企业，资产总额50亿元以下的为微型企业。</w:t>
      </w:r>
    </w:p>
    <w:p w14:paraId="194438A3">
      <w:pPr>
        <w:widowControl/>
        <w:shd w:val="clear" w:color="auto"/>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(二) 银行业非存款类金融机构。资产总额1000亿元以下的为中小微型企业。其中，资产总额200亿元及以上的为中型企业，资产总额50亿元及以上的为小型企业，资产总额50亿元以下的为微型企业。</w:t>
      </w:r>
    </w:p>
    <w:p w14:paraId="3C5FF856">
      <w:pPr>
        <w:widowControl/>
        <w:shd w:val="clear" w:color="auto"/>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(三) 贷款公司、小额贷款公司及典当行。资产总额1000亿元以下的为中小微型企业。其中，资产总额200亿元及以上的为中型企业，资产总额50亿元及以上的为小型企业，资产总额50亿元以下的为微型企业。</w:t>
      </w:r>
    </w:p>
    <w:p w14:paraId="0694C854">
      <w:pPr>
        <w:widowControl/>
        <w:shd w:val="clear" w:color="auto"/>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(四) 证券业金融机构。资产总额1000亿元以下的为中小微型企业。其中，资产总额100亿元及以上的为中型企业，资产总额10亿元及以上的为小型企业，资产总额10亿元以下的为微型企业。</w:t>
      </w:r>
    </w:p>
    <w:p w14:paraId="22CC09E1">
      <w:pPr>
        <w:widowControl/>
        <w:shd w:val="clear" w:color="auto"/>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(五) 保险业金融机构。资产总额5000亿元以下的为中小微型企业。其中，资产总额400亿元及以上的为中型企业，资产总额20亿元及以上的为小型企业，资产总额20亿元以下的为微型企业。</w:t>
      </w:r>
    </w:p>
    <w:p w14:paraId="2EDCD897">
      <w:pPr>
        <w:widowControl/>
        <w:shd w:val="clear" w:color="auto"/>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(六) 信托公司。信托资产1000亿元以下的为中小微型企业。其中，信托资产400亿元及以上的为中型企业，信托资产20亿元及以上的为小型企业，信托资产20亿元以下的为微型企业。</w:t>
      </w:r>
    </w:p>
    <w:p w14:paraId="59B0C490">
      <w:pPr>
        <w:widowControl/>
        <w:shd w:val="clear" w:color="auto"/>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(七) 金融控股公司。资产总额40000亿元以下的为中小微型企业。其中，资产总额5000亿元及以上的为中型企业，资产总额50亿元及以上的为小型企业，资产总额50亿元以下的为微型企业。</w:t>
      </w:r>
    </w:p>
    <w:p w14:paraId="37E33A39">
      <w:pPr>
        <w:widowControl/>
        <w:shd w:val="clear" w:color="auto"/>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(八) 除贷款公司、小额贷款公司，典当行以外的其他金融机构。资产总额1000亿元以下的为中小微型企业。其中，资产总额200亿元及以上的为中型企业，资产总额50亿元及以上的为小型企业，资产总额50亿元以下的为微型企业。</w:t>
      </w:r>
    </w:p>
    <w:p w14:paraId="5833A196">
      <w:pPr>
        <w:widowControl/>
        <w:shd w:val="clear" w:color="auto"/>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六、 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相应的字段模块。经过认定的金融业企业在系统中进行规模登记，方便政府部门和社会各界查询使用。</w:t>
      </w:r>
    </w:p>
    <w:p w14:paraId="5255C694">
      <w:pPr>
        <w:widowControl/>
        <w:shd w:val="clear" w:color="auto"/>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七、 标准值的评估和调整。金融业企业划型标准工作组毎五年对划型标准值受经济发展与通货膨胀等因素的响程度进行评估和调整。</w:t>
      </w:r>
    </w:p>
    <w:p w14:paraId="4AAE5593">
      <w:pPr>
        <w:widowControl/>
        <w:shd w:val="clear" w:color="auto"/>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八、 本规定的中型金融业企业标准上限即为大型金融业企业下限。国务院有关部门据此进行相关数据的统计分析，不得制定与本规定不一致的金融业企业划型标准。</w:t>
      </w:r>
    </w:p>
    <w:p w14:paraId="5379468D">
      <w:pPr>
        <w:widowControl/>
        <w:shd w:val="clear" w:color="auto"/>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九、 融资担保公司参照本规定中“除贷款公司、小额贷款公司、典当行以外的其他金融机构”标准划型。</w:t>
      </w:r>
    </w:p>
    <w:p w14:paraId="4D364586">
      <w:pPr>
        <w:widowControl/>
        <w:shd w:val="clear" w:color="auto"/>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十、本规定由人民银行会同银监会，证监会、保监会和统计局负责解释。</w:t>
      </w:r>
    </w:p>
    <w:p w14:paraId="67332DCD">
      <w:pPr>
        <w:widowControl/>
        <w:shd w:val="clear" w:color="auto"/>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十一、本规定自发布之日起实施。</w:t>
      </w:r>
    </w:p>
    <w:p w14:paraId="6FC68CC5">
      <w:pPr>
        <w:widowControl/>
        <w:shd w:val="clear" w:color="auto"/>
        <w:spacing w:before="150" w:line="420" w:lineRule="atLeast"/>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附：金融业企业划型标准</w:t>
      </w:r>
    </w:p>
    <w:p w14:paraId="2BB1056A">
      <w:pPr>
        <w:widowControl/>
        <w:shd w:val="clear" w:color="auto"/>
        <w:spacing w:before="150" w:line="600" w:lineRule="atLeast"/>
        <w:jc w:val="center"/>
        <w:textAlignment w:val="baseline"/>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金融业企业划型标准</w:t>
      </w:r>
    </w:p>
    <w:tbl>
      <w:tblPr>
        <w:tblStyle w:val="25"/>
        <w:tblW w:w="85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025"/>
        <w:gridCol w:w="2836"/>
        <w:gridCol w:w="606"/>
        <w:gridCol w:w="3326"/>
      </w:tblGrid>
      <w:tr w14:paraId="2D680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tcMar>
              <w:top w:w="75" w:type="dxa"/>
              <w:left w:w="75" w:type="dxa"/>
              <w:bottom w:w="75" w:type="dxa"/>
              <w:right w:w="75" w:type="dxa"/>
            </w:tcMar>
            <w:vAlign w:val="bottom"/>
          </w:tcPr>
          <w:p w14:paraId="3D23EA58">
            <w:pPr>
              <w:widowControl/>
              <w:shd w:val="clear"/>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行业</w:t>
            </w:r>
          </w:p>
        </w:tc>
        <w:tc>
          <w:tcPr>
            <w:tcW w:w="2836" w:type="dxa"/>
            <w:tcMar>
              <w:top w:w="75" w:type="dxa"/>
              <w:left w:w="75" w:type="dxa"/>
              <w:bottom w:w="75" w:type="dxa"/>
              <w:right w:w="75" w:type="dxa"/>
            </w:tcMar>
            <w:vAlign w:val="bottom"/>
          </w:tcPr>
          <w:p w14:paraId="5F6AA036">
            <w:pPr>
              <w:widowControl/>
              <w:shd w:val="clear"/>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类别</w:t>
            </w:r>
          </w:p>
        </w:tc>
        <w:tc>
          <w:tcPr>
            <w:tcW w:w="606" w:type="dxa"/>
            <w:tcMar>
              <w:top w:w="75" w:type="dxa"/>
              <w:left w:w="75" w:type="dxa"/>
              <w:bottom w:w="75" w:type="dxa"/>
              <w:right w:w="75" w:type="dxa"/>
            </w:tcMar>
            <w:vAlign w:val="bottom"/>
          </w:tcPr>
          <w:p w14:paraId="60ADAF1A">
            <w:pPr>
              <w:widowControl/>
              <w:shd w:val="clear"/>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类型</w:t>
            </w:r>
          </w:p>
        </w:tc>
        <w:tc>
          <w:tcPr>
            <w:tcW w:w="3326" w:type="dxa"/>
            <w:tcMar>
              <w:top w:w="75" w:type="dxa"/>
              <w:left w:w="75" w:type="dxa"/>
              <w:bottom w:w="75" w:type="dxa"/>
              <w:right w:w="75" w:type="dxa"/>
            </w:tcMar>
            <w:vAlign w:val="bottom"/>
          </w:tcPr>
          <w:p w14:paraId="5FAD359A">
            <w:pPr>
              <w:widowControl/>
              <w:shd w:val="clear"/>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资产总额</w:t>
            </w:r>
          </w:p>
        </w:tc>
      </w:tr>
      <w:tr w14:paraId="1FE94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restart"/>
            <w:vAlign w:val="center"/>
          </w:tcPr>
          <w:p w14:paraId="2D8AA7BA">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货币金融服务</w:t>
            </w:r>
          </w:p>
        </w:tc>
        <w:tc>
          <w:tcPr>
            <w:tcW w:w="1025" w:type="dxa"/>
            <w:vMerge w:val="restart"/>
            <w:vAlign w:val="center"/>
          </w:tcPr>
          <w:p w14:paraId="4649687A">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货币银行服务</w:t>
            </w:r>
          </w:p>
        </w:tc>
        <w:tc>
          <w:tcPr>
            <w:tcW w:w="2836" w:type="dxa"/>
            <w:vMerge w:val="restart"/>
            <w:vAlign w:val="center"/>
          </w:tcPr>
          <w:p w14:paraId="32D2413E">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银行业存款类金融机构</w:t>
            </w:r>
          </w:p>
        </w:tc>
        <w:tc>
          <w:tcPr>
            <w:tcW w:w="606" w:type="dxa"/>
            <w:vAlign w:val="center"/>
          </w:tcPr>
          <w:p w14:paraId="23D79995">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中型</w:t>
            </w:r>
          </w:p>
        </w:tc>
        <w:tc>
          <w:tcPr>
            <w:tcW w:w="3326" w:type="dxa"/>
            <w:vAlign w:val="center"/>
          </w:tcPr>
          <w:p w14:paraId="707B1D19">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5000亿元（含）至40000亿元</w:t>
            </w:r>
          </w:p>
        </w:tc>
      </w:tr>
      <w:tr w14:paraId="0148E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42190E24">
            <w:pPr>
              <w:widowControl/>
              <w:shd w:val="clear"/>
              <w:jc w:val="left"/>
              <w:rPr>
                <w:rFonts w:hint="eastAsia" w:ascii="仿宋" w:hAnsi="仿宋" w:eastAsia="仿宋" w:cs="仿宋"/>
                <w:color w:val="auto"/>
                <w:kern w:val="0"/>
                <w:sz w:val="24"/>
                <w:highlight w:val="none"/>
              </w:rPr>
            </w:pPr>
          </w:p>
        </w:tc>
        <w:tc>
          <w:tcPr>
            <w:tcW w:w="1025" w:type="dxa"/>
            <w:vMerge w:val="continue"/>
            <w:vAlign w:val="center"/>
          </w:tcPr>
          <w:p w14:paraId="50B16B27">
            <w:pPr>
              <w:widowControl/>
              <w:shd w:val="clear"/>
              <w:jc w:val="left"/>
              <w:rPr>
                <w:rFonts w:hint="eastAsia" w:ascii="仿宋" w:hAnsi="仿宋" w:eastAsia="仿宋" w:cs="仿宋"/>
                <w:color w:val="auto"/>
                <w:kern w:val="0"/>
                <w:sz w:val="24"/>
                <w:highlight w:val="none"/>
              </w:rPr>
            </w:pPr>
          </w:p>
        </w:tc>
        <w:tc>
          <w:tcPr>
            <w:tcW w:w="2836" w:type="dxa"/>
            <w:vMerge w:val="continue"/>
            <w:vAlign w:val="center"/>
          </w:tcPr>
          <w:p w14:paraId="3DDF228F">
            <w:pPr>
              <w:widowControl/>
              <w:shd w:val="clear"/>
              <w:jc w:val="left"/>
              <w:rPr>
                <w:rFonts w:hint="eastAsia" w:ascii="仿宋" w:hAnsi="仿宋" w:eastAsia="仿宋" w:cs="仿宋"/>
                <w:color w:val="auto"/>
                <w:kern w:val="0"/>
                <w:sz w:val="24"/>
                <w:highlight w:val="none"/>
              </w:rPr>
            </w:pPr>
          </w:p>
        </w:tc>
        <w:tc>
          <w:tcPr>
            <w:tcW w:w="606" w:type="dxa"/>
            <w:vAlign w:val="center"/>
          </w:tcPr>
          <w:p w14:paraId="37F50E29">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小型</w:t>
            </w:r>
          </w:p>
        </w:tc>
        <w:tc>
          <w:tcPr>
            <w:tcW w:w="3326" w:type="dxa"/>
            <w:vAlign w:val="center"/>
          </w:tcPr>
          <w:p w14:paraId="5DE2687C">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50亿元（含）至5000亿元</w:t>
            </w:r>
          </w:p>
        </w:tc>
      </w:tr>
      <w:tr w14:paraId="438BA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036497F4">
            <w:pPr>
              <w:widowControl/>
              <w:shd w:val="clear"/>
              <w:jc w:val="left"/>
              <w:rPr>
                <w:rFonts w:hint="eastAsia" w:ascii="仿宋" w:hAnsi="仿宋" w:eastAsia="仿宋" w:cs="仿宋"/>
                <w:color w:val="auto"/>
                <w:kern w:val="0"/>
                <w:sz w:val="24"/>
                <w:highlight w:val="none"/>
              </w:rPr>
            </w:pPr>
          </w:p>
        </w:tc>
        <w:tc>
          <w:tcPr>
            <w:tcW w:w="1025" w:type="dxa"/>
            <w:vMerge w:val="continue"/>
            <w:vAlign w:val="center"/>
          </w:tcPr>
          <w:p w14:paraId="7C713AAA">
            <w:pPr>
              <w:widowControl/>
              <w:shd w:val="clear"/>
              <w:jc w:val="left"/>
              <w:rPr>
                <w:rFonts w:hint="eastAsia" w:ascii="仿宋" w:hAnsi="仿宋" w:eastAsia="仿宋" w:cs="仿宋"/>
                <w:color w:val="auto"/>
                <w:kern w:val="0"/>
                <w:sz w:val="24"/>
                <w:highlight w:val="none"/>
              </w:rPr>
            </w:pPr>
          </w:p>
        </w:tc>
        <w:tc>
          <w:tcPr>
            <w:tcW w:w="2836" w:type="dxa"/>
            <w:vMerge w:val="continue"/>
            <w:vAlign w:val="center"/>
          </w:tcPr>
          <w:p w14:paraId="0B0CB03D">
            <w:pPr>
              <w:widowControl/>
              <w:shd w:val="clear"/>
              <w:jc w:val="left"/>
              <w:rPr>
                <w:rFonts w:hint="eastAsia" w:ascii="仿宋" w:hAnsi="仿宋" w:eastAsia="仿宋" w:cs="仿宋"/>
                <w:color w:val="auto"/>
                <w:kern w:val="0"/>
                <w:sz w:val="24"/>
                <w:highlight w:val="none"/>
              </w:rPr>
            </w:pPr>
          </w:p>
        </w:tc>
        <w:tc>
          <w:tcPr>
            <w:tcW w:w="606" w:type="dxa"/>
            <w:vAlign w:val="center"/>
          </w:tcPr>
          <w:p w14:paraId="71F00CF9">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微型</w:t>
            </w:r>
          </w:p>
        </w:tc>
        <w:tc>
          <w:tcPr>
            <w:tcW w:w="3326" w:type="dxa"/>
            <w:vAlign w:val="center"/>
          </w:tcPr>
          <w:p w14:paraId="01BADA86">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50亿元以下</w:t>
            </w:r>
          </w:p>
        </w:tc>
      </w:tr>
      <w:tr w14:paraId="3E935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3382B04B">
            <w:pPr>
              <w:widowControl/>
              <w:shd w:val="clear"/>
              <w:jc w:val="left"/>
              <w:rPr>
                <w:rFonts w:hint="eastAsia" w:ascii="仿宋" w:hAnsi="仿宋" w:eastAsia="仿宋" w:cs="仿宋"/>
                <w:color w:val="auto"/>
                <w:kern w:val="0"/>
                <w:sz w:val="24"/>
                <w:highlight w:val="none"/>
              </w:rPr>
            </w:pPr>
          </w:p>
        </w:tc>
        <w:tc>
          <w:tcPr>
            <w:tcW w:w="1025" w:type="dxa"/>
            <w:vMerge w:val="restart"/>
            <w:vAlign w:val="center"/>
          </w:tcPr>
          <w:p w14:paraId="08590686">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非货币银行服务</w:t>
            </w:r>
          </w:p>
        </w:tc>
        <w:tc>
          <w:tcPr>
            <w:tcW w:w="2836" w:type="dxa"/>
            <w:vMerge w:val="restart"/>
            <w:vAlign w:val="center"/>
          </w:tcPr>
          <w:p w14:paraId="62D64986">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银行业非存款类金融机构</w:t>
            </w:r>
          </w:p>
        </w:tc>
        <w:tc>
          <w:tcPr>
            <w:tcW w:w="606" w:type="dxa"/>
            <w:vAlign w:val="center"/>
          </w:tcPr>
          <w:p w14:paraId="33380766">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中型</w:t>
            </w:r>
          </w:p>
        </w:tc>
        <w:tc>
          <w:tcPr>
            <w:tcW w:w="3326" w:type="dxa"/>
            <w:vAlign w:val="center"/>
          </w:tcPr>
          <w:p w14:paraId="285665A5">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200亿元（含）至1000亿元</w:t>
            </w:r>
          </w:p>
        </w:tc>
      </w:tr>
      <w:tr w14:paraId="7BB6B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51AD8D2C">
            <w:pPr>
              <w:widowControl/>
              <w:shd w:val="clear"/>
              <w:jc w:val="left"/>
              <w:rPr>
                <w:rFonts w:hint="eastAsia" w:ascii="仿宋" w:hAnsi="仿宋" w:eastAsia="仿宋" w:cs="仿宋"/>
                <w:color w:val="auto"/>
                <w:kern w:val="0"/>
                <w:sz w:val="24"/>
                <w:highlight w:val="none"/>
              </w:rPr>
            </w:pPr>
          </w:p>
        </w:tc>
        <w:tc>
          <w:tcPr>
            <w:tcW w:w="1025" w:type="dxa"/>
            <w:vMerge w:val="continue"/>
            <w:vAlign w:val="center"/>
          </w:tcPr>
          <w:p w14:paraId="6A2A1173">
            <w:pPr>
              <w:widowControl/>
              <w:shd w:val="clear"/>
              <w:jc w:val="left"/>
              <w:rPr>
                <w:rFonts w:hint="eastAsia" w:ascii="仿宋" w:hAnsi="仿宋" w:eastAsia="仿宋" w:cs="仿宋"/>
                <w:color w:val="auto"/>
                <w:kern w:val="0"/>
                <w:sz w:val="24"/>
                <w:highlight w:val="none"/>
              </w:rPr>
            </w:pPr>
          </w:p>
        </w:tc>
        <w:tc>
          <w:tcPr>
            <w:tcW w:w="2836" w:type="dxa"/>
            <w:vMerge w:val="continue"/>
            <w:vAlign w:val="center"/>
          </w:tcPr>
          <w:p w14:paraId="279EF986">
            <w:pPr>
              <w:widowControl/>
              <w:shd w:val="clear"/>
              <w:jc w:val="left"/>
              <w:rPr>
                <w:rFonts w:hint="eastAsia" w:ascii="仿宋" w:hAnsi="仿宋" w:eastAsia="仿宋" w:cs="仿宋"/>
                <w:color w:val="auto"/>
                <w:kern w:val="0"/>
                <w:sz w:val="24"/>
                <w:highlight w:val="none"/>
              </w:rPr>
            </w:pPr>
          </w:p>
        </w:tc>
        <w:tc>
          <w:tcPr>
            <w:tcW w:w="606" w:type="dxa"/>
            <w:vAlign w:val="center"/>
          </w:tcPr>
          <w:p w14:paraId="18A2B65A">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小型</w:t>
            </w:r>
          </w:p>
        </w:tc>
        <w:tc>
          <w:tcPr>
            <w:tcW w:w="3326" w:type="dxa"/>
            <w:vAlign w:val="center"/>
          </w:tcPr>
          <w:p w14:paraId="315273AF">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50亿元（含）至200亿元</w:t>
            </w:r>
          </w:p>
        </w:tc>
      </w:tr>
      <w:tr w14:paraId="5DC96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1D809A6A">
            <w:pPr>
              <w:widowControl/>
              <w:shd w:val="clear"/>
              <w:jc w:val="left"/>
              <w:rPr>
                <w:rFonts w:hint="eastAsia" w:ascii="仿宋" w:hAnsi="仿宋" w:eastAsia="仿宋" w:cs="仿宋"/>
                <w:color w:val="auto"/>
                <w:kern w:val="0"/>
                <w:sz w:val="24"/>
                <w:highlight w:val="none"/>
              </w:rPr>
            </w:pPr>
          </w:p>
        </w:tc>
        <w:tc>
          <w:tcPr>
            <w:tcW w:w="1025" w:type="dxa"/>
            <w:vMerge w:val="continue"/>
            <w:vAlign w:val="center"/>
          </w:tcPr>
          <w:p w14:paraId="3E79F2F0">
            <w:pPr>
              <w:widowControl/>
              <w:shd w:val="clear"/>
              <w:jc w:val="left"/>
              <w:rPr>
                <w:rFonts w:hint="eastAsia" w:ascii="仿宋" w:hAnsi="仿宋" w:eastAsia="仿宋" w:cs="仿宋"/>
                <w:color w:val="auto"/>
                <w:kern w:val="0"/>
                <w:sz w:val="24"/>
                <w:highlight w:val="none"/>
              </w:rPr>
            </w:pPr>
          </w:p>
        </w:tc>
        <w:tc>
          <w:tcPr>
            <w:tcW w:w="2836" w:type="dxa"/>
            <w:vMerge w:val="continue"/>
            <w:vAlign w:val="center"/>
          </w:tcPr>
          <w:p w14:paraId="231A7535">
            <w:pPr>
              <w:widowControl/>
              <w:shd w:val="clear"/>
              <w:jc w:val="left"/>
              <w:rPr>
                <w:rFonts w:hint="eastAsia" w:ascii="仿宋" w:hAnsi="仿宋" w:eastAsia="仿宋" w:cs="仿宋"/>
                <w:color w:val="auto"/>
                <w:kern w:val="0"/>
                <w:sz w:val="24"/>
                <w:highlight w:val="none"/>
              </w:rPr>
            </w:pPr>
          </w:p>
        </w:tc>
        <w:tc>
          <w:tcPr>
            <w:tcW w:w="606" w:type="dxa"/>
            <w:vAlign w:val="center"/>
          </w:tcPr>
          <w:p w14:paraId="1ED72D21">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微型</w:t>
            </w:r>
          </w:p>
        </w:tc>
        <w:tc>
          <w:tcPr>
            <w:tcW w:w="3326" w:type="dxa"/>
            <w:vAlign w:val="center"/>
          </w:tcPr>
          <w:p w14:paraId="0B4EF8E9">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50亿元以下</w:t>
            </w:r>
          </w:p>
        </w:tc>
      </w:tr>
      <w:tr w14:paraId="249E0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35461678">
            <w:pPr>
              <w:widowControl/>
              <w:shd w:val="clear"/>
              <w:jc w:val="left"/>
              <w:rPr>
                <w:rFonts w:hint="eastAsia" w:ascii="仿宋" w:hAnsi="仿宋" w:eastAsia="仿宋" w:cs="仿宋"/>
                <w:color w:val="auto"/>
                <w:kern w:val="0"/>
                <w:sz w:val="24"/>
                <w:highlight w:val="none"/>
              </w:rPr>
            </w:pPr>
          </w:p>
        </w:tc>
        <w:tc>
          <w:tcPr>
            <w:tcW w:w="1025" w:type="dxa"/>
            <w:vMerge w:val="continue"/>
            <w:vAlign w:val="center"/>
          </w:tcPr>
          <w:p w14:paraId="01A87791">
            <w:pPr>
              <w:widowControl/>
              <w:shd w:val="clear"/>
              <w:jc w:val="left"/>
              <w:rPr>
                <w:rFonts w:hint="eastAsia" w:ascii="仿宋" w:hAnsi="仿宋" w:eastAsia="仿宋" w:cs="仿宋"/>
                <w:color w:val="auto"/>
                <w:kern w:val="0"/>
                <w:sz w:val="24"/>
                <w:highlight w:val="none"/>
              </w:rPr>
            </w:pPr>
          </w:p>
        </w:tc>
        <w:tc>
          <w:tcPr>
            <w:tcW w:w="2836" w:type="dxa"/>
            <w:vMerge w:val="restart"/>
            <w:vAlign w:val="center"/>
          </w:tcPr>
          <w:p w14:paraId="477D2B02">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贷款公司、小额贷款公司及典当行</w:t>
            </w:r>
          </w:p>
        </w:tc>
        <w:tc>
          <w:tcPr>
            <w:tcW w:w="606" w:type="dxa"/>
            <w:vAlign w:val="center"/>
          </w:tcPr>
          <w:p w14:paraId="0DA70058">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中型</w:t>
            </w:r>
          </w:p>
        </w:tc>
        <w:tc>
          <w:tcPr>
            <w:tcW w:w="3326" w:type="dxa"/>
            <w:vAlign w:val="center"/>
          </w:tcPr>
          <w:p w14:paraId="15A428DF">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200亿元（含）至1000亿元</w:t>
            </w:r>
          </w:p>
        </w:tc>
      </w:tr>
      <w:tr w14:paraId="70D0D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0E7672CF">
            <w:pPr>
              <w:widowControl/>
              <w:shd w:val="clear"/>
              <w:jc w:val="left"/>
              <w:rPr>
                <w:rFonts w:hint="eastAsia" w:ascii="仿宋" w:hAnsi="仿宋" w:eastAsia="仿宋" w:cs="仿宋"/>
                <w:color w:val="auto"/>
                <w:kern w:val="0"/>
                <w:sz w:val="24"/>
                <w:highlight w:val="none"/>
              </w:rPr>
            </w:pPr>
          </w:p>
        </w:tc>
        <w:tc>
          <w:tcPr>
            <w:tcW w:w="1025" w:type="dxa"/>
            <w:vMerge w:val="continue"/>
            <w:vAlign w:val="center"/>
          </w:tcPr>
          <w:p w14:paraId="48E7125B">
            <w:pPr>
              <w:widowControl/>
              <w:shd w:val="clear"/>
              <w:jc w:val="left"/>
              <w:rPr>
                <w:rFonts w:hint="eastAsia" w:ascii="仿宋" w:hAnsi="仿宋" w:eastAsia="仿宋" w:cs="仿宋"/>
                <w:color w:val="auto"/>
                <w:kern w:val="0"/>
                <w:sz w:val="24"/>
                <w:highlight w:val="none"/>
              </w:rPr>
            </w:pPr>
          </w:p>
        </w:tc>
        <w:tc>
          <w:tcPr>
            <w:tcW w:w="2836" w:type="dxa"/>
            <w:vMerge w:val="continue"/>
            <w:vAlign w:val="center"/>
          </w:tcPr>
          <w:p w14:paraId="57CED83E">
            <w:pPr>
              <w:widowControl/>
              <w:shd w:val="clear"/>
              <w:jc w:val="left"/>
              <w:rPr>
                <w:rFonts w:hint="eastAsia" w:ascii="仿宋" w:hAnsi="仿宋" w:eastAsia="仿宋" w:cs="仿宋"/>
                <w:color w:val="auto"/>
                <w:kern w:val="0"/>
                <w:sz w:val="24"/>
                <w:highlight w:val="none"/>
              </w:rPr>
            </w:pPr>
          </w:p>
        </w:tc>
        <w:tc>
          <w:tcPr>
            <w:tcW w:w="606" w:type="dxa"/>
            <w:vAlign w:val="center"/>
          </w:tcPr>
          <w:p w14:paraId="5FD13395">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小型</w:t>
            </w:r>
          </w:p>
        </w:tc>
        <w:tc>
          <w:tcPr>
            <w:tcW w:w="3326" w:type="dxa"/>
            <w:vAlign w:val="center"/>
          </w:tcPr>
          <w:p w14:paraId="73138A3B">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50亿元（含）至200亿元</w:t>
            </w:r>
          </w:p>
        </w:tc>
      </w:tr>
      <w:tr w14:paraId="13A76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540C7BA8">
            <w:pPr>
              <w:widowControl/>
              <w:shd w:val="clear"/>
              <w:jc w:val="left"/>
              <w:rPr>
                <w:rFonts w:hint="eastAsia" w:ascii="仿宋" w:hAnsi="仿宋" w:eastAsia="仿宋" w:cs="仿宋"/>
                <w:color w:val="auto"/>
                <w:kern w:val="0"/>
                <w:sz w:val="24"/>
                <w:highlight w:val="none"/>
              </w:rPr>
            </w:pPr>
          </w:p>
        </w:tc>
        <w:tc>
          <w:tcPr>
            <w:tcW w:w="1025" w:type="dxa"/>
            <w:vMerge w:val="continue"/>
            <w:vAlign w:val="center"/>
          </w:tcPr>
          <w:p w14:paraId="3A755282">
            <w:pPr>
              <w:widowControl/>
              <w:shd w:val="clear"/>
              <w:jc w:val="left"/>
              <w:rPr>
                <w:rFonts w:hint="eastAsia" w:ascii="仿宋" w:hAnsi="仿宋" w:eastAsia="仿宋" w:cs="仿宋"/>
                <w:color w:val="auto"/>
                <w:kern w:val="0"/>
                <w:sz w:val="24"/>
                <w:highlight w:val="none"/>
              </w:rPr>
            </w:pPr>
          </w:p>
        </w:tc>
        <w:tc>
          <w:tcPr>
            <w:tcW w:w="2836" w:type="dxa"/>
            <w:vMerge w:val="continue"/>
            <w:vAlign w:val="center"/>
          </w:tcPr>
          <w:p w14:paraId="4E630E87">
            <w:pPr>
              <w:widowControl/>
              <w:shd w:val="clear"/>
              <w:jc w:val="left"/>
              <w:rPr>
                <w:rFonts w:hint="eastAsia" w:ascii="仿宋" w:hAnsi="仿宋" w:eastAsia="仿宋" w:cs="仿宋"/>
                <w:color w:val="auto"/>
                <w:kern w:val="0"/>
                <w:sz w:val="24"/>
                <w:highlight w:val="none"/>
              </w:rPr>
            </w:pPr>
          </w:p>
        </w:tc>
        <w:tc>
          <w:tcPr>
            <w:tcW w:w="606" w:type="dxa"/>
            <w:vAlign w:val="center"/>
          </w:tcPr>
          <w:p w14:paraId="7B878101">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微型</w:t>
            </w:r>
          </w:p>
        </w:tc>
        <w:tc>
          <w:tcPr>
            <w:tcW w:w="3326" w:type="dxa"/>
            <w:vAlign w:val="center"/>
          </w:tcPr>
          <w:p w14:paraId="2CAC0F47">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50亿元以下</w:t>
            </w:r>
          </w:p>
        </w:tc>
      </w:tr>
      <w:tr w14:paraId="2ACA6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restart"/>
            <w:vAlign w:val="center"/>
          </w:tcPr>
          <w:p w14:paraId="71F5E850">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资本市场服务</w:t>
            </w:r>
          </w:p>
        </w:tc>
        <w:tc>
          <w:tcPr>
            <w:tcW w:w="2836" w:type="dxa"/>
            <w:vMerge w:val="restart"/>
            <w:vAlign w:val="center"/>
          </w:tcPr>
          <w:p w14:paraId="7C731F8F">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证券业金融机构</w:t>
            </w:r>
          </w:p>
        </w:tc>
        <w:tc>
          <w:tcPr>
            <w:tcW w:w="606" w:type="dxa"/>
            <w:vAlign w:val="center"/>
          </w:tcPr>
          <w:p w14:paraId="4F18C9AF">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中型</w:t>
            </w:r>
          </w:p>
        </w:tc>
        <w:tc>
          <w:tcPr>
            <w:tcW w:w="3326" w:type="dxa"/>
            <w:vAlign w:val="center"/>
          </w:tcPr>
          <w:p w14:paraId="1A1D3C14">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100亿元（含）至1000亿元</w:t>
            </w:r>
          </w:p>
        </w:tc>
      </w:tr>
      <w:tr w14:paraId="7D18F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continue"/>
            <w:vAlign w:val="center"/>
          </w:tcPr>
          <w:p w14:paraId="09808F60">
            <w:pPr>
              <w:widowControl/>
              <w:shd w:val="clear"/>
              <w:jc w:val="left"/>
              <w:rPr>
                <w:rFonts w:hint="eastAsia" w:ascii="仿宋" w:hAnsi="仿宋" w:eastAsia="仿宋" w:cs="仿宋"/>
                <w:color w:val="auto"/>
                <w:kern w:val="0"/>
                <w:sz w:val="24"/>
                <w:highlight w:val="none"/>
              </w:rPr>
            </w:pPr>
          </w:p>
        </w:tc>
        <w:tc>
          <w:tcPr>
            <w:tcW w:w="2836" w:type="dxa"/>
            <w:vMerge w:val="continue"/>
            <w:vAlign w:val="center"/>
          </w:tcPr>
          <w:p w14:paraId="6357018E">
            <w:pPr>
              <w:widowControl/>
              <w:shd w:val="clear"/>
              <w:jc w:val="left"/>
              <w:rPr>
                <w:rFonts w:hint="eastAsia" w:ascii="仿宋" w:hAnsi="仿宋" w:eastAsia="仿宋" w:cs="仿宋"/>
                <w:color w:val="auto"/>
                <w:kern w:val="0"/>
                <w:sz w:val="24"/>
                <w:highlight w:val="none"/>
              </w:rPr>
            </w:pPr>
          </w:p>
        </w:tc>
        <w:tc>
          <w:tcPr>
            <w:tcW w:w="606" w:type="dxa"/>
            <w:vAlign w:val="center"/>
          </w:tcPr>
          <w:p w14:paraId="19DFA327">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小型</w:t>
            </w:r>
          </w:p>
        </w:tc>
        <w:tc>
          <w:tcPr>
            <w:tcW w:w="3326" w:type="dxa"/>
            <w:vAlign w:val="center"/>
          </w:tcPr>
          <w:p w14:paraId="3A4C03DA">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10亿元（含）至100亿元</w:t>
            </w:r>
          </w:p>
        </w:tc>
      </w:tr>
      <w:tr w14:paraId="2C273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continue"/>
            <w:vAlign w:val="center"/>
          </w:tcPr>
          <w:p w14:paraId="2F907DE4">
            <w:pPr>
              <w:widowControl/>
              <w:shd w:val="clear"/>
              <w:jc w:val="left"/>
              <w:rPr>
                <w:rFonts w:hint="eastAsia" w:ascii="仿宋" w:hAnsi="仿宋" w:eastAsia="仿宋" w:cs="仿宋"/>
                <w:color w:val="auto"/>
                <w:kern w:val="0"/>
                <w:sz w:val="24"/>
                <w:highlight w:val="none"/>
              </w:rPr>
            </w:pPr>
          </w:p>
        </w:tc>
        <w:tc>
          <w:tcPr>
            <w:tcW w:w="2836" w:type="dxa"/>
            <w:vMerge w:val="continue"/>
            <w:vAlign w:val="center"/>
          </w:tcPr>
          <w:p w14:paraId="57161675">
            <w:pPr>
              <w:widowControl/>
              <w:shd w:val="clear"/>
              <w:jc w:val="left"/>
              <w:rPr>
                <w:rFonts w:hint="eastAsia" w:ascii="仿宋" w:hAnsi="仿宋" w:eastAsia="仿宋" w:cs="仿宋"/>
                <w:color w:val="auto"/>
                <w:kern w:val="0"/>
                <w:sz w:val="24"/>
                <w:highlight w:val="none"/>
              </w:rPr>
            </w:pPr>
          </w:p>
        </w:tc>
        <w:tc>
          <w:tcPr>
            <w:tcW w:w="606" w:type="dxa"/>
            <w:vAlign w:val="center"/>
          </w:tcPr>
          <w:p w14:paraId="501ED209">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微型</w:t>
            </w:r>
          </w:p>
        </w:tc>
        <w:tc>
          <w:tcPr>
            <w:tcW w:w="3326" w:type="dxa"/>
            <w:vAlign w:val="center"/>
          </w:tcPr>
          <w:p w14:paraId="4282F77A">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10亿元以下</w:t>
            </w:r>
          </w:p>
        </w:tc>
      </w:tr>
      <w:tr w14:paraId="4688A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restart"/>
            <w:vAlign w:val="center"/>
          </w:tcPr>
          <w:p w14:paraId="6EA181DB">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保险业</w:t>
            </w:r>
          </w:p>
        </w:tc>
        <w:tc>
          <w:tcPr>
            <w:tcW w:w="2836" w:type="dxa"/>
            <w:vMerge w:val="restart"/>
            <w:vAlign w:val="center"/>
          </w:tcPr>
          <w:p w14:paraId="779DAF83">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保险业金融机构</w:t>
            </w:r>
          </w:p>
        </w:tc>
        <w:tc>
          <w:tcPr>
            <w:tcW w:w="606" w:type="dxa"/>
            <w:vAlign w:val="center"/>
          </w:tcPr>
          <w:p w14:paraId="75E10C7B">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中型</w:t>
            </w:r>
          </w:p>
        </w:tc>
        <w:tc>
          <w:tcPr>
            <w:tcW w:w="3326" w:type="dxa"/>
            <w:vAlign w:val="center"/>
          </w:tcPr>
          <w:p w14:paraId="122D6688">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400亿元（含）至5000亿元</w:t>
            </w:r>
          </w:p>
        </w:tc>
      </w:tr>
      <w:tr w14:paraId="6B66E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continue"/>
            <w:vAlign w:val="center"/>
          </w:tcPr>
          <w:p w14:paraId="6CA20FEB">
            <w:pPr>
              <w:widowControl/>
              <w:shd w:val="clear"/>
              <w:jc w:val="left"/>
              <w:rPr>
                <w:rFonts w:hint="eastAsia" w:ascii="仿宋" w:hAnsi="仿宋" w:eastAsia="仿宋" w:cs="仿宋"/>
                <w:color w:val="auto"/>
                <w:kern w:val="0"/>
                <w:sz w:val="24"/>
                <w:highlight w:val="none"/>
              </w:rPr>
            </w:pPr>
          </w:p>
        </w:tc>
        <w:tc>
          <w:tcPr>
            <w:tcW w:w="2836" w:type="dxa"/>
            <w:vMerge w:val="continue"/>
            <w:vAlign w:val="center"/>
          </w:tcPr>
          <w:p w14:paraId="4CE9214D">
            <w:pPr>
              <w:widowControl/>
              <w:shd w:val="clear"/>
              <w:jc w:val="left"/>
              <w:rPr>
                <w:rFonts w:hint="eastAsia" w:ascii="仿宋" w:hAnsi="仿宋" w:eastAsia="仿宋" w:cs="仿宋"/>
                <w:color w:val="auto"/>
                <w:kern w:val="0"/>
                <w:sz w:val="24"/>
                <w:highlight w:val="none"/>
              </w:rPr>
            </w:pPr>
          </w:p>
        </w:tc>
        <w:tc>
          <w:tcPr>
            <w:tcW w:w="606" w:type="dxa"/>
            <w:vAlign w:val="center"/>
          </w:tcPr>
          <w:p w14:paraId="6415160E">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小型</w:t>
            </w:r>
          </w:p>
        </w:tc>
        <w:tc>
          <w:tcPr>
            <w:tcW w:w="3326" w:type="dxa"/>
            <w:vAlign w:val="center"/>
          </w:tcPr>
          <w:p w14:paraId="461306B3">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20亿元（含）至400亿元</w:t>
            </w:r>
          </w:p>
        </w:tc>
      </w:tr>
      <w:tr w14:paraId="4FE1E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continue"/>
            <w:vAlign w:val="center"/>
          </w:tcPr>
          <w:p w14:paraId="28B71AE3">
            <w:pPr>
              <w:widowControl/>
              <w:shd w:val="clear"/>
              <w:jc w:val="left"/>
              <w:rPr>
                <w:rFonts w:hint="eastAsia" w:ascii="仿宋" w:hAnsi="仿宋" w:eastAsia="仿宋" w:cs="仿宋"/>
                <w:color w:val="auto"/>
                <w:kern w:val="0"/>
                <w:sz w:val="24"/>
                <w:highlight w:val="none"/>
              </w:rPr>
            </w:pPr>
          </w:p>
        </w:tc>
        <w:tc>
          <w:tcPr>
            <w:tcW w:w="2836" w:type="dxa"/>
            <w:vMerge w:val="continue"/>
            <w:vAlign w:val="center"/>
          </w:tcPr>
          <w:p w14:paraId="0F169696">
            <w:pPr>
              <w:widowControl/>
              <w:shd w:val="clear"/>
              <w:jc w:val="left"/>
              <w:rPr>
                <w:rFonts w:hint="eastAsia" w:ascii="仿宋" w:hAnsi="仿宋" w:eastAsia="仿宋" w:cs="仿宋"/>
                <w:color w:val="auto"/>
                <w:kern w:val="0"/>
                <w:sz w:val="24"/>
                <w:highlight w:val="none"/>
              </w:rPr>
            </w:pPr>
          </w:p>
        </w:tc>
        <w:tc>
          <w:tcPr>
            <w:tcW w:w="606" w:type="dxa"/>
            <w:vAlign w:val="center"/>
          </w:tcPr>
          <w:p w14:paraId="70850ADE">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微型</w:t>
            </w:r>
          </w:p>
        </w:tc>
        <w:tc>
          <w:tcPr>
            <w:tcW w:w="3326" w:type="dxa"/>
            <w:vAlign w:val="center"/>
          </w:tcPr>
          <w:p w14:paraId="41DD8344">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20亿元以下</w:t>
            </w:r>
          </w:p>
        </w:tc>
      </w:tr>
      <w:tr w14:paraId="2BD1C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restart"/>
            <w:vAlign w:val="center"/>
          </w:tcPr>
          <w:p w14:paraId="6C634733">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其他金融业</w:t>
            </w:r>
          </w:p>
        </w:tc>
        <w:tc>
          <w:tcPr>
            <w:tcW w:w="1025" w:type="dxa"/>
            <w:vMerge w:val="restart"/>
            <w:vAlign w:val="center"/>
          </w:tcPr>
          <w:p w14:paraId="5BED981D">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金融信托与管理服务</w:t>
            </w:r>
          </w:p>
        </w:tc>
        <w:tc>
          <w:tcPr>
            <w:tcW w:w="2836" w:type="dxa"/>
            <w:vMerge w:val="restart"/>
            <w:vAlign w:val="center"/>
          </w:tcPr>
          <w:p w14:paraId="6AAB571B">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信托公司</w:t>
            </w:r>
          </w:p>
        </w:tc>
        <w:tc>
          <w:tcPr>
            <w:tcW w:w="606" w:type="dxa"/>
            <w:vAlign w:val="center"/>
          </w:tcPr>
          <w:p w14:paraId="3AAD4F72">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中型</w:t>
            </w:r>
          </w:p>
        </w:tc>
        <w:tc>
          <w:tcPr>
            <w:tcW w:w="3326" w:type="dxa"/>
            <w:vAlign w:val="center"/>
          </w:tcPr>
          <w:p w14:paraId="46681A29">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400亿元（含）至1000亿元</w:t>
            </w:r>
          </w:p>
        </w:tc>
      </w:tr>
      <w:tr w14:paraId="4EE7E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19486344">
            <w:pPr>
              <w:widowControl/>
              <w:shd w:val="clear"/>
              <w:jc w:val="left"/>
              <w:rPr>
                <w:rFonts w:hint="eastAsia" w:ascii="仿宋" w:hAnsi="仿宋" w:eastAsia="仿宋" w:cs="仿宋"/>
                <w:color w:val="auto"/>
                <w:kern w:val="0"/>
                <w:sz w:val="24"/>
                <w:highlight w:val="none"/>
              </w:rPr>
            </w:pPr>
          </w:p>
        </w:tc>
        <w:tc>
          <w:tcPr>
            <w:tcW w:w="1025" w:type="dxa"/>
            <w:vMerge w:val="continue"/>
            <w:vAlign w:val="center"/>
          </w:tcPr>
          <w:p w14:paraId="41B65624">
            <w:pPr>
              <w:widowControl/>
              <w:shd w:val="clear"/>
              <w:jc w:val="left"/>
              <w:rPr>
                <w:rFonts w:hint="eastAsia" w:ascii="仿宋" w:hAnsi="仿宋" w:eastAsia="仿宋" w:cs="仿宋"/>
                <w:color w:val="auto"/>
                <w:kern w:val="0"/>
                <w:sz w:val="24"/>
                <w:highlight w:val="none"/>
              </w:rPr>
            </w:pPr>
          </w:p>
        </w:tc>
        <w:tc>
          <w:tcPr>
            <w:tcW w:w="2836" w:type="dxa"/>
            <w:vMerge w:val="continue"/>
            <w:vAlign w:val="center"/>
          </w:tcPr>
          <w:p w14:paraId="4522EDDA">
            <w:pPr>
              <w:widowControl/>
              <w:shd w:val="clear"/>
              <w:jc w:val="left"/>
              <w:rPr>
                <w:rFonts w:hint="eastAsia" w:ascii="仿宋" w:hAnsi="仿宋" w:eastAsia="仿宋" w:cs="仿宋"/>
                <w:color w:val="auto"/>
                <w:kern w:val="0"/>
                <w:sz w:val="24"/>
                <w:highlight w:val="none"/>
              </w:rPr>
            </w:pPr>
          </w:p>
        </w:tc>
        <w:tc>
          <w:tcPr>
            <w:tcW w:w="606" w:type="dxa"/>
            <w:vAlign w:val="center"/>
          </w:tcPr>
          <w:p w14:paraId="41148330">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小型</w:t>
            </w:r>
          </w:p>
        </w:tc>
        <w:tc>
          <w:tcPr>
            <w:tcW w:w="3326" w:type="dxa"/>
            <w:vAlign w:val="center"/>
          </w:tcPr>
          <w:p w14:paraId="2AEC1FF4">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20亿元（含）至400亿元</w:t>
            </w:r>
          </w:p>
        </w:tc>
      </w:tr>
      <w:tr w14:paraId="3BA28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30C6CDAA">
            <w:pPr>
              <w:widowControl/>
              <w:shd w:val="clear"/>
              <w:jc w:val="left"/>
              <w:rPr>
                <w:rFonts w:hint="eastAsia" w:ascii="仿宋" w:hAnsi="仿宋" w:eastAsia="仿宋" w:cs="仿宋"/>
                <w:color w:val="auto"/>
                <w:kern w:val="0"/>
                <w:sz w:val="24"/>
                <w:highlight w:val="none"/>
              </w:rPr>
            </w:pPr>
          </w:p>
        </w:tc>
        <w:tc>
          <w:tcPr>
            <w:tcW w:w="1025" w:type="dxa"/>
            <w:vMerge w:val="continue"/>
            <w:vAlign w:val="center"/>
          </w:tcPr>
          <w:p w14:paraId="0338AB46">
            <w:pPr>
              <w:widowControl/>
              <w:shd w:val="clear"/>
              <w:jc w:val="left"/>
              <w:rPr>
                <w:rFonts w:hint="eastAsia" w:ascii="仿宋" w:hAnsi="仿宋" w:eastAsia="仿宋" w:cs="仿宋"/>
                <w:color w:val="auto"/>
                <w:kern w:val="0"/>
                <w:sz w:val="24"/>
                <w:highlight w:val="none"/>
              </w:rPr>
            </w:pPr>
          </w:p>
        </w:tc>
        <w:tc>
          <w:tcPr>
            <w:tcW w:w="2836" w:type="dxa"/>
            <w:vMerge w:val="continue"/>
            <w:vAlign w:val="center"/>
          </w:tcPr>
          <w:p w14:paraId="7AE59EFB">
            <w:pPr>
              <w:widowControl/>
              <w:shd w:val="clear"/>
              <w:jc w:val="left"/>
              <w:rPr>
                <w:rFonts w:hint="eastAsia" w:ascii="仿宋" w:hAnsi="仿宋" w:eastAsia="仿宋" w:cs="仿宋"/>
                <w:color w:val="auto"/>
                <w:kern w:val="0"/>
                <w:sz w:val="24"/>
                <w:highlight w:val="none"/>
              </w:rPr>
            </w:pPr>
          </w:p>
        </w:tc>
        <w:tc>
          <w:tcPr>
            <w:tcW w:w="606" w:type="dxa"/>
            <w:vAlign w:val="center"/>
          </w:tcPr>
          <w:p w14:paraId="28B81904">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微型</w:t>
            </w:r>
          </w:p>
        </w:tc>
        <w:tc>
          <w:tcPr>
            <w:tcW w:w="3326" w:type="dxa"/>
            <w:vAlign w:val="center"/>
          </w:tcPr>
          <w:p w14:paraId="73DCC7CC">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20亿元以下</w:t>
            </w:r>
          </w:p>
        </w:tc>
      </w:tr>
      <w:tr w14:paraId="36DFB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2FE99F50">
            <w:pPr>
              <w:widowControl/>
              <w:shd w:val="clear"/>
              <w:jc w:val="left"/>
              <w:rPr>
                <w:rFonts w:hint="eastAsia" w:ascii="仿宋" w:hAnsi="仿宋" w:eastAsia="仿宋" w:cs="仿宋"/>
                <w:color w:val="auto"/>
                <w:kern w:val="0"/>
                <w:sz w:val="24"/>
                <w:highlight w:val="none"/>
              </w:rPr>
            </w:pPr>
          </w:p>
        </w:tc>
        <w:tc>
          <w:tcPr>
            <w:tcW w:w="1025" w:type="dxa"/>
            <w:vMerge w:val="restart"/>
            <w:vAlign w:val="center"/>
          </w:tcPr>
          <w:p w14:paraId="68034487">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控股公司服务</w:t>
            </w:r>
          </w:p>
        </w:tc>
        <w:tc>
          <w:tcPr>
            <w:tcW w:w="2836" w:type="dxa"/>
            <w:vMerge w:val="restart"/>
            <w:vAlign w:val="center"/>
          </w:tcPr>
          <w:p w14:paraId="2024307F">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金融控股公司</w:t>
            </w:r>
          </w:p>
        </w:tc>
        <w:tc>
          <w:tcPr>
            <w:tcW w:w="606" w:type="dxa"/>
            <w:vAlign w:val="center"/>
          </w:tcPr>
          <w:p w14:paraId="4D0172AD">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中型</w:t>
            </w:r>
          </w:p>
        </w:tc>
        <w:tc>
          <w:tcPr>
            <w:tcW w:w="3326" w:type="dxa"/>
            <w:vAlign w:val="center"/>
          </w:tcPr>
          <w:p w14:paraId="669412B3">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5000亿元（含）至40000亿元</w:t>
            </w:r>
          </w:p>
        </w:tc>
      </w:tr>
      <w:tr w14:paraId="3ACF1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5331BA5B">
            <w:pPr>
              <w:widowControl/>
              <w:shd w:val="clear"/>
              <w:jc w:val="left"/>
              <w:rPr>
                <w:rFonts w:hint="eastAsia" w:ascii="仿宋" w:hAnsi="仿宋" w:eastAsia="仿宋" w:cs="仿宋"/>
                <w:color w:val="auto"/>
                <w:kern w:val="0"/>
                <w:sz w:val="24"/>
                <w:highlight w:val="none"/>
              </w:rPr>
            </w:pPr>
          </w:p>
        </w:tc>
        <w:tc>
          <w:tcPr>
            <w:tcW w:w="1025" w:type="dxa"/>
            <w:vMerge w:val="continue"/>
            <w:vAlign w:val="center"/>
          </w:tcPr>
          <w:p w14:paraId="652A5BFE">
            <w:pPr>
              <w:widowControl/>
              <w:shd w:val="clear"/>
              <w:jc w:val="left"/>
              <w:rPr>
                <w:rFonts w:hint="eastAsia" w:ascii="仿宋" w:hAnsi="仿宋" w:eastAsia="仿宋" w:cs="仿宋"/>
                <w:color w:val="auto"/>
                <w:kern w:val="0"/>
                <w:sz w:val="24"/>
                <w:highlight w:val="none"/>
              </w:rPr>
            </w:pPr>
          </w:p>
        </w:tc>
        <w:tc>
          <w:tcPr>
            <w:tcW w:w="2836" w:type="dxa"/>
            <w:vMerge w:val="continue"/>
            <w:vAlign w:val="center"/>
          </w:tcPr>
          <w:p w14:paraId="776FED6E">
            <w:pPr>
              <w:widowControl/>
              <w:shd w:val="clear"/>
              <w:jc w:val="left"/>
              <w:rPr>
                <w:rFonts w:hint="eastAsia" w:ascii="仿宋" w:hAnsi="仿宋" w:eastAsia="仿宋" w:cs="仿宋"/>
                <w:color w:val="auto"/>
                <w:kern w:val="0"/>
                <w:sz w:val="24"/>
                <w:highlight w:val="none"/>
              </w:rPr>
            </w:pPr>
          </w:p>
        </w:tc>
        <w:tc>
          <w:tcPr>
            <w:tcW w:w="606" w:type="dxa"/>
            <w:vAlign w:val="center"/>
          </w:tcPr>
          <w:p w14:paraId="520BB328">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小型</w:t>
            </w:r>
          </w:p>
        </w:tc>
        <w:tc>
          <w:tcPr>
            <w:tcW w:w="3326" w:type="dxa"/>
            <w:vAlign w:val="center"/>
          </w:tcPr>
          <w:p w14:paraId="64E734A5">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50亿元（含）至5000亿元</w:t>
            </w:r>
          </w:p>
        </w:tc>
      </w:tr>
      <w:tr w14:paraId="4E777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0E75E359">
            <w:pPr>
              <w:widowControl/>
              <w:shd w:val="clear"/>
              <w:jc w:val="left"/>
              <w:rPr>
                <w:rFonts w:hint="eastAsia" w:ascii="仿宋" w:hAnsi="仿宋" w:eastAsia="仿宋" w:cs="仿宋"/>
                <w:color w:val="auto"/>
                <w:kern w:val="0"/>
                <w:sz w:val="24"/>
                <w:highlight w:val="none"/>
              </w:rPr>
            </w:pPr>
          </w:p>
        </w:tc>
        <w:tc>
          <w:tcPr>
            <w:tcW w:w="1025" w:type="dxa"/>
            <w:vMerge w:val="continue"/>
            <w:vAlign w:val="center"/>
          </w:tcPr>
          <w:p w14:paraId="44EF8958">
            <w:pPr>
              <w:widowControl/>
              <w:shd w:val="clear"/>
              <w:jc w:val="left"/>
              <w:rPr>
                <w:rFonts w:hint="eastAsia" w:ascii="仿宋" w:hAnsi="仿宋" w:eastAsia="仿宋" w:cs="仿宋"/>
                <w:color w:val="auto"/>
                <w:kern w:val="0"/>
                <w:sz w:val="24"/>
                <w:highlight w:val="none"/>
              </w:rPr>
            </w:pPr>
          </w:p>
        </w:tc>
        <w:tc>
          <w:tcPr>
            <w:tcW w:w="2836" w:type="dxa"/>
            <w:vMerge w:val="continue"/>
            <w:vAlign w:val="center"/>
          </w:tcPr>
          <w:p w14:paraId="7CA45B5B">
            <w:pPr>
              <w:widowControl/>
              <w:shd w:val="clear"/>
              <w:jc w:val="left"/>
              <w:rPr>
                <w:rFonts w:hint="eastAsia" w:ascii="仿宋" w:hAnsi="仿宋" w:eastAsia="仿宋" w:cs="仿宋"/>
                <w:color w:val="auto"/>
                <w:kern w:val="0"/>
                <w:sz w:val="24"/>
                <w:highlight w:val="none"/>
              </w:rPr>
            </w:pPr>
          </w:p>
        </w:tc>
        <w:tc>
          <w:tcPr>
            <w:tcW w:w="606" w:type="dxa"/>
            <w:vAlign w:val="center"/>
          </w:tcPr>
          <w:p w14:paraId="0996E5A5">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微型</w:t>
            </w:r>
          </w:p>
        </w:tc>
        <w:tc>
          <w:tcPr>
            <w:tcW w:w="3326" w:type="dxa"/>
            <w:vAlign w:val="center"/>
          </w:tcPr>
          <w:p w14:paraId="3AE6982F">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50亿元以下</w:t>
            </w:r>
          </w:p>
        </w:tc>
      </w:tr>
      <w:tr w14:paraId="1F140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4A5415DB">
            <w:pPr>
              <w:widowControl/>
              <w:shd w:val="clear"/>
              <w:jc w:val="left"/>
              <w:rPr>
                <w:rFonts w:hint="eastAsia" w:ascii="仿宋" w:hAnsi="仿宋" w:eastAsia="仿宋" w:cs="仿宋"/>
                <w:color w:val="auto"/>
                <w:kern w:val="0"/>
                <w:sz w:val="24"/>
                <w:highlight w:val="none"/>
              </w:rPr>
            </w:pPr>
          </w:p>
        </w:tc>
        <w:tc>
          <w:tcPr>
            <w:tcW w:w="1025" w:type="dxa"/>
            <w:vMerge w:val="restart"/>
            <w:vAlign w:val="center"/>
          </w:tcPr>
          <w:p w14:paraId="42551DBF">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其他未包括的金融业</w:t>
            </w:r>
          </w:p>
        </w:tc>
        <w:tc>
          <w:tcPr>
            <w:tcW w:w="2836" w:type="dxa"/>
            <w:vMerge w:val="restart"/>
            <w:vAlign w:val="center"/>
          </w:tcPr>
          <w:p w14:paraId="257A546C">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除贷款公司、小额贷款公司及典当行以外的其他金融机构</w:t>
            </w:r>
          </w:p>
        </w:tc>
        <w:tc>
          <w:tcPr>
            <w:tcW w:w="606" w:type="dxa"/>
            <w:vAlign w:val="center"/>
          </w:tcPr>
          <w:p w14:paraId="25F7F3B1">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中型</w:t>
            </w:r>
          </w:p>
        </w:tc>
        <w:tc>
          <w:tcPr>
            <w:tcW w:w="3326" w:type="dxa"/>
            <w:vAlign w:val="center"/>
          </w:tcPr>
          <w:p w14:paraId="2BB8A777">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200亿元（含）至1000亿元</w:t>
            </w:r>
          </w:p>
        </w:tc>
      </w:tr>
      <w:tr w14:paraId="7AA0C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5994C3FB">
            <w:pPr>
              <w:widowControl/>
              <w:shd w:val="clear"/>
              <w:jc w:val="left"/>
              <w:rPr>
                <w:rFonts w:hint="eastAsia" w:ascii="仿宋" w:hAnsi="仿宋" w:eastAsia="仿宋" w:cs="仿宋"/>
                <w:color w:val="auto"/>
                <w:kern w:val="0"/>
                <w:sz w:val="24"/>
                <w:highlight w:val="none"/>
              </w:rPr>
            </w:pPr>
          </w:p>
        </w:tc>
        <w:tc>
          <w:tcPr>
            <w:tcW w:w="1025" w:type="dxa"/>
            <w:vMerge w:val="continue"/>
            <w:vAlign w:val="center"/>
          </w:tcPr>
          <w:p w14:paraId="22C18D67">
            <w:pPr>
              <w:widowControl/>
              <w:shd w:val="clear"/>
              <w:jc w:val="left"/>
              <w:rPr>
                <w:rFonts w:hint="eastAsia" w:ascii="仿宋" w:hAnsi="仿宋" w:eastAsia="仿宋" w:cs="仿宋"/>
                <w:color w:val="auto"/>
                <w:kern w:val="0"/>
                <w:sz w:val="24"/>
                <w:highlight w:val="none"/>
              </w:rPr>
            </w:pPr>
          </w:p>
        </w:tc>
        <w:tc>
          <w:tcPr>
            <w:tcW w:w="2836" w:type="dxa"/>
            <w:vMerge w:val="continue"/>
            <w:vAlign w:val="center"/>
          </w:tcPr>
          <w:p w14:paraId="590699D3">
            <w:pPr>
              <w:widowControl/>
              <w:shd w:val="clear"/>
              <w:jc w:val="left"/>
              <w:rPr>
                <w:rFonts w:hint="eastAsia" w:ascii="仿宋" w:hAnsi="仿宋" w:eastAsia="仿宋" w:cs="仿宋"/>
                <w:color w:val="auto"/>
                <w:kern w:val="0"/>
                <w:sz w:val="24"/>
                <w:highlight w:val="none"/>
              </w:rPr>
            </w:pPr>
          </w:p>
        </w:tc>
        <w:tc>
          <w:tcPr>
            <w:tcW w:w="606" w:type="dxa"/>
            <w:vAlign w:val="center"/>
          </w:tcPr>
          <w:p w14:paraId="15565CF1">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小型</w:t>
            </w:r>
          </w:p>
        </w:tc>
        <w:tc>
          <w:tcPr>
            <w:tcW w:w="3326" w:type="dxa"/>
            <w:vAlign w:val="center"/>
          </w:tcPr>
          <w:p w14:paraId="4D4C0946">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50亿元（含）至200亿元</w:t>
            </w:r>
          </w:p>
        </w:tc>
      </w:tr>
      <w:tr w14:paraId="60731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65CFC72A">
            <w:pPr>
              <w:widowControl/>
              <w:shd w:val="clear"/>
              <w:jc w:val="left"/>
              <w:rPr>
                <w:rFonts w:hint="eastAsia" w:ascii="仿宋" w:hAnsi="仿宋" w:eastAsia="仿宋" w:cs="仿宋"/>
                <w:color w:val="auto"/>
                <w:kern w:val="0"/>
                <w:sz w:val="24"/>
                <w:highlight w:val="none"/>
              </w:rPr>
            </w:pPr>
          </w:p>
        </w:tc>
        <w:tc>
          <w:tcPr>
            <w:tcW w:w="1025" w:type="dxa"/>
            <w:vMerge w:val="continue"/>
            <w:vAlign w:val="center"/>
          </w:tcPr>
          <w:p w14:paraId="318A3F9C">
            <w:pPr>
              <w:widowControl/>
              <w:shd w:val="clear"/>
              <w:jc w:val="left"/>
              <w:rPr>
                <w:rFonts w:hint="eastAsia" w:ascii="仿宋" w:hAnsi="仿宋" w:eastAsia="仿宋" w:cs="仿宋"/>
                <w:color w:val="auto"/>
                <w:kern w:val="0"/>
                <w:sz w:val="24"/>
                <w:highlight w:val="none"/>
              </w:rPr>
            </w:pPr>
          </w:p>
        </w:tc>
        <w:tc>
          <w:tcPr>
            <w:tcW w:w="2836" w:type="dxa"/>
            <w:vMerge w:val="continue"/>
            <w:vAlign w:val="center"/>
          </w:tcPr>
          <w:p w14:paraId="353D3E8D">
            <w:pPr>
              <w:widowControl/>
              <w:shd w:val="clear"/>
              <w:jc w:val="left"/>
              <w:rPr>
                <w:rFonts w:hint="eastAsia" w:ascii="仿宋" w:hAnsi="仿宋" w:eastAsia="仿宋" w:cs="仿宋"/>
                <w:color w:val="auto"/>
                <w:kern w:val="0"/>
                <w:sz w:val="24"/>
                <w:highlight w:val="none"/>
              </w:rPr>
            </w:pPr>
          </w:p>
        </w:tc>
        <w:tc>
          <w:tcPr>
            <w:tcW w:w="606" w:type="dxa"/>
            <w:vAlign w:val="center"/>
          </w:tcPr>
          <w:p w14:paraId="0EBC2E50">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微型</w:t>
            </w:r>
          </w:p>
        </w:tc>
        <w:tc>
          <w:tcPr>
            <w:tcW w:w="3326" w:type="dxa"/>
            <w:vAlign w:val="center"/>
          </w:tcPr>
          <w:p w14:paraId="4AC8B55C">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50亿元以下</w:t>
            </w:r>
          </w:p>
        </w:tc>
      </w:tr>
    </w:tbl>
    <w:p w14:paraId="2988547E">
      <w:pPr>
        <w:shd w:val="clear"/>
        <w:rPr>
          <w:rFonts w:hint="eastAsia" w:ascii="仿宋" w:hAnsi="仿宋" w:eastAsia="仿宋" w:cs="仿宋"/>
          <w:color w:val="auto"/>
          <w:sz w:val="24"/>
          <w:highlight w:val="none"/>
        </w:rPr>
      </w:pPr>
    </w:p>
    <w:p w14:paraId="03634010">
      <w:pPr>
        <w:shd w:val="clear"/>
        <w:ind w:firstLine="420" w:firstLineChars="200"/>
        <w:rPr>
          <w:rFonts w:hint="eastAsia" w:ascii="仿宋" w:hAnsi="仿宋" w:eastAsia="仿宋" w:cs="仿宋"/>
          <w:color w:val="auto"/>
          <w:highlight w:val="none"/>
        </w:rPr>
      </w:pPr>
    </w:p>
    <w:p w14:paraId="1CCCCD25">
      <w:pPr>
        <w:shd w:val="clear"/>
        <w:spacing w:line="360" w:lineRule="auto"/>
        <w:ind w:right="420"/>
        <w:rPr>
          <w:rFonts w:hint="eastAsia" w:ascii="仿宋" w:hAnsi="仿宋" w:eastAsia="仿宋" w:cs="仿宋"/>
          <w:color w:val="auto"/>
          <w:highlight w:val="none"/>
        </w:rPr>
      </w:pPr>
    </w:p>
    <w:p w14:paraId="725664D9">
      <w:pPr>
        <w:shd w:val="clear"/>
        <w:spacing w:line="360" w:lineRule="auto"/>
        <w:rPr>
          <w:rFonts w:hint="eastAsia" w:ascii="宋体" w:hAnsi="宋体" w:cs="宋体"/>
          <w:bCs/>
          <w:color w:val="auto"/>
          <w:sz w:val="24"/>
          <w:highlight w:val="none"/>
        </w:rPr>
      </w:pPr>
    </w:p>
    <w:p w14:paraId="2636B42E">
      <w:pPr>
        <w:shd w:val="clear"/>
        <w:rPr>
          <w:color w:val="auto"/>
          <w:highlight w:val="none"/>
        </w:rPr>
      </w:pPr>
    </w:p>
    <w:sectPr>
      <w:headerReference r:id="rId22" w:type="first"/>
      <w:footerReference r:id="rId25" w:type="first"/>
      <w:headerReference r:id="rId21" w:type="default"/>
      <w:footerReference r:id="rId23" w:type="default"/>
      <w:footerReference r:id="rId24"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1A2AB">
    <w:pPr>
      <w:pStyle w:val="17"/>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305B3">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4A305B3">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E7FF3">
    <w:pPr>
      <w:rPr>
        <w:rFonts w:ascii="仿宋_GB2312" w:eastAsia="仿宋_GB2312"/>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90380">
                          <w:pPr>
                            <w:pStyle w:val="17"/>
                          </w:pPr>
                          <w:r>
                            <w:t xml:space="preserve">第 </w:t>
                          </w:r>
                          <w:r>
                            <w:fldChar w:fldCharType="begin"/>
                          </w:r>
                          <w:r>
                            <w:instrText xml:space="preserve"> PAGE  \* MERGEFORMAT </w:instrText>
                          </w:r>
                          <w:r>
                            <w:fldChar w:fldCharType="separate"/>
                          </w:r>
                          <w:r>
                            <w:t>81</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18B90380">
                    <w:pPr>
                      <w:pStyle w:val="17"/>
                    </w:pPr>
                    <w:r>
                      <w:t xml:space="preserve">第 </w:t>
                    </w:r>
                    <w:r>
                      <w:fldChar w:fldCharType="begin"/>
                    </w:r>
                    <w:r>
                      <w:instrText xml:space="preserve"> PAGE  \* MERGEFORMAT </w:instrText>
                    </w:r>
                    <w:r>
                      <w:fldChar w:fldCharType="separate"/>
                    </w:r>
                    <w:r>
                      <w:t>81</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7D4C2">
    <w:pPr>
      <w:pStyle w:val="17"/>
      <w:rPr>
        <w:rFonts w:ascii="仿宋_GB2312" w:eastAsia="仿宋_GB2312"/>
        <w:szCs w:val="24"/>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90093">
                          <w:pPr>
                            <w:pStyle w:val="17"/>
                          </w:pPr>
                          <w:r>
                            <w:t xml:space="preserve">第 </w:t>
                          </w:r>
                          <w:r>
                            <w:fldChar w:fldCharType="begin"/>
                          </w:r>
                          <w:r>
                            <w:instrText xml:space="preserve"> PAGE  \* MERGEFORMAT </w:instrText>
                          </w:r>
                          <w:r>
                            <w:fldChar w:fldCharType="separate"/>
                          </w:r>
                          <w:r>
                            <w:t>107</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08E90093">
                    <w:pPr>
                      <w:pStyle w:val="17"/>
                    </w:pPr>
                    <w:r>
                      <w:t xml:space="preserve">第 </w:t>
                    </w:r>
                    <w:r>
                      <w:fldChar w:fldCharType="begin"/>
                    </w:r>
                    <w:r>
                      <w:instrText xml:space="preserve"> PAGE  \* MERGEFORMAT </w:instrText>
                    </w:r>
                    <w:r>
                      <w:fldChar w:fldCharType="separate"/>
                    </w:r>
                    <w:r>
                      <w:t>107</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9B08B">
    <w:pPr>
      <w:pStyle w:val="17"/>
      <w:framePr w:wrap="around" w:vAnchor="text" w:hAnchor="margin" w:xAlign="right" w:y="1"/>
      <w:rPr>
        <w:rStyle w:val="29"/>
      </w:rPr>
    </w:pPr>
    <w:r>
      <w:fldChar w:fldCharType="begin"/>
    </w:r>
    <w:r>
      <w:rPr>
        <w:rStyle w:val="29"/>
      </w:rPr>
      <w:instrText xml:space="preserve">PAGE  </w:instrText>
    </w:r>
    <w:r>
      <w:fldChar w:fldCharType="end"/>
    </w:r>
  </w:p>
  <w:p w14:paraId="4DA965FA">
    <w:pPr>
      <w:pStyle w:val="17"/>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611FD">
    <w:pPr>
      <w:pStyle w:val="17"/>
      <w:rPr>
        <w:rFonts w:ascii="仿宋_GB2312" w:eastAsia="仿宋_GB2312"/>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63019">
                          <w:pPr>
                            <w:pStyle w:val="17"/>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6CD63019">
                    <w:pPr>
                      <w:pStyle w:val="17"/>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01F21">
    <w:pPr>
      <w:pStyle w:val="17"/>
      <w:framePr w:wrap="around" w:vAnchor="text" w:hAnchor="margin" w:xAlign="right" w:y="1"/>
      <w:rPr>
        <w:rStyle w:val="29"/>
      </w:rPr>
    </w:pPr>
    <w:r>
      <w:fldChar w:fldCharType="begin"/>
    </w:r>
    <w:r>
      <w:rPr>
        <w:rStyle w:val="29"/>
      </w:rPr>
      <w:instrText xml:space="preserve">PAGE  </w:instrText>
    </w:r>
    <w:r>
      <w:fldChar w:fldCharType="end"/>
    </w:r>
  </w:p>
  <w:p w14:paraId="7094D32C">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000E5">
    <w:pPr>
      <w:pStyle w:val="17"/>
      <w:tabs>
        <w:tab w:val="clear" w:pos="4153"/>
      </w:tabs>
      <w:jc w:val="cente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17998">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4517998">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BFA6C">
    <w:pPr>
      <w:pStyle w:val="17"/>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AD11F">
                          <w:pPr>
                            <w:pStyle w:val="17"/>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3D1AD11F">
                    <w:pPr>
                      <w:pStyle w:val="17"/>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028C5">
    <w:pPr>
      <w:pStyle w:val="17"/>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4041675" name="文本框 10640416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D26FE2">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AwdaRc8AgAAdQQAAA4AAAAAAAAAAQAgAAAAHwEAAGRycy9lMm9E&#10;b2MueG1sUEsFBgAAAAAGAAYAWQEAAM0FAAAAAA==&#10;">
              <v:fill on="f" focussize="0,0"/>
              <v:stroke on="f" weight="0.5pt"/>
              <v:imagedata o:title=""/>
              <o:lock v:ext="edit" aspectratio="f"/>
              <v:textbox inset="0mm,0mm,0mm,0mm" style="mso-fit-shape-to-text:t;">
                <w:txbxContent>
                  <w:p w14:paraId="3FD26FE2">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A76A">
    <w:pPr>
      <w:pStyle w:val="17"/>
      <w:tabs>
        <w:tab w:val="clear" w:pos="4153"/>
      </w:tabs>
      <w:jc w:val="cente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982739" name="文本框 1769827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9F3CFA">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l6BKkjsCAABzBAAADgAAAAAAAAABACAAAAAfAQAAZHJzL2Uyb0Rv&#10;Yy54bWxQSwUGAAAAAAYABgBZAQAAzAUAAAAA&#10;">
              <v:fill on="f" focussize="0,0"/>
              <v:stroke on="f" weight="0.5pt"/>
              <v:imagedata o:title=""/>
              <o:lock v:ext="edit" aspectratio="f"/>
              <v:textbox inset="0mm,0mm,0mm,0mm" style="mso-fit-shape-to-text:t;">
                <w:txbxContent>
                  <w:p w14:paraId="7C9F3CFA">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DE51">
    <w:pP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4D70E">
                          <w:pPr>
                            <w:pStyle w:val="17"/>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2224D70E">
                    <w:pPr>
                      <w:pStyle w:val="17"/>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5BD59">
    <w:pP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3B3BC">
                          <w:pPr>
                            <w:pStyle w:val="17"/>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1C53B3BC">
                    <w:pPr>
                      <w:pStyle w:val="17"/>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3C942">
    <w:pP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A511F">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532A511F">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BA7F1">
    <w:pPr>
      <w:pStyle w:val="18"/>
      <w:jc w:val="left"/>
    </w:pPr>
    <w:r>
      <w:rPr>
        <w:rFonts w:hint="eastAsia" w:ascii="仿宋" w:hAnsi="仿宋" w:eastAsia="仿宋" w:cs="仿宋"/>
      </w:rPr>
      <w:t xml:space="preserve">绍兴市文汇项目管理有限公司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B3CF0">
    <w:pPr>
      <w:pStyle w:val="18"/>
      <w:pBdr>
        <w:bottom w:val="single" w:color="auto" w:sz="4" w:space="1"/>
      </w:pBdr>
      <w:jc w:val="both"/>
      <w:rPr>
        <w:rFonts w:eastAsia="仿宋"/>
      </w:rPr>
    </w:pPr>
    <w:r>
      <w:rPr>
        <w:rFonts w:hint="eastAsia" w:ascii="仿宋" w:hAnsi="仿宋" w:eastAsia="仿宋" w:cs="仿宋"/>
      </w:rPr>
      <w:t xml:space="preserve">绍兴市文汇项目管理有限公司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BFB0B">
    <w:pPr>
      <w:pStyle w:val="18"/>
      <w:jc w:val="left"/>
      <w:rPr>
        <w:rFonts w:ascii="仿宋_GB2312" w:eastAsia="仿宋_GB2312"/>
        <w:i/>
        <w:u w:val="single"/>
      </w:rPr>
    </w:pPr>
    <w:r>
      <w:rPr>
        <w:rFonts w:hint="eastAsia" w:ascii="仿宋" w:hAnsi="仿宋" w:eastAsia="仿宋" w:cs="仿宋"/>
      </w:rPr>
      <w:t xml:space="preserve">绍兴市文汇项目管理有限公司                                           </w:t>
    </w:r>
  </w:p>
  <w:p w14:paraId="7B42AE82">
    <w:pPr>
      <w:pStyle w:val="18"/>
      <w:pBdr>
        <w:bottom w:val="none" w:color="auto" w:sz="0" w:space="0"/>
      </w:pBdr>
      <w:tabs>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63EC0">
    <w:pPr>
      <w:pStyle w:val="18"/>
      <w:jc w:val="both"/>
      <w:rPr>
        <w:rFonts w:eastAsia="仿宋"/>
      </w:rPr>
    </w:pPr>
    <w:r>
      <w:rPr>
        <w:rFonts w:hint="eastAsia" w:ascii="仿宋" w:hAnsi="仿宋" w:eastAsia="仿宋" w:cs="仿宋"/>
      </w:rPr>
      <w:t xml:space="preserve">绍兴市文汇项目管理有限公司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A3E8D">
    <w:pPr>
      <w:pStyle w:val="18"/>
      <w:jc w:val="left"/>
    </w:pPr>
    <w:r>
      <w:rPr>
        <w:rFonts w:hint="eastAsia" w:ascii="仿宋" w:hAnsi="仿宋" w:eastAsia="仿宋" w:cs="仿宋"/>
      </w:rPr>
      <w:t xml:space="preserve">绍兴市文汇项目管理有限公司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97CE5">
    <w:pPr>
      <w:pStyle w:val="18"/>
      <w:jc w:val="left"/>
      <w:rPr>
        <w:rFonts w:ascii="仿宋_GB2312" w:eastAsia="仿宋"/>
        <w:i/>
        <w:u w:val="single"/>
      </w:rPr>
    </w:pPr>
    <w:r>
      <w:rPr>
        <w:rFonts w:hint="eastAsia" w:ascii="仿宋" w:hAnsi="仿宋" w:eastAsia="仿宋" w:cs="仿宋"/>
      </w:rPr>
      <w:t xml:space="preserve">绍兴市文汇项目管理有限公司                                         </w:t>
    </w:r>
  </w:p>
  <w:p w14:paraId="1C0FB39D">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FB661">
    <w:pPr>
      <w:pStyle w:val="18"/>
      <w:jc w:val="left"/>
      <w:rPr>
        <w:rFonts w:ascii="仿宋_GB2312" w:eastAsia="仿宋"/>
        <w:i/>
        <w:u w:val="single"/>
      </w:rPr>
    </w:pPr>
    <w:r>
      <w:t></w:t>
    </w:r>
    <w:r>
      <w:rPr>
        <w:rFonts w:hint="eastAsia" w:ascii="仿宋" w:hAnsi="仿宋" w:eastAsia="仿宋" w:cs="仿宋"/>
      </w:rPr>
      <w:t xml:space="preserve">绍兴市文汇项目管理有限公司                                          </w:t>
    </w:r>
  </w:p>
  <w:p w14:paraId="292224A8">
    <w:pPr>
      <w:pStyle w:val="18"/>
      <w:pBdr>
        <w:bottom w:val="none" w:color="auto" w:sz="0" w:space="1"/>
      </w:pBdr>
      <w:jc w:val="right"/>
    </w:pPr>
    <w: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E9299">
    <w:pPr>
      <w:pStyle w:val="18"/>
      <w:jc w:val="left"/>
      <w:rPr>
        <w:rFonts w:hint="eastAsia" w:ascii="仿宋_GB2312" w:eastAsia="仿宋"/>
        <w:b/>
        <w:i/>
        <w:u w:val="single"/>
        <w:lang w:eastAsia="zh-CN"/>
      </w:rPr>
    </w:pPr>
    <w:r>
      <w:rPr>
        <w:rFonts w:hint="eastAsia"/>
      </w:rPr>
      <w:t xml:space="preserve"> </w:t>
    </w:r>
    <w:r>
      <w:rPr>
        <w:rFonts w:hint="eastAsia" w:ascii="仿宋" w:hAnsi="仿宋" w:eastAsia="仿宋" w:cs="仿宋"/>
      </w:rPr>
      <w:t xml:space="preserve">绍兴市文汇项目管理有限公司                                </w:t>
    </w:r>
  </w:p>
  <w:p w14:paraId="082E7B59">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DE6C0">
    <w:pPr>
      <w:pStyle w:val="18"/>
      <w:pBdr>
        <w:bottom w:val="single" w:color="auto" w:sz="4" w:space="1"/>
      </w:pBdr>
      <w:ind w:firstLine="180" w:firstLineChars="100"/>
      <w:jc w:val="both"/>
    </w:pPr>
    <w:r>
      <w:rPr>
        <w:rFonts w:hint="eastAsia" w:ascii="仿宋" w:hAnsi="仿宋" w:eastAsia="仿宋" w:cs="仿宋"/>
      </w:rPr>
      <w:t xml:space="preserve">绍兴市文汇项目管理有限公司                                          </w:t>
    </w:r>
    <w:r>
      <w:rPr>
        <w:rFonts w:hint="eastAsia"/>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08DA8">
    <w:pPr>
      <w:pStyle w:val="18"/>
      <w:pBdr>
        <w:bottom w:val="single" w:color="auto" w:sz="4" w:space="1"/>
      </w:pBdr>
      <w:jc w:val="left"/>
      <w:rPr>
        <w:rFonts w:ascii="仿宋_GB2312" w:eastAsia="仿宋"/>
        <w:b/>
        <w:i/>
        <w:iCs/>
        <w:u w:val="single"/>
      </w:rPr>
    </w:pPr>
    <w:r>
      <w:rPr>
        <w:rFonts w:hint="eastAsia" w:ascii="仿宋" w:hAnsi="仿宋" w:eastAsia="仿宋" w:cs="仿宋"/>
      </w:rPr>
      <w:t xml:space="preserve">绍兴市文汇项目管理有限公司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3A8DD2"/>
    <w:multiLevelType w:val="singleLevel"/>
    <w:tmpl w:val="C93A8DD2"/>
    <w:lvl w:ilvl="0" w:tentative="0">
      <w:start w:val="1"/>
      <w:numFmt w:val="decimal"/>
      <w:suff w:val="nothing"/>
      <w:lvlText w:val="（%1）"/>
      <w:lvlJc w:val="left"/>
    </w:lvl>
  </w:abstractNum>
  <w:abstractNum w:abstractNumId="1">
    <w:nsid w:val="F944B00C"/>
    <w:multiLevelType w:val="singleLevel"/>
    <w:tmpl w:val="F944B00C"/>
    <w:lvl w:ilvl="0" w:tentative="0">
      <w:start w:val="2"/>
      <w:numFmt w:val="decimal"/>
      <w:suff w:val="nothing"/>
      <w:lvlText w:val="%1、"/>
      <w:lvlJc w:val="left"/>
      <w:pPr>
        <w:ind w:left="420" w:firstLine="0"/>
      </w:pPr>
    </w:lvl>
  </w:abstractNum>
  <w:abstractNum w:abstractNumId="2">
    <w:nsid w:val="040D675F"/>
    <w:multiLevelType w:val="singleLevel"/>
    <w:tmpl w:val="040D675F"/>
    <w:lvl w:ilvl="0" w:tentative="0">
      <w:start w:val="1"/>
      <w:numFmt w:val="decimal"/>
      <w:suff w:val="nothing"/>
      <w:lvlText w:val="（%1）"/>
      <w:lvlJc w:val="left"/>
    </w:lvl>
  </w:abstractNum>
  <w:abstractNum w:abstractNumId="3">
    <w:nsid w:val="0BE8F9E2"/>
    <w:multiLevelType w:val="singleLevel"/>
    <w:tmpl w:val="0BE8F9E2"/>
    <w:lvl w:ilvl="0" w:tentative="0">
      <w:start w:val="1"/>
      <w:numFmt w:val="decimal"/>
      <w:pStyle w:val="9"/>
      <w:lvlText w:val="%1."/>
      <w:lvlJc w:val="left"/>
      <w:pPr>
        <w:tabs>
          <w:tab w:val="left" w:pos="360"/>
        </w:tabs>
        <w:ind w:left="360" w:hanging="360"/>
      </w:pPr>
    </w:lvl>
  </w:abstractNum>
  <w:abstractNum w:abstractNumId="4">
    <w:nsid w:val="1837188E"/>
    <w:multiLevelType w:val="singleLevel"/>
    <w:tmpl w:val="1837188E"/>
    <w:lvl w:ilvl="0" w:tentative="0">
      <w:start w:val="1"/>
      <w:numFmt w:val="decimal"/>
      <w:suff w:val="nothing"/>
      <w:lvlText w:val="（%1）"/>
      <w:lvlJc w:val="left"/>
    </w:lvl>
  </w:abstractNum>
  <w:abstractNum w:abstractNumId="5">
    <w:nsid w:val="2C2FC859"/>
    <w:multiLevelType w:val="singleLevel"/>
    <w:tmpl w:val="2C2FC859"/>
    <w:lvl w:ilvl="0" w:tentative="0">
      <w:start w:val="1"/>
      <w:numFmt w:val="decimal"/>
      <w:suff w:val="nothing"/>
      <w:lvlText w:val="（%1）"/>
      <w:lvlJc w:val="left"/>
    </w:lvl>
  </w:abstractNum>
  <w:abstractNum w:abstractNumId="6">
    <w:nsid w:val="3FB0C504"/>
    <w:multiLevelType w:val="singleLevel"/>
    <w:tmpl w:val="3FB0C504"/>
    <w:lvl w:ilvl="0" w:tentative="0">
      <w:start w:val="1"/>
      <w:numFmt w:val="decimal"/>
      <w:lvlText w:val="%1."/>
      <w:lvlJc w:val="left"/>
      <w:pPr>
        <w:tabs>
          <w:tab w:val="left" w:pos="312"/>
        </w:tabs>
      </w:pPr>
    </w:lvl>
  </w:abstractNum>
  <w:abstractNum w:abstractNumId="7">
    <w:nsid w:val="531C8658"/>
    <w:multiLevelType w:val="singleLevel"/>
    <w:tmpl w:val="531C8658"/>
    <w:lvl w:ilvl="0" w:tentative="0">
      <w:start w:val="1"/>
      <w:numFmt w:val="chineseCounting"/>
      <w:pStyle w:val="10"/>
      <w:suff w:val="nothing"/>
      <w:lvlText w:val="%1、"/>
      <w:lvlJc w:val="left"/>
      <w:pPr>
        <w:ind w:left="6090"/>
      </w:pPr>
    </w:lvl>
  </w:abstractNum>
  <w:abstractNum w:abstractNumId="8">
    <w:nsid w:val="545A512C"/>
    <w:multiLevelType w:val="multilevel"/>
    <w:tmpl w:val="545A512C"/>
    <w:lvl w:ilvl="0" w:tentative="0">
      <w:start w:val="1"/>
      <w:numFmt w:val="chineseCountingThousand"/>
      <w:pStyle w:val="45"/>
      <w:lvlText w:val="%1、"/>
      <w:lvlJc w:val="left"/>
      <w:pPr>
        <w:ind w:left="980" w:hanging="420"/>
      </w:pPr>
      <w:rPr>
        <w:sz w:val="32"/>
        <w:szCs w:val="32"/>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
    <w:nsid w:val="5684A312"/>
    <w:multiLevelType w:val="singleLevel"/>
    <w:tmpl w:val="5684A312"/>
    <w:lvl w:ilvl="0" w:tentative="0">
      <w:start w:val="1"/>
      <w:numFmt w:val="decimal"/>
      <w:pStyle w:val="8"/>
      <w:lvlText w:val="%1."/>
      <w:lvlJc w:val="left"/>
      <w:pPr>
        <w:tabs>
          <w:tab w:val="left" w:pos="780"/>
        </w:tabs>
        <w:ind w:left="780" w:hanging="360"/>
      </w:pPr>
    </w:lvl>
  </w:abstractNum>
  <w:abstractNum w:abstractNumId="10">
    <w:nsid w:val="78242DB5"/>
    <w:multiLevelType w:val="singleLevel"/>
    <w:tmpl w:val="78242DB5"/>
    <w:lvl w:ilvl="0" w:tentative="0">
      <w:start w:val="1"/>
      <w:numFmt w:val="decimal"/>
      <w:suff w:val="nothing"/>
      <w:lvlText w:val="（%1）"/>
      <w:lvlJc w:val="left"/>
    </w:lvl>
  </w:abstractNum>
  <w:abstractNum w:abstractNumId="11">
    <w:nsid w:val="78D37F43"/>
    <w:multiLevelType w:val="singleLevel"/>
    <w:tmpl w:val="78D37F43"/>
    <w:lvl w:ilvl="0" w:tentative="0">
      <w:start w:val="3"/>
      <w:numFmt w:val="chineseCounting"/>
      <w:suff w:val="nothing"/>
      <w:lvlText w:val="%1、"/>
      <w:lvlJc w:val="left"/>
      <w:rPr>
        <w:rFonts w:hint="eastAsia"/>
      </w:rPr>
    </w:lvl>
  </w:abstractNum>
  <w:num w:numId="1">
    <w:abstractNumId w:val="9"/>
  </w:num>
  <w:num w:numId="2">
    <w:abstractNumId w:val="3"/>
  </w:num>
  <w:num w:numId="3">
    <w:abstractNumId w:val="7"/>
  </w:num>
  <w:num w:numId="4">
    <w:abstractNumId w:val="8"/>
  </w:num>
  <w:num w:numId="5">
    <w:abstractNumId w:val="6"/>
  </w:num>
  <w:num w:numId="6">
    <w:abstractNumId w:val="2"/>
  </w:num>
  <w:num w:numId="7">
    <w:abstractNumId w:val="1"/>
  </w:num>
  <w:num w:numId="8">
    <w:abstractNumId w:val="0"/>
  </w:num>
  <w:num w:numId="9">
    <w:abstractNumId w:val="5"/>
  </w:num>
  <w:num w:numId="10">
    <w:abstractNumId w:val="1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MGI4NTI4ZDQxNzNlYzdhMGZhNDViOTUwZGJiMGIifQ=="/>
  </w:docVars>
  <w:rsids>
    <w:rsidRoot w:val="0DC80DA6"/>
    <w:rsid w:val="000035D4"/>
    <w:rsid w:val="000638C4"/>
    <w:rsid w:val="000816A5"/>
    <w:rsid w:val="000A76AC"/>
    <w:rsid w:val="000F3261"/>
    <w:rsid w:val="0015159C"/>
    <w:rsid w:val="001C1928"/>
    <w:rsid w:val="001D3A22"/>
    <w:rsid w:val="0025595A"/>
    <w:rsid w:val="00312835"/>
    <w:rsid w:val="003B0024"/>
    <w:rsid w:val="003C1867"/>
    <w:rsid w:val="00453739"/>
    <w:rsid w:val="004A4D6C"/>
    <w:rsid w:val="004B5142"/>
    <w:rsid w:val="00517826"/>
    <w:rsid w:val="00521ADF"/>
    <w:rsid w:val="005253BC"/>
    <w:rsid w:val="005F7130"/>
    <w:rsid w:val="006065FC"/>
    <w:rsid w:val="006E2AD3"/>
    <w:rsid w:val="00713C0E"/>
    <w:rsid w:val="007471DC"/>
    <w:rsid w:val="007B0E12"/>
    <w:rsid w:val="00801F99"/>
    <w:rsid w:val="008E3219"/>
    <w:rsid w:val="009143FB"/>
    <w:rsid w:val="009569FA"/>
    <w:rsid w:val="009A6800"/>
    <w:rsid w:val="009D3234"/>
    <w:rsid w:val="009F0081"/>
    <w:rsid w:val="00A91322"/>
    <w:rsid w:val="00A9380B"/>
    <w:rsid w:val="00AB0D33"/>
    <w:rsid w:val="00BE437E"/>
    <w:rsid w:val="00C47056"/>
    <w:rsid w:val="00C73036"/>
    <w:rsid w:val="00C748DC"/>
    <w:rsid w:val="00CC7E26"/>
    <w:rsid w:val="00DE2ACE"/>
    <w:rsid w:val="00E052C7"/>
    <w:rsid w:val="00E26B08"/>
    <w:rsid w:val="00E655E8"/>
    <w:rsid w:val="00F0497A"/>
    <w:rsid w:val="00F940B8"/>
    <w:rsid w:val="00FA2EBB"/>
    <w:rsid w:val="00FC385D"/>
    <w:rsid w:val="00FC5323"/>
    <w:rsid w:val="00FF0065"/>
    <w:rsid w:val="013A5CBA"/>
    <w:rsid w:val="0176597C"/>
    <w:rsid w:val="01ED654E"/>
    <w:rsid w:val="024263C3"/>
    <w:rsid w:val="036D7914"/>
    <w:rsid w:val="03820B89"/>
    <w:rsid w:val="03AA449E"/>
    <w:rsid w:val="03B05F7E"/>
    <w:rsid w:val="03C12883"/>
    <w:rsid w:val="04120998"/>
    <w:rsid w:val="055C757F"/>
    <w:rsid w:val="05AB4C1C"/>
    <w:rsid w:val="05B043D4"/>
    <w:rsid w:val="05D20FCC"/>
    <w:rsid w:val="061B11E8"/>
    <w:rsid w:val="062E7B41"/>
    <w:rsid w:val="064E336B"/>
    <w:rsid w:val="06B3330E"/>
    <w:rsid w:val="073210E3"/>
    <w:rsid w:val="078A4749"/>
    <w:rsid w:val="07CD206E"/>
    <w:rsid w:val="07F817E1"/>
    <w:rsid w:val="08033CE1"/>
    <w:rsid w:val="085540BD"/>
    <w:rsid w:val="08BE2079"/>
    <w:rsid w:val="094F7C68"/>
    <w:rsid w:val="09DD3AA4"/>
    <w:rsid w:val="0A62373C"/>
    <w:rsid w:val="0A913CD7"/>
    <w:rsid w:val="0BB90867"/>
    <w:rsid w:val="0C9D7573"/>
    <w:rsid w:val="0D29606F"/>
    <w:rsid w:val="0DC80DA6"/>
    <w:rsid w:val="0DD11895"/>
    <w:rsid w:val="0DE15A35"/>
    <w:rsid w:val="0DE77F12"/>
    <w:rsid w:val="0E034A3B"/>
    <w:rsid w:val="0E4D3F08"/>
    <w:rsid w:val="0EF72E12"/>
    <w:rsid w:val="0EFC679D"/>
    <w:rsid w:val="0F0740B7"/>
    <w:rsid w:val="0F1B11B3"/>
    <w:rsid w:val="0F481C21"/>
    <w:rsid w:val="0F732EE8"/>
    <w:rsid w:val="0F8A6C0E"/>
    <w:rsid w:val="10267ADD"/>
    <w:rsid w:val="113C45CF"/>
    <w:rsid w:val="11F87930"/>
    <w:rsid w:val="12B9066D"/>
    <w:rsid w:val="12C76CD7"/>
    <w:rsid w:val="136F734B"/>
    <w:rsid w:val="13885F0D"/>
    <w:rsid w:val="13D62F2E"/>
    <w:rsid w:val="13DC75A4"/>
    <w:rsid w:val="148A1A30"/>
    <w:rsid w:val="14A50415"/>
    <w:rsid w:val="14BC6B21"/>
    <w:rsid w:val="14CE23B0"/>
    <w:rsid w:val="14E66707"/>
    <w:rsid w:val="153973E7"/>
    <w:rsid w:val="156D28C5"/>
    <w:rsid w:val="15D15DE4"/>
    <w:rsid w:val="15DC4AEB"/>
    <w:rsid w:val="163F54FD"/>
    <w:rsid w:val="16466BB9"/>
    <w:rsid w:val="167D7355"/>
    <w:rsid w:val="16B12D2F"/>
    <w:rsid w:val="16DC0DAC"/>
    <w:rsid w:val="16F238E4"/>
    <w:rsid w:val="173B0FB2"/>
    <w:rsid w:val="17EE024D"/>
    <w:rsid w:val="17F54E17"/>
    <w:rsid w:val="186877E9"/>
    <w:rsid w:val="186D7D12"/>
    <w:rsid w:val="18CA3468"/>
    <w:rsid w:val="18DA5C03"/>
    <w:rsid w:val="19B53E60"/>
    <w:rsid w:val="19BF5329"/>
    <w:rsid w:val="19CD3F60"/>
    <w:rsid w:val="19F70F1C"/>
    <w:rsid w:val="19FA76D8"/>
    <w:rsid w:val="1A31263E"/>
    <w:rsid w:val="1A965070"/>
    <w:rsid w:val="1AB0632D"/>
    <w:rsid w:val="1AE4238D"/>
    <w:rsid w:val="1BE82ABE"/>
    <w:rsid w:val="1BF347A8"/>
    <w:rsid w:val="1C0E480B"/>
    <w:rsid w:val="1C0E75C7"/>
    <w:rsid w:val="1C751B80"/>
    <w:rsid w:val="1CB05D35"/>
    <w:rsid w:val="1D6E3164"/>
    <w:rsid w:val="1DC27B05"/>
    <w:rsid w:val="1E834A1F"/>
    <w:rsid w:val="1E9A0651"/>
    <w:rsid w:val="1F6E09E9"/>
    <w:rsid w:val="1FC6390B"/>
    <w:rsid w:val="1FDD9EA7"/>
    <w:rsid w:val="201E1B14"/>
    <w:rsid w:val="20CE4CFC"/>
    <w:rsid w:val="20D4556E"/>
    <w:rsid w:val="210D4748"/>
    <w:rsid w:val="21A65541"/>
    <w:rsid w:val="22621177"/>
    <w:rsid w:val="22695CA5"/>
    <w:rsid w:val="227C6712"/>
    <w:rsid w:val="22DC55BE"/>
    <w:rsid w:val="24696049"/>
    <w:rsid w:val="246F652F"/>
    <w:rsid w:val="24942D38"/>
    <w:rsid w:val="25053399"/>
    <w:rsid w:val="26753BA5"/>
    <w:rsid w:val="267F0C45"/>
    <w:rsid w:val="26AC0B28"/>
    <w:rsid w:val="26B96787"/>
    <w:rsid w:val="27C668BE"/>
    <w:rsid w:val="280D0539"/>
    <w:rsid w:val="28380D8B"/>
    <w:rsid w:val="28455D43"/>
    <w:rsid w:val="28540D4C"/>
    <w:rsid w:val="28B9626D"/>
    <w:rsid w:val="28DD1D90"/>
    <w:rsid w:val="2901250A"/>
    <w:rsid w:val="29D815B6"/>
    <w:rsid w:val="29E7878C"/>
    <w:rsid w:val="29EF79C6"/>
    <w:rsid w:val="29F62FB8"/>
    <w:rsid w:val="2A0705D5"/>
    <w:rsid w:val="2A907A0C"/>
    <w:rsid w:val="2A94698E"/>
    <w:rsid w:val="2B413759"/>
    <w:rsid w:val="2B677E9D"/>
    <w:rsid w:val="2BCBD7A4"/>
    <w:rsid w:val="2C6F47F1"/>
    <w:rsid w:val="2C972C28"/>
    <w:rsid w:val="2CFC5020"/>
    <w:rsid w:val="2DBF6186"/>
    <w:rsid w:val="2F1A353B"/>
    <w:rsid w:val="2F4A02C4"/>
    <w:rsid w:val="2FB41BE1"/>
    <w:rsid w:val="2FCA44D9"/>
    <w:rsid w:val="30226B4B"/>
    <w:rsid w:val="31162BA7"/>
    <w:rsid w:val="318F349B"/>
    <w:rsid w:val="31B04D12"/>
    <w:rsid w:val="328167F6"/>
    <w:rsid w:val="32E77707"/>
    <w:rsid w:val="33273284"/>
    <w:rsid w:val="337C0328"/>
    <w:rsid w:val="34CB012C"/>
    <w:rsid w:val="352C63E1"/>
    <w:rsid w:val="3589417D"/>
    <w:rsid w:val="362C39DA"/>
    <w:rsid w:val="36DF6B32"/>
    <w:rsid w:val="37F549E2"/>
    <w:rsid w:val="37FF9633"/>
    <w:rsid w:val="37FFFA79"/>
    <w:rsid w:val="380B3BA5"/>
    <w:rsid w:val="382858E6"/>
    <w:rsid w:val="38392C84"/>
    <w:rsid w:val="38482EC7"/>
    <w:rsid w:val="38D66725"/>
    <w:rsid w:val="391A5B2E"/>
    <w:rsid w:val="3950497F"/>
    <w:rsid w:val="396E6B6D"/>
    <w:rsid w:val="3971130D"/>
    <w:rsid w:val="39E434BF"/>
    <w:rsid w:val="3A944AE9"/>
    <w:rsid w:val="3AC308CE"/>
    <w:rsid w:val="3B3246E2"/>
    <w:rsid w:val="3B502649"/>
    <w:rsid w:val="3BCD2131"/>
    <w:rsid w:val="3BFE3EDD"/>
    <w:rsid w:val="3C4F5D1F"/>
    <w:rsid w:val="3C595724"/>
    <w:rsid w:val="3CBB2697"/>
    <w:rsid w:val="3CDF6FE8"/>
    <w:rsid w:val="3E1F757A"/>
    <w:rsid w:val="3F081268"/>
    <w:rsid w:val="3F3F2D2B"/>
    <w:rsid w:val="3F73D6AE"/>
    <w:rsid w:val="3F7FB879"/>
    <w:rsid w:val="3FA516F6"/>
    <w:rsid w:val="3FD71509"/>
    <w:rsid w:val="40493C80"/>
    <w:rsid w:val="40820FB6"/>
    <w:rsid w:val="40C578D2"/>
    <w:rsid w:val="40D672C6"/>
    <w:rsid w:val="40F526FF"/>
    <w:rsid w:val="418D78DC"/>
    <w:rsid w:val="41C0677F"/>
    <w:rsid w:val="41E82FB9"/>
    <w:rsid w:val="422903AD"/>
    <w:rsid w:val="427A28DC"/>
    <w:rsid w:val="42CA27D4"/>
    <w:rsid w:val="42EC08AE"/>
    <w:rsid w:val="43516679"/>
    <w:rsid w:val="437C4F46"/>
    <w:rsid w:val="438E0EAA"/>
    <w:rsid w:val="44E342C2"/>
    <w:rsid w:val="44EB5572"/>
    <w:rsid w:val="44EC561F"/>
    <w:rsid w:val="450D332F"/>
    <w:rsid w:val="457E17AD"/>
    <w:rsid w:val="46DC7CA9"/>
    <w:rsid w:val="47D17C47"/>
    <w:rsid w:val="48292E4F"/>
    <w:rsid w:val="49020593"/>
    <w:rsid w:val="491B5985"/>
    <w:rsid w:val="491D54AE"/>
    <w:rsid w:val="49787384"/>
    <w:rsid w:val="49D26504"/>
    <w:rsid w:val="4A737F34"/>
    <w:rsid w:val="4B7725B0"/>
    <w:rsid w:val="4C570329"/>
    <w:rsid w:val="4C696E3D"/>
    <w:rsid w:val="4CCF152C"/>
    <w:rsid w:val="4CF01524"/>
    <w:rsid w:val="4D477799"/>
    <w:rsid w:val="4D824FA2"/>
    <w:rsid w:val="4D9E7409"/>
    <w:rsid w:val="4E0C2ABC"/>
    <w:rsid w:val="4E5B1B19"/>
    <w:rsid w:val="4EA62ADA"/>
    <w:rsid w:val="4EAC1094"/>
    <w:rsid w:val="4EBF2DC9"/>
    <w:rsid w:val="4EFD0E11"/>
    <w:rsid w:val="4F0E097B"/>
    <w:rsid w:val="4F162F18"/>
    <w:rsid w:val="4FA47125"/>
    <w:rsid w:val="4FFAA75B"/>
    <w:rsid w:val="50930868"/>
    <w:rsid w:val="513C3C03"/>
    <w:rsid w:val="513F3DDB"/>
    <w:rsid w:val="52595319"/>
    <w:rsid w:val="5264494A"/>
    <w:rsid w:val="532E322D"/>
    <w:rsid w:val="538725BE"/>
    <w:rsid w:val="544360E1"/>
    <w:rsid w:val="54745318"/>
    <w:rsid w:val="556B5680"/>
    <w:rsid w:val="55E75C60"/>
    <w:rsid w:val="560361BE"/>
    <w:rsid w:val="567856D7"/>
    <w:rsid w:val="567D05FB"/>
    <w:rsid w:val="57A741ED"/>
    <w:rsid w:val="57CB1AC4"/>
    <w:rsid w:val="593D2E48"/>
    <w:rsid w:val="595B065F"/>
    <w:rsid w:val="598A078C"/>
    <w:rsid w:val="5A8329B7"/>
    <w:rsid w:val="5ADC2091"/>
    <w:rsid w:val="5B8027F4"/>
    <w:rsid w:val="5B920D80"/>
    <w:rsid w:val="5C3F4357"/>
    <w:rsid w:val="5C401F83"/>
    <w:rsid w:val="5C4F5ACC"/>
    <w:rsid w:val="5C655522"/>
    <w:rsid w:val="5C8D7465"/>
    <w:rsid w:val="5DFE6042"/>
    <w:rsid w:val="5E08087F"/>
    <w:rsid w:val="5F846F25"/>
    <w:rsid w:val="5FB511FC"/>
    <w:rsid w:val="60392F6C"/>
    <w:rsid w:val="6074192F"/>
    <w:rsid w:val="619F6539"/>
    <w:rsid w:val="61E574AA"/>
    <w:rsid w:val="6208709F"/>
    <w:rsid w:val="62725DF9"/>
    <w:rsid w:val="631D56B7"/>
    <w:rsid w:val="63F770B3"/>
    <w:rsid w:val="64713622"/>
    <w:rsid w:val="64B15F05"/>
    <w:rsid w:val="64F94F76"/>
    <w:rsid w:val="65044188"/>
    <w:rsid w:val="67C45988"/>
    <w:rsid w:val="68C97F26"/>
    <w:rsid w:val="69432CA5"/>
    <w:rsid w:val="697272B2"/>
    <w:rsid w:val="697B284D"/>
    <w:rsid w:val="69BE7FAA"/>
    <w:rsid w:val="6A1A64E6"/>
    <w:rsid w:val="6A6662D3"/>
    <w:rsid w:val="6B927388"/>
    <w:rsid w:val="6BA37623"/>
    <w:rsid w:val="6C172D01"/>
    <w:rsid w:val="6C690A25"/>
    <w:rsid w:val="6CCC40C7"/>
    <w:rsid w:val="6CED740C"/>
    <w:rsid w:val="6D236852"/>
    <w:rsid w:val="6E7B429C"/>
    <w:rsid w:val="6FA7306B"/>
    <w:rsid w:val="7026268D"/>
    <w:rsid w:val="7076344A"/>
    <w:rsid w:val="71316D8D"/>
    <w:rsid w:val="71404BC1"/>
    <w:rsid w:val="71C83762"/>
    <w:rsid w:val="72206DF5"/>
    <w:rsid w:val="727CEB49"/>
    <w:rsid w:val="72C47013"/>
    <w:rsid w:val="73B6762F"/>
    <w:rsid w:val="74175D60"/>
    <w:rsid w:val="75B61AC3"/>
    <w:rsid w:val="75DC79D2"/>
    <w:rsid w:val="76DC45E7"/>
    <w:rsid w:val="770A10FE"/>
    <w:rsid w:val="782C55EA"/>
    <w:rsid w:val="78705ED4"/>
    <w:rsid w:val="79AC7E8A"/>
    <w:rsid w:val="79FB32DA"/>
    <w:rsid w:val="7A7D77DF"/>
    <w:rsid w:val="7AFFFCAD"/>
    <w:rsid w:val="7B65FEB6"/>
    <w:rsid w:val="7B766ACA"/>
    <w:rsid w:val="7BD5B596"/>
    <w:rsid w:val="7BEAB87C"/>
    <w:rsid w:val="7BFB5E30"/>
    <w:rsid w:val="7C0B489A"/>
    <w:rsid w:val="7DC51689"/>
    <w:rsid w:val="7E1F77F3"/>
    <w:rsid w:val="7E7919E3"/>
    <w:rsid w:val="7EC42148"/>
    <w:rsid w:val="7F0B3D6D"/>
    <w:rsid w:val="7F7B47F8"/>
    <w:rsid w:val="7FBD004E"/>
    <w:rsid w:val="7FE20BAC"/>
    <w:rsid w:val="7FF7ADC4"/>
    <w:rsid w:val="B57DD051"/>
    <w:rsid w:val="BBBFF057"/>
    <w:rsid w:val="BFAF0590"/>
    <w:rsid w:val="CFFDF7C3"/>
    <w:rsid w:val="D2C768BF"/>
    <w:rsid w:val="DAD7E08C"/>
    <w:rsid w:val="DFDFD3B1"/>
    <w:rsid w:val="E71F4C20"/>
    <w:rsid w:val="EB7A6CCE"/>
    <w:rsid w:val="EF9F9FB9"/>
    <w:rsid w:val="FB37ECF5"/>
    <w:rsid w:val="FCDD7510"/>
    <w:rsid w:val="FF5FEC7E"/>
    <w:rsid w:val="FF6728AE"/>
    <w:rsid w:val="FF7B4775"/>
    <w:rsid w:val="FFBF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3"/>
    <w:qFormat/>
    <w:uiPriority w:val="9"/>
    <w:pPr>
      <w:keepNext/>
      <w:keepLines/>
      <w:tabs>
        <w:tab w:val="left" w:pos="432"/>
      </w:tabs>
      <w:spacing w:before="340" w:after="330" w:line="578" w:lineRule="auto"/>
      <w:ind w:left="432" w:hanging="432"/>
      <w:outlineLvl w:val="0"/>
    </w:pPr>
    <w:rPr>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778"/>
      </w:tabs>
      <w:spacing w:before="156" w:beforeLines="50" w:after="156" w:afterLines="50" w:line="360" w:lineRule="auto"/>
      <w:ind w:firstLine="138" w:firstLineChars="49"/>
      <w:outlineLvl w:val="2"/>
    </w:pPr>
    <w:rPr>
      <w:rFonts w:ascii="Arial" w:hAnsi="宋体"/>
      <w:b/>
      <w:sz w:val="28"/>
    </w:rPr>
  </w:style>
  <w:style w:type="paragraph" w:styleId="6">
    <w:name w:val="heading 4"/>
    <w:basedOn w:val="1"/>
    <w:next w:val="1"/>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unhideWhenUsed/>
    <w:qFormat/>
    <w:uiPriority w:val="9"/>
    <w:pPr>
      <w:keepNext/>
      <w:keepLines/>
      <w:spacing w:before="80" w:after="40"/>
      <w:outlineLvl w:val="4"/>
    </w:pPr>
    <w:rPr>
      <w:rFonts w:cstheme="majorBidi"/>
      <w:color w:val="2E54A1" w:themeColor="accent1" w:themeShade="BF"/>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widowControl/>
      <w:snapToGrid w:val="0"/>
      <w:spacing w:line="480" w:lineRule="exact"/>
      <w:ind w:firstLine="567"/>
    </w:pPr>
    <w:rPr>
      <w:rFonts w:ascii="宋体"/>
      <w:snapToGrid w:val="0"/>
      <w:color w:val="000000"/>
      <w:kern w:val="28"/>
      <w:sz w:val="28"/>
      <w:szCs w:val="20"/>
    </w:rPr>
  </w:style>
  <w:style w:type="paragraph" w:styleId="8">
    <w:name w:val="List Number 2"/>
    <w:basedOn w:val="1"/>
    <w:qFormat/>
    <w:uiPriority w:val="0"/>
    <w:pPr>
      <w:numPr>
        <w:ilvl w:val="0"/>
        <w:numId w:val="1"/>
      </w:numPr>
    </w:pPr>
  </w:style>
  <w:style w:type="paragraph" w:styleId="9">
    <w:name w:val="List Number"/>
    <w:basedOn w:val="1"/>
    <w:qFormat/>
    <w:uiPriority w:val="0"/>
    <w:pPr>
      <w:numPr>
        <w:ilvl w:val="0"/>
        <w:numId w:val="2"/>
      </w:numPr>
    </w:pPr>
  </w:style>
  <w:style w:type="paragraph" w:styleId="10">
    <w:name w:val="toa heading"/>
    <w:basedOn w:val="1"/>
    <w:next w:val="1"/>
    <w:unhideWhenUsed/>
    <w:qFormat/>
    <w:uiPriority w:val="99"/>
    <w:pPr>
      <w:numPr>
        <w:ilvl w:val="0"/>
        <w:numId w:val="3"/>
      </w:numPr>
      <w:jc w:val="center"/>
    </w:pPr>
    <w:rPr>
      <w:rFonts w:ascii="Arial" w:hAnsi="Arial" w:eastAsia="黑体"/>
      <w:b/>
      <w:kern w:val="0"/>
      <w:sz w:val="36"/>
      <w:lang w:val="zh-CN"/>
    </w:rPr>
  </w:style>
  <w:style w:type="paragraph" w:styleId="11">
    <w:name w:val="annotation text"/>
    <w:basedOn w:val="1"/>
    <w:qFormat/>
    <w:uiPriority w:val="99"/>
    <w:pPr>
      <w:jc w:val="left"/>
    </w:pPr>
  </w:style>
  <w:style w:type="paragraph" w:styleId="12">
    <w:name w:val="Body Text"/>
    <w:basedOn w:val="1"/>
    <w:next w:val="13"/>
    <w:qFormat/>
    <w:uiPriority w:val="0"/>
    <w:pPr>
      <w:autoSpaceDE w:val="0"/>
      <w:autoSpaceDN w:val="0"/>
      <w:spacing w:line="360" w:lineRule="auto"/>
    </w:pPr>
    <w:rPr>
      <w:rFonts w:ascii="宋体" w:hAnsi="Arial" w:cs="Arial"/>
      <w:snapToGrid w:val="0"/>
      <w:sz w:val="24"/>
      <w:szCs w:val="21"/>
      <w:lang w:val="zh-CN"/>
    </w:rPr>
  </w:style>
  <w:style w:type="paragraph" w:styleId="13">
    <w:name w:val="Body Text First Indent"/>
    <w:basedOn w:val="12"/>
    <w:next w:val="1"/>
    <w:qFormat/>
    <w:uiPriority w:val="0"/>
    <w:pPr>
      <w:ind w:firstLine="420"/>
    </w:pPr>
    <w:rPr>
      <w:rFonts w:hAnsi="Calibri" w:cs="Times New Roman"/>
      <w:snapToGrid/>
      <w:szCs w:val="20"/>
    </w:rPr>
  </w:style>
  <w:style w:type="paragraph" w:styleId="14">
    <w:name w:val="Body Text Indent"/>
    <w:basedOn w:val="1"/>
    <w:next w:val="1"/>
    <w:qFormat/>
    <w:uiPriority w:val="0"/>
    <w:pPr>
      <w:spacing w:line="480" w:lineRule="exact"/>
      <w:ind w:firstLine="480" w:firstLineChars="200"/>
    </w:pPr>
    <w:rPr>
      <w:rFonts w:ascii="宋体" w:hAnsi="宋体"/>
      <w:sz w:val="24"/>
    </w:rPr>
  </w:style>
  <w:style w:type="paragraph" w:styleId="15">
    <w:name w:val="Block Text"/>
    <w:basedOn w:val="1"/>
    <w:next w:val="6"/>
    <w:qFormat/>
    <w:uiPriority w:val="0"/>
    <w:pPr>
      <w:ind w:left="-359" w:leftChars="-171" w:right="-244" w:rightChars="-244" w:firstLine="501" w:firstLineChars="239"/>
    </w:pPr>
    <w:rPr>
      <w:rFonts w:ascii="仿宋_GB2312" w:eastAsia="仿宋_GB2312"/>
      <w:sz w:val="30"/>
      <w:szCs w:val="20"/>
    </w:rPr>
  </w:style>
  <w:style w:type="paragraph" w:styleId="16">
    <w:name w:val="Plain Text"/>
    <w:basedOn w:val="1"/>
    <w:next w:val="1"/>
    <w:qFormat/>
    <w:uiPriority w:val="0"/>
    <w:rPr>
      <w:rFonts w:ascii="宋体" w:hAnsi="Courier New" w:cs="Arial"/>
      <w:snapToGrid w:val="0"/>
      <w:szCs w:val="21"/>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9">
    <w:name w:val="Subtitle"/>
    <w:basedOn w:val="1"/>
    <w:next w:val="1"/>
    <w:qFormat/>
    <w:uiPriority w:val="0"/>
    <w:pPr>
      <w:snapToGrid w:val="0"/>
      <w:spacing w:before="240" w:after="480"/>
      <w:jc w:val="center"/>
    </w:pPr>
    <w:rPr>
      <w:rFonts w:ascii="Arial" w:hAnsi="Arial" w:eastAsia="隶书"/>
      <w:b/>
      <w:bCs/>
      <w:kern w:val="28"/>
      <w:sz w:val="44"/>
      <w:szCs w:val="32"/>
    </w:rPr>
  </w:style>
  <w:style w:type="paragraph" w:styleId="20">
    <w:name w:val="table of figures"/>
    <w:basedOn w:val="1"/>
    <w:next w:val="1"/>
    <w:qFormat/>
    <w:uiPriority w:val="0"/>
    <w:pPr>
      <w:ind w:left="420" w:hanging="420"/>
      <w:jc w:val="left"/>
    </w:pPr>
    <w:rPr>
      <w:smallCaps/>
      <w:sz w:val="20"/>
    </w:rPr>
  </w:style>
  <w:style w:type="paragraph" w:styleId="21">
    <w:name w:val="Body Text 2"/>
    <w:basedOn w:val="1"/>
    <w:qFormat/>
    <w:uiPriority w:val="0"/>
    <w:pPr>
      <w:spacing w:after="120" w:line="480" w:lineRule="auto"/>
    </w:pPr>
  </w:style>
  <w:style w:type="paragraph" w:styleId="22">
    <w:name w:val="Normal (Web)"/>
    <w:basedOn w:val="1"/>
    <w:qFormat/>
    <w:uiPriority w:val="0"/>
    <w:pPr>
      <w:spacing w:beforeAutospacing="1" w:afterAutospacing="1"/>
      <w:jc w:val="left"/>
    </w:pPr>
    <w:rPr>
      <w:kern w:val="0"/>
      <w:sz w:val="24"/>
    </w:rPr>
  </w:style>
  <w:style w:type="paragraph" w:styleId="23">
    <w:name w:val="Title"/>
    <w:basedOn w:val="1"/>
    <w:next w:val="1"/>
    <w:qFormat/>
    <w:uiPriority w:val="0"/>
    <w:pPr>
      <w:spacing w:before="240" w:after="60" w:line="360" w:lineRule="auto"/>
      <w:ind w:firstLine="200" w:firstLineChars="200"/>
      <w:jc w:val="center"/>
      <w:outlineLvl w:val="0"/>
    </w:pPr>
    <w:rPr>
      <w:rFonts w:ascii="Arial" w:hAnsi="Arial" w:eastAsia="楷体_GB2312" w:cs="Arial"/>
      <w:b/>
      <w:bCs/>
      <w:sz w:val="32"/>
      <w:szCs w:val="32"/>
    </w:rPr>
  </w:style>
  <w:style w:type="paragraph" w:styleId="24">
    <w:name w:val="Body Text First Indent 2"/>
    <w:basedOn w:val="14"/>
    <w:qFormat/>
    <w:uiPriority w:val="0"/>
    <w:pPr>
      <w:adjustRightInd/>
      <w:spacing w:after="120" w:line="240" w:lineRule="auto"/>
      <w:ind w:left="420" w:leftChars="200" w:firstLine="210"/>
    </w:pPr>
    <w:rPr>
      <w:sz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rPr>
  </w:style>
  <w:style w:type="character" w:styleId="29">
    <w:name w:val="page number"/>
    <w:basedOn w:val="27"/>
    <w:qFormat/>
    <w:uiPriority w:val="0"/>
    <w:rPr>
      <w:rFonts w:ascii="Arial" w:hAnsi="Arial" w:eastAsia="黑体" w:cs="Arial"/>
      <w:snapToGrid w:val="0"/>
      <w:kern w:val="0"/>
      <w:szCs w:val="21"/>
    </w:rPr>
  </w:style>
  <w:style w:type="character" w:styleId="30">
    <w:name w:val="Emphasis"/>
    <w:basedOn w:val="27"/>
    <w:qFormat/>
    <w:uiPriority w:val="0"/>
    <w:rPr>
      <w:i/>
    </w:rPr>
  </w:style>
  <w:style w:type="character" w:styleId="31">
    <w:name w:val="Hyperlink"/>
    <w:qFormat/>
    <w:uiPriority w:val="99"/>
    <w:rPr>
      <w:rFonts w:ascii="Arial" w:hAnsi="Arial" w:eastAsia="黑体" w:cs="Arial"/>
      <w:snapToGrid w:val="0"/>
      <w:color w:val="000000"/>
      <w:kern w:val="0"/>
      <w:sz w:val="18"/>
      <w:szCs w:val="18"/>
      <w:u w:val="none"/>
    </w:rPr>
  </w:style>
  <w:style w:type="paragraph" w:customStyle="1" w:styleId="3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3">
    <w:name w:val="目录 71"/>
    <w:next w:val="1"/>
    <w:qFormat/>
    <w:uiPriority w:val="0"/>
    <w:pPr>
      <w:wordWrap w:val="0"/>
      <w:ind w:left="2550"/>
      <w:jc w:val="both"/>
    </w:pPr>
    <w:rPr>
      <w:rFonts w:ascii="宋体" w:hAnsi="宋体" w:eastAsia="Times New Roman" w:cs="Times New Roman"/>
      <w:sz w:val="21"/>
      <w:lang w:val="en-US" w:eastAsia="zh-CN" w:bidi="ar-SA"/>
    </w:rPr>
  </w:style>
  <w:style w:type="paragraph" w:customStyle="1" w:styleId="34">
    <w:name w:val="!大节"/>
    <w:basedOn w:val="2"/>
    <w:qFormat/>
    <w:uiPriority w:val="0"/>
    <w:pPr>
      <w:spacing w:before="260" w:after="260" w:line="415" w:lineRule="auto"/>
      <w:ind w:left="420" w:hanging="420"/>
    </w:pPr>
    <w:rPr>
      <w:rFonts w:ascii="Arial" w:hAnsi="Arial" w:eastAsia="微软雅黑"/>
      <w:lang w:val="en-US"/>
    </w:rPr>
  </w:style>
  <w:style w:type="paragraph" w:customStyle="1" w:styleId="35">
    <w:name w:val="正文2"/>
    <w:basedOn w:val="1"/>
    <w:qFormat/>
    <w:uiPriority w:val="0"/>
    <w:pPr>
      <w:spacing w:before="156" w:line="360" w:lineRule="auto"/>
      <w:ind w:firstLine="510" w:firstLineChars="200"/>
    </w:pPr>
    <w:rPr>
      <w:sz w:val="24"/>
      <w:szCs w:val="20"/>
    </w:rPr>
  </w:style>
  <w:style w:type="paragraph" w:customStyle="1" w:styleId="36">
    <w:name w:val="索引 11"/>
    <w:basedOn w:val="1"/>
    <w:next w:val="1"/>
    <w:qFormat/>
    <w:uiPriority w:val="99"/>
    <w:pPr>
      <w:adjustRightInd/>
      <w:spacing w:line="360" w:lineRule="auto"/>
    </w:pPr>
    <w:rPr>
      <w:rFonts w:ascii="仿宋_GB2312" w:eastAsia="仿宋_GB2312"/>
      <w:sz w:val="24"/>
      <w:szCs w:val="20"/>
    </w:rPr>
  </w:style>
  <w:style w:type="paragraph" w:customStyle="1" w:styleId="37">
    <w:name w:val="无间隔1"/>
    <w:qFormat/>
    <w:uiPriority w:val="1"/>
    <w:rPr>
      <w:rFonts w:ascii="Times New Roman" w:hAnsi="Times New Roman" w:eastAsia="宋体" w:cs="Times New Roman"/>
      <w:sz w:val="22"/>
      <w:szCs w:val="22"/>
      <w:lang w:val="en-US" w:eastAsia="zh-CN" w:bidi="ar-SA"/>
    </w:rPr>
  </w:style>
  <w:style w:type="paragraph" w:customStyle="1" w:styleId="38">
    <w:name w:val="PlainText"/>
    <w:basedOn w:val="1"/>
    <w:next w:val="1"/>
    <w:qFormat/>
    <w:uiPriority w:val="0"/>
    <w:rPr>
      <w:rFonts w:ascii="宋体" w:hAnsi="Courier New"/>
    </w:rPr>
  </w:style>
  <w:style w:type="character" w:customStyle="1" w:styleId="39">
    <w:name w:val="NormalCharacter"/>
    <w:semiHidden/>
    <w:qFormat/>
    <w:uiPriority w:val="0"/>
  </w:style>
  <w:style w:type="paragraph" w:customStyle="1" w:styleId="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42">
    <w:name w:val="正文段"/>
    <w:basedOn w:val="1"/>
    <w:qFormat/>
    <w:uiPriority w:val="0"/>
    <w:pPr>
      <w:widowControl/>
      <w:snapToGrid w:val="0"/>
      <w:spacing w:after="156" w:afterLines="50"/>
      <w:ind w:firstLine="200" w:firstLineChars="200"/>
    </w:pPr>
    <w:rPr>
      <w:kern w:val="0"/>
      <w:sz w:val="24"/>
      <w:szCs w:val="20"/>
    </w:rPr>
  </w:style>
  <w:style w:type="paragraph" w:customStyle="1" w:styleId="4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4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45">
    <w:name w:val="纯文本3"/>
    <w:basedOn w:val="46"/>
    <w:qFormat/>
    <w:uiPriority w:val="0"/>
    <w:pPr>
      <w:numPr>
        <w:ilvl w:val="0"/>
        <w:numId w:val="4"/>
      </w:numPr>
      <w:autoSpaceDE w:val="0"/>
      <w:autoSpaceDN w:val="0"/>
      <w:adjustRightInd w:val="0"/>
      <w:ind w:left="0" w:firstLine="0"/>
      <w:textAlignment w:val="baseline"/>
    </w:pPr>
    <w:rPr>
      <w:rFonts w:ascii="宋体" w:hAnsi="Tms Rmn"/>
      <w:kern w:val="0"/>
    </w:rPr>
  </w:style>
  <w:style w:type="paragraph" w:customStyle="1" w:styleId="46">
    <w:name w:val="正文7"/>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47">
    <w:name w:val="正文缩进2"/>
    <w:basedOn w:val="1"/>
    <w:qFormat/>
    <w:uiPriority w:val="0"/>
    <w:pPr>
      <w:spacing w:before="60"/>
      <w:ind w:firstLine="476"/>
    </w:pPr>
  </w:style>
  <w:style w:type="paragraph" w:customStyle="1" w:styleId="48">
    <w:name w:val="Body Text First Indent 21"/>
    <w:basedOn w:val="1"/>
    <w:qFormat/>
    <w:uiPriority w:val="0"/>
    <w:pPr>
      <w:autoSpaceDE w:val="0"/>
      <w:autoSpaceDN w:val="0"/>
      <w:spacing w:after="120"/>
      <w:ind w:left="200" w:leftChars="200" w:firstLine="420"/>
    </w:pPr>
    <w:rPr>
      <w:rFonts w:ascii="宋体" w:hAnsi="Calibri" w:cs="宋体"/>
      <w:sz w:val="24"/>
      <w:szCs w:val="21"/>
    </w:rPr>
  </w:style>
  <w:style w:type="paragraph" w:customStyle="1" w:styleId="49">
    <w:name w:val="Table Text"/>
    <w:basedOn w:val="1"/>
    <w:qFormat/>
    <w:uiPriority w:val="99"/>
    <w:rPr>
      <w:rFonts w:ascii="仿宋" w:hAnsi="仿宋" w:eastAsia="仿宋" w:cs="仿宋"/>
      <w:szCs w:val="21"/>
      <w:lang w:eastAsia="en-US"/>
    </w:rPr>
  </w:style>
  <w:style w:type="character" w:customStyle="1" w:styleId="50">
    <w:name w:val="标题 1 字符"/>
    <w:link w:val="3"/>
    <w:qFormat/>
    <w:uiPriority w:val="0"/>
    <w:rPr>
      <w:b/>
      <w:bCs/>
      <w:kern w:val="44"/>
      <w:sz w:val="44"/>
      <w:szCs w:val="44"/>
    </w:rPr>
  </w:style>
  <w:style w:type="paragraph" w:styleId="51">
    <w:name w:val="List Paragraph"/>
    <w:basedOn w:val="1"/>
    <w:qFormat/>
    <w:uiPriority w:val="34"/>
    <w:pPr>
      <w:ind w:left="720"/>
      <w:contextualSpacing/>
    </w:pPr>
  </w:style>
  <w:style w:type="paragraph" w:customStyle="1" w:styleId="52">
    <w:name w:val="首行缩进"/>
    <w:basedOn w:val="1"/>
    <w:qFormat/>
    <w:uiPriority w:val="0"/>
    <w:pPr>
      <w:spacing w:line="360" w:lineRule="auto"/>
      <w:ind w:firstLine="480" w:firstLineChars="200"/>
    </w:pPr>
    <w:rPr>
      <w:sz w:val="24"/>
      <w:szCs w:val="22"/>
      <w:lang w:val="zh-CN"/>
    </w:rPr>
  </w:style>
  <w:style w:type="character" w:customStyle="1" w:styleId="53">
    <w:name w:val="标题 1 Char1"/>
    <w:link w:val="3"/>
    <w:qFormat/>
    <w:uiPriority w:val="0"/>
    <w:rPr>
      <w:rFonts w:ascii="宋体"/>
      <w:color w:val="000000"/>
      <w:sz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89</Pages>
  <Words>23490</Words>
  <Characters>24936</Characters>
  <Lines>370</Lines>
  <Paragraphs>104</Paragraphs>
  <TotalTime>66</TotalTime>
  <ScaleCrop>false</ScaleCrop>
  <LinksUpToDate>false</LinksUpToDate>
  <CharactersWithSpaces>26589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2024-08-26T10:44:00Z</dcterms:created>
  <dc:creator>.</dc:creator>
  <cp:lastModifiedBy>.</cp:lastModifiedBy>
  <cp:lastPrinted>2025-06-03T03:54:00Z</cp:lastPrinted>
  <dcterms:modified xsi:type="dcterms:W3CDTF">2026-05-22T05:20:00Z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3905460159FE4BD8B416DB0A77D0445D_13</vt:lpwstr>
  </property>
  <property fmtid="{D5CDD505-2E9C-101B-9397-08002B2CF9AE}" pid="4" name="KSOTemplateDocerSaveRecord">
    <vt:lpwstr>eyJoZGlkIjoiNTNlMGI4NTI4ZDQxNzNlYzdhMGZhNDViOTUwZGJiMGIiLCJ1c2VySWQiOiIxMTYwNjM0ODM0In0=</vt:lpwstr>
  </property>
</Properties>
</file>