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E6C0A">
      <w:pPr>
        <w:spacing w:line="276" w:lineRule="auto"/>
        <w:rPr>
          <w:rFonts w:ascii="仿宋_GB2312" w:hAnsi="仿宋_GB2312" w:eastAsia="仿宋_GB2312" w:cs="仿宋_GB2312"/>
          <w:color w:val="auto"/>
          <w:highlight w:val="none"/>
        </w:rPr>
      </w:pPr>
      <w:bookmarkStart w:id="265" w:name="_GoBack"/>
    </w:p>
    <w:p w14:paraId="60B37CBE">
      <w:pPr>
        <w:spacing w:line="276" w:lineRule="auto"/>
        <w:rPr>
          <w:rFonts w:ascii="仿宋_GB2312" w:hAnsi="仿宋_GB2312" w:eastAsia="仿宋_GB2312" w:cs="仿宋_GB2312"/>
          <w:color w:val="auto"/>
          <w:highlight w:val="none"/>
        </w:rPr>
      </w:pPr>
    </w:p>
    <w:p w14:paraId="24D14C0D">
      <w:pPr>
        <w:spacing w:line="244" w:lineRule="auto"/>
        <w:rPr>
          <w:rFonts w:ascii="仿宋_GB2312" w:hAnsi="仿宋_GB2312" w:eastAsia="仿宋_GB2312" w:cs="仿宋_GB2312"/>
          <w:color w:val="auto"/>
          <w:highlight w:val="none"/>
        </w:rPr>
      </w:pPr>
    </w:p>
    <w:p w14:paraId="0C5F65B8">
      <w:pPr>
        <w:spacing w:line="480" w:lineRule="exact"/>
        <w:jc w:val="center"/>
        <w:rPr>
          <w:rFonts w:ascii="仿宋" w:hAnsi="仿宋" w:eastAsia="仿宋" w:cs="仿宋"/>
          <w:bCs/>
          <w:color w:val="auto"/>
          <w:sz w:val="48"/>
          <w:szCs w:val="48"/>
          <w:highlight w:val="none"/>
          <w:lang w:eastAsia="zh-CN"/>
        </w:rPr>
      </w:pPr>
    </w:p>
    <w:p w14:paraId="42CDF2E6">
      <w:pPr>
        <w:widowControl w:val="0"/>
        <w:kinsoku/>
        <w:autoSpaceDE/>
        <w:autoSpaceDN/>
        <w:spacing w:line="480" w:lineRule="exact"/>
        <w:jc w:val="center"/>
        <w:textAlignment w:val="auto"/>
        <w:rPr>
          <w:rFonts w:ascii="仿宋" w:hAnsi="仿宋" w:eastAsia="仿宋" w:cs="仿宋"/>
          <w:bCs/>
          <w:color w:val="auto"/>
          <w:sz w:val="48"/>
          <w:szCs w:val="48"/>
          <w:highlight w:val="none"/>
          <w:lang w:eastAsia="zh-CN"/>
        </w:rPr>
      </w:pPr>
      <w:r>
        <w:rPr>
          <w:rFonts w:hint="eastAsia" w:ascii="仿宋" w:hAnsi="仿宋" w:eastAsia="仿宋" w:cs="仿宋"/>
          <w:bCs/>
          <w:color w:val="auto"/>
          <w:sz w:val="48"/>
          <w:szCs w:val="48"/>
          <w:highlight w:val="none"/>
          <w:lang w:eastAsia="zh-CN"/>
        </w:rPr>
        <w:t>新疆维吾尔自治区吐鲁番某单位2026年度大宗生活物资采购项目-第七包（水果类）</w:t>
      </w:r>
    </w:p>
    <w:p w14:paraId="71EC3E17">
      <w:pPr>
        <w:widowControl w:val="0"/>
        <w:kinsoku/>
        <w:autoSpaceDE/>
        <w:autoSpaceDN/>
        <w:jc w:val="center"/>
        <w:textAlignment w:val="auto"/>
        <w:rPr>
          <w:rFonts w:ascii="仿宋" w:hAnsi="仿宋" w:eastAsia="仿宋" w:cs="仿宋"/>
          <w:b/>
          <w:color w:val="auto"/>
          <w:sz w:val="24"/>
          <w:szCs w:val="28"/>
          <w:highlight w:val="none"/>
        </w:rPr>
      </w:pPr>
      <w:r>
        <w:rPr>
          <w:rFonts w:hint="eastAsia" w:ascii="仿宋" w:hAnsi="仿宋" w:eastAsia="仿宋" w:cs="仿宋"/>
          <w:b/>
          <w:color w:val="auto"/>
          <w:sz w:val="48"/>
          <w:szCs w:val="48"/>
          <w:highlight w:val="none"/>
          <w:lang w:eastAsia="zh-CN"/>
        </w:rPr>
        <w:t>采 购</w:t>
      </w:r>
      <w:r>
        <w:rPr>
          <w:rFonts w:hint="eastAsia" w:ascii="仿宋" w:hAnsi="仿宋" w:eastAsia="仿宋" w:cs="仿宋"/>
          <w:b/>
          <w:color w:val="auto"/>
          <w:sz w:val="48"/>
          <w:szCs w:val="48"/>
          <w:highlight w:val="none"/>
        </w:rPr>
        <w:t xml:space="preserve"> 文 件</w:t>
      </w:r>
    </w:p>
    <w:p w14:paraId="0F16DEB6">
      <w:pPr>
        <w:ind w:left="1378" w:right="-191" w:rightChars="-91" w:hanging="1377" w:hangingChars="492"/>
        <w:jc w:val="center"/>
        <w:rPr>
          <w:rFonts w:ascii="仿宋" w:hAnsi="仿宋" w:eastAsia="仿宋" w:cs="仿宋"/>
          <w:bCs/>
          <w:color w:val="auto"/>
          <w:sz w:val="32"/>
          <w:szCs w:val="32"/>
          <w:highlight w:val="none"/>
        </w:rPr>
      </w:pPr>
      <w:r>
        <w:rPr>
          <w:rFonts w:hint="eastAsia" w:ascii="仿宋" w:hAnsi="仿宋" w:eastAsia="仿宋" w:cs="仿宋"/>
          <w:color w:val="auto"/>
          <w:sz w:val="28"/>
          <w:highlight w:val="none"/>
        </w:rPr>
        <w:drawing>
          <wp:inline distT="0" distB="0" distL="0" distR="0">
            <wp:extent cx="2221865" cy="2830830"/>
            <wp:effectExtent l="0" t="0" r="6985" b="762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pic:cNvPicPr>
                  </pic:nvPicPr>
                  <pic:blipFill>
                    <a:blip r:embed="rId23" cstate="print"/>
                    <a:srcRect/>
                    <a:stretch>
                      <a:fillRect/>
                    </a:stretch>
                  </pic:blipFill>
                  <pic:spPr>
                    <a:xfrm>
                      <a:off x="0" y="0"/>
                      <a:ext cx="2221865" cy="2830830"/>
                    </a:xfrm>
                    <a:prstGeom prst="rect">
                      <a:avLst/>
                    </a:prstGeom>
                    <a:ln>
                      <a:noFill/>
                    </a:ln>
                  </pic:spPr>
                </pic:pic>
              </a:graphicData>
            </a:graphic>
          </wp:inline>
        </w:drawing>
      </w:r>
    </w:p>
    <w:p w14:paraId="7B6AA43C">
      <w:pPr>
        <w:spacing w:line="480" w:lineRule="exact"/>
        <w:jc w:val="center"/>
        <w:rPr>
          <w:rFonts w:ascii="仿宋" w:hAnsi="仿宋" w:eastAsia="仿宋" w:cs="仿宋"/>
          <w:bCs/>
          <w:color w:val="auto"/>
          <w:sz w:val="32"/>
          <w:szCs w:val="32"/>
          <w:highlight w:val="none"/>
        </w:rPr>
      </w:pPr>
    </w:p>
    <w:p w14:paraId="452B93DF">
      <w:pPr>
        <w:pStyle w:val="14"/>
        <w:spacing w:line="360" w:lineRule="auto"/>
        <w:ind w:left="2570" w:leftChars="459" w:hanging="1606" w:hangingChars="500"/>
        <w:rPr>
          <w:rFonts w:ascii="仿宋" w:hAnsi="仿宋" w:eastAsia="仿宋" w:cs="仿宋"/>
          <w:color w:val="auto"/>
          <w:sz w:val="32"/>
          <w:szCs w:val="32"/>
          <w:highlight w:val="none"/>
          <w:u w:val="single"/>
        </w:rPr>
      </w:pPr>
      <w:r>
        <w:rPr>
          <w:rFonts w:hint="eastAsia" w:ascii="仿宋" w:hAnsi="仿宋" w:eastAsia="仿宋" w:cs="仿宋"/>
          <w:b/>
          <w:color w:val="auto"/>
          <w:sz w:val="32"/>
          <w:szCs w:val="32"/>
          <w:highlight w:val="none"/>
        </w:rPr>
        <w:t>招标项目：</w:t>
      </w:r>
      <w:r>
        <w:rPr>
          <w:rFonts w:hint="eastAsia" w:ascii="仿宋" w:hAnsi="仿宋" w:eastAsia="仿宋" w:cs="仿宋"/>
          <w:color w:val="auto"/>
          <w:sz w:val="32"/>
          <w:szCs w:val="32"/>
          <w:highlight w:val="none"/>
          <w:u w:val="single"/>
          <w:lang w:eastAsia="zh-CN"/>
        </w:rPr>
        <w:t>新疆维吾尔自治区吐鲁番某单位2026年度大宗生活物资采购项目-第七包（水果类）</w:t>
      </w:r>
      <w:r>
        <w:rPr>
          <w:rFonts w:hint="eastAsia" w:ascii="仿宋" w:hAnsi="仿宋" w:eastAsia="仿宋" w:cs="仿宋"/>
          <w:color w:val="auto"/>
          <w:sz w:val="32"/>
          <w:szCs w:val="32"/>
          <w:highlight w:val="none"/>
          <w:u w:val="single"/>
        </w:rPr>
        <w:t xml:space="preserve">              </w:t>
      </w:r>
    </w:p>
    <w:p w14:paraId="33D4B871">
      <w:pPr>
        <w:pStyle w:val="14"/>
        <w:widowControl w:val="0"/>
        <w:kinsoku/>
        <w:snapToGrid/>
        <w:spacing w:line="360" w:lineRule="auto"/>
        <w:ind w:firstLine="964" w:firstLineChars="300"/>
        <w:textAlignment w:val="auto"/>
        <w:rPr>
          <w:rFonts w:ascii="仿宋" w:hAnsi="仿宋" w:eastAsia="仿宋" w:cs="仿宋"/>
          <w:color w:val="auto"/>
          <w:sz w:val="32"/>
          <w:szCs w:val="32"/>
          <w:highlight w:val="none"/>
          <w:u w:val="single"/>
        </w:rPr>
      </w:pPr>
      <w:r>
        <w:rPr>
          <w:rFonts w:hint="eastAsia" w:ascii="仿宋" w:hAnsi="仿宋" w:eastAsia="仿宋" w:cs="仿宋"/>
          <w:b/>
          <w:color w:val="auto"/>
          <w:sz w:val="32"/>
          <w:szCs w:val="32"/>
          <w:highlight w:val="none"/>
        </w:rPr>
        <w:t>招标编号：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eastAsia="zh-CN"/>
        </w:rPr>
        <w:t>XJHY-2026-049（03）</w:t>
      </w:r>
      <w:r>
        <w:rPr>
          <w:rFonts w:hint="eastAsia" w:ascii="仿宋" w:hAnsi="仿宋" w:eastAsia="仿宋" w:cs="仿宋"/>
          <w:color w:val="auto"/>
          <w:sz w:val="32"/>
          <w:szCs w:val="32"/>
          <w:highlight w:val="none"/>
          <w:u w:val="single"/>
        </w:rPr>
        <w:t xml:space="preserve">                    </w:t>
      </w:r>
    </w:p>
    <w:p w14:paraId="02B48625">
      <w:pPr>
        <w:pStyle w:val="14"/>
        <w:spacing w:line="360" w:lineRule="auto"/>
        <w:ind w:firstLine="964" w:firstLineChars="300"/>
        <w:jc w:val="left"/>
        <w:rPr>
          <w:rFonts w:ascii="仿宋" w:hAnsi="仿宋" w:eastAsia="仿宋" w:cs="仿宋"/>
          <w:bCs/>
          <w:color w:val="auto"/>
          <w:sz w:val="32"/>
          <w:szCs w:val="32"/>
          <w:highlight w:val="none"/>
          <w:u w:val="single"/>
        </w:rPr>
      </w:pPr>
      <w:r>
        <w:rPr>
          <w:rFonts w:hint="eastAsia" w:ascii="仿宋" w:hAnsi="仿宋" w:eastAsia="仿宋" w:cs="仿宋"/>
          <w:b/>
          <w:color w:val="auto"/>
          <w:sz w:val="32"/>
          <w:szCs w:val="32"/>
          <w:highlight w:val="none"/>
        </w:rPr>
        <w:t>招标方式：</w:t>
      </w:r>
      <w:r>
        <w:rPr>
          <w:rFonts w:hint="eastAsia" w:ascii="仿宋" w:hAnsi="仿宋" w:eastAsia="仿宋" w:cs="仿宋"/>
          <w:bCs/>
          <w:color w:val="auto"/>
          <w:sz w:val="32"/>
          <w:szCs w:val="32"/>
          <w:highlight w:val="none"/>
          <w:u w:val="single"/>
        </w:rPr>
        <w:t xml:space="preserve">         公开招标                           </w:t>
      </w:r>
    </w:p>
    <w:p w14:paraId="628AEAAB">
      <w:pPr>
        <w:pStyle w:val="14"/>
        <w:spacing w:line="360" w:lineRule="auto"/>
        <w:ind w:firstLine="964" w:firstLineChars="300"/>
        <w:jc w:val="left"/>
        <w:rPr>
          <w:rFonts w:ascii="仿宋" w:hAnsi="仿宋" w:eastAsia="仿宋" w:cs="仿宋"/>
          <w:bCs/>
          <w:color w:val="auto"/>
          <w:sz w:val="32"/>
          <w:szCs w:val="32"/>
          <w:highlight w:val="none"/>
          <w:u w:val="single"/>
        </w:rPr>
      </w:pPr>
      <w:r>
        <w:rPr>
          <w:rFonts w:hint="eastAsia" w:ascii="仿宋" w:hAnsi="仿宋" w:eastAsia="仿宋" w:cs="仿宋"/>
          <w:b/>
          <w:color w:val="auto"/>
          <w:sz w:val="32"/>
          <w:szCs w:val="32"/>
          <w:highlight w:val="none"/>
        </w:rPr>
        <w:t>采购人：</w:t>
      </w:r>
      <w:r>
        <w:rPr>
          <w:rFonts w:hint="eastAsia" w:ascii="仿宋" w:hAnsi="仿宋" w:eastAsia="仿宋" w:cs="仿宋"/>
          <w:bCs/>
          <w:color w:val="auto"/>
          <w:sz w:val="32"/>
          <w:szCs w:val="32"/>
          <w:highlight w:val="none"/>
          <w:u w:val="single"/>
          <w:lang w:eastAsia="zh-CN"/>
        </w:rPr>
        <w:t>新疆维吾尔自治区吐鲁番某单位</w:t>
      </w:r>
      <w:r>
        <w:rPr>
          <w:rFonts w:hint="eastAsia" w:ascii="仿宋" w:hAnsi="仿宋" w:eastAsia="仿宋" w:cs="仿宋"/>
          <w:bCs/>
          <w:color w:val="auto"/>
          <w:sz w:val="32"/>
          <w:szCs w:val="32"/>
          <w:highlight w:val="none"/>
          <w:u w:val="single"/>
        </w:rPr>
        <w:t xml:space="preserve">        </w:t>
      </w:r>
    </w:p>
    <w:p w14:paraId="065988EE">
      <w:pPr>
        <w:pStyle w:val="14"/>
        <w:spacing w:line="360" w:lineRule="auto"/>
        <w:ind w:firstLine="964" w:firstLineChars="3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r>
        <w:rPr>
          <w:rFonts w:hint="eastAsia" w:ascii="仿宋" w:hAnsi="仿宋" w:eastAsia="仿宋" w:cs="仿宋"/>
          <w:bCs/>
          <w:color w:val="auto"/>
          <w:sz w:val="32"/>
          <w:szCs w:val="32"/>
          <w:highlight w:val="none"/>
          <w:u w:val="single"/>
        </w:rPr>
        <w:t xml:space="preserve">新疆华域建设工程项目管理咨询有限公司  </w:t>
      </w:r>
    </w:p>
    <w:p w14:paraId="33E6BEAB">
      <w:pPr>
        <w:pStyle w:val="94"/>
        <w:jc w:val="center"/>
        <w:rPr>
          <w:rFonts w:ascii="仿宋" w:hAnsi="仿宋" w:eastAsia="仿宋" w:cs="仿宋"/>
          <w:b/>
          <w:color w:val="auto"/>
          <w:kern w:val="2"/>
          <w:sz w:val="32"/>
          <w:szCs w:val="32"/>
          <w:highlight w:val="none"/>
          <w:u w:val="single"/>
          <w:lang w:eastAsia="zh-CN"/>
        </w:rPr>
      </w:pPr>
    </w:p>
    <w:p w14:paraId="362D8668">
      <w:pPr>
        <w:pStyle w:val="94"/>
        <w:jc w:val="center"/>
        <w:rPr>
          <w:rFonts w:ascii="仿宋" w:hAnsi="仿宋" w:eastAsia="仿宋" w:cs="仿宋"/>
          <w:b/>
          <w:color w:val="auto"/>
          <w:kern w:val="2"/>
          <w:sz w:val="32"/>
          <w:szCs w:val="32"/>
          <w:highlight w:val="none"/>
          <w:u w:val="single"/>
          <w:lang w:eastAsia="zh-CN"/>
        </w:rPr>
      </w:pPr>
      <w:r>
        <w:rPr>
          <w:rFonts w:hint="eastAsia" w:ascii="仿宋" w:hAnsi="仿宋" w:eastAsia="仿宋" w:cs="仿宋"/>
          <w:b/>
          <w:color w:val="auto"/>
          <w:kern w:val="2"/>
          <w:sz w:val="32"/>
          <w:szCs w:val="32"/>
          <w:highlight w:val="none"/>
          <w:u w:val="single"/>
          <w:lang w:eastAsia="zh-CN"/>
        </w:rPr>
        <w:t>2026年6月</w:t>
      </w:r>
    </w:p>
    <w:p w14:paraId="0B8A06EC">
      <w:pPr>
        <w:spacing w:line="244" w:lineRule="auto"/>
        <w:rPr>
          <w:rFonts w:ascii="仿宋_GB2312" w:hAnsi="仿宋_GB2312" w:eastAsia="仿宋_GB2312" w:cs="仿宋_GB2312"/>
          <w:color w:val="auto"/>
          <w:highlight w:val="none"/>
        </w:rPr>
      </w:pPr>
    </w:p>
    <w:sdt>
      <w:sdtPr>
        <w:rPr>
          <w:rFonts w:ascii="宋体" w:hAnsi="宋体" w:eastAsia="宋体"/>
          <w:color w:val="auto"/>
          <w:highlight w:val="none"/>
        </w:rPr>
        <w:id w:val="147473609"/>
        <w15:color w:val="DBDBDB"/>
        <w:docPartObj>
          <w:docPartGallery w:val="Table of Contents"/>
          <w:docPartUnique/>
        </w:docPartObj>
      </w:sdtPr>
      <w:sdtEndPr>
        <w:rPr>
          <w:rFonts w:ascii="仿宋_GB2312" w:hAnsi="仿宋_GB2312" w:eastAsia="仿宋_GB2312" w:cs="仿宋_GB2312"/>
          <w:color w:val="auto"/>
          <w:highlight w:val="none"/>
        </w:rPr>
      </w:sdtEndPr>
      <w:sdtContent>
        <w:p w14:paraId="4938359E">
          <w:pPr>
            <w:jc w:val="center"/>
            <w:rPr>
              <w:rFonts w:ascii="宋体" w:hAnsi="宋体" w:eastAsia="宋体"/>
              <w:color w:val="auto"/>
              <w:highlight w:val="none"/>
            </w:rPr>
          </w:pPr>
        </w:p>
        <w:p w14:paraId="0C6DDCD9">
          <w:pPr>
            <w:rPr>
              <w:rFonts w:ascii="宋体" w:hAnsi="宋体" w:eastAsia="宋体"/>
              <w:color w:val="auto"/>
              <w:highlight w:val="none"/>
            </w:rPr>
          </w:pPr>
          <w:r>
            <w:rPr>
              <w:rFonts w:ascii="宋体" w:hAnsi="宋体" w:eastAsia="宋体"/>
              <w:color w:val="auto"/>
              <w:highlight w:val="none"/>
            </w:rPr>
            <w:br w:type="page"/>
          </w:r>
        </w:p>
        <w:p w14:paraId="6DBE1A44">
          <w:pPr>
            <w:rPr>
              <w:rFonts w:ascii="宋体" w:hAnsi="宋体" w:eastAsia="宋体"/>
              <w:color w:val="auto"/>
              <w:sz w:val="40"/>
              <w:szCs w:val="40"/>
              <w:highlight w:val="none"/>
            </w:rPr>
          </w:pPr>
          <w:r>
            <w:rPr>
              <w:rFonts w:ascii="宋体" w:hAnsi="宋体" w:eastAsia="宋体"/>
              <w:color w:val="auto"/>
              <w:sz w:val="40"/>
              <w:szCs w:val="40"/>
              <w:highlight w:val="none"/>
            </w:rPr>
            <w:br w:type="page"/>
          </w:r>
        </w:p>
        <w:p w14:paraId="31028DB4">
          <w:pPr>
            <w:jc w:val="center"/>
            <w:rPr>
              <w:color w:val="auto"/>
              <w:sz w:val="40"/>
              <w:szCs w:val="40"/>
              <w:highlight w:val="none"/>
            </w:rPr>
          </w:pPr>
          <w:r>
            <w:rPr>
              <w:rFonts w:ascii="宋体" w:hAnsi="宋体" w:eastAsia="宋体"/>
              <w:color w:val="auto"/>
              <w:sz w:val="40"/>
              <w:szCs w:val="40"/>
              <w:highlight w:val="none"/>
            </w:rPr>
            <w:t>目</w:t>
          </w:r>
          <w:r>
            <w:rPr>
              <w:rFonts w:hint="eastAsia" w:ascii="宋体" w:hAnsi="宋体" w:eastAsia="宋体"/>
              <w:color w:val="auto"/>
              <w:sz w:val="40"/>
              <w:szCs w:val="40"/>
              <w:highlight w:val="none"/>
              <w:lang w:eastAsia="zh-CN"/>
            </w:rPr>
            <w:t xml:space="preserve"> </w:t>
          </w:r>
          <w:r>
            <w:rPr>
              <w:rFonts w:ascii="宋体" w:hAnsi="宋体" w:eastAsia="宋体"/>
              <w:color w:val="auto"/>
              <w:sz w:val="40"/>
              <w:szCs w:val="40"/>
              <w:highlight w:val="none"/>
            </w:rPr>
            <w:t>录</w:t>
          </w:r>
        </w:p>
        <w:p w14:paraId="4A02F48D">
          <w:pPr>
            <w:pStyle w:val="18"/>
            <w:tabs>
              <w:tab w:val="right" w:leader="dot" w:pos="9638"/>
            </w:tabs>
            <w:spacing w:line="480" w:lineRule="auto"/>
            <w:rPr>
              <w:color w:val="auto"/>
              <w:sz w:val="32"/>
              <w:szCs w:val="32"/>
              <w:highlight w:val="none"/>
            </w:rPr>
          </w:pPr>
          <w:r>
            <w:rPr>
              <w:rFonts w:ascii="仿宋_GB2312" w:hAnsi="仿宋_GB2312" w:eastAsia="仿宋_GB2312" w:cs="仿宋_GB2312"/>
              <w:color w:val="auto"/>
              <w:highlight w:val="none"/>
            </w:rPr>
            <w:fldChar w:fldCharType="begin"/>
          </w:r>
          <w:r>
            <w:rPr>
              <w:rFonts w:ascii="仿宋_GB2312" w:hAnsi="仿宋_GB2312" w:eastAsia="仿宋_GB2312" w:cs="仿宋_GB2312"/>
              <w:color w:val="auto"/>
              <w:highlight w:val="none"/>
            </w:rPr>
            <w:instrText xml:space="preserve">TOC \o "1-1" \h \u </w:instrText>
          </w:r>
          <w:r>
            <w:rPr>
              <w:rFonts w:ascii="仿宋_GB2312" w:hAnsi="仿宋_GB2312" w:eastAsia="仿宋_GB2312" w:cs="仿宋_GB2312"/>
              <w:color w:val="auto"/>
              <w:highlight w:val="none"/>
            </w:rPr>
            <w:fldChar w:fldCharType="separate"/>
          </w:r>
          <w:r>
            <w:rPr>
              <w:color w:val="auto"/>
              <w:highlight w:val="none"/>
            </w:rPr>
            <w:fldChar w:fldCharType="begin"/>
          </w:r>
          <w:r>
            <w:rPr>
              <w:color w:val="auto"/>
              <w:highlight w:val="none"/>
            </w:rPr>
            <w:instrText xml:space="preserve"> HYPERLINK \l "_Toc27382" </w:instrText>
          </w:r>
          <w:r>
            <w:rPr>
              <w:color w:val="auto"/>
              <w:highlight w:val="none"/>
            </w:rPr>
            <w:fldChar w:fldCharType="separate"/>
          </w:r>
          <w:r>
            <w:rPr>
              <w:rFonts w:hint="eastAsia"/>
              <w:bCs/>
              <w:color w:val="auto"/>
              <w:sz w:val="32"/>
              <w:szCs w:val="32"/>
              <w:highlight w:val="none"/>
            </w:rPr>
            <w:t>第一章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_Toc27382 \h </w:instrText>
          </w:r>
          <w:r>
            <w:rPr>
              <w:color w:val="auto"/>
              <w:sz w:val="32"/>
              <w:szCs w:val="32"/>
              <w:highlight w:val="none"/>
            </w:rPr>
            <w:fldChar w:fldCharType="separate"/>
          </w:r>
          <w:r>
            <w:rPr>
              <w:color w:val="auto"/>
              <w:sz w:val="32"/>
              <w:szCs w:val="32"/>
              <w:highlight w:val="none"/>
            </w:rPr>
            <w:t>- 1 -</w:t>
          </w:r>
          <w:r>
            <w:rPr>
              <w:color w:val="auto"/>
              <w:sz w:val="32"/>
              <w:szCs w:val="32"/>
              <w:highlight w:val="none"/>
            </w:rPr>
            <w:fldChar w:fldCharType="end"/>
          </w:r>
          <w:r>
            <w:rPr>
              <w:color w:val="auto"/>
              <w:sz w:val="32"/>
              <w:szCs w:val="32"/>
              <w:highlight w:val="none"/>
            </w:rPr>
            <w:fldChar w:fldCharType="end"/>
          </w:r>
        </w:p>
        <w:p w14:paraId="6E6CADF8">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"_Toc8466" </w:instrText>
          </w:r>
          <w:r>
            <w:rPr>
              <w:color w:val="auto"/>
              <w:highlight w:val="none"/>
            </w:rPr>
            <w:fldChar w:fldCharType="separate"/>
          </w:r>
          <w:r>
            <w:rPr>
              <w:rFonts w:hint="eastAsia"/>
              <w:bCs/>
              <w:color w:val="auto"/>
              <w:sz w:val="32"/>
              <w:szCs w:val="32"/>
              <w:highlight w:val="none"/>
              <w:lang w:eastAsia="zh-CN"/>
            </w:rPr>
            <w:t>第二章  投标须知前附表及投标须知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_Toc8466 \h </w:instrText>
          </w:r>
          <w:r>
            <w:rPr>
              <w:color w:val="auto"/>
              <w:sz w:val="32"/>
              <w:szCs w:val="32"/>
              <w:highlight w:val="none"/>
            </w:rPr>
            <w:fldChar w:fldCharType="separate"/>
          </w:r>
          <w:r>
            <w:rPr>
              <w:color w:val="auto"/>
              <w:sz w:val="32"/>
              <w:szCs w:val="32"/>
              <w:highlight w:val="none"/>
            </w:rPr>
            <w:t>- 4 -</w:t>
          </w:r>
          <w:r>
            <w:rPr>
              <w:color w:val="auto"/>
              <w:sz w:val="32"/>
              <w:szCs w:val="32"/>
              <w:highlight w:val="none"/>
            </w:rPr>
            <w:fldChar w:fldCharType="end"/>
          </w:r>
          <w:r>
            <w:rPr>
              <w:color w:val="auto"/>
              <w:sz w:val="32"/>
              <w:szCs w:val="32"/>
              <w:highlight w:val="none"/>
            </w:rPr>
            <w:fldChar w:fldCharType="end"/>
          </w:r>
        </w:p>
        <w:p w14:paraId="5A5B00BF">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"_Toc5927" </w:instrText>
          </w:r>
          <w:r>
            <w:rPr>
              <w:color w:val="auto"/>
              <w:highlight w:val="none"/>
            </w:rPr>
            <w:fldChar w:fldCharType="separate"/>
          </w:r>
          <w:r>
            <w:rPr>
              <w:rFonts w:hint="eastAsia"/>
              <w:bCs/>
              <w:color w:val="auto"/>
              <w:sz w:val="32"/>
              <w:szCs w:val="32"/>
              <w:highlight w:val="none"/>
              <w:lang w:eastAsia="zh-CN"/>
            </w:rPr>
            <w:t>第三章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_Toc5927 \h </w:instrText>
          </w:r>
          <w:r>
            <w:rPr>
              <w:color w:val="auto"/>
              <w:sz w:val="32"/>
              <w:szCs w:val="32"/>
              <w:highlight w:val="none"/>
            </w:rPr>
            <w:fldChar w:fldCharType="separate"/>
          </w:r>
          <w:r>
            <w:rPr>
              <w:color w:val="auto"/>
              <w:sz w:val="32"/>
              <w:szCs w:val="32"/>
              <w:highlight w:val="none"/>
            </w:rPr>
            <w:t>- 37 -</w:t>
          </w:r>
          <w:r>
            <w:rPr>
              <w:color w:val="auto"/>
              <w:sz w:val="32"/>
              <w:szCs w:val="32"/>
              <w:highlight w:val="none"/>
            </w:rPr>
            <w:fldChar w:fldCharType="end"/>
          </w:r>
          <w:r>
            <w:rPr>
              <w:color w:val="auto"/>
              <w:sz w:val="32"/>
              <w:szCs w:val="32"/>
              <w:highlight w:val="none"/>
            </w:rPr>
            <w:fldChar w:fldCharType="end"/>
          </w:r>
        </w:p>
        <w:p w14:paraId="703890C0">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"_Toc4376" </w:instrText>
          </w:r>
          <w:r>
            <w:rPr>
              <w:color w:val="auto"/>
              <w:highlight w:val="none"/>
            </w:rPr>
            <w:fldChar w:fldCharType="separate"/>
          </w:r>
          <w:r>
            <w:rPr>
              <w:rFonts w:hint="eastAsia"/>
              <w:bCs/>
              <w:color w:val="auto"/>
              <w:sz w:val="32"/>
              <w:szCs w:val="32"/>
              <w:highlight w:val="none"/>
              <w:lang w:eastAsia="zh-CN"/>
            </w:rPr>
            <w:t>第四章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_Toc4376 \h </w:instrText>
          </w:r>
          <w:r>
            <w:rPr>
              <w:color w:val="auto"/>
              <w:sz w:val="32"/>
              <w:szCs w:val="32"/>
              <w:highlight w:val="none"/>
            </w:rPr>
            <w:fldChar w:fldCharType="separate"/>
          </w:r>
          <w:r>
            <w:rPr>
              <w:color w:val="auto"/>
              <w:sz w:val="32"/>
              <w:szCs w:val="32"/>
              <w:highlight w:val="none"/>
            </w:rPr>
            <w:t>- 44 -</w:t>
          </w:r>
          <w:r>
            <w:rPr>
              <w:color w:val="auto"/>
              <w:sz w:val="32"/>
              <w:szCs w:val="32"/>
              <w:highlight w:val="none"/>
            </w:rPr>
            <w:fldChar w:fldCharType="end"/>
          </w:r>
          <w:r>
            <w:rPr>
              <w:color w:val="auto"/>
              <w:sz w:val="32"/>
              <w:szCs w:val="32"/>
              <w:highlight w:val="none"/>
            </w:rPr>
            <w:fldChar w:fldCharType="end"/>
          </w:r>
        </w:p>
        <w:p w14:paraId="45160F22">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"_Toc24165" </w:instrText>
          </w:r>
          <w:r>
            <w:rPr>
              <w:color w:val="auto"/>
              <w:highlight w:val="none"/>
            </w:rPr>
            <w:fldChar w:fldCharType="separate"/>
          </w:r>
          <w:r>
            <w:rPr>
              <w:rFonts w:hint="eastAsia"/>
              <w:bCs/>
              <w:color w:val="auto"/>
              <w:sz w:val="32"/>
              <w:szCs w:val="32"/>
              <w:highlight w:val="none"/>
              <w:lang w:eastAsia="zh-CN"/>
            </w:rPr>
            <w:t>第五章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_Toc24165 \h </w:instrText>
          </w:r>
          <w:r>
            <w:rPr>
              <w:color w:val="auto"/>
              <w:sz w:val="32"/>
              <w:szCs w:val="32"/>
              <w:highlight w:val="none"/>
            </w:rPr>
            <w:fldChar w:fldCharType="separate"/>
          </w:r>
          <w:r>
            <w:rPr>
              <w:color w:val="auto"/>
              <w:sz w:val="32"/>
              <w:szCs w:val="32"/>
              <w:highlight w:val="none"/>
            </w:rPr>
            <w:t>- 47 -</w:t>
          </w:r>
          <w:r>
            <w:rPr>
              <w:color w:val="auto"/>
              <w:sz w:val="32"/>
              <w:szCs w:val="32"/>
              <w:highlight w:val="none"/>
            </w:rPr>
            <w:fldChar w:fldCharType="end"/>
          </w:r>
          <w:r>
            <w:rPr>
              <w:color w:val="auto"/>
              <w:sz w:val="32"/>
              <w:szCs w:val="32"/>
              <w:highlight w:val="none"/>
            </w:rPr>
            <w:fldChar w:fldCharType="end"/>
          </w:r>
        </w:p>
        <w:p w14:paraId="7A4F6F14">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"_Toc5648" </w:instrText>
          </w:r>
          <w:r>
            <w:rPr>
              <w:color w:val="auto"/>
              <w:highlight w:val="none"/>
            </w:rPr>
            <w:fldChar w:fldCharType="separate"/>
          </w:r>
          <w:r>
            <w:rPr>
              <w:rFonts w:hint="eastAsia"/>
              <w:bCs/>
              <w:color w:val="auto"/>
              <w:sz w:val="32"/>
              <w:szCs w:val="32"/>
              <w:highlight w:val="none"/>
            </w:rPr>
            <w:t>第六章 补充条款</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_Toc5648 \h </w:instrText>
          </w:r>
          <w:r>
            <w:rPr>
              <w:color w:val="auto"/>
              <w:sz w:val="32"/>
              <w:szCs w:val="32"/>
              <w:highlight w:val="none"/>
            </w:rPr>
            <w:fldChar w:fldCharType="separate"/>
          </w:r>
          <w:r>
            <w:rPr>
              <w:color w:val="auto"/>
              <w:sz w:val="32"/>
              <w:szCs w:val="32"/>
              <w:highlight w:val="none"/>
            </w:rPr>
            <w:t>- 72 -</w:t>
          </w:r>
          <w:r>
            <w:rPr>
              <w:color w:val="auto"/>
              <w:sz w:val="32"/>
              <w:szCs w:val="32"/>
              <w:highlight w:val="none"/>
            </w:rPr>
            <w:fldChar w:fldCharType="end"/>
          </w:r>
          <w:r>
            <w:rPr>
              <w:color w:val="auto"/>
              <w:sz w:val="32"/>
              <w:szCs w:val="32"/>
              <w:highlight w:val="none"/>
            </w:rPr>
            <w:fldChar w:fldCharType="end"/>
          </w:r>
        </w:p>
        <w:p w14:paraId="54654967">
          <w:pPr>
            <w:spacing w:line="264" w:lineRule="auto"/>
            <w:rPr>
              <w:rFonts w:ascii="仿宋_GB2312" w:hAnsi="仿宋_GB2312" w:eastAsia="仿宋_GB2312" w:cs="仿宋_GB2312"/>
              <w:color w:val="auto"/>
              <w:highlight w:val="none"/>
            </w:rPr>
          </w:pPr>
          <w:r>
            <w:rPr>
              <w:rFonts w:ascii="仿宋_GB2312" w:hAnsi="仿宋_GB2312" w:eastAsia="仿宋_GB2312" w:cs="仿宋_GB2312"/>
              <w:color w:val="auto"/>
              <w:highlight w:val="none"/>
            </w:rPr>
            <w:fldChar w:fldCharType="end"/>
          </w:r>
        </w:p>
      </w:sdtContent>
    </w:sdt>
    <w:p w14:paraId="4CBDC6EA">
      <w:pPr>
        <w:spacing w:line="264" w:lineRule="auto"/>
        <w:rPr>
          <w:rFonts w:ascii="仿宋_GB2312" w:hAnsi="仿宋_GB2312" w:eastAsia="仿宋_GB2312" w:cs="仿宋_GB2312"/>
          <w:color w:val="auto"/>
          <w:highlight w:val="none"/>
        </w:rPr>
      </w:pPr>
    </w:p>
    <w:p w14:paraId="2784D853">
      <w:pPr>
        <w:spacing w:line="265" w:lineRule="auto"/>
        <w:rPr>
          <w:rFonts w:ascii="仿宋_GB2312" w:hAnsi="仿宋_GB2312" w:eastAsia="仿宋_GB2312" w:cs="仿宋_GB2312"/>
          <w:color w:val="auto"/>
          <w:highlight w:val="none"/>
        </w:rPr>
      </w:pPr>
    </w:p>
    <w:p w14:paraId="2E6BAF69">
      <w:pPr>
        <w:pStyle w:val="10"/>
        <w:numPr>
          <w:ilvl w:val="0"/>
          <w:numId w:val="1"/>
        </w:numPr>
        <w:spacing w:before="101" w:line="228" w:lineRule="auto"/>
        <w:ind w:left="3530"/>
        <w:outlineLvl w:val="0"/>
        <w:rPr>
          <w:rFonts w:ascii="仿宋_GB2312" w:hAnsi="仿宋_GB2312" w:eastAsia="仿宋_GB2312" w:cs="仿宋_GB2312"/>
          <w:b/>
          <w:bCs/>
          <w:color w:val="auto"/>
          <w:spacing w:val="-1"/>
          <w:sz w:val="31"/>
          <w:szCs w:val="31"/>
          <w:highlight w:val="none"/>
        </w:rPr>
        <w:sectPr>
          <w:headerReference r:id="rId3" w:type="default"/>
          <w:footerReference r:id="rId4" w:type="default"/>
          <w:pgSz w:w="11906" w:h="16838"/>
          <w:pgMar w:top="1134" w:right="1134" w:bottom="1134" w:left="1134" w:header="861" w:footer="1237" w:gutter="0"/>
          <w:pgNumType w:fmt="numberInDash"/>
          <w:cols w:space="720" w:num="1"/>
        </w:sectPr>
      </w:pPr>
      <w:bookmarkStart w:id="0" w:name="bookmark1"/>
      <w:bookmarkEnd w:id="0"/>
      <w:bookmarkStart w:id="1" w:name="_Toc20823"/>
    </w:p>
    <w:p w14:paraId="74351F04">
      <w:pPr>
        <w:pStyle w:val="2"/>
        <w:rPr>
          <w:rFonts w:ascii="仿宋_GB2312" w:hAnsi="仿宋_GB2312" w:eastAsia="仿宋_GB2312" w:cs="仿宋_GB2312"/>
          <w:b/>
          <w:bCs/>
          <w:color w:val="auto"/>
          <w:spacing w:val="-1"/>
          <w:szCs w:val="31"/>
          <w:highlight w:val="none"/>
          <w:lang w:eastAsia="zh-CN"/>
        </w:rPr>
      </w:pPr>
      <w:bookmarkStart w:id="2" w:name="_Toc27382"/>
      <w:r>
        <w:rPr>
          <w:rFonts w:hint="eastAsia"/>
          <w:b/>
          <w:bCs/>
          <w:color w:val="auto"/>
          <w:highlight w:val="none"/>
          <w:lang w:eastAsia="zh-CN"/>
        </w:rPr>
        <w:t>第一章 招标公告</w:t>
      </w:r>
      <w:bookmarkEnd w:id="1"/>
      <w:bookmarkEnd w:id="2"/>
    </w:p>
    <w:p w14:paraId="34F3CE6C">
      <w:pPr>
        <w:jc w:val="center"/>
        <w:rPr>
          <w:rFonts w:ascii="仿宋_GB2312" w:hAnsi="仿宋_GB2312" w:eastAsia="仿宋_GB2312" w:cs="仿宋_GB2312"/>
          <w:b/>
          <w:bCs/>
          <w:color w:val="auto"/>
          <w:sz w:val="24"/>
          <w:szCs w:val="24"/>
          <w:highlight w:val="none"/>
          <w:lang w:eastAsia="zh-CN"/>
        </w:rPr>
      </w:pPr>
      <w:bookmarkStart w:id="3" w:name="EBbcab609e0bf6445cb7952b8c7da88b0a"/>
    </w:p>
    <w:p w14:paraId="0842C35B">
      <w:pPr>
        <w:jc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新疆维吾尔自治区吐鲁番某单位2026年度大宗生活物资采购项目-第七包（水果类）</w:t>
      </w:r>
    </w:p>
    <w:p w14:paraId="044D1D6E">
      <w:pPr>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公开招标公告</w:t>
      </w:r>
    </w:p>
    <w:p w14:paraId="1D6EAE40">
      <w:pPr>
        <w:pStyle w:val="53"/>
        <w:spacing w:line="440" w:lineRule="exact"/>
        <w:outlineLvl w:val="1"/>
        <w:rPr>
          <w:rFonts w:ascii="仿宋_GB2312" w:hAnsi="仿宋_GB2312" w:eastAsia="仿宋_GB2312" w:cs="仿宋_GB2312"/>
          <w:b/>
          <w:bCs/>
          <w:color w:val="auto"/>
          <w:sz w:val="24"/>
          <w:szCs w:val="24"/>
          <w:highlight w:val="none"/>
        </w:rPr>
      </w:pPr>
      <w:bookmarkStart w:id="4" w:name="_Toc14140"/>
      <w:bookmarkStart w:id="5" w:name="_Toc28868"/>
      <w:r>
        <w:rPr>
          <w:rFonts w:hint="eastAsia" w:ascii="仿宋_GB2312" w:hAnsi="仿宋_GB2312" w:eastAsia="仿宋_GB2312" w:cs="仿宋_GB2312"/>
          <w:b/>
          <w:bCs/>
          <w:color w:val="auto"/>
          <w:sz w:val="24"/>
          <w:szCs w:val="24"/>
          <w:highlight w:val="none"/>
        </w:rPr>
        <w:t>一、项目基本情况</w:t>
      </w:r>
      <w:bookmarkEnd w:id="4"/>
      <w:bookmarkEnd w:id="5"/>
    </w:p>
    <w:p w14:paraId="3A1F83F3">
      <w:pPr>
        <w:pStyle w:val="53"/>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XJHY-2026-049（03）</w:t>
      </w:r>
    </w:p>
    <w:p w14:paraId="6615CBAE">
      <w:pPr>
        <w:pStyle w:val="53"/>
        <w:spacing w:line="440" w:lineRule="exact"/>
        <w:ind w:firstLine="480"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新疆维吾尔自治区吐鲁番某单位2026年度大宗生活物资采购项目-第七包（水果类）</w:t>
      </w:r>
    </w:p>
    <w:p w14:paraId="6D33BA35">
      <w:pPr>
        <w:pStyle w:val="53"/>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采购方式：公开招标</w:t>
      </w:r>
    </w:p>
    <w:p w14:paraId="747B87F3">
      <w:pPr>
        <w:pStyle w:val="22"/>
        <w:spacing w:before="0" w:beforeAutospacing="0" w:after="0" w:afterAutospacing="0" w:line="440" w:lineRule="exact"/>
        <w:ind w:firstLine="480" w:firstLineChars="200"/>
        <w:jc w:val="both"/>
        <w:rPr>
          <w:rFonts w:hint="default" w:ascii="仿宋_GB2312" w:hAnsi="仿宋_GB2312" w:eastAsia="仿宋_GB2312" w:cs="仿宋_GB2312"/>
          <w:color w:val="auto"/>
          <w:szCs w:val="24"/>
          <w:highlight w:val="none"/>
          <w:lang w:val="en-US"/>
        </w:rPr>
      </w:pPr>
      <w:r>
        <w:rPr>
          <w:rFonts w:hint="eastAsia" w:ascii="仿宋_GB2312" w:hAnsi="仿宋_GB2312" w:eastAsia="仿宋_GB2312" w:cs="仿宋_GB2312"/>
          <w:color w:val="auto"/>
          <w:szCs w:val="24"/>
          <w:highlight w:val="none"/>
        </w:rPr>
        <w:t>预算金额（元）：</w:t>
      </w:r>
      <w:r>
        <w:rPr>
          <w:rFonts w:hint="eastAsia" w:ascii="仿宋_GB2312" w:hAnsi="仿宋_GB2312" w:eastAsia="仿宋_GB2312" w:cs="仿宋_GB2312"/>
          <w:color w:val="auto"/>
          <w:szCs w:val="24"/>
          <w:highlight w:val="none"/>
          <w:lang w:val="en-US" w:eastAsia="zh-CN"/>
        </w:rPr>
        <w:t>960000.00</w:t>
      </w:r>
    </w:p>
    <w:p w14:paraId="421B697E">
      <w:pPr>
        <w:pStyle w:val="22"/>
        <w:spacing w:before="0" w:beforeAutospacing="0" w:after="0" w:afterAutospacing="0" w:line="440" w:lineRule="exact"/>
        <w:ind w:firstLine="480" w:firstLineChars="200"/>
        <w:jc w:val="both"/>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最高限价（元）：</w:t>
      </w:r>
      <w:r>
        <w:rPr>
          <w:rFonts w:hint="eastAsia" w:ascii="仿宋_GB2312" w:hAnsi="仿宋_GB2312" w:eastAsia="仿宋_GB2312" w:cs="仿宋_GB2312"/>
          <w:color w:val="auto"/>
          <w:szCs w:val="24"/>
          <w:highlight w:val="none"/>
          <w:lang w:val="en-US" w:eastAsia="zh-CN"/>
        </w:rPr>
        <w:t>/</w:t>
      </w:r>
    </w:p>
    <w:p w14:paraId="30AAD620">
      <w:pPr>
        <w:pStyle w:val="22"/>
        <w:spacing w:before="0" w:beforeAutospacing="0" w:after="0" w:afterAutospacing="0" w:line="440" w:lineRule="exact"/>
        <w:ind w:firstLine="480" w:firstLineChars="200"/>
        <w:jc w:val="both"/>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采购需求：</w:t>
      </w:r>
    </w:p>
    <w:p w14:paraId="24E54AD1">
      <w:pPr>
        <w:spacing w:line="360" w:lineRule="auto"/>
        <w:ind w:firstLine="482" w:firstLineChars="200"/>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标项名称</w:t>
      </w:r>
      <w:r>
        <w:rPr>
          <w:rFonts w:hint="eastAsia" w:ascii="仿宋" w:hAnsi="仿宋" w:eastAsia="仿宋" w:cs="仿宋"/>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eastAsia="zh-CN"/>
        </w:rPr>
        <w:t>新疆维吾尔自治区吐鲁番某单位2026年度大宗生活物资采购项目-第七包（水果类）</w:t>
      </w:r>
    </w:p>
    <w:p w14:paraId="0B73E87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数量：1批</w:t>
      </w:r>
    </w:p>
    <w:p w14:paraId="78A96A4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预算金额（元）：960000.00</w:t>
      </w:r>
    </w:p>
    <w:p w14:paraId="165F1238">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简要规格描述或项目基本概况介绍、用途：采购水果类食材，具体详见采购需求。</w:t>
      </w:r>
    </w:p>
    <w:p w14:paraId="071F9BD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合同履约期限：自采购合同签订日期起，服务期限一年（365天）。</w:t>
      </w:r>
    </w:p>
    <w:p w14:paraId="62A9BF2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本项目（否）接受联合体投标。</w:t>
      </w:r>
    </w:p>
    <w:p w14:paraId="2517ECCD">
      <w:pPr>
        <w:pStyle w:val="53"/>
        <w:spacing w:line="440" w:lineRule="exact"/>
        <w:outlineLvl w:val="1"/>
        <w:rPr>
          <w:rFonts w:ascii="仿宋_GB2312" w:hAnsi="仿宋_GB2312" w:eastAsia="仿宋_GB2312" w:cs="仿宋_GB2312"/>
          <w:color w:val="auto"/>
          <w:sz w:val="24"/>
          <w:szCs w:val="24"/>
          <w:highlight w:val="none"/>
        </w:rPr>
      </w:pPr>
      <w:bookmarkStart w:id="6" w:name="_Toc1436"/>
      <w:bookmarkStart w:id="7" w:name="_Toc26137"/>
      <w:r>
        <w:rPr>
          <w:rFonts w:hint="eastAsia" w:ascii="仿宋_GB2312" w:hAnsi="仿宋_GB2312" w:eastAsia="仿宋_GB2312" w:cs="仿宋_GB2312"/>
          <w:b/>
          <w:bCs/>
          <w:color w:val="auto"/>
          <w:sz w:val="24"/>
          <w:szCs w:val="24"/>
          <w:highlight w:val="none"/>
        </w:rPr>
        <w:t>二、申请人的资格要求：</w:t>
      </w:r>
      <w:bookmarkEnd w:id="6"/>
      <w:bookmarkEnd w:id="7"/>
    </w:p>
    <w:p w14:paraId="21E44AF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1.满足《中华人民共和国政府采购法》第二十二条规定；</w:t>
      </w:r>
    </w:p>
    <w:p w14:paraId="398F83B7">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 w:hAnsi="仿宋" w:eastAsia="仿宋" w:cs="仿宋"/>
          <w:color w:val="auto"/>
          <w:sz w:val="24"/>
          <w:szCs w:val="24"/>
          <w:highlight w:val="none"/>
          <w:lang w:eastAsia="zh-CN"/>
        </w:rPr>
        <w:t>2.落实政府采购政策需满足的资格要求：</w:t>
      </w:r>
      <w:r>
        <w:rPr>
          <w:rFonts w:hint="eastAsia" w:ascii="仿宋_GB2312" w:hAnsi="仿宋_GB2312" w:eastAsia="仿宋_GB2312" w:cs="仿宋_GB2312"/>
          <w:color w:val="auto"/>
          <w:sz w:val="24"/>
          <w:szCs w:val="24"/>
          <w:highlight w:val="none"/>
          <w:lang w:eastAsia="zh-CN"/>
        </w:rPr>
        <w:t>本标项为专门面向小微企业采购份额，即：提供的货物全部由符合政策要求的小微企业制造。</w:t>
      </w:r>
    </w:p>
    <w:p w14:paraId="1B367C9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3.本项目的特定资格要求：具有有效的《食品经营许可证》或《食品生产许可证》。</w:t>
      </w:r>
    </w:p>
    <w:p w14:paraId="14572A0B">
      <w:pPr>
        <w:spacing w:line="360" w:lineRule="auto"/>
        <w:rPr>
          <w:rFonts w:ascii="仿宋_GB2312" w:hAnsi="仿宋_GB2312" w:eastAsia="仿宋_GB2312" w:cs="仿宋_GB2312"/>
          <w:b/>
          <w:bCs/>
          <w:snapToGrid/>
          <w:color w:val="auto"/>
          <w:kern w:val="2"/>
          <w:sz w:val="24"/>
          <w:szCs w:val="24"/>
          <w:highlight w:val="none"/>
          <w:lang w:eastAsia="zh-CN"/>
        </w:rPr>
      </w:pPr>
      <w:r>
        <w:rPr>
          <w:rFonts w:hint="eastAsia" w:ascii="仿宋_GB2312" w:hAnsi="仿宋_GB2312" w:eastAsia="仿宋_GB2312" w:cs="仿宋_GB2312"/>
          <w:b/>
          <w:bCs/>
          <w:snapToGrid/>
          <w:color w:val="auto"/>
          <w:kern w:val="2"/>
          <w:sz w:val="24"/>
          <w:szCs w:val="24"/>
          <w:highlight w:val="none"/>
          <w:lang w:eastAsia="zh-CN"/>
        </w:rPr>
        <w:t>三、获取采购文件</w:t>
      </w:r>
    </w:p>
    <w:p w14:paraId="6EF4926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时间：2026年6月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日至2026年6月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eastAsia="zh-CN"/>
        </w:rPr>
        <w:t>日，每天上午00：00至14：00，下午14：00至23：59（北京时间，法定节假日除外）</w:t>
      </w:r>
    </w:p>
    <w:p w14:paraId="37A1724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47A9E72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 </w:t>
      </w:r>
    </w:p>
    <w:p w14:paraId="5C16C44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w:t>
      </w:r>
    </w:p>
    <w:p w14:paraId="707589B9">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四、投标文件提交</w:t>
      </w:r>
    </w:p>
    <w:p w14:paraId="6831708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提交投标文件截止时间：2026年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日11：00（北京时间）</w:t>
      </w:r>
    </w:p>
    <w:p w14:paraId="4BB78BBE">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投标地点：请登录政采云投标客户端投标</w:t>
      </w:r>
    </w:p>
    <w:p w14:paraId="5B78CC8B">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五、投标文件开启</w:t>
      </w:r>
    </w:p>
    <w:p w14:paraId="444BC62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开标时间：2026年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日11：00（北京时间）</w:t>
      </w:r>
    </w:p>
    <w:p w14:paraId="29FD1E2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开标地点：供应商登录政采云平台https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//www.zcygov.cn/，进入“项目采购-开标评标-右边选择对应项目点击“进入项目”进入开标大厅。</w:t>
      </w:r>
    </w:p>
    <w:p w14:paraId="6E7ABE85">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六、公告期限</w:t>
      </w:r>
    </w:p>
    <w:p w14:paraId="75EBD3E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自本公告发布之日起5个工作日。</w:t>
      </w:r>
    </w:p>
    <w:p w14:paraId="732DFC3E">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kern w:val="2"/>
          <w:sz w:val="24"/>
          <w:szCs w:val="24"/>
          <w:highlight w:val="none"/>
          <w:lang w:eastAsia="zh-CN"/>
        </w:rPr>
        <w:t>七、</w:t>
      </w:r>
      <w:r>
        <w:rPr>
          <w:rFonts w:hint="eastAsia" w:ascii="仿宋" w:hAnsi="仿宋" w:eastAsia="仿宋" w:cs="仿宋"/>
          <w:b/>
          <w:bCs/>
          <w:color w:val="auto"/>
          <w:sz w:val="24"/>
          <w:szCs w:val="24"/>
          <w:highlight w:val="none"/>
          <w:lang w:eastAsia="zh-CN"/>
        </w:rPr>
        <w:t>其他事项</w:t>
      </w:r>
    </w:p>
    <w:p w14:paraId="25C681F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w:t>
      </w:r>
      <w:r>
        <w:rPr>
          <w:rFonts w:hint="eastAsia" w:ascii="仿宋" w:hAnsi="仿宋" w:eastAsia="仿宋" w:cs="仿宋"/>
          <w:color w:val="auto"/>
          <w:sz w:val="24"/>
          <w:szCs w:val="24"/>
          <w:highlight w:val="none"/>
          <w:lang w:eastAsia="zh-CN"/>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政府采购网下载专区下载。</w:t>
      </w:r>
    </w:p>
    <w:p w14:paraId="4B73C68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其他事项：（1）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政府采购网-下载专区-电子交易客户端-CA驱动和申领流程”；安装“政采云电子交易客户端”----前往“政府采购网-下载专区-电子交易客户端”进行下载并安装；③采购文件的获取：使用账号登录或者使用CA登录政采云平台；进入“项目采购”应用，在获取采购文件菜单中选择项目，获取采购文件；④投标文件的制作：在“政采云电子交易客户端”中完成“填写基本信息”、“导入投标文件”、“标书关联”、“标书检查”、“电子签章”、“生成电子标书”等操作；⑤采购人、采购代理机构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投标文件的传输递交：投标人在投标截止时间前将加密的投标文件上传至政府采购云平台，还可以在投标截止时间前直接提交或者以邮政快递方式递交备份投标文件1份。备份投标文件的制作、存储、密封详见采购文件“备份投标文件”；⑨投标文件的解密：投标人按照平台提示和采购文件的规定在30分钟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采购文件公告期限与招标公告的公告期限一致。</w:t>
      </w:r>
    </w:p>
    <w:p w14:paraId="339409ED">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八、对本次采购提出询问，请按以下方式联系</w:t>
      </w:r>
    </w:p>
    <w:p w14:paraId="514D9D9E">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29A48C0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称：新疆维吾尔自治区吐鲁番某单位</w:t>
      </w:r>
    </w:p>
    <w:p w14:paraId="289D4D1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w:t>
      </w:r>
      <w:r>
        <w:rPr>
          <w:rFonts w:hint="eastAsia" w:ascii="仿宋_GB2312" w:hAnsi="仿宋_GB2312" w:eastAsia="仿宋_GB2312" w:cs="仿宋_GB2312"/>
          <w:color w:val="auto"/>
          <w:sz w:val="24"/>
          <w:szCs w:val="24"/>
          <w:highlight w:val="none"/>
          <w:lang w:eastAsia="zh-CN"/>
        </w:rPr>
        <w:t>吐鲁番地区</w:t>
      </w:r>
    </w:p>
    <w:p w14:paraId="35A2ABE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联 系 人：阿主任 </w:t>
      </w:r>
    </w:p>
    <w:p w14:paraId="3CA92970">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电话：18139315085</w:t>
      </w:r>
    </w:p>
    <w:p w14:paraId="40A77ED6">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74B9A6B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称：新疆华域建设工程项目管理咨询有限公司</w:t>
      </w:r>
    </w:p>
    <w:p w14:paraId="113DA58E">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址：乌鲁木齐市五星北路194号新地园大厦1401</w:t>
      </w:r>
    </w:p>
    <w:p w14:paraId="050501C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联系方式：17690170616　</w:t>
      </w:r>
    </w:p>
    <w:p w14:paraId="2C228DF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3.项目联系方式</w:t>
      </w:r>
    </w:p>
    <w:p w14:paraId="44ADA9B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项目联系人：梁雪燕、王文周、李昱骁、王慧、薛迎 </w:t>
      </w:r>
    </w:p>
    <w:p w14:paraId="555532B7">
      <w:pPr>
        <w:spacing w:line="242" w:lineRule="auto"/>
        <w:ind w:firstLine="480" w:firstLineChars="200"/>
        <w:rPr>
          <w:rFonts w:ascii="仿宋_GB2312" w:hAnsi="仿宋_GB2312" w:eastAsia="仿宋_GB2312" w:cs="仿宋_GB2312"/>
          <w:color w:val="auto"/>
          <w:sz w:val="24"/>
          <w:szCs w:val="24"/>
          <w:highlight w:val="none"/>
          <w:lang w:eastAsia="zh-CN"/>
        </w:rPr>
      </w:pPr>
      <w:r>
        <w:rPr>
          <w:rFonts w:hint="eastAsia" w:ascii="仿宋" w:hAnsi="仿宋" w:eastAsia="仿宋" w:cs="仿宋"/>
          <w:color w:val="auto"/>
          <w:sz w:val="24"/>
          <w:szCs w:val="24"/>
          <w:highlight w:val="none"/>
          <w:lang w:eastAsia="zh-CN"/>
        </w:rPr>
        <w:t>电 话：17690170616</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lang w:eastAsia="zh-CN"/>
        </w:rPr>
        <w:br w:type="page"/>
      </w:r>
      <w:bookmarkEnd w:id="3"/>
    </w:p>
    <w:p w14:paraId="408770C5">
      <w:pPr>
        <w:pStyle w:val="2"/>
        <w:rPr>
          <w:rFonts w:ascii="仿宋_GB2312" w:hAnsi="仿宋_GB2312" w:eastAsia="仿宋_GB2312" w:cs="仿宋_GB2312"/>
          <w:color w:val="auto"/>
          <w:szCs w:val="31"/>
          <w:highlight w:val="none"/>
          <w:lang w:eastAsia="zh-CN"/>
        </w:rPr>
      </w:pPr>
      <w:bookmarkStart w:id="8" w:name="bookmark3"/>
      <w:bookmarkEnd w:id="8"/>
      <w:bookmarkStart w:id="9" w:name="_Toc8466"/>
      <w:bookmarkStart w:id="10" w:name="_Toc22591"/>
      <w:r>
        <w:rPr>
          <w:rFonts w:hint="eastAsia"/>
          <w:b/>
          <w:bCs/>
          <w:color w:val="auto"/>
          <w:highlight w:val="none"/>
          <w:lang w:eastAsia="zh-CN"/>
        </w:rPr>
        <w:t>第二章  投标须知前附表及投标须知</w:t>
      </w:r>
      <w:bookmarkEnd w:id="9"/>
      <w:bookmarkEnd w:id="10"/>
    </w:p>
    <w:p w14:paraId="26FE0AB0">
      <w:pPr>
        <w:pStyle w:val="10"/>
        <w:spacing w:before="295" w:line="206" w:lineRule="auto"/>
        <w:ind w:left="3542"/>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7"/>
          <w:sz w:val="28"/>
          <w:szCs w:val="28"/>
          <w:highlight w:val="none"/>
        </w:rPr>
        <w:t>一、投标须知前附表</w:t>
      </w:r>
    </w:p>
    <w:tbl>
      <w:tblPr>
        <w:tblStyle w:val="32"/>
        <w:tblW w:w="10068"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980"/>
        <w:gridCol w:w="7366"/>
      </w:tblGrid>
      <w:tr w14:paraId="6D5CB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top w:val="single" w:color="000000" w:sz="10" w:space="0"/>
              <w:left w:val="single" w:color="000000" w:sz="10" w:space="0"/>
            </w:tcBorders>
          </w:tcPr>
          <w:p w14:paraId="7AECC299">
            <w:pPr>
              <w:pStyle w:val="33"/>
              <w:spacing w:before="40" w:line="400" w:lineRule="exact"/>
              <w:ind w:left="11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项号</w:t>
            </w:r>
          </w:p>
        </w:tc>
        <w:tc>
          <w:tcPr>
            <w:tcW w:w="1980" w:type="dxa"/>
            <w:tcBorders>
              <w:top w:val="single" w:color="000000" w:sz="10" w:space="0"/>
            </w:tcBorders>
          </w:tcPr>
          <w:p w14:paraId="67F25E6B">
            <w:pPr>
              <w:pStyle w:val="33"/>
              <w:spacing w:before="40" w:line="400" w:lineRule="exact"/>
              <w:ind w:left="66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8"/>
                <w:sz w:val="24"/>
                <w:szCs w:val="24"/>
                <w:highlight w:val="none"/>
              </w:rPr>
              <w:t>内</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18"/>
                <w:sz w:val="24"/>
                <w:szCs w:val="24"/>
                <w:highlight w:val="none"/>
              </w:rPr>
              <w:t>容</w:t>
            </w:r>
          </w:p>
        </w:tc>
        <w:tc>
          <w:tcPr>
            <w:tcW w:w="7366" w:type="dxa"/>
            <w:tcBorders>
              <w:top w:val="single" w:color="000000" w:sz="10" w:space="0"/>
              <w:right w:val="single" w:color="000000" w:sz="10" w:space="0"/>
            </w:tcBorders>
          </w:tcPr>
          <w:p w14:paraId="581D0BDB">
            <w:pPr>
              <w:pStyle w:val="33"/>
              <w:spacing w:before="40" w:line="400" w:lineRule="exact"/>
              <w:ind w:left="3091"/>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说明及要求</w:t>
            </w:r>
          </w:p>
        </w:tc>
      </w:tr>
      <w:tr w14:paraId="33641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restart"/>
            <w:tcBorders>
              <w:left w:val="single" w:color="000000" w:sz="10" w:space="0"/>
              <w:bottom w:val="nil"/>
            </w:tcBorders>
            <w:vAlign w:val="center"/>
          </w:tcPr>
          <w:p w14:paraId="1966212F">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980" w:type="dxa"/>
          </w:tcPr>
          <w:p w14:paraId="7E13BFBE">
            <w:pPr>
              <w:pStyle w:val="33"/>
              <w:spacing w:before="34" w:line="400" w:lineRule="exact"/>
              <w:ind w:left="5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项目名称</w:t>
            </w:r>
          </w:p>
        </w:tc>
        <w:tc>
          <w:tcPr>
            <w:tcW w:w="7366" w:type="dxa"/>
            <w:tcBorders>
              <w:right w:val="single" w:color="000000" w:sz="10" w:space="0"/>
            </w:tcBorders>
          </w:tcPr>
          <w:p w14:paraId="56AFDAA7">
            <w:pPr>
              <w:pStyle w:val="33"/>
              <w:spacing w:before="35" w:line="400" w:lineRule="exact"/>
              <w:jc w:val="both"/>
              <w:rPr>
                <w:rFonts w:ascii="仿宋_GB2312" w:hAnsi="仿宋_GB2312" w:eastAsia="仿宋_GB2312" w:cs="仿宋_GB2312"/>
                <w:color w:val="auto"/>
                <w:spacing w:val="4"/>
                <w:sz w:val="24"/>
                <w:szCs w:val="24"/>
                <w:highlight w:val="none"/>
                <w:lang w:eastAsia="zh-CN"/>
              </w:rPr>
            </w:pPr>
            <w:r>
              <w:rPr>
                <w:rFonts w:hint="eastAsia" w:ascii="仿宋_GB2312" w:hAnsi="仿宋_GB2312" w:eastAsia="仿宋_GB2312" w:cs="仿宋_GB2312"/>
                <w:color w:val="auto"/>
                <w:sz w:val="24"/>
                <w:szCs w:val="24"/>
                <w:highlight w:val="none"/>
                <w:lang w:eastAsia="zh-CN"/>
              </w:rPr>
              <w:t>新疆维吾尔自治区吐鲁番某单位2026年度大宗生活物资采购项目-第七包（水果类）</w:t>
            </w:r>
          </w:p>
        </w:tc>
      </w:tr>
      <w:tr w14:paraId="3CED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20FE98B6">
            <w:pPr>
              <w:spacing w:line="400" w:lineRule="exact"/>
              <w:rPr>
                <w:rFonts w:ascii="仿宋_GB2312" w:hAnsi="仿宋_GB2312" w:eastAsia="仿宋_GB2312" w:cs="仿宋_GB2312"/>
                <w:color w:val="auto"/>
                <w:sz w:val="24"/>
                <w:szCs w:val="24"/>
                <w:highlight w:val="none"/>
                <w:lang w:eastAsia="zh-CN"/>
              </w:rPr>
            </w:pPr>
          </w:p>
        </w:tc>
        <w:tc>
          <w:tcPr>
            <w:tcW w:w="1980" w:type="dxa"/>
          </w:tcPr>
          <w:p w14:paraId="62354479">
            <w:pPr>
              <w:pStyle w:val="33"/>
              <w:spacing w:before="34" w:line="400" w:lineRule="exact"/>
              <w:ind w:left="5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项目编号</w:t>
            </w:r>
          </w:p>
        </w:tc>
        <w:tc>
          <w:tcPr>
            <w:tcW w:w="7366" w:type="dxa"/>
            <w:tcBorders>
              <w:right w:val="single" w:color="000000" w:sz="10" w:space="0"/>
            </w:tcBorders>
          </w:tcPr>
          <w:p w14:paraId="3090C54D">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XJHY-2026-049（03）</w:t>
            </w:r>
          </w:p>
        </w:tc>
      </w:tr>
      <w:tr w14:paraId="1DB57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0F5CE6AB">
            <w:pPr>
              <w:spacing w:line="400" w:lineRule="exact"/>
              <w:rPr>
                <w:rFonts w:ascii="仿宋_GB2312" w:hAnsi="仿宋_GB2312" w:eastAsia="仿宋_GB2312" w:cs="仿宋_GB2312"/>
                <w:color w:val="auto"/>
                <w:sz w:val="24"/>
                <w:szCs w:val="24"/>
                <w:highlight w:val="none"/>
              </w:rPr>
            </w:pPr>
          </w:p>
        </w:tc>
        <w:tc>
          <w:tcPr>
            <w:tcW w:w="1980" w:type="dxa"/>
            <w:vAlign w:val="center"/>
          </w:tcPr>
          <w:p w14:paraId="7A09F4C6">
            <w:pPr>
              <w:pStyle w:val="33"/>
              <w:spacing w:before="35" w:line="400" w:lineRule="exact"/>
              <w:ind w:left="635"/>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采购人</w:t>
            </w:r>
          </w:p>
        </w:tc>
        <w:tc>
          <w:tcPr>
            <w:tcW w:w="7366" w:type="dxa"/>
            <w:tcBorders>
              <w:right w:val="single" w:color="000000" w:sz="10" w:space="0"/>
            </w:tcBorders>
            <w:vAlign w:val="center"/>
          </w:tcPr>
          <w:p w14:paraId="6B005B25">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名 称：新疆维吾尔自治区吐鲁番某单位</w:t>
            </w:r>
          </w:p>
          <w:p w14:paraId="07B58704">
            <w:pPr>
              <w:keepNex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地 址：</w:t>
            </w:r>
            <w:r>
              <w:rPr>
                <w:rFonts w:hint="eastAsia" w:ascii="仿宋_GB2312" w:hAnsi="仿宋_GB2312" w:eastAsia="仿宋_GB2312" w:cs="仿宋_GB2312"/>
                <w:color w:val="auto"/>
                <w:sz w:val="24"/>
                <w:szCs w:val="24"/>
                <w:highlight w:val="none"/>
                <w:lang w:val="en-US" w:eastAsia="zh-CN"/>
              </w:rPr>
              <w:t>吐鲁番地区</w:t>
            </w:r>
          </w:p>
          <w:p w14:paraId="5A095F92">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联 系 人：阿主任 </w:t>
            </w:r>
          </w:p>
          <w:p w14:paraId="34A449F1">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电话：18139315085</w:t>
            </w:r>
          </w:p>
        </w:tc>
      </w:tr>
      <w:tr w14:paraId="32310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vMerge w:val="continue"/>
            <w:tcBorders>
              <w:top w:val="nil"/>
              <w:left w:val="single" w:color="000000" w:sz="10" w:space="0"/>
              <w:bottom w:val="nil"/>
            </w:tcBorders>
          </w:tcPr>
          <w:p w14:paraId="569FD7EE">
            <w:pPr>
              <w:spacing w:line="400" w:lineRule="exact"/>
              <w:rPr>
                <w:rFonts w:ascii="仿宋_GB2312" w:hAnsi="仿宋_GB2312" w:eastAsia="仿宋_GB2312" w:cs="仿宋_GB2312"/>
                <w:color w:val="auto"/>
                <w:sz w:val="24"/>
                <w:szCs w:val="24"/>
                <w:highlight w:val="none"/>
              </w:rPr>
            </w:pPr>
          </w:p>
        </w:tc>
        <w:tc>
          <w:tcPr>
            <w:tcW w:w="1980" w:type="dxa"/>
            <w:vAlign w:val="center"/>
          </w:tcPr>
          <w:p w14:paraId="4D2BA9A4">
            <w:pPr>
              <w:pStyle w:val="33"/>
              <w:spacing w:before="35" w:line="400" w:lineRule="exact"/>
              <w:ind w:firstLine="248" w:firstLineChars="100"/>
              <w:jc w:val="both"/>
              <w:rPr>
                <w:rFonts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采购代理机构</w:t>
            </w:r>
          </w:p>
        </w:tc>
        <w:tc>
          <w:tcPr>
            <w:tcW w:w="7366" w:type="dxa"/>
            <w:tcBorders>
              <w:right w:val="single" w:color="000000" w:sz="10" w:space="0"/>
            </w:tcBorders>
            <w:vAlign w:val="center"/>
          </w:tcPr>
          <w:p w14:paraId="1F17CCCD">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名 称：新疆华域建设工程项目管理咨询有限公司</w:t>
            </w:r>
          </w:p>
          <w:p w14:paraId="6F188E3D">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地 址：乌鲁木齐市五星北路194号新地园大厦1401</w:t>
            </w:r>
          </w:p>
          <w:p w14:paraId="1C15BC17">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项目联系人：梁雪燕、王文周、李昱骁、王慧、薛迎</w:t>
            </w:r>
          </w:p>
          <w:p w14:paraId="08DD707C">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 话：17690170616　</w:t>
            </w:r>
          </w:p>
        </w:tc>
      </w:tr>
      <w:tr w14:paraId="0E8C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1EB4BC15">
            <w:pPr>
              <w:spacing w:line="400" w:lineRule="exact"/>
              <w:rPr>
                <w:rFonts w:ascii="仿宋_GB2312" w:hAnsi="仿宋_GB2312" w:eastAsia="仿宋_GB2312" w:cs="仿宋_GB2312"/>
                <w:color w:val="auto"/>
                <w:sz w:val="24"/>
                <w:szCs w:val="24"/>
                <w:highlight w:val="none"/>
                <w:lang w:eastAsia="zh-CN"/>
              </w:rPr>
            </w:pPr>
          </w:p>
        </w:tc>
        <w:tc>
          <w:tcPr>
            <w:tcW w:w="1980" w:type="dxa"/>
          </w:tcPr>
          <w:p w14:paraId="16A0391D">
            <w:pPr>
              <w:pStyle w:val="33"/>
              <w:spacing w:before="37" w:line="400" w:lineRule="exact"/>
              <w:ind w:left="51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采购方式</w:t>
            </w:r>
          </w:p>
        </w:tc>
        <w:tc>
          <w:tcPr>
            <w:tcW w:w="7366" w:type="dxa"/>
            <w:tcBorders>
              <w:right w:val="single" w:color="000000" w:sz="10" w:space="0"/>
            </w:tcBorders>
          </w:tcPr>
          <w:p w14:paraId="1BBBCBF4">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公开招标</w:t>
            </w:r>
          </w:p>
        </w:tc>
      </w:tr>
      <w:tr w14:paraId="2948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2E23B344">
            <w:pPr>
              <w:spacing w:line="400" w:lineRule="exact"/>
              <w:rPr>
                <w:rFonts w:ascii="仿宋_GB2312" w:hAnsi="仿宋_GB2312" w:eastAsia="仿宋_GB2312" w:cs="仿宋_GB2312"/>
                <w:color w:val="auto"/>
                <w:sz w:val="24"/>
                <w:szCs w:val="24"/>
                <w:highlight w:val="none"/>
              </w:rPr>
            </w:pPr>
          </w:p>
        </w:tc>
        <w:tc>
          <w:tcPr>
            <w:tcW w:w="1980" w:type="dxa"/>
          </w:tcPr>
          <w:p w14:paraId="2AA11644">
            <w:pPr>
              <w:pStyle w:val="33"/>
              <w:spacing w:before="39" w:line="400" w:lineRule="exact"/>
              <w:ind w:left="52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资金来源</w:t>
            </w:r>
          </w:p>
        </w:tc>
        <w:tc>
          <w:tcPr>
            <w:tcW w:w="7366" w:type="dxa"/>
            <w:tcBorders>
              <w:right w:val="single" w:color="000000" w:sz="10" w:space="0"/>
            </w:tcBorders>
          </w:tcPr>
          <w:p w14:paraId="00DFEB06">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财政资金</w:t>
            </w:r>
          </w:p>
        </w:tc>
      </w:tr>
      <w:tr w14:paraId="7E5A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4A5FE817">
            <w:pPr>
              <w:spacing w:line="400" w:lineRule="exact"/>
              <w:rPr>
                <w:rFonts w:ascii="仿宋_GB2312" w:hAnsi="仿宋_GB2312" w:eastAsia="仿宋_GB2312" w:cs="仿宋_GB2312"/>
                <w:color w:val="auto"/>
                <w:sz w:val="24"/>
                <w:szCs w:val="24"/>
                <w:highlight w:val="none"/>
              </w:rPr>
            </w:pPr>
          </w:p>
        </w:tc>
        <w:tc>
          <w:tcPr>
            <w:tcW w:w="1980" w:type="dxa"/>
          </w:tcPr>
          <w:p w14:paraId="5C5799ED">
            <w:pPr>
              <w:pStyle w:val="33"/>
              <w:spacing w:before="39" w:line="400" w:lineRule="exact"/>
              <w:ind w:left="28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资格审查方式</w:t>
            </w:r>
          </w:p>
        </w:tc>
        <w:tc>
          <w:tcPr>
            <w:tcW w:w="7366" w:type="dxa"/>
            <w:tcBorders>
              <w:right w:val="single" w:color="000000" w:sz="10" w:space="0"/>
            </w:tcBorders>
          </w:tcPr>
          <w:p w14:paraId="27B8F9FB">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资格后审</w:t>
            </w:r>
          </w:p>
        </w:tc>
      </w:tr>
      <w:tr w14:paraId="235D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tcBorders>
          </w:tcPr>
          <w:p w14:paraId="00515D0A">
            <w:pPr>
              <w:spacing w:line="400" w:lineRule="exact"/>
              <w:rPr>
                <w:rFonts w:ascii="仿宋_GB2312" w:hAnsi="仿宋_GB2312" w:eastAsia="仿宋_GB2312" w:cs="仿宋_GB2312"/>
                <w:color w:val="auto"/>
                <w:sz w:val="24"/>
                <w:szCs w:val="24"/>
                <w:highlight w:val="none"/>
              </w:rPr>
            </w:pPr>
          </w:p>
        </w:tc>
        <w:tc>
          <w:tcPr>
            <w:tcW w:w="1980" w:type="dxa"/>
            <w:vAlign w:val="center"/>
          </w:tcPr>
          <w:p w14:paraId="4C6AED6C">
            <w:pPr>
              <w:pStyle w:val="33"/>
              <w:spacing w:before="74"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采购内容</w:t>
            </w:r>
          </w:p>
        </w:tc>
        <w:tc>
          <w:tcPr>
            <w:tcW w:w="7366" w:type="dxa"/>
            <w:tcBorders>
              <w:right w:val="single" w:color="000000" w:sz="10" w:space="0"/>
            </w:tcBorders>
          </w:tcPr>
          <w:p w14:paraId="1E18400A">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采购水果类食材，具体详见采购需求。</w:t>
            </w:r>
          </w:p>
        </w:tc>
      </w:tr>
      <w:tr w14:paraId="137D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bottom w:val="single" w:color="auto" w:sz="4" w:space="0"/>
            </w:tcBorders>
            <w:vAlign w:val="center"/>
          </w:tcPr>
          <w:p w14:paraId="549419A4">
            <w:pPr>
              <w:pStyle w:val="33"/>
              <w:spacing w:before="74"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980" w:type="dxa"/>
            <w:tcBorders>
              <w:bottom w:val="single" w:color="auto" w:sz="4" w:space="0"/>
            </w:tcBorders>
            <w:vAlign w:val="center"/>
          </w:tcPr>
          <w:p w14:paraId="50A89D51">
            <w:pPr>
              <w:pStyle w:val="33"/>
              <w:spacing w:before="75"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rPr>
              <w:t>预算</w:t>
            </w:r>
            <w:r>
              <w:rPr>
                <w:rFonts w:hint="eastAsia" w:ascii="仿宋_GB2312" w:hAnsi="仿宋_GB2312" w:eastAsia="仿宋_GB2312" w:cs="仿宋_GB2312"/>
                <w:color w:val="auto"/>
                <w:spacing w:val="7"/>
                <w:sz w:val="24"/>
                <w:szCs w:val="24"/>
                <w:highlight w:val="none"/>
                <w:lang w:eastAsia="zh-CN"/>
              </w:rPr>
              <w:t>金额</w:t>
            </w:r>
          </w:p>
        </w:tc>
        <w:tc>
          <w:tcPr>
            <w:tcW w:w="7366" w:type="dxa"/>
            <w:tcBorders>
              <w:bottom w:val="single" w:color="auto" w:sz="4" w:space="0"/>
              <w:right w:val="single" w:color="000000" w:sz="10" w:space="0"/>
            </w:tcBorders>
          </w:tcPr>
          <w:p w14:paraId="15EF2C26">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960000.00</w:t>
            </w:r>
            <w:r>
              <w:rPr>
                <w:rFonts w:hint="eastAsia" w:ascii="仿宋_GB2312" w:hAnsi="仿宋_GB2312" w:eastAsia="仿宋_GB2312" w:cs="仿宋_GB2312"/>
                <w:color w:val="auto"/>
                <w:spacing w:val="6"/>
                <w:sz w:val="24"/>
                <w:szCs w:val="24"/>
                <w:highlight w:val="none"/>
                <w:lang w:val="en-US" w:eastAsia="zh-CN"/>
              </w:rPr>
              <w:t>元</w:t>
            </w:r>
          </w:p>
        </w:tc>
      </w:tr>
      <w:tr w14:paraId="2C79B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top w:val="single" w:color="auto" w:sz="4" w:space="0"/>
              <w:left w:val="single" w:color="000000" w:sz="10" w:space="0"/>
              <w:bottom w:val="single" w:color="000000" w:sz="10" w:space="0"/>
            </w:tcBorders>
          </w:tcPr>
          <w:p w14:paraId="4C885323">
            <w:pPr>
              <w:pStyle w:val="33"/>
              <w:spacing w:before="79" w:line="400" w:lineRule="exact"/>
              <w:ind w:left="29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980" w:type="dxa"/>
            <w:tcBorders>
              <w:top w:val="single" w:color="auto" w:sz="4" w:space="0"/>
              <w:bottom w:val="single" w:color="000000" w:sz="10" w:space="0"/>
            </w:tcBorders>
          </w:tcPr>
          <w:p w14:paraId="24EA4999">
            <w:pPr>
              <w:pStyle w:val="33"/>
              <w:spacing w:before="38" w:line="400" w:lineRule="exact"/>
              <w:ind w:left="520"/>
              <w:rPr>
                <w:rFonts w:ascii="仿宋_GB2312" w:hAnsi="仿宋_GB2312" w:eastAsia="仿宋_GB2312" w:cs="仿宋_GB2312"/>
                <w:color w:val="auto"/>
                <w:spacing w:val="7"/>
                <w:sz w:val="24"/>
                <w:szCs w:val="24"/>
                <w:highlight w:val="none"/>
              </w:rPr>
            </w:pPr>
            <w:r>
              <w:rPr>
                <w:rFonts w:hint="eastAsia" w:ascii="仿宋_GB2312" w:hAnsi="仿宋_GB2312" w:eastAsia="仿宋_GB2312" w:cs="仿宋_GB2312"/>
                <w:color w:val="auto"/>
                <w:spacing w:val="4"/>
                <w:sz w:val="24"/>
                <w:szCs w:val="24"/>
                <w:highlight w:val="none"/>
              </w:rPr>
              <w:t>质量标准</w:t>
            </w:r>
          </w:p>
        </w:tc>
        <w:tc>
          <w:tcPr>
            <w:tcW w:w="7366" w:type="dxa"/>
            <w:tcBorders>
              <w:top w:val="single" w:color="auto" w:sz="4" w:space="0"/>
              <w:bottom w:val="single" w:color="000000" w:sz="10" w:space="0"/>
              <w:right w:val="single" w:color="000000" w:sz="10" w:space="0"/>
            </w:tcBorders>
          </w:tcPr>
          <w:p w14:paraId="4B162AEE">
            <w:pPr>
              <w:pStyle w:val="33"/>
              <w:spacing w:before="38" w:line="400" w:lineRule="exact"/>
              <w:rPr>
                <w:rFonts w:ascii="仿宋_GB2312" w:hAnsi="仿宋_GB2312" w:eastAsia="仿宋_GB2312" w:cs="仿宋_GB2312"/>
                <w:b/>
                <w:bCs/>
                <w:color w:val="auto"/>
                <w:spacing w:val="5"/>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合格（通过采购人及有关部门组织</w:t>
            </w:r>
            <w:r>
              <w:rPr>
                <w:rFonts w:hint="eastAsia" w:ascii="仿宋_GB2312" w:hAnsi="仿宋_GB2312" w:eastAsia="仿宋_GB2312" w:cs="仿宋_GB2312"/>
                <w:color w:val="auto"/>
                <w:spacing w:val="7"/>
                <w:sz w:val="24"/>
                <w:szCs w:val="24"/>
                <w:highlight w:val="none"/>
                <w:lang w:eastAsia="zh-CN"/>
              </w:rPr>
              <w:t>的项目验收）</w:t>
            </w:r>
          </w:p>
        </w:tc>
      </w:tr>
      <w:tr w14:paraId="55FAD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vAlign w:val="center"/>
          </w:tcPr>
          <w:p w14:paraId="5463648B">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980" w:type="dxa"/>
            <w:vAlign w:val="center"/>
          </w:tcPr>
          <w:p w14:paraId="04150F14">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供应商资格</w:t>
            </w:r>
          </w:p>
        </w:tc>
        <w:tc>
          <w:tcPr>
            <w:tcW w:w="7366" w:type="dxa"/>
            <w:tcBorders>
              <w:right w:val="single" w:color="000000" w:sz="10" w:space="0"/>
            </w:tcBorders>
          </w:tcPr>
          <w:p w14:paraId="2C1FDAF4">
            <w:pPr>
              <w:pStyle w:val="33"/>
              <w:spacing w:before="37"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1.满足《中华人民共和国政府采购法》第二十二条规定；</w:t>
            </w:r>
          </w:p>
          <w:p w14:paraId="6D2D69F7">
            <w:pPr>
              <w:pStyle w:val="33"/>
              <w:spacing w:before="37"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2.落实政府采购政策需满足的资格要求：本标项为专门面向小微企业采购份额，即：提供的货物全部由符合政策要求的小微企业制造。</w:t>
            </w:r>
          </w:p>
          <w:p w14:paraId="13CE632B">
            <w:pPr>
              <w:pStyle w:val="33"/>
              <w:spacing w:before="37"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3.本项目的特定资格要求：具有有效的《食品经营许可证》或《食品生产许可证》。</w:t>
            </w:r>
          </w:p>
        </w:tc>
      </w:tr>
      <w:tr w14:paraId="241CB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12E2B4CB">
            <w:pPr>
              <w:pStyle w:val="33"/>
              <w:spacing w:before="99" w:line="400" w:lineRule="exact"/>
              <w:ind w:left="29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980" w:type="dxa"/>
          </w:tcPr>
          <w:p w14:paraId="1E3E9CC6">
            <w:pPr>
              <w:pStyle w:val="33"/>
              <w:spacing w:before="55" w:line="400" w:lineRule="exact"/>
              <w:ind w:left="273"/>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投标文件组成</w:t>
            </w:r>
          </w:p>
        </w:tc>
        <w:tc>
          <w:tcPr>
            <w:tcW w:w="7366" w:type="dxa"/>
            <w:tcBorders>
              <w:right w:val="single" w:color="000000" w:sz="10" w:space="0"/>
            </w:tcBorders>
          </w:tcPr>
          <w:p w14:paraId="63112747">
            <w:pPr>
              <w:pStyle w:val="33"/>
              <w:spacing w:before="55"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详见本采购文件“</w:t>
            </w:r>
            <w:r>
              <w:rPr>
                <w:rFonts w:hint="eastAsia" w:ascii="仿宋_GB2312" w:hAnsi="仿宋_GB2312" w:eastAsia="仿宋_GB2312" w:cs="仿宋_GB2312"/>
                <w:color w:val="auto"/>
                <w:spacing w:val="-91"/>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二、投标须知</w:t>
            </w:r>
            <w:r>
              <w:rPr>
                <w:rFonts w:hint="eastAsia" w:ascii="仿宋_GB2312" w:hAnsi="仿宋_GB2312" w:eastAsia="仿宋_GB2312" w:cs="仿宋_GB2312"/>
                <w:color w:val="auto"/>
                <w:spacing w:val="-83"/>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”第</w:t>
            </w:r>
            <w:r>
              <w:rPr>
                <w:rFonts w:hint="eastAsia" w:ascii="仿宋_GB2312" w:hAnsi="仿宋_GB2312" w:eastAsia="仿宋_GB2312" w:cs="仿宋_GB2312"/>
                <w:color w:val="auto"/>
                <w:spacing w:val="-44"/>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21</w:t>
            </w:r>
            <w:r>
              <w:rPr>
                <w:rFonts w:hint="eastAsia" w:ascii="仿宋_GB2312" w:hAnsi="仿宋_GB2312" w:eastAsia="仿宋_GB2312" w:cs="仿宋_GB2312"/>
                <w:color w:val="auto"/>
                <w:spacing w:val="-36"/>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项要</w:t>
            </w:r>
            <w:r>
              <w:rPr>
                <w:rFonts w:hint="eastAsia" w:ascii="仿宋_GB2312" w:hAnsi="仿宋_GB2312" w:eastAsia="仿宋_GB2312" w:cs="仿宋_GB2312"/>
                <w:color w:val="auto"/>
                <w:spacing w:val="1"/>
                <w:sz w:val="24"/>
                <w:szCs w:val="24"/>
                <w:highlight w:val="none"/>
                <w:lang w:eastAsia="zh-CN"/>
              </w:rPr>
              <w:t>求。</w:t>
            </w:r>
          </w:p>
        </w:tc>
      </w:tr>
      <w:tr w14:paraId="58F0D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tcPr>
          <w:p w14:paraId="7C8C28DA">
            <w:pPr>
              <w:pStyle w:val="33"/>
              <w:spacing w:before="252" w:line="400" w:lineRule="exact"/>
              <w:ind w:left="293"/>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980" w:type="dxa"/>
          </w:tcPr>
          <w:p w14:paraId="28084010">
            <w:pPr>
              <w:pStyle w:val="33"/>
              <w:spacing w:before="58" w:line="400" w:lineRule="exact"/>
              <w:ind w:left="632" w:right="156" w:hanging="479"/>
              <w:jc w:val="center"/>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投标文件递交</w:t>
            </w:r>
          </w:p>
          <w:p w14:paraId="5F8E6BDE">
            <w:pPr>
              <w:pStyle w:val="33"/>
              <w:spacing w:before="58" w:line="400" w:lineRule="exact"/>
              <w:ind w:left="632" w:right="156" w:hanging="479"/>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截</w:t>
            </w:r>
            <w:r>
              <w:rPr>
                <w:rFonts w:hint="eastAsia" w:ascii="仿宋_GB2312" w:hAnsi="仿宋_GB2312" w:eastAsia="仿宋_GB2312" w:cs="仿宋_GB2312"/>
                <w:color w:val="auto"/>
                <w:spacing w:val="4"/>
                <w:sz w:val="24"/>
                <w:szCs w:val="24"/>
                <w:highlight w:val="none"/>
                <w:lang w:eastAsia="zh-CN"/>
              </w:rPr>
              <w:t>止时间</w:t>
            </w:r>
          </w:p>
        </w:tc>
        <w:tc>
          <w:tcPr>
            <w:tcW w:w="7366" w:type="dxa"/>
            <w:tcBorders>
              <w:right w:val="single" w:color="000000" w:sz="10" w:space="0"/>
            </w:tcBorders>
          </w:tcPr>
          <w:p w14:paraId="75CD1D7B">
            <w:pPr>
              <w:pStyle w:val="33"/>
              <w:spacing w:before="210" w:line="400" w:lineRule="exact"/>
              <w:ind w:left="11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2026年</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日11：00</w:t>
            </w:r>
            <w:r>
              <w:rPr>
                <w:rFonts w:hint="eastAsia" w:ascii="仿宋_GB2312" w:hAnsi="仿宋_GB2312" w:eastAsia="仿宋_GB2312" w:cs="仿宋_GB2312"/>
                <w:color w:val="auto"/>
                <w:spacing w:val="-9"/>
                <w:sz w:val="24"/>
                <w:szCs w:val="24"/>
                <w:highlight w:val="none"/>
                <w:lang w:eastAsia="zh-CN"/>
              </w:rPr>
              <w:t>时（北京时间）</w:t>
            </w:r>
          </w:p>
        </w:tc>
      </w:tr>
      <w:tr w14:paraId="5AFB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2BA27C68">
            <w:pPr>
              <w:pStyle w:val="33"/>
              <w:spacing w:before="254" w:line="400" w:lineRule="exact"/>
              <w:ind w:left="297"/>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980" w:type="dxa"/>
          </w:tcPr>
          <w:p w14:paraId="138B7D7F">
            <w:pPr>
              <w:pStyle w:val="33"/>
              <w:spacing w:before="56" w:line="400" w:lineRule="exact"/>
              <w:ind w:left="273"/>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投标有效期限</w:t>
            </w:r>
          </w:p>
          <w:p w14:paraId="695A3133">
            <w:pPr>
              <w:pStyle w:val="33"/>
              <w:spacing w:before="22" w:line="400" w:lineRule="exact"/>
              <w:ind w:left="159"/>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tcPr>
          <w:p w14:paraId="441E56FB">
            <w:pPr>
              <w:pStyle w:val="33"/>
              <w:spacing w:before="209"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9"/>
                <w:sz w:val="24"/>
                <w:szCs w:val="24"/>
                <w:highlight w:val="none"/>
                <w:lang w:eastAsia="zh-CN"/>
              </w:rPr>
              <w:t>自投标截止之日起90</w:t>
            </w:r>
            <w:r>
              <w:rPr>
                <w:rFonts w:hint="eastAsia" w:ascii="仿宋_GB2312" w:hAnsi="仿宋_GB2312" w:eastAsia="仿宋_GB2312" w:cs="仿宋_GB2312"/>
                <w:color w:val="auto"/>
                <w:spacing w:val="-42"/>
                <w:sz w:val="24"/>
                <w:szCs w:val="24"/>
                <w:highlight w:val="none"/>
                <w:lang w:eastAsia="zh-CN"/>
              </w:rPr>
              <w:t xml:space="preserve"> </w:t>
            </w:r>
            <w:r>
              <w:rPr>
                <w:rFonts w:hint="eastAsia" w:ascii="仿宋_GB2312" w:hAnsi="仿宋_GB2312" w:eastAsia="仿宋_GB2312" w:cs="仿宋_GB2312"/>
                <w:color w:val="auto"/>
                <w:spacing w:val="-9"/>
                <w:sz w:val="24"/>
                <w:szCs w:val="24"/>
                <w:highlight w:val="none"/>
                <w:lang w:eastAsia="zh-CN"/>
              </w:rPr>
              <w:t>天（日历日）</w:t>
            </w:r>
          </w:p>
        </w:tc>
      </w:tr>
      <w:tr w14:paraId="5547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0" w:hRule="atLeast"/>
        </w:trPr>
        <w:tc>
          <w:tcPr>
            <w:tcW w:w="722" w:type="dxa"/>
            <w:tcBorders>
              <w:left w:val="single" w:color="000000" w:sz="10" w:space="0"/>
            </w:tcBorders>
            <w:vAlign w:val="center"/>
          </w:tcPr>
          <w:p w14:paraId="05063CBC">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p w14:paraId="5B54B3DD">
            <w:pPr>
              <w:spacing w:before="138"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3002915</wp:posOffset>
                      </wp:positionH>
                      <wp:positionV relativeFrom="paragraph">
                        <wp:posOffset>26670</wp:posOffset>
                      </wp:positionV>
                      <wp:extent cx="76200" cy="127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127635"/>
                              </a:xfrm>
                              <a:prstGeom prst="rect">
                                <a:avLst/>
                              </a:prstGeom>
                              <a:noFill/>
                              <a:ln>
                                <a:noFill/>
                              </a:ln>
                            </wps:spPr>
                            <wps:txbx>
                              <w:txbxContent>
                                <w:p w14:paraId="7DB0402A">
                                  <w:pPr>
                                    <w:spacing w:before="19" w:line="197" w:lineRule="auto"/>
                                    <w:ind w:left="20"/>
                                    <w:rPr>
                                      <w:rFonts w:ascii="Times New Roman" w:hAnsi="Times New Roman" w:eastAsia="Times New Roman" w:cs="Times New Roman"/>
                                      <w:sz w:val="17"/>
                                      <w:szCs w:val="17"/>
                                    </w:rPr>
                                  </w:pPr>
                                </w:p>
                              </w:txbxContent>
                            </wps:txbx>
                            <wps:bodyPr lIns="0" tIns="0" rIns="0" bIns="0"/>
                          </wps:wsp>
                        </a:graphicData>
                      </a:graphic>
                    </wp:anchor>
                  </w:drawing>
                </mc:Choice>
                <mc:Fallback>
                  <w:pict>
                    <v:shape id="_x0000_s1026" o:spid="_x0000_s1026" o:spt="202" type="#_x0000_t202" style="position:absolute;left:0pt;margin-left:236.45pt;margin-top:2.1pt;height:10.05pt;width:6pt;z-index:251659264;mso-width-relative:page;mso-height-relative:page;" filled="f" stroked="f" coordsize="21600,21600" o:gfxdata="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iD&#10;UI/XAAAACAEAAA8AAAAAAAAAAQAgAAAAIgAAAGRycy9kb3ducmV2LnhtbFBLAQIUABQAAAAIAIdO&#10;4kDPUXsXsgEAAGQDAAAOAAAAAAAAAAEAIAAAACYBAABkcnMvZTJvRG9jLnhtbFBLBQYAAAAABgAG&#10;AFkBAABKBQAAAAA=&#10;">
                      <v:fill on="f" focussize="0,0"/>
                      <v:stroke on="f"/>
                      <v:imagedata o:title=""/>
                      <o:lock v:ext="edit" aspectratio="f"/>
                      <v:textbox inset="0mm,0mm,0mm,0mm">
                        <w:txbxContent>
                          <w:p w14:paraId="7DB0402A">
                            <w:pPr>
                              <w:spacing w:before="19" w:line="197" w:lineRule="auto"/>
                              <w:ind w:left="20"/>
                              <w:rPr>
                                <w:rFonts w:ascii="Times New Roman" w:hAnsi="Times New Roman" w:eastAsia="Times New Roman" w:cs="Times New Roman"/>
                                <w:sz w:val="17"/>
                                <w:szCs w:val="17"/>
                              </w:rPr>
                            </w:pPr>
                          </w:p>
                        </w:txbxContent>
                      </v:textbox>
                    </v:shape>
                  </w:pict>
                </mc:Fallback>
              </mc:AlternateContent>
            </w:r>
          </w:p>
        </w:tc>
        <w:tc>
          <w:tcPr>
            <w:tcW w:w="1980" w:type="dxa"/>
            <w:vAlign w:val="center"/>
          </w:tcPr>
          <w:p w14:paraId="5B850EA2">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8"/>
                <w:sz w:val="24"/>
                <w:szCs w:val="24"/>
                <w:highlight w:val="none"/>
              </w:rPr>
              <w:t>投标文件递交地点</w:t>
            </w:r>
          </w:p>
        </w:tc>
        <w:tc>
          <w:tcPr>
            <w:tcW w:w="7366" w:type="dxa"/>
            <w:tcBorders>
              <w:right w:val="single" w:color="000000" w:sz="10" w:space="0"/>
            </w:tcBorders>
          </w:tcPr>
          <w:p w14:paraId="1A8F4587">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本项目采用不见面开标，加密的电子投标文件须在投标截止时间前通过CA在政采云平台上传。</w:t>
            </w:r>
          </w:p>
          <w:p w14:paraId="056B1C5F">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备注：供应商对不见面开评标系统的技术操作咨询，可通过</w:t>
            </w:r>
          </w:p>
          <w:p w14:paraId="792C1132">
            <w:pPr>
              <w:pStyle w:val="33"/>
              <w:spacing w:before="37" w:line="400" w:lineRule="exact"/>
              <w:rPr>
                <w:rFonts w:ascii="仿宋_GB2312" w:hAnsi="仿宋_GB2312" w:eastAsia="仿宋_GB2312" w:cs="仿宋_GB2312"/>
                <w:color w:val="auto"/>
                <w:spacing w:val="6"/>
                <w:sz w:val="24"/>
                <w:szCs w:val="24"/>
                <w:highlight w:val="none"/>
                <w:lang w:eastAsia="zh-CN"/>
              </w:rPr>
            </w:pPr>
            <w:r>
              <w:rPr>
                <w:color w:val="auto"/>
                <w:highlight w:val="none"/>
              </w:rPr>
              <w:fldChar w:fldCharType="begin"/>
            </w:r>
            <w:r>
              <w:rPr>
                <w:color w:val="auto"/>
                <w:highlight w:val="none"/>
              </w:rPr>
              <w:instrText xml:space="preserve"> HYPERLINK "https://edu.zcygov.cn/luban/xinjiang-e-biding" </w:instrText>
            </w:r>
            <w:r>
              <w:rPr>
                <w:color w:val="auto"/>
                <w:highlight w:val="none"/>
              </w:rPr>
              <w:fldChar w:fldCharType="separate"/>
            </w:r>
            <w:r>
              <w:rPr>
                <w:rFonts w:hint="eastAsia" w:ascii="仿宋_GB2312" w:hAnsi="仿宋_GB2312" w:eastAsia="仿宋_GB2312" w:cs="仿宋_GB2312"/>
                <w:color w:val="auto"/>
                <w:spacing w:val="6"/>
                <w:sz w:val="24"/>
                <w:szCs w:val="24"/>
                <w:highlight w:val="none"/>
                <w:lang w:eastAsia="zh-CN"/>
              </w:rPr>
              <w:t>https：//edu.zcygov.cn/luban/xinjiang-e-biding</w:t>
            </w:r>
            <w:r>
              <w:rPr>
                <w:rFonts w:hint="eastAsia" w:ascii="仿宋_GB2312" w:hAnsi="仿宋_GB2312" w:eastAsia="仿宋_GB2312" w:cs="仿宋_GB2312"/>
                <w:color w:val="auto"/>
                <w:spacing w:val="6"/>
                <w:sz w:val="24"/>
                <w:szCs w:val="24"/>
                <w:highlight w:val="none"/>
                <w:lang w:eastAsia="zh-CN"/>
              </w:rPr>
              <w:fldChar w:fldCharType="end"/>
            </w:r>
            <w:r>
              <w:rPr>
                <w:rFonts w:hint="eastAsia" w:ascii="仿宋_GB2312" w:hAnsi="仿宋_GB2312" w:eastAsia="仿宋_GB2312" w:cs="仿宋_GB2312"/>
                <w:color w:val="auto"/>
                <w:spacing w:val="6"/>
                <w:sz w:val="24"/>
                <w:szCs w:val="24"/>
                <w:highlight w:val="none"/>
                <w:lang w:eastAsia="zh-CN"/>
              </w:rPr>
              <w:t xml:space="preserve"> 自助查询，也可在政 采云帮助中心常见问题解答和操作流程讲解视频中自助查询，网址为：</w:t>
            </w:r>
          </w:p>
          <w:p w14:paraId="2A9C9D35">
            <w:pPr>
              <w:pStyle w:val="33"/>
              <w:spacing w:before="37" w:line="400" w:lineRule="exact"/>
              <w:rPr>
                <w:rFonts w:ascii="仿宋_GB2312" w:hAnsi="仿宋_GB2312" w:eastAsia="仿宋_GB2312" w:cs="仿宋_GB2312"/>
                <w:color w:val="auto"/>
                <w:sz w:val="24"/>
                <w:szCs w:val="24"/>
                <w:highlight w:val="none"/>
                <w:lang w:eastAsia="zh-CN"/>
              </w:rPr>
            </w:pPr>
            <w:r>
              <w:rPr>
                <w:color w:val="auto"/>
                <w:highlight w:val="none"/>
              </w:rPr>
              <w:fldChar w:fldCharType="begin"/>
            </w:r>
            <w:r>
              <w:rPr>
                <w:color w:val="auto"/>
                <w:highlight w:val="none"/>
              </w:rPr>
              <w:instrText xml:space="preserve"> HYPERLINK "https://service.zcygov.cn/#/help" </w:instrText>
            </w:r>
            <w:r>
              <w:rPr>
                <w:color w:val="auto"/>
                <w:highlight w:val="none"/>
              </w:rPr>
              <w:fldChar w:fldCharType="separate"/>
            </w:r>
            <w:r>
              <w:rPr>
                <w:rFonts w:hint="eastAsia" w:ascii="仿宋_GB2312" w:hAnsi="仿宋_GB2312" w:eastAsia="仿宋_GB2312" w:cs="仿宋_GB2312"/>
                <w:color w:val="auto"/>
                <w:spacing w:val="6"/>
                <w:sz w:val="24"/>
                <w:szCs w:val="24"/>
                <w:highlight w:val="none"/>
                <w:lang w:eastAsia="zh-CN"/>
              </w:rPr>
              <w:t>https：//service.zcygov.cn/#/help</w:t>
            </w:r>
            <w:r>
              <w:rPr>
                <w:rFonts w:hint="eastAsia" w:ascii="仿宋_GB2312" w:hAnsi="仿宋_GB2312" w:eastAsia="仿宋_GB2312" w:cs="仿宋_GB2312"/>
                <w:color w:val="auto"/>
                <w:spacing w:val="6"/>
                <w:sz w:val="24"/>
                <w:szCs w:val="24"/>
                <w:highlight w:val="none"/>
                <w:lang w:eastAsia="zh-CN"/>
              </w:rPr>
              <w:fldChar w:fldCharType="end"/>
            </w:r>
            <w:r>
              <w:rPr>
                <w:rFonts w:hint="eastAsia" w:ascii="仿宋_GB2312" w:hAnsi="仿宋_GB2312" w:eastAsia="仿宋_GB2312" w:cs="仿宋_GB2312"/>
                <w:color w:val="auto"/>
                <w:spacing w:val="6"/>
                <w:sz w:val="24"/>
                <w:szCs w:val="24"/>
                <w:highlight w:val="none"/>
                <w:lang w:eastAsia="zh-CN"/>
              </w:rPr>
              <w:t>，“项目采购”—“操作流程-电子招投标”—“政府采购项目电子交易管理操作指南-供应商”版面获取操作指南，同时对自助查询无法解决的问题可通过钉钉群及政采云在线客服获取服务支持。</w:t>
            </w:r>
          </w:p>
        </w:tc>
      </w:tr>
      <w:tr w14:paraId="2159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3C815258">
            <w:pPr>
              <w:spacing w:line="400" w:lineRule="exact"/>
              <w:rPr>
                <w:rFonts w:ascii="仿宋_GB2312" w:hAnsi="仿宋_GB2312" w:eastAsia="仿宋_GB2312" w:cs="仿宋_GB2312"/>
                <w:color w:val="auto"/>
                <w:sz w:val="24"/>
                <w:szCs w:val="24"/>
                <w:highlight w:val="none"/>
                <w:lang w:eastAsia="zh-CN"/>
              </w:rPr>
            </w:pPr>
          </w:p>
          <w:p w14:paraId="4840CE1D">
            <w:pPr>
              <w:spacing w:line="400" w:lineRule="exact"/>
              <w:rPr>
                <w:rFonts w:ascii="仿宋_GB2312" w:hAnsi="仿宋_GB2312" w:eastAsia="仿宋_GB2312" w:cs="仿宋_GB2312"/>
                <w:color w:val="auto"/>
                <w:sz w:val="24"/>
                <w:szCs w:val="24"/>
                <w:highlight w:val="none"/>
                <w:lang w:eastAsia="zh-CN"/>
              </w:rPr>
            </w:pPr>
          </w:p>
          <w:p w14:paraId="793007B2">
            <w:pPr>
              <w:spacing w:line="400" w:lineRule="exact"/>
              <w:rPr>
                <w:rFonts w:ascii="仿宋_GB2312" w:hAnsi="仿宋_GB2312" w:eastAsia="仿宋_GB2312" w:cs="仿宋_GB2312"/>
                <w:color w:val="auto"/>
                <w:sz w:val="24"/>
                <w:szCs w:val="24"/>
                <w:highlight w:val="none"/>
                <w:lang w:eastAsia="zh-CN"/>
              </w:rPr>
            </w:pPr>
          </w:p>
          <w:p w14:paraId="42A43DB6">
            <w:pPr>
              <w:spacing w:line="400" w:lineRule="exact"/>
              <w:rPr>
                <w:rFonts w:ascii="仿宋_GB2312" w:hAnsi="仿宋_GB2312" w:eastAsia="仿宋_GB2312" w:cs="仿宋_GB2312"/>
                <w:color w:val="auto"/>
                <w:sz w:val="24"/>
                <w:szCs w:val="24"/>
                <w:highlight w:val="none"/>
                <w:lang w:eastAsia="zh-CN"/>
              </w:rPr>
            </w:pPr>
          </w:p>
          <w:p w14:paraId="31E0474F">
            <w:pPr>
              <w:pStyle w:val="33"/>
              <w:spacing w:before="75" w:line="400" w:lineRule="exact"/>
              <w:ind w:left="29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980" w:type="dxa"/>
          </w:tcPr>
          <w:p w14:paraId="041C7386">
            <w:pPr>
              <w:spacing w:line="400" w:lineRule="exact"/>
              <w:rPr>
                <w:rFonts w:ascii="仿宋_GB2312" w:hAnsi="仿宋_GB2312" w:eastAsia="仿宋_GB2312" w:cs="仿宋_GB2312"/>
                <w:color w:val="auto"/>
                <w:sz w:val="24"/>
                <w:szCs w:val="24"/>
                <w:highlight w:val="none"/>
              </w:rPr>
            </w:pPr>
          </w:p>
          <w:p w14:paraId="52889CA4">
            <w:pPr>
              <w:spacing w:line="400" w:lineRule="exact"/>
              <w:rPr>
                <w:rFonts w:ascii="仿宋_GB2312" w:hAnsi="仿宋_GB2312" w:eastAsia="仿宋_GB2312" w:cs="仿宋_GB2312"/>
                <w:color w:val="auto"/>
                <w:sz w:val="24"/>
                <w:szCs w:val="24"/>
                <w:highlight w:val="none"/>
              </w:rPr>
            </w:pPr>
          </w:p>
          <w:p w14:paraId="5DEE2BEC">
            <w:pPr>
              <w:spacing w:line="400" w:lineRule="exact"/>
              <w:rPr>
                <w:rFonts w:ascii="仿宋_GB2312" w:hAnsi="仿宋_GB2312" w:eastAsia="仿宋_GB2312" w:cs="仿宋_GB2312"/>
                <w:color w:val="auto"/>
                <w:sz w:val="24"/>
                <w:szCs w:val="24"/>
                <w:highlight w:val="none"/>
              </w:rPr>
            </w:pPr>
          </w:p>
          <w:p w14:paraId="1517EF9A">
            <w:pPr>
              <w:pStyle w:val="33"/>
              <w:spacing w:before="74" w:line="400" w:lineRule="exact"/>
              <w:ind w:left="897" w:right="94" w:hanging="781"/>
              <w:jc w:val="center"/>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开标时间</w:t>
            </w:r>
            <w:r>
              <w:rPr>
                <w:rFonts w:hint="eastAsia" w:ascii="仿宋_GB2312" w:hAnsi="仿宋_GB2312" w:eastAsia="仿宋_GB2312" w:cs="仿宋_GB2312"/>
                <w:color w:val="auto"/>
                <w:spacing w:val="-10"/>
                <w:sz w:val="24"/>
                <w:szCs w:val="24"/>
                <w:highlight w:val="none"/>
                <w:lang w:eastAsia="zh-CN"/>
              </w:rPr>
              <w:t>及</w:t>
            </w:r>
            <w:r>
              <w:rPr>
                <w:rFonts w:hint="eastAsia" w:ascii="仿宋_GB2312" w:hAnsi="仿宋_GB2312" w:eastAsia="仿宋_GB2312" w:cs="仿宋_GB2312"/>
                <w:color w:val="auto"/>
                <w:spacing w:val="-10"/>
                <w:sz w:val="24"/>
                <w:szCs w:val="24"/>
                <w:highlight w:val="none"/>
              </w:rPr>
              <w:t>开标</w:t>
            </w:r>
          </w:p>
          <w:p w14:paraId="524FABE1">
            <w:pPr>
              <w:pStyle w:val="33"/>
              <w:spacing w:before="74" w:line="400" w:lineRule="exact"/>
              <w:ind w:left="897" w:right="94" w:hanging="781"/>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地</w:t>
            </w:r>
            <w:r>
              <w:rPr>
                <w:rFonts w:hint="eastAsia" w:ascii="仿宋_GB2312" w:hAnsi="仿宋_GB2312" w:eastAsia="仿宋_GB2312" w:cs="仿宋_GB2312"/>
                <w:color w:val="auto"/>
                <w:sz w:val="24"/>
                <w:szCs w:val="24"/>
                <w:highlight w:val="none"/>
              </w:rPr>
              <w:t>点</w:t>
            </w:r>
          </w:p>
        </w:tc>
        <w:tc>
          <w:tcPr>
            <w:tcW w:w="7366" w:type="dxa"/>
            <w:tcBorders>
              <w:right w:val="single" w:color="000000" w:sz="10" w:space="0"/>
            </w:tcBorders>
          </w:tcPr>
          <w:p w14:paraId="5581B4C6">
            <w:pPr>
              <w:pStyle w:val="33"/>
              <w:spacing w:before="38"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5"/>
                <w:sz w:val="24"/>
                <w:szCs w:val="24"/>
                <w:highlight w:val="none"/>
                <w:lang w:eastAsia="zh-CN"/>
              </w:rPr>
              <w:t>开标时间：</w:t>
            </w:r>
            <w:r>
              <w:rPr>
                <w:rFonts w:hint="eastAsia" w:ascii="仿宋_GB2312" w:hAnsi="仿宋_GB2312" w:eastAsia="仿宋_GB2312" w:cs="仿宋_GB2312"/>
                <w:color w:val="auto"/>
                <w:sz w:val="24"/>
                <w:szCs w:val="24"/>
                <w:highlight w:val="none"/>
                <w:lang w:eastAsia="zh-CN"/>
              </w:rPr>
              <w:t>2026年</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日11：00</w:t>
            </w:r>
            <w:r>
              <w:rPr>
                <w:rFonts w:hint="eastAsia" w:ascii="仿宋_GB2312" w:hAnsi="仿宋_GB2312" w:eastAsia="仿宋_GB2312" w:cs="仿宋_GB2312"/>
                <w:color w:val="auto"/>
                <w:spacing w:val="-9"/>
                <w:sz w:val="24"/>
                <w:szCs w:val="24"/>
                <w:highlight w:val="none"/>
                <w:lang w:eastAsia="zh-CN"/>
              </w:rPr>
              <w:t>时（北京时间）</w:t>
            </w:r>
          </w:p>
          <w:p w14:paraId="6C00E831">
            <w:pPr>
              <w:pStyle w:val="33"/>
              <w:spacing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开标地点：政采云开标大厅（</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_GB2312" w:hAnsi="仿宋_GB2312" w:eastAsia="仿宋_GB2312" w:cs="仿宋_GB2312"/>
                <w:color w:val="auto"/>
                <w:sz w:val="24"/>
                <w:szCs w:val="24"/>
                <w:highlight w:val="none"/>
                <w:u w:val="single"/>
                <w:lang w:eastAsia="zh-CN"/>
              </w:rPr>
              <w:t>https</w:t>
            </w:r>
            <w:r>
              <w:rPr>
                <w:rFonts w:hint="eastAsia" w:ascii="仿宋_GB2312" w:hAnsi="仿宋_GB2312" w:eastAsia="仿宋_GB2312" w:cs="仿宋_GB2312"/>
                <w:color w:val="auto"/>
                <w:spacing w:val="8"/>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eastAsia="zh-CN"/>
              </w:rPr>
              <w:t>www</w:t>
            </w:r>
            <w:r>
              <w:rPr>
                <w:rFonts w:hint="eastAsia" w:ascii="仿宋_GB2312" w:hAnsi="仿宋_GB2312" w:eastAsia="仿宋_GB2312" w:cs="仿宋_GB2312"/>
                <w:color w:val="auto"/>
                <w:spacing w:val="8"/>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eastAsia="zh-CN"/>
              </w:rPr>
              <w:t>zcygov</w:t>
            </w:r>
            <w:r>
              <w:rPr>
                <w:rFonts w:hint="eastAsia" w:ascii="仿宋_GB2312" w:hAnsi="仿宋_GB2312" w:eastAsia="仿宋_GB2312" w:cs="仿宋_GB2312"/>
                <w:color w:val="auto"/>
                <w:spacing w:val="8"/>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eastAsia="zh-CN"/>
              </w:rPr>
              <w:t>cn</w:t>
            </w:r>
            <w:r>
              <w:rPr>
                <w:rFonts w:hint="eastAsia" w:ascii="仿宋_GB2312" w:hAnsi="仿宋_GB2312" w:eastAsia="仿宋_GB2312" w:cs="仿宋_GB2312"/>
                <w:color w:val="auto"/>
                <w:sz w:val="24"/>
                <w:szCs w:val="24"/>
                <w:highlight w:val="none"/>
                <w:u w:val="single"/>
                <w:lang w:eastAsia="zh-CN"/>
              </w:rPr>
              <w:fldChar w:fldCharType="end"/>
            </w:r>
            <w:r>
              <w:rPr>
                <w:rFonts w:hint="eastAsia" w:ascii="仿宋_GB2312" w:hAnsi="仿宋_GB2312" w:eastAsia="仿宋_GB2312" w:cs="仿宋_GB2312"/>
                <w:color w:val="auto"/>
                <w:spacing w:val="8"/>
                <w:sz w:val="24"/>
                <w:szCs w:val="24"/>
                <w:highlight w:val="none"/>
                <w:lang w:eastAsia="zh-CN"/>
              </w:rPr>
              <w:t>）</w:t>
            </w:r>
          </w:p>
          <w:p w14:paraId="79D89EF3">
            <w:pPr>
              <w:pStyle w:val="33"/>
              <w:spacing w:before="5"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pacing w:val="4"/>
                <w:sz w:val="24"/>
                <w:szCs w:val="24"/>
                <w:highlight w:val="none"/>
                <w:lang w:eastAsia="zh-CN"/>
              </w:rPr>
              <w:t>本项目采用</w:t>
            </w:r>
            <w:r>
              <w:rPr>
                <w:rFonts w:hint="eastAsia" w:ascii="仿宋_GB2312" w:hAnsi="仿宋_GB2312" w:eastAsia="仿宋_GB2312" w:cs="仿宋_GB2312"/>
                <w:b/>
                <w:bCs/>
                <w:color w:val="auto"/>
                <w:spacing w:val="4"/>
                <w:sz w:val="24"/>
                <w:szCs w:val="24"/>
                <w:highlight w:val="none"/>
                <w:u w:val="single"/>
                <w:lang w:eastAsia="zh-CN"/>
              </w:rPr>
              <w:t>不见面开标</w:t>
            </w:r>
          </w:p>
          <w:p w14:paraId="0656D9ED">
            <w:pPr>
              <w:pStyle w:val="33"/>
              <w:spacing w:before="21" w:line="400" w:lineRule="exact"/>
              <w:ind w:left="117" w:right="187" w:firstLine="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注</w:t>
            </w:r>
            <w:r>
              <w:rPr>
                <w:rFonts w:hint="eastAsia" w:ascii="仿宋_GB2312" w:hAnsi="仿宋_GB2312" w:eastAsia="仿宋_GB2312" w:cs="仿宋_GB2312"/>
                <w:color w:val="auto"/>
                <w:spacing w:val="-9"/>
                <w:sz w:val="24"/>
                <w:szCs w:val="24"/>
                <w:highlight w:val="none"/>
                <w:lang w:eastAsia="zh-CN"/>
              </w:rPr>
              <w:t>：（</w:t>
            </w:r>
            <w:r>
              <w:rPr>
                <w:rFonts w:hint="eastAsia" w:ascii="仿宋_GB2312" w:hAnsi="仿宋_GB2312" w:eastAsia="仿宋_GB2312" w:cs="仿宋_GB2312"/>
                <w:color w:val="auto"/>
                <w:spacing w:val="10"/>
                <w:sz w:val="24"/>
                <w:szCs w:val="24"/>
                <w:highlight w:val="none"/>
                <w:lang w:eastAsia="zh-CN"/>
              </w:rPr>
              <w:t>1）供应商远程参与开标，并在规定的时间内</w:t>
            </w:r>
            <w:r>
              <w:rPr>
                <w:rFonts w:hint="eastAsia" w:ascii="仿宋_GB2312" w:hAnsi="仿宋_GB2312" w:eastAsia="仿宋_GB2312" w:cs="仿宋_GB2312"/>
                <w:color w:val="auto"/>
                <w:spacing w:val="9"/>
                <w:sz w:val="24"/>
                <w:szCs w:val="24"/>
                <w:highlight w:val="none"/>
                <w:lang w:eastAsia="zh-CN"/>
              </w:rPr>
              <w:t>完成对投标文件</w:t>
            </w:r>
            <w:r>
              <w:rPr>
                <w:rFonts w:hint="eastAsia" w:ascii="仿宋_GB2312" w:hAnsi="仿宋_GB2312" w:eastAsia="仿宋_GB2312" w:cs="仿宋_GB2312"/>
                <w:color w:val="auto"/>
                <w:spacing w:val="2"/>
                <w:sz w:val="24"/>
                <w:szCs w:val="24"/>
                <w:highlight w:val="none"/>
                <w:lang w:eastAsia="zh-CN"/>
              </w:rPr>
              <w:t>远程解密及报价确认，本项目供应商解密时长：30分钟，因供应商</w:t>
            </w:r>
            <w:r>
              <w:rPr>
                <w:rFonts w:hint="eastAsia" w:ascii="仿宋_GB2312" w:hAnsi="仿宋_GB2312" w:eastAsia="仿宋_GB2312" w:cs="仿宋_GB2312"/>
                <w:color w:val="auto"/>
                <w:spacing w:val="7"/>
                <w:sz w:val="24"/>
                <w:szCs w:val="24"/>
                <w:highlight w:val="none"/>
                <w:lang w:eastAsia="zh-CN"/>
              </w:rPr>
              <w:t>自身原因导致解密或报价确认失败，投标无效。</w:t>
            </w:r>
          </w:p>
          <w:p w14:paraId="4CF30023">
            <w:pPr>
              <w:pStyle w:val="33"/>
              <w:spacing w:before="25" w:line="400" w:lineRule="exact"/>
              <w:ind w:left="119" w:right="112" w:firstLine="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（2）</w:t>
            </w:r>
            <w:r>
              <w:rPr>
                <w:rFonts w:hint="eastAsia" w:ascii="仿宋_GB2312" w:hAnsi="仿宋_GB2312" w:eastAsia="仿宋_GB2312" w:cs="仿宋_GB2312"/>
                <w:color w:val="auto"/>
                <w:spacing w:val="-55"/>
                <w:sz w:val="24"/>
                <w:szCs w:val="24"/>
                <w:highlight w:val="none"/>
                <w:lang w:eastAsia="zh-CN"/>
              </w:rPr>
              <w:t xml:space="preserve"> </w:t>
            </w:r>
            <w:r>
              <w:rPr>
                <w:rFonts w:hint="eastAsia" w:ascii="仿宋_GB2312" w:hAnsi="仿宋_GB2312" w:eastAsia="仿宋_GB2312" w:cs="仿宋_GB2312"/>
                <w:color w:val="auto"/>
                <w:spacing w:val="7"/>
                <w:sz w:val="24"/>
                <w:szCs w:val="24"/>
                <w:highlight w:val="none"/>
                <w:lang w:eastAsia="zh-CN"/>
              </w:rPr>
              <w:t>因网上招标系统故障导致所有供应商均解密失败时，由采购人或采购代理机构现场请示项目主管部门处理。</w:t>
            </w:r>
          </w:p>
        </w:tc>
      </w:tr>
      <w:tr w14:paraId="0435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6FF64970">
            <w:pPr>
              <w:pStyle w:val="33"/>
              <w:spacing w:before="81" w:line="400" w:lineRule="exact"/>
              <w:ind w:left="24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10</w:t>
            </w:r>
          </w:p>
        </w:tc>
        <w:tc>
          <w:tcPr>
            <w:tcW w:w="1980" w:type="dxa"/>
          </w:tcPr>
          <w:p w14:paraId="566C50D0">
            <w:pPr>
              <w:pStyle w:val="33"/>
              <w:spacing w:before="42" w:line="400" w:lineRule="exact"/>
              <w:ind w:left="51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评标办法</w:t>
            </w:r>
          </w:p>
        </w:tc>
        <w:tc>
          <w:tcPr>
            <w:tcW w:w="7366" w:type="dxa"/>
            <w:tcBorders>
              <w:right w:val="single" w:color="000000" w:sz="10" w:space="0"/>
            </w:tcBorders>
          </w:tcPr>
          <w:p w14:paraId="14651076">
            <w:pPr>
              <w:pStyle w:val="33"/>
              <w:spacing w:before="42" w:line="400" w:lineRule="exact"/>
              <w:ind w:left="118"/>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综合评分法</w:t>
            </w:r>
          </w:p>
        </w:tc>
      </w:tr>
      <w:tr w14:paraId="6D8A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06B118F7">
            <w:pPr>
              <w:spacing w:line="400" w:lineRule="exact"/>
              <w:rPr>
                <w:rFonts w:ascii="仿宋_GB2312" w:hAnsi="仿宋_GB2312" w:eastAsia="仿宋_GB2312" w:cs="仿宋_GB2312"/>
                <w:color w:val="auto"/>
                <w:sz w:val="24"/>
                <w:szCs w:val="24"/>
                <w:highlight w:val="none"/>
              </w:rPr>
            </w:pPr>
          </w:p>
          <w:p w14:paraId="5317713A">
            <w:pPr>
              <w:spacing w:line="400" w:lineRule="exact"/>
              <w:rPr>
                <w:rFonts w:ascii="仿宋_GB2312" w:hAnsi="仿宋_GB2312" w:eastAsia="仿宋_GB2312" w:cs="仿宋_GB2312"/>
                <w:color w:val="auto"/>
                <w:sz w:val="24"/>
                <w:szCs w:val="24"/>
                <w:highlight w:val="none"/>
              </w:rPr>
            </w:pPr>
          </w:p>
          <w:p w14:paraId="455FB26F">
            <w:pPr>
              <w:spacing w:line="400" w:lineRule="exact"/>
              <w:rPr>
                <w:rFonts w:ascii="仿宋_GB2312" w:hAnsi="仿宋_GB2312" w:eastAsia="仿宋_GB2312" w:cs="仿宋_GB2312"/>
                <w:color w:val="auto"/>
                <w:sz w:val="24"/>
                <w:szCs w:val="24"/>
                <w:highlight w:val="none"/>
              </w:rPr>
            </w:pPr>
          </w:p>
          <w:p w14:paraId="034D298A">
            <w:pPr>
              <w:spacing w:line="400" w:lineRule="exact"/>
              <w:rPr>
                <w:rFonts w:ascii="仿宋_GB2312" w:hAnsi="仿宋_GB2312" w:eastAsia="仿宋_GB2312" w:cs="仿宋_GB2312"/>
                <w:color w:val="auto"/>
                <w:sz w:val="24"/>
                <w:szCs w:val="24"/>
                <w:highlight w:val="none"/>
              </w:rPr>
            </w:pPr>
          </w:p>
          <w:p w14:paraId="423F451C">
            <w:pPr>
              <w:spacing w:line="400" w:lineRule="exact"/>
              <w:rPr>
                <w:rFonts w:ascii="仿宋_GB2312" w:hAnsi="仿宋_GB2312" w:eastAsia="仿宋_GB2312" w:cs="仿宋_GB2312"/>
                <w:color w:val="auto"/>
                <w:sz w:val="24"/>
                <w:szCs w:val="24"/>
                <w:highlight w:val="none"/>
              </w:rPr>
            </w:pPr>
          </w:p>
          <w:p w14:paraId="104B22F0">
            <w:pPr>
              <w:spacing w:line="400" w:lineRule="exact"/>
              <w:rPr>
                <w:rFonts w:ascii="仿宋_GB2312" w:hAnsi="仿宋_GB2312" w:eastAsia="仿宋_GB2312" w:cs="仿宋_GB2312"/>
                <w:color w:val="auto"/>
                <w:sz w:val="24"/>
                <w:szCs w:val="24"/>
                <w:highlight w:val="none"/>
              </w:rPr>
            </w:pPr>
          </w:p>
          <w:p w14:paraId="2D87FA8D">
            <w:pPr>
              <w:spacing w:line="400" w:lineRule="exact"/>
              <w:rPr>
                <w:rFonts w:ascii="仿宋_GB2312" w:hAnsi="仿宋_GB2312" w:eastAsia="仿宋_GB2312" w:cs="仿宋_GB2312"/>
                <w:color w:val="auto"/>
                <w:sz w:val="24"/>
                <w:szCs w:val="24"/>
                <w:highlight w:val="none"/>
              </w:rPr>
            </w:pPr>
          </w:p>
          <w:p w14:paraId="54A3B0E3">
            <w:pPr>
              <w:spacing w:line="400" w:lineRule="exact"/>
              <w:rPr>
                <w:rFonts w:ascii="仿宋_GB2312" w:hAnsi="仿宋_GB2312" w:eastAsia="仿宋_GB2312" w:cs="仿宋_GB2312"/>
                <w:color w:val="auto"/>
                <w:sz w:val="24"/>
                <w:szCs w:val="24"/>
                <w:highlight w:val="none"/>
              </w:rPr>
            </w:pPr>
          </w:p>
          <w:p w14:paraId="26C5E11D">
            <w:pPr>
              <w:spacing w:line="400" w:lineRule="exact"/>
              <w:rPr>
                <w:rFonts w:ascii="仿宋_GB2312" w:hAnsi="仿宋_GB2312" w:eastAsia="仿宋_GB2312" w:cs="仿宋_GB2312"/>
                <w:color w:val="auto"/>
                <w:sz w:val="24"/>
                <w:szCs w:val="24"/>
                <w:highlight w:val="none"/>
              </w:rPr>
            </w:pPr>
          </w:p>
          <w:p w14:paraId="1059D78D">
            <w:pPr>
              <w:spacing w:line="400" w:lineRule="exact"/>
              <w:rPr>
                <w:rFonts w:ascii="仿宋_GB2312" w:hAnsi="仿宋_GB2312" w:eastAsia="仿宋_GB2312" w:cs="仿宋_GB2312"/>
                <w:color w:val="auto"/>
                <w:sz w:val="24"/>
                <w:szCs w:val="24"/>
                <w:highlight w:val="none"/>
              </w:rPr>
            </w:pPr>
          </w:p>
          <w:p w14:paraId="61AEF0AC">
            <w:pPr>
              <w:spacing w:line="400" w:lineRule="exact"/>
              <w:rPr>
                <w:rFonts w:ascii="仿宋_GB2312" w:hAnsi="仿宋_GB2312" w:eastAsia="仿宋_GB2312" w:cs="仿宋_GB2312"/>
                <w:color w:val="auto"/>
                <w:sz w:val="24"/>
                <w:szCs w:val="24"/>
                <w:highlight w:val="none"/>
              </w:rPr>
            </w:pPr>
          </w:p>
          <w:p w14:paraId="0F53D605">
            <w:pPr>
              <w:spacing w:line="400" w:lineRule="exact"/>
              <w:rPr>
                <w:rFonts w:ascii="仿宋_GB2312" w:hAnsi="仿宋_GB2312" w:eastAsia="仿宋_GB2312" w:cs="仿宋_GB2312"/>
                <w:color w:val="auto"/>
                <w:sz w:val="24"/>
                <w:szCs w:val="24"/>
                <w:highlight w:val="none"/>
              </w:rPr>
            </w:pPr>
          </w:p>
          <w:p w14:paraId="1E4647FF">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11</w:t>
            </w:r>
          </w:p>
        </w:tc>
        <w:tc>
          <w:tcPr>
            <w:tcW w:w="1980" w:type="dxa"/>
          </w:tcPr>
          <w:p w14:paraId="0944D4BC">
            <w:pPr>
              <w:spacing w:line="400" w:lineRule="exact"/>
              <w:rPr>
                <w:rFonts w:ascii="仿宋_GB2312" w:hAnsi="仿宋_GB2312" w:eastAsia="仿宋_GB2312" w:cs="仿宋_GB2312"/>
                <w:color w:val="auto"/>
                <w:sz w:val="24"/>
                <w:szCs w:val="24"/>
                <w:highlight w:val="none"/>
              </w:rPr>
            </w:pPr>
          </w:p>
          <w:p w14:paraId="30A1F4A2">
            <w:pPr>
              <w:spacing w:line="400" w:lineRule="exact"/>
              <w:rPr>
                <w:rFonts w:ascii="仿宋_GB2312" w:hAnsi="仿宋_GB2312" w:eastAsia="仿宋_GB2312" w:cs="仿宋_GB2312"/>
                <w:color w:val="auto"/>
                <w:sz w:val="24"/>
                <w:szCs w:val="24"/>
                <w:highlight w:val="none"/>
              </w:rPr>
            </w:pPr>
          </w:p>
          <w:p w14:paraId="5032B781">
            <w:pPr>
              <w:spacing w:line="400" w:lineRule="exact"/>
              <w:rPr>
                <w:rFonts w:ascii="仿宋_GB2312" w:hAnsi="仿宋_GB2312" w:eastAsia="仿宋_GB2312" w:cs="仿宋_GB2312"/>
                <w:color w:val="auto"/>
                <w:sz w:val="24"/>
                <w:szCs w:val="24"/>
                <w:highlight w:val="none"/>
              </w:rPr>
            </w:pPr>
          </w:p>
          <w:p w14:paraId="44B6A2BC">
            <w:pPr>
              <w:spacing w:line="400" w:lineRule="exact"/>
              <w:rPr>
                <w:rFonts w:ascii="仿宋_GB2312" w:hAnsi="仿宋_GB2312" w:eastAsia="仿宋_GB2312" w:cs="仿宋_GB2312"/>
                <w:color w:val="auto"/>
                <w:sz w:val="24"/>
                <w:szCs w:val="24"/>
                <w:highlight w:val="none"/>
              </w:rPr>
            </w:pPr>
          </w:p>
          <w:p w14:paraId="2D8DDC17">
            <w:pPr>
              <w:spacing w:line="400" w:lineRule="exact"/>
              <w:rPr>
                <w:rFonts w:ascii="仿宋_GB2312" w:hAnsi="仿宋_GB2312" w:eastAsia="仿宋_GB2312" w:cs="仿宋_GB2312"/>
                <w:color w:val="auto"/>
                <w:sz w:val="24"/>
                <w:szCs w:val="24"/>
                <w:highlight w:val="none"/>
              </w:rPr>
            </w:pPr>
          </w:p>
          <w:p w14:paraId="3641375F">
            <w:pPr>
              <w:spacing w:line="400" w:lineRule="exact"/>
              <w:rPr>
                <w:rFonts w:ascii="仿宋_GB2312" w:hAnsi="仿宋_GB2312" w:eastAsia="仿宋_GB2312" w:cs="仿宋_GB2312"/>
                <w:color w:val="auto"/>
                <w:sz w:val="24"/>
                <w:szCs w:val="24"/>
                <w:highlight w:val="none"/>
              </w:rPr>
            </w:pPr>
          </w:p>
          <w:p w14:paraId="7EF60941">
            <w:pPr>
              <w:spacing w:line="400" w:lineRule="exact"/>
              <w:rPr>
                <w:rFonts w:ascii="仿宋_GB2312" w:hAnsi="仿宋_GB2312" w:eastAsia="仿宋_GB2312" w:cs="仿宋_GB2312"/>
                <w:color w:val="auto"/>
                <w:sz w:val="24"/>
                <w:szCs w:val="24"/>
                <w:highlight w:val="none"/>
              </w:rPr>
            </w:pPr>
          </w:p>
          <w:p w14:paraId="3FCE0956">
            <w:pPr>
              <w:spacing w:line="400" w:lineRule="exact"/>
              <w:rPr>
                <w:rFonts w:ascii="仿宋_GB2312" w:hAnsi="仿宋_GB2312" w:eastAsia="仿宋_GB2312" w:cs="仿宋_GB2312"/>
                <w:color w:val="auto"/>
                <w:sz w:val="24"/>
                <w:szCs w:val="24"/>
                <w:highlight w:val="none"/>
              </w:rPr>
            </w:pPr>
          </w:p>
          <w:p w14:paraId="5E48F258">
            <w:pPr>
              <w:spacing w:line="400" w:lineRule="exact"/>
              <w:rPr>
                <w:rFonts w:ascii="仿宋_GB2312" w:hAnsi="仿宋_GB2312" w:eastAsia="仿宋_GB2312" w:cs="仿宋_GB2312"/>
                <w:color w:val="auto"/>
                <w:sz w:val="24"/>
                <w:szCs w:val="24"/>
                <w:highlight w:val="none"/>
              </w:rPr>
            </w:pPr>
          </w:p>
          <w:p w14:paraId="2F860C76">
            <w:pPr>
              <w:spacing w:line="400" w:lineRule="exact"/>
              <w:rPr>
                <w:rFonts w:ascii="仿宋_GB2312" w:hAnsi="仿宋_GB2312" w:eastAsia="仿宋_GB2312" w:cs="仿宋_GB2312"/>
                <w:color w:val="auto"/>
                <w:sz w:val="24"/>
                <w:szCs w:val="24"/>
                <w:highlight w:val="none"/>
              </w:rPr>
            </w:pPr>
          </w:p>
          <w:p w14:paraId="4498D353">
            <w:pPr>
              <w:spacing w:line="400" w:lineRule="exact"/>
              <w:rPr>
                <w:rFonts w:ascii="仿宋_GB2312" w:hAnsi="仿宋_GB2312" w:eastAsia="仿宋_GB2312" w:cs="仿宋_GB2312"/>
                <w:color w:val="auto"/>
                <w:sz w:val="24"/>
                <w:szCs w:val="24"/>
                <w:highlight w:val="none"/>
              </w:rPr>
            </w:pPr>
          </w:p>
          <w:p w14:paraId="35EFE36E">
            <w:pPr>
              <w:spacing w:line="400" w:lineRule="exact"/>
              <w:rPr>
                <w:rFonts w:ascii="仿宋_GB2312" w:hAnsi="仿宋_GB2312" w:eastAsia="仿宋_GB2312" w:cs="仿宋_GB2312"/>
                <w:color w:val="auto"/>
                <w:sz w:val="24"/>
                <w:szCs w:val="24"/>
                <w:highlight w:val="none"/>
              </w:rPr>
            </w:pPr>
          </w:p>
          <w:p w14:paraId="4EF4C95A">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投标保证金</w:t>
            </w:r>
          </w:p>
        </w:tc>
        <w:tc>
          <w:tcPr>
            <w:tcW w:w="7366" w:type="dxa"/>
            <w:tcBorders>
              <w:right w:val="single" w:color="000000" w:sz="10" w:space="0"/>
            </w:tcBorders>
          </w:tcPr>
          <w:p w14:paraId="1FDD6C19">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投标保证金：</w:t>
            </w:r>
          </w:p>
          <w:p w14:paraId="0C88ABDD">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val="en-US" w:eastAsia="zh-CN"/>
              </w:rPr>
              <w:t>金额：18</w:t>
            </w:r>
            <w:r>
              <w:rPr>
                <w:rFonts w:hint="eastAsia" w:ascii="仿宋_GB2312" w:hAnsi="仿宋_GB2312" w:eastAsia="仿宋_GB2312" w:cs="仿宋_GB2312"/>
                <w:color w:val="auto"/>
                <w:spacing w:val="2"/>
                <w:sz w:val="24"/>
                <w:szCs w:val="24"/>
                <w:highlight w:val="none"/>
                <w:lang w:eastAsia="zh-CN"/>
              </w:rPr>
              <w:t>005.00元</w:t>
            </w:r>
          </w:p>
          <w:p w14:paraId="7A5A152A">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接受保证金的银行及账号：</w:t>
            </w:r>
          </w:p>
          <w:p w14:paraId="6CEAF107">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开户名称：新疆华域建设工程项目管理咨询有限公司</w:t>
            </w:r>
          </w:p>
          <w:p w14:paraId="0C2D94A7">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开户银行：中国银行乌鲁木齐南湖东路支行</w:t>
            </w:r>
          </w:p>
          <w:p w14:paraId="4BAC8EED">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 xml:space="preserve">开户行行号：104881006151 </w:t>
            </w:r>
          </w:p>
          <w:p w14:paraId="35F40625">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账   号：107083025521</w:t>
            </w:r>
          </w:p>
          <w:p w14:paraId="6D9C906E">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注：汇款单上需注明项目编号或项目名称。（如有字符限制可自行简写）</w:t>
            </w:r>
          </w:p>
          <w:p w14:paraId="2A5DC7BE">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保证金缴纳形式：保证金于投标截止时间之前缴纳，保证金应当以支票、汇票、本票、银行电汇、电子汇兑或者金融机构、担保机构出具的保函等非现金形式提交（选择其中一种方式缴纳）。供应商未按照文件要求提交投标保证金的，投标无效，将被拒绝评审，供应商提交投标保证金应充分考虑资金在途时间。</w:t>
            </w:r>
          </w:p>
          <w:p w14:paraId="6AC4A08F">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投标文件中需提供开户行许可证，以备后续退保证金使用。</w:t>
            </w:r>
          </w:p>
          <w:p w14:paraId="1450744E">
            <w:pPr>
              <w:pStyle w:val="33"/>
              <w:spacing w:before="21" w:line="400" w:lineRule="exact"/>
              <w:ind w:left="117" w:right="187" w:firstLine="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pacing w:val="2"/>
                <w:sz w:val="24"/>
                <w:szCs w:val="24"/>
                <w:highlight w:val="none"/>
                <w:lang w:eastAsia="zh-CN"/>
              </w:rPr>
              <w:t>注：汇款单上需备注项目名称、包号（可简写）</w:t>
            </w:r>
          </w:p>
        </w:tc>
      </w:tr>
      <w:tr w14:paraId="4808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bottom w:val="single" w:color="000000" w:sz="10" w:space="0"/>
            </w:tcBorders>
          </w:tcPr>
          <w:p w14:paraId="773B4037">
            <w:pPr>
              <w:pStyle w:val="33"/>
              <w:spacing w:before="114" w:line="400" w:lineRule="exact"/>
              <w:ind w:left="24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12</w:t>
            </w:r>
          </w:p>
        </w:tc>
        <w:tc>
          <w:tcPr>
            <w:tcW w:w="1980" w:type="dxa"/>
            <w:tcBorders>
              <w:bottom w:val="single" w:color="000000" w:sz="10" w:space="0"/>
            </w:tcBorders>
          </w:tcPr>
          <w:p w14:paraId="371B6469">
            <w:pPr>
              <w:pStyle w:val="33"/>
              <w:spacing w:before="74" w:line="400" w:lineRule="exact"/>
              <w:ind w:left="273"/>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lang w:eastAsia="zh-CN"/>
              </w:rPr>
              <w:t>采购文件</w:t>
            </w:r>
            <w:r>
              <w:rPr>
                <w:rFonts w:hint="eastAsia" w:ascii="仿宋_GB2312" w:hAnsi="仿宋_GB2312" w:eastAsia="仿宋_GB2312" w:cs="仿宋_GB2312"/>
                <w:color w:val="auto"/>
                <w:spacing w:val="7"/>
                <w:sz w:val="24"/>
                <w:szCs w:val="24"/>
                <w:highlight w:val="none"/>
              </w:rPr>
              <w:t>售价</w:t>
            </w:r>
          </w:p>
        </w:tc>
        <w:tc>
          <w:tcPr>
            <w:tcW w:w="7366" w:type="dxa"/>
            <w:tcBorders>
              <w:bottom w:val="single" w:color="000000" w:sz="10" w:space="0"/>
              <w:right w:val="single" w:color="000000" w:sz="10" w:space="0"/>
            </w:tcBorders>
          </w:tcPr>
          <w:p w14:paraId="30E7CF4F">
            <w:pPr>
              <w:pStyle w:val="33"/>
              <w:spacing w:before="74" w:line="400" w:lineRule="exact"/>
              <w:ind w:left="1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政采云平台免费下载</w:t>
            </w:r>
          </w:p>
        </w:tc>
      </w:tr>
      <w:tr w14:paraId="49E5D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18C30EA9">
            <w:pPr>
              <w:pStyle w:val="33"/>
              <w:spacing w:before="75"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3</w:t>
            </w:r>
          </w:p>
        </w:tc>
        <w:tc>
          <w:tcPr>
            <w:tcW w:w="1980" w:type="dxa"/>
            <w:vAlign w:val="center"/>
          </w:tcPr>
          <w:p w14:paraId="0E162557">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履约保证金</w:t>
            </w:r>
          </w:p>
        </w:tc>
        <w:tc>
          <w:tcPr>
            <w:tcW w:w="7366" w:type="dxa"/>
            <w:tcBorders>
              <w:right w:val="single" w:color="000000" w:sz="10" w:space="0"/>
            </w:tcBorders>
          </w:tcPr>
          <w:p w14:paraId="02A33A13">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eastAsia="zh-CN"/>
              </w:rPr>
              <w:t>、履约保证金：中标金额*10%。</w:t>
            </w:r>
          </w:p>
          <w:p w14:paraId="4AF7989C">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2、中标通知书发出7日内，</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需按标项向</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缴纳履约保证金，服务期间</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必须按照行业标准和合同约定进行供货服务，如若出现违反相关合同条款规定的情况发生，</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有权扣除</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履约保证金。若未发生问题，待服务期满后1个月内</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将无息退还全部履约保证金。</w:t>
            </w:r>
          </w:p>
          <w:p w14:paraId="17A66AE0">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3、如未收到履约保证金，</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可视为</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自行放弃中标结果。如</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无故不履行合同或存在履行瑕疵，履约保证金的受益人为</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，将不予退还。</w:t>
            </w:r>
          </w:p>
          <w:p w14:paraId="665EC174">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4、收取履约保证金形式：转账支票或电汇或履约保函（见索即付型保函）等非现金形式。 </w:t>
            </w:r>
          </w:p>
          <w:p w14:paraId="5C30742D">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5、履约担保期限：合同履行期限内。 </w:t>
            </w:r>
          </w:p>
        </w:tc>
      </w:tr>
      <w:tr w14:paraId="1611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restart"/>
            <w:tcBorders>
              <w:left w:val="single" w:color="000000" w:sz="10" w:space="0"/>
            </w:tcBorders>
            <w:vAlign w:val="center"/>
          </w:tcPr>
          <w:p w14:paraId="1198DF43">
            <w:pPr>
              <w:pStyle w:val="33"/>
              <w:spacing w:before="74"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4</w:t>
            </w:r>
          </w:p>
        </w:tc>
        <w:tc>
          <w:tcPr>
            <w:tcW w:w="1980" w:type="dxa"/>
          </w:tcPr>
          <w:p w14:paraId="30B9CA1C">
            <w:pPr>
              <w:pStyle w:val="33"/>
              <w:spacing w:before="2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供货期</w:t>
            </w: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vAlign w:val="center"/>
          </w:tcPr>
          <w:p w14:paraId="628B538F">
            <w:pPr>
              <w:pStyle w:val="33"/>
              <w:spacing w:before="39" w:line="400" w:lineRule="exact"/>
              <w:ind w:left="120" w:right="97"/>
              <w:rPr>
                <w:rFonts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b/>
                <w:bCs/>
                <w:color w:val="auto"/>
                <w:spacing w:val="10"/>
                <w:sz w:val="24"/>
                <w:szCs w:val="24"/>
                <w:highlight w:val="none"/>
                <w:lang w:eastAsia="zh-CN"/>
              </w:rPr>
              <w:t>自采购合同签订日期起，服务期限一年（365天）。</w:t>
            </w:r>
          </w:p>
        </w:tc>
      </w:tr>
      <w:tr w14:paraId="3142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2" w:type="dxa"/>
            <w:vMerge w:val="continue"/>
            <w:tcBorders>
              <w:left w:val="single" w:color="000000" w:sz="10" w:space="0"/>
            </w:tcBorders>
          </w:tcPr>
          <w:p w14:paraId="39AB20D3">
            <w:pPr>
              <w:spacing w:line="400" w:lineRule="exact"/>
              <w:rPr>
                <w:rFonts w:ascii="仿宋_GB2312" w:hAnsi="仿宋_GB2312" w:eastAsia="仿宋_GB2312" w:cs="仿宋_GB2312"/>
                <w:color w:val="auto"/>
                <w:sz w:val="24"/>
                <w:szCs w:val="24"/>
                <w:highlight w:val="none"/>
                <w:lang w:eastAsia="zh-CN"/>
              </w:rPr>
            </w:pPr>
          </w:p>
        </w:tc>
        <w:tc>
          <w:tcPr>
            <w:tcW w:w="1980" w:type="dxa"/>
          </w:tcPr>
          <w:p w14:paraId="75172214">
            <w:pPr>
              <w:pStyle w:val="33"/>
              <w:spacing w:before="46"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4"/>
                <w:sz w:val="24"/>
                <w:szCs w:val="24"/>
                <w:highlight w:val="none"/>
                <w:lang w:eastAsia="zh-CN"/>
              </w:rPr>
              <w:t xml:space="preserve">交货地点        </w:t>
            </w: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tcPr>
          <w:p w14:paraId="13835AE5">
            <w:pPr>
              <w:pStyle w:val="33"/>
              <w:spacing w:before="39" w:line="400" w:lineRule="exact"/>
              <w:ind w:left="120" w:right="97"/>
              <w:rPr>
                <w:rFonts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color w:val="auto"/>
                <w:spacing w:val="10"/>
                <w:sz w:val="24"/>
                <w:szCs w:val="24"/>
                <w:highlight w:val="none"/>
                <w:lang w:val="en-US" w:eastAsia="zh-CN"/>
              </w:rPr>
              <w:t>采购人</w:t>
            </w:r>
            <w:r>
              <w:rPr>
                <w:rFonts w:hint="eastAsia" w:ascii="仿宋_GB2312" w:hAnsi="仿宋_GB2312" w:eastAsia="仿宋_GB2312" w:cs="仿宋_GB2312"/>
                <w:color w:val="auto"/>
                <w:spacing w:val="10"/>
                <w:sz w:val="24"/>
                <w:szCs w:val="24"/>
                <w:highlight w:val="none"/>
                <w:lang w:eastAsia="zh-CN"/>
              </w:rPr>
              <w:t>指定地点。</w:t>
            </w:r>
          </w:p>
        </w:tc>
      </w:tr>
      <w:tr w14:paraId="05D8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68C54003">
            <w:pPr>
              <w:pStyle w:val="33"/>
              <w:spacing w:before="242"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5</w:t>
            </w:r>
          </w:p>
        </w:tc>
        <w:tc>
          <w:tcPr>
            <w:tcW w:w="1980" w:type="dxa"/>
            <w:vAlign w:val="center"/>
          </w:tcPr>
          <w:p w14:paraId="7235AECB">
            <w:pPr>
              <w:pStyle w:val="33"/>
              <w:spacing w:before="4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付款方式</w:t>
            </w:r>
          </w:p>
        </w:tc>
        <w:tc>
          <w:tcPr>
            <w:tcW w:w="7366" w:type="dxa"/>
            <w:tcBorders>
              <w:right w:val="single" w:color="000000" w:sz="10" w:space="0"/>
            </w:tcBorders>
          </w:tcPr>
          <w:p w14:paraId="107F9DAE">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1.结算方式：实行按月结算，每月甲乙双方核对确认上月验收合格供货明细清单，核对无误后由乙方开具合法合规、足额有效的增值税普通发票。</w:t>
            </w:r>
          </w:p>
          <w:p w14:paraId="0AD0E053">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付款期限：甲方收齐乙方合规发票及完整结算资料后，30个自然日内以对公转账方式支付对应货款。因乙方逾期、错漏开具发票导致付款延后的，甲方付款期限相应顺延，不视为甲方逾期付款、不构成甲方违约。乙方收款账户以合同落款签章处登记信息为准，账户信息发生变更，乙方须提前 3 日向甲方出具正式书面变更通知，未提前书面告知的，甲方按原账户信息完成付款即视为履约完毕。</w:t>
            </w:r>
          </w:p>
          <w:p w14:paraId="0A3A87E7">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3.付款前置条件：食材全数现场验收合格、供货及验收资料完整齐备、发票开具规范无误，且双方无食材质量争议、乙方无任何合同违约行为，满足全部条件后方予办理付款。</w:t>
            </w:r>
          </w:p>
          <w:p w14:paraId="027C61CB">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4.食品安全责任：若因乙方供应食材本身质量不合格、食材安全不达标引发食品安全问题及安全事故，全部民事赔偿、行政处罚、刑事法律责任均由乙方独立全额承担，同时乙方须赔偿甲方由此产生的一切直接损失与间接损失。</w:t>
            </w:r>
          </w:p>
          <w:p w14:paraId="78C0570C">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5.结算币种：合同项下所有货款、违约金、赔偿金及相关往来款项，统一以人民币进行计价、结算与支付。</w:t>
            </w:r>
          </w:p>
        </w:tc>
      </w:tr>
      <w:tr w14:paraId="03DD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vAlign w:val="center"/>
          </w:tcPr>
          <w:p w14:paraId="5B7F972C">
            <w:pPr>
              <w:pStyle w:val="33"/>
              <w:spacing w:before="74"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6</w:t>
            </w:r>
          </w:p>
        </w:tc>
        <w:tc>
          <w:tcPr>
            <w:tcW w:w="1980" w:type="dxa"/>
          </w:tcPr>
          <w:p w14:paraId="48D76B05">
            <w:pPr>
              <w:pStyle w:val="33"/>
              <w:spacing w:before="204"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 xml:space="preserve">质保期            </w:t>
            </w: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vAlign w:val="center"/>
          </w:tcPr>
          <w:p w14:paraId="0B317836">
            <w:pPr>
              <w:pStyle w:val="33"/>
              <w:spacing w:before="48" w:line="400" w:lineRule="exact"/>
              <w:ind w:left="115" w:right="186"/>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保证所供货物质量新鲜，有保质期约定的货品，配送的货品质保期应在80%以上，否则采购人有权按照不符合合同约定要求退换货物。（例：如质保期为10个月的，供货时剩余的质保期应当大于或等于8个月）。</w:t>
            </w:r>
          </w:p>
        </w:tc>
      </w:tr>
      <w:tr w14:paraId="6A84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tcPr>
          <w:p w14:paraId="5D71D56F">
            <w:pPr>
              <w:spacing w:line="400" w:lineRule="exact"/>
              <w:rPr>
                <w:rFonts w:ascii="仿宋_GB2312" w:hAnsi="仿宋_GB2312" w:eastAsia="仿宋_GB2312" w:cs="仿宋_GB2312"/>
                <w:color w:val="auto"/>
                <w:sz w:val="24"/>
                <w:szCs w:val="24"/>
                <w:highlight w:val="none"/>
                <w:lang w:eastAsia="zh-CN"/>
              </w:rPr>
            </w:pPr>
          </w:p>
          <w:p w14:paraId="7315F5A9">
            <w:pPr>
              <w:spacing w:line="400" w:lineRule="exact"/>
              <w:rPr>
                <w:rFonts w:ascii="仿宋_GB2312" w:hAnsi="仿宋_GB2312" w:eastAsia="仿宋_GB2312" w:cs="仿宋_GB2312"/>
                <w:color w:val="auto"/>
                <w:sz w:val="24"/>
                <w:szCs w:val="24"/>
                <w:highlight w:val="none"/>
                <w:lang w:eastAsia="zh-CN"/>
              </w:rPr>
            </w:pPr>
          </w:p>
          <w:p w14:paraId="2C7E5BA4">
            <w:pPr>
              <w:spacing w:line="400" w:lineRule="exact"/>
              <w:rPr>
                <w:rFonts w:ascii="仿宋_GB2312" w:hAnsi="仿宋_GB2312" w:eastAsia="仿宋_GB2312" w:cs="仿宋_GB2312"/>
                <w:color w:val="auto"/>
                <w:sz w:val="24"/>
                <w:szCs w:val="24"/>
                <w:highlight w:val="none"/>
                <w:lang w:eastAsia="zh-CN"/>
              </w:rPr>
            </w:pPr>
          </w:p>
          <w:p w14:paraId="068E772D">
            <w:pPr>
              <w:spacing w:line="400" w:lineRule="exact"/>
              <w:rPr>
                <w:rFonts w:ascii="仿宋_GB2312" w:hAnsi="仿宋_GB2312" w:eastAsia="仿宋_GB2312" w:cs="仿宋_GB2312"/>
                <w:color w:val="auto"/>
                <w:sz w:val="24"/>
                <w:szCs w:val="24"/>
                <w:highlight w:val="none"/>
                <w:lang w:eastAsia="zh-CN"/>
              </w:rPr>
            </w:pPr>
          </w:p>
          <w:p w14:paraId="227EAF99">
            <w:pPr>
              <w:spacing w:line="400" w:lineRule="exact"/>
              <w:rPr>
                <w:rFonts w:ascii="仿宋_GB2312" w:hAnsi="仿宋_GB2312" w:eastAsia="仿宋_GB2312" w:cs="仿宋_GB2312"/>
                <w:color w:val="auto"/>
                <w:sz w:val="24"/>
                <w:szCs w:val="24"/>
                <w:highlight w:val="none"/>
                <w:lang w:eastAsia="zh-CN"/>
              </w:rPr>
            </w:pPr>
          </w:p>
          <w:p w14:paraId="71234789">
            <w:pPr>
              <w:spacing w:line="400" w:lineRule="exact"/>
              <w:rPr>
                <w:rFonts w:ascii="仿宋_GB2312" w:hAnsi="仿宋_GB2312" w:eastAsia="仿宋_GB2312" w:cs="仿宋_GB2312"/>
                <w:color w:val="auto"/>
                <w:sz w:val="24"/>
                <w:szCs w:val="24"/>
                <w:highlight w:val="none"/>
                <w:lang w:eastAsia="zh-CN"/>
              </w:rPr>
            </w:pPr>
          </w:p>
          <w:p w14:paraId="717C537E">
            <w:pPr>
              <w:spacing w:line="400" w:lineRule="exact"/>
              <w:rPr>
                <w:rFonts w:ascii="仿宋_GB2312" w:hAnsi="仿宋_GB2312" w:eastAsia="仿宋_GB2312" w:cs="仿宋_GB2312"/>
                <w:color w:val="auto"/>
                <w:sz w:val="24"/>
                <w:szCs w:val="24"/>
                <w:highlight w:val="none"/>
                <w:lang w:eastAsia="zh-CN"/>
              </w:rPr>
            </w:pPr>
          </w:p>
          <w:p w14:paraId="499C0B39">
            <w:pPr>
              <w:spacing w:line="400" w:lineRule="exact"/>
              <w:rPr>
                <w:rFonts w:ascii="仿宋_GB2312" w:hAnsi="仿宋_GB2312" w:eastAsia="仿宋_GB2312" w:cs="仿宋_GB2312"/>
                <w:color w:val="auto"/>
                <w:sz w:val="24"/>
                <w:szCs w:val="24"/>
                <w:highlight w:val="none"/>
                <w:lang w:eastAsia="zh-CN"/>
              </w:rPr>
            </w:pPr>
          </w:p>
          <w:p w14:paraId="02676CB1">
            <w:pPr>
              <w:spacing w:line="400" w:lineRule="exact"/>
              <w:rPr>
                <w:rFonts w:ascii="仿宋_GB2312" w:hAnsi="仿宋_GB2312" w:eastAsia="仿宋_GB2312" w:cs="仿宋_GB2312"/>
                <w:color w:val="auto"/>
                <w:sz w:val="24"/>
                <w:szCs w:val="24"/>
                <w:highlight w:val="none"/>
                <w:lang w:eastAsia="zh-CN"/>
              </w:rPr>
            </w:pPr>
          </w:p>
          <w:p w14:paraId="54C173C1">
            <w:pPr>
              <w:spacing w:line="400" w:lineRule="exact"/>
              <w:rPr>
                <w:rFonts w:ascii="仿宋_GB2312" w:hAnsi="仿宋_GB2312" w:eastAsia="仿宋_GB2312" w:cs="仿宋_GB2312"/>
                <w:color w:val="auto"/>
                <w:sz w:val="24"/>
                <w:szCs w:val="24"/>
                <w:highlight w:val="none"/>
                <w:lang w:eastAsia="zh-CN"/>
              </w:rPr>
            </w:pPr>
          </w:p>
          <w:p w14:paraId="1C828876">
            <w:pPr>
              <w:pStyle w:val="33"/>
              <w:spacing w:before="74" w:line="400" w:lineRule="exact"/>
              <w:ind w:left="249"/>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7</w:t>
            </w:r>
          </w:p>
        </w:tc>
        <w:tc>
          <w:tcPr>
            <w:tcW w:w="1980" w:type="dxa"/>
          </w:tcPr>
          <w:p w14:paraId="56B9DD13">
            <w:pPr>
              <w:spacing w:line="400" w:lineRule="exact"/>
              <w:rPr>
                <w:rFonts w:ascii="仿宋_GB2312" w:hAnsi="仿宋_GB2312" w:eastAsia="仿宋_GB2312" w:cs="仿宋_GB2312"/>
                <w:color w:val="auto"/>
                <w:sz w:val="24"/>
                <w:szCs w:val="24"/>
                <w:highlight w:val="none"/>
              </w:rPr>
            </w:pPr>
          </w:p>
          <w:p w14:paraId="3363034F">
            <w:pPr>
              <w:spacing w:line="400" w:lineRule="exact"/>
              <w:rPr>
                <w:rFonts w:ascii="仿宋_GB2312" w:hAnsi="仿宋_GB2312" w:eastAsia="仿宋_GB2312" w:cs="仿宋_GB2312"/>
                <w:color w:val="auto"/>
                <w:sz w:val="24"/>
                <w:szCs w:val="24"/>
                <w:highlight w:val="none"/>
              </w:rPr>
            </w:pPr>
          </w:p>
          <w:p w14:paraId="7882CCA1">
            <w:pPr>
              <w:spacing w:line="400" w:lineRule="exact"/>
              <w:rPr>
                <w:rFonts w:ascii="仿宋_GB2312" w:hAnsi="仿宋_GB2312" w:eastAsia="仿宋_GB2312" w:cs="仿宋_GB2312"/>
                <w:color w:val="auto"/>
                <w:sz w:val="24"/>
                <w:szCs w:val="24"/>
                <w:highlight w:val="none"/>
              </w:rPr>
            </w:pPr>
          </w:p>
          <w:p w14:paraId="4CF14203">
            <w:pPr>
              <w:spacing w:line="400" w:lineRule="exact"/>
              <w:rPr>
                <w:rFonts w:ascii="仿宋_GB2312" w:hAnsi="仿宋_GB2312" w:eastAsia="仿宋_GB2312" w:cs="仿宋_GB2312"/>
                <w:color w:val="auto"/>
                <w:sz w:val="24"/>
                <w:szCs w:val="24"/>
                <w:highlight w:val="none"/>
              </w:rPr>
            </w:pPr>
          </w:p>
          <w:p w14:paraId="5E7E3ACA">
            <w:pPr>
              <w:spacing w:line="400" w:lineRule="exact"/>
              <w:rPr>
                <w:rFonts w:ascii="仿宋_GB2312" w:hAnsi="仿宋_GB2312" w:eastAsia="仿宋_GB2312" w:cs="仿宋_GB2312"/>
                <w:color w:val="auto"/>
                <w:sz w:val="24"/>
                <w:szCs w:val="24"/>
                <w:highlight w:val="none"/>
              </w:rPr>
            </w:pPr>
          </w:p>
          <w:p w14:paraId="2BA23F16">
            <w:pPr>
              <w:spacing w:line="400" w:lineRule="exact"/>
              <w:rPr>
                <w:rFonts w:ascii="仿宋_GB2312" w:hAnsi="仿宋_GB2312" w:eastAsia="仿宋_GB2312" w:cs="仿宋_GB2312"/>
                <w:color w:val="auto"/>
                <w:sz w:val="24"/>
                <w:szCs w:val="24"/>
                <w:highlight w:val="none"/>
              </w:rPr>
            </w:pPr>
          </w:p>
          <w:p w14:paraId="0A5AF175">
            <w:pPr>
              <w:spacing w:line="400" w:lineRule="exact"/>
              <w:rPr>
                <w:rFonts w:ascii="仿宋_GB2312" w:hAnsi="仿宋_GB2312" w:eastAsia="仿宋_GB2312" w:cs="仿宋_GB2312"/>
                <w:color w:val="auto"/>
                <w:sz w:val="24"/>
                <w:szCs w:val="24"/>
                <w:highlight w:val="none"/>
              </w:rPr>
            </w:pPr>
          </w:p>
          <w:p w14:paraId="5DEDCD66">
            <w:pPr>
              <w:spacing w:line="400" w:lineRule="exact"/>
              <w:rPr>
                <w:rFonts w:ascii="仿宋_GB2312" w:hAnsi="仿宋_GB2312" w:eastAsia="仿宋_GB2312" w:cs="仿宋_GB2312"/>
                <w:color w:val="auto"/>
                <w:sz w:val="24"/>
                <w:szCs w:val="24"/>
                <w:highlight w:val="none"/>
              </w:rPr>
            </w:pPr>
          </w:p>
          <w:p w14:paraId="06EDAF3B">
            <w:pPr>
              <w:spacing w:line="400" w:lineRule="exact"/>
              <w:rPr>
                <w:rFonts w:ascii="仿宋_GB2312" w:hAnsi="仿宋_GB2312" w:eastAsia="仿宋_GB2312" w:cs="仿宋_GB2312"/>
                <w:color w:val="auto"/>
                <w:sz w:val="24"/>
                <w:szCs w:val="24"/>
                <w:highlight w:val="none"/>
              </w:rPr>
            </w:pPr>
          </w:p>
          <w:p w14:paraId="6768107F">
            <w:pPr>
              <w:spacing w:line="400" w:lineRule="exact"/>
              <w:rPr>
                <w:rFonts w:ascii="仿宋_GB2312" w:hAnsi="仿宋_GB2312" w:eastAsia="仿宋_GB2312" w:cs="仿宋_GB2312"/>
                <w:color w:val="auto"/>
                <w:sz w:val="24"/>
                <w:szCs w:val="24"/>
                <w:highlight w:val="none"/>
              </w:rPr>
            </w:pPr>
          </w:p>
          <w:p w14:paraId="1E4DBC78">
            <w:pPr>
              <w:pStyle w:val="33"/>
              <w:spacing w:before="75" w:line="400" w:lineRule="exact"/>
              <w:ind w:left="27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政府采购政策</w:t>
            </w:r>
          </w:p>
        </w:tc>
        <w:tc>
          <w:tcPr>
            <w:tcW w:w="7366" w:type="dxa"/>
            <w:tcBorders>
              <w:right w:val="single" w:color="000000" w:sz="10" w:space="0"/>
            </w:tcBorders>
          </w:tcPr>
          <w:p w14:paraId="46FFEC89">
            <w:pPr>
              <w:pStyle w:val="33"/>
              <w:spacing w:before="27" w:line="400" w:lineRule="exact"/>
              <w:ind w:left="115"/>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本标项为专门面向小微企业采购份额，即：提供的货物全部由符合政策要求的小微企业制造。</w:t>
            </w:r>
          </w:p>
          <w:p w14:paraId="7742C4DA">
            <w:pPr>
              <w:pStyle w:val="33"/>
              <w:spacing w:before="27" w:line="400" w:lineRule="exact"/>
              <w:ind w:left="115"/>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（一）本标项为专门面向</w:t>
            </w:r>
            <w:r>
              <w:rPr>
                <w:rFonts w:hint="eastAsia" w:ascii="仿宋_GB2312" w:hAnsi="仿宋_GB2312" w:eastAsia="仿宋_GB2312" w:cs="仿宋_GB2312"/>
                <w:b/>
                <w:bCs/>
                <w:color w:val="auto"/>
                <w:sz w:val="24"/>
                <w:szCs w:val="24"/>
                <w:highlight w:val="none"/>
                <w:lang w:val="en-US" w:eastAsia="zh-CN"/>
              </w:rPr>
              <w:t>小微</w:t>
            </w:r>
            <w:r>
              <w:rPr>
                <w:rFonts w:hint="eastAsia" w:ascii="仿宋_GB2312" w:hAnsi="仿宋_GB2312" w:eastAsia="仿宋_GB2312" w:cs="仿宋_GB2312"/>
                <w:b/>
                <w:bCs/>
                <w:color w:val="auto"/>
                <w:sz w:val="24"/>
                <w:szCs w:val="24"/>
                <w:highlight w:val="none"/>
                <w:lang w:eastAsia="zh-CN"/>
              </w:rPr>
              <w:t>企业采购，不再执行价格评审优惠的扶持政策，参加投标的供应商须出具《中小企业声明函》（如是监狱企业的应当提供《监狱企业声明函》，如是残疾人福利性单位的应当提供《残疾人福利性单位声明函》）；对不提供《中小企业声明函》或提供的《中小企业声明函》未按照采购文件格式填写，未按照工信部联企业（2011）300 号文件规定如实填写的，视为投标无效。</w:t>
            </w:r>
          </w:p>
          <w:p w14:paraId="5786E1DE">
            <w:pPr>
              <w:pStyle w:val="33"/>
              <w:spacing w:before="29" w:line="400" w:lineRule="exact"/>
              <w:ind w:left="115" w:right="87" w:firstLine="10"/>
              <w:rPr>
                <w:rFonts w:ascii="仿宋_GB2312" w:hAnsi="仿宋_GB2312" w:eastAsia="仿宋_GB2312" w:cs="仿宋_GB2312"/>
                <w:b/>
                <w:bCs/>
                <w:color w:val="auto"/>
                <w:spacing w:val="11"/>
                <w:sz w:val="24"/>
                <w:szCs w:val="24"/>
                <w:highlight w:val="none"/>
                <w:lang w:eastAsia="zh-CN"/>
              </w:rPr>
            </w:pPr>
            <w:r>
              <w:rPr>
                <w:rFonts w:hint="eastAsia" w:ascii="仿宋_GB2312" w:hAnsi="仿宋_GB2312" w:eastAsia="仿宋_GB2312" w:cs="仿宋_GB2312"/>
                <w:color w:val="auto"/>
                <w:spacing w:val="14"/>
                <w:sz w:val="24"/>
                <w:szCs w:val="24"/>
                <w:highlight w:val="none"/>
                <w:lang w:eastAsia="zh-CN"/>
              </w:rPr>
              <w:t>（二）根据工信部等部委发布的《关于印发中小企业划型标准规</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pacing w:val="8"/>
                <w:sz w:val="24"/>
                <w:szCs w:val="24"/>
                <w:highlight w:val="none"/>
                <w:lang w:eastAsia="zh-CN"/>
              </w:rPr>
              <w:t>定的通知》（工信部联企业〔2011〕300</w:t>
            </w:r>
            <w:r>
              <w:rPr>
                <w:rFonts w:hint="eastAsia" w:ascii="仿宋_GB2312" w:hAnsi="仿宋_GB2312" w:eastAsia="仿宋_GB2312" w:cs="仿宋_GB2312"/>
                <w:color w:val="auto"/>
                <w:spacing w:val="-27"/>
                <w:sz w:val="24"/>
                <w:szCs w:val="24"/>
                <w:highlight w:val="none"/>
                <w:lang w:eastAsia="zh-CN"/>
              </w:rPr>
              <w:t xml:space="preserve"> </w:t>
            </w:r>
            <w:r>
              <w:rPr>
                <w:rFonts w:hint="eastAsia" w:ascii="仿宋_GB2312" w:hAnsi="仿宋_GB2312" w:eastAsia="仿宋_GB2312" w:cs="仿宋_GB2312"/>
                <w:color w:val="auto"/>
                <w:spacing w:val="8"/>
                <w:sz w:val="24"/>
                <w:szCs w:val="24"/>
                <w:highlight w:val="none"/>
                <w:lang w:eastAsia="zh-CN"/>
              </w:rPr>
              <w:t>号）、财政部、工业和信息</w:t>
            </w:r>
            <w:r>
              <w:rPr>
                <w:rFonts w:hint="eastAsia" w:ascii="仿宋_GB2312" w:hAnsi="仿宋_GB2312" w:eastAsia="仿宋_GB2312" w:cs="仿宋_GB2312"/>
                <w:color w:val="auto"/>
                <w:spacing w:val="15"/>
                <w:sz w:val="24"/>
                <w:szCs w:val="24"/>
                <w:highlight w:val="none"/>
                <w:lang w:eastAsia="zh-CN"/>
              </w:rPr>
              <w:t>化部《政府采购促进中小企业发展管理办法 》（财库[2</w:t>
            </w:r>
            <w:r>
              <w:rPr>
                <w:rFonts w:hint="eastAsia" w:ascii="仿宋_GB2312" w:hAnsi="仿宋_GB2312" w:eastAsia="仿宋_GB2312" w:cs="仿宋_GB2312"/>
                <w:color w:val="auto"/>
                <w:spacing w:val="14"/>
                <w:sz w:val="24"/>
                <w:szCs w:val="24"/>
                <w:highlight w:val="none"/>
                <w:lang w:eastAsia="zh-CN"/>
              </w:rPr>
              <w:t>020]46</w:t>
            </w:r>
            <w:r>
              <w:rPr>
                <w:rFonts w:hint="eastAsia" w:ascii="仿宋_GB2312" w:hAnsi="仿宋_GB2312" w:eastAsia="仿宋_GB2312" w:cs="仿宋_GB2312"/>
                <w:color w:val="auto"/>
                <w:spacing w:val="-21"/>
                <w:sz w:val="24"/>
                <w:szCs w:val="24"/>
                <w:highlight w:val="none"/>
                <w:lang w:eastAsia="zh-CN"/>
              </w:rPr>
              <w:t xml:space="preserve"> </w:t>
            </w:r>
            <w:r>
              <w:rPr>
                <w:rFonts w:hint="eastAsia" w:ascii="仿宋_GB2312" w:hAnsi="仿宋_GB2312" w:eastAsia="仿宋_GB2312" w:cs="仿宋_GB2312"/>
                <w:color w:val="auto"/>
                <w:spacing w:val="14"/>
                <w:sz w:val="24"/>
                <w:szCs w:val="24"/>
                <w:highlight w:val="none"/>
                <w:lang w:eastAsia="zh-CN"/>
              </w:rPr>
              <w:t>号</w:t>
            </w:r>
            <w:r>
              <w:rPr>
                <w:rFonts w:hint="eastAsia" w:ascii="仿宋_GB2312" w:hAnsi="仿宋_GB2312" w:eastAsia="仿宋_GB2312" w:cs="仿宋_GB2312"/>
                <w:color w:val="auto"/>
                <w:spacing w:val="16"/>
                <w:sz w:val="24"/>
                <w:szCs w:val="24"/>
                <w:highlight w:val="none"/>
                <w:lang w:eastAsia="zh-CN"/>
              </w:rPr>
              <w:t>文）规定、财政部《关于进一步加大政府采购支持中小企业力度的</w:t>
            </w:r>
            <w:r>
              <w:rPr>
                <w:rFonts w:hint="eastAsia" w:ascii="仿宋_GB2312" w:hAnsi="仿宋_GB2312" w:eastAsia="仿宋_GB2312" w:cs="仿宋_GB2312"/>
                <w:color w:val="auto"/>
                <w:spacing w:val="10"/>
                <w:sz w:val="24"/>
                <w:szCs w:val="24"/>
                <w:highlight w:val="none"/>
                <w:lang w:eastAsia="zh-CN"/>
              </w:rPr>
              <w:t>通知》（财库〔2022〕19</w:t>
            </w:r>
            <w:r>
              <w:rPr>
                <w:rFonts w:hint="eastAsia" w:ascii="仿宋_GB2312" w:hAnsi="仿宋_GB2312" w:eastAsia="仿宋_GB2312" w:cs="仿宋_GB2312"/>
                <w:color w:val="auto"/>
                <w:spacing w:val="-26"/>
                <w:sz w:val="24"/>
                <w:szCs w:val="24"/>
                <w:highlight w:val="none"/>
                <w:lang w:eastAsia="zh-CN"/>
              </w:rPr>
              <w:t xml:space="preserve"> </w:t>
            </w:r>
            <w:r>
              <w:rPr>
                <w:rFonts w:hint="eastAsia" w:ascii="仿宋_GB2312" w:hAnsi="仿宋_GB2312" w:eastAsia="仿宋_GB2312" w:cs="仿宋_GB2312"/>
                <w:color w:val="auto"/>
                <w:spacing w:val="10"/>
                <w:sz w:val="24"/>
                <w:szCs w:val="24"/>
                <w:highlight w:val="none"/>
                <w:lang w:eastAsia="zh-CN"/>
              </w:rPr>
              <w:t>号）、新疆维吾尔自治区财政厅、新疆生</w:t>
            </w:r>
            <w:r>
              <w:rPr>
                <w:rFonts w:hint="eastAsia" w:ascii="仿宋_GB2312" w:hAnsi="仿宋_GB2312" w:eastAsia="仿宋_GB2312" w:cs="仿宋_GB2312"/>
                <w:color w:val="auto"/>
                <w:spacing w:val="25"/>
                <w:sz w:val="24"/>
                <w:szCs w:val="24"/>
                <w:highlight w:val="none"/>
                <w:lang w:eastAsia="zh-CN"/>
              </w:rPr>
              <w:t>产建设兵团财政局《关于落实好政府采购支持中小企业发</w:t>
            </w:r>
            <w:r>
              <w:rPr>
                <w:rFonts w:hint="eastAsia" w:ascii="仿宋_GB2312" w:hAnsi="仿宋_GB2312" w:eastAsia="仿宋_GB2312" w:cs="仿宋_GB2312"/>
                <w:color w:val="auto"/>
                <w:spacing w:val="24"/>
                <w:sz w:val="24"/>
                <w:szCs w:val="24"/>
                <w:highlight w:val="none"/>
                <w:lang w:eastAsia="zh-CN"/>
              </w:rPr>
              <w:t>展的通</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pacing w:val="11"/>
                <w:sz w:val="24"/>
                <w:szCs w:val="24"/>
                <w:highlight w:val="none"/>
                <w:lang w:eastAsia="zh-CN"/>
              </w:rPr>
              <w:t>知》（新财购〔2022〕22</w:t>
            </w:r>
            <w:r>
              <w:rPr>
                <w:rFonts w:hint="eastAsia" w:ascii="仿宋_GB2312" w:hAnsi="仿宋_GB2312" w:eastAsia="仿宋_GB2312" w:cs="仿宋_GB2312"/>
                <w:color w:val="auto"/>
                <w:spacing w:val="-19"/>
                <w:sz w:val="24"/>
                <w:szCs w:val="24"/>
                <w:highlight w:val="none"/>
                <w:lang w:eastAsia="zh-CN"/>
              </w:rPr>
              <w:t xml:space="preserve"> </w:t>
            </w:r>
            <w:r>
              <w:rPr>
                <w:rFonts w:hint="eastAsia" w:ascii="仿宋_GB2312" w:hAnsi="仿宋_GB2312" w:eastAsia="仿宋_GB2312" w:cs="仿宋_GB2312"/>
                <w:color w:val="auto"/>
                <w:spacing w:val="11"/>
                <w:sz w:val="24"/>
                <w:szCs w:val="24"/>
                <w:highlight w:val="none"/>
                <w:lang w:eastAsia="zh-CN"/>
              </w:rPr>
              <w:t>号文）规定，本次采购标的所属行业为</w:t>
            </w:r>
            <w:r>
              <w:rPr>
                <w:rFonts w:hint="eastAsia" w:ascii="仿宋_GB2312" w:hAnsi="仿宋_GB2312" w:eastAsia="仿宋_GB2312" w:cs="仿宋_GB2312"/>
                <w:b/>
                <w:bCs/>
                <w:color w:val="auto"/>
                <w:spacing w:val="11"/>
                <w:sz w:val="24"/>
                <w:szCs w:val="24"/>
                <w:highlight w:val="none"/>
                <w:u w:val="single"/>
                <w:lang w:eastAsia="zh-CN"/>
              </w:rPr>
              <w:t>工业</w:t>
            </w:r>
            <w:r>
              <w:rPr>
                <w:rFonts w:hint="eastAsia" w:ascii="仿宋_GB2312" w:hAnsi="仿宋_GB2312" w:eastAsia="仿宋_GB2312" w:cs="仿宋_GB2312"/>
                <w:b/>
                <w:bCs/>
                <w:color w:val="auto"/>
                <w:spacing w:val="11"/>
                <w:sz w:val="24"/>
                <w:szCs w:val="24"/>
                <w:highlight w:val="none"/>
                <w:lang w:eastAsia="zh-CN"/>
              </w:rPr>
              <w:t>。</w:t>
            </w:r>
          </w:p>
          <w:p w14:paraId="6C93F975">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本文件所称中小企业，是指在中华人民共和国境内依法设立，依据国务院批准的中小企业划分标准确定的中型企业、小型企业和微型企业，但与大型企业的负责人为同一人，或者与大型企业存在直接控股、管理关系的除外。符合中小企业划分标准的个体工商户，在政府采购活动中视同中小企业。</w:t>
            </w:r>
          </w:p>
          <w:p w14:paraId="03D5E85B">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403F9F49">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（3）依据本办法规定享受扶持政策获得政府采购合同的，小微企业不得将合同分包给大中型企业，中型企业不得将合同分包给大型企业。</w:t>
            </w:r>
          </w:p>
          <w:p w14:paraId="63CE7E25">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（4）提供由省级以上监狱管理局、戒毒管理局（含新疆生产建设兵团）出具的属于监狱企业证明文件（扫描件）的，视同为小型和微型企业。</w:t>
            </w:r>
          </w:p>
          <w:p w14:paraId="03CA4E5A">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（5）符合享受政府采购支持政策的残疾人福利性单位条件且提供《残疾人福利性单位声明函》的，视同为小型和微型企业。</w:t>
            </w:r>
          </w:p>
          <w:p w14:paraId="032C7E4F">
            <w:pPr>
              <w:pStyle w:val="33"/>
              <w:spacing w:before="75" w:line="400" w:lineRule="exact"/>
              <w:ind w:left="12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4"/>
                <w:sz w:val="24"/>
                <w:szCs w:val="24"/>
                <w:highlight w:val="none"/>
                <w:lang w:eastAsia="zh-CN"/>
              </w:rPr>
              <w:t>（三）节能、环境标志产品评审优惠内容及加分幅度（如有）：</w:t>
            </w:r>
          </w:p>
          <w:p w14:paraId="5CF6453C">
            <w:pPr>
              <w:pStyle w:val="33"/>
              <w:spacing w:before="25" w:line="400" w:lineRule="exact"/>
              <w:ind w:left="117"/>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严格执行《财政部发展改革委生态环境部市场监管总局关于调整</w:t>
            </w:r>
          </w:p>
          <w:p w14:paraId="6ECAF2E7">
            <w:pPr>
              <w:pStyle w:val="33"/>
              <w:spacing w:before="27" w:line="400" w:lineRule="exact"/>
              <w:ind w:left="140" w:right="97" w:hanging="2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5"/>
                <w:sz w:val="24"/>
                <w:szCs w:val="24"/>
                <w:highlight w:val="none"/>
                <w:lang w:eastAsia="zh-CN"/>
              </w:rPr>
              <w:t>优化节能产品、环境标志产品政府采购执行机制的通知》</w:t>
            </w:r>
            <w:r>
              <w:rPr>
                <w:rFonts w:hint="eastAsia" w:ascii="仿宋_GB2312" w:hAnsi="仿宋_GB2312" w:eastAsia="仿宋_GB2312" w:cs="仿宋_GB2312"/>
                <w:color w:val="auto"/>
                <w:spacing w:val="24"/>
                <w:sz w:val="24"/>
                <w:szCs w:val="24"/>
                <w:highlight w:val="none"/>
                <w:lang w:eastAsia="zh-CN"/>
              </w:rPr>
              <w:t>（财库</w:t>
            </w:r>
            <w:r>
              <w:rPr>
                <w:rFonts w:hint="eastAsia" w:ascii="仿宋_GB2312" w:hAnsi="仿宋_GB2312" w:eastAsia="仿宋_GB2312" w:cs="仿宋_GB2312"/>
                <w:color w:val="auto"/>
                <w:spacing w:val="-2"/>
                <w:sz w:val="24"/>
                <w:szCs w:val="24"/>
                <w:highlight w:val="none"/>
                <w:lang w:eastAsia="zh-CN"/>
              </w:rPr>
              <w:t>〔2019〕9号）。</w:t>
            </w:r>
          </w:p>
          <w:p w14:paraId="7AD56C2B">
            <w:pPr>
              <w:pStyle w:val="33"/>
              <w:spacing w:before="22" w:line="400" w:lineRule="exact"/>
              <w:ind w:left="115" w:right="97" w:firstLine="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（1）本次采购产品属于政府强制采购产品类别的，须按照要求提供</w:t>
            </w:r>
            <w:r>
              <w:rPr>
                <w:rFonts w:hint="eastAsia" w:ascii="仿宋_GB2312" w:hAnsi="仿宋_GB2312" w:eastAsia="仿宋_GB2312" w:cs="仿宋_GB2312"/>
                <w:color w:val="auto"/>
                <w:spacing w:val="17"/>
                <w:sz w:val="24"/>
                <w:szCs w:val="24"/>
                <w:highlight w:val="none"/>
                <w:lang w:eastAsia="zh-CN"/>
              </w:rPr>
              <w:t xml:space="preserve"> </w:t>
            </w:r>
            <w:r>
              <w:rPr>
                <w:rFonts w:hint="eastAsia" w:ascii="仿宋_GB2312" w:hAnsi="仿宋_GB2312" w:eastAsia="仿宋_GB2312" w:cs="仿宋_GB2312"/>
                <w:color w:val="auto"/>
                <w:spacing w:val="16"/>
                <w:sz w:val="24"/>
                <w:szCs w:val="24"/>
                <w:highlight w:val="none"/>
                <w:lang w:eastAsia="zh-CN"/>
              </w:rPr>
              <w:t>依据国家确定的认证机构出具的、处于有效期之内的节能产品认证</w:t>
            </w:r>
            <w:r>
              <w:rPr>
                <w:rFonts w:hint="eastAsia" w:ascii="仿宋_GB2312" w:hAnsi="仿宋_GB2312" w:eastAsia="仿宋_GB2312" w:cs="仿宋_GB2312"/>
                <w:color w:val="auto"/>
                <w:spacing w:val="6"/>
                <w:sz w:val="24"/>
                <w:szCs w:val="24"/>
                <w:highlight w:val="none"/>
                <w:lang w:eastAsia="zh-CN"/>
              </w:rPr>
              <w:t>证书，否则投标无效。</w:t>
            </w:r>
          </w:p>
          <w:p w14:paraId="68A3AF2C">
            <w:pPr>
              <w:pStyle w:val="33"/>
              <w:spacing w:before="24" w:line="400" w:lineRule="exact"/>
              <w:ind w:left="115" w:right="97" w:firstLine="5"/>
              <w:rPr>
                <w:rFonts w:ascii="仿宋_GB2312" w:hAnsi="仿宋_GB2312" w:eastAsia="仿宋_GB2312" w:cs="仿宋_GB2312"/>
                <w:color w:val="auto"/>
                <w:spacing w:val="5"/>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（2）属于政府优先采购产品类别的，须按照要求提供依据国家确定</w:t>
            </w:r>
            <w:r>
              <w:rPr>
                <w:rFonts w:hint="eastAsia" w:ascii="仿宋_GB2312" w:hAnsi="仿宋_GB2312" w:eastAsia="仿宋_GB2312" w:cs="仿宋_GB2312"/>
                <w:color w:val="auto"/>
                <w:spacing w:val="17"/>
                <w:sz w:val="24"/>
                <w:szCs w:val="24"/>
                <w:highlight w:val="none"/>
                <w:lang w:eastAsia="zh-CN"/>
              </w:rPr>
              <w:t xml:space="preserve"> </w:t>
            </w:r>
            <w:r>
              <w:rPr>
                <w:rFonts w:hint="eastAsia" w:ascii="仿宋_GB2312" w:hAnsi="仿宋_GB2312" w:eastAsia="仿宋_GB2312" w:cs="仿宋_GB2312"/>
                <w:color w:val="auto"/>
                <w:spacing w:val="16"/>
                <w:sz w:val="24"/>
                <w:szCs w:val="24"/>
                <w:highlight w:val="none"/>
                <w:lang w:eastAsia="zh-CN"/>
              </w:rPr>
              <w:t>的认证机构出具的、处于有效期之内的节能产品或环境标志产品认</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5"/>
                <w:sz w:val="24"/>
                <w:szCs w:val="24"/>
                <w:highlight w:val="none"/>
                <w:lang w:eastAsia="zh-CN"/>
              </w:rPr>
              <w:t>证证书，否则不予认定。</w:t>
            </w:r>
          </w:p>
        </w:tc>
      </w:tr>
      <w:tr w14:paraId="43853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66102071">
            <w:pPr>
              <w:pStyle w:val="33"/>
              <w:spacing w:before="75" w:line="400" w:lineRule="exact"/>
              <w:ind w:left="23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18</w:t>
            </w:r>
          </w:p>
        </w:tc>
        <w:tc>
          <w:tcPr>
            <w:tcW w:w="1980" w:type="dxa"/>
            <w:vAlign w:val="center"/>
          </w:tcPr>
          <w:p w14:paraId="13B98644">
            <w:pPr>
              <w:pStyle w:val="33"/>
              <w:spacing w:before="74" w:line="400" w:lineRule="exact"/>
              <w:ind w:left="266"/>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7"/>
                <w:sz w:val="24"/>
                <w:szCs w:val="24"/>
                <w:highlight w:val="none"/>
              </w:rPr>
              <w:t>招标代理服务费</w:t>
            </w:r>
          </w:p>
        </w:tc>
        <w:tc>
          <w:tcPr>
            <w:tcW w:w="7366" w:type="dxa"/>
            <w:tcBorders>
              <w:right w:val="single" w:color="000000" w:sz="10" w:space="0"/>
            </w:tcBorders>
          </w:tcPr>
          <w:p w14:paraId="4F6091CE">
            <w:pPr>
              <w:pStyle w:val="33"/>
              <w:spacing w:before="50" w:line="400" w:lineRule="exact"/>
              <w:ind w:left="12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交纳时间：中标单位在《中标通知书》核发前一次性交纳。</w:t>
            </w:r>
          </w:p>
          <w:p w14:paraId="46C66108">
            <w:pPr>
              <w:pStyle w:val="33"/>
              <w:spacing w:before="50" w:line="400" w:lineRule="exact"/>
              <w:ind w:left="12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交纳金额：以预算金额为基数，参考国家计委《招标代理服务收费管理暂行办法》的通知（计价格【2002】1980号）规定及国家发展改革委办公厅发改办价格［2003］857号规定，下浮30%计取代理服务费。</w:t>
            </w:r>
          </w:p>
        </w:tc>
      </w:tr>
      <w:tr w14:paraId="1C24E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68B0757C">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19</w:t>
            </w:r>
          </w:p>
        </w:tc>
        <w:tc>
          <w:tcPr>
            <w:tcW w:w="1980" w:type="dxa"/>
            <w:vAlign w:val="center"/>
          </w:tcPr>
          <w:p w14:paraId="5497F368">
            <w:pPr>
              <w:pStyle w:val="33"/>
              <w:spacing w:before="74" w:line="400" w:lineRule="exact"/>
              <w:ind w:left="266"/>
              <w:jc w:val="both"/>
              <w:rPr>
                <w:rFonts w:ascii="仿宋_GB2312" w:hAnsi="仿宋_GB2312" w:eastAsia="仿宋_GB2312" w:cs="仿宋_GB2312"/>
                <w:color w:val="auto"/>
                <w:spacing w:val="-17"/>
                <w:sz w:val="24"/>
                <w:szCs w:val="24"/>
                <w:highlight w:val="none"/>
                <w:lang w:eastAsia="zh-CN"/>
              </w:rPr>
            </w:pPr>
            <w:r>
              <w:rPr>
                <w:rFonts w:hint="eastAsia" w:ascii="仿宋_GB2312" w:hAnsi="仿宋_GB2312" w:eastAsia="仿宋_GB2312" w:cs="仿宋_GB2312"/>
                <w:color w:val="auto"/>
                <w:spacing w:val="-17"/>
                <w:sz w:val="24"/>
                <w:szCs w:val="24"/>
                <w:highlight w:val="none"/>
                <w:lang w:eastAsia="zh-CN"/>
              </w:rPr>
              <w:t>关于推动解决政府采购异常低价问题</w:t>
            </w:r>
          </w:p>
        </w:tc>
        <w:tc>
          <w:tcPr>
            <w:tcW w:w="7366" w:type="dxa"/>
            <w:tcBorders>
              <w:right w:val="single" w:color="000000" w:sz="10" w:space="0"/>
            </w:tcBorders>
            <w:vAlign w:val="center"/>
          </w:tcPr>
          <w:p w14:paraId="6461C30E">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一、政府采购评审中出现下列情形之一的，评审委员会应当启动异常低价投标审查程序：</w:t>
            </w:r>
          </w:p>
          <w:p w14:paraId="1584EDF8">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1.投标报价低于全部通过符合性审查供应商投标报价平均值50%的，即投标报价&lt;全部通过符合性审查供应商投标报价平均值×50%；</w:t>
            </w:r>
          </w:p>
          <w:p w14:paraId="27A9FC91">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2.投标报价低于通过符合性审查的次低报价供应商投标报价50%的，即投标报价&lt;通过符合性审查的次低报价供应商投标报价×50%；</w:t>
            </w:r>
          </w:p>
          <w:p w14:paraId="3F4B065D">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3.投标报价低于采购项目最高限价45%的，即投标报价&lt;采购项目最高限价×45%；</w:t>
            </w:r>
          </w:p>
          <w:p w14:paraId="3C4006C3">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4.评审委员会基于专业判断，认为供应商报价过低，有可能影响产品质量或者不能诚信履约的其他情形。</w:t>
            </w:r>
          </w:p>
          <w:p w14:paraId="7F502CAB">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采购人可以结合具体项目实际情况，提高上述第1项至第3项中启动异常低价投标审查的数值标准，但是最高不得超过65%。 </w:t>
            </w:r>
          </w:p>
          <w:p w14:paraId="41CEA76A">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相关法律法规对供应商报价有规定的，从其规定。 </w:t>
            </w:r>
          </w:p>
          <w:p w14:paraId="2FF95AC3">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0C1BA8BC">
            <w:pPr>
              <w:pStyle w:val="33"/>
              <w:spacing w:before="50" w:line="400" w:lineRule="exact"/>
              <w:ind w:left="121"/>
              <w:rPr>
                <w:rFonts w:ascii="仿宋_GB2312" w:hAnsi="仿宋_GB2312" w:eastAsia="仿宋_GB2312" w:cs="仿宋_GB2312"/>
                <w:color w:val="auto"/>
                <w:spacing w:val="-1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6B80A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4F102646">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20</w:t>
            </w:r>
          </w:p>
        </w:tc>
        <w:tc>
          <w:tcPr>
            <w:tcW w:w="1980" w:type="dxa"/>
            <w:vAlign w:val="center"/>
          </w:tcPr>
          <w:p w14:paraId="3999275E">
            <w:pPr>
              <w:pStyle w:val="33"/>
              <w:spacing w:before="74" w:line="400" w:lineRule="exact"/>
              <w:ind w:left="266"/>
              <w:jc w:val="both"/>
              <w:rPr>
                <w:rFonts w:ascii="仿宋_GB2312" w:hAnsi="仿宋_GB2312" w:eastAsia="仿宋_GB2312" w:cs="仿宋_GB2312"/>
                <w:color w:val="auto"/>
                <w:spacing w:val="-17"/>
                <w:sz w:val="24"/>
                <w:szCs w:val="24"/>
                <w:highlight w:val="none"/>
              </w:rPr>
            </w:pPr>
            <w:r>
              <w:rPr>
                <w:rFonts w:hint="eastAsia" w:ascii="仿宋_GB2312" w:hAnsi="仿宋_GB2312" w:eastAsia="仿宋_GB2312" w:cs="仿宋_GB2312"/>
                <w:color w:val="auto"/>
                <w:spacing w:val="-17"/>
                <w:sz w:val="24"/>
                <w:szCs w:val="24"/>
                <w:highlight w:val="none"/>
              </w:rPr>
              <w:t>政府采购政策支持</w:t>
            </w:r>
          </w:p>
        </w:tc>
        <w:tc>
          <w:tcPr>
            <w:tcW w:w="7366" w:type="dxa"/>
            <w:tcBorders>
              <w:right w:val="single" w:color="000000" w:sz="10" w:space="0"/>
            </w:tcBorders>
          </w:tcPr>
          <w:p w14:paraId="4388161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1、本标项为专门面向小微企业采购份额，即：提供的货物全部由符合政策要求的小微企业制造。</w:t>
            </w:r>
          </w:p>
          <w:p w14:paraId="56C555FD">
            <w:pPr>
              <w:pStyle w:val="33"/>
              <w:spacing w:before="50" w:line="400" w:lineRule="exact"/>
              <w:ind w:left="121"/>
              <w:rPr>
                <w:rFonts w:ascii="仿宋_GB2312" w:hAnsi="仿宋_GB2312" w:eastAsia="仿宋_GB2312" w:cs="仿宋_GB2312"/>
                <w:color w:val="auto"/>
                <w:spacing w:val="-17"/>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节能环保产品：根据财政部、发展改革委、生态环境部等部门发布的“节能产品政府采购品目清单”、“环境标志产品政府采购品目清单”，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7164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41120D5D">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21</w:t>
            </w:r>
          </w:p>
        </w:tc>
        <w:tc>
          <w:tcPr>
            <w:tcW w:w="1980" w:type="dxa"/>
            <w:vAlign w:val="center"/>
          </w:tcPr>
          <w:p w14:paraId="6C977356">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支持本国产品</w:t>
            </w:r>
          </w:p>
        </w:tc>
        <w:tc>
          <w:tcPr>
            <w:tcW w:w="7366" w:type="dxa"/>
            <w:tcBorders>
              <w:right w:val="single" w:color="000000" w:sz="10" w:space="0"/>
            </w:tcBorders>
          </w:tcPr>
          <w:p w14:paraId="0930A02F">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1、本国产品标准的适用范围：</w:t>
            </w:r>
          </w:p>
          <w:p w14:paraId="297DDAC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ascii="仿宋_GB2312" w:hAnsi="仿宋_GB2312" w:eastAsia="仿宋_GB2312" w:cs="仿宋_GB2312"/>
                <w:color w:val="auto"/>
                <w:spacing w:val="16"/>
                <w:sz w:val="24"/>
                <w:szCs w:val="24"/>
                <w:highlight w:val="no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C3FDF5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2、本采购项目：</w:t>
            </w:r>
          </w:p>
          <w:p w14:paraId="1968B40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fldChar w:fldCharType="begin"/>
            </w:r>
            <w:r>
              <w:rPr>
                <w:rFonts w:hint="eastAsia" w:ascii="仿宋_GB2312" w:hAnsi="仿宋_GB2312" w:eastAsia="仿宋_GB2312" w:cs="仿宋_GB2312"/>
                <w:color w:val="auto"/>
                <w:spacing w:val="16"/>
                <w:sz w:val="24"/>
                <w:szCs w:val="24"/>
                <w:highlight w:val="none"/>
                <w:lang w:eastAsia="zh-CN"/>
              </w:rPr>
              <w:instrText xml:space="preserve"> eq \o\ac(□,</w:instrText>
            </w:r>
            <w:r>
              <w:rPr>
                <w:rFonts w:hint="eastAsia" w:ascii="仿宋_GB2312" w:hAnsi="仿宋_GB2312" w:eastAsia="仿宋_GB2312" w:cs="仿宋_GB2312"/>
                <w:color w:val="auto"/>
                <w:spacing w:val="16"/>
                <w:position w:val="2"/>
                <w:sz w:val="16"/>
                <w:szCs w:val="24"/>
                <w:highlight w:val="none"/>
                <w:lang w:eastAsia="zh-CN"/>
              </w:rPr>
              <w:instrText xml:space="preserve">√</w:instrText>
            </w:r>
            <w:r>
              <w:rPr>
                <w:rFonts w:hint="eastAsia" w:ascii="仿宋_GB2312" w:hAnsi="仿宋_GB2312" w:eastAsia="仿宋_GB2312" w:cs="仿宋_GB2312"/>
                <w:color w:val="auto"/>
                <w:spacing w:val="16"/>
                <w:sz w:val="24"/>
                <w:szCs w:val="24"/>
                <w:highlight w:val="none"/>
                <w:lang w:eastAsia="zh-CN"/>
              </w:rPr>
              <w:instrText xml:space="preserve">)</w:instrText>
            </w:r>
            <w:r>
              <w:rPr>
                <w:rFonts w:hint="eastAsia" w:ascii="仿宋_GB2312" w:hAnsi="仿宋_GB2312" w:eastAsia="仿宋_GB2312" w:cs="仿宋_GB2312"/>
                <w:color w:val="auto"/>
                <w:spacing w:val="16"/>
                <w:sz w:val="24"/>
                <w:szCs w:val="24"/>
                <w:highlight w:val="none"/>
                <w:lang w:eastAsia="zh-CN"/>
              </w:rPr>
              <w:fldChar w:fldCharType="end"/>
            </w:r>
            <w:r>
              <w:rPr>
                <w:rFonts w:hint="eastAsia" w:ascii="仿宋_GB2312" w:hAnsi="仿宋_GB2312" w:eastAsia="仿宋_GB2312" w:cs="仿宋_GB2312"/>
                <w:color w:val="auto"/>
                <w:spacing w:val="16"/>
                <w:sz w:val="24"/>
                <w:szCs w:val="24"/>
                <w:highlight w:val="none"/>
                <w:lang w:eastAsia="zh-CN"/>
              </w:rPr>
              <w:t>不适用本国产品标准及相关政策。</w:t>
            </w:r>
          </w:p>
          <w:p w14:paraId="60D0123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fldChar w:fldCharType="begin"/>
            </w:r>
            <w:r>
              <w:rPr>
                <w:rFonts w:hint="eastAsia" w:ascii="仿宋_GB2312" w:hAnsi="仿宋_GB2312" w:eastAsia="仿宋_GB2312" w:cs="仿宋_GB2312"/>
                <w:color w:val="auto"/>
                <w:spacing w:val="16"/>
                <w:sz w:val="24"/>
                <w:szCs w:val="24"/>
                <w:highlight w:val="none"/>
                <w:lang w:eastAsia="zh-CN"/>
              </w:rPr>
              <w:instrText xml:space="preserve"> eq \o\ac(□)</w:instrText>
            </w:r>
            <w:r>
              <w:rPr>
                <w:rFonts w:hint="eastAsia" w:ascii="仿宋_GB2312" w:hAnsi="仿宋_GB2312" w:eastAsia="仿宋_GB2312" w:cs="仿宋_GB2312"/>
                <w:color w:val="auto"/>
                <w:spacing w:val="16"/>
                <w:sz w:val="24"/>
                <w:szCs w:val="24"/>
                <w:highlight w:val="none"/>
                <w:lang w:eastAsia="zh-CN"/>
              </w:rPr>
              <w:fldChar w:fldCharType="end"/>
            </w:r>
            <w:r>
              <w:rPr>
                <w:rFonts w:hint="eastAsia" w:ascii="仿宋_GB2312" w:hAnsi="仿宋_GB2312" w:eastAsia="仿宋_GB2312" w:cs="仿宋_GB2312"/>
                <w:color w:val="auto"/>
                <w:spacing w:val="16"/>
                <w:sz w:val="24"/>
                <w:szCs w:val="24"/>
                <w:highlight w:val="none"/>
                <w:lang w:eastAsia="zh-CN"/>
              </w:rPr>
              <w:t>适用本国产品标准及相关政策。</w:t>
            </w:r>
          </w:p>
          <w:p w14:paraId="2957AA5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3、本国产品标准：</w:t>
            </w:r>
          </w:p>
          <w:p w14:paraId="232F7838">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（1）产品在中国境内生产；</w:t>
            </w:r>
          </w:p>
          <w:p w14:paraId="6F23CC4A">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（2）产品在中国境内生产的组件成本占比达到规定比例：尚未施</w:t>
            </w:r>
          </w:p>
          <w:p w14:paraId="4B612BD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（3）产品关键组件符合相关要求：尚未实施</w:t>
            </w:r>
          </w:p>
          <w:p w14:paraId="69DAD135">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（4）产品关键工序符合相关要求：尚未实施</w:t>
            </w:r>
          </w:p>
          <w:p w14:paraId="0A98C7C2">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4、出具符合要求的《关于符合本国产品标准的声明函》（格式见第六章）或财政部会同有关部门规定的有关证明文件的，该产品视为本国产品。</w:t>
            </w:r>
          </w:p>
          <w:p w14:paraId="2234075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5、对本国产品的支持政策：</w:t>
            </w:r>
          </w:p>
          <w:p w14:paraId="410B42D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（1）政府采购活动中既有本国产品又有非本国产品参与竞争的，依法对本国产品给予价格评审优惠，对本国产品的报价给予20%的价格扣除，用扣除后的价格参与评审。</w:t>
            </w:r>
          </w:p>
          <w:p w14:paraId="68110E72">
            <w:pPr>
              <w:pStyle w:val="33"/>
              <w:spacing w:before="50" w:line="400" w:lineRule="exact"/>
              <w:ind w:left="121"/>
              <w:rPr>
                <w:color w:val="auto"/>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当采购项目或者采购包中含有多种产品时，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6446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27BCA2AC">
            <w:pPr>
              <w:spacing w:line="400" w:lineRule="exact"/>
              <w:jc w:val="center"/>
              <w:rPr>
                <w:rFonts w:ascii="仿宋_GB2312" w:hAnsi="仿宋_GB2312" w:eastAsia="仿宋_GB2312" w:cs="仿宋_GB2312"/>
                <w:color w:val="auto"/>
                <w:sz w:val="24"/>
                <w:szCs w:val="24"/>
                <w:highlight w:val="none"/>
                <w:lang w:eastAsia="zh-CN"/>
              </w:rPr>
            </w:pPr>
          </w:p>
          <w:p w14:paraId="0AB962F3">
            <w:pPr>
              <w:spacing w:line="400" w:lineRule="exact"/>
              <w:jc w:val="center"/>
              <w:rPr>
                <w:rFonts w:ascii="仿宋_GB2312" w:hAnsi="仿宋_GB2312" w:eastAsia="仿宋_GB2312" w:cs="仿宋_GB2312"/>
                <w:color w:val="auto"/>
                <w:sz w:val="24"/>
                <w:szCs w:val="24"/>
                <w:highlight w:val="none"/>
                <w:lang w:eastAsia="zh-CN"/>
              </w:rPr>
            </w:pPr>
          </w:p>
          <w:p w14:paraId="0515BC2E">
            <w:pPr>
              <w:pStyle w:val="33"/>
              <w:spacing w:before="75" w:line="400" w:lineRule="exact"/>
              <w:ind w:left="234"/>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22</w:t>
            </w:r>
          </w:p>
        </w:tc>
        <w:tc>
          <w:tcPr>
            <w:tcW w:w="1980" w:type="dxa"/>
            <w:vAlign w:val="center"/>
          </w:tcPr>
          <w:p w14:paraId="2DE0D128">
            <w:pPr>
              <w:spacing w:line="400" w:lineRule="exact"/>
              <w:jc w:val="center"/>
              <w:rPr>
                <w:rFonts w:ascii="仿宋_GB2312" w:hAnsi="仿宋_GB2312" w:eastAsia="仿宋_GB2312" w:cs="仿宋_GB2312"/>
                <w:color w:val="auto"/>
                <w:sz w:val="24"/>
                <w:szCs w:val="24"/>
                <w:highlight w:val="none"/>
              </w:rPr>
            </w:pPr>
          </w:p>
          <w:p w14:paraId="24C4B7F6">
            <w:pPr>
              <w:pStyle w:val="33"/>
              <w:spacing w:before="75" w:line="400" w:lineRule="exact"/>
              <w:ind w:firstLine="500" w:firstLineChars="200"/>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其他说明</w:t>
            </w:r>
          </w:p>
        </w:tc>
        <w:tc>
          <w:tcPr>
            <w:tcW w:w="7366" w:type="dxa"/>
            <w:tcBorders>
              <w:right w:val="single" w:color="000000" w:sz="10" w:space="0"/>
            </w:tcBorders>
          </w:tcPr>
          <w:p w14:paraId="29D21656">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（1）</w:t>
            </w:r>
            <w:r>
              <w:rPr>
                <w:rFonts w:hint="eastAsia" w:ascii="仿宋_GB2312" w:hAnsi="仿宋_GB2312" w:eastAsia="仿宋_GB2312" w:cs="仿宋_GB2312"/>
                <w:color w:val="auto"/>
                <w:spacing w:val="16"/>
                <w:sz w:val="24"/>
                <w:szCs w:val="24"/>
                <w:highlight w:val="none"/>
                <w:lang w:eastAsia="zh-CN"/>
              </w:rPr>
              <w:t>在评标过程直至签订合同前的任何时间，如经证实发现供应商提供</w:t>
            </w:r>
            <w:r>
              <w:rPr>
                <w:rFonts w:hint="eastAsia" w:ascii="仿宋_GB2312" w:hAnsi="仿宋_GB2312" w:eastAsia="仿宋_GB2312" w:cs="仿宋_GB2312"/>
                <w:color w:val="auto"/>
                <w:spacing w:val="15"/>
                <w:sz w:val="24"/>
                <w:szCs w:val="24"/>
                <w:highlight w:val="none"/>
                <w:lang w:eastAsia="zh-CN"/>
              </w:rPr>
              <w:t>虚假投标资料（包括技术支持资料）或信息骗取中标的，或者未按本</w:t>
            </w:r>
            <w:r>
              <w:rPr>
                <w:rFonts w:hint="eastAsia" w:ascii="仿宋_GB2312" w:hAnsi="仿宋_GB2312" w:eastAsia="仿宋_GB2312" w:cs="仿宋_GB2312"/>
                <w:color w:val="auto"/>
                <w:spacing w:val="23"/>
                <w:sz w:val="24"/>
                <w:szCs w:val="24"/>
                <w:highlight w:val="none"/>
                <w:lang w:eastAsia="zh-CN"/>
              </w:rPr>
              <w:t>采购文件要求提交履约保证金的（如有要求</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23"/>
                <w:sz w:val="24"/>
                <w:szCs w:val="24"/>
                <w:highlight w:val="none"/>
                <w:lang w:eastAsia="zh-CN"/>
              </w:rPr>
              <w:t>将取消其中标资</w:t>
            </w:r>
            <w:r>
              <w:rPr>
                <w:rFonts w:hint="eastAsia" w:ascii="仿宋_GB2312" w:hAnsi="仿宋_GB2312" w:eastAsia="仿宋_GB2312" w:cs="仿宋_GB2312"/>
                <w:color w:val="auto"/>
                <w:spacing w:val="7"/>
                <w:sz w:val="24"/>
                <w:szCs w:val="24"/>
                <w:highlight w:val="none"/>
                <w:lang w:eastAsia="zh-CN"/>
              </w:rPr>
              <w:t>格，没收其投标保证金，并报主管部门备案。</w:t>
            </w:r>
          </w:p>
          <w:p w14:paraId="7BAF9D08">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（2）合同价：按照中标单位的中标价作为执行合同的价格。</w:t>
            </w:r>
          </w:p>
          <w:p w14:paraId="1B283A2A">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rPr>
            </w:pPr>
            <w:r>
              <w:rPr>
                <w:rFonts w:hint="eastAsia" w:ascii="仿宋_GB2312" w:hAnsi="仿宋_GB2312" w:eastAsia="仿宋_GB2312" w:cs="仿宋_GB2312"/>
                <w:color w:val="auto"/>
                <w:spacing w:val="7"/>
                <w:sz w:val="24"/>
                <w:szCs w:val="24"/>
                <w:highlight w:val="none"/>
              </w:rPr>
              <w:t>（</w:t>
            </w:r>
            <w:r>
              <w:rPr>
                <w:rFonts w:hint="eastAsia" w:ascii="仿宋_GB2312" w:hAnsi="仿宋_GB2312" w:eastAsia="仿宋_GB2312" w:cs="仿宋_GB2312"/>
                <w:color w:val="auto"/>
                <w:spacing w:val="7"/>
                <w:sz w:val="24"/>
                <w:szCs w:val="24"/>
                <w:highlight w:val="none"/>
                <w:lang w:eastAsia="zh-CN"/>
              </w:rPr>
              <w:t>3</w:t>
            </w:r>
            <w:r>
              <w:rPr>
                <w:rFonts w:hint="eastAsia" w:ascii="仿宋_GB2312" w:hAnsi="仿宋_GB2312" w:eastAsia="仿宋_GB2312" w:cs="仿宋_GB2312"/>
                <w:color w:val="auto"/>
                <w:spacing w:val="7"/>
                <w:sz w:val="24"/>
                <w:szCs w:val="24"/>
                <w:highlight w:val="none"/>
              </w:rPr>
              <w:t>）本项目采用不见面开标，投标人的法定代表人或其委托代理人无需到达开标现场，仅需在任意地点通过政采云平台（https</w:t>
            </w:r>
            <w:r>
              <w:rPr>
                <w:rFonts w:hint="eastAsia" w:ascii="仿宋_GB2312" w:hAnsi="仿宋_GB2312" w:eastAsia="仿宋_GB2312" w:cs="仿宋_GB2312"/>
                <w:color w:val="auto"/>
                <w:spacing w:val="7"/>
                <w:sz w:val="24"/>
                <w:szCs w:val="24"/>
                <w:highlight w:val="none"/>
                <w:lang w:eastAsia="zh-CN"/>
              </w:rPr>
              <w:t>：</w:t>
            </w:r>
            <w:r>
              <w:rPr>
                <w:rFonts w:hint="eastAsia" w:ascii="仿宋_GB2312" w:hAnsi="仿宋_GB2312" w:eastAsia="仿宋_GB2312" w:cs="仿宋_GB2312"/>
                <w:color w:val="auto"/>
                <w:spacing w:val="7"/>
                <w:sz w:val="24"/>
                <w:szCs w:val="24"/>
                <w:highlight w:val="none"/>
              </w:rPr>
              <w:t>//www.zcygov.cn/），使用CA密钥完成远程解密、提疑澄清、开标唱标、结果公布等交互环节。</w:t>
            </w:r>
          </w:p>
          <w:p w14:paraId="714C1347">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4）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0E8C8993">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（5）确定中标人：采购人按评审报告中推荐的中标候选人排序确定中标人。</w:t>
            </w:r>
          </w:p>
          <w:p w14:paraId="79756386">
            <w:pPr>
              <w:pStyle w:val="33"/>
              <w:spacing w:before="60" w:line="400" w:lineRule="exact"/>
              <w:ind w:left="115" w:right="97" w:firstLine="2"/>
              <w:jc w:val="both"/>
              <w:rPr>
                <w:rFonts w:hint="eastAsia"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（6）</w:t>
            </w:r>
            <w:r>
              <w:rPr>
                <w:rFonts w:hint="eastAsia" w:ascii="仿宋_GB2312" w:hAnsi="仿宋_GB2312" w:eastAsia="仿宋_GB2312" w:cs="仿宋_GB2312"/>
                <w:b/>
                <w:bCs/>
                <w:color w:val="auto"/>
                <w:spacing w:val="9"/>
                <w:sz w:val="24"/>
                <w:szCs w:val="24"/>
                <w:highlight w:val="none"/>
                <w:lang w:eastAsia="zh-CN"/>
              </w:rPr>
              <w:t>本项目为多品类综合食材配送，采购品类多、月度采购量及金额占比动态浮动，本项目不设定核心产品，不适用相同品牌按一家投标人计算规则。</w:t>
            </w:r>
          </w:p>
          <w:p w14:paraId="2AAA2D84">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w:t>
            </w:r>
            <w:r>
              <w:rPr>
                <w:rFonts w:hint="eastAsia" w:ascii="仿宋_GB2312" w:hAnsi="仿宋_GB2312" w:eastAsia="仿宋_GB2312" w:cs="仿宋_GB2312"/>
                <w:b/>
                <w:bCs/>
                <w:color w:val="auto"/>
                <w:spacing w:val="7"/>
                <w:sz w:val="24"/>
                <w:szCs w:val="24"/>
                <w:highlight w:val="none"/>
                <w:lang w:val="en-US" w:eastAsia="zh-CN"/>
              </w:rPr>
              <w:t>7</w:t>
            </w:r>
            <w:r>
              <w:rPr>
                <w:rFonts w:hint="eastAsia" w:ascii="仿宋_GB2312" w:hAnsi="仿宋_GB2312" w:eastAsia="仿宋_GB2312" w:cs="仿宋_GB2312"/>
                <w:b/>
                <w:bCs/>
                <w:color w:val="auto"/>
                <w:spacing w:val="7"/>
                <w:sz w:val="24"/>
                <w:szCs w:val="24"/>
                <w:highlight w:val="none"/>
                <w:lang w:eastAsia="zh-CN"/>
              </w:rPr>
              <w:t>）新疆维吾尔自治区吐鲁番某单位2026年度大宗生活物资采购项目共</w:t>
            </w:r>
            <w:r>
              <w:rPr>
                <w:rFonts w:hint="eastAsia" w:ascii="仿宋_GB2312" w:hAnsi="仿宋_GB2312" w:eastAsia="仿宋_GB2312" w:cs="仿宋_GB2312"/>
                <w:b/>
                <w:bCs/>
                <w:color w:val="auto"/>
                <w:spacing w:val="7"/>
                <w:sz w:val="24"/>
                <w:szCs w:val="24"/>
                <w:highlight w:val="none"/>
                <w:lang w:val="en-US" w:eastAsia="zh-CN"/>
              </w:rPr>
              <w:t>七</w:t>
            </w:r>
            <w:r>
              <w:rPr>
                <w:rFonts w:hint="eastAsia" w:ascii="仿宋_GB2312" w:hAnsi="仿宋_GB2312" w:eastAsia="仿宋_GB2312" w:cs="仿宋_GB2312"/>
                <w:b/>
                <w:bCs/>
                <w:color w:val="auto"/>
                <w:spacing w:val="7"/>
                <w:sz w:val="24"/>
                <w:szCs w:val="24"/>
                <w:highlight w:val="none"/>
                <w:lang w:eastAsia="zh-CN"/>
              </w:rPr>
              <w:t>个标项，</w:t>
            </w:r>
            <w:r>
              <w:rPr>
                <w:rFonts w:hint="eastAsia" w:ascii="仿宋_GB2312" w:hAnsi="仿宋_GB2312" w:eastAsia="仿宋_GB2312" w:cs="仿宋_GB2312"/>
                <w:b/>
                <w:bCs/>
                <w:color w:val="auto"/>
                <w:spacing w:val="7"/>
                <w:sz w:val="24"/>
                <w:szCs w:val="24"/>
                <w:highlight w:val="none"/>
                <w:lang w:val="en-US" w:eastAsia="zh-CN"/>
              </w:rPr>
              <w:t>七</w:t>
            </w:r>
            <w:r>
              <w:rPr>
                <w:rFonts w:hint="eastAsia" w:ascii="仿宋_GB2312" w:hAnsi="仿宋_GB2312" w:eastAsia="仿宋_GB2312" w:cs="仿宋_GB2312"/>
                <w:b/>
                <w:bCs/>
                <w:color w:val="auto"/>
                <w:spacing w:val="7"/>
                <w:sz w:val="24"/>
                <w:szCs w:val="24"/>
                <w:highlight w:val="none"/>
                <w:lang w:eastAsia="zh-CN"/>
              </w:rPr>
              <w:t>个标项供应商可兼投但不兼中，即本项目</w:t>
            </w:r>
            <w:r>
              <w:rPr>
                <w:rFonts w:hint="eastAsia" w:ascii="仿宋_GB2312" w:hAnsi="仿宋_GB2312" w:eastAsia="仿宋_GB2312" w:cs="仿宋_GB2312"/>
                <w:b/>
                <w:bCs/>
                <w:color w:val="auto"/>
                <w:spacing w:val="7"/>
                <w:sz w:val="24"/>
                <w:szCs w:val="24"/>
                <w:highlight w:val="none"/>
                <w:lang w:val="en-US" w:eastAsia="zh-CN"/>
              </w:rPr>
              <w:t>七</w:t>
            </w:r>
            <w:r>
              <w:rPr>
                <w:rFonts w:hint="eastAsia" w:ascii="仿宋_GB2312" w:hAnsi="仿宋_GB2312" w:eastAsia="仿宋_GB2312" w:cs="仿宋_GB2312"/>
                <w:b/>
                <w:bCs/>
                <w:color w:val="auto"/>
                <w:spacing w:val="7"/>
                <w:sz w:val="24"/>
                <w:szCs w:val="24"/>
                <w:highlight w:val="none"/>
                <w:lang w:eastAsia="zh-CN"/>
              </w:rPr>
              <w:t>个标项供应商均可参与投标，但同一供应商只允许中标一个标项，已确定为第一中标候选人的供应商，‌其投标文件仍参与后面标项的评审，‌但不作为中标候选人进行排序。</w:t>
            </w:r>
          </w:p>
          <w:p w14:paraId="1100CF37">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新疆维吾尔自治区吐鲁番某单位2026年度大宗生活物资采购项目七个标项分别为：</w:t>
            </w:r>
          </w:p>
          <w:p w14:paraId="2A08E4CD">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标项一：新疆维吾尔自治区吐鲁番某单位2026年度大宗生活物资采购项目-第一包（面粉大米清油类）（项目编号：JTZB-2026-ZC028）；</w:t>
            </w:r>
          </w:p>
          <w:p w14:paraId="2428AE6B">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标项二：新疆维吾尔自治区吐鲁番某单位2026年度大宗生活物资采购项目-第二包（禽肉水产类）（项目编号：XJHY-2026-049（</w:t>
            </w:r>
            <w:r>
              <w:rPr>
                <w:rFonts w:hint="eastAsia" w:ascii="仿宋_GB2312" w:hAnsi="仿宋_GB2312" w:eastAsia="仿宋_GB2312" w:cs="仿宋_GB2312"/>
                <w:b/>
                <w:bCs/>
                <w:color w:val="auto"/>
                <w:spacing w:val="7"/>
                <w:sz w:val="24"/>
                <w:szCs w:val="24"/>
                <w:highlight w:val="none"/>
                <w:lang w:val="en-US" w:eastAsia="zh-CN"/>
              </w:rPr>
              <w:t>01</w:t>
            </w:r>
            <w:r>
              <w:rPr>
                <w:rFonts w:hint="eastAsia" w:ascii="仿宋_GB2312" w:hAnsi="仿宋_GB2312" w:eastAsia="仿宋_GB2312" w:cs="仿宋_GB2312"/>
                <w:b/>
                <w:bCs/>
                <w:color w:val="auto"/>
                <w:spacing w:val="7"/>
                <w:sz w:val="24"/>
                <w:szCs w:val="24"/>
                <w:highlight w:val="none"/>
                <w:lang w:eastAsia="zh-CN"/>
              </w:rPr>
              <w:t>））；</w:t>
            </w:r>
          </w:p>
          <w:p w14:paraId="43170E84">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标项三:新疆维吾尔自治区吐鲁番某单位2026年度大宗生活物资采购项目-第三包（牛羊肉类）（项目编号：JTZB-2026-ZC029）；</w:t>
            </w:r>
          </w:p>
          <w:p w14:paraId="0914F07F">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标项四：新疆维吾尔自治区吐鲁番某单位2026年度大宗生活物资采购项目-第四包（蔬菜类）（项目编号：SJX-2026-514）；</w:t>
            </w:r>
          </w:p>
          <w:p w14:paraId="354A8E38">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标项五：新疆维吾尔自治区吐鲁番某单位2026年度大宗生活物资采购项目-第五包（副食品类含豆类榨菜）（项目编号：XJHY-2026-049（</w:t>
            </w:r>
            <w:r>
              <w:rPr>
                <w:rFonts w:hint="eastAsia" w:ascii="仿宋_GB2312" w:hAnsi="仿宋_GB2312" w:eastAsia="仿宋_GB2312" w:cs="仿宋_GB2312"/>
                <w:b/>
                <w:bCs/>
                <w:color w:val="auto"/>
                <w:spacing w:val="7"/>
                <w:sz w:val="24"/>
                <w:szCs w:val="24"/>
                <w:highlight w:val="none"/>
                <w:lang w:val="en-US" w:eastAsia="zh-CN"/>
              </w:rPr>
              <w:t>02</w:t>
            </w:r>
            <w:r>
              <w:rPr>
                <w:rFonts w:hint="eastAsia" w:ascii="仿宋_GB2312" w:hAnsi="仿宋_GB2312" w:eastAsia="仿宋_GB2312" w:cs="仿宋_GB2312"/>
                <w:b/>
                <w:bCs/>
                <w:color w:val="auto"/>
                <w:spacing w:val="7"/>
                <w:sz w:val="24"/>
                <w:szCs w:val="24"/>
                <w:highlight w:val="none"/>
                <w:lang w:eastAsia="zh-CN"/>
              </w:rPr>
              <w:t>））；</w:t>
            </w:r>
          </w:p>
          <w:p w14:paraId="241EA4C6">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标项六：新疆维吾尔自治区吐鲁番某单位2026年度大宗生活物资采购项目-第六包（牛奶酸奶、鸡蛋类）（项目编号：SJX-2026-515）；</w:t>
            </w:r>
          </w:p>
          <w:p w14:paraId="02EB0494">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标项七：新疆维吾尔自治区吐鲁番某单位2026年度大宗生活物资采购项目-第七包（水果类）（项目编号：XJHY-2026-049（</w:t>
            </w:r>
            <w:r>
              <w:rPr>
                <w:rFonts w:hint="eastAsia" w:ascii="仿宋_GB2312" w:hAnsi="仿宋_GB2312" w:eastAsia="仿宋_GB2312" w:cs="仿宋_GB2312"/>
                <w:b/>
                <w:bCs/>
                <w:color w:val="auto"/>
                <w:spacing w:val="7"/>
                <w:sz w:val="24"/>
                <w:szCs w:val="24"/>
                <w:highlight w:val="none"/>
                <w:lang w:val="en-US" w:eastAsia="zh-CN"/>
              </w:rPr>
              <w:t>03</w:t>
            </w:r>
            <w:r>
              <w:rPr>
                <w:rFonts w:hint="eastAsia" w:ascii="仿宋_GB2312" w:hAnsi="仿宋_GB2312" w:eastAsia="仿宋_GB2312" w:cs="仿宋_GB2312"/>
                <w:b/>
                <w:bCs/>
                <w:color w:val="auto"/>
                <w:spacing w:val="7"/>
                <w:sz w:val="24"/>
                <w:szCs w:val="24"/>
                <w:highlight w:val="none"/>
                <w:lang w:eastAsia="zh-CN"/>
              </w:rPr>
              <w:t>））；</w:t>
            </w:r>
          </w:p>
          <w:p w14:paraId="3A0D8416">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新疆维吾尔自治区吐鲁番某单位2026年度大宗生活物资采购项目七个标项的评审先后顺序为：标项一，标项三，标项四，标项六，标项二，标项五，标项七；</w:t>
            </w:r>
          </w:p>
          <w:p w14:paraId="21E726B9">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如供应商标项一中标，则不得中标标项三，标项四，标项六，标项二，标项五，标项七，以此类推。</w:t>
            </w:r>
          </w:p>
          <w:p w14:paraId="04D3162C">
            <w:pPr>
              <w:pStyle w:val="33"/>
              <w:spacing w:before="60" w:line="400" w:lineRule="exact"/>
              <w:ind w:left="115" w:right="97" w:firstLine="2"/>
              <w:jc w:val="both"/>
              <w:rPr>
                <w:rFonts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w:t>
            </w:r>
            <w:r>
              <w:rPr>
                <w:rFonts w:hint="eastAsia" w:ascii="仿宋_GB2312" w:hAnsi="仿宋_GB2312" w:eastAsia="仿宋_GB2312" w:cs="仿宋_GB2312"/>
                <w:b/>
                <w:bCs/>
                <w:color w:val="auto"/>
                <w:spacing w:val="7"/>
                <w:sz w:val="24"/>
                <w:szCs w:val="24"/>
                <w:highlight w:val="none"/>
                <w:lang w:val="en-US" w:eastAsia="zh-CN"/>
              </w:rPr>
              <w:t>8</w:t>
            </w:r>
            <w:r>
              <w:rPr>
                <w:rFonts w:hint="eastAsia" w:ascii="仿宋_GB2312" w:hAnsi="仿宋_GB2312" w:eastAsia="仿宋_GB2312" w:cs="仿宋_GB2312"/>
                <w:b/>
                <w:bCs/>
                <w:color w:val="auto"/>
                <w:spacing w:val="7"/>
                <w:sz w:val="24"/>
                <w:szCs w:val="24"/>
                <w:highlight w:val="none"/>
                <w:lang w:eastAsia="zh-CN"/>
              </w:rPr>
              <w:t>）报价方式：折扣报价。</w:t>
            </w:r>
          </w:p>
          <w:p w14:paraId="310636BB">
            <w:pPr>
              <w:pStyle w:val="33"/>
              <w:spacing w:before="60" w:line="400" w:lineRule="exact"/>
              <w:ind w:left="115" w:right="97" w:firstLine="2"/>
              <w:jc w:val="both"/>
              <w:rPr>
                <w:rFonts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折扣不得高于100%（不得在折扣前填写“±”）、（投标报价须为正整数）。投标产品须统一填报一个唯一折扣。如投标报价“九五折”，投标报价一览表中填写为“95%”）</w:t>
            </w:r>
          </w:p>
          <w:p w14:paraId="566E65DF">
            <w:pPr>
              <w:pStyle w:val="33"/>
              <w:spacing w:before="60" w:line="400" w:lineRule="exact"/>
              <w:ind w:left="115" w:right="97" w:firstLine="2"/>
              <w:jc w:val="both"/>
              <w:rPr>
                <w:rFonts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供应商结算单价为：最高限价×折扣</w:t>
            </w:r>
          </w:p>
        </w:tc>
      </w:tr>
      <w:tr w14:paraId="6880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106C8837">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23</w:t>
            </w:r>
          </w:p>
        </w:tc>
        <w:tc>
          <w:tcPr>
            <w:tcW w:w="1980" w:type="dxa"/>
            <w:vAlign w:val="center"/>
          </w:tcPr>
          <w:p w14:paraId="2EB26FC9">
            <w:pPr>
              <w:jc w:val="center"/>
              <w:rPr>
                <w:rFonts w:ascii="仿宋" w:hAnsi="仿宋" w:eastAsia="仿宋" w:cs="仿宋"/>
                <w:color w:val="auto"/>
                <w:sz w:val="24"/>
                <w:szCs w:val="24"/>
                <w:highlight w:val="none"/>
              </w:rPr>
            </w:pPr>
          </w:p>
          <w:p w14:paraId="0E7748A4">
            <w:pPr>
              <w:jc w:val="center"/>
              <w:rPr>
                <w:rFonts w:ascii="仿宋" w:hAnsi="仿宋" w:eastAsia="仿宋" w:cs="仿宋"/>
                <w:color w:val="auto"/>
                <w:sz w:val="24"/>
                <w:szCs w:val="24"/>
                <w:highlight w:val="none"/>
              </w:rPr>
            </w:pPr>
          </w:p>
          <w:p w14:paraId="112A6E2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投标文件编制注意1</w:t>
            </w:r>
          </w:p>
          <w:p w14:paraId="23D0BF50">
            <w:pPr>
              <w:ind w:left="420" w:leftChars="200"/>
              <w:jc w:val="center"/>
              <w:rPr>
                <w:rFonts w:ascii="仿宋" w:hAnsi="仿宋" w:eastAsia="仿宋" w:cs="仿宋"/>
                <w:color w:val="auto"/>
                <w:sz w:val="24"/>
                <w:szCs w:val="24"/>
                <w:highlight w:val="none"/>
              </w:rPr>
            </w:pPr>
          </w:p>
        </w:tc>
        <w:tc>
          <w:tcPr>
            <w:tcW w:w="7366" w:type="dxa"/>
            <w:tcBorders>
              <w:right w:val="single" w:color="000000" w:sz="10" w:space="0"/>
            </w:tcBorders>
            <w:vAlign w:val="center"/>
          </w:tcPr>
          <w:p w14:paraId="1A481E2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1、在采购文件领取截止时间前，使用办理的CA数字证书，通过政采云平台（https：//www.zcygov.cn/）窗口下载所投项目的采购文件。</w:t>
            </w:r>
          </w:p>
          <w:p w14:paraId="5BBA947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供应商需在新疆政府采购网（http：//www.ccgp——xinjiang.gov.cn/）下载专区自行下载政采云电子投标客户端。在电子投标客户端内制作对应的投标文件。投标文件制作完成后在投标截止时间前上传至政采云平台对应项目即可。</w:t>
            </w:r>
          </w:p>
          <w:p w14:paraId="1FDD82B4">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3、采购文件规定：不接受投标文件中出现的可选择或可调整的投标方案和报价，任何有选择的或可调整的投标方案和报价将被视为不响应采购文件，其投标将被拒绝。</w:t>
            </w:r>
          </w:p>
          <w:p w14:paraId="0FEBEA1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特别声明：供应商在制作投标文件时，不得弄虚作假，不得使用各种手段伪造、变造本不属于供应商本身的响应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6A42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Pr>
          <w:p w14:paraId="1AF4807B">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24</w:t>
            </w:r>
          </w:p>
        </w:tc>
        <w:tc>
          <w:tcPr>
            <w:tcW w:w="1980" w:type="dxa"/>
            <w:vAlign w:val="center"/>
          </w:tcPr>
          <w:p w14:paraId="30F1A6A8">
            <w:pPr>
              <w:jc w:val="center"/>
              <w:rPr>
                <w:rFonts w:ascii="仿宋" w:hAnsi="仿宋" w:eastAsia="仿宋" w:cs="仿宋"/>
                <w:color w:val="auto"/>
                <w:sz w:val="24"/>
                <w:szCs w:val="24"/>
                <w:highlight w:val="none"/>
              </w:rPr>
            </w:pPr>
          </w:p>
          <w:p w14:paraId="419348CF">
            <w:pPr>
              <w:jc w:val="center"/>
              <w:rPr>
                <w:rFonts w:ascii="仿宋" w:hAnsi="仿宋" w:eastAsia="仿宋" w:cs="仿宋"/>
                <w:color w:val="auto"/>
                <w:sz w:val="24"/>
                <w:szCs w:val="24"/>
                <w:highlight w:val="none"/>
              </w:rPr>
            </w:pPr>
          </w:p>
          <w:p w14:paraId="4A5CF58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投标文件编制注意2</w:t>
            </w:r>
          </w:p>
          <w:p w14:paraId="6B433A91">
            <w:pPr>
              <w:ind w:left="420" w:leftChars="200"/>
              <w:jc w:val="center"/>
              <w:rPr>
                <w:rFonts w:ascii="仿宋" w:hAnsi="仿宋" w:eastAsia="仿宋" w:cs="仿宋"/>
                <w:color w:val="auto"/>
                <w:sz w:val="24"/>
                <w:szCs w:val="24"/>
                <w:highlight w:val="none"/>
              </w:rPr>
            </w:pPr>
          </w:p>
        </w:tc>
        <w:tc>
          <w:tcPr>
            <w:tcW w:w="7366" w:type="dxa"/>
            <w:vAlign w:val="center"/>
          </w:tcPr>
          <w:p w14:paraId="0D2AAB5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1、各供应商必须针对每包项目分别制作投标文件并报价，每包的投标文件均必须满足采购文件份数与制作等要求，否则将导致投标被拒绝。</w:t>
            </w:r>
          </w:p>
          <w:p w14:paraId="38FADF6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2、当出现下列情形之一，投标文件将予以退回：</w:t>
            </w:r>
          </w:p>
          <w:p w14:paraId="0B5A1764">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（1）供应商在投标文件递交截止时间前未成功上传加密电子投标文件；</w:t>
            </w:r>
          </w:p>
          <w:p w14:paraId="1A40130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（2）供应商使用解密的CA数字证书与上传加密投标文件使用的CA数字证书不一致；</w:t>
            </w:r>
          </w:p>
          <w:p w14:paraId="27278449">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（3）供应商解密时CA数字证书已过期，导致无法正常解密；</w:t>
            </w:r>
          </w:p>
          <w:p w14:paraId="320A9E9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（4）加密投标文件时，CA数字证书未过期，解密时，显示CA数字证书已过期，导致无法正常解密；</w:t>
            </w:r>
          </w:p>
          <w:p w14:paraId="5C72D7E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（5）未在规定的投标文件解密时间内进行解密的；</w:t>
            </w:r>
          </w:p>
          <w:p w14:paraId="3CD28D78">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（6）供应商个人原因导致无法解密的其他情形。 </w:t>
            </w:r>
          </w:p>
          <w:p w14:paraId="7489FD6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3、供应商应在投标截止时间前将投标时使用的计算机安装相关的浏览器（推荐使用谷歌浏览器）、CA驱动等软件，方便投标文件解密时能够正常解密。</w:t>
            </w:r>
          </w:p>
          <w:p w14:paraId="6CCC075A">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4、供应商需在投标文件递交截止时间前自行测试开标时使用的计算机，如因供应商自身原因导致投标文件解密失败的，由供应商自行承担相应后果。</w:t>
            </w:r>
          </w:p>
        </w:tc>
      </w:tr>
      <w:tr w14:paraId="50DD6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Pr>
          <w:p w14:paraId="24FAFDB0">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25</w:t>
            </w:r>
          </w:p>
        </w:tc>
        <w:tc>
          <w:tcPr>
            <w:tcW w:w="1980" w:type="dxa"/>
            <w:vAlign w:val="center"/>
          </w:tcPr>
          <w:p w14:paraId="4BE31151">
            <w:pPr>
              <w:jc w:val="center"/>
              <w:rPr>
                <w:rFonts w:ascii="仿宋" w:hAnsi="仿宋" w:eastAsia="仿宋" w:cs="仿宋"/>
                <w:color w:val="auto"/>
                <w:sz w:val="24"/>
                <w:szCs w:val="24"/>
                <w:highlight w:val="none"/>
              </w:rPr>
            </w:pPr>
          </w:p>
          <w:p w14:paraId="611C3C19">
            <w:pPr>
              <w:jc w:val="center"/>
              <w:rPr>
                <w:rFonts w:ascii="仿宋" w:hAnsi="仿宋" w:eastAsia="仿宋" w:cs="仿宋"/>
                <w:color w:val="auto"/>
                <w:sz w:val="24"/>
                <w:szCs w:val="24"/>
                <w:highlight w:val="none"/>
              </w:rPr>
            </w:pPr>
          </w:p>
          <w:p w14:paraId="133A659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投标文件编制注意3</w:t>
            </w:r>
          </w:p>
          <w:p w14:paraId="4258623E">
            <w:pPr>
              <w:ind w:left="420" w:leftChars="200"/>
              <w:jc w:val="center"/>
              <w:rPr>
                <w:rFonts w:ascii="仿宋" w:hAnsi="仿宋" w:eastAsia="仿宋" w:cs="仿宋"/>
                <w:color w:val="auto"/>
                <w:sz w:val="24"/>
                <w:szCs w:val="24"/>
                <w:highlight w:val="none"/>
              </w:rPr>
            </w:pPr>
          </w:p>
        </w:tc>
        <w:tc>
          <w:tcPr>
            <w:tcW w:w="7366" w:type="dxa"/>
            <w:vAlign w:val="center"/>
          </w:tcPr>
          <w:p w14:paraId="53BDBF3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1、无论何种原因，在投标文件中未提供相应材料的，将视同其未提供。</w:t>
            </w:r>
          </w:p>
          <w:p w14:paraId="315C6609">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2、各供应商应在开标前应确保成为新疆政府采购网正式注册入库供应商，并完成CA数字证书（符合国密标准）申领。如需咨询，请联系新疆CA服务热线0991—2819290；</w:t>
            </w:r>
          </w:p>
          <w:p w14:paraId="40C339B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p w14:paraId="1C890DA6">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4、供应商首次参加政府采购活动的，可前往新疆政府采购网（ http：//www.ccgp——xinjiang.gov.cn/）下载操作指南。（步骤：进入新疆政府采购网（</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rFonts w:hint="eastAsia" w:ascii="仿宋_GB2312" w:hAnsi="仿宋_GB2312" w:eastAsia="仿宋_GB2312" w:cs="仿宋_GB2312"/>
                <w:color w:val="auto"/>
                <w:spacing w:val="16"/>
                <w:sz w:val="24"/>
                <w:szCs w:val="24"/>
                <w:highlight w:val="none"/>
                <w:lang w:eastAsia="zh-CN"/>
              </w:rPr>
              <w:t>http：//www.ccgp——xinjiang.gov.cn/</w:t>
            </w:r>
            <w:r>
              <w:rPr>
                <w:rFonts w:hint="eastAsia" w:ascii="仿宋_GB2312" w:hAnsi="仿宋_GB2312" w:eastAsia="仿宋_GB2312" w:cs="仿宋_GB2312"/>
                <w:color w:val="auto"/>
                <w:spacing w:val="16"/>
                <w:sz w:val="24"/>
                <w:szCs w:val="24"/>
                <w:highlight w:val="none"/>
                <w:lang w:eastAsia="zh-CN"/>
              </w:rPr>
              <w:fldChar w:fldCharType="end"/>
            </w:r>
            <w:r>
              <w:rPr>
                <w:rFonts w:hint="eastAsia" w:ascii="仿宋_GB2312" w:hAnsi="仿宋_GB2312" w:eastAsia="仿宋_GB2312" w:cs="仿宋_GB2312"/>
                <w:color w:val="auto"/>
                <w:spacing w:val="16"/>
                <w:sz w:val="24"/>
                <w:szCs w:val="24"/>
                <w:highlight w:val="none"/>
                <w:lang w:eastAsia="zh-CN"/>
              </w:rPr>
              <w:t>）点击主页面的办事指南—选择并下载供应商政采云平台操作指南。）</w:t>
            </w:r>
          </w:p>
        </w:tc>
      </w:tr>
      <w:tr w14:paraId="5B115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Pr>
          <w:p w14:paraId="586C5D12">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26</w:t>
            </w:r>
          </w:p>
        </w:tc>
        <w:tc>
          <w:tcPr>
            <w:tcW w:w="1980" w:type="dxa"/>
            <w:vAlign w:val="center"/>
          </w:tcPr>
          <w:p w14:paraId="503B710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w:t>
            </w:r>
          </w:p>
        </w:tc>
        <w:tc>
          <w:tcPr>
            <w:tcW w:w="7366" w:type="dxa"/>
            <w:vAlign w:val="center"/>
          </w:tcPr>
          <w:p w14:paraId="136BEC3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1.供应商认为采购文件、采购过程、中标或者中标结果使自己的权益受到损害的，可以在知道或者应知其权益受到损害之日起 7个工作日内，以书面形式向采购人、采购代理机构提出质疑。 </w:t>
            </w:r>
          </w:p>
          <w:p w14:paraId="2E50D4B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2.供应商应在法定质疑期内一次性提出针对同一采购程序环节的质疑，本项目不接受供应商多次/反复质疑。 </w:t>
            </w:r>
          </w:p>
          <w:p w14:paraId="6DFC495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3.质疑供应商应按照财政部制定的《政府采购质疑函范本》格式10（可从财政部官方网站下载）和《政府采购质疑和投诉办法》（财政部令第94号）的要求，在法定质疑期内以书面形式提出质疑。 </w:t>
            </w:r>
          </w:p>
          <w:p w14:paraId="0295790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4.超出法定质疑期、重复或分次提出的、内容或形式不符合《政府采购质疑和投诉办法》规定的质疑将被拒绝。</w:t>
            </w:r>
          </w:p>
          <w:p w14:paraId="3B51AC48">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中标结果提出质疑的，为中标或者中标结果公告期限届满之日。</w:t>
            </w:r>
          </w:p>
          <w:p w14:paraId="474B27B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6.采购代理机构质疑函接收信息</w:t>
            </w:r>
          </w:p>
          <w:p w14:paraId="293F74F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接收部门：新疆华域建设工程项目管理咨询有限公司　</w:t>
            </w:r>
          </w:p>
          <w:p w14:paraId="0278022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联系人：梁雪燕</w:t>
            </w:r>
            <w:r>
              <w:rPr>
                <w:rFonts w:hint="eastAsia" w:ascii="仿宋_GB2312" w:hAnsi="仿宋_GB2312" w:eastAsia="仿宋_GB2312" w:cs="仿宋_GB2312"/>
                <w:color w:val="auto"/>
                <w:spacing w:val="16"/>
                <w:sz w:val="24"/>
                <w:szCs w:val="24"/>
                <w:highlight w:val="none"/>
                <w:lang w:eastAsia="zh-CN"/>
              </w:rPr>
              <w:br w:type="textWrapping"/>
            </w:r>
            <w:r>
              <w:rPr>
                <w:rFonts w:hint="eastAsia" w:ascii="仿宋_GB2312" w:hAnsi="仿宋_GB2312" w:eastAsia="仿宋_GB2312" w:cs="仿宋_GB2312"/>
                <w:color w:val="auto"/>
                <w:spacing w:val="16"/>
                <w:sz w:val="24"/>
                <w:szCs w:val="24"/>
                <w:highlight w:val="none"/>
                <w:lang w:eastAsia="zh-CN"/>
              </w:rPr>
              <w:t>联系电话：17690710616</w:t>
            </w:r>
          </w:p>
          <w:p w14:paraId="50F654E6">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地址：乌鲁木齐市水磨沟区五星北路194号新地园大厦1401室 </w:t>
            </w:r>
          </w:p>
          <w:p w14:paraId="1523DC24">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提交方式：提交盖章的纸质版原件，在法定质疑期内一次性提出针对同一采购程序环节的质疑。逾期未提出的，视同理解和接受。</w:t>
            </w:r>
          </w:p>
          <w:p w14:paraId="1BC120BB">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7.澄清、修改文件发出后（若有），供应商必须使用最新的澄清文件制作电子投标文件。</w:t>
            </w:r>
          </w:p>
        </w:tc>
      </w:tr>
      <w:tr w14:paraId="01A2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10068" w:type="dxa"/>
            <w:gridSpan w:val="3"/>
          </w:tcPr>
          <w:p w14:paraId="441B7D41">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1、采购文件中部分加粗、标★、加下划线、废标、无效标、投标被拒绝字样的条款，为招标的重要条款，着重提醒各投标人注意，并认真查看采购文件中的每一个条款及要求，因误读采购文件而造成的后果，招标人概不负责。</w:t>
            </w:r>
          </w:p>
          <w:p w14:paraId="6DA10E9C">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2、投标文件中有弄虚作假的内容，其投标文件作废。（如假证书、假业绩、隐瞒不良行为记录、夸大荣誉、使用非本单位在职员工的相关证件及不符合采购文件规定的条款等）；在签订合同之前，投标人如发现投标文件有弄虚作假内容，招标人可拒绝与其签订合同。并将其列入政府采购黑名单库。</w:t>
            </w:r>
          </w:p>
          <w:p w14:paraId="56BA7B5E">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3、★投标人应保证在本项目使用的任何产品和服务（包括部分使用）时，不会产生因第三方提出侵犯其专利权、商标权或其他知识产权而引起的法律和经济纠纷。如因专利权、商标权或其他知识产权而引起法律和经济纠纷，投标人承担所有相关责任的同时不得耽误本项目实施。</w:t>
            </w:r>
          </w:p>
          <w:p w14:paraId="4B1BB95D">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4、中标后其他要求：中标供应商须在开标后提供纸质版投标文件2份，提交至新疆华域建设工程项目管理咨询有限公司（新疆乌鲁木齐市水磨沟区五星北路194号新地园大厦1401），联系电话：17690710616；纸质版投标文件与政采云平台上传版保持一致，由此产生的一切风险与后果由各潜在投标供应商承担。装订应采取A4纸牢固胶装装订成册，必须编写目录页码（页码应连续）。</w:t>
            </w:r>
          </w:p>
        </w:tc>
      </w:tr>
    </w:tbl>
    <w:p w14:paraId="6379C408">
      <w:pPr>
        <w:rPr>
          <w:rFonts w:ascii="仿宋_GB2312" w:hAnsi="仿宋_GB2312" w:eastAsia="仿宋_GB2312" w:cs="仿宋_GB2312"/>
          <w:color w:val="auto"/>
          <w:highlight w:val="none"/>
          <w:lang w:eastAsia="zh-CN"/>
        </w:rPr>
      </w:pPr>
    </w:p>
    <w:p w14:paraId="516245EA">
      <w:pPr>
        <w:rPr>
          <w:rFonts w:ascii="仿宋_GB2312" w:hAnsi="仿宋_GB2312" w:eastAsia="仿宋_GB2312" w:cs="仿宋_GB2312"/>
          <w:color w:val="auto"/>
          <w:highlight w:val="none"/>
          <w:lang w:eastAsia="zh-CN"/>
        </w:rPr>
        <w:sectPr>
          <w:footerReference r:id="rId5" w:type="default"/>
          <w:pgSz w:w="11906" w:h="16838"/>
          <w:pgMar w:top="1134" w:right="1134" w:bottom="1134" w:left="1134" w:header="861" w:footer="1237" w:gutter="0"/>
          <w:pgNumType w:fmt="numberInDash" w:start="1"/>
          <w:cols w:space="720" w:num="1"/>
        </w:sectPr>
      </w:pPr>
      <w:r>
        <w:rPr>
          <w:rFonts w:hint="eastAsia" w:ascii="仿宋" w:hAnsi="仿宋" w:eastAsia="仿宋" w:cs="仿宋"/>
          <w:b/>
          <w:bCs/>
          <w:color w:val="auto"/>
          <w:highlight w:val="none"/>
          <w:lang w:eastAsia="zh-CN"/>
        </w:rPr>
        <w:t>注：如后文中相关格式要求表述与文件前附表，表述不一致的，以前附表为准（除资格审查、符合性审查及采购人需求外）。</w:t>
      </w:r>
    </w:p>
    <w:p w14:paraId="42211399">
      <w:pPr>
        <w:pStyle w:val="10"/>
        <w:spacing w:before="317" w:line="223" w:lineRule="auto"/>
        <w:ind w:left="39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7"/>
          <w:sz w:val="28"/>
          <w:szCs w:val="28"/>
          <w:highlight w:val="none"/>
          <w:lang w:eastAsia="zh-CN"/>
        </w:rPr>
        <w:t>二、投标须知</w:t>
      </w:r>
    </w:p>
    <w:p w14:paraId="09F9BC83">
      <w:pPr>
        <w:pStyle w:val="10"/>
        <w:spacing w:before="135" w:line="224" w:lineRule="auto"/>
        <w:ind w:left="579"/>
        <w:outlineLvl w:val="1"/>
        <w:rPr>
          <w:rFonts w:ascii="仿宋_GB2312" w:hAnsi="仿宋_GB2312" w:eastAsia="仿宋_GB2312" w:cs="仿宋_GB2312"/>
          <w:color w:val="auto"/>
          <w:sz w:val="28"/>
          <w:szCs w:val="28"/>
          <w:highlight w:val="none"/>
          <w:lang w:eastAsia="zh-CN"/>
        </w:rPr>
      </w:pPr>
      <w:bookmarkStart w:id="11" w:name="_Toc17282"/>
      <w:bookmarkStart w:id="12" w:name="_Toc8412"/>
      <w:r>
        <w:rPr>
          <w:rFonts w:hint="eastAsia" w:ascii="仿宋_GB2312" w:hAnsi="仿宋_GB2312" w:eastAsia="仿宋_GB2312" w:cs="仿宋_GB2312"/>
          <w:color w:val="auto"/>
          <w:spacing w:val="-9"/>
          <w:sz w:val="28"/>
          <w:szCs w:val="28"/>
          <w:highlight w:val="none"/>
          <w:lang w:eastAsia="zh-CN"/>
        </w:rPr>
        <w:t>（一）总则</w:t>
      </w:r>
      <w:bookmarkEnd w:id="11"/>
      <w:bookmarkEnd w:id="12"/>
    </w:p>
    <w:p w14:paraId="4CC19E98">
      <w:pPr>
        <w:pStyle w:val="10"/>
        <w:spacing w:before="133" w:line="224" w:lineRule="auto"/>
        <w:ind w:left="593"/>
        <w:outlineLvl w:val="2"/>
        <w:rPr>
          <w:rFonts w:ascii="仿宋_GB2312" w:hAnsi="仿宋_GB2312" w:eastAsia="仿宋_GB2312" w:cs="仿宋_GB2312"/>
          <w:color w:val="auto"/>
          <w:sz w:val="28"/>
          <w:szCs w:val="28"/>
          <w:highlight w:val="none"/>
          <w:lang w:eastAsia="zh-CN"/>
        </w:rPr>
      </w:pPr>
      <w:bookmarkStart w:id="13" w:name="_Toc9594"/>
      <w:bookmarkStart w:id="14" w:name="_Toc19111"/>
      <w:r>
        <w:rPr>
          <w:rFonts w:hint="eastAsia" w:ascii="仿宋_GB2312" w:hAnsi="仿宋_GB2312" w:eastAsia="仿宋_GB2312" w:cs="仿宋_GB2312"/>
          <w:b/>
          <w:bCs/>
          <w:color w:val="auto"/>
          <w:spacing w:val="-11"/>
          <w:sz w:val="28"/>
          <w:szCs w:val="28"/>
          <w:highlight w:val="none"/>
          <w:lang w:eastAsia="zh-CN"/>
        </w:rPr>
        <w:t>1.</w:t>
      </w:r>
      <w:r>
        <w:rPr>
          <w:rFonts w:hint="eastAsia" w:ascii="仿宋_GB2312" w:hAnsi="仿宋_GB2312" w:eastAsia="仿宋_GB2312" w:cs="仿宋_GB2312"/>
          <w:color w:val="auto"/>
          <w:spacing w:val="27"/>
          <w:sz w:val="28"/>
          <w:szCs w:val="28"/>
          <w:highlight w:val="none"/>
          <w:lang w:eastAsia="zh-CN"/>
        </w:rPr>
        <w:t xml:space="preserve"> </w:t>
      </w:r>
      <w:r>
        <w:rPr>
          <w:rFonts w:hint="eastAsia" w:ascii="仿宋_GB2312" w:hAnsi="仿宋_GB2312" w:eastAsia="仿宋_GB2312" w:cs="仿宋_GB2312"/>
          <w:b/>
          <w:bCs/>
          <w:color w:val="auto"/>
          <w:spacing w:val="-11"/>
          <w:sz w:val="28"/>
          <w:szCs w:val="28"/>
          <w:highlight w:val="none"/>
          <w:lang w:eastAsia="zh-CN"/>
        </w:rPr>
        <w:t>项目说明</w:t>
      </w:r>
      <w:bookmarkEnd w:id="13"/>
      <w:bookmarkEnd w:id="14"/>
    </w:p>
    <w:p w14:paraId="3AEDFF1E">
      <w:pPr>
        <w:pStyle w:val="10"/>
        <w:spacing w:before="128" w:line="298" w:lineRule="auto"/>
        <w:ind w:left="19" w:right="46" w:firstLine="57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1.1 本项目概况详见投标须知前附表（以下</w:t>
      </w:r>
      <w:r>
        <w:rPr>
          <w:rFonts w:hint="eastAsia" w:ascii="仿宋_GB2312" w:hAnsi="仿宋_GB2312" w:eastAsia="仿宋_GB2312" w:cs="仿宋_GB2312"/>
          <w:color w:val="auto"/>
          <w:spacing w:val="4"/>
          <w:sz w:val="28"/>
          <w:szCs w:val="28"/>
          <w:highlight w:val="none"/>
          <w:lang w:eastAsia="zh-CN"/>
        </w:rPr>
        <w:t>简称“前附表</w:t>
      </w:r>
      <w:r>
        <w:rPr>
          <w:rFonts w:hint="eastAsia" w:ascii="仿宋_GB2312" w:hAnsi="仿宋_GB2312" w:eastAsia="仿宋_GB2312" w:cs="仿宋_GB2312"/>
          <w:color w:val="auto"/>
          <w:spacing w:val="-94"/>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w:t>
      </w:r>
    </w:p>
    <w:p w14:paraId="5760E9D4">
      <w:pPr>
        <w:pStyle w:val="10"/>
        <w:spacing w:before="43" w:line="295" w:lineRule="auto"/>
        <w:ind w:left="18" w:right="45"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1.2</w:t>
      </w:r>
      <w:r>
        <w:rPr>
          <w:rFonts w:hint="eastAsia" w:ascii="仿宋_GB2312" w:hAnsi="仿宋_GB2312" w:eastAsia="仿宋_GB2312" w:cs="仿宋_GB2312"/>
          <w:color w:val="auto"/>
          <w:spacing w:val="-3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本招标项目已经批准，已具备招标条件，现对该项目组织进行公开招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标。</w:t>
      </w:r>
    </w:p>
    <w:p w14:paraId="3BF7523E">
      <w:pPr>
        <w:pStyle w:val="10"/>
        <w:spacing w:before="47" w:line="297" w:lineRule="auto"/>
        <w:ind w:left="27" w:right="45" w:firstLine="56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1.3</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本招标项目供应商的资格审查采取资格后审方式。本次招标不接受联</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合体投标、不接受备选方案。</w:t>
      </w:r>
    </w:p>
    <w:p w14:paraId="1A1AE167">
      <w:pPr>
        <w:pStyle w:val="10"/>
        <w:spacing w:before="43"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资格后审包括下列的内容</w:t>
      </w:r>
    </w:p>
    <w:p w14:paraId="1445EDD5">
      <w:pPr>
        <w:pStyle w:val="10"/>
        <w:spacing w:before="135"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1.4.1 供应商应满足“前附表</w:t>
      </w:r>
      <w:r>
        <w:rPr>
          <w:rFonts w:hint="eastAsia" w:ascii="仿宋_GB2312" w:hAnsi="仿宋_GB2312" w:eastAsia="仿宋_GB2312" w:cs="仿宋_GB2312"/>
          <w:color w:val="auto"/>
          <w:spacing w:val="-8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”规定的资格要求；</w:t>
      </w:r>
    </w:p>
    <w:p w14:paraId="59C1CDCF">
      <w:pPr>
        <w:pStyle w:val="10"/>
        <w:spacing w:before="136" w:line="295" w:lineRule="auto"/>
        <w:ind w:left="20" w:right="45" w:firstLine="57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1.4.2</w:t>
      </w:r>
      <w:r>
        <w:rPr>
          <w:rFonts w:hint="eastAsia" w:ascii="仿宋_GB2312" w:hAnsi="仿宋_GB2312" w:eastAsia="仿宋_GB2312" w:cs="仿宋_GB2312"/>
          <w:color w:val="auto"/>
          <w:spacing w:val="-4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采购文件有要求供应商法定代表人或其授权代表签字或盖章和加盖</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供应商公章要求的，供应商须按采购文件要求签署；</w:t>
      </w:r>
    </w:p>
    <w:p w14:paraId="7B015856">
      <w:pPr>
        <w:pStyle w:val="10"/>
        <w:spacing w:before="47"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1.4.3</w:t>
      </w:r>
      <w:r>
        <w:rPr>
          <w:rFonts w:hint="eastAsia" w:ascii="仿宋_GB2312" w:hAnsi="仿宋_GB2312" w:eastAsia="仿宋_GB2312" w:cs="仿宋_GB2312"/>
          <w:color w:val="auto"/>
          <w:spacing w:val="-3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交货期符合采购文件要求；</w:t>
      </w:r>
    </w:p>
    <w:p w14:paraId="7DA6C8C9">
      <w:pPr>
        <w:pStyle w:val="10"/>
        <w:spacing w:before="136"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交货地点符合采购文件规定；</w:t>
      </w:r>
    </w:p>
    <w:p w14:paraId="0271B64B">
      <w:pPr>
        <w:pStyle w:val="10"/>
        <w:spacing w:before="136" w:line="297" w:lineRule="auto"/>
        <w:ind w:left="590" w:right="187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1.4.5</w:t>
      </w:r>
      <w:r>
        <w:rPr>
          <w:rFonts w:hint="eastAsia" w:ascii="仿宋_GB2312" w:hAnsi="仿宋_GB2312" w:eastAsia="仿宋_GB2312" w:cs="仿宋_GB2312"/>
          <w:color w:val="auto"/>
          <w:spacing w:val="-47"/>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投标内容、数量、质量、服务等满足采购文件要求；</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1.4.6</w:t>
      </w:r>
      <w:r>
        <w:rPr>
          <w:rFonts w:hint="eastAsia" w:ascii="仿宋_GB2312" w:hAnsi="仿宋_GB2312" w:eastAsia="仿宋_GB2312" w:cs="仿宋_GB2312"/>
          <w:color w:val="auto"/>
          <w:spacing w:val="-28"/>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符合采购文件中规定的其他实质性要求；</w:t>
      </w:r>
    </w:p>
    <w:p w14:paraId="5F6B04AE">
      <w:pPr>
        <w:pStyle w:val="10"/>
        <w:spacing w:before="44"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1.4.7</w:t>
      </w:r>
      <w:r>
        <w:rPr>
          <w:rFonts w:hint="eastAsia" w:ascii="仿宋_GB2312" w:hAnsi="仿宋_GB2312" w:eastAsia="仿宋_GB2312" w:cs="仿宋_GB2312"/>
          <w:color w:val="auto"/>
          <w:spacing w:val="-3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无法律、法规和规章禁止的其他情况。</w:t>
      </w:r>
    </w:p>
    <w:p w14:paraId="279F7236">
      <w:pPr>
        <w:pStyle w:val="10"/>
        <w:spacing w:before="135" w:line="223" w:lineRule="auto"/>
        <w:ind w:left="575"/>
        <w:outlineLvl w:val="2"/>
        <w:rPr>
          <w:rFonts w:ascii="仿宋_GB2312" w:hAnsi="仿宋_GB2312" w:eastAsia="仿宋_GB2312" w:cs="仿宋_GB2312"/>
          <w:color w:val="auto"/>
          <w:sz w:val="28"/>
          <w:szCs w:val="28"/>
          <w:highlight w:val="none"/>
          <w:lang w:eastAsia="zh-CN"/>
        </w:rPr>
      </w:pPr>
      <w:bookmarkStart w:id="15" w:name="_Toc22809"/>
      <w:bookmarkStart w:id="16" w:name="_Toc5962"/>
      <w:r>
        <w:rPr>
          <w:rFonts w:hint="eastAsia" w:ascii="仿宋_GB2312" w:hAnsi="仿宋_GB2312" w:eastAsia="仿宋_GB2312" w:cs="仿宋_GB2312"/>
          <w:b/>
          <w:bCs/>
          <w:color w:val="auto"/>
          <w:spacing w:val="-7"/>
          <w:sz w:val="28"/>
          <w:szCs w:val="28"/>
          <w:highlight w:val="none"/>
          <w:lang w:eastAsia="zh-CN"/>
        </w:rPr>
        <w:t>2.</w:t>
      </w:r>
      <w:r>
        <w:rPr>
          <w:rFonts w:hint="eastAsia" w:ascii="仿宋_GB2312" w:hAnsi="仿宋_GB2312" w:eastAsia="仿宋_GB2312" w:cs="仿宋_GB2312"/>
          <w:color w:val="auto"/>
          <w:spacing w:val="20"/>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招标范围</w:t>
      </w:r>
      <w:bookmarkEnd w:id="15"/>
      <w:bookmarkEnd w:id="16"/>
    </w:p>
    <w:p w14:paraId="2AED5AC9">
      <w:pPr>
        <w:pStyle w:val="10"/>
        <w:spacing w:before="136" w:line="294" w:lineRule="auto"/>
        <w:ind w:left="68" w:right="46" w:firstLine="50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2.1</w:t>
      </w:r>
      <w:r>
        <w:rPr>
          <w:rFonts w:hint="eastAsia" w:ascii="仿宋_GB2312" w:hAnsi="仿宋_GB2312" w:eastAsia="仿宋_GB2312" w:cs="仿宋_GB2312"/>
          <w:color w:val="auto"/>
          <w:spacing w:val="-4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本招标项目招标范围已通过“前附表</w:t>
      </w:r>
      <w:r>
        <w:rPr>
          <w:rFonts w:hint="eastAsia" w:ascii="仿宋_GB2312" w:hAnsi="仿宋_GB2312" w:eastAsia="仿宋_GB2312" w:cs="仿宋_GB2312"/>
          <w:color w:val="auto"/>
          <w:spacing w:val="-10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”采购内</w:t>
      </w:r>
      <w:r>
        <w:rPr>
          <w:rFonts w:hint="eastAsia" w:ascii="仿宋_GB2312" w:hAnsi="仿宋_GB2312" w:eastAsia="仿宋_GB2312" w:cs="仿宋_GB2312"/>
          <w:color w:val="auto"/>
          <w:spacing w:val="-2"/>
          <w:sz w:val="28"/>
          <w:szCs w:val="28"/>
          <w:highlight w:val="none"/>
          <w:lang w:eastAsia="zh-CN"/>
        </w:rPr>
        <w:t>容所述，指本项</w:t>
      </w:r>
      <w:r>
        <w:rPr>
          <w:rFonts w:hint="eastAsia" w:ascii="仿宋_GB2312" w:hAnsi="仿宋_GB2312" w:eastAsia="仿宋_GB2312" w:cs="仿宋_GB2312"/>
          <w:color w:val="auto"/>
          <w:spacing w:val="-5"/>
          <w:sz w:val="28"/>
          <w:szCs w:val="28"/>
          <w:highlight w:val="none"/>
          <w:lang w:eastAsia="zh-CN"/>
        </w:rPr>
        <w:t>目采购文件中范围内所要求的所有工作内容。</w:t>
      </w:r>
    </w:p>
    <w:p w14:paraId="6EC08A56">
      <w:pPr>
        <w:pStyle w:val="10"/>
        <w:spacing w:before="50" w:line="221" w:lineRule="auto"/>
        <w:ind w:left="578"/>
        <w:outlineLvl w:val="2"/>
        <w:rPr>
          <w:rFonts w:ascii="仿宋_GB2312" w:hAnsi="仿宋_GB2312" w:eastAsia="仿宋_GB2312" w:cs="仿宋_GB2312"/>
          <w:color w:val="auto"/>
          <w:sz w:val="28"/>
          <w:szCs w:val="28"/>
          <w:highlight w:val="none"/>
          <w:lang w:eastAsia="zh-CN"/>
        </w:rPr>
      </w:pPr>
      <w:bookmarkStart w:id="17" w:name="_Toc10638"/>
      <w:bookmarkStart w:id="18" w:name="_Toc1554"/>
      <w:r>
        <w:rPr>
          <w:rFonts w:hint="eastAsia" w:ascii="仿宋_GB2312" w:hAnsi="仿宋_GB2312" w:eastAsia="仿宋_GB2312" w:cs="仿宋_GB2312"/>
          <w:b/>
          <w:bCs/>
          <w:color w:val="auto"/>
          <w:spacing w:val="-3"/>
          <w:sz w:val="28"/>
          <w:szCs w:val="28"/>
          <w:highlight w:val="none"/>
          <w:lang w:eastAsia="zh-CN"/>
        </w:rPr>
        <w:t>3.</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适用法律及约束力</w:t>
      </w:r>
      <w:bookmarkEnd w:id="17"/>
      <w:bookmarkEnd w:id="18"/>
    </w:p>
    <w:p w14:paraId="6B8803B8">
      <w:pPr>
        <w:pStyle w:val="10"/>
        <w:spacing w:before="138" w:line="301" w:lineRule="auto"/>
        <w:ind w:left="18" w:right="38"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3.1 本次招标及由本次招标产生的合同受中华人民共和国的相关法律、法</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规制约和保护。供应商一旦购买了采购文件并参加本项目，即被认为接受了招</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标文件中的所有条件和规定。</w:t>
      </w:r>
    </w:p>
    <w:p w14:paraId="5C039B0F">
      <w:pPr>
        <w:pStyle w:val="10"/>
        <w:spacing w:before="44" w:line="301" w:lineRule="auto"/>
        <w:ind w:left="19" w:right="38"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3.2</w:t>
      </w:r>
      <w:r>
        <w:rPr>
          <w:rFonts w:hint="eastAsia" w:ascii="仿宋_GB2312" w:hAnsi="仿宋_GB2312" w:eastAsia="仿宋_GB2312" w:cs="仿宋_GB2312"/>
          <w:color w:val="auto"/>
          <w:spacing w:val="-4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供应商应保证，在中华人民共和国境内</w:t>
      </w:r>
      <w:r>
        <w:rPr>
          <w:rFonts w:hint="eastAsia" w:ascii="仿宋_GB2312" w:hAnsi="仿宋_GB2312" w:eastAsia="仿宋_GB2312" w:cs="仿宋_GB2312"/>
          <w:color w:val="auto"/>
          <w:spacing w:val="1"/>
          <w:sz w:val="28"/>
          <w:szCs w:val="28"/>
          <w:highlight w:val="none"/>
          <w:lang w:eastAsia="zh-CN"/>
        </w:rPr>
        <w:t>使用投标成果、服务或其任何</w:t>
      </w:r>
      <w:r>
        <w:rPr>
          <w:rFonts w:hint="eastAsia" w:ascii="仿宋_GB2312" w:hAnsi="仿宋_GB2312" w:eastAsia="仿宋_GB2312" w:cs="仿宋_GB2312"/>
          <w:color w:val="auto"/>
          <w:sz w:val="28"/>
          <w:szCs w:val="28"/>
          <w:highlight w:val="none"/>
          <w:lang w:eastAsia="zh-CN"/>
        </w:rPr>
        <w:t xml:space="preserve"> 一部分时，不会产生因第三方提出侵犯其专利权</w:t>
      </w:r>
      <w:r>
        <w:rPr>
          <w:rFonts w:hint="eastAsia" w:ascii="仿宋_GB2312" w:hAnsi="仿宋_GB2312" w:eastAsia="仿宋_GB2312" w:cs="仿宋_GB2312"/>
          <w:color w:val="auto"/>
          <w:sz w:val="28"/>
          <w:szCs w:val="28"/>
          <w:highlight w:val="none"/>
          <w:lang w:eastAsia="zh-CN" w:bidi="ar"/>
        </w:rPr>
        <w:t>、商标权、著作权</w:t>
      </w:r>
      <w:r>
        <w:rPr>
          <w:rFonts w:hint="eastAsia" w:ascii="仿宋_GB2312" w:hAnsi="仿宋_GB2312" w:eastAsia="仿宋_GB2312" w:cs="仿宋_GB2312"/>
          <w:color w:val="auto"/>
          <w:sz w:val="28"/>
          <w:szCs w:val="28"/>
          <w:highlight w:val="none"/>
          <w:lang w:eastAsia="zh-CN"/>
        </w:rPr>
        <w:t>或其他知识产权而引起的法律</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和经济纠纷。</w:t>
      </w:r>
    </w:p>
    <w:p w14:paraId="116079F9">
      <w:pPr>
        <w:pStyle w:val="10"/>
        <w:spacing w:before="49" w:line="223" w:lineRule="auto"/>
        <w:ind w:left="571"/>
        <w:outlineLvl w:val="2"/>
        <w:rPr>
          <w:rFonts w:ascii="仿宋_GB2312" w:hAnsi="仿宋_GB2312" w:eastAsia="仿宋_GB2312" w:cs="仿宋_GB2312"/>
          <w:color w:val="auto"/>
          <w:sz w:val="28"/>
          <w:szCs w:val="28"/>
          <w:highlight w:val="none"/>
          <w:lang w:eastAsia="zh-CN"/>
        </w:rPr>
      </w:pPr>
      <w:bookmarkStart w:id="19" w:name="_Toc27243"/>
      <w:bookmarkStart w:id="20" w:name="_Toc18331"/>
      <w:r>
        <w:rPr>
          <w:rFonts w:hint="eastAsia" w:ascii="仿宋_GB2312" w:hAnsi="仿宋_GB2312" w:eastAsia="仿宋_GB2312" w:cs="仿宋_GB2312"/>
          <w:b/>
          <w:bCs/>
          <w:color w:val="auto"/>
          <w:spacing w:val="-3"/>
          <w:sz w:val="28"/>
          <w:szCs w:val="28"/>
          <w:highlight w:val="none"/>
          <w:lang w:eastAsia="zh-CN"/>
        </w:rPr>
        <w:t>4.</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招标项目实施要求</w:t>
      </w:r>
      <w:bookmarkEnd w:id="19"/>
      <w:bookmarkEnd w:id="20"/>
    </w:p>
    <w:p w14:paraId="3D341209">
      <w:pPr>
        <w:spacing w:line="223" w:lineRule="auto"/>
        <w:rPr>
          <w:rFonts w:ascii="仿宋_GB2312" w:hAnsi="仿宋_GB2312" w:eastAsia="仿宋_GB2312" w:cs="仿宋_GB2312"/>
          <w:color w:val="auto"/>
          <w:sz w:val="28"/>
          <w:szCs w:val="28"/>
          <w:highlight w:val="none"/>
          <w:lang w:eastAsia="zh-CN"/>
        </w:rPr>
        <w:sectPr>
          <w:headerReference r:id="rId6" w:type="default"/>
          <w:footerReference r:id="rId7" w:type="default"/>
          <w:pgSz w:w="11906" w:h="16838"/>
          <w:pgMar w:top="1161" w:right="1058" w:bottom="1517" w:left="1258" w:header="861" w:footer="1237" w:gutter="0"/>
          <w:pgNumType w:fmt="numberInDash"/>
          <w:cols w:space="720" w:num="1"/>
        </w:sectPr>
      </w:pPr>
    </w:p>
    <w:p w14:paraId="11A4AF2D">
      <w:pPr>
        <w:pStyle w:val="10"/>
        <w:spacing w:before="318" w:line="222" w:lineRule="auto"/>
        <w:ind w:left="56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4.1</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质量标准已通过“前附表</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”所述。</w:t>
      </w:r>
    </w:p>
    <w:p w14:paraId="75E104E5">
      <w:pPr>
        <w:pStyle w:val="10"/>
        <w:spacing w:before="135" w:line="297" w:lineRule="auto"/>
        <w:ind w:left="20" w:right="41" w:firstLine="54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4.2 供应商与采购人签订合同后，按照采购文件及合同相关的要求编制现</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场服务计划。</w:t>
      </w:r>
    </w:p>
    <w:p w14:paraId="5485C432">
      <w:pPr>
        <w:pStyle w:val="10"/>
        <w:spacing w:before="42" w:line="224" w:lineRule="auto"/>
        <w:ind w:left="578"/>
        <w:outlineLvl w:val="2"/>
        <w:rPr>
          <w:rFonts w:ascii="仿宋_GB2312" w:hAnsi="仿宋_GB2312" w:eastAsia="仿宋_GB2312" w:cs="仿宋_GB2312"/>
          <w:color w:val="auto"/>
          <w:sz w:val="28"/>
          <w:szCs w:val="28"/>
          <w:highlight w:val="none"/>
          <w:lang w:eastAsia="zh-CN"/>
        </w:rPr>
      </w:pPr>
      <w:bookmarkStart w:id="21" w:name="_Toc2839"/>
      <w:bookmarkStart w:id="22" w:name="_Toc24329"/>
      <w:r>
        <w:rPr>
          <w:rFonts w:hint="eastAsia" w:ascii="仿宋_GB2312" w:hAnsi="仿宋_GB2312" w:eastAsia="仿宋_GB2312" w:cs="仿宋_GB2312"/>
          <w:b/>
          <w:bCs/>
          <w:color w:val="auto"/>
          <w:spacing w:val="-7"/>
          <w:sz w:val="28"/>
          <w:szCs w:val="28"/>
          <w:highlight w:val="none"/>
          <w:lang w:eastAsia="zh-CN"/>
        </w:rPr>
        <w:t>5.</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供货期及交货地点</w:t>
      </w:r>
      <w:bookmarkEnd w:id="21"/>
      <w:bookmarkEnd w:id="22"/>
    </w:p>
    <w:p w14:paraId="2AC48782">
      <w:pPr>
        <w:pStyle w:val="10"/>
        <w:spacing w:before="133" w:line="301" w:lineRule="auto"/>
        <w:ind w:left="24" w:right="44" w:firstLine="55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5.1 供货期已通过“前附表</w:t>
      </w:r>
      <w:r>
        <w:rPr>
          <w:rFonts w:hint="eastAsia" w:ascii="仿宋_GB2312" w:hAnsi="仿宋_GB2312" w:eastAsia="仿宋_GB2312" w:cs="仿宋_GB2312"/>
          <w:color w:val="auto"/>
          <w:spacing w:val="-8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”所述，是指完成本项目采购内容</w:t>
      </w:r>
      <w:r>
        <w:rPr>
          <w:rFonts w:hint="eastAsia" w:ascii="仿宋_GB2312" w:hAnsi="仿宋_GB2312" w:eastAsia="仿宋_GB2312" w:cs="仿宋_GB2312"/>
          <w:color w:val="auto"/>
          <w:spacing w:val="-1"/>
          <w:sz w:val="28"/>
          <w:szCs w:val="28"/>
          <w:highlight w:val="none"/>
          <w:lang w:eastAsia="zh-CN"/>
        </w:rPr>
        <w:t>服务工作、验收合格并移交采购人的时间；</w:t>
      </w:r>
      <w:r>
        <w:rPr>
          <w:rFonts w:hint="eastAsia" w:ascii="仿宋_GB2312" w:hAnsi="仿宋_GB2312" w:eastAsia="仿宋_GB2312" w:cs="仿宋_GB2312"/>
          <w:color w:val="auto"/>
          <w:spacing w:val="1"/>
          <w:sz w:val="28"/>
          <w:szCs w:val="28"/>
          <w:highlight w:val="none"/>
          <w:lang w:eastAsia="zh-CN"/>
        </w:rPr>
        <w:t>交货</w:t>
      </w:r>
      <w:r>
        <w:rPr>
          <w:rFonts w:hint="eastAsia" w:ascii="仿宋_GB2312" w:hAnsi="仿宋_GB2312" w:eastAsia="仿宋_GB2312" w:cs="仿宋_GB2312"/>
          <w:color w:val="auto"/>
          <w:spacing w:val="-1"/>
          <w:sz w:val="28"/>
          <w:szCs w:val="28"/>
          <w:highlight w:val="none"/>
          <w:lang w:eastAsia="zh-CN"/>
        </w:rPr>
        <w:t>地点已通</w:t>
      </w:r>
      <w:r>
        <w:rPr>
          <w:rFonts w:hint="eastAsia" w:ascii="仿宋_GB2312" w:hAnsi="仿宋_GB2312" w:eastAsia="仿宋_GB2312" w:cs="仿宋_GB2312"/>
          <w:color w:val="auto"/>
          <w:spacing w:val="-2"/>
          <w:sz w:val="28"/>
          <w:szCs w:val="28"/>
          <w:highlight w:val="none"/>
          <w:lang w:eastAsia="zh-CN"/>
        </w:rPr>
        <w:t>过“前附表</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w:t>
      </w:r>
      <w:r>
        <w:rPr>
          <w:rFonts w:hint="eastAsia" w:ascii="仿宋_GB2312" w:hAnsi="仿宋_GB2312" w:eastAsia="仿宋_GB2312" w:cs="仿宋_GB2312"/>
          <w:color w:val="auto"/>
          <w:spacing w:val="-11"/>
          <w:sz w:val="28"/>
          <w:szCs w:val="28"/>
          <w:highlight w:val="none"/>
          <w:lang w:eastAsia="zh-CN"/>
        </w:rPr>
        <w:t>所述。</w:t>
      </w:r>
    </w:p>
    <w:p w14:paraId="508F5BCB">
      <w:pPr>
        <w:pStyle w:val="10"/>
        <w:spacing w:before="46" w:line="222" w:lineRule="auto"/>
        <w:ind w:left="574"/>
        <w:outlineLvl w:val="2"/>
        <w:rPr>
          <w:rFonts w:ascii="仿宋_GB2312" w:hAnsi="仿宋_GB2312" w:eastAsia="仿宋_GB2312" w:cs="仿宋_GB2312"/>
          <w:color w:val="auto"/>
          <w:sz w:val="28"/>
          <w:szCs w:val="28"/>
          <w:highlight w:val="none"/>
          <w:lang w:eastAsia="zh-CN"/>
        </w:rPr>
      </w:pPr>
      <w:bookmarkStart w:id="23" w:name="_Toc21288"/>
      <w:bookmarkStart w:id="24" w:name="_Toc12769"/>
      <w:r>
        <w:rPr>
          <w:rFonts w:hint="eastAsia" w:ascii="仿宋_GB2312" w:hAnsi="仿宋_GB2312" w:eastAsia="仿宋_GB2312" w:cs="仿宋_GB2312"/>
          <w:b/>
          <w:bCs/>
          <w:color w:val="auto"/>
          <w:spacing w:val="-9"/>
          <w:sz w:val="28"/>
          <w:szCs w:val="28"/>
          <w:highlight w:val="none"/>
          <w:lang w:eastAsia="zh-CN"/>
        </w:rPr>
        <w:t>6.</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b/>
          <w:bCs/>
          <w:color w:val="auto"/>
          <w:spacing w:val="-9"/>
          <w:sz w:val="28"/>
          <w:szCs w:val="28"/>
          <w:highlight w:val="none"/>
          <w:lang w:eastAsia="zh-CN"/>
        </w:rPr>
        <w:t>资金来源</w:t>
      </w:r>
      <w:bookmarkEnd w:id="23"/>
      <w:bookmarkEnd w:id="24"/>
    </w:p>
    <w:p w14:paraId="26C16539">
      <w:pPr>
        <w:pStyle w:val="10"/>
        <w:spacing w:before="136" w:line="295" w:lineRule="auto"/>
        <w:ind w:left="33" w:right="44" w:firstLine="53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6.1</w:t>
      </w:r>
      <w:r>
        <w:rPr>
          <w:rFonts w:hint="eastAsia" w:ascii="仿宋_GB2312" w:hAnsi="仿宋_GB2312" w:eastAsia="仿宋_GB2312" w:cs="仿宋_GB2312"/>
          <w:color w:val="auto"/>
          <w:spacing w:val="-37"/>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采购单位的资金通过“前附表</w:t>
      </w:r>
      <w:r>
        <w:rPr>
          <w:rFonts w:hint="eastAsia" w:ascii="仿宋_GB2312" w:hAnsi="仿宋_GB2312" w:eastAsia="仿宋_GB2312" w:cs="仿宋_GB2312"/>
          <w:color w:val="auto"/>
          <w:spacing w:val="-98"/>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”所述的方式获得，并将部分</w:t>
      </w:r>
      <w:r>
        <w:rPr>
          <w:rFonts w:hint="eastAsia" w:ascii="仿宋_GB2312" w:hAnsi="仿宋_GB2312" w:eastAsia="仿宋_GB2312" w:cs="仿宋_GB2312"/>
          <w:color w:val="auto"/>
          <w:spacing w:val="-4"/>
          <w:sz w:val="28"/>
          <w:szCs w:val="28"/>
          <w:highlight w:val="none"/>
          <w:lang w:eastAsia="zh-CN"/>
        </w:rPr>
        <w:t>资金用于本项目合同下的合格支付。</w:t>
      </w:r>
    </w:p>
    <w:p w14:paraId="6454F374">
      <w:pPr>
        <w:pStyle w:val="10"/>
        <w:spacing w:before="48" w:line="223" w:lineRule="auto"/>
        <w:ind w:left="579"/>
        <w:outlineLvl w:val="2"/>
        <w:rPr>
          <w:rFonts w:ascii="仿宋_GB2312" w:hAnsi="仿宋_GB2312" w:eastAsia="仿宋_GB2312" w:cs="仿宋_GB2312"/>
          <w:color w:val="auto"/>
          <w:sz w:val="28"/>
          <w:szCs w:val="28"/>
          <w:highlight w:val="none"/>
          <w:lang w:eastAsia="zh-CN"/>
        </w:rPr>
      </w:pPr>
      <w:bookmarkStart w:id="25" w:name="_Toc16666"/>
      <w:bookmarkStart w:id="26" w:name="_Toc9775"/>
      <w:r>
        <w:rPr>
          <w:rFonts w:hint="eastAsia" w:ascii="仿宋_GB2312" w:hAnsi="仿宋_GB2312" w:eastAsia="仿宋_GB2312" w:cs="仿宋_GB2312"/>
          <w:b/>
          <w:bCs/>
          <w:color w:val="auto"/>
          <w:spacing w:val="-6"/>
          <w:sz w:val="28"/>
          <w:szCs w:val="28"/>
          <w:highlight w:val="none"/>
          <w:lang w:eastAsia="zh-CN"/>
        </w:rPr>
        <w:t>7.</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供应商资格要求</w:t>
      </w:r>
      <w:bookmarkEnd w:id="25"/>
      <w:bookmarkEnd w:id="26"/>
    </w:p>
    <w:p w14:paraId="2A0C8860">
      <w:pPr>
        <w:pStyle w:val="10"/>
        <w:spacing w:before="135" w:line="222" w:lineRule="auto"/>
        <w:ind w:left="57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供应商资格要求须满足“前附表</w:t>
      </w:r>
      <w:r>
        <w:rPr>
          <w:rFonts w:hint="eastAsia" w:ascii="仿宋_GB2312" w:hAnsi="仿宋_GB2312" w:eastAsia="仿宋_GB2312" w:cs="仿宋_GB2312"/>
          <w:color w:val="auto"/>
          <w:spacing w:val="-10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”要求。</w:t>
      </w:r>
    </w:p>
    <w:p w14:paraId="3DD89F8B">
      <w:pPr>
        <w:pStyle w:val="10"/>
        <w:spacing w:before="133" w:line="223" w:lineRule="auto"/>
        <w:ind w:left="573"/>
        <w:outlineLvl w:val="2"/>
        <w:rPr>
          <w:rFonts w:ascii="仿宋_GB2312" w:hAnsi="仿宋_GB2312" w:eastAsia="仿宋_GB2312" w:cs="仿宋_GB2312"/>
          <w:color w:val="auto"/>
          <w:sz w:val="28"/>
          <w:szCs w:val="28"/>
          <w:highlight w:val="none"/>
          <w:lang w:eastAsia="zh-CN"/>
        </w:rPr>
      </w:pPr>
      <w:bookmarkStart w:id="27" w:name="_Toc17904"/>
      <w:bookmarkStart w:id="28" w:name="_Toc27588"/>
      <w:r>
        <w:rPr>
          <w:rFonts w:hint="eastAsia" w:ascii="仿宋_GB2312" w:hAnsi="仿宋_GB2312" w:eastAsia="仿宋_GB2312" w:cs="仿宋_GB2312"/>
          <w:b/>
          <w:bCs/>
          <w:color w:val="auto"/>
          <w:spacing w:val="-7"/>
          <w:sz w:val="28"/>
          <w:szCs w:val="28"/>
          <w:highlight w:val="none"/>
          <w:lang w:eastAsia="zh-CN"/>
        </w:rPr>
        <w:t>8.</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投标费用</w:t>
      </w:r>
      <w:bookmarkEnd w:id="27"/>
      <w:bookmarkEnd w:id="28"/>
    </w:p>
    <w:p w14:paraId="3A6D7B14">
      <w:pPr>
        <w:pStyle w:val="10"/>
        <w:spacing w:before="134" w:line="297" w:lineRule="auto"/>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供应商应承担其编制投标文件与递交投标文件所涉及的一切费用，不论投</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标结果如何，采购人或采购代理机构均无义务和责任承担这些费用。</w:t>
      </w:r>
    </w:p>
    <w:p w14:paraId="1517711B">
      <w:pPr>
        <w:pStyle w:val="10"/>
        <w:spacing w:before="43" w:line="223" w:lineRule="auto"/>
        <w:ind w:left="573"/>
        <w:outlineLvl w:val="2"/>
        <w:rPr>
          <w:rFonts w:ascii="仿宋_GB2312" w:hAnsi="仿宋_GB2312" w:eastAsia="仿宋_GB2312" w:cs="仿宋_GB2312"/>
          <w:color w:val="auto"/>
          <w:sz w:val="28"/>
          <w:szCs w:val="28"/>
          <w:highlight w:val="none"/>
          <w:lang w:eastAsia="zh-CN"/>
        </w:rPr>
      </w:pPr>
      <w:bookmarkStart w:id="29" w:name="_Toc26398"/>
      <w:bookmarkStart w:id="30" w:name="_Toc31090"/>
      <w:r>
        <w:rPr>
          <w:rFonts w:hint="eastAsia" w:ascii="仿宋_GB2312" w:hAnsi="仿宋_GB2312" w:eastAsia="仿宋_GB2312" w:cs="仿宋_GB2312"/>
          <w:b/>
          <w:bCs/>
          <w:color w:val="auto"/>
          <w:spacing w:val="-7"/>
          <w:sz w:val="28"/>
          <w:szCs w:val="28"/>
          <w:highlight w:val="none"/>
          <w:lang w:eastAsia="zh-CN"/>
        </w:rPr>
        <w:t>9.</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授权委托</w:t>
      </w:r>
      <w:bookmarkEnd w:id="29"/>
      <w:bookmarkEnd w:id="30"/>
    </w:p>
    <w:p w14:paraId="3F5ACD2F">
      <w:pPr>
        <w:pStyle w:val="10"/>
        <w:spacing w:before="137" w:line="301" w:lineRule="auto"/>
        <w:ind w:left="21" w:right="38" w:firstLine="54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9.1 供应商代表为法定代表人的，须有法定代表人资格证明书和法定代</w:t>
      </w:r>
      <w:r>
        <w:rPr>
          <w:rFonts w:hint="eastAsia" w:ascii="仿宋_GB2312" w:hAnsi="仿宋_GB2312" w:eastAsia="仿宋_GB2312" w:cs="仿宋_GB2312"/>
          <w:color w:val="auto"/>
          <w:spacing w:val="14"/>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表人身份证；供应商代表不是供应商的法定代表人的，须有法定代表人授权</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委托书和授权代表人的本人身份证。</w:t>
      </w:r>
    </w:p>
    <w:p w14:paraId="197E5CA4">
      <w:pPr>
        <w:pStyle w:val="10"/>
        <w:spacing w:before="46" w:line="223" w:lineRule="auto"/>
        <w:ind w:left="593"/>
        <w:outlineLvl w:val="2"/>
        <w:rPr>
          <w:rFonts w:ascii="仿宋_GB2312" w:hAnsi="仿宋_GB2312" w:eastAsia="仿宋_GB2312" w:cs="仿宋_GB2312"/>
          <w:color w:val="auto"/>
          <w:sz w:val="28"/>
          <w:szCs w:val="28"/>
          <w:highlight w:val="none"/>
          <w:lang w:eastAsia="zh-CN"/>
        </w:rPr>
      </w:pPr>
      <w:bookmarkStart w:id="31" w:name="_Toc9683"/>
      <w:bookmarkStart w:id="32" w:name="_Toc24311"/>
      <w:r>
        <w:rPr>
          <w:rFonts w:hint="eastAsia" w:ascii="仿宋_GB2312" w:hAnsi="仿宋_GB2312" w:eastAsia="仿宋_GB2312" w:cs="仿宋_GB2312"/>
          <w:b/>
          <w:bCs/>
          <w:color w:val="auto"/>
          <w:spacing w:val="-8"/>
          <w:sz w:val="28"/>
          <w:szCs w:val="28"/>
          <w:highlight w:val="none"/>
          <w:lang w:eastAsia="zh-CN"/>
        </w:rPr>
        <w:t>10.</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b/>
          <w:bCs/>
          <w:color w:val="auto"/>
          <w:spacing w:val="-8"/>
          <w:sz w:val="28"/>
          <w:szCs w:val="28"/>
          <w:highlight w:val="none"/>
          <w:lang w:eastAsia="zh-CN"/>
        </w:rPr>
        <w:t>联合体投标.</w:t>
      </w:r>
      <w:bookmarkEnd w:id="31"/>
      <w:bookmarkEnd w:id="32"/>
    </w:p>
    <w:p w14:paraId="1FB4CDE1">
      <w:pPr>
        <w:pStyle w:val="10"/>
        <w:spacing w:before="132" w:line="302" w:lineRule="auto"/>
        <w:ind w:left="18" w:right="41"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10.1</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投标须知前附表中接受联合体投标的，供应商可以以联合体形式投</w:t>
      </w:r>
      <w:r>
        <w:rPr>
          <w:rFonts w:hint="eastAsia" w:ascii="仿宋_GB2312" w:hAnsi="仿宋_GB2312" w:eastAsia="仿宋_GB2312" w:cs="仿宋_GB2312"/>
          <w:color w:val="auto"/>
          <w:spacing w:val="-1"/>
          <w:sz w:val="28"/>
          <w:szCs w:val="28"/>
          <w:highlight w:val="none"/>
          <w:lang w:eastAsia="zh-CN"/>
        </w:rPr>
        <w:t>标，否则联合体投标视为无效投标。接受联合体投标的，除应符合本章第7款</w:t>
      </w:r>
      <w:r>
        <w:rPr>
          <w:rFonts w:hint="eastAsia" w:ascii="仿宋_GB2312" w:hAnsi="仿宋_GB2312" w:eastAsia="仿宋_GB2312" w:cs="仿宋_GB2312"/>
          <w:color w:val="auto"/>
          <w:spacing w:val="-4"/>
          <w:sz w:val="28"/>
          <w:szCs w:val="28"/>
          <w:highlight w:val="none"/>
          <w:lang w:eastAsia="zh-CN"/>
        </w:rPr>
        <w:t>规定外，还应遵守以下规定：</w:t>
      </w:r>
    </w:p>
    <w:p w14:paraId="764B0375">
      <w:pPr>
        <w:pStyle w:val="10"/>
        <w:spacing w:before="43" w:line="266" w:lineRule="auto"/>
        <w:ind w:left="31" w:right="64" w:firstLine="54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（l）联合体各方应按采购文件提供的格式签订</w:t>
      </w:r>
      <w:r>
        <w:rPr>
          <w:rFonts w:hint="eastAsia" w:ascii="仿宋_GB2312" w:hAnsi="仿宋_GB2312" w:eastAsia="仿宋_GB2312" w:cs="仿宋_GB2312"/>
          <w:color w:val="auto"/>
          <w:spacing w:val="4"/>
          <w:sz w:val="28"/>
          <w:szCs w:val="28"/>
          <w:highlight w:val="none"/>
          <w:u w:val="single"/>
          <w:lang w:eastAsia="zh-CN"/>
        </w:rPr>
        <w:t>联合体协议</w:t>
      </w:r>
      <w:r>
        <w:rPr>
          <w:rFonts w:hint="eastAsia" w:ascii="仿宋_GB2312" w:hAnsi="仿宋_GB2312" w:eastAsia="仿宋_GB2312" w:cs="仿宋_GB2312"/>
          <w:color w:val="auto"/>
          <w:spacing w:val="4"/>
          <w:sz w:val="28"/>
          <w:szCs w:val="28"/>
          <w:highlight w:val="none"/>
          <w:lang w:eastAsia="zh-CN"/>
        </w:rPr>
        <w:t>，</w:t>
      </w:r>
      <w:r>
        <w:rPr>
          <w:rFonts w:hint="eastAsia" w:ascii="仿宋_GB2312" w:hAnsi="仿宋_GB2312" w:eastAsia="仿宋_GB2312" w:cs="仿宋_GB2312"/>
          <w:color w:val="auto"/>
          <w:spacing w:val="3"/>
          <w:sz w:val="28"/>
          <w:szCs w:val="28"/>
          <w:highlight w:val="none"/>
          <w:lang w:eastAsia="zh-CN"/>
        </w:rPr>
        <w:t>明确联合体</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牵头人和各方的权利义务、合同工作量比例；</w:t>
      </w:r>
    </w:p>
    <w:p w14:paraId="36D08DB9">
      <w:pPr>
        <w:pStyle w:val="10"/>
        <w:spacing w:before="137" w:line="267" w:lineRule="auto"/>
        <w:ind w:left="29" w:right="72" w:firstLine="54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（2）联合体各方签订联合体协议书后，不</w:t>
      </w:r>
      <w:r>
        <w:rPr>
          <w:rFonts w:hint="eastAsia" w:ascii="仿宋_GB2312" w:hAnsi="仿宋_GB2312" w:eastAsia="仿宋_GB2312" w:cs="仿宋_GB2312"/>
          <w:color w:val="auto"/>
          <w:spacing w:val="3"/>
          <w:sz w:val="28"/>
          <w:szCs w:val="28"/>
          <w:highlight w:val="none"/>
          <w:lang w:eastAsia="zh-CN"/>
        </w:rPr>
        <w:t>得再单独参加或者与其他供应</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商组成新的联合体参加同一项目的采购活动。</w:t>
      </w:r>
    </w:p>
    <w:p w14:paraId="79D9D389">
      <w:pPr>
        <w:pStyle w:val="10"/>
        <w:spacing w:before="135" w:line="222" w:lineRule="auto"/>
        <w:ind w:left="593"/>
        <w:outlineLvl w:val="2"/>
        <w:rPr>
          <w:rFonts w:ascii="仿宋_GB2312" w:hAnsi="仿宋_GB2312" w:eastAsia="仿宋_GB2312" w:cs="仿宋_GB2312"/>
          <w:color w:val="auto"/>
          <w:sz w:val="28"/>
          <w:szCs w:val="28"/>
          <w:highlight w:val="none"/>
          <w:lang w:eastAsia="zh-CN"/>
        </w:rPr>
      </w:pPr>
      <w:bookmarkStart w:id="33" w:name="_Toc25892"/>
      <w:bookmarkStart w:id="34" w:name="_Toc3894"/>
      <w:r>
        <w:rPr>
          <w:rFonts w:hint="eastAsia" w:ascii="仿宋_GB2312" w:hAnsi="仿宋_GB2312" w:eastAsia="仿宋_GB2312" w:cs="仿宋_GB2312"/>
          <w:b/>
          <w:bCs/>
          <w:color w:val="auto"/>
          <w:spacing w:val="-6"/>
          <w:sz w:val="28"/>
          <w:szCs w:val="28"/>
          <w:highlight w:val="none"/>
          <w:lang w:eastAsia="zh-CN"/>
        </w:rPr>
        <w:t>11.信用信息查询</w:t>
      </w:r>
      <w:bookmarkEnd w:id="33"/>
      <w:bookmarkEnd w:id="34"/>
    </w:p>
    <w:p w14:paraId="34952D1A">
      <w:pPr>
        <w:pStyle w:val="10"/>
        <w:spacing w:before="135" w:line="216"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11.1</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查询渠道：“信用中国</w:t>
      </w:r>
      <w:r>
        <w:rPr>
          <w:rFonts w:hint="eastAsia" w:ascii="仿宋_GB2312" w:hAnsi="仿宋_GB2312" w:eastAsia="仿宋_GB2312" w:cs="仿宋_GB2312"/>
          <w:color w:val="auto"/>
          <w:spacing w:val="-93"/>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”网站（</w:t>
      </w:r>
      <w:r>
        <w:rPr>
          <w:rFonts w:hint="eastAsia" w:ascii="仿宋_GB2312" w:hAnsi="仿宋_GB2312" w:eastAsia="仿宋_GB2312" w:cs="仿宋_GB2312"/>
          <w:color w:val="auto"/>
          <w:sz w:val="28"/>
          <w:szCs w:val="28"/>
          <w:highlight w:val="none"/>
          <w:lang w:eastAsia="zh-CN"/>
        </w:rPr>
        <w:t>www</w:t>
      </w:r>
      <w:r>
        <w:rPr>
          <w:rFonts w:hint="eastAsia" w:ascii="仿宋_GB2312" w:hAnsi="仿宋_GB2312" w:eastAsia="仿宋_GB2312" w:cs="仿宋_GB2312"/>
          <w:color w:val="auto"/>
          <w:spacing w:val="3"/>
          <w:sz w:val="28"/>
          <w:szCs w:val="28"/>
          <w:highlight w:val="none"/>
          <w:lang w:eastAsia="zh-CN"/>
        </w:rPr>
        <w:t>.</w:t>
      </w:r>
      <w:r>
        <w:rPr>
          <w:rFonts w:hint="eastAsia" w:ascii="仿宋_GB2312" w:hAnsi="仿宋_GB2312" w:eastAsia="仿宋_GB2312" w:cs="仿宋_GB2312"/>
          <w:color w:val="auto"/>
          <w:sz w:val="28"/>
          <w:szCs w:val="28"/>
          <w:highlight w:val="none"/>
          <w:lang w:eastAsia="zh-CN"/>
        </w:rPr>
        <w:t>creditchina</w:t>
      </w:r>
      <w:r>
        <w:rPr>
          <w:rFonts w:hint="eastAsia" w:ascii="仿宋_GB2312" w:hAnsi="仿宋_GB2312" w:eastAsia="仿宋_GB2312" w:cs="仿宋_GB2312"/>
          <w:color w:val="auto"/>
          <w:spacing w:val="3"/>
          <w:sz w:val="28"/>
          <w:szCs w:val="28"/>
          <w:highlight w:val="none"/>
          <w:lang w:eastAsia="zh-CN"/>
        </w:rPr>
        <w:t>.</w:t>
      </w:r>
      <w:r>
        <w:rPr>
          <w:rFonts w:hint="eastAsia" w:ascii="仿宋_GB2312" w:hAnsi="仿宋_GB2312" w:eastAsia="仿宋_GB2312" w:cs="仿宋_GB2312"/>
          <w:color w:val="auto"/>
          <w:sz w:val="28"/>
          <w:szCs w:val="28"/>
          <w:highlight w:val="none"/>
          <w:lang w:eastAsia="zh-CN"/>
        </w:rPr>
        <w:t>gov</w:t>
      </w:r>
      <w:r>
        <w:rPr>
          <w:rFonts w:hint="eastAsia" w:ascii="仿宋_GB2312" w:hAnsi="仿宋_GB2312" w:eastAsia="仿宋_GB2312" w:cs="仿宋_GB2312"/>
          <w:color w:val="auto"/>
          <w:spacing w:val="3"/>
          <w:sz w:val="28"/>
          <w:szCs w:val="28"/>
          <w:highlight w:val="none"/>
          <w:lang w:eastAsia="zh-CN"/>
        </w:rPr>
        <w:t>.</w:t>
      </w:r>
      <w:r>
        <w:rPr>
          <w:rFonts w:hint="eastAsia" w:ascii="仿宋_GB2312" w:hAnsi="仿宋_GB2312" w:eastAsia="仿宋_GB2312" w:cs="仿宋_GB2312"/>
          <w:color w:val="auto"/>
          <w:sz w:val="28"/>
          <w:szCs w:val="28"/>
          <w:highlight w:val="none"/>
          <w:lang w:eastAsia="zh-CN"/>
        </w:rPr>
        <w:t>cn</w:t>
      </w:r>
      <w:r>
        <w:rPr>
          <w:rFonts w:hint="eastAsia" w:ascii="仿宋_GB2312" w:hAnsi="仿宋_GB2312" w:eastAsia="仿宋_GB2312" w:cs="仿宋_GB2312"/>
          <w:color w:val="auto"/>
          <w:spacing w:val="3"/>
          <w:sz w:val="28"/>
          <w:szCs w:val="28"/>
          <w:highlight w:val="none"/>
          <w:lang w:eastAsia="zh-CN"/>
        </w:rPr>
        <w:t>）、中国</w:t>
      </w:r>
    </w:p>
    <w:p w14:paraId="59EFFB5C">
      <w:pPr>
        <w:spacing w:line="216" w:lineRule="auto"/>
        <w:rPr>
          <w:rFonts w:ascii="仿宋_GB2312" w:hAnsi="仿宋_GB2312" w:eastAsia="仿宋_GB2312" w:cs="仿宋_GB2312"/>
          <w:color w:val="auto"/>
          <w:sz w:val="28"/>
          <w:szCs w:val="28"/>
          <w:highlight w:val="none"/>
          <w:lang w:eastAsia="zh-CN"/>
        </w:rPr>
        <w:sectPr>
          <w:footerReference r:id="rId8" w:type="default"/>
          <w:pgSz w:w="11906" w:h="16838"/>
          <w:pgMar w:top="1161" w:right="1058" w:bottom="1517" w:left="1258" w:header="861" w:footer="1237" w:gutter="0"/>
          <w:pgNumType w:fmt="numberInDash"/>
          <w:cols w:space="720" w:num="1"/>
        </w:sectPr>
      </w:pPr>
    </w:p>
    <w:p w14:paraId="668AEC1C">
      <w:pPr>
        <w:pStyle w:val="10"/>
        <w:spacing w:before="277" w:line="337" w:lineRule="auto"/>
        <w:ind w:left="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仿宋_GB2312" w:hAnsi="仿宋_GB2312" w:eastAsia="仿宋_GB2312" w:cs="仿宋_GB2312"/>
          <w:color w:val="auto"/>
          <w:spacing w:val="-2"/>
          <w:sz w:val="28"/>
          <w:szCs w:val="28"/>
          <w:highlight w:val="none"/>
          <w:u w:val="single"/>
        </w:rPr>
        <w:t>www.ccgp.gov.cn</w:t>
      </w:r>
      <w:r>
        <w:rPr>
          <w:rFonts w:hint="eastAsia" w:ascii="仿宋_GB2312" w:hAnsi="仿宋_GB2312" w:eastAsia="仿宋_GB2312" w:cs="仿宋_GB2312"/>
          <w:color w:val="auto"/>
          <w:spacing w:val="-2"/>
          <w:sz w:val="28"/>
          <w:szCs w:val="28"/>
          <w:highlight w:val="none"/>
          <w:u w:val="single"/>
        </w:rPr>
        <w:fldChar w:fldCharType="end"/>
      </w:r>
      <w:r>
        <w:rPr>
          <w:rFonts w:hint="eastAsia" w:ascii="仿宋_GB2312" w:hAnsi="仿宋_GB2312" w:eastAsia="仿宋_GB2312" w:cs="仿宋_GB2312"/>
          <w:color w:val="auto"/>
          <w:spacing w:val="-2"/>
          <w:sz w:val="28"/>
          <w:szCs w:val="28"/>
          <w:highlight w:val="none"/>
        </w:rPr>
        <w:t>）。</w:t>
      </w:r>
    </w:p>
    <w:p w14:paraId="7A90D964">
      <w:pPr>
        <w:pStyle w:val="10"/>
        <w:spacing w:line="304" w:lineRule="auto"/>
        <w:ind w:left="20" w:right="41" w:firstLine="570"/>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11.2</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根据《关于在政府采购活动中查询及使用信用记录有关问题</w:t>
      </w:r>
      <w:r>
        <w:rPr>
          <w:rFonts w:hint="eastAsia" w:ascii="仿宋_GB2312" w:hAnsi="仿宋_GB2312" w:eastAsia="仿宋_GB2312" w:cs="仿宋_GB2312"/>
          <w:color w:val="auto"/>
          <w:spacing w:val="13"/>
          <w:sz w:val="28"/>
          <w:szCs w:val="28"/>
          <w:highlight w:val="none"/>
          <w:lang w:eastAsia="zh-CN"/>
        </w:rPr>
        <w:t>的通</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知》</w:t>
      </w:r>
      <w:r>
        <w:rPr>
          <w:rFonts w:hint="eastAsia" w:ascii="仿宋_GB2312" w:hAnsi="仿宋_GB2312" w:eastAsia="仿宋_GB2312" w:cs="仿宋_GB2312"/>
          <w:color w:val="auto"/>
          <w:spacing w:val="-7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（财库[2016]125</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号）的规定，对</w:t>
      </w:r>
      <w:r>
        <w:rPr>
          <w:rFonts w:hint="eastAsia" w:ascii="仿宋_GB2312" w:hAnsi="仿宋_GB2312" w:eastAsia="仿宋_GB2312" w:cs="仿宋_GB2312"/>
          <w:color w:val="auto"/>
          <w:spacing w:val="-2"/>
          <w:sz w:val="28"/>
          <w:szCs w:val="28"/>
          <w:highlight w:val="none"/>
          <w:lang w:eastAsia="zh-CN"/>
        </w:rPr>
        <w:t>被列入“失信被执行人</w:t>
      </w:r>
      <w:r>
        <w:rPr>
          <w:rFonts w:hint="eastAsia" w:ascii="仿宋_GB2312" w:hAnsi="仿宋_GB2312" w:eastAsia="仿宋_GB2312" w:cs="仿宋_GB2312"/>
          <w:color w:val="auto"/>
          <w:spacing w:val="-103"/>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”、“重大税收违</w:t>
      </w:r>
      <w:r>
        <w:rPr>
          <w:rFonts w:hint="eastAsia" w:ascii="仿宋_GB2312" w:hAnsi="仿宋_GB2312" w:eastAsia="仿宋_GB2312" w:cs="仿宋_GB2312"/>
          <w:color w:val="auto"/>
          <w:sz w:val="28"/>
          <w:szCs w:val="28"/>
          <w:highlight w:val="none"/>
          <w:lang w:eastAsia="zh-CN"/>
        </w:rPr>
        <w:t>法失信主体”、“政府采购严重违法失信行为记录名单”的供应商，拒绝</w:t>
      </w:r>
      <w:r>
        <w:rPr>
          <w:rFonts w:hint="eastAsia" w:ascii="仿宋_GB2312" w:hAnsi="仿宋_GB2312" w:eastAsia="仿宋_GB2312" w:cs="仿宋_GB2312"/>
          <w:color w:val="auto"/>
          <w:spacing w:val="-1"/>
          <w:sz w:val="28"/>
          <w:szCs w:val="28"/>
          <w:highlight w:val="none"/>
          <w:lang w:eastAsia="zh-CN"/>
        </w:rPr>
        <w:t>参与</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本项目政府采购活动。</w:t>
      </w:r>
    </w:p>
    <w:p w14:paraId="21F0CEC3">
      <w:pPr>
        <w:pStyle w:val="10"/>
        <w:spacing w:before="46" w:line="303" w:lineRule="auto"/>
        <w:ind w:left="21" w:right="45" w:firstLine="56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11.3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招标代理机构在开标时间后至资格审查结束前通过上述查询渠道进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行网上查询，对存在“失信被执行人”、“重大税收违法失信主体</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2"/>
          <w:sz w:val="28"/>
          <w:szCs w:val="28"/>
          <w:highlight w:val="none"/>
          <w:lang w:eastAsia="zh-CN"/>
        </w:rPr>
        <w:t>、“政府</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采购严重违法失信行为记录名单</w:t>
      </w:r>
      <w:r>
        <w:rPr>
          <w:rFonts w:hint="eastAsia" w:ascii="仿宋_GB2312" w:hAnsi="仿宋_GB2312" w:eastAsia="仿宋_GB2312" w:cs="仿宋_GB2312"/>
          <w:color w:val="auto"/>
          <w:spacing w:val="-92"/>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”情形的供应商，资格审查不合格，投标无</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效，同时其信用信息查询记录作为证据存档。</w:t>
      </w:r>
    </w:p>
    <w:p w14:paraId="2E38C4DD">
      <w:pPr>
        <w:pStyle w:val="10"/>
        <w:spacing w:before="47" w:line="301" w:lineRule="auto"/>
        <w:ind w:left="18" w:right="41"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11.4</w:t>
      </w:r>
      <w:r>
        <w:rPr>
          <w:rFonts w:hint="eastAsia" w:ascii="仿宋_GB2312" w:hAnsi="仿宋_GB2312" w:eastAsia="仿宋_GB2312" w:cs="仿宋_GB2312"/>
          <w:color w:val="auto"/>
          <w:spacing w:val="-3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两个以上的自然人、法人或者其他组织组成一个联合体，</w:t>
      </w:r>
      <w:r>
        <w:rPr>
          <w:rFonts w:hint="eastAsia" w:ascii="仿宋_GB2312" w:hAnsi="仿宋_GB2312" w:eastAsia="仿宋_GB2312" w:cs="仿宋_GB2312"/>
          <w:color w:val="auto"/>
          <w:spacing w:val="-78"/>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以一</w:t>
      </w:r>
      <w:r>
        <w:rPr>
          <w:rFonts w:hint="eastAsia" w:ascii="仿宋_GB2312" w:hAnsi="仿宋_GB2312" w:eastAsia="仿宋_GB2312" w:cs="仿宋_GB2312"/>
          <w:color w:val="auto"/>
          <w:spacing w:val="2"/>
          <w:sz w:val="28"/>
          <w:szCs w:val="28"/>
          <w:highlight w:val="none"/>
          <w:lang w:eastAsia="zh-CN"/>
        </w:rPr>
        <w:t>个供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应商的身份共同参加政府采购活动的，将对所有联</w:t>
      </w:r>
      <w:r>
        <w:rPr>
          <w:rFonts w:hint="eastAsia" w:ascii="仿宋_GB2312" w:hAnsi="仿宋_GB2312" w:eastAsia="仿宋_GB2312" w:cs="仿宋_GB2312"/>
          <w:color w:val="auto"/>
          <w:spacing w:val="8"/>
          <w:sz w:val="28"/>
          <w:szCs w:val="28"/>
          <w:highlight w:val="none"/>
          <w:lang w:eastAsia="zh-CN"/>
        </w:rPr>
        <w:t>合体成员进行信用记录查</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询，联合体成员存在不良信用记录的，视同联合体存在不良信用记录。</w:t>
      </w:r>
    </w:p>
    <w:p w14:paraId="52E52AB3">
      <w:pPr>
        <w:pStyle w:val="10"/>
        <w:spacing w:before="47" w:line="223" w:lineRule="auto"/>
        <w:ind w:left="581"/>
        <w:outlineLvl w:val="1"/>
        <w:rPr>
          <w:rFonts w:ascii="仿宋_GB2312" w:hAnsi="仿宋_GB2312" w:eastAsia="仿宋_GB2312" w:cs="仿宋_GB2312"/>
          <w:color w:val="auto"/>
          <w:sz w:val="28"/>
          <w:szCs w:val="28"/>
          <w:highlight w:val="none"/>
          <w:lang w:eastAsia="zh-CN"/>
        </w:rPr>
      </w:pPr>
      <w:bookmarkStart w:id="35" w:name="_Toc19396"/>
      <w:bookmarkStart w:id="36" w:name="_Toc31046"/>
      <w:r>
        <w:rPr>
          <w:rFonts w:hint="eastAsia" w:ascii="仿宋_GB2312" w:hAnsi="仿宋_GB2312" w:eastAsia="仿宋_GB2312" w:cs="仿宋_GB2312"/>
          <w:b/>
          <w:bCs/>
          <w:color w:val="auto"/>
          <w:spacing w:val="-7"/>
          <w:sz w:val="28"/>
          <w:szCs w:val="28"/>
          <w:highlight w:val="none"/>
          <w:lang w:eastAsia="zh-CN"/>
        </w:rPr>
        <w:t>（二）</w:t>
      </w:r>
      <w:bookmarkEnd w:id="35"/>
      <w:bookmarkEnd w:id="36"/>
      <w:r>
        <w:rPr>
          <w:rFonts w:hint="eastAsia" w:ascii="仿宋_GB2312" w:hAnsi="仿宋_GB2312" w:eastAsia="仿宋_GB2312" w:cs="仿宋_GB2312"/>
          <w:b/>
          <w:bCs/>
          <w:color w:val="auto"/>
          <w:spacing w:val="-7"/>
          <w:sz w:val="28"/>
          <w:szCs w:val="28"/>
          <w:highlight w:val="none"/>
          <w:lang w:eastAsia="zh-CN"/>
        </w:rPr>
        <w:t>采购文件</w:t>
      </w:r>
    </w:p>
    <w:p w14:paraId="3CA3FBC1">
      <w:pPr>
        <w:pStyle w:val="10"/>
        <w:spacing w:before="134" w:line="223" w:lineRule="auto"/>
        <w:ind w:left="593"/>
        <w:outlineLvl w:val="2"/>
        <w:rPr>
          <w:rFonts w:ascii="仿宋_GB2312" w:hAnsi="仿宋_GB2312" w:eastAsia="仿宋_GB2312" w:cs="仿宋_GB2312"/>
          <w:color w:val="auto"/>
          <w:sz w:val="28"/>
          <w:szCs w:val="28"/>
          <w:highlight w:val="none"/>
          <w:lang w:eastAsia="zh-CN"/>
        </w:rPr>
      </w:pPr>
      <w:bookmarkStart w:id="37" w:name="_Toc5206"/>
      <w:bookmarkStart w:id="38" w:name="_Toc17431"/>
      <w:r>
        <w:rPr>
          <w:rFonts w:hint="eastAsia" w:ascii="仿宋_GB2312" w:hAnsi="仿宋_GB2312" w:eastAsia="仿宋_GB2312" w:cs="仿宋_GB2312"/>
          <w:b/>
          <w:bCs/>
          <w:color w:val="auto"/>
          <w:spacing w:val="-5"/>
          <w:sz w:val="28"/>
          <w:szCs w:val="28"/>
          <w:highlight w:val="none"/>
          <w:lang w:eastAsia="zh-CN"/>
        </w:rPr>
        <w:t>12.</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采购文件的组成</w:t>
      </w:r>
      <w:bookmarkEnd w:id="37"/>
      <w:bookmarkEnd w:id="38"/>
    </w:p>
    <w:p w14:paraId="79FDF613">
      <w:pPr>
        <w:pStyle w:val="10"/>
        <w:spacing w:before="135" w:line="295" w:lineRule="auto"/>
        <w:ind w:left="590" w:right="552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12.1 采购文件包括下列内容</w:t>
      </w:r>
      <w:r>
        <w:rPr>
          <w:rFonts w:hint="eastAsia" w:ascii="仿宋_GB2312" w:hAnsi="仿宋_GB2312" w:eastAsia="仿宋_GB2312" w:cs="仿宋_GB2312"/>
          <w:color w:val="auto"/>
          <w:spacing w:val="1"/>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第一章</w:t>
      </w:r>
      <w:r>
        <w:rPr>
          <w:rFonts w:hint="eastAsia" w:ascii="仿宋_GB2312" w:hAnsi="仿宋_GB2312" w:eastAsia="仿宋_GB2312" w:cs="仿宋_GB2312"/>
          <w:color w:val="auto"/>
          <w:spacing w:val="18"/>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招标公告</w:t>
      </w:r>
    </w:p>
    <w:p w14:paraId="1ED62460">
      <w:pPr>
        <w:pStyle w:val="10"/>
        <w:spacing w:before="51" w:line="295" w:lineRule="auto"/>
        <w:ind w:left="590" w:right="468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第二章 投标须知前附表及投标须知</w:t>
      </w:r>
      <w:r>
        <w:rPr>
          <w:rFonts w:hint="eastAsia" w:ascii="仿宋_GB2312" w:hAnsi="仿宋_GB2312" w:eastAsia="仿宋_GB2312" w:cs="仿宋_GB2312"/>
          <w:color w:val="auto"/>
          <w:spacing w:val="1"/>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第三章</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合同条款</w:t>
      </w:r>
    </w:p>
    <w:p w14:paraId="183E38E4">
      <w:pPr>
        <w:pStyle w:val="10"/>
        <w:spacing w:before="47"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第四章</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采购需求</w:t>
      </w:r>
    </w:p>
    <w:p w14:paraId="26193748">
      <w:pPr>
        <w:pStyle w:val="10"/>
        <w:spacing w:before="135"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第五章 投标文件格式</w:t>
      </w:r>
    </w:p>
    <w:p w14:paraId="306A7E54">
      <w:pPr>
        <w:pStyle w:val="10"/>
        <w:spacing w:before="133" w:line="301" w:lineRule="auto"/>
        <w:ind w:left="18" w:right="38"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12.2</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招标的最小单位是标项。采购文件未分标项的，供</w:t>
      </w:r>
      <w:r>
        <w:rPr>
          <w:rFonts w:hint="eastAsia" w:ascii="仿宋_GB2312" w:hAnsi="仿宋_GB2312" w:eastAsia="仿宋_GB2312" w:cs="仿宋_GB2312"/>
          <w:b/>
          <w:bCs/>
          <w:color w:val="auto"/>
          <w:spacing w:val="2"/>
          <w:sz w:val="28"/>
          <w:szCs w:val="28"/>
          <w:highlight w:val="none"/>
          <w:lang w:eastAsia="zh-CN"/>
        </w:rPr>
        <w:t>应商须对全部招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标内容投标，不得部分投标；采购文件分标项的，供应商应当</w:t>
      </w:r>
      <w:r>
        <w:rPr>
          <w:rFonts w:hint="eastAsia" w:ascii="仿宋_GB2312" w:hAnsi="仿宋_GB2312" w:eastAsia="仿宋_GB2312" w:cs="仿宋_GB2312"/>
          <w:b/>
          <w:bCs/>
          <w:color w:val="auto"/>
          <w:spacing w:val="5"/>
          <w:sz w:val="28"/>
          <w:szCs w:val="28"/>
          <w:highlight w:val="none"/>
          <w:lang w:eastAsia="zh-CN"/>
        </w:rPr>
        <w:t>以标项为单位</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b/>
          <w:bCs/>
          <w:color w:val="auto"/>
          <w:sz w:val="28"/>
          <w:szCs w:val="28"/>
          <w:highlight w:val="none"/>
          <w:lang w:eastAsia="zh-CN"/>
        </w:rPr>
        <w:t>分别</w:t>
      </w:r>
      <w:r>
        <w:rPr>
          <w:rFonts w:hint="eastAsia" w:ascii="仿宋_GB2312" w:hAnsi="仿宋_GB2312" w:eastAsia="仿宋_GB2312" w:cs="仿宋_GB2312"/>
          <w:b/>
          <w:bCs/>
          <w:color w:val="auto"/>
          <w:spacing w:val="-7"/>
          <w:sz w:val="28"/>
          <w:szCs w:val="28"/>
          <w:highlight w:val="none"/>
          <w:lang w:eastAsia="zh-CN"/>
        </w:rPr>
        <w:t>编制并提交投标文件。</w:t>
      </w:r>
    </w:p>
    <w:p w14:paraId="007D26B3">
      <w:pPr>
        <w:pStyle w:val="10"/>
        <w:spacing w:before="44" w:line="297" w:lineRule="auto"/>
        <w:ind w:left="22" w:right="42" w:firstLine="56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12.3 采购文件如果要求供应商提交备选投标方案的，供应商可以提</w:t>
      </w:r>
      <w:r>
        <w:rPr>
          <w:rFonts w:hint="eastAsia" w:ascii="仿宋_GB2312" w:hAnsi="仿宋_GB2312" w:eastAsia="仿宋_GB2312" w:cs="仿宋_GB2312"/>
          <w:color w:val="auto"/>
          <w:spacing w:val="3"/>
          <w:sz w:val="28"/>
          <w:szCs w:val="28"/>
          <w:highlight w:val="none"/>
          <w:lang w:eastAsia="zh-CN"/>
        </w:rPr>
        <w:t>交备</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选方案；否则，备选方案将被拒绝。</w:t>
      </w:r>
    </w:p>
    <w:p w14:paraId="5C424DC2">
      <w:pPr>
        <w:pStyle w:val="10"/>
        <w:spacing w:before="46" w:line="295" w:lineRule="auto"/>
        <w:ind w:left="24" w:right="42" w:firstLine="56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12.4 采购文件由本文件及由采购人按采购文件有关规定发出的采购文件</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补充构成。</w:t>
      </w:r>
    </w:p>
    <w:p w14:paraId="76ADF62C">
      <w:pPr>
        <w:pStyle w:val="10"/>
        <w:spacing w:before="49" w:line="296" w:lineRule="auto"/>
        <w:ind w:left="55" w:right="42" w:firstLine="53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12.5  采购文件的澄清、修改、招标答疑会纪要等书面材料在本招标</w:t>
      </w:r>
      <w:r>
        <w:rPr>
          <w:rFonts w:hint="eastAsia" w:ascii="仿宋_GB2312" w:hAnsi="仿宋_GB2312" w:eastAsia="仿宋_GB2312" w:cs="仿宋_GB2312"/>
          <w:color w:val="auto"/>
          <w:spacing w:val="3"/>
          <w:sz w:val="28"/>
          <w:szCs w:val="28"/>
          <w:highlight w:val="none"/>
          <w:lang w:eastAsia="zh-CN"/>
        </w:rPr>
        <w:t>项目</w:t>
      </w:r>
      <w:r>
        <w:rPr>
          <w:rFonts w:hint="eastAsia" w:ascii="仿宋_GB2312" w:hAnsi="仿宋_GB2312" w:eastAsia="仿宋_GB2312" w:cs="仿宋_GB2312"/>
          <w:color w:val="auto"/>
          <w:spacing w:val="-8"/>
          <w:sz w:val="28"/>
          <w:szCs w:val="28"/>
          <w:highlight w:val="none"/>
          <w:lang w:eastAsia="zh-CN"/>
        </w:rPr>
        <w:t>中均称为采购文件补充。</w:t>
      </w:r>
    </w:p>
    <w:p w14:paraId="0AC9F478">
      <w:pPr>
        <w:spacing w:line="296" w:lineRule="auto"/>
        <w:rPr>
          <w:rFonts w:ascii="仿宋_GB2312" w:hAnsi="仿宋_GB2312" w:eastAsia="仿宋_GB2312" w:cs="仿宋_GB2312"/>
          <w:color w:val="auto"/>
          <w:sz w:val="28"/>
          <w:szCs w:val="28"/>
          <w:highlight w:val="none"/>
          <w:lang w:eastAsia="zh-CN"/>
        </w:rPr>
        <w:sectPr>
          <w:footerReference r:id="rId9" w:type="default"/>
          <w:pgSz w:w="11906" w:h="16838"/>
          <w:pgMar w:top="1161" w:right="1058" w:bottom="1517" w:left="1258" w:header="861" w:footer="1237" w:gutter="0"/>
          <w:pgNumType w:fmt="numberInDash"/>
          <w:cols w:space="720" w:num="1"/>
        </w:sectPr>
      </w:pPr>
    </w:p>
    <w:p w14:paraId="00B44417">
      <w:pPr>
        <w:pStyle w:val="10"/>
        <w:spacing w:before="319" w:line="303" w:lineRule="auto"/>
        <w:ind w:left="28" w:right="38"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12.6 采购文件补充作为采购文件的组成部分，对供应商起同等约束作</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用。如果采购文件补充内容与在此采购文件补充发出之前的采购文件等书面材</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料中相关内容相冲突，请供应商执行采购文件补充的相关内容，先前发出的招</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标文件等书面材料中相关内容自动废止。</w:t>
      </w:r>
    </w:p>
    <w:p w14:paraId="1EA4C514">
      <w:pPr>
        <w:pStyle w:val="10"/>
        <w:spacing w:before="49" w:line="303" w:lineRule="auto"/>
        <w:ind w:right="38" w:firstLine="600"/>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12.7 供应商应认真审阅和理解采购文件所有内容，尤其注意可能引起</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“否决投标</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”、“拒绝</w:t>
      </w:r>
      <w:r>
        <w:rPr>
          <w:rFonts w:hint="eastAsia" w:ascii="仿宋_GB2312" w:hAnsi="仿宋_GB2312" w:eastAsia="仿宋_GB2312" w:cs="仿宋_GB2312"/>
          <w:color w:val="auto"/>
          <w:spacing w:val="-103"/>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”、“投标无效”、“评审不予通</w:t>
      </w:r>
      <w:r>
        <w:rPr>
          <w:rFonts w:hint="eastAsia" w:ascii="仿宋_GB2312" w:hAnsi="仿宋_GB2312" w:eastAsia="仿宋_GB2312" w:cs="仿宋_GB2312"/>
          <w:color w:val="auto"/>
          <w:spacing w:val="-3"/>
          <w:sz w:val="28"/>
          <w:szCs w:val="28"/>
          <w:highlight w:val="none"/>
          <w:lang w:eastAsia="zh-CN"/>
        </w:rPr>
        <w:t>过</w:t>
      </w:r>
      <w:r>
        <w:rPr>
          <w:rFonts w:hint="eastAsia" w:ascii="仿宋_GB2312" w:hAnsi="仿宋_GB2312" w:eastAsia="仿宋_GB2312" w:cs="仿宋_GB2312"/>
          <w:color w:val="auto"/>
          <w:spacing w:val="-103"/>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”等的条款，按照</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采购文件要求编制投标文件。任何对采购文件的忽略或误解不能作为投标文件</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存在缺陷或瑕疵的理由，其风险由供应商承担。</w:t>
      </w:r>
    </w:p>
    <w:p w14:paraId="322955E0">
      <w:pPr>
        <w:pStyle w:val="10"/>
        <w:spacing w:before="50" w:line="223" w:lineRule="auto"/>
        <w:ind w:left="602"/>
        <w:outlineLvl w:val="2"/>
        <w:rPr>
          <w:rFonts w:ascii="仿宋_GB2312" w:hAnsi="仿宋_GB2312" w:eastAsia="仿宋_GB2312" w:cs="仿宋_GB2312"/>
          <w:color w:val="auto"/>
          <w:sz w:val="28"/>
          <w:szCs w:val="28"/>
          <w:highlight w:val="none"/>
          <w:lang w:eastAsia="zh-CN"/>
        </w:rPr>
      </w:pPr>
      <w:bookmarkStart w:id="39" w:name="_Toc7249"/>
      <w:bookmarkStart w:id="40" w:name="_Toc18107"/>
      <w:r>
        <w:rPr>
          <w:rFonts w:hint="eastAsia" w:ascii="仿宋_GB2312" w:hAnsi="仿宋_GB2312" w:eastAsia="仿宋_GB2312" w:cs="仿宋_GB2312"/>
          <w:b/>
          <w:bCs/>
          <w:color w:val="auto"/>
          <w:spacing w:val="-5"/>
          <w:sz w:val="28"/>
          <w:szCs w:val="28"/>
          <w:highlight w:val="none"/>
          <w:lang w:eastAsia="zh-CN"/>
        </w:rPr>
        <w:t>13.</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采购文件的获取</w:t>
      </w:r>
      <w:bookmarkEnd w:id="39"/>
      <w:bookmarkEnd w:id="40"/>
    </w:p>
    <w:p w14:paraId="76D04DE6">
      <w:pPr>
        <w:pStyle w:val="10"/>
        <w:spacing w:before="131" w:line="297" w:lineRule="auto"/>
        <w:ind w:left="29" w:right="46" w:firstLine="57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13.1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采购文件的提供期限自开始发出之日起不得少于五个工作日，具体</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期限见招标公告。</w:t>
      </w:r>
    </w:p>
    <w:p w14:paraId="304958BE">
      <w:pPr>
        <w:pStyle w:val="10"/>
        <w:spacing w:before="43" w:line="295" w:lineRule="auto"/>
        <w:ind w:left="55" w:right="46" w:firstLine="54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13.2</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凡符合资格要求并有意参加投标的供应商，均可在本项目公告发布平</w:t>
      </w:r>
      <w:r>
        <w:rPr>
          <w:rFonts w:hint="eastAsia" w:ascii="仿宋_GB2312" w:hAnsi="仿宋_GB2312" w:eastAsia="仿宋_GB2312" w:cs="仿宋_GB2312"/>
          <w:color w:val="auto"/>
          <w:spacing w:val="-7"/>
          <w:sz w:val="28"/>
          <w:szCs w:val="28"/>
          <w:highlight w:val="none"/>
          <w:lang w:eastAsia="zh-CN"/>
        </w:rPr>
        <w:t>台免费获取采购文件。</w:t>
      </w:r>
    </w:p>
    <w:p w14:paraId="08DE4D90">
      <w:pPr>
        <w:pStyle w:val="10"/>
        <w:spacing w:before="50" w:line="223" w:lineRule="auto"/>
        <w:ind w:left="602"/>
        <w:outlineLvl w:val="2"/>
        <w:rPr>
          <w:rFonts w:ascii="仿宋_GB2312" w:hAnsi="仿宋_GB2312" w:eastAsia="仿宋_GB2312" w:cs="仿宋_GB2312"/>
          <w:color w:val="auto"/>
          <w:sz w:val="28"/>
          <w:szCs w:val="28"/>
          <w:highlight w:val="none"/>
          <w:lang w:eastAsia="zh-CN"/>
        </w:rPr>
      </w:pPr>
      <w:bookmarkStart w:id="41" w:name="_Toc11918"/>
      <w:bookmarkStart w:id="42" w:name="_Toc18155"/>
      <w:r>
        <w:rPr>
          <w:rFonts w:hint="eastAsia" w:ascii="仿宋_GB2312" w:hAnsi="仿宋_GB2312" w:eastAsia="仿宋_GB2312" w:cs="仿宋_GB2312"/>
          <w:b/>
          <w:bCs/>
          <w:color w:val="auto"/>
          <w:spacing w:val="-4"/>
          <w:sz w:val="28"/>
          <w:szCs w:val="28"/>
          <w:highlight w:val="none"/>
          <w:lang w:eastAsia="zh-CN"/>
        </w:rPr>
        <w:t>14.</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采购文件的澄清或修改</w:t>
      </w:r>
      <w:bookmarkEnd w:id="41"/>
      <w:bookmarkEnd w:id="42"/>
    </w:p>
    <w:p w14:paraId="53524D4D">
      <w:pPr>
        <w:pStyle w:val="10"/>
        <w:spacing w:before="137" w:line="305" w:lineRule="auto"/>
        <w:ind w:left="29" w:right="38"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供应商若对采购文件有任何疑问，应当在获取采购文件或者招标文</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件公告期限届满之日起</w:t>
      </w:r>
      <w:r>
        <w:rPr>
          <w:rFonts w:hint="eastAsia" w:ascii="仿宋_GB2312" w:hAnsi="仿宋_GB2312" w:eastAsia="仿宋_GB2312" w:cs="仿宋_GB2312"/>
          <w:color w:val="auto"/>
          <w:spacing w:val="-52"/>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7</w:t>
      </w:r>
      <w:r>
        <w:rPr>
          <w:rFonts w:hint="eastAsia" w:ascii="仿宋_GB2312" w:hAnsi="仿宋_GB2312" w:eastAsia="仿宋_GB2312" w:cs="仿宋_GB2312"/>
          <w:color w:val="auto"/>
          <w:spacing w:val="-52"/>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个工作日内提出。本项目接受对采购文件质疑的截止</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时间见“前附表</w:t>
      </w:r>
      <w:r>
        <w:rPr>
          <w:rFonts w:hint="eastAsia" w:ascii="仿宋_GB2312" w:hAnsi="仿宋_GB2312" w:eastAsia="仿宋_GB2312" w:cs="仿宋_GB2312"/>
          <w:color w:val="auto"/>
          <w:spacing w:val="-8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”，供应商须在截止时间前一次性提出对采购文件质</w:t>
      </w:r>
      <w:r>
        <w:rPr>
          <w:rFonts w:hint="eastAsia" w:ascii="仿宋_GB2312" w:hAnsi="仿宋_GB2312" w:eastAsia="仿宋_GB2312" w:cs="仿宋_GB2312"/>
          <w:color w:val="auto"/>
          <w:sz w:val="28"/>
          <w:szCs w:val="28"/>
          <w:highlight w:val="none"/>
          <w:lang w:eastAsia="zh-CN"/>
        </w:rPr>
        <w:t>疑内容。供应商提出质疑应当提交质疑函和必要的证明材料。质疑函应当包括</w:t>
      </w:r>
      <w:r>
        <w:rPr>
          <w:rFonts w:hint="eastAsia" w:ascii="仿宋_GB2312" w:hAnsi="仿宋_GB2312" w:eastAsia="仿宋_GB2312" w:cs="仿宋_GB2312"/>
          <w:color w:val="auto"/>
          <w:spacing w:val="-12"/>
          <w:sz w:val="28"/>
          <w:szCs w:val="28"/>
          <w:highlight w:val="none"/>
          <w:lang w:eastAsia="zh-CN"/>
        </w:rPr>
        <w:t>下列内容：</w:t>
      </w:r>
    </w:p>
    <w:p w14:paraId="176C6176">
      <w:pPr>
        <w:pStyle w:val="10"/>
        <w:spacing w:before="45" w:line="295" w:lineRule="auto"/>
        <w:ind w:left="600" w:right="89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14.1.1</w:t>
      </w:r>
      <w:r>
        <w:rPr>
          <w:rFonts w:hint="eastAsia" w:ascii="仿宋_GB2312" w:hAnsi="仿宋_GB2312" w:eastAsia="仿宋_GB2312" w:cs="仿宋_GB2312"/>
          <w:color w:val="auto"/>
          <w:spacing w:val="-5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供应商的姓名或者名称、地址</w:t>
      </w:r>
      <w:r>
        <w:rPr>
          <w:rFonts w:hint="eastAsia" w:ascii="仿宋_GB2312" w:hAnsi="仿宋_GB2312" w:eastAsia="仿宋_GB2312" w:cs="仿宋_GB2312"/>
          <w:color w:val="auto"/>
          <w:spacing w:val="-4"/>
          <w:sz w:val="28"/>
          <w:szCs w:val="28"/>
          <w:highlight w:val="none"/>
          <w:lang w:eastAsia="zh-CN"/>
        </w:rPr>
        <w:t>、邮编、联系人及联系电话；</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14.1.2</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质疑项目的名称、编号；</w:t>
      </w:r>
    </w:p>
    <w:p w14:paraId="33E3A138">
      <w:pPr>
        <w:pStyle w:val="10"/>
        <w:spacing w:before="49" w:line="297" w:lineRule="auto"/>
        <w:ind w:left="600" w:right="201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14.1.3</w:t>
      </w:r>
      <w:r>
        <w:rPr>
          <w:rFonts w:hint="eastAsia" w:ascii="仿宋_GB2312" w:hAnsi="仿宋_GB2312" w:eastAsia="仿宋_GB2312" w:cs="仿宋_GB2312"/>
          <w:color w:val="auto"/>
          <w:spacing w:val="-48"/>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具体、明确的质疑事项和与质疑事项相关的请求；</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14.1.4</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事实依据；</w:t>
      </w:r>
    </w:p>
    <w:p w14:paraId="3EACA168">
      <w:pPr>
        <w:pStyle w:val="10"/>
        <w:spacing w:before="43" w:line="297" w:lineRule="auto"/>
        <w:ind w:left="600" w:right="591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14.1.5</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必要的法律依据；</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14.1.6</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提出质疑的日期。</w:t>
      </w:r>
    </w:p>
    <w:p w14:paraId="7FB8F83B">
      <w:pPr>
        <w:pStyle w:val="10"/>
        <w:spacing w:before="43" w:line="301" w:lineRule="auto"/>
        <w:ind w:left="30" w:right="38" w:firstLine="55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供应商为自然人的，应当由本人签字；供应商为法人或者其他组织的，应</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当由法定代表人、主要负责人，或者其授权代表签字或者盖章，并加盖投标单</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位公章。</w:t>
      </w:r>
    </w:p>
    <w:p w14:paraId="7617ED63">
      <w:pPr>
        <w:pStyle w:val="10"/>
        <w:spacing w:before="47" w:line="222" w:lineRule="auto"/>
        <w:ind w:right="46"/>
        <w:jc w:val="right"/>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14.2</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采购人可以对已发出的采购文件进行必要澄清或者修改，澄清或者</w:t>
      </w:r>
    </w:p>
    <w:p w14:paraId="0EFAD5D8">
      <w:pPr>
        <w:spacing w:line="222" w:lineRule="auto"/>
        <w:rPr>
          <w:rFonts w:ascii="仿宋_GB2312" w:hAnsi="仿宋_GB2312" w:eastAsia="仿宋_GB2312" w:cs="仿宋_GB2312"/>
          <w:color w:val="auto"/>
          <w:sz w:val="28"/>
          <w:szCs w:val="28"/>
          <w:highlight w:val="none"/>
          <w:lang w:eastAsia="zh-CN"/>
        </w:rPr>
        <w:sectPr>
          <w:headerReference r:id="rId10" w:type="default"/>
          <w:footerReference r:id="rId11" w:type="default"/>
          <w:pgSz w:w="11906" w:h="16838"/>
          <w:pgMar w:top="1161" w:right="1058" w:bottom="1517" w:left="1249" w:header="861" w:footer="1237" w:gutter="0"/>
          <w:pgNumType w:fmt="numberInDash"/>
          <w:cols w:space="720" w:num="1"/>
        </w:sectPr>
      </w:pPr>
    </w:p>
    <w:p w14:paraId="47EA8214">
      <w:pPr>
        <w:pStyle w:val="10"/>
        <w:spacing w:before="317" w:line="304" w:lineRule="auto"/>
        <w:ind w:left="18" w:right="38"/>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修改的内容可能影响投标文件编制的，采购人或者采购代理机构应当在投标截</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止时间至少15日前，以发布公告或书面形式通知所有获取采购文件的潜在投</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标人；不足15日的，采购人或者采购代理机构应当顺延提交投标文件的截止</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时间。</w:t>
      </w:r>
    </w:p>
    <w:p w14:paraId="0A8D2577">
      <w:pPr>
        <w:pStyle w:val="10"/>
        <w:spacing w:before="47" w:line="305" w:lineRule="auto"/>
        <w:ind w:left="21" w:right="38" w:firstLine="56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投标文件递交截止时间前，供应商须随时关注本项目招标公告发布</w:t>
      </w:r>
      <w:r>
        <w:rPr>
          <w:rFonts w:hint="eastAsia" w:ascii="仿宋_GB2312" w:hAnsi="仿宋_GB2312" w:eastAsia="仿宋_GB2312" w:cs="仿宋_GB2312"/>
          <w:color w:val="auto"/>
          <w:sz w:val="28"/>
          <w:szCs w:val="28"/>
          <w:highlight w:val="none"/>
          <w:lang w:eastAsia="zh-CN"/>
        </w:rPr>
        <w:t xml:space="preserve"> 网站上本项目的最新的变更公告、更正公告、澄清公告等相关信息，并对上述</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查看行为自行承担责任；供应商对索取书面修改或者澄清文件或者查阅电子修</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改或者澄清文件的行为自行承担责任，在投标截止时间后递交的投标文件视为</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无效投标文件。</w:t>
      </w:r>
    </w:p>
    <w:p w14:paraId="63E304CB">
      <w:pPr>
        <w:pStyle w:val="10"/>
        <w:spacing w:before="43" w:line="223" w:lineRule="auto"/>
        <w:ind w:left="593"/>
        <w:outlineLvl w:val="2"/>
        <w:rPr>
          <w:rFonts w:ascii="仿宋_GB2312" w:hAnsi="仿宋_GB2312" w:eastAsia="仿宋_GB2312" w:cs="仿宋_GB2312"/>
          <w:color w:val="auto"/>
          <w:sz w:val="28"/>
          <w:szCs w:val="28"/>
          <w:highlight w:val="none"/>
          <w:lang w:eastAsia="zh-CN"/>
        </w:rPr>
      </w:pPr>
      <w:bookmarkStart w:id="43" w:name="_Toc3376"/>
      <w:bookmarkStart w:id="44" w:name="_Toc6215"/>
      <w:r>
        <w:rPr>
          <w:rFonts w:hint="eastAsia" w:ascii="仿宋_GB2312" w:hAnsi="仿宋_GB2312" w:eastAsia="仿宋_GB2312" w:cs="仿宋_GB2312"/>
          <w:b/>
          <w:bCs/>
          <w:color w:val="auto"/>
          <w:spacing w:val="-9"/>
          <w:sz w:val="28"/>
          <w:szCs w:val="28"/>
          <w:highlight w:val="none"/>
          <w:lang w:eastAsia="zh-CN"/>
        </w:rPr>
        <w:t>15.</w:t>
      </w:r>
      <w:r>
        <w:rPr>
          <w:rFonts w:hint="eastAsia" w:ascii="仿宋_GB2312" w:hAnsi="仿宋_GB2312" w:eastAsia="仿宋_GB2312" w:cs="仿宋_GB2312"/>
          <w:color w:val="auto"/>
          <w:spacing w:val="19"/>
          <w:sz w:val="28"/>
          <w:szCs w:val="28"/>
          <w:highlight w:val="none"/>
          <w:lang w:eastAsia="zh-CN"/>
        </w:rPr>
        <w:t xml:space="preserve"> </w:t>
      </w:r>
      <w:r>
        <w:rPr>
          <w:rFonts w:hint="eastAsia" w:ascii="仿宋_GB2312" w:hAnsi="仿宋_GB2312" w:eastAsia="仿宋_GB2312" w:cs="仿宋_GB2312"/>
          <w:b/>
          <w:bCs/>
          <w:color w:val="auto"/>
          <w:spacing w:val="-9"/>
          <w:sz w:val="28"/>
          <w:szCs w:val="28"/>
          <w:highlight w:val="none"/>
          <w:lang w:eastAsia="zh-CN"/>
        </w:rPr>
        <w:t>投标报价</w:t>
      </w:r>
      <w:bookmarkEnd w:id="43"/>
      <w:bookmarkEnd w:id="44"/>
    </w:p>
    <w:p w14:paraId="173BD34A">
      <w:pPr>
        <w:pStyle w:val="10"/>
        <w:spacing w:before="134"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15.1 本招标项目使用的货币为</w:t>
      </w:r>
      <w:r>
        <w:rPr>
          <w:rFonts w:hint="eastAsia" w:ascii="仿宋_GB2312" w:hAnsi="仿宋_GB2312" w:eastAsia="仿宋_GB2312" w:cs="仿宋_GB2312"/>
          <w:color w:val="auto"/>
          <w:spacing w:val="-1"/>
          <w:sz w:val="28"/>
          <w:szCs w:val="28"/>
          <w:highlight w:val="none"/>
          <w:u w:val="single"/>
          <w:lang w:eastAsia="zh-CN"/>
        </w:rPr>
        <w:t xml:space="preserve"> 人民币</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，实施时亦以</w:t>
      </w:r>
      <w:r>
        <w:rPr>
          <w:rFonts w:hint="eastAsia" w:ascii="仿宋_GB2312" w:hAnsi="仿宋_GB2312" w:eastAsia="仿宋_GB2312" w:cs="仿宋_GB2312"/>
          <w:color w:val="auto"/>
          <w:spacing w:val="-2"/>
          <w:sz w:val="28"/>
          <w:szCs w:val="28"/>
          <w:highlight w:val="none"/>
          <w:u w:val="single"/>
          <w:lang w:eastAsia="zh-CN"/>
        </w:rPr>
        <w:t xml:space="preserve"> 人民币</w:t>
      </w:r>
      <w:r>
        <w:rPr>
          <w:rFonts w:hint="eastAsia" w:ascii="仿宋_GB2312" w:hAnsi="仿宋_GB2312" w:eastAsia="仿宋_GB2312" w:cs="仿宋_GB2312"/>
          <w:color w:val="auto"/>
          <w:spacing w:val="17"/>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支付。</w:t>
      </w:r>
    </w:p>
    <w:p w14:paraId="6D2574CE">
      <w:pPr>
        <w:pStyle w:val="10"/>
        <w:spacing w:before="133" w:line="301" w:lineRule="auto"/>
        <w:ind w:left="20" w:right="38" w:firstLine="57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15.2 投标报价为本采购文件所确定的招标范围内的全部工作内容的</w:t>
      </w:r>
      <w:r>
        <w:rPr>
          <w:rFonts w:hint="eastAsia" w:ascii="仿宋_GB2312" w:hAnsi="仿宋_GB2312" w:eastAsia="仿宋_GB2312" w:cs="仿宋_GB2312"/>
          <w:color w:val="auto"/>
          <w:spacing w:val="3"/>
          <w:sz w:val="28"/>
          <w:szCs w:val="28"/>
          <w:highlight w:val="none"/>
          <w:lang w:eastAsia="zh-CN"/>
        </w:rPr>
        <w:t>价格</w:t>
      </w:r>
      <w:r>
        <w:rPr>
          <w:rFonts w:hint="eastAsia" w:ascii="仿宋_GB2312" w:hAnsi="仿宋_GB2312" w:eastAsia="仿宋_GB2312" w:cs="仿宋_GB2312"/>
          <w:color w:val="auto"/>
          <w:sz w:val="28"/>
          <w:szCs w:val="28"/>
          <w:highlight w:val="none"/>
          <w:lang w:eastAsia="zh-CN"/>
        </w:rPr>
        <w:t xml:space="preserve"> 体现。任何有选择的报价将不予接受（除非采购人另有约定</w:t>
      </w:r>
      <w:r>
        <w:rPr>
          <w:rFonts w:hint="eastAsia" w:ascii="仿宋_GB2312" w:hAnsi="仿宋_GB2312" w:eastAsia="仿宋_GB2312" w:cs="仿宋_GB2312"/>
          <w:color w:val="auto"/>
          <w:spacing w:val="4"/>
          <w:sz w:val="28"/>
          <w:szCs w:val="28"/>
          <w:highlight w:val="none"/>
          <w:lang w:eastAsia="zh-CN"/>
        </w:rPr>
        <w:t>），</w:t>
      </w:r>
      <w:r>
        <w:rPr>
          <w:rFonts w:hint="eastAsia" w:ascii="仿宋_GB2312" w:hAnsi="仿宋_GB2312" w:eastAsia="仿宋_GB2312" w:cs="仿宋_GB2312"/>
          <w:color w:val="auto"/>
          <w:sz w:val="28"/>
          <w:szCs w:val="28"/>
          <w:highlight w:val="none"/>
          <w:lang w:eastAsia="zh-CN"/>
        </w:rPr>
        <w:t xml:space="preserve">否则，在评标 </w:t>
      </w:r>
      <w:r>
        <w:rPr>
          <w:rFonts w:hint="eastAsia" w:ascii="仿宋_GB2312" w:hAnsi="仿宋_GB2312" w:eastAsia="仿宋_GB2312" w:cs="仿宋_GB2312"/>
          <w:color w:val="auto"/>
          <w:spacing w:val="-2"/>
          <w:sz w:val="28"/>
          <w:szCs w:val="28"/>
          <w:highlight w:val="none"/>
          <w:lang w:eastAsia="zh-CN"/>
        </w:rPr>
        <w:t>时将视为投标无效。</w:t>
      </w:r>
    </w:p>
    <w:p w14:paraId="50FEE225">
      <w:pPr>
        <w:pStyle w:val="10"/>
        <w:spacing w:before="48" w:line="305" w:lineRule="auto"/>
        <w:ind w:left="20" w:right="38" w:firstLine="57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所有投标报价均以人民币元为计算单位。只要投报了一个确定数额</w:t>
      </w:r>
      <w:r>
        <w:rPr>
          <w:rFonts w:hint="eastAsia" w:ascii="仿宋_GB2312" w:hAnsi="仿宋_GB2312" w:eastAsia="仿宋_GB2312" w:cs="仿宋_GB2312"/>
          <w:color w:val="auto"/>
          <w:sz w:val="28"/>
          <w:szCs w:val="28"/>
          <w:highlight w:val="none"/>
          <w:lang w:eastAsia="zh-CN"/>
        </w:rPr>
        <w:t xml:space="preserve"> 的总价，无论分项价格是否全部填报了相应的金额或免费字样，报价应被视为</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已经包含了但并不限于各项购买货物、服务等的费用和所需缴纳的所有税、费</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等。在其他情况下，由于分项报价填报不完整、不清楚或存在其他任何失误，</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所导致的任何不利后果均应当由供应商自行承担。</w:t>
      </w:r>
    </w:p>
    <w:p w14:paraId="5D368114">
      <w:pPr>
        <w:pStyle w:val="10"/>
        <w:spacing w:before="49" w:line="295" w:lineRule="auto"/>
        <w:ind w:left="25" w:right="46" w:firstLine="56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15.4</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供应商应按本文件给定的格式填报《开标一览表》及《分项报价明</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细表》，《开标一览表》中价格填报处不应有空白，如无费用可填报“/</w:t>
      </w:r>
      <w:r>
        <w:rPr>
          <w:rFonts w:hint="eastAsia" w:ascii="仿宋_GB2312" w:hAnsi="仿宋_GB2312" w:eastAsia="仿宋_GB2312" w:cs="仿宋_GB2312"/>
          <w:color w:val="auto"/>
          <w:spacing w:val="-9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w:t>
      </w:r>
    </w:p>
    <w:p w14:paraId="0F02BBBA">
      <w:pPr>
        <w:pStyle w:val="10"/>
        <w:spacing w:before="44" w:line="306" w:lineRule="auto"/>
        <w:ind w:left="18" w:right="38"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15.5</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供应商对投标报价若有说明应在《开标一览表》显著处注明，只有</w:t>
      </w:r>
      <w:r>
        <w:rPr>
          <w:rFonts w:hint="eastAsia" w:ascii="仿宋_GB2312" w:hAnsi="仿宋_GB2312" w:eastAsia="仿宋_GB2312" w:cs="仿宋_GB2312"/>
          <w:color w:val="auto"/>
          <w:sz w:val="28"/>
          <w:szCs w:val="28"/>
          <w:highlight w:val="none"/>
          <w:lang w:eastAsia="zh-CN"/>
        </w:rPr>
        <w:t xml:space="preserve"> 开标时唱出的报价和优惠才会在评标时予以考虑。报价优惠应对应《开标一览</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表》及《分项报价明细表》提供相应的明细清单。除报价优惠外，任何超出招</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标文件要求而额外赠送的货物、免费培训等其他形式的优惠，将不被允许并不</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予接受。</w:t>
      </w:r>
    </w:p>
    <w:p w14:paraId="76E891C7">
      <w:pPr>
        <w:pStyle w:val="10"/>
        <w:spacing w:before="44" w:line="301" w:lineRule="auto"/>
        <w:ind w:left="19" w:right="38"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15.6</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对于有配件、耗材、选件和特殊工具的货物，还应填报投标货物配</w:t>
      </w:r>
      <w:r>
        <w:rPr>
          <w:rFonts w:hint="eastAsia" w:ascii="仿宋_GB2312" w:hAnsi="仿宋_GB2312" w:eastAsia="仿宋_GB2312" w:cs="仿宋_GB2312"/>
          <w:color w:val="auto"/>
          <w:sz w:val="28"/>
          <w:szCs w:val="28"/>
          <w:highlight w:val="none"/>
          <w:lang w:eastAsia="zh-CN"/>
        </w:rPr>
        <w:t xml:space="preserve"> 件、耗材、选件表和备件及特殊工具清单，注明品牌、型号、产地、功能、单</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价等内容，如采购文件未提供相关格式的，应由供应商自行设计编</w:t>
      </w:r>
      <w:r>
        <w:rPr>
          <w:rFonts w:hint="eastAsia" w:ascii="仿宋_GB2312" w:hAnsi="仿宋_GB2312" w:eastAsia="仿宋_GB2312" w:cs="仿宋_GB2312"/>
          <w:color w:val="auto"/>
          <w:spacing w:val="-2"/>
          <w:sz w:val="28"/>
          <w:szCs w:val="28"/>
          <w:highlight w:val="none"/>
          <w:lang w:eastAsia="zh-CN"/>
        </w:rPr>
        <w:t>写。</w:t>
      </w:r>
    </w:p>
    <w:p w14:paraId="532D7CDF">
      <w:pPr>
        <w:spacing w:line="301" w:lineRule="auto"/>
        <w:rPr>
          <w:rFonts w:ascii="仿宋_GB2312" w:hAnsi="仿宋_GB2312" w:eastAsia="仿宋_GB2312" w:cs="仿宋_GB2312"/>
          <w:color w:val="auto"/>
          <w:sz w:val="28"/>
          <w:szCs w:val="28"/>
          <w:highlight w:val="none"/>
          <w:lang w:eastAsia="zh-CN"/>
        </w:rPr>
        <w:sectPr>
          <w:headerReference r:id="rId12" w:type="default"/>
          <w:footerReference r:id="rId13" w:type="default"/>
          <w:pgSz w:w="11906" w:h="16838"/>
          <w:pgMar w:top="1161" w:right="1058" w:bottom="1517" w:left="1258" w:header="861" w:footer="1236" w:gutter="0"/>
          <w:pgNumType w:fmt="numberInDash"/>
          <w:cols w:space="720" w:num="1"/>
        </w:sectPr>
      </w:pPr>
    </w:p>
    <w:p w14:paraId="131C6157">
      <w:pPr>
        <w:pStyle w:val="10"/>
        <w:spacing w:before="317" w:line="304" w:lineRule="auto"/>
        <w:ind w:left="18" w:right="38"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15.7</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供应商的任何错漏、优惠、竞争性报价不得作为减轻责任、减少服</w:t>
      </w:r>
      <w:r>
        <w:rPr>
          <w:rFonts w:hint="eastAsia" w:ascii="仿宋_GB2312" w:hAnsi="仿宋_GB2312" w:eastAsia="仿宋_GB2312" w:cs="仿宋_GB2312"/>
          <w:color w:val="auto"/>
          <w:sz w:val="28"/>
          <w:szCs w:val="28"/>
          <w:highlight w:val="none"/>
          <w:lang w:eastAsia="zh-CN"/>
        </w:rPr>
        <w:t xml:space="preserve"> 务、增加收费、降低质量的理由。供应商必须自行考虑本项目在实施期间的一</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切可能产生的费用。在合同执行过程中，采购人将不再另行支付与本项目相关</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的任何费用。</w:t>
      </w:r>
    </w:p>
    <w:p w14:paraId="42CEF06A">
      <w:pPr>
        <w:pStyle w:val="10"/>
        <w:spacing w:before="44" w:line="297" w:lineRule="auto"/>
        <w:ind w:left="27" w:right="46" w:firstLine="56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15.8</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投标文件报价出现前后不一致的，除采购文件另有规定外，按照下</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列规定修正：</w:t>
      </w:r>
    </w:p>
    <w:p w14:paraId="17E9F9FD">
      <w:pPr>
        <w:pStyle w:val="10"/>
        <w:spacing w:before="43" w:line="267" w:lineRule="auto"/>
        <w:ind w:left="48" w:right="99" w:firstLine="53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（一）投标文件中《开标一览表》内容与投标文件中相应内容不一致的，</w:t>
      </w:r>
      <w:r>
        <w:rPr>
          <w:rFonts w:hint="eastAsia" w:ascii="仿宋_GB2312" w:hAnsi="仿宋_GB2312" w:eastAsia="仿宋_GB2312" w:cs="仿宋_GB2312"/>
          <w:color w:val="auto"/>
          <w:spacing w:val="12"/>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以《开标一览表》为准；</w:t>
      </w:r>
    </w:p>
    <w:p w14:paraId="06280C78">
      <w:pPr>
        <w:pStyle w:val="10"/>
        <w:spacing w:before="134" w:line="223" w:lineRule="auto"/>
        <w:ind w:left="579"/>
        <w:outlineLvl w:val="1"/>
        <w:rPr>
          <w:rFonts w:ascii="仿宋_GB2312" w:hAnsi="仿宋_GB2312" w:eastAsia="仿宋_GB2312" w:cs="仿宋_GB2312"/>
          <w:color w:val="auto"/>
          <w:sz w:val="28"/>
          <w:szCs w:val="28"/>
          <w:highlight w:val="none"/>
          <w:lang w:eastAsia="zh-CN"/>
        </w:rPr>
      </w:pPr>
      <w:bookmarkStart w:id="45" w:name="_Toc32530"/>
      <w:bookmarkStart w:id="46" w:name="_Toc26172"/>
      <w:r>
        <w:rPr>
          <w:rFonts w:hint="eastAsia" w:ascii="仿宋_GB2312" w:hAnsi="仿宋_GB2312" w:eastAsia="仿宋_GB2312" w:cs="仿宋_GB2312"/>
          <w:color w:val="auto"/>
          <w:spacing w:val="-2"/>
          <w:sz w:val="28"/>
          <w:szCs w:val="28"/>
          <w:highlight w:val="none"/>
          <w:lang w:eastAsia="zh-CN"/>
        </w:rPr>
        <w:t>（二）大写金额和小写金额不一致的，以大写金额为准；</w:t>
      </w:r>
      <w:bookmarkEnd w:id="45"/>
      <w:bookmarkEnd w:id="46"/>
    </w:p>
    <w:p w14:paraId="49731BDA">
      <w:pPr>
        <w:pStyle w:val="10"/>
        <w:spacing w:before="133" w:line="266" w:lineRule="auto"/>
        <w:ind w:left="20" w:right="41" w:firstLine="55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（三）单价金额小数点或者百分比有明显错位的，以《开标一览表》的总</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价为准，并修改单价；</w:t>
      </w:r>
    </w:p>
    <w:p w14:paraId="6000663E">
      <w:pPr>
        <w:pStyle w:val="10"/>
        <w:spacing w:before="137" w:line="266" w:lineRule="auto"/>
        <w:ind w:left="611" w:right="99" w:hanging="32"/>
        <w:rPr>
          <w:rFonts w:ascii="仿宋_GB2312" w:hAnsi="仿宋_GB2312" w:eastAsia="仿宋_GB2312" w:cs="仿宋_GB2312"/>
          <w:color w:val="auto"/>
          <w:spacing w:val="1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（四）总价金额与按单价汇总金额不一致的，以单价金额计算结果为准。</w:t>
      </w:r>
      <w:r>
        <w:rPr>
          <w:rFonts w:hint="eastAsia" w:ascii="仿宋_GB2312" w:hAnsi="仿宋_GB2312" w:eastAsia="仿宋_GB2312" w:cs="仿宋_GB2312"/>
          <w:color w:val="auto"/>
          <w:spacing w:val="12"/>
          <w:sz w:val="28"/>
          <w:szCs w:val="28"/>
          <w:highlight w:val="none"/>
          <w:lang w:eastAsia="zh-CN"/>
        </w:rPr>
        <w:t xml:space="preserve"> </w:t>
      </w:r>
    </w:p>
    <w:p w14:paraId="0A5F2F85">
      <w:pPr>
        <w:pStyle w:val="10"/>
        <w:spacing w:before="137" w:line="266" w:lineRule="auto"/>
        <w:ind w:right="9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同时出现两种以上不一致的，按照前款规定的顺序修正。</w:t>
      </w:r>
    </w:p>
    <w:p w14:paraId="00AEB060">
      <w:pPr>
        <w:pStyle w:val="10"/>
        <w:spacing w:before="136" w:line="304" w:lineRule="auto"/>
        <w:ind w:left="18" w:right="38" w:firstLine="55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修正后的报价遵照如下规定处理：供应商的澄清、说明或者补正应当采用</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书面形式，并加盖公章，或者由法定代表人或其授权的代表签字。供应商的澄</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清、说明或者补正不得超出投标文件的范围或者改变投标文件的实质性内容。</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修正后的报价经供应商确认后产生约束力，供</w:t>
      </w:r>
      <w:r>
        <w:rPr>
          <w:rFonts w:hint="eastAsia" w:ascii="仿宋_GB2312" w:hAnsi="仿宋_GB2312" w:eastAsia="仿宋_GB2312" w:cs="仿宋_GB2312"/>
          <w:color w:val="auto"/>
          <w:spacing w:val="-1"/>
          <w:sz w:val="28"/>
          <w:szCs w:val="28"/>
          <w:highlight w:val="none"/>
          <w:lang w:eastAsia="zh-CN"/>
        </w:rPr>
        <w:t>应商不确认的，其投标无效。</w:t>
      </w:r>
    </w:p>
    <w:p w14:paraId="48B1090C">
      <w:pPr>
        <w:pStyle w:val="10"/>
        <w:spacing w:before="45" w:line="222" w:lineRule="auto"/>
        <w:ind w:left="593"/>
        <w:outlineLvl w:val="2"/>
        <w:rPr>
          <w:rFonts w:ascii="仿宋_GB2312" w:hAnsi="仿宋_GB2312" w:eastAsia="仿宋_GB2312" w:cs="仿宋_GB2312"/>
          <w:color w:val="auto"/>
          <w:sz w:val="28"/>
          <w:szCs w:val="28"/>
          <w:highlight w:val="none"/>
          <w:lang w:eastAsia="zh-CN"/>
        </w:rPr>
      </w:pPr>
      <w:bookmarkStart w:id="47" w:name="_Toc21935"/>
      <w:bookmarkStart w:id="48" w:name="_Toc20421"/>
      <w:r>
        <w:rPr>
          <w:rFonts w:hint="eastAsia" w:ascii="仿宋_GB2312" w:hAnsi="仿宋_GB2312" w:eastAsia="仿宋_GB2312" w:cs="仿宋_GB2312"/>
          <w:b/>
          <w:bCs/>
          <w:color w:val="auto"/>
          <w:spacing w:val="-6"/>
          <w:sz w:val="28"/>
          <w:szCs w:val="28"/>
          <w:highlight w:val="none"/>
          <w:lang w:eastAsia="zh-CN"/>
        </w:rPr>
        <w:t>16.投标保证金</w:t>
      </w:r>
      <w:bookmarkEnd w:id="47"/>
      <w:bookmarkEnd w:id="48"/>
    </w:p>
    <w:p w14:paraId="4AB4F7B6">
      <w:pPr>
        <w:pStyle w:val="10"/>
        <w:spacing w:before="133" w:line="307" w:lineRule="auto"/>
        <w:ind w:left="19" w:right="38"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16.1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投标保证金是为了保护采购人和招标机构免遭因供应商的违规、违</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约行为而引起的风险，采购人/代理机构在受到损害时可根据本须知的有关规</w:t>
      </w:r>
      <w:r>
        <w:rPr>
          <w:rFonts w:hint="eastAsia" w:ascii="仿宋_GB2312" w:hAnsi="仿宋_GB2312" w:eastAsia="仿宋_GB2312" w:cs="仿宋_GB2312"/>
          <w:color w:val="auto"/>
          <w:spacing w:val="7"/>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定没收供应商的投标保证金。中标人如未能按采购文件要求与采购人签署项目</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合同并提交履约保证金，视为供应商违约，则采购人有权没收中标人投标保证</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金。</w:t>
      </w:r>
    </w:p>
    <w:p w14:paraId="1B8FEB11">
      <w:pPr>
        <w:pStyle w:val="10"/>
        <w:spacing w:before="37" w:line="303" w:lineRule="auto"/>
        <w:ind w:left="19" w:right="42"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16.2 供应商应提交投标保证金，并作为其投标的一部分。采购文件</w:t>
      </w:r>
      <w:r>
        <w:rPr>
          <w:rFonts w:hint="eastAsia" w:ascii="仿宋_GB2312" w:hAnsi="仿宋_GB2312" w:eastAsia="仿宋_GB2312" w:cs="仿宋_GB2312"/>
          <w:color w:val="auto"/>
          <w:spacing w:val="3"/>
          <w:sz w:val="28"/>
          <w:szCs w:val="28"/>
          <w:highlight w:val="none"/>
          <w:lang w:eastAsia="zh-CN"/>
        </w:rPr>
        <w:t>《前</w:t>
      </w:r>
      <w:r>
        <w:rPr>
          <w:rFonts w:hint="eastAsia" w:ascii="仿宋_GB2312" w:hAnsi="仿宋_GB2312" w:eastAsia="仿宋_GB2312" w:cs="仿宋_GB2312"/>
          <w:color w:val="auto"/>
          <w:sz w:val="28"/>
          <w:szCs w:val="28"/>
          <w:highlight w:val="none"/>
          <w:lang w:eastAsia="zh-CN"/>
        </w:rPr>
        <w:t xml:space="preserve"> 附表》规定交纳投标保证金的，供应商应按采购文件《前附表》规定的要求提 交保证金，投标保证金有效期应与采购文件规定的</w:t>
      </w:r>
      <w:r>
        <w:rPr>
          <w:rFonts w:hint="eastAsia" w:ascii="仿宋_GB2312" w:hAnsi="仿宋_GB2312" w:eastAsia="仿宋_GB2312" w:cs="仿宋_GB2312"/>
          <w:color w:val="auto"/>
          <w:spacing w:val="-1"/>
          <w:sz w:val="28"/>
          <w:szCs w:val="28"/>
          <w:highlight w:val="none"/>
          <w:lang w:eastAsia="zh-CN"/>
        </w:rPr>
        <w:t>投标有效期一致。</w:t>
      </w:r>
      <w:r>
        <w:rPr>
          <w:rFonts w:hint="eastAsia" w:ascii="仿宋_GB2312" w:hAnsi="仿宋_GB2312" w:eastAsia="仿宋_GB2312" w:cs="仿宋_GB2312"/>
          <w:b/>
          <w:bCs/>
          <w:color w:val="auto"/>
          <w:spacing w:val="-1"/>
          <w:sz w:val="28"/>
          <w:szCs w:val="28"/>
          <w:highlight w:val="none"/>
          <w:lang w:eastAsia="zh-CN"/>
        </w:rPr>
        <w:t>供应商未</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按照采购文件《前附表》要求提交投标保证金的，投标无效。</w:t>
      </w:r>
    </w:p>
    <w:p w14:paraId="7B39BEDE">
      <w:pPr>
        <w:pStyle w:val="10"/>
        <w:spacing w:before="48" w:line="296" w:lineRule="auto"/>
        <w:ind w:left="18" w:right="46"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16.3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采购文件接受联合体投标的，可以由联合体中的一方或者共同提交</w:t>
      </w:r>
      <w:r>
        <w:rPr>
          <w:rFonts w:hint="eastAsia" w:ascii="仿宋_GB2312" w:hAnsi="仿宋_GB2312" w:eastAsia="仿宋_GB2312" w:cs="仿宋_GB2312"/>
          <w:color w:val="auto"/>
          <w:sz w:val="28"/>
          <w:szCs w:val="28"/>
          <w:highlight w:val="none"/>
          <w:lang w:eastAsia="zh-CN"/>
        </w:rPr>
        <w:t xml:space="preserve"> 投标保证金。以一方名义提交投标保证金的，</w:t>
      </w:r>
      <w:r>
        <w:rPr>
          <w:rFonts w:hint="eastAsia" w:ascii="仿宋_GB2312" w:hAnsi="仿宋_GB2312" w:eastAsia="仿宋_GB2312" w:cs="仿宋_GB2312"/>
          <w:color w:val="auto"/>
          <w:spacing w:val="-1"/>
          <w:sz w:val="28"/>
          <w:szCs w:val="28"/>
          <w:highlight w:val="none"/>
          <w:lang w:eastAsia="zh-CN"/>
        </w:rPr>
        <w:t>对联合体各方均具有约束力。</w:t>
      </w:r>
    </w:p>
    <w:p w14:paraId="715C46BA">
      <w:pPr>
        <w:spacing w:line="296" w:lineRule="auto"/>
        <w:rPr>
          <w:rFonts w:ascii="仿宋_GB2312" w:hAnsi="仿宋_GB2312" w:eastAsia="仿宋_GB2312" w:cs="仿宋_GB2312"/>
          <w:color w:val="auto"/>
          <w:sz w:val="28"/>
          <w:szCs w:val="28"/>
          <w:highlight w:val="none"/>
          <w:lang w:eastAsia="zh-CN"/>
        </w:rPr>
        <w:sectPr>
          <w:footerReference r:id="rId14" w:type="default"/>
          <w:pgSz w:w="11906" w:h="16838"/>
          <w:pgMar w:top="1106" w:right="1058" w:bottom="1517" w:left="1258" w:header="861" w:footer="1237" w:gutter="0"/>
          <w:pgNumType w:fmt="numberInDash"/>
          <w:cols w:space="720" w:num="1"/>
        </w:sectPr>
      </w:pPr>
    </w:p>
    <w:p w14:paraId="7C1245FA">
      <w:pPr>
        <w:pStyle w:val="10"/>
        <w:spacing w:before="318" w:line="296" w:lineRule="auto"/>
        <w:ind w:left="48" w:right="83" w:firstLine="54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16.4 未中标人的投标保证金，将在中</w:t>
      </w:r>
      <w:r>
        <w:rPr>
          <w:rFonts w:hint="eastAsia" w:ascii="仿宋_GB2312" w:hAnsi="仿宋_GB2312" w:eastAsia="仿宋_GB2312" w:cs="仿宋_GB2312"/>
          <w:color w:val="auto"/>
          <w:spacing w:val="1"/>
          <w:sz w:val="28"/>
          <w:szCs w:val="28"/>
          <w:highlight w:val="none"/>
          <w:lang w:eastAsia="zh-CN"/>
        </w:rPr>
        <w:t>标通知书发出</w:t>
      </w:r>
      <w:r>
        <w:rPr>
          <w:rFonts w:hint="eastAsia" w:ascii="仿宋_GB2312" w:hAnsi="仿宋_GB2312" w:eastAsia="仿宋_GB2312" w:cs="仿宋_GB2312"/>
          <w:color w:val="auto"/>
          <w:spacing w:val="-5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5</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个工作日内退还。</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因违反规定被没收的投标保证金不予退回。</w:t>
      </w:r>
    </w:p>
    <w:p w14:paraId="64138420">
      <w:pPr>
        <w:pStyle w:val="10"/>
        <w:spacing w:before="47" w:line="221"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16.5</w:t>
      </w:r>
      <w:r>
        <w:rPr>
          <w:rFonts w:hint="eastAsia" w:ascii="仿宋_GB2312" w:hAnsi="仿宋_GB2312" w:eastAsia="仿宋_GB2312" w:cs="仿宋_GB2312"/>
          <w:color w:val="auto"/>
          <w:spacing w:val="7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中标人的投标保证金自采购合同签订之日起</w:t>
      </w:r>
      <w:r>
        <w:rPr>
          <w:rFonts w:hint="eastAsia" w:ascii="仿宋_GB2312" w:hAnsi="仿宋_GB2312" w:eastAsia="仿宋_GB2312" w:cs="仿宋_GB2312"/>
          <w:color w:val="auto"/>
          <w:spacing w:val="-6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5</w:t>
      </w:r>
      <w:r>
        <w:rPr>
          <w:rFonts w:hint="eastAsia" w:ascii="仿宋_GB2312" w:hAnsi="仿宋_GB2312" w:eastAsia="仿宋_GB2312" w:cs="仿宋_GB2312"/>
          <w:color w:val="auto"/>
          <w:spacing w:val="-5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个工作日内退还。</w:t>
      </w:r>
    </w:p>
    <w:p w14:paraId="5BC0A6A6">
      <w:pPr>
        <w:pStyle w:val="10"/>
        <w:spacing w:before="136" w:line="295" w:lineRule="auto"/>
        <w:ind w:left="590" w:right="276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 xml:space="preserve">16.6 </w:t>
      </w:r>
      <w:r>
        <w:rPr>
          <w:rFonts w:hint="eastAsia" w:ascii="仿宋_GB2312" w:hAnsi="仿宋_GB2312" w:eastAsia="仿宋_GB2312" w:cs="仿宋_GB2312"/>
          <w:b/>
          <w:bCs/>
          <w:color w:val="auto"/>
          <w:spacing w:val="-5"/>
          <w:sz w:val="28"/>
          <w:szCs w:val="28"/>
          <w:highlight w:val="none"/>
          <w:lang w:eastAsia="zh-CN"/>
        </w:rPr>
        <w:t>下列任何情况发生时，投标保证金将</w:t>
      </w:r>
      <w:r>
        <w:rPr>
          <w:rFonts w:hint="eastAsia" w:ascii="仿宋_GB2312" w:hAnsi="仿宋_GB2312" w:eastAsia="仿宋_GB2312" w:cs="仿宋_GB2312"/>
          <w:b/>
          <w:bCs/>
          <w:color w:val="auto"/>
          <w:spacing w:val="-6"/>
          <w:sz w:val="28"/>
          <w:szCs w:val="28"/>
          <w:highlight w:val="none"/>
          <w:lang w:eastAsia="zh-CN"/>
        </w:rPr>
        <w:t>被没收：</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16.6.1 供应商在规定的投标有效期内撤回其投标；</w:t>
      </w:r>
    </w:p>
    <w:p w14:paraId="08C62525">
      <w:pPr>
        <w:pStyle w:val="10"/>
        <w:spacing w:before="48" w:line="295" w:lineRule="auto"/>
        <w:ind w:left="37" w:right="42"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16.6.2</w:t>
      </w:r>
      <w:r>
        <w:rPr>
          <w:rFonts w:hint="eastAsia" w:ascii="仿宋_GB2312" w:hAnsi="仿宋_GB2312" w:eastAsia="仿宋_GB2312" w:cs="仿宋_GB2312"/>
          <w:color w:val="auto"/>
          <w:spacing w:val="65"/>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中标人无正当理由拒绝按规定与采购人签订合同或未能在规定期</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限内签署合同的或未按采购文件要求提交履约保证金</w:t>
      </w:r>
      <w:r>
        <w:rPr>
          <w:rFonts w:hint="eastAsia" w:ascii="仿宋_GB2312" w:hAnsi="仿宋_GB2312" w:eastAsia="仿宋_GB2312" w:cs="仿宋_GB2312"/>
          <w:color w:val="auto"/>
          <w:spacing w:val="-3"/>
          <w:sz w:val="28"/>
          <w:szCs w:val="28"/>
          <w:highlight w:val="none"/>
          <w:lang w:eastAsia="zh-CN"/>
        </w:rPr>
        <w:t>的。</w:t>
      </w:r>
    </w:p>
    <w:p w14:paraId="348BB311">
      <w:pPr>
        <w:pStyle w:val="10"/>
        <w:spacing w:before="49" w:line="221"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 xml:space="preserve">16.7 </w:t>
      </w:r>
      <w:r>
        <w:rPr>
          <w:rFonts w:hint="eastAsia" w:ascii="仿宋_GB2312" w:hAnsi="仿宋_GB2312" w:eastAsia="仿宋_GB2312" w:cs="仿宋_GB2312"/>
          <w:b/>
          <w:bCs/>
          <w:color w:val="auto"/>
          <w:spacing w:val="-7"/>
          <w:sz w:val="28"/>
          <w:szCs w:val="28"/>
          <w:highlight w:val="none"/>
          <w:lang w:eastAsia="zh-CN"/>
        </w:rPr>
        <w:t>供应商须提供以下资料：</w:t>
      </w:r>
    </w:p>
    <w:p w14:paraId="6E61569C">
      <w:pPr>
        <w:pStyle w:val="10"/>
        <w:spacing w:before="137" w:line="294" w:lineRule="auto"/>
        <w:ind w:left="19" w:right="236" w:firstLine="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16.7.1</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中标人须提供与采购人签订的已加盖中标方公章的合同全本复印</w:t>
      </w:r>
      <w:r>
        <w:rPr>
          <w:rFonts w:hint="eastAsia" w:ascii="仿宋_GB2312" w:hAnsi="仿宋_GB2312" w:eastAsia="仿宋_GB2312" w:cs="仿宋_GB2312"/>
          <w:color w:val="auto"/>
          <w:spacing w:val="12"/>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件或扫描件</w:t>
      </w:r>
      <w:r>
        <w:rPr>
          <w:rFonts w:hint="eastAsia" w:ascii="仿宋_GB2312" w:hAnsi="仿宋_GB2312" w:eastAsia="仿宋_GB2312" w:cs="仿宋_GB2312"/>
          <w:b/>
          <w:bCs/>
          <w:color w:val="auto"/>
          <w:spacing w:val="-5"/>
          <w:sz w:val="28"/>
          <w:szCs w:val="28"/>
          <w:highlight w:val="none"/>
          <w:lang w:val="en-US" w:eastAsia="zh-CN"/>
        </w:rPr>
        <w:t>一</w:t>
      </w:r>
      <w:r>
        <w:rPr>
          <w:rFonts w:hint="eastAsia" w:ascii="仿宋_GB2312" w:hAnsi="仿宋_GB2312" w:eastAsia="仿宋_GB2312" w:cs="仿宋_GB2312"/>
          <w:b/>
          <w:bCs/>
          <w:color w:val="auto"/>
          <w:spacing w:val="-5"/>
          <w:sz w:val="28"/>
          <w:szCs w:val="28"/>
          <w:highlight w:val="none"/>
          <w:lang w:eastAsia="zh-CN"/>
        </w:rPr>
        <w:t>份（代理机构存档备查）。</w:t>
      </w:r>
    </w:p>
    <w:p w14:paraId="27448ACC">
      <w:pPr>
        <w:pStyle w:val="10"/>
        <w:spacing w:before="44" w:line="223" w:lineRule="auto"/>
        <w:ind w:left="593"/>
        <w:outlineLvl w:val="2"/>
        <w:rPr>
          <w:rFonts w:ascii="仿宋_GB2312" w:hAnsi="仿宋_GB2312" w:eastAsia="仿宋_GB2312" w:cs="仿宋_GB2312"/>
          <w:color w:val="auto"/>
          <w:sz w:val="28"/>
          <w:szCs w:val="28"/>
          <w:highlight w:val="none"/>
          <w:lang w:eastAsia="zh-CN"/>
        </w:rPr>
      </w:pPr>
      <w:bookmarkStart w:id="49" w:name="_Toc19794"/>
      <w:bookmarkStart w:id="50" w:name="_Toc19276"/>
      <w:r>
        <w:rPr>
          <w:rFonts w:hint="eastAsia" w:ascii="仿宋_GB2312" w:hAnsi="仿宋_GB2312" w:eastAsia="仿宋_GB2312" w:cs="仿宋_GB2312"/>
          <w:b/>
          <w:bCs/>
          <w:color w:val="auto"/>
          <w:spacing w:val="-4"/>
          <w:sz w:val="28"/>
          <w:szCs w:val="28"/>
          <w:highlight w:val="none"/>
          <w:lang w:eastAsia="zh-CN"/>
        </w:rPr>
        <w:t>17.</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招标答疑会和现场踏勘</w:t>
      </w:r>
      <w:bookmarkEnd w:id="49"/>
      <w:bookmarkEnd w:id="50"/>
    </w:p>
    <w:p w14:paraId="0B8D6BC9">
      <w:pPr>
        <w:pStyle w:val="10"/>
        <w:spacing w:before="134"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17.1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本项目不组织招标答疑会。</w:t>
      </w:r>
    </w:p>
    <w:p w14:paraId="4B6CAFEC">
      <w:pPr>
        <w:pStyle w:val="10"/>
        <w:spacing w:before="52" w:line="305" w:lineRule="auto"/>
        <w:ind w:left="21" w:right="38" w:firstLine="569"/>
        <w:rPr>
          <w:rFonts w:ascii="仿宋_GB2312" w:hAnsi="仿宋_GB2312" w:eastAsia="仿宋_GB2312" w:cs="仿宋_GB2312"/>
          <w:color w:val="auto"/>
          <w:spacing w:val="4"/>
          <w:sz w:val="28"/>
          <w:szCs w:val="28"/>
          <w:highlight w:val="none"/>
          <w:lang w:eastAsia="zh-CN"/>
        </w:rPr>
      </w:pPr>
      <w:bookmarkStart w:id="51" w:name="_Toc7596"/>
      <w:bookmarkStart w:id="52" w:name="_Toc28354"/>
      <w:r>
        <w:rPr>
          <w:rFonts w:hint="eastAsia" w:ascii="仿宋_GB2312" w:hAnsi="仿宋_GB2312" w:eastAsia="仿宋_GB2312" w:cs="仿宋_GB2312"/>
          <w:color w:val="auto"/>
          <w:spacing w:val="4"/>
          <w:sz w:val="28"/>
          <w:szCs w:val="28"/>
          <w:highlight w:val="none"/>
          <w:lang w:eastAsia="zh-CN"/>
        </w:rPr>
        <w:t>17.2 采购人不组织供应商进行现场踏勘，供应商应自行在投标截止时间前对项目服务现场和周围环境进行勘察并承担全部风险，以获取供应商自己负责的有关编制投标文件和签署合同所需的所有资料，且不得以勘察不充分为由提出任何索赔。勘察现场所发生的费用及风险由供应商自己承担。</w:t>
      </w:r>
    </w:p>
    <w:p w14:paraId="23A5C987">
      <w:pPr>
        <w:pStyle w:val="10"/>
        <w:spacing w:before="43" w:line="223" w:lineRule="auto"/>
        <w:ind w:left="593"/>
        <w:outlineLvl w:val="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lang w:eastAsia="zh-CN"/>
        </w:rPr>
        <w:t>18.</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b/>
          <w:bCs/>
          <w:color w:val="auto"/>
          <w:spacing w:val="-8"/>
          <w:sz w:val="28"/>
          <w:szCs w:val="28"/>
          <w:highlight w:val="none"/>
          <w:lang w:eastAsia="zh-CN"/>
        </w:rPr>
        <w:t>投标有效期</w:t>
      </w:r>
      <w:bookmarkEnd w:id="51"/>
      <w:bookmarkEnd w:id="52"/>
    </w:p>
    <w:p w14:paraId="2A30FCE3">
      <w:pPr>
        <w:pStyle w:val="10"/>
        <w:spacing w:before="134" w:line="295" w:lineRule="auto"/>
        <w:ind w:left="18" w:right="42"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18.1 投标有效期见本须知前附表所规定的期限，在此期限内，凡符</w:t>
      </w:r>
      <w:r>
        <w:rPr>
          <w:rFonts w:hint="eastAsia" w:ascii="仿宋_GB2312" w:hAnsi="仿宋_GB2312" w:eastAsia="仿宋_GB2312" w:cs="仿宋_GB2312"/>
          <w:color w:val="auto"/>
          <w:spacing w:val="3"/>
          <w:sz w:val="28"/>
          <w:szCs w:val="28"/>
          <w:highlight w:val="none"/>
          <w:lang w:eastAsia="zh-CN"/>
        </w:rPr>
        <w:t>合本</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采购文件要求的投标文件均保持有效。</w:t>
      </w:r>
      <w:r>
        <w:rPr>
          <w:rFonts w:hint="eastAsia" w:ascii="仿宋_GB2312" w:hAnsi="仿宋_GB2312" w:eastAsia="仿宋_GB2312" w:cs="仿宋_GB2312"/>
          <w:b/>
          <w:bCs/>
          <w:color w:val="auto"/>
          <w:spacing w:val="-2"/>
          <w:sz w:val="28"/>
          <w:szCs w:val="28"/>
          <w:highlight w:val="none"/>
          <w:lang w:eastAsia="zh-CN"/>
        </w:rPr>
        <w:t>投标有效期不足的，投标无效。</w:t>
      </w:r>
    </w:p>
    <w:p w14:paraId="346256D3">
      <w:pPr>
        <w:pStyle w:val="10"/>
        <w:spacing w:before="50" w:line="440" w:lineRule="exact"/>
        <w:ind w:left="18" w:right="38" w:firstLine="554"/>
        <w:jc w:val="both"/>
        <w:rPr>
          <w:rFonts w:ascii="仿宋_GB2312" w:hAnsi="仿宋_GB2312" w:eastAsia="仿宋_GB2312" w:cs="仿宋_GB2312"/>
          <w:color w:val="auto"/>
          <w:spacing w:val="6"/>
          <w:sz w:val="28"/>
          <w:szCs w:val="28"/>
          <w:highlight w:val="none"/>
          <w:lang w:eastAsia="zh-CN"/>
        </w:rPr>
      </w:pPr>
      <w:bookmarkStart w:id="53" w:name="_Toc18893"/>
      <w:bookmarkStart w:id="54" w:name="_Toc18153"/>
      <w:r>
        <w:rPr>
          <w:rFonts w:hint="eastAsia" w:ascii="仿宋_GB2312" w:hAnsi="仿宋_GB2312" w:eastAsia="仿宋_GB2312" w:cs="仿宋_GB2312"/>
          <w:color w:val="auto"/>
          <w:spacing w:val="6"/>
          <w:sz w:val="28"/>
          <w:szCs w:val="28"/>
          <w:highlight w:val="none"/>
          <w:lang w:eastAsia="zh-CN"/>
        </w:rPr>
        <w:t>18.2 在特殊情况下，采购人在原定的投标有效期内，可以根据需要以发布公告或书面形式向供应商提出延长投标有效期的要求，对此要求供应商须以书面形式予以答复不得拒绝延长投标有效期。供应商拒绝延长的，其投标在原投标有效期期届满后将不再有效，但有权收回其投标保证金；同意延长投标有效期的供应商既不能要求，也不允许修改或撤回其投标文件。</w:t>
      </w:r>
    </w:p>
    <w:p w14:paraId="3BA9A5A2">
      <w:pPr>
        <w:pStyle w:val="10"/>
        <w:spacing w:before="44" w:line="222" w:lineRule="auto"/>
        <w:ind w:left="581"/>
        <w:outlineLvl w:val="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（三）</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投标文件的编制</w:t>
      </w:r>
      <w:bookmarkEnd w:id="53"/>
      <w:bookmarkEnd w:id="54"/>
    </w:p>
    <w:p w14:paraId="76440E8A">
      <w:pPr>
        <w:pStyle w:val="10"/>
        <w:spacing w:before="136" w:line="222" w:lineRule="auto"/>
        <w:ind w:left="593"/>
        <w:outlineLvl w:val="2"/>
        <w:rPr>
          <w:rFonts w:ascii="仿宋_GB2312" w:hAnsi="仿宋_GB2312" w:eastAsia="仿宋_GB2312" w:cs="仿宋_GB2312"/>
          <w:color w:val="auto"/>
          <w:sz w:val="28"/>
          <w:szCs w:val="28"/>
          <w:highlight w:val="none"/>
          <w:lang w:eastAsia="zh-CN"/>
        </w:rPr>
      </w:pPr>
      <w:bookmarkStart w:id="55" w:name="_Toc18570"/>
      <w:bookmarkStart w:id="56" w:name="_Toc17740"/>
      <w:r>
        <w:rPr>
          <w:rFonts w:hint="eastAsia" w:ascii="仿宋_GB2312" w:hAnsi="仿宋_GB2312" w:eastAsia="仿宋_GB2312" w:cs="仿宋_GB2312"/>
          <w:b/>
          <w:bCs/>
          <w:color w:val="auto"/>
          <w:spacing w:val="-5"/>
          <w:sz w:val="28"/>
          <w:szCs w:val="28"/>
          <w:highlight w:val="none"/>
          <w:lang w:eastAsia="zh-CN"/>
        </w:rPr>
        <w:t>19.</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投标文件编制要求</w:t>
      </w:r>
      <w:bookmarkEnd w:id="55"/>
      <w:bookmarkEnd w:id="56"/>
    </w:p>
    <w:p w14:paraId="2BEECA68">
      <w:pPr>
        <w:pStyle w:val="10"/>
        <w:spacing w:before="136" w:line="223" w:lineRule="auto"/>
        <w:ind w:right="46"/>
        <w:jc w:val="right"/>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19.1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供应商提交的投标文件及供应商与采购代理机构就有关投标的所有</w:t>
      </w:r>
    </w:p>
    <w:p w14:paraId="02D7BE71">
      <w:pPr>
        <w:spacing w:line="223" w:lineRule="auto"/>
        <w:rPr>
          <w:rFonts w:ascii="仿宋_GB2312" w:hAnsi="仿宋_GB2312" w:eastAsia="仿宋_GB2312" w:cs="仿宋_GB2312"/>
          <w:color w:val="auto"/>
          <w:sz w:val="28"/>
          <w:szCs w:val="28"/>
          <w:highlight w:val="none"/>
          <w:lang w:eastAsia="zh-CN"/>
        </w:rPr>
        <w:sectPr>
          <w:footerReference r:id="rId15" w:type="default"/>
          <w:pgSz w:w="11906" w:h="16838"/>
          <w:pgMar w:top="1161" w:right="1058" w:bottom="1517" w:left="1258" w:header="861" w:footer="1236" w:gutter="0"/>
          <w:pgNumType w:fmt="numberInDash"/>
          <w:cols w:space="720" w:num="1"/>
        </w:sectPr>
      </w:pPr>
    </w:p>
    <w:p w14:paraId="29B1B38B">
      <w:pPr>
        <w:pStyle w:val="10"/>
        <w:spacing w:before="318" w:line="222" w:lineRule="auto"/>
        <w:ind w:left="2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来往函电均使用中文。</w:t>
      </w:r>
    </w:p>
    <w:p w14:paraId="2141A1B5">
      <w:pPr>
        <w:pStyle w:val="10"/>
        <w:spacing w:before="136" w:line="222" w:lineRule="auto"/>
        <w:ind w:left="575"/>
        <w:outlineLvl w:val="2"/>
        <w:rPr>
          <w:rFonts w:ascii="仿宋_GB2312" w:hAnsi="仿宋_GB2312" w:eastAsia="仿宋_GB2312" w:cs="仿宋_GB2312"/>
          <w:color w:val="auto"/>
          <w:sz w:val="28"/>
          <w:szCs w:val="28"/>
          <w:highlight w:val="none"/>
          <w:lang w:eastAsia="zh-CN"/>
        </w:rPr>
      </w:pPr>
      <w:bookmarkStart w:id="57" w:name="_Toc28759"/>
      <w:bookmarkStart w:id="58" w:name="_Toc3288"/>
      <w:r>
        <w:rPr>
          <w:rFonts w:hint="eastAsia" w:ascii="仿宋_GB2312" w:hAnsi="仿宋_GB2312" w:eastAsia="仿宋_GB2312" w:cs="仿宋_GB2312"/>
          <w:b/>
          <w:bCs/>
          <w:color w:val="auto"/>
          <w:spacing w:val="-3"/>
          <w:sz w:val="28"/>
          <w:szCs w:val="28"/>
          <w:highlight w:val="none"/>
          <w:lang w:eastAsia="zh-CN"/>
        </w:rPr>
        <w:t>20.</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投标文件编制的依据</w:t>
      </w:r>
      <w:bookmarkEnd w:id="57"/>
      <w:bookmarkEnd w:id="58"/>
    </w:p>
    <w:p w14:paraId="6DE56ECC">
      <w:pPr>
        <w:pStyle w:val="10"/>
        <w:spacing w:before="135" w:line="221"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20.1 采购人提供的采购需求及有关资料；</w:t>
      </w:r>
    </w:p>
    <w:p w14:paraId="15D88458">
      <w:pPr>
        <w:pStyle w:val="10"/>
        <w:spacing w:before="133" w:line="297" w:lineRule="auto"/>
        <w:ind w:left="573" w:right="334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20.2 本采购文件及采购文件的修改或</w:t>
      </w:r>
      <w:r>
        <w:rPr>
          <w:rFonts w:hint="eastAsia" w:ascii="仿宋_GB2312" w:hAnsi="仿宋_GB2312" w:eastAsia="仿宋_GB2312" w:cs="仿宋_GB2312"/>
          <w:color w:val="auto"/>
          <w:spacing w:val="-4"/>
          <w:sz w:val="28"/>
          <w:szCs w:val="28"/>
          <w:highlight w:val="none"/>
          <w:lang w:eastAsia="zh-CN"/>
        </w:rPr>
        <w:t>者澄清；</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20.3 相关的法律、法规和规定。</w:t>
      </w:r>
    </w:p>
    <w:p w14:paraId="2E59DD97">
      <w:pPr>
        <w:pStyle w:val="10"/>
        <w:spacing w:before="136" w:line="222" w:lineRule="auto"/>
        <w:ind w:left="575"/>
        <w:outlineLvl w:val="2"/>
        <w:rPr>
          <w:rFonts w:ascii="仿宋_GB2312" w:hAnsi="仿宋_GB2312" w:eastAsia="仿宋_GB2312" w:cs="仿宋_GB2312"/>
          <w:b/>
          <w:bCs/>
          <w:color w:val="auto"/>
          <w:spacing w:val="-3"/>
          <w:sz w:val="28"/>
          <w:szCs w:val="28"/>
          <w:highlight w:val="none"/>
          <w:lang w:eastAsia="zh-CN"/>
        </w:rPr>
      </w:pPr>
      <w:bookmarkStart w:id="59" w:name="_Toc6923"/>
      <w:bookmarkStart w:id="60" w:name="_Toc21014"/>
      <w:r>
        <w:rPr>
          <w:rFonts w:hint="eastAsia" w:ascii="仿宋_GB2312" w:hAnsi="仿宋_GB2312" w:eastAsia="仿宋_GB2312" w:cs="仿宋_GB2312"/>
          <w:b/>
          <w:bCs/>
          <w:color w:val="auto"/>
          <w:spacing w:val="-3"/>
          <w:sz w:val="28"/>
          <w:szCs w:val="28"/>
          <w:highlight w:val="none"/>
          <w:lang w:eastAsia="zh-CN"/>
        </w:rPr>
        <w:t>21. 投标文件的组成</w:t>
      </w:r>
      <w:bookmarkEnd w:id="59"/>
      <w:bookmarkEnd w:id="60"/>
    </w:p>
    <w:p w14:paraId="4896B77B">
      <w:pPr>
        <w:pStyle w:val="10"/>
        <w:spacing w:before="47" w:line="295" w:lineRule="auto"/>
        <w:ind w:left="20" w:right="43" w:firstLine="55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资格证明文件、商务技术文件</w:t>
      </w:r>
      <w:r>
        <w:rPr>
          <w:rFonts w:hint="eastAsia" w:ascii="仿宋_GB2312" w:hAnsi="仿宋_GB2312" w:eastAsia="仿宋_GB2312" w:cs="仿宋_GB2312"/>
          <w:color w:val="auto"/>
          <w:spacing w:val="-3"/>
          <w:sz w:val="28"/>
          <w:szCs w:val="28"/>
          <w:highlight w:val="none"/>
          <w:lang w:eastAsia="zh-CN"/>
        </w:rPr>
        <w:t>。投标文件的部分格式要求，见第五章《投标文件格式》。</w:t>
      </w:r>
    </w:p>
    <w:p w14:paraId="5909CA6A">
      <w:pPr>
        <w:pStyle w:val="10"/>
        <w:spacing w:before="136" w:line="222" w:lineRule="auto"/>
        <w:ind w:left="575"/>
        <w:outlineLvl w:val="2"/>
        <w:rPr>
          <w:rFonts w:ascii="仿宋_GB2312" w:hAnsi="仿宋_GB2312" w:eastAsia="仿宋_GB2312" w:cs="仿宋_GB2312"/>
          <w:color w:val="auto"/>
          <w:sz w:val="28"/>
          <w:szCs w:val="28"/>
          <w:highlight w:val="none"/>
          <w:lang w:eastAsia="zh-CN"/>
        </w:rPr>
      </w:pPr>
      <w:bookmarkStart w:id="61" w:name="_Toc17367"/>
      <w:bookmarkStart w:id="62" w:name="_Toc18714"/>
      <w:r>
        <w:rPr>
          <w:rFonts w:hint="eastAsia" w:ascii="仿宋_GB2312" w:hAnsi="仿宋_GB2312" w:eastAsia="仿宋_GB2312" w:cs="仿宋_GB2312"/>
          <w:b/>
          <w:bCs/>
          <w:color w:val="auto"/>
          <w:spacing w:val="-3"/>
          <w:sz w:val="28"/>
          <w:szCs w:val="28"/>
          <w:highlight w:val="none"/>
          <w:lang w:eastAsia="zh-CN"/>
        </w:rPr>
        <w:t>22.</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投标文件的编制及格式</w:t>
      </w:r>
      <w:bookmarkEnd w:id="61"/>
      <w:bookmarkEnd w:id="62"/>
    </w:p>
    <w:p w14:paraId="67A73174">
      <w:pPr>
        <w:pStyle w:val="10"/>
        <w:spacing w:before="50" w:line="440" w:lineRule="exact"/>
        <w:ind w:left="18"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22.1</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供应商提供的投标文件应当使用采购文件所提供</w:t>
      </w:r>
      <w:r>
        <w:rPr>
          <w:rFonts w:hint="eastAsia" w:ascii="仿宋_GB2312" w:hAnsi="仿宋_GB2312" w:eastAsia="仿宋_GB2312" w:cs="仿宋_GB2312"/>
          <w:color w:val="auto"/>
          <w:spacing w:val="5"/>
          <w:sz w:val="28"/>
          <w:szCs w:val="28"/>
          <w:highlight w:val="none"/>
          <w:lang w:eastAsia="zh-CN"/>
        </w:rPr>
        <w:t>投标文件格式（表</w:t>
      </w:r>
      <w:r>
        <w:rPr>
          <w:rFonts w:hint="eastAsia" w:ascii="仿宋_GB2312" w:hAnsi="仿宋_GB2312" w:eastAsia="仿宋_GB2312" w:cs="仿宋_GB2312"/>
          <w:color w:val="auto"/>
          <w:sz w:val="28"/>
          <w:szCs w:val="28"/>
          <w:highlight w:val="none"/>
          <w:lang w:eastAsia="zh-CN"/>
        </w:rPr>
        <w:t xml:space="preserve"> 格可按照同样格式扩展</w:t>
      </w:r>
      <w:r>
        <w:rPr>
          <w:rFonts w:hint="eastAsia" w:ascii="仿宋_GB2312" w:hAnsi="仿宋_GB2312" w:eastAsia="仿宋_GB2312" w:cs="仿宋_GB2312"/>
          <w:color w:val="auto"/>
          <w:spacing w:val="5"/>
          <w:sz w:val="28"/>
          <w:szCs w:val="28"/>
          <w:highlight w:val="none"/>
          <w:lang w:eastAsia="zh-CN"/>
        </w:rPr>
        <w:t>），</w:t>
      </w:r>
      <w:r>
        <w:rPr>
          <w:rFonts w:hint="eastAsia" w:ascii="仿宋_GB2312" w:hAnsi="仿宋_GB2312" w:eastAsia="仿宋_GB2312" w:cs="仿宋_GB2312"/>
          <w:color w:val="auto"/>
          <w:sz w:val="28"/>
          <w:szCs w:val="28"/>
          <w:highlight w:val="none"/>
          <w:lang w:eastAsia="zh-CN"/>
        </w:rPr>
        <w:t xml:space="preserve">并保证所提供的资料的真实性。未提供格式的，供 </w:t>
      </w:r>
      <w:r>
        <w:rPr>
          <w:rFonts w:hint="eastAsia" w:ascii="仿宋_GB2312" w:hAnsi="仿宋_GB2312" w:eastAsia="仿宋_GB2312" w:cs="仿宋_GB2312"/>
          <w:color w:val="auto"/>
          <w:spacing w:val="-6"/>
          <w:sz w:val="28"/>
          <w:szCs w:val="28"/>
          <w:highlight w:val="none"/>
          <w:lang w:eastAsia="zh-CN"/>
        </w:rPr>
        <w:t>应商可自行编制。</w:t>
      </w:r>
    </w:p>
    <w:p w14:paraId="14210D07">
      <w:pPr>
        <w:pStyle w:val="10"/>
        <w:spacing w:before="45" w:line="440" w:lineRule="exact"/>
        <w:ind w:left="19" w:right="38" w:firstLine="553"/>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22.2</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投标文件严禁涂改或行间插字和增删，除非这些修改</w:t>
      </w:r>
      <w:r>
        <w:rPr>
          <w:rFonts w:hint="eastAsia" w:ascii="仿宋_GB2312" w:hAnsi="仿宋_GB2312" w:eastAsia="仿宋_GB2312" w:cs="仿宋_GB2312"/>
          <w:color w:val="auto"/>
          <w:spacing w:val="5"/>
          <w:sz w:val="28"/>
          <w:szCs w:val="28"/>
          <w:highlight w:val="none"/>
          <w:lang w:eastAsia="zh-CN"/>
        </w:rPr>
        <w:t>是根据采购人</w:t>
      </w:r>
      <w:r>
        <w:rPr>
          <w:rFonts w:hint="eastAsia" w:ascii="仿宋_GB2312" w:hAnsi="仿宋_GB2312" w:eastAsia="仿宋_GB2312" w:cs="仿宋_GB2312"/>
          <w:color w:val="auto"/>
          <w:sz w:val="28"/>
          <w:szCs w:val="28"/>
          <w:highlight w:val="none"/>
          <w:lang w:eastAsia="zh-CN"/>
        </w:rPr>
        <w:t xml:space="preserve"> 的指示进行的，或者是供应商造成的必须修改的错误，必要的修改处必须有供</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应商法人代表或其授权代表人签字并加盖供应商公章，否则，投标无效</w:t>
      </w:r>
      <w:r>
        <w:rPr>
          <w:rFonts w:hint="eastAsia" w:ascii="仿宋_GB2312" w:hAnsi="仿宋_GB2312" w:eastAsia="仿宋_GB2312" w:cs="仿宋_GB2312"/>
          <w:b/>
          <w:bCs/>
          <w:color w:val="auto"/>
          <w:spacing w:val="-2"/>
          <w:sz w:val="28"/>
          <w:szCs w:val="28"/>
          <w:highlight w:val="none"/>
          <w:lang w:eastAsia="zh-CN"/>
        </w:rPr>
        <w:t>。</w:t>
      </w:r>
    </w:p>
    <w:p w14:paraId="52FD8FDF">
      <w:pPr>
        <w:pStyle w:val="10"/>
        <w:spacing w:before="45" w:line="440" w:lineRule="exact"/>
        <w:ind w:left="18" w:right="46"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22.3 供应商应当按照采购文件的要求编制投标文件。</w:t>
      </w:r>
      <w:r>
        <w:rPr>
          <w:rFonts w:hint="eastAsia" w:ascii="仿宋_GB2312" w:hAnsi="仿宋_GB2312" w:eastAsia="仿宋_GB2312" w:cs="仿宋_GB2312"/>
          <w:color w:val="auto"/>
          <w:spacing w:val="5"/>
          <w:sz w:val="28"/>
          <w:szCs w:val="28"/>
          <w:highlight w:val="none"/>
          <w:lang w:eastAsia="zh-CN"/>
        </w:rPr>
        <w:t>投标文件应当对招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标文件提出的要求和条件作出明确响应。</w:t>
      </w:r>
    </w:p>
    <w:p w14:paraId="64853F0B">
      <w:pPr>
        <w:pStyle w:val="10"/>
        <w:spacing w:before="49" w:line="440" w:lineRule="exact"/>
        <w:ind w:left="575"/>
        <w:outlineLvl w:val="2"/>
        <w:rPr>
          <w:rFonts w:ascii="仿宋_GB2312" w:hAnsi="仿宋_GB2312" w:eastAsia="仿宋_GB2312" w:cs="仿宋_GB2312"/>
          <w:color w:val="auto"/>
          <w:sz w:val="28"/>
          <w:szCs w:val="28"/>
          <w:highlight w:val="none"/>
          <w:lang w:eastAsia="zh-CN"/>
        </w:rPr>
      </w:pPr>
      <w:bookmarkStart w:id="63" w:name="_Toc24422"/>
      <w:bookmarkStart w:id="64" w:name="_Toc583"/>
      <w:r>
        <w:rPr>
          <w:rFonts w:hint="eastAsia" w:ascii="仿宋_GB2312" w:hAnsi="仿宋_GB2312" w:eastAsia="仿宋_GB2312" w:cs="仿宋_GB2312"/>
          <w:b/>
          <w:bCs/>
          <w:color w:val="auto"/>
          <w:spacing w:val="-3"/>
          <w:sz w:val="28"/>
          <w:szCs w:val="28"/>
          <w:highlight w:val="none"/>
          <w:lang w:eastAsia="zh-CN"/>
        </w:rPr>
        <w:t>23.</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投标文件的签署</w:t>
      </w:r>
      <w:bookmarkEnd w:id="63"/>
      <w:bookmarkEnd w:id="64"/>
    </w:p>
    <w:p w14:paraId="66D06B73">
      <w:pPr>
        <w:pStyle w:val="10"/>
        <w:spacing w:before="132" w:line="440" w:lineRule="exact"/>
        <w:ind w:left="573" w:right="52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23.1 投标文件签署要求均应符合采购文件相关规定。</w:t>
      </w:r>
    </w:p>
    <w:p w14:paraId="64B70E8A">
      <w:pPr>
        <w:pStyle w:val="10"/>
        <w:spacing w:before="47" w:line="440" w:lineRule="exact"/>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23.2</w:t>
      </w:r>
      <w:r>
        <w:rPr>
          <w:rFonts w:hint="eastAsia" w:ascii="仿宋_GB2312" w:hAnsi="仿宋_GB2312" w:eastAsia="仿宋_GB2312" w:cs="仿宋_GB2312"/>
          <w:color w:val="auto"/>
          <w:spacing w:val="-46"/>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投标文件未按照上述规定编制，符合性审查将不予以通过。</w:t>
      </w:r>
    </w:p>
    <w:p w14:paraId="5DB5B652">
      <w:pPr>
        <w:pStyle w:val="10"/>
        <w:spacing w:before="46" w:line="440" w:lineRule="exact"/>
        <w:ind w:left="575"/>
        <w:outlineLvl w:val="1"/>
        <w:rPr>
          <w:rFonts w:ascii="仿宋_GB2312" w:hAnsi="仿宋_GB2312" w:eastAsia="仿宋_GB2312" w:cs="仿宋_GB2312"/>
          <w:color w:val="auto"/>
          <w:spacing w:val="5"/>
          <w:sz w:val="28"/>
          <w:szCs w:val="28"/>
          <w:highlight w:val="none"/>
          <w:lang w:eastAsia="zh-CN"/>
        </w:rPr>
      </w:pPr>
      <w:bookmarkStart w:id="65" w:name="_Toc31690"/>
      <w:bookmarkStart w:id="66" w:name="_Toc16841"/>
      <w:r>
        <w:rPr>
          <w:rFonts w:hint="eastAsia" w:ascii="仿宋_GB2312" w:hAnsi="仿宋_GB2312" w:eastAsia="仿宋_GB2312" w:cs="仿宋_GB2312"/>
          <w:b/>
          <w:bCs/>
          <w:color w:val="auto"/>
          <w:spacing w:val="-4"/>
          <w:sz w:val="28"/>
          <w:szCs w:val="28"/>
          <w:highlight w:val="none"/>
          <w:lang w:eastAsia="zh-CN"/>
        </w:rPr>
        <w:t>（四）</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投标文件的递交</w:t>
      </w:r>
      <w:bookmarkEnd w:id="65"/>
      <w:bookmarkEnd w:id="66"/>
      <w:r>
        <w:rPr>
          <w:rFonts w:hint="eastAsia" w:ascii="仿宋_GB2312" w:hAnsi="仿宋_GB2312" w:eastAsia="仿宋_GB2312" w:cs="仿宋_GB2312"/>
          <w:color w:val="auto"/>
          <w:spacing w:val="5"/>
          <w:sz w:val="28"/>
          <w:szCs w:val="28"/>
          <w:highlight w:val="none"/>
          <w:lang w:eastAsia="zh-CN"/>
        </w:rPr>
        <w:t xml:space="preserve"> </w:t>
      </w:r>
    </w:p>
    <w:p w14:paraId="1F20611A">
      <w:pPr>
        <w:pStyle w:val="10"/>
        <w:spacing w:before="46" w:line="440" w:lineRule="exact"/>
        <w:ind w:left="575"/>
        <w:outlineLvl w:val="2"/>
        <w:rPr>
          <w:rFonts w:ascii="仿宋_GB2312" w:hAnsi="仿宋_GB2312" w:eastAsia="仿宋_GB2312" w:cs="仿宋_GB2312"/>
          <w:b/>
          <w:bCs/>
          <w:color w:val="auto"/>
          <w:spacing w:val="-3"/>
          <w:sz w:val="28"/>
          <w:szCs w:val="28"/>
          <w:highlight w:val="none"/>
          <w:lang w:eastAsia="zh-CN"/>
        </w:rPr>
      </w:pPr>
      <w:bookmarkStart w:id="67" w:name="_Toc1720"/>
      <w:bookmarkStart w:id="68" w:name="_Toc12543"/>
      <w:r>
        <w:rPr>
          <w:rFonts w:hint="eastAsia" w:ascii="仿宋_GB2312" w:hAnsi="仿宋_GB2312" w:eastAsia="仿宋_GB2312" w:cs="仿宋_GB2312"/>
          <w:b/>
          <w:bCs/>
          <w:color w:val="auto"/>
          <w:spacing w:val="-3"/>
          <w:sz w:val="28"/>
          <w:szCs w:val="28"/>
          <w:highlight w:val="none"/>
          <w:lang w:eastAsia="zh-CN"/>
        </w:rPr>
        <w:t>24.电子版投标文件</w:t>
      </w:r>
      <w:bookmarkEnd w:id="67"/>
      <w:bookmarkEnd w:id="68"/>
    </w:p>
    <w:p w14:paraId="3839D8D8">
      <w:pPr>
        <w:pStyle w:val="10"/>
        <w:spacing w:before="50" w:line="440" w:lineRule="exact"/>
        <w:ind w:left="18" w:right="38" w:firstLine="554"/>
        <w:jc w:val="both"/>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24.1 供应商须在投标截止时间前通过CA在政采云平台上传加密的电子投标文件；投标截止时间以政采云平台显示的时间为准，逾期系统将自动关闭，逾期上传的或者未成功上传到平台的投标文件，投标无效。</w:t>
      </w:r>
    </w:p>
    <w:p w14:paraId="1E40AB5D">
      <w:pPr>
        <w:pStyle w:val="10"/>
        <w:spacing w:before="46" w:line="440" w:lineRule="exact"/>
        <w:ind w:left="575"/>
        <w:outlineLvl w:val="2"/>
        <w:rPr>
          <w:rFonts w:ascii="仿宋_GB2312" w:hAnsi="仿宋_GB2312" w:eastAsia="仿宋_GB2312" w:cs="仿宋_GB2312"/>
          <w:b/>
          <w:bCs/>
          <w:color w:val="auto"/>
          <w:spacing w:val="-3"/>
          <w:sz w:val="28"/>
          <w:szCs w:val="28"/>
          <w:highlight w:val="none"/>
          <w:lang w:eastAsia="zh-CN"/>
        </w:rPr>
      </w:pPr>
      <w:bookmarkStart w:id="69" w:name="_Toc3021"/>
      <w:bookmarkStart w:id="70" w:name="_Toc16285"/>
      <w:r>
        <w:rPr>
          <w:rFonts w:hint="eastAsia" w:ascii="仿宋_GB2312" w:hAnsi="仿宋_GB2312" w:eastAsia="仿宋_GB2312" w:cs="仿宋_GB2312"/>
          <w:b/>
          <w:bCs/>
          <w:color w:val="auto"/>
          <w:spacing w:val="-3"/>
          <w:sz w:val="28"/>
          <w:szCs w:val="28"/>
          <w:highlight w:val="none"/>
          <w:lang w:eastAsia="zh-CN"/>
        </w:rPr>
        <w:t>25. 投标文件的提交</w:t>
      </w:r>
      <w:bookmarkEnd w:id="69"/>
      <w:bookmarkEnd w:id="70"/>
    </w:p>
    <w:p w14:paraId="31FAE0E8">
      <w:pPr>
        <w:pStyle w:val="10"/>
        <w:spacing w:before="130" w:line="440" w:lineRule="exact"/>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供应商应当按照本投标须知前附表所规定的地点，于投标截止时间前上传</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加密的电子投标文件。纸质版投标文件按照本投标须知前附表相关规定提交。</w:t>
      </w:r>
    </w:p>
    <w:p w14:paraId="0093011F">
      <w:pPr>
        <w:pStyle w:val="10"/>
        <w:spacing w:before="46" w:line="440" w:lineRule="exact"/>
        <w:ind w:left="575"/>
        <w:outlineLvl w:val="2"/>
        <w:rPr>
          <w:rFonts w:ascii="仿宋_GB2312" w:hAnsi="仿宋_GB2312" w:eastAsia="仿宋_GB2312" w:cs="仿宋_GB2312"/>
          <w:color w:val="auto"/>
          <w:sz w:val="28"/>
          <w:szCs w:val="28"/>
          <w:highlight w:val="none"/>
          <w:lang w:eastAsia="zh-CN"/>
        </w:rPr>
      </w:pPr>
      <w:bookmarkStart w:id="71" w:name="_Toc3761"/>
      <w:bookmarkStart w:id="72" w:name="_Toc30824"/>
      <w:r>
        <w:rPr>
          <w:rFonts w:hint="eastAsia" w:ascii="仿宋_GB2312" w:hAnsi="仿宋_GB2312" w:eastAsia="仿宋_GB2312" w:cs="仿宋_GB2312"/>
          <w:b/>
          <w:bCs/>
          <w:color w:val="auto"/>
          <w:spacing w:val="-3"/>
          <w:sz w:val="28"/>
          <w:szCs w:val="28"/>
          <w:highlight w:val="none"/>
          <w:lang w:eastAsia="zh-CN"/>
        </w:rPr>
        <w:t>26.加密的电子投标文件提交的截止时间</w:t>
      </w:r>
      <w:bookmarkEnd w:id="71"/>
      <w:bookmarkEnd w:id="72"/>
    </w:p>
    <w:p w14:paraId="229EB7C3">
      <w:pPr>
        <w:pStyle w:val="10"/>
        <w:spacing w:before="131" w:line="222"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26.1 投标文件提交的截止时间详见本投</w:t>
      </w:r>
      <w:r>
        <w:rPr>
          <w:rFonts w:hint="eastAsia" w:ascii="仿宋_GB2312" w:hAnsi="仿宋_GB2312" w:eastAsia="仿宋_GB2312" w:cs="仿宋_GB2312"/>
          <w:color w:val="auto"/>
          <w:spacing w:val="-1"/>
          <w:sz w:val="28"/>
          <w:szCs w:val="28"/>
          <w:highlight w:val="none"/>
          <w:lang w:eastAsia="zh-CN"/>
        </w:rPr>
        <w:t>标须知前附表规定。</w:t>
      </w:r>
    </w:p>
    <w:p w14:paraId="3DFC81D8">
      <w:pPr>
        <w:pStyle w:val="10"/>
        <w:spacing w:before="135" w:line="301" w:lineRule="auto"/>
        <w:ind w:left="19" w:right="38"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26.2 采购人可按本采购文件第14</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条规定以修改补充通知的</w:t>
      </w:r>
      <w:r>
        <w:rPr>
          <w:rFonts w:hint="eastAsia" w:ascii="仿宋_GB2312" w:hAnsi="仿宋_GB2312" w:eastAsia="仿宋_GB2312" w:cs="仿宋_GB2312"/>
          <w:color w:val="auto"/>
          <w:spacing w:val="-2"/>
          <w:sz w:val="28"/>
          <w:szCs w:val="28"/>
          <w:highlight w:val="none"/>
          <w:lang w:eastAsia="zh-CN"/>
        </w:rPr>
        <w:t>方式，酌情延</w:t>
      </w:r>
      <w:r>
        <w:rPr>
          <w:rFonts w:hint="eastAsia" w:ascii="仿宋_GB2312" w:hAnsi="仿宋_GB2312" w:eastAsia="仿宋_GB2312" w:cs="仿宋_GB2312"/>
          <w:color w:val="auto"/>
          <w:sz w:val="28"/>
          <w:szCs w:val="28"/>
          <w:highlight w:val="none"/>
          <w:lang w:eastAsia="zh-CN"/>
        </w:rPr>
        <w:t xml:space="preserve"> 长提交投标书的截止时间。在上述情况下，采购人与供应商在原投标截止时间</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前的全部权力和义务，将适用于延长后新的投标截止时间。</w:t>
      </w:r>
    </w:p>
    <w:p w14:paraId="1B0DFDD2">
      <w:pPr>
        <w:pStyle w:val="10"/>
        <w:spacing w:before="48" w:line="301" w:lineRule="auto"/>
        <w:ind w:left="18" w:right="46"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26.3</w:t>
      </w:r>
      <w:r>
        <w:rPr>
          <w:rFonts w:hint="eastAsia" w:ascii="仿宋_GB2312" w:hAnsi="仿宋_GB2312" w:eastAsia="仿宋_GB2312" w:cs="仿宋_GB2312"/>
          <w:color w:val="auto"/>
          <w:spacing w:val="50"/>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至投标文件递交截止时间，收到的投标文件少于3个的，不得开</w:t>
      </w:r>
      <w:r>
        <w:rPr>
          <w:rFonts w:hint="eastAsia" w:ascii="仿宋_GB2312" w:hAnsi="仿宋_GB2312" w:eastAsia="仿宋_GB2312" w:cs="仿宋_GB2312"/>
          <w:color w:val="auto"/>
          <w:spacing w:val="-1"/>
          <w:sz w:val="28"/>
          <w:szCs w:val="28"/>
          <w:highlight w:val="none"/>
          <w:lang w:eastAsia="zh-CN"/>
        </w:rPr>
        <w:t>标。评标过程中有效供应商少于3个的，应终止</w:t>
      </w:r>
      <w:r>
        <w:rPr>
          <w:rFonts w:hint="eastAsia" w:ascii="仿宋_GB2312" w:hAnsi="仿宋_GB2312" w:eastAsia="仿宋_GB2312" w:cs="仿宋_GB2312"/>
          <w:color w:val="auto"/>
          <w:spacing w:val="-2"/>
          <w:sz w:val="28"/>
          <w:szCs w:val="28"/>
          <w:highlight w:val="none"/>
          <w:lang w:eastAsia="zh-CN"/>
        </w:rPr>
        <w:t>评标，由采购人依法重新组织</w:t>
      </w:r>
      <w:r>
        <w:rPr>
          <w:rFonts w:hint="eastAsia" w:ascii="仿宋_GB2312" w:hAnsi="仿宋_GB2312" w:eastAsia="仿宋_GB2312" w:cs="仿宋_GB2312"/>
          <w:color w:val="auto"/>
          <w:spacing w:val="-6"/>
          <w:sz w:val="28"/>
          <w:szCs w:val="28"/>
          <w:highlight w:val="none"/>
          <w:lang w:eastAsia="zh-CN"/>
        </w:rPr>
        <w:t>招标。</w:t>
      </w:r>
    </w:p>
    <w:p w14:paraId="02CF21F5">
      <w:pPr>
        <w:pStyle w:val="10"/>
        <w:spacing w:before="46" w:line="223" w:lineRule="auto"/>
        <w:ind w:left="575"/>
        <w:outlineLvl w:val="2"/>
        <w:rPr>
          <w:rFonts w:ascii="仿宋_GB2312" w:hAnsi="仿宋_GB2312" w:eastAsia="仿宋_GB2312" w:cs="仿宋_GB2312"/>
          <w:color w:val="auto"/>
          <w:sz w:val="28"/>
          <w:szCs w:val="28"/>
          <w:highlight w:val="none"/>
          <w:lang w:eastAsia="zh-CN"/>
        </w:rPr>
      </w:pPr>
      <w:bookmarkStart w:id="73" w:name="_Toc16792"/>
      <w:bookmarkStart w:id="74" w:name="_Toc14008"/>
      <w:r>
        <w:rPr>
          <w:rFonts w:hint="eastAsia" w:ascii="仿宋_GB2312" w:hAnsi="仿宋_GB2312" w:eastAsia="仿宋_GB2312" w:cs="仿宋_GB2312"/>
          <w:b/>
          <w:bCs/>
          <w:color w:val="auto"/>
          <w:spacing w:val="-3"/>
          <w:sz w:val="28"/>
          <w:szCs w:val="28"/>
          <w:highlight w:val="none"/>
          <w:lang w:eastAsia="zh-CN"/>
        </w:rPr>
        <w:t>27.</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迟交的加密的电子投标文件</w:t>
      </w:r>
      <w:bookmarkEnd w:id="73"/>
      <w:bookmarkEnd w:id="74"/>
    </w:p>
    <w:p w14:paraId="5F565E1D">
      <w:pPr>
        <w:pStyle w:val="10"/>
        <w:spacing w:before="135" w:line="294" w:lineRule="auto"/>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供应商在本投标须知前附表规定的投标截止时间以后提交的投标文件将被</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拒绝并退回。</w:t>
      </w:r>
    </w:p>
    <w:p w14:paraId="0F655B87">
      <w:pPr>
        <w:pStyle w:val="10"/>
        <w:spacing w:before="54" w:line="222" w:lineRule="auto"/>
        <w:ind w:left="575"/>
        <w:outlineLvl w:val="2"/>
        <w:rPr>
          <w:rFonts w:ascii="仿宋_GB2312" w:hAnsi="仿宋_GB2312" w:eastAsia="仿宋_GB2312" w:cs="仿宋_GB2312"/>
          <w:color w:val="auto"/>
          <w:sz w:val="28"/>
          <w:szCs w:val="28"/>
          <w:highlight w:val="none"/>
          <w:lang w:eastAsia="zh-CN"/>
        </w:rPr>
      </w:pPr>
      <w:bookmarkStart w:id="75" w:name="_Toc11127"/>
      <w:bookmarkStart w:id="76" w:name="_Toc18516"/>
      <w:r>
        <w:rPr>
          <w:rFonts w:hint="eastAsia" w:ascii="仿宋_GB2312" w:hAnsi="仿宋_GB2312" w:eastAsia="仿宋_GB2312" w:cs="仿宋_GB2312"/>
          <w:b/>
          <w:bCs/>
          <w:color w:val="auto"/>
          <w:spacing w:val="-3"/>
          <w:sz w:val="28"/>
          <w:szCs w:val="28"/>
          <w:highlight w:val="none"/>
          <w:lang w:eastAsia="zh-CN"/>
        </w:rPr>
        <w:t>28.</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加密的电子投标文件的补充、修改与撤回</w:t>
      </w:r>
      <w:bookmarkEnd w:id="75"/>
      <w:bookmarkEnd w:id="76"/>
    </w:p>
    <w:p w14:paraId="3E74FE1E">
      <w:pPr>
        <w:pStyle w:val="10"/>
        <w:spacing w:before="133" w:line="297" w:lineRule="auto"/>
        <w:ind w:left="34" w:right="42" w:firstLine="53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28.1 供应商在投标须知前附表规定的投标截止时间之前，可以补充、修</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改或撤回已提交的投标文件。</w:t>
      </w:r>
    </w:p>
    <w:p w14:paraId="2945A7F5">
      <w:pPr>
        <w:pStyle w:val="10"/>
        <w:spacing w:before="45" w:line="220"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28.2 在投标截止时间之后，供应商不得补充、修改投标文件。</w:t>
      </w:r>
    </w:p>
    <w:p w14:paraId="70491A6C">
      <w:pPr>
        <w:pStyle w:val="10"/>
        <w:spacing w:before="136" w:line="223" w:lineRule="auto"/>
        <w:ind w:left="581"/>
        <w:outlineLvl w:val="1"/>
        <w:rPr>
          <w:rFonts w:ascii="仿宋_GB2312" w:hAnsi="仿宋_GB2312" w:eastAsia="仿宋_GB2312" w:cs="仿宋_GB2312"/>
          <w:color w:val="auto"/>
          <w:sz w:val="28"/>
          <w:szCs w:val="28"/>
          <w:highlight w:val="none"/>
          <w:lang w:eastAsia="zh-CN"/>
        </w:rPr>
      </w:pPr>
      <w:bookmarkStart w:id="77" w:name="_Toc27302"/>
      <w:bookmarkStart w:id="78" w:name="_Toc25356"/>
      <w:r>
        <w:rPr>
          <w:rFonts w:hint="eastAsia" w:ascii="仿宋_GB2312" w:hAnsi="仿宋_GB2312" w:eastAsia="仿宋_GB2312" w:cs="仿宋_GB2312"/>
          <w:b/>
          <w:bCs/>
          <w:color w:val="auto"/>
          <w:spacing w:val="-8"/>
          <w:sz w:val="28"/>
          <w:szCs w:val="28"/>
          <w:highlight w:val="none"/>
          <w:lang w:eastAsia="zh-CN"/>
        </w:rPr>
        <w:t>（五）</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b/>
          <w:bCs/>
          <w:color w:val="auto"/>
          <w:spacing w:val="-8"/>
          <w:sz w:val="28"/>
          <w:szCs w:val="28"/>
          <w:highlight w:val="none"/>
          <w:lang w:eastAsia="zh-CN"/>
        </w:rPr>
        <w:t>开标</w:t>
      </w:r>
      <w:bookmarkEnd w:id="77"/>
      <w:bookmarkEnd w:id="78"/>
    </w:p>
    <w:p w14:paraId="3F8798D2">
      <w:pPr>
        <w:pStyle w:val="10"/>
        <w:spacing w:before="135" w:line="223" w:lineRule="auto"/>
        <w:ind w:left="575"/>
        <w:outlineLvl w:val="2"/>
        <w:rPr>
          <w:rFonts w:ascii="仿宋_GB2312" w:hAnsi="仿宋_GB2312" w:eastAsia="仿宋_GB2312" w:cs="仿宋_GB2312"/>
          <w:color w:val="auto"/>
          <w:sz w:val="28"/>
          <w:szCs w:val="28"/>
          <w:highlight w:val="none"/>
          <w:lang w:eastAsia="zh-CN"/>
        </w:rPr>
      </w:pPr>
      <w:bookmarkStart w:id="79" w:name="_Toc17580"/>
      <w:bookmarkStart w:id="80" w:name="_Toc18293"/>
      <w:r>
        <w:rPr>
          <w:rFonts w:hint="eastAsia" w:ascii="仿宋_GB2312" w:hAnsi="仿宋_GB2312" w:eastAsia="仿宋_GB2312" w:cs="仿宋_GB2312"/>
          <w:b/>
          <w:bCs/>
          <w:color w:val="auto"/>
          <w:spacing w:val="-7"/>
          <w:sz w:val="28"/>
          <w:szCs w:val="28"/>
          <w:highlight w:val="none"/>
          <w:lang w:eastAsia="zh-CN"/>
        </w:rPr>
        <w:t>29.</w:t>
      </w:r>
      <w:r>
        <w:rPr>
          <w:rFonts w:hint="eastAsia" w:ascii="仿宋_GB2312" w:hAnsi="仿宋_GB2312" w:eastAsia="仿宋_GB2312" w:cs="仿宋_GB2312"/>
          <w:color w:val="auto"/>
          <w:spacing w:val="18"/>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开标</w:t>
      </w:r>
      <w:bookmarkEnd w:id="79"/>
      <w:bookmarkEnd w:id="80"/>
    </w:p>
    <w:p w14:paraId="4FFE863B">
      <w:pPr>
        <w:pStyle w:val="10"/>
        <w:spacing w:before="135" w:line="306" w:lineRule="auto"/>
        <w:ind w:left="22"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29.1</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本项目采用不见面开标方式，招标会将于投标须</w:t>
      </w:r>
      <w:r>
        <w:rPr>
          <w:rFonts w:hint="eastAsia" w:ascii="仿宋_GB2312" w:hAnsi="仿宋_GB2312" w:eastAsia="仿宋_GB2312" w:cs="仿宋_GB2312"/>
          <w:color w:val="auto"/>
          <w:spacing w:val="5"/>
          <w:sz w:val="28"/>
          <w:szCs w:val="28"/>
          <w:highlight w:val="none"/>
          <w:lang w:eastAsia="zh-CN"/>
        </w:rPr>
        <w:t>知前附表规定的时</w:t>
      </w:r>
      <w:r>
        <w:rPr>
          <w:rFonts w:hint="eastAsia" w:ascii="仿宋_GB2312" w:hAnsi="仿宋_GB2312" w:eastAsia="仿宋_GB2312" w:cs="仿宋_GB2312"/>
          <w:color w:val="auto"/>
          <w:sz w:val="28"/>
          <w:szCs w:val="28"/>
          <w:highlight w:val="none"/>
          <w:lang w:eastAsia="zh-CN"/>
        </w:rPr>
        <w:t xml:space="preserve"> 间和地点召开，供应商无需到达开标现场，仅需在任意地点通过政采云平台完</w:t>
      </w:r>
      <w:r>
        <w:rPr>
          <w:rFonts w:hint="eastAsia" w:ascii="仿宋_GB2312" w:hAnsi="仿宋_GB2312" w:eastAsia="仿宋_GB2312" w:cs="仿宋_GB2312"/>
          <w:color w:val="auto"/>
          <w:spacing w:val="2"/>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 xml:space="preserve">成开标签到、远程解密、报价确认等交互环节。供应商应在投标截止时间前登 </w:t>
      </w:r>
      <w:r>
        <w:rPr>
          <w:rFonts w:hint="eastAsia" w:ascii="仿宋_GB2312" w:hAnsi="仿宋_GB2312" w:eastAsia="仿宋_GB2312" w:cs="仿宋_GB2312"/>
          <w:color w:val="auto"/>
          <w:spacing w:val="-2"/>
          <w:sz w:val="28"/>
          <w:szCs w:val="28"/>
          <w:highlight w:val="none"/>
          <w:lang w:eastAsia="zh-CN"/>
        </w:rPr>
        <w:t>录政采云平台签到，同时确保开标期间电脑网络环境畅通，浏览器配置无误，</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可完成正常的解密和操作。评标委员会成员到场集中评标，但不得参加开标活</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动。</w:t>
      </w:r>
      <w:r>
        <w:rPr>
          <w:rFonts w:hint="eastAsia" w:ascii="仿宋_GB2312" w:hAnsi="仿宋_GB2312" w:eastAsia="仿宋_GB2312" w:cs="仿宋_GB2312"/>
          <w:b/>
          <w:bCs/>
          <w:color w:val="auto"/>
          <w:spacing w:val="-5"/>
          <w:sz w:val="28"/>
          <w:szCs w:val="28"/>
          <w:highlight w:val="none"/>
          <w:lang w:eastAsia="zh-CN"/>
        </w:rPr>
        <w:t>投标截止时间前不得开启投标文件。</w:t>
      </w:r>
    </w:p>
    <w:p w14:paraId="72706C62">
      <w:pPr>
        <w:pStyle w:val="10"/>
        <w:spacing w:before="135"/>
        <w:ind w:left="22" w:right="38" w:firstLine="550"/>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 开标程序</w:t>
      </w:r>
    </w:p>
    <w:p w14:paraId="5DFADB78">
      <w:pPr>
        <w:pStyle w:val="10"/>
        <w:spacing w:before="135"/>
        <w:ind w:left="22" w:right="38" w:firstLine="550"/>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29.2.1 供应商不足3个的，不得开标。</w:t>
      </w:r>
    </w:p>
    <w:p w14:paraId="7BC26BC6">
      <w:pPr>
        <w:pStyle w:val="10"/>
        <w:spacing w:before="135"/>
        <w:ind w:left="22" w:right="38" w:firstLine="550"/>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29.2.2 开标由采购人或采购代理机构主持；</w:t>
      </w:r>
    </w:p>
    <w:p w14:paraId="6CAD7B52">
      <w:pPr>
        <w:pStyle w:val="10"/>
        <w:spacing w:before="135"/>
        <w:ind w:left="22"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29.2.3 供应商解密，解密时长30分钟；</w:t>
      </w:r>
    </w:p>
    <w:p w14:paraId="5660E44F">
      <w:pPr>
        <w:pStyle w:val="10"/>
        <w:spacing w:before="50" w:line="305" w:lineRule="auto"/>
        <w:ind w:left="13" w:right="38" w:firstLine="55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29.2.4</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解密后由采购代理机构工作人</w:t>
      </w:r>
      <w:r>
        <w:rPr>
          <w:rFonts w:hint="eastAsia" w:ascii="仿宋_GB2312" w:hAnsi="仿宋_GB2312" w:eastAsia="仿宋_GB2312" w:cs="仿宋_GB2312"/>
          <w:color w:val="auto"/>
          <w:spacing w:val="5"/>
          <w:sz w:val="28"/>
          <w:szCs w:val="28"/>
          <w:highlight w:val="none"/>
          <w:lang w:eastAsia="zh-CN"/>
        </w:rPr>
        <w:t>员宣读《开标一览表》中载明的内</w:t>
      </w:r>
      <w:r>
        <w:rPr>
          <w:rFonts w:hint="eastAsia" w:ascii="仿宋_GB2312" w:hAnsi="仿宋_GB2312" w:eastAsia="仿宋_GB2312" w:cs="仿宋_GB2312"/>
          <w:color w:val="auto"/>
          <w:sz w:val="28"/>
          <w:szCs w:val="28"/>
          <w:highlight w:val="none"/>
          <w:lang w:eastAsia="zh-CN"/>
        </w:rPr>
        <w:t xml:space="preserve"> 容；之后由采购代理机构工作人员开启报价签字时段，供应商在规定时间内对</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《开标一览表》的内容进行签字确认，本项目报价签字时段设定为30</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分</w:t>
      </w:r>
      <w:r>
        <w:rPr>
          <w:rFonts w:hint="eastAsia" w:ascii="仿宋_GB2312" w:hAnsi="仿宋_GB2312" w:eastAsia="仿宋_GB2312" w:cs="仿宋_GB2312"/>
          <w:color w:val="auto"/>
          <w:spacing w:val="2"/>
          <w:sz w:val="28"/>
          <w:szCs w:val="28"/>
          <w:highlight w:val="none"/>
          <w:lang w:eastAsia="zh-CN"/>
        </w:rPr>
        <w:t>钟，</w:t>
      </w:r>
      <w:r>
        <w:rPr>
          <w:rFonts w:hint="eastAsia" w:ascii="仿宋_GB2312" w:hAnsi="仿宋_GB2312" w:eastAsia="仿宋_GB2312" w:cs="仿宋_GB2312"/>
          <w:color w:val="auto"/>
          <w:sz w:val="28"/>
          <w:szCs w:val="28"/>
          <w:highlight w:val="none"/>
          <w:lang w:eastAsia="zh-CN"/>
        </w:rPr>
        <w:t xml:space="preserve"> 如供应商未在规定时间内签字确认，后果自负。如供应商代表对唱标人宣读的</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内容有异议的，应当场提出。</w:t>
      </w:r>
    </w:p>
    <w:p w14:paraId="5E239DB6">
      <w:pPr>
        <w:pStyle w:val="10"/>
        <w:spacing w:before="43" w:line="297" w:lineRule="auto"/>
        <w:ind w:left="18" w:right="46"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29.2.5</w:t>
      </w:r>
      <w:r>
        <w:rPr>
          <w:rFonts w:hint="eastAsia" w:ascii="仿宋_GB2312" w:hAnsi="仿宋_GB2312" w:eastAsia="仿宋_GB2312" w:cs="仿宋_GB2312"/>
          <w:color w:val="auto"/>
          <w:spacing w:val="-23"/>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唱标结束后由采购人代表对供应商进行资格审查；资格审查不合</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格的，投标无效；</w:t>
      </w:r>
    </w:p>
    <w:p w14:paraId="1766485B">
      <w:pPr>
        <w:pStyle w:val="10"/>
        <w:spacing w:before="45" w:line="295" w:lineRule="auto"/>
        <w:ind w:left="18" w:right="43"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29.2.6 按本文件28条已提交了可接受的撤回通知的投标文件及无效</w:t>
      </w:r>
      <w:r>
        <w:rPr>
          <w:rFonts w:hint="eastAsia" w:ascii="仿宋_GB2312" w:hAnsi="仿宋_GB2312" w:eastAsia="仿宋_GB2312" w:cs="仿宋_GB2312"/>
          <w:color w:val="auto"/>
          <w:spacing w:val="-4"/>
          <w:sz w:val="28"/>
          <w:szCs w:val="28"/>
          <w:highlight w:val="none"/>
          <w:lang w:eastAsia="zh-CN"/>
        </w:rPr>
        <w:t>投标文件将不予开启。</w:t>
      </w:r>
    </w:p>
    <w:p w14:paraId="49F27A7D">
      <w:pPr>
        <w:pStyle w:val="10"/>
        <w:spacing w:before="48" w:line="301" w:lineRule="auto"/>
        <w:ind w:left="24" w:right="46" w:firstLine="54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29.3 公开招标数额标准以上的采购项目，投标截止后供应商不足3家或</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者通过资格审查或符合性审查的供应商不足3家的，除采购任务取消情</w:t>
      </w:r>
      <w:r>
        <w:rPr>
          <w:rFonts w:hint="eastAsia" w:ascii="仿宋_GB2312" w:hAnsi="仿宋_GB2312" w:eastAsia="仿宋_GB2312" w:cs="仿宋_GB2312"/>
          <w:color w:val="auto"/>
          <w:spacing w:val="-2"/>
          <w:sz w:val="28"/>
          <w:szCs w:val="28"/>
          <w:highlight w:val="none"/>
          <w:lang w:eastAsia="zh-CN"/>
        </w:rPr>
        <w:t>形外，</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可按照以下方式处理：</w:t>
      </w:r>
    </w:p>
    <w:p w14:paraId="7651E66C">
      <w:pPr>
        <w:pStyle w:val="10"/>
        <w:spacing w:before="48" w:line="267" w:lineRule="auto"/>
        <w:ind w:left="19" w:right="65" w:firstLine="55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（一）采购文件存在不合理条款或者招标程序不符合规定的，采购人、采</w:t>
      </w:r>
      <w:r>
        <w:rPr>
          <w:rFonts w:hint="eastAsia" w:ascii="仿宋_GB2312" w:hAnsi="仿宋_GB2312" w:eastAsia="仿宋_GB2312" w:cs="仿宋_GB2312"/>
          <w:color w:val="auto"/>
          <w:spacing w:val="1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购代理机构改正后依法重新招标；</w:t>
      </w:r>
    </w:p>
    <w:p w14:paraId="3F01B558">
      <w:pPr>
        <w:pStyle w:val="10"/>
        <w:spacing w:before="134" w:line="267" w:lineRule="auto"/>
        <w:ind w:left="26" w:right="64" w:firstLine="55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（二）采购文件没有不合理条款、招标程序符合规定，需要采用其他采购</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方式采购的，采购人应当依法报财政部门批准。</w:t>
      </w:r>
    </w:p>
    <w:p w14:paraId="3F96D167">
      <w:pPr>
        <w:pStyle w:val="10"/>
        <w:spacing w:before="136" w:line="305" w:lineRule="auto"/>
        <w:ind w:left="21" w:right="38" w:firstLine="55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29.4</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供应商法定代表人或法定代表人授权委托人参与开标远程交互时，</w:t>
      </w:r>
      <w:r>
        <w:rPr>
          <w:rFonts w:hint="eastAsia" w:ascii="仿宋_GB2312" w:hAnsi="仿宋_GB2312" w:eastAsia="仿宋_GB2312" w:cs="仿宋_GB2312"/>
          <w:color w:val="auto"/>
          <w:sz w:val="28"/>
          <w:szCs w:val="28"/>
          <w:highlight w:val="none"/>
          <w:lang w:eastAsia="zh-CN"/>
        </w:rPr>
        <w:t xml:space="preserve"> 中途不得更换，在解密、废标、澄清、提疑、传送文件等特殊情况下需要交互</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时，供应商一端参与交互的人员将均被视为</w:t>
      </w:r>
      <w:r>
        <w:rPr>
          <w:rFonts w:hint="eastAsia" w:ascii="仿宋_GB2312" w:hAnsi="仿宋_GB2312" w:eastAsia="仿宋_GB2312" w:cs="仿宋_GB2312"/>
          <w:color w:val="auto"/>
          <w:spacing w:val="8"/>
          <w:sz w:val="28"/>
          <w:szCs w:val="28"/>
          <w:highlight w:val="none"/>
          <w:lang w:eastAsia="zh-CN"/>
        </w:rPr>
        <w:t>是供应商的授权委托人或法人代</w:t>
      </w:r>
      <w:r>
        <w:rPr>
          <w:rFonts w:hint="eastAsia" w:ascii="仿宋_GB2312" w:hAnsi="仿宋_GB2312" w:eastAsia="仿宋_GB2312" w:cs="仿宋_GB2312"/>
          <w:color w:val="auto"/>
          <w:sz w:val="28"/>
          <w:szCs w:val="28"/>
          <w:highlight w:val="none"/>
          <w:lang w:eastAsia="zh-CN"/>
        </w:rPr>
        <w:t xml:space="preserve"> 表，供应商不得以不承认交互人员的资格或身份等为借口推脱，供应商自行承</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担随意更换人员所导致的一切后果。</w:t>
      </w:r>
    </w:p>
    <w:p w14:paraId="17EC2D7E">
      <w:pPr>
        <w:pStyle w:val="10"/>
        <w:spacing w:before="46" w:line="294" w:lineRule="auto"/>
        <w:ind w:left="30" w:right="46" w:firstLine="54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29.5</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采购人或采购代理机构应对开标过程</w:t>
      </w:r>
      <w:r>
        <w:rPr>
          <w:rFonts w:hint="eastAsia" w:ascii="仿宋_GB2312" w:hAnsi="仿宋_GB2312" w:eastAsia="仿宋_GB2312" w:cs="仿宋_GB2312"/>
          <w:color w:val="auto"/>
          <w:spacing w:val="3"/>
          <w:sz w:val="28"/>
          <w:szCs w:val="28"/>
          <w:highlight w:val="none"/>
          <w:lang w:eastAsia="zh-CN"/>
        </w:rPr>
        <w:t>进行记录，</w:t>
      </w:r>
      <w:r>
        <w:rPr>
          <w:rFonts w:hint="eastAsia" w:ascii="仿宋_GB2312" w:hAnsi="仿宋_GB2312" w:eastAsia="仿宋_GB2312" w:cs="仿宋_GB2312"/>
          <w:color w:val="auto"/>
          <w:spacing w:val="-7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由相关工作人员签</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字确认后随采购文件一并存档。</w:t>
      </w:r>
    </w:p>
    <w:p w14:paraId="5A9A02C7">
      <w:pPr>
        <w:pStyle w:val="10"/>
        <w:spacing w:before="46" w:line="294" w:lineRule="auto"/>
        <w:ind w:left="30" w:right="46" w:firstLine="542"/>
        <w:outlineLvl w:val="2"/>
        <w:rPr>
          <w:rFonts w:ascii="仿宋_GB2312" w:hAnsi="仿宋_GB2312" w:eastAsia="仿宋_GB2312" w:cs="仿宋_GB2312"/>
          <w:color w:val="auto"/>
          <w:spacing w:val="4"/>
          <w:sz w:val="28"/>
          <w:szCs w:val="28"/>
          <w:highlight w:val="none"/>
          <w:lang w:eastAsia="zh-CN"/>
        </w:rPr>
      </w:pPr>
      <w:bookmarkStart w:id="81" w:name="_Toc26917"/>
      <w:bookmarkStart w:id="82" w:name="_Toc3617"/>
      <w:r>
        <w:rPr>
          <w:rFonts w:hint="eastAsia" w:ascii="仿宋_GB2312" w:hAnsi="仿宋_GB2312" w:eastAsia="仿宋_GB2312" w:cs="仿宋_GB2312"/>
          <w:color w:val="auto"/>
          <w:spacing w:val="4"/>
          <w:sz w:val="28"/>
          <w:szCs w:val="28"/>
          <w:highlight w:val="none"/>
          <w:lang w:eastAsia="zh-CN"/>
        </w:rPr>
        <w:t>30. 资格审查</w:t>
      </w:r>
      <w:bookmarkEnd w:id="81"/>
      <w:bookmarkEnd w:id="82"/>
    </w:p>
    <w:p w14:paraId="61697B7C">
      <w:pPr>
        <w:pStyle w:val="10"/>
        <w:spacing w:before="46" w:line="294" w:lineRule="auto"/>
        <w:ind w:left="30" w:right="46" w:firstLine="542"/>
        <w:rPr>
          <w:rFonts w:ascii="仿宋_GB2312" w:hAnsi="仿宋_GB2312" w:eastAsia="仿宋_GB2312" w:cs="仿宋_GB2312"/>
          <w:color w:val="auto"/>
          <w:spacing w:val="4"/>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30.1 开标结束后，采购人按照本采购文件资格响应文件的要求对各供应商进行资格审查，同时由招标代理机构按照《投标须知前附表》第4.4 项要求对所有供应商进行信用记录查询，并将查询结果书面记录资料提交采购人。供应商资格审查不合格的，其投标无效。</w:t>
      </w:r>
    </w:p>
    <w:p w14:paraId="26B3332B">
      <w:pPr>
        <w:pStyle w:val="10"/>
        <w:spacing w:before="45" w:line="222" w:lineRule="auto"/>
        <w:ind w:left="57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30.2</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合格供应商不足三家的，不进行评标。</w:t>
      </w:r>
    </w:p>
    <w:p w14:paraId="43BEBA69">
      <w:pPr>
        <w:pStyle w:val="10"/>
        <w:spacing w:before="136" w:line="223" w:lineRule="auto"/>
        <w:ind w:left="581"/>
        <w:outlineLvl w:val="1"/>
        <w:rPr>
          <w:rFonts w:ascii="仿宋_GB2312" w:hAnsi="仿宋_GB2312" w:eastAsia="仿宋_GB2312" w:cs="仿宋_GB2312"/>
          <w:color w:val="auto"/>
          <w:sz w:val="28"/>
          <w:szCs w:val="28"/>
          <w:highlight w:val="none"/>
          <w:lang w:eastAsia="zh-CN"/>
        </w:rPr>
      </w:pPr>
      <w:bookmarkStart w:id="83" w:name="_Toc17312"/>
      <w:bookmarkStart w:id="84" w:name="_Toc24133"/>
      <w:r>
        <w:rPr>
          <w:rFonts w:hint="eastAsia" w:ascii="仿宋_GB2312" w:hAnsi="仿宋_GB2312" w:eastAsia="仿宋_GB2312" w:cs="仿宋_GB2312"/>
          <w:b/>
          <w:bCs/>
          <w:color w:val="auto"/>
          <w:spacing w:val="-9"/>
          <w:sz w:val="28"/>
          <w:szCs w:val="28"/>
          <w:highlight w:val="none"/>
          <w:lang w:eastAsia="zh-CN"/>
        </w:rPr>
        <w:t>（六）</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9"/>
          <w:sz w:val="28"/>
          <w:szCs w:val="28"/>
          <w:highlight w:val="none"/>
          <w:lang w:eastAsia="zh-CN"/>
        </w:rPr>
        <w:t>评标</w:t>
      </w:r>
      <w:bookmarkEnd w:id="83"/>
      <w:bookmarkEnd w:id="84"/>
    </w:p>
    <w:p w14:paraId="0702140E">
      <w:pPr>
        <w:pStyle w:val="10"/>
        <w:spacing w:before="134" w:line="223" w:lineRule="auto"/>
        <w:ind w:left="578"/>
        <w:outlineLvl w:val="2"/>
        <w:rPr>
          <w:rFonts w:ascii="仿宋_GB2312" w:hAnsi="仿宋_GB2312" w:eastAsia="仿宋_GB2312" w:cs="仿宋_GB2312"/>
          <w:color w:val="auto"/>
          <w:sz w:val="28"/>
          <w:szCs w:val="28"/>
          <w:highlight w:val="none"/>
          <w:lang w:eastAsia="zh-CN"/>
        </w:rPr>
      </w:pPr>
      <w:bookmarkStart w:id="85" w:name="_Toc3856"/>
      <w:bookmarkStart w:id="86" w:name="_Toc12457"/>
      <w:r>
        <w:rPr>
          <w:rFonts w:hint="eastAsia" w:ascii="仿宋_GB2312" w:hAnsi="仿宋_GB2312" w:eastAsia="仿宋_GB2312" w:cs="仿宋_GB2312"/>
          <w:b/>
          <w:bCs/>
          <w:color w:val="auto"/>
          <w:spacing w:val="-4"/>
          <w:sz w:val="28"/>
          <w:szCs w:val="28"/>
          <w:highlight w:val="none"/>
          <w:lang w:eastAsia="zh-CN"/>
        </w:rPr>
        <w:t>31.</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评标委员会与评标</w:t>
      </w:r>
      <w:bookmarkEnd w:id="85"/>
      <w:bookmarkEnd w:id="86"/>
    </w:p>
    <w:p w14:paraId="75C8229E">
      <w:pPr>
        <w:pStyle w:val="10"/>
        <w:spacing w:before="133" w:line="295" w:lineRule="auto"/>
        <w:ind w:left="21" w:right="42"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31.1 评标工作由采购人依法组建的评标委员会负责。评标委员会的名单</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在评标结果公告前应当保密。</w:t>
      </w:r>
    </w:p>
    <w:p w14:paraId="19E4F6D2">
      <w:pPr>
        <w:pStyle w:val="10"/>
        <w:spacing w:before="49" w:line="295" w:lineRule="auto"/>
        <w:ind w:left="22" w:right="46" w:firstLine="55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31.2 本项目评标委员会由5人及以上（单数）组成，为新疆政府采购网政采云平台专家库中随机抽取相关专业专家及采购人代表人（若有）组成。</w:t>
      </w:r>
    </w:p>
    <w:p w14:paraId="7FDD8DA8">
      <w:pPr>
        <w:pStyle w:val="10"/>
        <w:spacing w:before="48" w:line="221" w:lineRule="auto"/>
        <w:ind w:left="57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31.3 开标结束后，开始评标，评标采用保密方</w:t>
      </w:r>
      <w:r>
        <w:rPr>
          <w:rFonts w:hint="eastAsia" w:ascii="仿宋_GB2312" w:hAnsi="仿宋_GB2312" w:eastAsia="仿宋_GB2312" w:cs="仿宋_GB2312"/>
          <w:color w:val="auto"/>
          <w:spacing w:val="-2"/>
          <w:sz w:val="28"/>
          <w:szCs w:val="28"/>
          <w:highlight w:val="none"/>
          <w:lang w:eastAsia="zh-CN"/>
        </w:rPr>
        <w:t>式进行。</w:t>
      </w:r>
    </w:p>
    <w:p w14:paraId="71906F26">
      <w:pPr>
        <w:pStyle w:val="10"/>
        <w:spacing w:before="139" w:line="295" w:lineRule="auto"/>
        <w:ind w:left="24" w:right="42" w:firstLine="55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31.4 评标委员会组长由评标委员会成员推举产生，并与评标委员会其他</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成员有同等的权利和义务。采购人代表不得担任评标委员会组长。</w:t>
      </w:r>
    </w:p>
    <w:p w14:paraId="4D04EE14">
      <w:pPr>
        <w:pStyle w:val="10"/>
        <w:spacing w:before="47" w:line="297" w:lineRule="auto"/>
        <w:ind w:left="21" w:right="42"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31.5 评标委员会成员应当客观、公正地履行职责，遵守职业道德，对所</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提出的评审意见承担个人责任。</w:t>
      </w:r>
    </w:p>
    <w:p w14:paraId="512E570C">
      <w:pPr>
        <w:pStyle w:val="10"/>
        <w:spacing w:before="44" w:line="297" w:lineRule="auto"/>
        <w:ind w:left="30" w:right="42" w:firstLine="54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31.6 评标委员会根据采购文件确定的评比标准和方法，对投标文件进行</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系统地评审和比较。采购文件中没有规定的标准和方法</w:t>
      </w:r>
      <w:r>
        <w:rPr>
          <w:rFonts w:hint="eastAsia" w:ascii="仿宋_GB2312" w:hAnsi="仿宋_GB2312" w:eastAsia="仿宋_GB2312" w:cs="仿宋_GB2312"/>
          <w:color w:val="auto"/>
          <w:spacing w:val="-2"/>
          <w:sz w:val="28"/>
          <w:szCs w:val="28"/>
          <w:highlight w:val="none"/>
          <w:lang w:eastAsia="zh-CN"/>
        </w:rPr>
        <w:t>不得作为评标的依据。</w:t>
      </w:r>
    </w:p>
    <w:p w14:paraId="79CE42C5">
      <w:pPr>
        <w:pStyle w:val="10"/>
        <w:spacing w:before="43" w:line="301" w:lineRule="auto"/>
        <w:ind w:left="18" w:right="38" w:firstLine="55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31.7</w:t>
      </w:r>
      <w:r>
        <w:rPr>
          <w:rFonts w:hint="eastAsia" w:ascii="仿宋_GB2312" w:hAnsi="仿宋_GB2312" w:eastAsia="仿宋_GB2312" w:cs="仿宋_GB2312"/>
          <w:color w:val="auto"/>
          <w:spacing w:val="-41"/>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在评标过程中，评标委员会发现有证据</w:t>
      </w:r>
      <w:r>
        <w:rPr>
          <w:rFonts w:hint="eastAsia" w:ascii="仿宋_GB2312" w:hAnsi="仿宋_GB2312" w:eastAsia="仿宋_GB2312" w:cs="仿宋_GB2312"/>
          <w:color w:val="auto"/>
          <w:spacing w:val="5"/>
          <w:sz w:val="28"/>
          <w:szCs w:val="28"/>
          <w:highlight w:val="none"/>
          <w:lang w:eastAsia="zh-CN"/>
        </w:rPr>
        <w:t>表明供应商以他人的名义投</w:t>
      </w:r>
      <w:r>
        <w:rPr>
          <w:rFonts w:hint="eastAsia" w:ascii="仿宋_GB2312" w:hAnsi="仿宋_GB2312" w:eastAsia="仿宋_GB2312" w:cs="仿宋_GB2312"/>
          <w:color w:val="auto"/>
          <w:sz w:val="28"/>
          <w:szCs w:val="28"/>
          <w:highlight w:val="none"/>
          <w:lang w:eastAsia="zh-CN"/>
        </w:rPr>
        <w:t xml:space="preserve"> 标、串通投标、以行贿手段谋取中标或者以其他弄虚作假方式投标的，该供应</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商的投标作无效标处理。并在评标报告中说明。</w:t>
      </w:r>
    </w:p>
    <w:p w14:paraId="78E4707B">
      <w:pPr>
        <w:pStyle w:val="10"/>
        <w:spacing w:before="47" w:line="223" w:lineRule="auto"/>
        <w:ind w:left="578"/>
        <w:outlineLvl w:val="2"/>
        <w:rPr>
          <w:rFonts w:ascii="仿宋_GB2312" w:hAnsi="仿宋_GB2312" w:eastAsia="仿宋_GB2312" w:cs="仿宋_GB2312"/>
          <w:color w:val="auto"/>
          <w:sz w:val="28"/>
          <w:szCs w:val="28"/>
          <w:highlight w:val="none"/>
          <w:lang w:eastAsia="zh-CN"/>
        </w:rPr>
      </w:pPr>
      <w:bookmarkStart w:id="87" w:name="_Toc14225"/>
      <w:bookmarkStart w:id="88" w:name="_Toc12276"/>
      <w:r>
        <w:rPr>
          <w:rFonts w:hint="eastAsia" w:ascii="仿宋_GB2312" w:hAnsi="仿宋_GB2312" w:eastAsia="仿宋_GB2312" w:cs="仿宋_GB2312"/>
          <w:b/>
          <w:bCs/>
          <w:color w:val="auto"/>
          <w:spacing w:val="-4"/>
          <w:sz w:val="28"/>
          <w:szCs w:val="28"/>
          <w:highlight w:val="none"/>
          <w:lang w:eastAsia="zh-CN"/>
        </w:rPr>
        <w:t>32.</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投标文件的澄清</w:t>
      </w:r>
      <w:bookmarkEnd w:id="87"/>
      <w:bookmarkEnd w:id="88"/>
    </w:p>
    <w:p w14:paraId="6EBC14B1">
      <w:pPr>
        <w:pStyle w:val="10"/>
        <w:spacing w:before="136" w:line="303" w:lineRule="auto"/>
        <w:ind w:left="19" w:right="38"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32.1 为有助于对投标文件进行审查、评估和比较，供应商对评审中评标</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委员会提出的投标文件中含义不明确、同类问题表述不一致或者有明显文字和</w:t>
      </w:r>
      <w:r>
        <w:rPr>
          <w:rFonts w:hint="eastAsia" w:ascii="仿宋_GB2312" w:hAnsi="仿宋_GB2312" w:eastAsia="仿宋_GB2312" w:cs="仿宋_GB2312"/>
          <w:color w:val="auto"/>
          <w:spacing w:val="9"/>
          <w:sz w:val="28"/>
          <w:szCs w:val="28"/>
          <w:highlight w:val="none"/>
          <w:lang w:eastAsia="zh-CN"/>
        </w:rPr>
        <w:t xml:space="preserve"> 计算错误的内容，应通过政采云平台进行澄清、说</w:t>
      </w:r>
      <w:r>
        <w:rPr>
          <w:rFonts w:hint="eastAsia" w:ascii="仿宋_GB2312" w:hAnsi="仿宋_GB2312" w:eastAsia="仿宋_GB2312" w:cs="仿宋_GB2312"/>
          <w:color w:val="auto"/>
          <w:spacing w:val="8"/>
          <w:sz w:val="28"/>
          <w:szCs w:val="28"/>
          <w:highlight w:val="none"/>
          <w:lang w:eastAsia="zh-CN"/>
        </w:rPr>
        <w:t>明或者补正。供应商的澄</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清、说明或者补正不得超出投标文件的范围或者改变投标文件的实质性内容。</w:t>
      </w:r>
    </w:p>
    <w:p w14:paraId="4072CDCD">
      <w:pPr>
        <w:pStyle w:val="10"/>
        <w:spacing w:before="50"/>
        <w:ind w:left="41" w:right="42" w:firstLine="53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32.2 供应商未按照要求对投标文件进行澄清、说明或者补正的，评标委</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员会可以否决其投标。</w:t>
      </w:r>
    </w:p>
    <w:p w14:paraId="0F4E02EC">
      <w:pPr>
        <w:pStyle w:val="10"/>
        <w:spacing w:before="48"/>
        <w:ind w:left="578"/>
        <w:outlineLvl w:val="2"/>
        <w:rPr>
          <w:rFonts w:ascii="仿宋_GB2312" w:hAnsi="仿宋_GB2312" w:eastAsia="仿宋_GB2312" w:cs="仿宋_GB2312"/>
          <w:color w:val="auto"/>
          <w:sz w:val="28"/>
          <w:szCs w:val="28"/>
          <w:highlight w:val="none"/>
          <w:lang w:eastAsia="zh-CN"/>
        </w:rPr>
      </w:pPr>
      <w:bookmarkStart w:id="89" w:name="_Toc11906"/>
      <w:bookmarkStart w:id="90" w:name="_Toc11946"/>
      <w:r>
        <w:rPr>
          <w:rFonts w:hint="eastAsia" w:ascii="仿宋_GB2312" w:hAnsi="仿宋_GB2312" w:eastAsia="仿宋_GB2312" w:cs="仿宋_GB2312"/>
          <w:b/>
          <w:bCs/>
          <w:color w:val="auto"/>
          <w:spacing w:val="-3"/>
          <w:sz w:val="28"/>
          <w:szCs w:val="28"/>
          <w:highlight w:val="none"/>
          <w:lang w:eastAsia="zh-CN"/>
        </w:rPr>
        <w:t>33.</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投标文件的评审、比较</w:t>
      </w:r>
      <w:bookmarkEnd w:id="89"/>
      <w:bookmarkEnd w:id="90"/>
    </w:p>
    <w:p w14:paraId="3ED2DC38">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33.1 投标文件符合性审查</w:t>
      </w:r>
    </w:p>
    <w:p w14:paraId="3A572AEF">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33.1.1 评标委员会应当对通过资格审查的供应商的投标文件进行符合性</w:t>
      </w:r>
    </w:p>
    <w:p w14:paraId="3D16DD74">
      <w:pPr>
        <w:spacing w:line="480" w:lineRule="exact"/>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审查，以确定其是否满足采购文件的实质性要求。通过符合性审查的供应商的 投标文件进入详细评审。</w:t>
      </w:r>
    </w:p>
    <w:p w14:paraId="313A81AF">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33.2 投标文件的详细评审</w:t>
      </w:r>
    </w:p>
    <w:p w14:paraId="2C8DE88C">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33.2.1 综合评分法是指投标文件满足采购文件全部实质性要求，且按照 评审因素的量化指标评审综合得分（即商务部分、技术部分、报价部分合计分 值）最高的供应商为中标候选人的评标方法。采用综合评分法的，评标委员会 将按供应商综合得分顺序由高到低依次排名，得分相同的，按投标报价由低到 高顺序排列。得分及报价相同的，按技术指标优劣顺序排列。得分由高到低顺 序排列一至三名供应商将成为中标候选人。</w:t>
      </w:r>
    </w:p>
    <w:p w14:paraId="5B1F11C2">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33.2.2 评审中，评标委员会可以对投标文件中含义不明确、同类问题表 述不一致或者有明显文字和计算错误的内容，在规定的时限内要求供应商作出 必要的澄清、说明或者补正。</w:t>
      </w:r>
    </w:p>
    <w:p w14:paraId="51F92394">
      <w:pPr>
        <w:pStyle w:val="10"/>
        <w:spacing w:before="45" w:line="304" w:lineRule="auto"/>
        <w:ind w:left="20"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33.2.3</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评标委员会认为供应商的报价明显低于其他通过符合性审查供应</w:t>
      </w:r>
      <w:r>
        <w:rPr>
          <w:rFonts w:hint="eastAsia" w:ascii="仿宋_GB2312" w:hAnsi="仿宋_GB2312" w:eastAsia="仿宋_GB2312" w:cs="仿宋_GB2312"/>
          <w:color w:val="auto"/>
          <w:sz w:val="28"/>
          <w:szCs w:val="28"/>
          <w:highlight w:val="none"/>
          <w:lang w:eastAsia="zh-CN"/>
        </w:rPr>
        <w:t xml:space="preserve"> 商的报价，有可能影响产品质量或者不能诚信履约的，应当要求其在评标现场</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合理的时间内提供相关说明，必要时提交相关证明材料；供应商不能证明其报</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价合理性的，评标委员会应当将其作为无效投标处理。</w:t>
      </w:r>
    </w:p>
    <w:p w14:paraId="5DD6D861">
      <w:pPr>
        <w:pStyle w:val="10"/>
        <w:spacing w:before="47" w:line="305" w:lineRule="auto"/>
        <w:ind w:left="20"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使用综合评分法的采购项目，提供相同品牌且通过资格审查、符</w:t>
      </w:r>
      <w:r>
        <w:rPr>
          <w:rFonts w:hint="eastAsia" w:ascii="仿宋_GB2312" w:hAnsi="仿宋_GB2312" w:eastAsia="仿宋_GB2312" w:cs="仿宋_GB2312"/>
          <w:color w:val="auto"/>
          <w:sz w:val="28"/>
          <w:szCs w:val="28"/>
          <w:highlight w:val="none"/>
          <w:lang w:eastAsia="zh-CN"/>
        </w:rPr>
        <w:t xml:space="preserve"> 合性审查的不同供应商参加同一合同项下投标的，按一家供应商计算，评审后</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得分最高的同品牌供应商获得中标人推荐资格，评审得分相同的，由评标委员</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会按照报价最低的供应商，推荐其作为中标候选人，其他同品牌供应商不作为</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中标候选人。</w:t>
      </w:r>
    </w:p>
    <w:p w14:paraId="1637E57F">
      <w:pPr>
        <w:pStyle w:val="10"/>
        <w:spacing w:before="45" w:line="304" w:lineRule="auto"/>
        <w:ind w:left="21" w:right="38" w:firstLine="553"/>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33.2.5</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评标委员会发现采购文件存在歧义、重大缺陷导致评标工作无法</w:t>
      </w:r>
      <w:r>
        <w:rPr>
          <w:rFonts w:hint="eastAsia" w:ascii="仿宋_GB2312" w:hAnsi="仿宋_GB2312" w:eastAsia="仿宋_GB2312" w:cs="仿宋_GB2312"/>
          <w:color w:val="auto"/>
          <w:sz w:val="28"/>
          <w:szCs w:val="28"/>
          <w:highlight w:val="none"/>
          <w:lang w:eastAsia="zh-CN"/>
        </w:rPr>
        <w:t xml:space="preserve"> 进行，或者采购文件内容违反国家有关强制性规定的，应当停止评标工作，与</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采购人和采购代理机构沟通并作书面记录。采购人和采购代理机构确认后，应</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当修改采购文件，重新组织采购活动。</w:t>
      </w:r>
    </w:p>
    <w:p w14:paraId="796BEDF5">
      <w:pPr>
        <w:pStyle w:val="10"/>
        <w:spacing w:before="43" w:line="301" w:lineRule="auto"/>
        <w:ind w:left="21" w:right="38" w:firstLine="553"/>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33.2.6</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评标报告由评标委员会全体成员签字。评标委员会成员对需要共</w:t>
      </w:r>
      <w:r>
        <w:rPr>
          <w:rFonts w:hint="eastAsia" w:ascii="仿宋_GB2312" w:hAnsi="仿宋_GB2312" w:eastAsia="仿宋_GB2312" w:cs="仿宋_GB2312"/>
          <w:color w:val="auto"/>
          <w:sz w:val="28"/>
          <w:szCs w:val="28"/>
          <w:highlight w:val="none"/>
          <w:lang w:eastAsia="zh-CN"/>
        </w:rPr>
        <w:t xml:space="preserve"> 同认定的事项存在争议的，应当按照少数服从多数的原则作出结论。持不同意</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见的评标委员会成员应当在评标报告上签署不同意见及理由，否则视为同意评</w:t>
      </w:r>
      <w:r>
        <w:rPr>
          <w:rFonts w:hint="eastAsia" w:ascii="仿宋_GB2312" w:hAnsi="仿宋_GB2312" w:eastAsia="仿宋_GB2312" w:cs="仿宋_GB2312"/>
          <w:color w:val="auto"/>
          <w:spacing w:val="-9"/>
          <w:sz w:val="28"/>
          <w:szCs w:val="28"/>
          <w:highlight w:val="none"/>
          <w:lang w:eastAsia="zh-CN"/>
        </w:rPr>
        <w:t>标报告。</w:t>
      </w:r>
    </w:p>
    <w:p w14:paraId="3C94D261">
      <w:pPr>
        <w:pStyle w:val="10"/>
        <w:spacing w:before="134" w:line="297" w:lineRule="auto"/>
        <w:ind w:left="26" w:right="240"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33.2.7</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评标结果汇总完成后，</w:t>
      </w:r>
      <w:r>
        <w:rPr>
          <w:rFonts w:hint="eastAsia" w:ascii="仿宋_GB2312" w:hAnsi="仿宋_GB2312" w:eastAsia="仿宋_GB2312" w:cs="仿宋_GB2312"/>
          <w:color w:val="auto"/>
          <w:spacing w:val="-69"/>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除下列情形外，任何人</w:t>
      </w:r>
      <w:r>
        <w:rPr>
          <w:rFonts w:hint="eastAsia" w:ascii="仿宋_GB2312" w:hAnsi="仿宋_GB2312" w:eastAsia="仿宋_GB2312" w:cs="仿宋_GB2312"/>
          <w:color w:val="auto"/>
          <w:spacing w:val="11"/>
          <w:sz w:val="28"/>
          <w:szCs w:val="28"/>
          <w:highlight w:val="none"/>
          <w:lang w:eastAsia="zh-CN"/>
        </w:rPr>
        <w:t>不得修改评标结</w:t>
      </w:r>
      <w:r>
        <w:rPr>
          <w:rFonts w:hint="eastAsia" w:ascii="仿宋_GB2312" w:hAnsi="仿宋_GB2312" w:eastAsia="仿宋_GB2312" w:cs="仿宋_GB2312"/>
          <w:color w:val="auto"/>
          <w:spacing w:val="-21"/>
          <w:sz w:val="28"/>
          <w:szCs w:val="28"/>
          <w:highlight w:val="none"/>
          <w:lang w:eastAsia="zh-CN"/>
        </w:rPr>
        <w:t>果：</w:t>
      </w:r>
    </w:p>
    <w:p w14:paraId="3457AF2D">
      <w:pPr>
        <w:pStyle w:val="10"/>
        <w:spacing w:before="43" w:line="222"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（一）分值汇总计算错误的；</w:t>
      </w:r>
    </w:p>
    <w:p w14:paraId="22E82652">
      <w:pPr>
        <w:pStyle w:val="10"/>
        <w:spacing w:before="135"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（二）分项评分超出评分标准范围的；</w:t>
      </w:r>
    </w:p>
    <w:p w14:paraId="3F12CA84">
      <w:pPr>
        <w:pStyle w:val="10"/>
        <w:spacing w:before="134"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（三）评标委员会成员对客观评审因素评分不一致的；</w:t>
      </w:r>
    </w:p>
    <w:p w14:paraId="4EF002AB">
      <w:pPr>
        <w:pStyle w:val="10"/>
        <w:spacing w:before="132"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（四）经评标委员会认定评分畸高、畸低的。</w:t>
      </w:r>
    </w:p>
    <w:p w14:paraId="68A3365B">
      <w:pPr>
        <w:pStyle w:val="10"/>
        <w:spacing w:before="132" w:line="304" w:lineRule="auto"/>
        <w:ind w:left="23" w:right="235" w:firstLine="56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w:t>
      </w:r>
      <w:r>
        <w:rPr>
          <w:rFonts w:hint="eastAsia" w:ascii="仿宋_GB2312" w:hAnsi="仿宋_GB2312" w:eastAsia="仿宋_GB2312" w:cs="仿宋_GB2312"/>
          <w:color w:val="auto"/>
          <w:spacing w:val="-2"/>
          <w:sz w:val="28"/>
          <w:szCs w:val="28"/>
          <w:highlight w:val="none"/>
          <w:lang w:eastAsia="zh-CN"/>
        </w:rPr>
        <w:t>审改变评标结果的，书面报告本级财政部门。</w:t>
      </w:r>
    </w:p>
    <w:p w14:paraId="586931E6">
      <w:pPr>
        <w:pStyle w:val="10"/>
        <w:spacing w:before="45" w:line="304" w:lineRule="auto"/>
        <w:ind w:left="23" w:right="235"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33.2.8 评标委员会依据投标须知前附表规定的评标方法，对供应商的投</w:t>
      </w:r>
      <w:r>
        <w:rPr>
          <w:rFonts w:hint="eastAsia" w:ascii="仿宋_GB2312" w:hAnsi="仿宋_GB2312" w:eastAsia="仿宋_GB2312" w:cs="仿宋_GB2312"/>
          <w:color w:val="auto"/>
          <w:sz w:val="28"/>
          <w:szCs w:val="28"/>
          <w:highlight w:val="none"/>
          <w:lang w:eastAsia="zh-CN"/>
        </w:rPr>
        <w:t>标文件进行评审和比较，供应商最终得分等于商务部分、技术部分、报价部分得分之和。评标委员会确定供应商最终得分向采购人提出书面报告，并推荐合</w:t>
      </w:r>
      <w:r>
        <w:rPr>
          <w:rFonts w:hint="eastAsia" w:ascii="仿宋_GB2312" w:hAnsi="仿宋_GB2312" w:eastAsia="仿宋_GB2312" w:cs="仿宋_GB2312"/>
          <w:color w:val="auto"/>
          <w:spacing w:val="-6"/>
          <w:sz w:val="28"/>
          <w:szCs w:val="28"/>
          <w:highlight w:val="none"/>
          <w:lang w:eastAsia="zh-CN"/>
        </w:rPr>
        <w:t>格的中标候选人。</w:t>
      </w:r>
    </w:p>
    <w:p w14:paraId="56AC3386">
      <w:pPr>
        <w:pStyle w:val="10"/>
        <w:spacing w:before="44" w:line="223" w:lineRule="auto"/>
        <w:ind w:left="582"/>
        <w:outlineLvl w:val="2"/>
        <w:rPr>
          <w:rFonts w:ascii="仿宋_GB2312" w:hAnsi="仿宋_GB2312" w:eastAsia="仿宋_GB2312" w:cs="仿宋_GB2312"/>
          <w:color w:val="auto"/>
          <w:sz w:val="28"/>
          <w:szCs w:val="28"/>
          <w:highlight w:val="none"/>
          <w:lang w:eastAsia="zh-CN"/>
        </w:rPr>
      </w:pPr>
      <w:bookmarkStart w:id="91" w:name="_Toc23767"/>
      <w:bookmarkStart w:id="92" w:name="_Toc1438"/>
      <w:r>
        <w:rPr>
          <w:rFonts w:hint="eastAsia" w:ascii="仿宋_GB2312" w:hAnsi="仿宋_GB2312" w:eastAsia="仿宋_GB2312" w:cs="仿宋_GB2312"/>
          <w:b/>
          <w:bCs/>
          <w:color w:val="auto"/>
          <w:spacing w:val="-4"/>
          <w:sz w:val="28"/>
          <w:szCs w:val="28"/>
          <w:highlight w:val="none"/>
          <w:lang w:eastAsia="zh-CN"/>
        </w:rPr>
        <w:t>34.</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评标的办法和标准</w:t>
      </w:r>
      <w:bookmarkEnd w:id="91"/>
      <w:bookmarkEnd w:id="92"/>
    </w:p>
    <w:p w14:paraId="274175E5">
      <w:pPr>
        <w:pStyle w:val="10"/>
        <w:tabs>
          <w:tab w:val="left" w:pos="5670"/>
        </w:tabs>
        <w:spacing w:before="138" w:line="295" w:lineRule="auto"/>
        <w:ind w:left="3999" w:leftChars="245" w:right="-22" w:hanging="3485" w:hangingChars="1263"/>
        <w:rPr>
          <w:rFonts w:ascii="仿宋_GB2312" w:hAnsi="仿宋_GB2312" w:eastAsia="仿宋_GB2312" w:cs="仿宋_GB2312"/>
          <w:color w:val="auto"/>
          <w:spacing w:val="15"/>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34.1 本招标项目评标办法为：</w:t>
      </w:r>
      <w:r>
        <w:rPr>
          <w:rFonts w:hint="eastAsia" w:ascii="仿宋_GB2312" w:hAnsi="仿宋_GB2312" w:eastAsia="仿宋_GB2312" w:cs="仿宋_GB2312"/>
          <w:b/>
          <w:bCs/>
          <w:color w:val="auto"/>
          <w:spacing w:val="-2"/>
          <w:sz w:val="28"/>
          <w:szCs w:val="28"/>
          <w:highlight w:val="none"/>
          <w:lang w:eastAsia="zh-CN"/>
        </w:rPr>
        <w:t>综合评分法</w:t>
      </w:r>
      <w:r>
        <w:rPr>
          <w:rFonts w:hint="eastAsia" w:ascii="仿宋_GB2312" w:hAnsi="仿宋_GB2312" w:eastAsia="仿宋_GB2312" w:cs="仿宋_GB2312"/>
          <w:color w:val="auto"/>
          <w:spacing w:val="15"/>
          <w:sz w:val="28"/>
          <w:szCs w:val="28"/>
          <w:highlight w:val="none"/>
          <w:lang w:eastAsia="zh-CN"/>
        </w:rPr>
        <w:t xml:space="preserve"> </w:t>
      </w:r>
    </w:p>
    <w:p w14:paraId="1554A058">
      <w:pPr>
        <w:pStyle w:val="10"/>
        <w:spacing w:before="138" w:line="295" w:lineRule="auto"/>
        <w:ind w:left="580" w:right="404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34.2</w:t>
      </w:r>
      <w:r>
        <w:rPr>
          <w:rFonts w:hint="eastAsia" w:ascii="仿宋_GB2312" w:hAnsi="仿宋_GB2312" w:eastAsia="仿宋_GB2312" w:cs="仿宋_GB2312"/>
          <w:color w:val="auto"/>
          <w:spacing w:val="47"/>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审查</w:t>
      </w:r>
    </w:p>
    <w:p w14:paraId="6A9814C0">
      <w:pPr>
        <w:pStyle w:val="10"/>
        <w:spacing w:before="48" w:line="223"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34.2.1</w:t>
      </w:r>
      <w:r>
        <w:rPr>
          <w:rFonts w:hint="eastAsia" w:ascii="仿宋_GB2312" w:hAnsi="仿宋_GB2312" w:eastAsia="仿宋_GB2312" w:cs="仿宋_GB2312"/>
          <w:color w:val="auto"/>
          <w:spacing w:val="34"/>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资格审查</w:t>
      </w:r>
    </w:p>
    <w:p w14:paraId="67610036">
      <w:pPr>
        <w:pStyle w:val="10"/>
        <w:spacing w:before="133" w:line="295" w:lineRule="auto"/>
        <w:ind w:left="2565" w:leftChars="259" w:right="2498" w:hanging="2021" w:hangingChars="72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34.2.2 投标文件符合性审查</w:t>
      </w:r>
      <w:r>
        <w:rPr>
          <w:rFonts w:hint="eastAsia" w:ascii="仿宋_GB2312" w:hAnsi="仿宋_GB2312" w:eastAsia="仿宋_GB2312" w:cs="仿宋_GB2312"/>
          <w:color w:val="auto"/>
          <w:sz w:val="28"/>
          <w:szCs w:val="28"/>
          <w:highlight w:val="none"/>
          <w:lang w:eastAsia="zh-CN"/>
        </w:rPr>
        <w:t xml:space="preserve"> </w:t>
      </w:r>
    </w:p>
    <w:p w14:paraId="0F51F821">
      <w:pPr>
        <w:pStyle w:val="10"/>
        <w:spacing w:before="133" w:line="295" w:lineRule="auto"/>
        <w:ind w:left="580" w:right="572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34.2.3 投标文件详细评审</w:t>
      </w:r>
    </w:p>
    <w:p w14:paraId="56A8BBAA">
      <w:pPr>
        <w:pStyle w:val="10"/>
        <w:spacing w:before="49"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（1）投标报价评审</w:t>
      </w:r>
    </w:p>
    <w:p w14:paraId="22345302">
      <w:pPr>
        <w:pStyle w:val="10"/>
        <w:spacing w:before="134" w:line="267" w:lineRule="auto"/>
        <w:ind w:left="4420" w:right="3118" w:hanging="3837"/>
        <w:rPr>
          <w:rFonts w:ascii="仿宋_GB2312" w:hAnsi="仿宋_GB2312" w:eastAsia="仿宋_GB2312" w:cs="仿宋_GB2312"/>
          <w:color w:val="auto"/>
          <w:spacing w:val="10"/>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（2）投标文件商务部分、技术部分评审</w:t>
      </w:r>
      <w:r>
        <w:rPr>
          <w:rFonts w:hint="eastAsia" w:ascii="仿宋_GB2312" w:hAnsi="仿宋_GB2312" w:eastAsia="仿宋_GB2312" w:cs="仿宋_GB2312"/>
          <w:color w:val="auto"/>
          <w:spacing w:val="10"/>
          <w:sz w:val="28"/>
          <w:szCs w:val="28"/>
          <w:highlight w:val="none"/>
          <w:lang w:eastAsia="zh-CN"/>
        </w:rPr>
        <w:t xml:space="preserve"> </w:t>
      </w:r>
    </w:p>
    <w:p w14:paraId="4C613CEE">
      <w:pPr>
        <w:pStyle w:val="10"/>
        <w:spacing w:before="134" w:line="267" w:lineRule="auto"/>
        <w:ind w:left="580" w:right="4348" w:firstLine="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34.3 评标的具体评审办法和标准</w:t>
      </w:r>
    </w:p>
    <w:p w14:paraId="496B620F">
      <w:pPr>
        <w:pStyle w:val="10"/>
        <w:spacing w:before="134" w:line="223" w:lineRule="auto"/>
        <w:ind w:left="582"/>
        <w:rPr>
          <w:rFonts w:ascii="仿宋_GB2312" w:hAnsi="仿宋_GB2312" w:eastAsia="仿宋_GB2312" w:cs="仿宋_GB2312"/>
          <w:b/>
          <w:bCs/>
          <w:color w:val="auto"/>
          <w:spacing w:val="-7"/>
          <w:sz w:val="28"/>
          <w:szCs w:val="28"/>
          <w:highlight w:val="none"/>
        </w:rPr>
      </w:pPr>
      <w:r>
        <w:rPr>
          <w:rFonts w:hint="eastAsia" w:ascii="仿宋_GB2312" w:hAnsi="仿宋_GB2312" w:eastAsia="仿宋_GB2312" w:cs="仿宋_GB2312"/>
          <w:b/>
          <w:bCs/>
          <w:color w:val="auto"/>
          <w:spacing w:val="-7"/>
          <w:sz w:val="28"/>
          <w:szCs w:val="28"/>
          <w:highlight w:val="none"/>
        </w:rPr>
        <w:t>34.3.1</w:t>
      </w:r>
      <w:r>
        <w:rPr>
          <w:rFonts w:hint="eastAsia" w:ascii="仿宋_GB2312" w:hAnsi="仿宋_GB2312" w:eastAsia="仿宋_GB2312" w:cs="仿宋_GB2312"/>
          <w:color w:val="auto"/>
          <w:spacing w:val="-31"/>
          <w:sz w:val="28"/>
          <w:szCs w:val="28"/>
          <w:highlight w:val="none"/>
        </w:rPr>
        <w:t xml:space="preserve"> </w:t>
      </w:r>
      <w:r>
        <w:rPr>
          <w:rFonts w:hint="eastAsia" w:ascii="仿宋_GB2312" w:hAnsi="仿宋_GB2312" w:eastAsia="仿宋_GB2312" w:cs="仿宋_GB2312"/>
          <w:b/>
          <w:bCs/>
          <w:color w:val="auto"/>
          <w:spacing w:val="-7"/>
          <w:sz w:val="28"/>
          <w:szCs w:val="28"/>
          <w:highlight w:val="none"/>
        </w:rPr>
        <w:t>资格审查</w:t>
      </w:r>
    </w:p>
    <w:tbl>
      <w:tblPr>
        <w:tblStyle w:val="26"/>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6"/>
        <w:gridCol w:w="3610"/>
        <w:gridCol w:w="5814"/>
      </w:tblGrid>
      <w:tr w14:paraId="4947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Align w:val="center"/>
          </w:tcPr>
          <w:p w14:paraId="379DACFF">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27" w:type="pct"/>
            <w:vAlign w:val="center"/>
          </w:tcPr>
          <w:p w14:paraId="37027A6B">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审查要求</w:t>
            </w:r>
          </w:p>
        </w:tc>
        <w:tc>
          <w:tcPr>
            <w:tcW w:w="2941" w:type="pct"/>
            <w:vAlign w:val="center"/>
          </w:tcPr>
          <w:p w14:paraId="751F3528">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要求说明</w:t>
            </w:r>
          </w:p>
        </w:tc>
      </w:tr>
      <w:tr w14:paraId="43BD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Merge w:val="restart"/>
            <w:vAlign w:val="center"/>
          </w:tcPr>
          <w:p w14:paraId="4CAFC91E">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0EC35460">
            <w:pPr>
              <w:shd w:val="clear" w:color="auto" w:fill="FFFFFF"/>
              <w:spacing w:line="360" w:lineRule="auto"/>
              <w:jc w:val="center"/>
              <w:rPr>
                <w:rFonts w:ascii="仿宋" w:hAnsi="仿宋" w:eastAsia="仿宋" w:cs="仿宋"/>
                <w:color w:val="auto"/>
                <w:sz w:val="24"/>
                <w:szCs w:val="24"/>
                <w:highlight w:val="none"/>
              </w:rPr>
            </w:pPr>
          </w:p>
        </w:tc>
        <w:tc>
          <w:tcPr>
            <w:tcW w:w="1827" w:type="pct"/>
            <w:shd w:val="clear" w:color="auto" w:fill="auto"/>
            <w:vAlign w:val="center"/>
          </w:tcPr>
          <w:p w14:paraId="76889D7F">
            <w:pPr>
              <w:keepNext/>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具有独立承担民事责任的能力</w:t>
            </w:r>
          </w:p>
        </w:tc>
        <w:tc>
          <w:tcPr>
            <w:tcW w:w="2941" w:type="pct"/>
            <w:vAlign w:val="center"/>
          </w:tcPr>
          <w:p w14:paraId="4AA03F8F">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投标人为企业（包括合伙企业）的，应提供有效的“营业执照”；</w:t>
            </w:r>
          </w:p>
          <w:p w14:paraId="0DB4AF43">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投标人是非企业机构的，应提供有效的“执业许可证、登记证书，等证明文件；</w:t>
            </w:r>
          </w:p>
          <w:p w14:paraId="0EB54A56">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投标人是个体工商户的，应提供有效的“个体工商户营业执照”；</w:t>
            </w:r>
          </w:p>
          <w:p w14:paraId="411A3423">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投标人是自然人的，应提供有效的自然人身份证明。</w:t>
            </w:r>
          </w:p>
          <w:p w14:paraId="2EE7AEE3">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w:t>
            </w:r>
          </w:p>
        </w:tc>
      </w:tr>
      <w:tr w14:paraId="5A09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31" w:type="pct"/>
            <w:vMerge w:val="continue"/>
            <w:vAlign w:val="center"/>
          </w:tcPr>
          <w:p w14:paraId="5A21B7F3">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5A9ABD8B">
            <w:pPr>
              <w:keepNext/>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具有良好的商业信誉和健全的财务会计制度</w:t>
            </w:r>
          </w:p>
        </w:tc>
        <w:tc>
          <w:tcPr>
            <w:tcW w:w="2941" w:type="pct"/>
            <w:vAlign w:val="center"/>
          </w:tcPr>
          <w:p w14:paraId="7D665648">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须提供本单位2024年度</w:t>
            </w:r>
            <w:r>
              <w:rPr>
                <w:rFonts w:hint="eastAsia" w:ascii="仿宋" w:hAnsi="仿宋" w:eastAsia="仿宋" w:cs="仿宋"/>
                <w:color w:val="auto"/>
                <w:sz w:val="24"/>
                <w:szCs w:val="24"/>
                <w:highlight w:val="none"/>
                <w:lang w:eastAsia="zh-CN"/>
              </w:rPr>
              <w:t>或2025年度</w:t>
            </w:r>
            <w:r>
              <w:rPr>
                <w:rFonts w:hint="eastAsia" w:ascii="仿宋" w:hAnsi="仿宋" w:eastAsia="仿宋" w:cs="仿宋"/>
                <w:color w:val="auto"/>
                <w:sz w:val="24"/>
                <w:szCs w:val="24"/>
                <w:highlight w:val="none"/>
                <w:lang w:eastAsia="zh-TW"/>
              </w:rPr>
              <w:t>由会计师事务所出具的财务审计报告</w:t>
            </w:r>
            <w:r>
              <w:rPr>
                <w:rFonts w:hint="eastAsia" w:ascii="仿宋" w:hAnsi="仿宋" w:eastAsia="仿宋" w:cs="仿宋"/>
                <w:color w:val="auto"/>
                <w:sz w:val="24"/>
                <w:szCs w:val="24"/>
                <w:highlight w:val="none"/>
                <w:lang w:val="en-US" w:eastAsia="zh-CN"/>
              </w:rPr>
              <w:t>或财务报表</w:t>
            </w:r>
            <w:r>
              <w:rPr>
                <w:rFonts w:hint="eastAsia" w:ascii="仿宋" w:hAnsi="仿宋" w:eastAsia="仿宋" w:cs="仿宋"/>
                <w:color w:val="auto"/>
                <w:sz w:val="24"/>
                <w:szCs w:val="24"/>
                <w:highlight w:val="none"/>
                <w:lang w:eastAsia="zh-TW"/>
              </w:rPr>
              <w:t>，审计报告须包括资产负债表、利润表、现金流量表、所有者权益变动（如有）及其附注（复印件并加盖本单位公章）。如供应商注册不满1年无法提供审计报告</w:t>
            </w:r>
            <w:r>
              <w:rPr>
                <w:rFonts w:hint="eastAsia" w:ascii="仿宋" w:hAnsi="仿宋" w:eastAsia="仿宋" w:cs="仿宋"/>
                <w:color w:val="auto"/>
                <w:sz w:val="24"/>
                <w:szCs w:val="24"/>
                <w:highlight w:val="none"/>
                <w:lang w:eastAsia="zh-CN"/>
              </w:rPr>
              <w:t>，可提供</w:t>
            </w:r>
            <w:r>
              <w:rPr>
                <w:rFonts w:hint="eastAsia" w:ascii="仿宋" w:hAnsi="仿宋" w:eastAsia="仿宋" w:cs="仿宋"/>
                <w:color w:val="auto"/>
                <w:sz w:val="24"/>
                <w:szCs w:val="24"/>
                <w:highlight w:val="none"/>
                <w:lang w:eastAsia="zh-TW"/>
              </w:rPr>
              <w:t>财务报表</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eastAsia="zh-TW"/>
              </w:rPr>
              <w:t>提供响应截止日前</w:t>
            </w:r>
            <w:r>
              <w:rPr>
                <w:rFonts w:hint="eastAsia" w:ascii="仿宋" w:hAnsi="仿宋" w:eastAsia="仿宋" w:cs="仿宋"/>
                <w:color w:val="auto"/>
                <w:sz w:val="24"/>
                <w:szCs w:val="24"/>
                <w:highlight w:val="none"/>
                <w:lang w:eastAsia="zh-CN"/>
              </w:rPr>
              <w:t>一个月</w:t>
            </w:r>
            <w:r>
              <w:rPr>
                <w:rFonts w:hint="eastAsia" w:ascii="仿宋" w:hAnsi="仿宋" w:eastAsia="仿宋" w:cs="仿宋"/>
                <w:color w:val="auto"/>
                <w:sz w:val="24"/>
                <w:szCs w:val="24"/>
                <w:highlight w:val="none"/>
                <w:lang w:eastAsia="zh-TW"/>
              </w:rPr>
              <w:t>内银行出具的资信证明。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TW"/>
              </w:rPr>
              <w:t>银行资信证明提供原件</w:t>
            </w:r>
            <w:r>
              <w:rPr>
                <w:rFonts w:hint="eastAsia" w:ascii="仿宋" w:hAnsi="仿宋" w:eastAsia="仿宋" w:cs="仿宋"/>
                <w:color w:val="auto"/>
                <w:sz w:val="24"/>
                <w:szCs w:val="24"/>
                <w:highlight w:val="none"/>
                <w:lang w:eastAsia="zh-CN"/>
              </w:rPr>
              <w:t>扫描件并</w:t>
            </w:r>
            <w:r>
              <w:rPr>
                <w:rFonts w:hint="eastAsia" w:ascii="仿宋" w:hAnsi="仿宋" w:eastAsia="仿宋" w:cs="仿宋"/>
                <w:color w:val="auto"/>
                <w:sz w:val="24"/>
                <w:szCs w:val="24"/>
                <w:highlight w:val="none"/>
                <w:lang w:eastAsia="zh-TW"/>
              </w:rPr>
              <w:t>加盖公章。</w:t>
            </w:r>
            <w:r>
              <w:rPr>
                <w:rFonts w:hint="eastAsia" w:ascii="仿宋" w:hAnsi="仿宋" w:eastAsia="仿宋" w:cs="仿宋"/>
                <w:color w:val="auto"/>
                <w:sz w:val="24"/>
                <w:szCs w:val="24"/>
                <w:highlight w:val="none"/>
                <w:lang w:eastAsia="zh-CN"/>
              </w:rPr>
              <w:t>）</w:t>
            </w:r>
          </w:p>
        </w:tc>
      </w:tr>
      <w:tr w14:paraId="5A1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1" w:type="pct"/>
            <w:vMerge w:val="continue"/>
            <w:vAlign w:val="center"/>
          </w:tcPr>
          <w:p w14:paraId="28F9D2EE">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131DBD72">
            <w:pPr>
              <w:keepNext/>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具有履行合同所必需的设备和专业技术能力</w:t>
            </w:r>
          </w:p>
        </w:tc>
        <w:tc>
          <w:tcPr>
            <w:tcW w:w="2941" w:type="pct"/>
            <w:vAlign w:val="center"/>
          </w:tcPr>
          <w:p w14:paraId="76F96EBD">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须附相关证明材料或声明 ；</w:t>
            </w:r>
          </w:p>
        </w:tc>
      </w:tr>
      <w:tr w14:paraId="1E1E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Merge w:val="continue"/>
            <w:vAlign w:val="center"/>
          </w:tcPr>
          <w:p w14:paraId="3E52ED7B">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0E6D6C8A">
            <w:pPr>
              <w:rPr>
                <w:rFonts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有依法缴纳税收和社会保障资金的良好纪录</w:t>
            </w:r>
          </w:p>
        </w:tc>
        <w:tc>
          <w:tcPr>
            <w:tcW w:w="2941" w:type="pct"/>
            <w:vAlign w:val="center"/>
          </w:tcPr>
          <w:p w14:paraId="16E9B058">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缴纳税收的证明材料，指供应商缴纳增值税和企业所得税两种缴纳凭据；本项目开标前6个月内（至少提供1个月）缴纳税收的凭据（完税证、缴款书、印花税票、银行代扣（代缴）转账凭证等均可）；2、供应商依法缴纳社会保障资金的证明材料：本项目开标前 6个月内（至少提供1个月）缴纳社会保险的凭据（专用收据或社会保险交纳清单）； 3、供应商为其他组织或自然人的，也需要按此项规定提供缴纳税收的凭据和交纳社会保险的凭据。4、如供应商的社会保险为委托第三方代缴，还需同时提供供应商与第三方服务机构签署的服务合同（合同中应明确写明第三方为供应商代缴其社会保险）；</w:t>
            </w:r>
          </w:p>
        </w:tc>
      </w:tr>
      <w:tr w14:paraId="1346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Merge w:val="continue"/>
            <w:vAlign w:val="center"/>
          </w:tcPr>
          <w:p w14:paraId="20C4E107">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3BF98257">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参加政府采购活动前三年内，在经营活动中没有重大违法记录</w:t>
            </w:r>
          </w:p>
        </w:tc>
        <w:tc>
          <w:tcPr>
            <w:tcW w:w="2941" w:type="pct"/>
            <w:vAlign w:val="center"/>
          </w:tcPr>
          <w:p w14:paraId="6E0A114E">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提供前三年内在经营活动中没有重大违法记录的书面声明；</w:t>
            </w:r>
          </w:p>
        </w:tc>
      </w:tr>
      <w:tr w14:paraId="4F1E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Merge w:val="continue"/>
            <w:vAlign w:val="center"/>
          </w:tcPr>
          <w:p w14:paraId="1D01D319">
            <w:pPr>
              <w:shd w:val="clear" w:color="auto" w:fill="FFFFFF"/>
              <w:spacing w:line="360" w:lineRule="auto"/>
              <w:jc w:val="center"/>
              <w:rPr>
                <w:rFonts w:ascii="仿宋" w:hAnsi="仿宋" w:eastAsia="仿宋" w:cs="仿宋"/>
                <w:color w:val="auto"/>
                <w:sz w:val="24"/>
                <w:szCs w:val="24"/>
                <w:highlight w:val="none"/>
                <w:lang w:eastAsia="zh-CN"/>
              </w:rPr>
            </w:pPr>
          </w:p>
        </w:tc>
        <w:tc>
          <w:tcPr>
            <w:tcW w:w="1827" w:type="pct"/>
            <w:shd w:val="clear" w:color="auto" w:fill="auto"/>
            <w:vAlign w:val="center"/>
          </w:tcPr>
          <w:p w14:paraId="6A0C1DFA">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41" w:type="pct"/>
            <w:vAlign w:val="center"/>
          </w:tcPr>
          <w:p w14:paraId="6DE6ECFD">
            <w:pPr>
              <w:keepNext/>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提供相关声明函</w:t>
            </w:r>
          </w:p>
        </w:tc>
      </w:tr>
      <w:tr w14:paraId="666B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1" w:type="pct"/>
            <w:vAlign w:val="center"/>
          </w:tcPr>
          <w:p w14:paraId="149DDF53">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27" w:type="pct"/>
            <w:vAlign w:val="center"/>
          </w:tcPr>
          <w:p w14:paraId="078D27C1">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供应商须具备有效的《食品经营许可证》或《食品生产许可证》。</w:t>
            </w:r>
          </w:p>
        </w:tc>
        <w:tc>
          <w:tcPr>
            <w:tcW w:w="2941" w:type="pct"/>
            <w:vAlign w:val="center"/>
          </w:tcPr>
          <w:p w14:paraId="4D3ADE38">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提供有效的《食品经营许可证》或《食品生产许可证》</w:t>
            </w:r>
          </w:p>
        </w:tc>
      </w:tr>
      <w:tr w14:paraId="43CD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231" w:type="pct"/>
            <w:vAlign w:val="center"/>
          </w:tcPr>
          <w:p w14:paraId="06DB2977">
            <w:pPr>
              <w:shd w:val="clear" w:color="auto" w:fill="FFFFFF"/>
              <w:spacing w:line="360" w:lineRule="auto"/>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827" w:type="pct"/>
            <w:vAlign w:val="center"/>
          </w:tcPr>
          <w:p w14:paraId="20D25EA6">
            <w:pPr>
              <w:spacing w:line="360" w:lineRule="auto"/>
              <w:rPr>
                <w:rFonts w:ascii="仿宋" w:hAnsi="仿宋" w:eastAsia="仿宋" w:cs="仿宋"/>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落实政府采购政策需满足的资格要求</w:t>
            </w:r>
            <w:r>
              <w:rPr>
                <w:rFonts w:hint="eastAsia" w:ascii="仿宋" w:hAnsi="仿宋" w:eastAsia="仿宋" w:cs="仿宋"/>
                <w:color w:val="auto"/>
                <w:sz w:val="24"/>
                <w:szCs w:val="24"/>
                <w:highlight w:val="none"/>
                <w:lang w:eastAsia="zh-CN"/>
              </w:rPr>
              <w:t>。</w:t>
            </w:r>
          </w:p>
        </w:tc>
        <w:tc>
          <w:tcPr>
            <w:tcW w:w="2941" w:type="pct"/>
            <w:vAlign w:val="center"/>
          </w:tcPr>
          <w:p w14:paraId="4185C46C">
            <w:pPr>
              <w:keepNext/>
              <w:spacing w:line="360" w:lineRule="auto"/>
              <w:rPr>
                <w:rFonts w:ascii="仿宋" w:hAnsi="仿宋" w:eastAsia="仿宋" w:cs="仿宋"/>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本标项为专门面向</w:t>
            </w:r>
            <w:r>
              <w:rPr>
                <w:rFonts w:hint="eastAsia" w:ascii="仿宋_GB2312" w:hAnsi="仿宋_GB2312" w:eastAsia="仿宋_GB2312" w:cs="仿宋_GB2312"/>
                <w:color w:val="auto"/>
                <w:sz w:val="24"/>
                <w:szCs w:val="24"/>
                <w:highlight w:val="none"/>
                <w:lang w:val="en-US" w:eastAsia="zh-CN"/>
              </w:rPr>
              <w:t>小微</w:t>
            </w:r>
            <w:r>
              <w:rPr>
                <w:rFonts w:hint="eastAsia" w:ascii="仿宋_GB2312" w:hAnsi="仿宋_GB2312" w:eastAsia="仿宋_GB2312" w:cs="仿宋_GB2312"/>
                <w:color w:val="auto"/>
                <w:sz w:val="24"/>
                <w:szCs w:val="24"/>
                <w:highlight w:val="none"/>
                <w:lang w:eastAsia="zh-CN"/>
              </w:rPr>
              <w:t>企业采购份额，即：提供的货物全部由符合政策要求的</w:t>
            </w:r>
            <w:r>
              <w:rPr>
                <w:rFonts w:hint="eastAsia" w:ascii="仿宋_GB2312" w:hAnsi="仿宋_GB2312" w:eastAsia="仿宋_GB2312" w:cs="仿宋_GB2312"/>
                <w:color w:val="auto"/>
                <w:sz w:val="24"/>
                <w:szCs w:val="24"/>
                <w:highlight w:val="none"/>
                <w:lang w:val="en-US" w:eastAsia="zh-CN"/>
              </w:rPr>
              <w:t>小微</w:t>
            </w:r>
            <w:r>
              <w:rPr>
                <w:rFonts w:hint="eastAsia" w:ascii="仿宋_GB2312" w:hAnsi="仿宋_GB2312" w:eastAsia="仿宋_GB2312" w:cs="仿宋_GB2312"/>
                <w:color w:val="auto"/>
                <w:sz w:val="24"/>
                <w:szCs w:val="24"/>
                <w:highlight w:val="none"/>
                <w:lang w:eastAsia="zh-CN"/>
              </w:rPr>
              <w:t>企业制造，</w:t>
            </w:r>
            <w:r>
              <w:rPr>
                <w:rFonts w:hint="eastAsia" w:ascii="仿宋" w:hAnsi="仿宋" w:eastAsia="仿宋" w:cs="仿宋"/>
                <w:color w:val="auto"/>
                <w:sz w:val="24"/>
                <w:szCs w:val="24"/>
                <w:highlight w:val="none"/>
                <w:lang w:val="en-US" w:eastAsia="zh-CN" w:bidi="ar-SA"/>
              </w:rPr>
              <w:t>以提供《中小企业声明函》为准</w:t>
            </w:r>
            <w:r>
              <w:rPr>
                <w:rFonts w:hint="eastAsia" w:cs="仿宋"/>
                <w:color w:val="auto"/>
                <w:sz w:val="24"/>
                <w:szCs w:val="24"/>
                <w:highlight w:val="none"/>
                <w:lang w:val="en-US" w:eastAsia="zh-CN" w:bidi="ar-SA"/>
              </w:rPr>
              <w:t>。</w:t>
            </w:r>
          </w:p>
        </w:tc>
      </w:tr>
      <w:tr w14:paraId="6B1A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3142CF61">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 如果资格评审中有一项不满足审查标准的，采购人将认定该供应商不通过资格审查，投标文件将被拒绝评审。并且不允许供应商通过修改或撤销其不符合要求的差异或保留，使之成为具有响应性的投标。</w:t>
            </w:r>
          </w:p>
        </w:tc>
      </w:tr>
    </w:tbl>
    <w:p w14:paraId="7677E960">
      <w:pPr>
        <w:pStyle w:val="10"/>
        <w:spacing w:before="91" w:line="221" w:lineRule="auto"/>
        <w:ind w:left="21"/>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34.3.2</w:t>
      </w:r>
      <w:r>
        <w:rPr>
          <w:rFonts w:hint="eastAsia" w:ascii="仿宋_GB2312" w:hAnsi="仿宋_GB2312" w:eastAsia="仿宋_GB2312" w:cs="仿宋_GB2312"/>
          <w:color w:val="auto"/>
          <w:spacing w:val="-40"/>
          <w:sz w:val="28"/>
          <w:szCs w:val="28"/>
          <w:highlight w:val="none"/>
        </w:rPr>
        <w:t xml:space="preserve"> </w:t>
      </w:r>
      <w:r>
        <w:rPr>
          <w:rFonts w:hint="eastAsia" w:ascii="仿宋_GB2312" w:hAnsi="仿宋_GB2312" w:eastAsia="仿宋_GB2312" w:cs="仿宋_GB2312"/>
          <w:b/>
          <w:bCs/>
          <w:color w:val="auto"/>
          <w:spacing w:val="-6"/>
          <w:sz w:val="28"/>
          <w:szCs w:val="28"/>
          <w:highlight w:val="none"/>
        </w:rPr>
        <w:t>符合性审查</w:t>
      </w:r>
    </w:p>
    <w:p w14:paraId="7140EFF3">
      <w:pPr>
        <w:spacing w:line="135" w:lineRule="exact"/>
        <w:rPr>
          <w:rFonts w:ascii="仿宋_GB2312" w:hAnsi="仿宋_GB2312" w:eastAsia="仿宋_GB2312" w:cs="仿宋_GB2312"/>
          <w:color w:val="auto"/>
          <w:highlight w:val="none"/>
        </w:rPr>
      </w:pPr>
    </w:p>
    <w:tbl>
      <w:tblPr>
        <w:tblStyle w:val="32"/>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12"/>
        <w:gridCol w:w="7651"/>
      </w:tblGrid>
      <w:tr w14:paraId="486F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9" w:type="dxa"/>
            <w:tcBorders>
              <w:right w:val="single" w:color="auto" w:sz="4" w:space="0"/>
            </w:tcBorders>
          </w:tcPr>
          <w:p w14:paraId="634222A7">
            <w:pPr>
              <w:pStyle w:val="33"/>
              <w:spacing w:before="225" w:line="400" w:lineRule="exact"/>
              <w:jc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序号</w:t>
            </w:r>
          </w:p>
        </w:tc>
        <w:tc>
          <w:tcPr>
            <w:tcW w:w="1412" w:type="dxa"/>
            <w:tcBorders>
              <w:left w:val="single" w:color="auto" w:sz="4" w:space="0"/>
              <w:right w:val="single" w:color="auto" w:sz="4" w:space="0"/>
            </w:tcBorders>
          </w:tcPr>
          <w:p w14:paraId="7B3857BA">
            <w:pPr>
              <w:pStyle w:val="33"/>
              <w:spacing w:before="225" w:line="400" w:lineRule="exact"/>
              <w:jc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评审因素</w:t>
            </w:r>
          </w:p>
        </w:tc>
        <w:tc>
          <w:tcPr>
            <w:tcW w:w="7651" w:type="dxa"/>
            <w:tcBorders>
              <w:left w:val="single" w:color="auto" w:sz="4" w:space="0"/>
            </w:tcBorders>
          </w:tcPr>
          <w:p w14:paraId="3B8A6C76">
            <w:pPr>
              <w:pStyle w:val="33"/>
              <w:spacing w:before="225" w:line="400" w:lineRule="exact"/>
              <w:jc w:val="center"/>
              <w:rPr>
                <w:rFonts w:ascii="仿宋_GB2312" w:hAnsi="仿宋_GB2312" w:eastAsia="仿宋_GB2312" w:cs="仿宋_GB2312"/>
                <w:b/>
                <w:bCs/>
                <w:color w:val="auto"/>
                <w:spacing w:val="-31"/>
                <w:sz w:val="24"/>
                <w:szCs w:val="24"/>
                <w:highlight w:val="none"/>
              </w:rPr>
            </w:pPr>
            <w:r>
              <w:rPr>
                <w:rFonts w:hint="eastAsia" w:ascii="仿宋_GB2312" w:hAnsi="仿宋_GB2312" w:eastAsia="仿宋_GB2312" w:cs="仿宋_GB2312"/>
                <w:b/>
                <w:bCs/>
                <w:color w:val="auto"/>
                <w:spacing w:val="-31"/>
                <w:sz w:val="24"/>
                <w:szCs w:val="24"/>
                <w:highlight w:val="none"/>
              </w:rPr>
              <w:t>评</w:t>
            </w:r>
            <w:r>
              <w:rPr>
                <w:rFonts w:hint="eastAsia" w:ascii="仿宋_GB2312" w:hAnsi="仿宋_GB2312" w:eastAsia="仿宋_GB2312" w:cs="仿宋_GB2312"/>
                <w:color w:val="auto"/>
                <w:spacing w:val="21"/>
                <w:sz w:val="24"/>
                <w:szCs w:val="24"/>
                <w:highlight w:val="none"/>
              </w:rPr>
              <w:t xml:space="preserve">  </w:t>
            </w:r>
            <w:r>
              <w:rPr>
                <w:rFonts w:hint="eastAsia" w:ascii="仿宋_GB2312" w:hAnsi="仿宋_GB2312" w:eastAsia="仿宋_GB2312" w:cs="仿宋_GB2312"/>
                <w:b/>
                <w:bCs/>
                <w:color w:val="auto"/>
                <w:spacing w:val="-31"/>
                <w:sz w:val="24"/>
                <w:szCs w:val="24"/>
                <w:highlight w:val="none"/>
              </w:rPr>
              <w:t>审</w:t>
            </w:r>
            <w:r>
              <w:rPr>
                <w:rFonts w:hint="eastAsia" w:ascii="仿宋_GB2312" w:hAnsi="仿宋_GB2312" w:eastAsia="仿宋_GB2312" w:cs="仿宋_GB2312"/>
                <w:color w:val="auto"/>
                <w:spacing w:val="28"/>
                <w:sz w:val="24"/>
                <w:szCs w:val="24"/>
                <w:highlight w:val="none"/>
              </w:rPr>
              <w:t xml:space="preserve">  </w:t>
            </w:r>
            <w:r>
              <w:rPr>
                <w:rFonts w:hint="eastAsia" w:ascii="仿宋_GB2312" w:hAnsi="仿宋_GB2312" w:eastAsia="仿宋_GB2312" w:cs="仿宋_GB2312"/>
                <w:b/>
                <w:bCs/>
                <w:color w:val="auto"/>
                <w:spacing w:val="-31"/>
                <w:sz w:val="24"/>
                <w:szCs w:val="24"/>
                <w:highlight w:val="none"/>
              </w:rPr>
              <w:t>内</w:t>
            </w:r>
            <w:r>
              <w:rPr>
                <w:rFonts w:hint="eastAsia" w:ascii="仿宋_GB2312" w:hAnsi="仿宋_GB2312" w:eastAsia="仿宋_GB2312" w:cs="仿宋_GB2312"/>
                <w:color w:val="auto"/>
                <w:spacing w:val="11"/>
                <w:sz w:val="24"/>
                <w:szCs w:val="24"/>
                <w:highlight w:val="none"/>
              </w:rPr>
              <w:t xml:space="preserve">  </w:t>
            </w:r>
            <w:r>
              <w:rPr>
                <w:rFonts w:hint="eastAsia" w:ascii="仿宋_GB2312" w:hAnsi="仿宋_GB2312" w:eastAsia="仿宋_GB2312" w:cs="仿宋_GB2312"/>
                <w:b/>
                <w:bCs/>
                <w:color w:val="auto"/>
                <w:spacing w:val="-31"/>
                <w:sz w:val="24"/>
                <w:szCs w:val="24"/>
                <w:highlight w:val="none"/>
              </w:rPr>
              <w:t>容</w:t>
            </w:r>
          </w:p>
        </w:tc>
      </w:tr>
      <w:tr w14:paraId="6301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9" w:type="dxa"/>
            <w:tcBorders>
              <w:right w:val="single" w:color="auto" w:sz="4" w:space="0"/>
            </w:tcBorders>
          </w:tcPr>
          <w:p w14:paraId="03641F39">
            <w:pPr>
              <w:pStyle w:val="33"/>
              <w:spacing w:before="91" w:line="400" w:lineRule="exact"/>
              <w:ind w:left="23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412" w:type="dxa"/>
            <w:tcBorders>
              <w:left w:val="single" w:color="auto" w:sz="4" w:space="0"/>
              <w:right w:val="single" w:color="auto" w:sz="4" w:space="0"/>
            </w:tcBorders>
            <w:vAlign w:val="center"/>
          </w:tcPr>
          <w:p w14:paraId="330E7ABD">
            <w:pPr>
              <w:pStyle w:val="33"/>
              <w:spacing w:before="41" w:line="400" w:lineRule="exact"/>
              <w:ind w:left="124" w:leftChars="0" w:right="104" w:rightChars="0" w:hanging="4"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投标文件格式</w:t>
            </w:r>
          </w:p>
        </w:tc>
        <w:tc>
          <w:tcPr>
            <w:tcW w:w="7651" w:type="dxa"/>
            <w:tcBorders>
              <w:left w:val="single" w:color="auto" w:sz="4" w:space="0"/>
            </w:tcBorders>
            <w:vAlign w:val="top"/>
          </w:tcPr>
          <w:p w14:paraId="4D8784DE">
            <w:pPr>
              <w:pStyle w:val="33"/>
              <w:spacing w:before="41" w:line="400" w:lineRule="exact"/>
              <w:ind w:left="124" w:leftChars="0" w:right="104" w:rightChars="0" w:hanging="4" w:firstLine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4"/>
                <w:sz w:val="24"/>
                <w:szCs w:val="24"/>
                <w:highlight w:val="none"/>
                <w:lang w:eastAsia="zh-CN"/>
              </w:rPr>
              <w:t>投标文件组成完整，主要</w:t>
            </w:r>
            <w:r>
              <w:rPr>
                <w:rFonts w:hint="eastAsia" w:ascii="仿宋_GB2312" w:hAnsi="仿宋_GB2312" w:eastAsia="仿宋_GB2312" w:cs="仿宋_GB2312"/>
                <w:color w:val="auto"/>
                <w:spacing w:val="20"/>
                <w:sz w:val="24"/>
                <w:szCs w:val="24"/>
                <w:highlight w:val="none"/>
                <w:lang w:eastAsia="zh-CN"/>
              </w:rPr>
              <w:t>内容按招标文件规定的内</w:t>
            </w:r>
            <w:r>
              <w:rPr>
                <w:rFonts w:hint="eastAsia" w:ascii="仿宋_GB2312" w:hAnsi="仿宋_GB2312" w:eastAsia="仿宋_GB2312" w:cs="仿宋_GB2312"/>
                <w:color w:val="auto"/>
                <w:spacing w:val="-3"/>
                <w:sz w:val="24"/>
                <w:szCs w:val="24"/>
                <w:highlight w:val="none"/>
                <w:lang w:eastAsia="zh-CN"/>
              </w:rPr>
              <w:t>容、格式填写。</w:t>
            </w:r>
          </w:p>
        </w:tc>
      </w:tr>
      <w:tr w14:paraId="29A64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9" w:type="dxa"/>
            <w:tcBorders>
              <w:right w:val="single" w:color="auto" w:sz="4" w:space="0"/>
            </w:tcBorders>
          </w:tcPr>
          <w:p w14:paraId="3C7C8815">
            <w:pPr>
              <w:pStyle w:val="33"/>
              <w:spacing w:before="91" w:line="400" w:lineRule="exact"/>
              <w:ind w:left="239"/>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w:t>
            </w:r>
          </w:p>
        </w:tc>
        <w:tc>
          <w:tcPr>
            <w:tcW w:w="1412" w:type="dxa"/>
            <w:tcBorders>
              <w:left w:val="single" w:color="auto" w:sz="4" w:space="0"/>
              <w:right w:val="single" w:color="auto" w:sz="4" w:space="0"/>
            </w:tcBorders>
            <w:vAlign w:val="center"/>
          </w:tcPr>
          <w:p w14:paraId="107D5557">
            <w:pPr>
              <w:pStyle w:val="33"/>
              <w:spacing w:before="41" w:line="400" w:lineRule="exact"/>
              <w:ind w:left="124" w:leftChars="0" w:right="104" w:rightChars="0" w:hanging="4"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采购范围</w:t>
            </w:r>
          </w:p>
        </w:tc>
        <w:tc>
          <w:tcPr>
            <w:tcW w:w="7651" w:type="dxa"/>
            <w:tcBorders>
              <w:left w:val="single" w:color="auto" w:sz="4" w:space="0"/>
            </w:tcBorders>
            <w:vAlign w:val="top"/>
          </w:tcPr>
          <w:p w14:paraId="333F9790">
            <w:pPr>
              <w:pStyle w:val="33"/>
              <w:spacing w:before="41" w:line="400" w:lineRule="exact"/>
              <w:ind w:left="124" w:leftChars="0" w:right="104" w:rightChars="0" w:hanging="4" w:firstLineChars="0"/>
              <w:jc w:val="both"/>
              <w:rPr>
                <w:rFonts w:ascii="仿宋_GB2312" w:hAnsi="仿宋_GB2312" w:eastAsia="仿宋_GB2312" w:cs="仿宋_GB2312"/>
                <w:color w:val="auto"/>
                <w:spacing w:val="14"/>
                <w:sz w:val="24"/>
                <w:szCs w:val="24"/>
                <w:highlight w:val="none"/>
                <w:lang w:eastAsia="zh-CN"/>
              </w:rPr>
            </w:pPr>
            <w:r>
              <w:rPr>
                <w:rFonts w:hint="eastAsia" w:ascii="仿宋_GB2312" w:hAnsi="仿宋_GB2312" w:eastAsia="仿宋_GB2312" w:cs="仿宋_GB2312"/>
                <w:color w:val="auto"/>
                <w:spacing w:val="14"/>
                <w:sz w:val="24"/>
                <w:szCs w:val="24"/>
                <w:highlight w:val="none"/>
                <w:lang w:eastAsia="zh-CN"/>
              </w:rPr>
              <w:t>投标文件载明的采购范围是否符合招标文件的要求，供应商必须按招标文件要求应答，否则做否决处理。</w:t>
            </w:r>
          </w:p>
        </w:tc>
      </w:tr>
      <w:tr w14:paraId="33E0D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9" w:type="dxa"/>
          </w:tcPr>
          <w:p w14:paraId="6B3A2FDF">
            <w:pPr>
              <w:pStyle w:val="33"/>
              <w:spacing w:before="271" w:line="400" w:lineRule="exact"/>
              <w:ind w:left="222"/>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p>
        </w:tc>
        <w:tc>
          <w:tcPr>
            <w:tcW w:w="1412" w:type="dxa"/>
            <w:tcBorders>
              <w:right w:val="single" w:color="auto" w:sz="4" w:space="0"/>
            </w:tcBorders>
            <w:vAlign w:val="center"/>
          </w:tcPr>
          <w:p w14:paraId="324B785F">
            <w:pPr>
              <w:pStyle w:val="33"/>
              <w:spacing w:before="43" w:line="400" w:lineRule="exact"/>
              <w:ind w:left="122"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0"/>
                <w:sz w:val="24"/>
                <w:szCs w:val="24"/>
                <w:highlight w:val="none"/>
                <w:lang w:eastAsia="zh-CN"/>
              </w:rPr>
              <w:t>投标报</w:t>
            </w:r>
            <w:r>
              <w:rPr>
                <w:rFonts w:hint="eastAsia" w:ascii="仿宋_GB2312" w:hAnsi="仿宋_GB2312" w:eastAsia="仿宋_GB2312" w:cs="仿宋_GB2312"/>
                <w:color w:val="auto"/>
                <w:spacing w:val="-2"/>
                <w:sz w:val="24"/>
                <w:szCs w:val="24"/>
                <w:highlight w:val="none"/>
                <w:lang w:eastAsia="zh-CN"/>
              </w:rPr>
              <w:t>价</w:t>
            </w:r>
          </w:p>
        </w:tc>
        <w:tc>
          <w:tcPr>
            <w:tcW w:w="7651" w:type="dxa"/>
            <w:tcBorders>
              <w:left w:val="single" w:color="auto" w:sz="4" w:space="0"/>
            </w:tcBorders>
            <w:vAlign w:val="center"/>
          </w:tcPr>
          <w:p w14:paraId="14559FD1">
            <w:pPr>
              <w:pStyle w:val="33"/>
              <w:spacing w:before="37"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其报价未超过</w:t>
            </w:r>
            <w:r>
              <w:rPr>
                <w:rFonts w:hint="eastAsia" w:ascii="仿宋_GB2312" w:hAnsi="仿宋_GB2312" w:eastAsia="仿宋_GB2312" w:cs="仿宋_GB2312"/>
                <w:color w:val="auto"/>
                <w:spacing w:val="6"/>
                <w:sz w:val="24"/>
                <w:szCs w:val="24"/>
                <w:highlight w:val="none"/>
                <w:lang w:val="en-US" w:eastAsia="zh-CN"/>
              </w:rPr>
              <w:t>招标文件</w:t>
            </w:r>
            <w:r>
              <w:rPr>
                <w:rFonts w:hint="eastAsia" w:ascii="仿宋_GB2312" w:hAnsi="仿宋_GB2312" w:eastAsia="仿宋_GB2312" w:cs="仿宋_GB2312"/>
                <w:color w:val="auto"/>
                <w:spacing w:val="6"/>
                <w:sz w:val="24"/>
                <w:szCs w:val="24"/>
                <w:highlight w:val="none"/>
                <w:lang w:eastAsia="zh-CN"/>
              </w:rPr>
              <w:t>最高限价，且只有一个有效报价，未提交选择性报价。</w:t>
            </w:r>
          </w:p>
        </w:tc>
      </w:tr>
      <w:tr w14:paraId="1A65C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19" w:type="dxa"/>
          </w:tcPr>
          <w:p w14:paraId="549CA4C0">
            <w:pPr>
              <w:pStyle w:val="33"/>
              <w:spacing w:before="271" w:line="400" w:lineRule="exact"/>
              <w:ind w:left="222"/>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4</w:t>
            </w:r>
          </w:p>
        </w:tc>
        <w:tc>
          <w:tcPr>
            <w:tcW w:w="1412" w:type="dxa"/>
            <w:tcBorders>
              <w:right w:val="single" w:color="auto" w:sz="4" w:space="0"/>
            </w:tcBorders>
            <w:vAlign w:val="center"/>
          </w:tcPr>
          <w:p w14:paraId="18692C06">
            <w:pPr>
              <w:pStyle w:val="33"/>
              <w:spacing w:before="43" w:line="400" w:lineRule="exact"/>
              <w:ind w:left="122" w:leftChars="0" w:right="104" w:rightChars="0"/>
              <w:rPr>
                <w:rFonts w:ascii="仿宋_GB2312" w:hAnsi="仿宋_GB2312" w:eastAsia="仿宋_GB2312" w:cs="仿宋_GB2312"/>
                <w:color w:val="auto"/>
                <w:spacing w:val="20"/>
                <w:sz w:val="24"/>
                <w:szCs w:val="24"/>
                <w:highlight w:val="none"/>
                <w:lang w:eastAsia="zh-CN"/>
              </w:rPr>
            </w:pPr>
            <w:r>
              <w:rPr>
                <w:rFonts w:hint="eastAsia" w:ascii="仿宋_GB2312" w:hAnsi="仿宋_GB2312" w:eastAsia="仿宋_GB2312" w:cs="仿宋_GB2312"/>
                <w:color w:val="auto"/>
                <w:sz w:val="24"/>
                <w:szCs w:val="24"/>
                <w:highlight w:val="none"/>
                <w:lang w:eastAsia="zh-CN"/>
              </w:rPr>
              <w:t>投标保证金</w:t>
            </w:r>
          </w:p>
        </w:tc>
        <w:tc>
          <w:tcPr>
            <w:tcW w:w="7651" w:type="dxa"/>
            <w:tcBorders>
              <w:left w:val="single" w:color="auto" w:sz="4" w:space="0"/>
            </w:tcBorders>
            <w:vAlign w:val="top"/>
          </w:tcPr>
          <w:p w14:paraId="15CAA698">
            <w:pPr>
              <w:pStyle w:val="33"/>
              <w:spacing w:before="43" w:line="400" w:lineRule="exact"/>
              <w:ind w:left="122" w:leftChars="0" w:right="104" w:rightChars="0"/>
              <w:rPr>
                <w:rFonts w:ascii="仿宋_GB2312" w:hAnsi="仿宋_GB2312" w:eastAsia="仿宋_GB2312" w:cs="仿宋_GB2312"/>
                <w:color w:val="auto"/>
                <w:spacing w:val="20"/>
                <w:sz w:val="24"/>
                <w:szCs w:val="24"/>
                <w:highlight w:val="none"/>
                <w:lang w:eastAsia="zh-CN"/>
              </w:rPr>
            </w:pPr>
            <w:r>
              <w:rPr>
                <w:rFonts w:hint="eastAsia" w:ascii="仿宋_GB2312" w:hAnsi="仿宋_GB2312" w:eastAsia="仿宋_GB2312" w:cs="仿宋_GB2312"/>
                <w:color w:val="auto"/>
                <w:sz w:val="24"/>
                <w:szCs w:val="24"/>
                <w:highlight w:val="none"/>
                <w:lang w:eastAsia="zh-CN"/>
              </w:rPr>
              <w:t>按照招标文件的规定提交投标保证金（打印件或复印件或电子保函相关证明资料），</w:t>
            </w:r>
            <w:r>
              <w:rPr>
                <w:rFonts w:hint="eastAsia" w:ascii="仿宋_GB2312" w:hAnsi="仿宋_GB2312" w:eastAsia="仿宋_GB2312" w:cs="仿宋_GB2312"/>
                <w:color w:val="auto"/>
                <w:spacing w:val="21"/>
                <w:sz w:val="24"/>
                <w:szCs w:val="24"/>
                <w:highlight w:val="none"/>
                <w:lang w:eastAsia="zh-CN"/>
              </w:rPr>
              <w:t>投标保证金的缴纳主体与</w:t>
            </w:r>
            <w:r>
              <w:rPr>
                <w:rFonts w:hint="eastAsia" w:ascii="仿宋_GB2312" w:hAnsi="仿宋_GB2312" w:eastAsia="仿宋_GB2312" w:cs="仿宋_GB2312"/>
                <w:color w:val="auto"/>
                <w:spacing w:val="14"/>
                <w:sz w:val="24"/>
                <w:szCs w:val="24"/>
                <w:highlight w:val="none"/>
                <w:lang w:eastAsia="zh-CN"/>
              </w:rPr>
              <w:t>供应商一致；且按照招标</w:t>
            </w:r>
            <w:r>
              <w:rPr>
                <w:rFonts w:hint="eastAsia" w:ascii="仿宋_GB2312" w:hAnsi="仿宋_GB2312" w:eastAsia="仿宋_GB2312" w:cs="仿宋_GB2312"/>
                <w:color w:val="auto"/>
                <w:spacing w:val="21"/>
                <w:sz w:val="24"/>
                <w:szCs w:val="24"/>
                <w:highlight w:val="none"/>
                <w:lang w:eastAsia="zh-CN"/>
              </w:rPr>
              <w:t>文件要求的金额、方式提</w:t>
            </w:r>
            <w:r>
              <w:rPr>
                <w:rFonts w:hint="eastAsia" w:ascii="仿宋_GB2312" w:hAnsi="仿宋_GB2312" w:eastAsia="仿宋_GB2312" w:cs="仿宋_GB2312"/>
                <w:color w:val="auto"/>
                <w:sz w:val="24"/>
                <w:szCs w:val="24"/>
                <w:highlight w:val="none"/>
                <w:lang w:eastAsia="zh-CN"/>
              </w:rPr>
              <w:t>供。</w:t>
            </w:r>
          </w:p>
        </w:tc>
      </w:tr>
      <w:tr w14:paraId="1A46F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19" w:type="dxa"/>
            <w:vAlign w:val="center"/>
          </w:tcPr>
          <w:p w14:paraId="4CE29112">
            <w:pPr>
              <w:pStyle w:val="33"/>
              <w:spacing w:before="91" w:line="400" w:lineRule="exact"/>
              <w:ind w:left="22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5</w:t>
            </w:r>
          </w:p>
        </w:tc>
        <w:tc>
          <w:tcPr>
            <w:tcW w:w="1412" w:type="dxa"/>
            <w:tcBorders>
              <w:right w:val="single" w:color="auto" w:sz="4" w:space="0"/>
            </w:tcBorders>
            <w:vAlign w:val="center"/>
          </w:tcPr>
          <w:p w14:paraId="2AE435B5">
            <w:pPr>
              <w:pStyle w:val="33"/>
              <w:spacing w:before="43" w:line="400" w:lineRule="exact"/>
              <w:ind w:left="122"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授权委托书</w:t>
            </w:r>
          </w:p>
        </w:tc>
        <w:tc>
          <w:tcPr>
            <w:tcW w:w="7651" w:type="dxa"/>
            <w:tcBorders>
              <w:left w:val="single" w:color="auto" w:sz="4" w:space="0"/>
            </w:tcBorders>
            <w:vAlign w:val="top"/>
          </w:tcPr>
          <w:p w14:paraId="0FED3640">
            <w:pPr>
              <w:pStyle w:val="33"/>
              <w:spacing w:before="43" w:line="400" w:lineRule="exact"/>
              <w:ind w:left="122"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法定代表人资格证明书、法定代表人授权委托书按招标文件规定格式完整提供，并按招标文件要求签字</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eastAsia="zh-CN"/>
              </w:rPr>
              <w:t>盖章。</w:t>
            </w:r>
          </w:p>
        </w:tc>
      </w:tr>
      <w:tr w14:paraId="5727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19" w:type="dxa"/>
          </w:tcPr>
          <w:p w14:paraId="2ECDC88F">
            <w:pPr>
              <w:pStyle w:val="33"/>
              <w:spacing w:before="91" w:line="400" w:lineRule="exact"/>
              <w:ind w:firstLine="240" w:firstLineChars="1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6</w:t>
            </w:r>
          </w:p>
        </w:tc>
        <w:tc>
          <w:tcPr>
            <w:tcW w:w="1412" w:type="dxa"/>
            <w:tcBorders>
              <w:right w:val="single" w:color="auto" w:sz="4" w:space="0"/>
            </w:tcBorders>
            <w:vAlign w:val="center"/>
          </w:tcPr>
          <w:p w14:paraId="2793F4CF">
            <w:pPr>
              <w:pStyle w:val="33"/>
              <w:spacing w:before="43" w:line="400" w:lineRule="exact"/>
              <w:ind w:left="121" w:leftChars="0" w:right="104" w:rightChars="0" w:firstLine="1"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实质性条款</w:t>
            </w:r>
          </w:p>
        </w:tc>
        <w:tc>
          <w:tcPr>
            <w:tcW w:w="7651" w:type="dxa"/>
            <w:tcBorders>
              <w:left w:val="single" w:color="auto" w:sz="4" w:space="0"/>
            </w:tcBorders>
            <w:vAlign w:val="top"/>
          </w:tcPr>
          <w:p w14:paraId="72238163">
            <w:pPr>
              <w:pStyle w:val="33"/>
              <w:spacing w:before="43" w:line="400" w:lineRule="exact"/>
              <w:ind w:left="121" w:leftChars="0" w:right="104" w:rightChars="0" w:firstLine="1" w:firstLine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37"/>
                <w:sz w:val="24"/>
                <w:szCs w:val="24"/>
                <w:highlight w:val="none"/>
                <w:lang w:eastAsia="zh-CN"/>
              </w:rPr>
              <w:t>投标文件中载明的实质性条款及实质性格式均</w:t>
            </w:r>
            <w:r>
              <w:rPr>
                <w:rFonts w:hint="eastAsia" w:ascii="仿宋_GB2312" w:hAnsi="仿宋_GB2312" w:eastAsia="仿宋_GB2312" w:cs="仿宋_GB2312"/>
                <w:color w:val="auto"/>
                <w:spacing w:val="6"/>
                <w:sz w:val="24"/>
                <w:szCs w:val="24"/>
                <w:highlight w:val="none"/>
                <w:lang w:eastAsia="zh-CN"/>
              </w:rPr>
              <w:t>符</w:t>
            </w:r>
            <w:r>
              <w:rPr>
                <w:rFonts w:hint="eastAsia" w:ascii="仿宋_GB2312" w:hAnsi="仿宋_GB2312" w:eastAsia="仿宋_GB2312" w:cs="仿宋_GB2312"/>
                <w:color w:val="auto"/>
                <w:spacing w:val="1"/>
                <w:sz w:val="24"/>
                <w:szCs w:val="24"/>
                <w:highlight w:val="none"/>
                <w:lang w:eastAsia="zh-CN"/>
              </w:rPr>
              <w:t>合招标文件要求无偏离。</w:t>
            </w:r>
          </w:p>
        </w:tc>
      </w:tr>
      <w:tr w14:paraId="7E79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19" w:type="dxa"/>
          </w:tcPr>
          <w:p w14:paraId="27DDB822">
            <w:pPr>
              <w:pStyle w:val="33"/>
              <w:spacing w:before="9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7</w:t>
            </w:r>
          </w:p>
        </w:tc>
        <w:tc>
          <w:tcPr>
            <w:tcW w:w="1412" w:type="dxa"/>
            <w:tcBorders>
              <w:right w:val="single" w:color="auto" w:sz="4" w:space="0"/>
            </w:tcBorders>
            <w:vAlign w:val="center"/>
          </w:tcPr>
          <w:p w14:paraId="7FEDB655">
            <w:pPr>
              <w:pStyle w:val="33"/>
              <w:spacing w:before="48" w:line="400" w:lineRule="exact"/>
              <w:ind w:left="92" w:leftChars="0" w:right="104" w:rightChars="0" w:firstLine="28"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签字盖章</w:t>
            </w:r>
          </w:p>
        </w:tc>
        <w:tc>
          <w:tcPr>
            <w:tcW w:w="7651" w:type="dxa"/>
            <w:tcBorders>
              <w:left w:val="single" w:color="auto" w:sz="4" w:space="0"/>
            </w:tcBorders>
            <w:vAlign w:val="top"/>
          </w:tcPr>
          <w:p w14:paraId="5D78CDBE">
            <w:pPr>
              <w:pStyle w:val="33"/>
              <w:spacing w:before="48" w:line="400" w:lineRule="exact"/>
              <w:ind w:left="92" w:leftChars="0" w:right="104" w:rightChars="0" w:firstLine="28"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1"/>
                <w:sz w:val="24"/>
                <w:szCs w:val="24"/>
                <w:highlight w:val="none"/>
                <w:lang w:eastAsia="zh-CN"/>
              </w:rPr>
              <w:t>投标文件按招标文件规</w:t>
            </w:r>
            <w:r>
              <w:rPr>
                <w:rFonts w:hint="eastAsia" w:ascii="仿宋_GB2312" w:hAnsi="仿宋_GB2312" w:eastAsia="仿宋_GB2312" w:cs="仿宋_GB2312"/>
                <w:color w:val="auto"/>
                <w:spacing w:val="15"/>
                <w:sz w:val="24"/>
                <w:szCs w:val="24"/>
                <w:highlight w:val="none"/>
                <w:lang w:eastAsia="zh-CN"/>
              </w:rPr>
              <w:t>定格式、内容完整提供，</w:t>
            </w:r>
            <w:r>
              <w:rPr>
                <w:rFonts w:hint="eastAsia" w:ascii="仿宋_GB2312" w:hAnsi="仿宋_GB2312" w:eastAsia="仿宋_GB2312" w:cs="仿宋_GB2312"/>
                <w:color w:val="auto"/>
                <w:spacing w:val="16"/>
                <w:sz w:val="24"/>
                <w:szCs w:val="24"/>
                <w:highlight w:val="none"/>
                <w:lang w:eastAsia="zh-CN"/>
              </w:rPr>
              <w:t>且按招标文件要求签字</w:t>
            </w:r>
            <w:r>
              <w:rPr>
                <w:rFonts w:hint="eastAsia" w:ascii="仿宋_GB2312" w:hAnsi="仿宋_GB2312" w:eastAsia="仿宋_GB2312" w:cs="仿宋_GB2312"/>
                <w:color w:val="auto"/>
                <w:spacing w:val="16"/>
                <w:sz w:val="24"/>
                <w:szCs w:val="24"/>
                <w:highlight w:val="none"/>
                <w:lang w:val="en-US" w:eastAsia="zh-CN"/>
              </w:rPr>
              <w:t>或</w:t>
            </w:r>
            <w:r>
              <w:rPr>
                <w:rFonts w:hint="eastAsia" w:ascii="仿宋_GB2312" w:hAnsi="仿宋_GB2312" w:eastAsia="仿宋_GB2312" w:cs="仿宋_GB2312"/>
                <w:color w:val="auto"/>
                <w:spacing w:val="-5"/>
                <w:sz w:val="24"/>
                <w:szCs w:val="24"/>
                <w:highlight w:val="none"/>
                <w:lang w:eastAsia="zh-CN"/>
              </w:rPr>
              <w:t>盖章。</w:t>
            </w:r>
          </w:p>
        </w:tc>
      </w:tr>
      <w:tr w14:paraId="13EE8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19" w:type="dxa"/>
          </w:tcPr>
          <w:p w14:paraId="242F50B2">
            <w:pPr>
              <w:pStyle w:val="33"/>
              <w:spacing w:before="9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8</w:t>
            </w:r>
          </w:p>
        </w:tc>
        <w:tc>
          <w:tcPr>
            <w:tcW w:w="1412" w:type="dxa"/>
            <w:tcBorders>
              <w:right w:val="single" w:color="auto" w:sz="4" w:space="0"/>
            </w:tcBorders>
            <w:vAlign w:val="center"/>
          </w:tcPr>
          <w:p w14:paraId="463790CF">
            <w:pPr>
              <w:pStyle w:val="33"/>
              <w:spacing w:before="38" w:line="400" w:lineRule="exact"/>
              <w:ind w:left="120"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0"/>
                <w:sz w:val="24"/>
                <w:szCs w:val="24"/>
                <w:highlight w:val="none"/>
                <w:lang w:eastAsia="zh-CN"/>
              </w:rPr>
              <w:t>串通投标</w:t>
            </w:r>
          </w:p>
        </w:tc>
        <w:tc>
          <w:tcPr>
            <w:tcW w:w="7651" w:type="dxa"/>
            <w:tcBorders>
              <w:left w:val="single" w:color="auto" w:sz="4" w:space="0"/>
            </w:tcBorders>
            <w:vAlign w:val="top"/>
          </w:tcPr>
          <w:p w14:paraId="5CBB2E5D">
            <w:pPr>
              <w:pStyle w:val="33"/>
              <w:spacing w:before="38" w:line="400" w:lineRule="exact"/>
              <w:ind w:left="120" w:leftChars="0" w:right="104" w:right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性差异；（五）不同供应商的投标文件相互混装；（六）不同供应商的投标保证金从同一单位或者个人的账户转出。</w:t>
            </w:r>
          </w:p>
        </w:tc>
      </w:tr>
      <w:tr w14:paraId="2465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19" w:type="dxa"/>
          </w:tcPr>
          <w:p w14:paraId="408324B6">
            <w:pPr>
              <w:pStyle w:val="33"/>
              <w:spacing w:before="9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9</w:t>
            </w:r>
          </w:p>
        </w:tc>
        <w:tc>
          <w:tcPr>
            <w:tcW w:w="1412" w:type="dxa"/>
            <w:tcBorders>
              <w:right w:val="single" w:color="auto" w:sz="4" w:space="0"/>
            </w:tcBorders>
            <w:vAlign w:val="top"/>
          </w:tcPr>
          <w:p w14:paraId="022424FA">
            <w:pPr>
              <w:pStyle w:val="33"/>
              <w:spacing w:before="44" w:line="400" w:lineRule="exact"/>
              <w:ind w:left="124" w:leftChars="0" w:right="104" w:rightChars="0" w:hanging="4"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其他无效情形</w:t>
            </w:r>
          </w:p>
        </w:tc>
        <w:tc>
          <w:tcPr>
            <w:tcW w:w="7651" w:type="dxa"/>
            <w:tcBorders>
              <w:left w:val="single" w:color="auto" w:sz="4" w:space="0"/>
            </w:tcBorders>
            <w:vAlign w:val="top"/>
          </w:tcPr>
          <w:p w14:paraId="3FAB298B">
            <w:pPr>
              <w:pStyle w:val="33"/>
              <w:spacing w:before="46" w:line="400" w:lineRule="exact"/>
              <w:ind w:right="104" w:right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1"/>
                <w:sz w:val="24"/>
                <w:szCs w:val="24"/>
                <w:highlight w:val="none"/>
                <w:lang w:eastAsia="zh-CN"/>
              </w:rPr>
              <w:t>投标文件未附有采购人不</w:t>
            </w:r>
            <w:r>
              <w:rPr>
                <w:rFonts w:hint="eastAsia" w:ascii="仿宋_GB2312" w:hAnsi="仿宋_GB2312" w:eastAsia="仿宋_GB2312" w:cs="仿宋_GB2312"/>
                <w:color w:val="auto"/>
                <w:spacing w:val="-6"/>
                <w:sz w:val="24"/>
                <w:szCs w:val="24"/>
                <w:highlight w:val="none"/>
                <w:lang w:eastAsia="zh-CN"/>
              </w:rPr>
              <w:t>能接受的条件；</w:t>
            </w:r>
            <w:r>
              <w:rPr>
                <w:rFonts w:hint="eastAsia" w:ascii="仿宋_GB2312" w:hAnsi="仿宋_GB2312" w:eastAsia="仿宋_GB2312" w:cs="仿宋_GB2312"/>
                <w:color w:val="auto"/>
                <w:spacing w:val="20"/>
                <w:sz w:val="24"/>
                <w:szCs w:val="24"/>
                <w:highlight w:val="none"/>
                <w:lang w:eastAsia="zh-CN"/>
              </w:rPr>
              <w:t>符合法律、法规和招标文</w:t>
            </w:r>
            <w:r>
              <w:rPr>
                <w:rFonts w:hint="eastAsia" w:ascii="仿宋_GB2312" w:hAnsi="仿宋_GB2312" w:eastAsia="仿宋_GB2312" w:cs="仿宋_GB2312"/>
                <w:color w:val="auto"/>
                <w:spacing w:val="-2"/>
                <w:sz w:val="24"/>
                <w:szCs w:val="24"/>
                <w:highlight w:val="none"/>
                <w:lang w:eastAsia="zh-CN"/>
              </w:rPr>
              <w:t>件中规定的实质性要求。</w:t>
            </w:r>
          </w:p>
        </w:tc>
      </w:tr>
      <w:tr w14:paraId="5689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19" w:type="dxa"/>
          </w:tcPr>
          <w:p w14:paraId="25CE0BC2">
            <w:pPr>
              <w:pStyle w:val="33"/>
              <w:spacing w:before="91" w:line="4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412" w:type="dxa"/>
            <w:tcBorders>
              <w:right w:val="single" w:color="auto" w:sz="4" w:space="0"/>
            </w:tcBorders>
            <w:vAlign w:val="center"/>
          </w:tcPr>
          <w:p w14:paraId="117EED17">
            <w:pPr>
              <w:pStyle w:val="33"/>
              <w:spacing w:before="44" w:line="400" w:lineRule="exact"/>
              <w:ind w:left="124" w:leftChars="0" w:right="104" w:rightChars="0" w:hanging="4"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报价合理性</w:t>
            </w:r>
          </w:p>
        </w:tc>
        <w:tc>
          <w:tcPr>
            <w:tcW w:w="7651" w:type="dxa"/>
            <w:tcBorders>
              <w:left w:val="single" w:color="auto" w:sz="4" w:space="0"/>
            </w:tcBorders>
            <w:vAlign w:val="top"/>
          </w:tcPr>
          <w:p w14:paraId="32572FC5">
            <w:pPr>
              <w:pStyle w:val="33"/>
              <w:spacing w:before="46" w:line="400" w:lineRule="exact"/>
              <w:ind w:right="104" w:rightChars="0"/>
              <w:jc w:val="both"/>
              <w:rPr>
                <w:rFonts w:hint="eastAsia" w:ascii="仿宋_GB2312" w:hAnsi="仿宋_GB2312" w:eastAsia="仿宋_GB2312" w:cs="仿宋_GB2312"/>
                <w:color w:val="auto"/>
                <w:spacing w:val="21"/>
                <w:sz w:val="24"/>
                <w:szCs w:val="24"/>
                <w:highlight w:val="none"/>
                <w:lang w:eastAsia="zh-CN"/>
              </w:rPr>
            </w:pPr>
            <w:r>
              <w:rPr>
                <w:rFonts w:hint="eastAsia" w:cs="仿宋_GB2312"/>
                <w:color w:val="auto"/>
                <w:sz w:val="24"/>
                <w:szCs w:val="24"/>
                <w:highlight w:val="none"/>
                <w:lang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37B48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682" w:type="dxa"/>
            <w:gridSpan w:val="3"/>
            <w:vAlign w:val="center"/>
          </w:tcPr>
          <w:p w14:paraId="64CA15D5">
            <w:pPr>
              <w:pStyle w:val="33"/>
              <w:spacing w:before="45" w:line="400" w:lineRule="exact"/>
              <w:ind w:left="121" w:right="104" w:firstLine="6"/>
              <w:rPr>
                <w:rFonts w:ascii="仿宋_GB2312" w:hAnsi="仿宋_GB2312" w:eastAsia="仿宋_GB2312" w:cs="仿宋_GB2312"/>
                <w:b/>
                <w:bCs/>
                <w:color w:val="auto"/>
                <w:spacing w:val="20"/>
                <w:sz w:val="24"/>
                <w:szCs w:val="24"/>
                <w:highlight w:val="none"/>
                <w:lang w:eastAsia="zh-CN"/>
              </w:rPr>
            </w:pPr>
            <w:r>
              <w:rPr>
                <w:rFonts w:hint="eastAsia" w:ascii="仿宋_GB2312" w:hAnsi="仿宋_GB2312" w:eastAsia="仿宋_GB2312" w:cs="仿宋_GB2312"/>
                <w:b/>
                <w:bCs/>
                <w:color w:val="auto"/>
                <w:spacing w:val="20"/>
                <w:sz w:val="24"/>
                <w:szCs w:val="24"/>
                <w:highlight w:val="none"/>
                <w:lang w:eastAsia="zh-CN"/>
              </w:rPr>
              <w:t>备注：符合性审查中有一项不满足评审标准的，评标委员会将认定该供应商不通过符合性审查，不得进入下一阶段评审。并且不允许供应商通过修改或撤销其不符合要求的差异或保留，使之成为具有响应性的投标。</w:t>
            </w:r>
          </w:p>
        </w:tc>
      </w:tr>
    </w:tbl>
    <w:p w14:paraId="231AB1F8">
      <w:pPr>
        <w:pStyle w:val="10"/>
        <w:spacing w:before="91" w:line="222" w:lineRule="auto"/>
        <w:ind w:left="18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6"/>
          <w:sz w:val="28"/>
          <w:szCs w:val="28"/>
          <w:highlight w:val="none"/>
          <w:lang w:eastAsia="zh-CN"/>
        </w:rPr>
        <w:t>34.3.3</w:t>
      </w:r>
      <w:r>
        <w:rPr>
          <w:rFonts w:hint="eastAsia" w:ascii="仿宋_GB2312" w:hAnsi="仿宋_GB2312" w:eastAsia="仿宋_GB2312" w:cs="仿宋_GB2312"/>
          <w:color w:val="auto"/>
          <w:spacing w:val="-44"/>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详细评审</w:t>
      </w:r>
    </w:p>
    <w:p w14:paraId="522A3A87">
      <w:pPr>
        <w:pStyle w:val="10"/>
        <w:spacing w:before="105" w:line="280" w:lineRule="auto"/>
        <w:ind w:left="187" w:right="158" w:firstLine="56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符合性评审合格的供应商方可进入详细评审阶段。详细评审分为投标文件</w:t>
      </w:r>
      <w:r>
        <w:rPr>
          <w:rFonts w:hint="eastAsia" w:ascii="仿宋_GB2312" w:hAnsi="仿宋_GB2312" w:eastAsia="仿宋_GB2312" w:cs="仿宋_GB2312"/>
          <w:color w:val="auto"/>
          <w:spacing w:val="8"/>
          <w:sz w:val="28"/>
          <w:szCs w:val="28"/>
          <w:highlight w:val="none"/>
          <w:lang w:eastAsia="zh-CN"/>
        </w:rPr>
        <w:t>商务、技术部分评审和投标报价评审。其中，报价部分</w:t>
      </w:r>
      <w:r>
        <w:rPr>
          <w:rFonts w:hint="eastAsia" w:ascii="仿宋_GB2312" w:hAnsi="仿宋_GB2312" w:eastAsia="仿宋_GB2312" w:cs="仿宋_GB2312"/>
          <w:color w:val="auto"/>
          <w:spacing w:val="8"/>
          <w:sz w:val="28"/>
          <w:szCs w:val="28"/>
          <w:highlight w:val="none"/>
          <w:lang w:val="en-US" w:eastAsia="zh-CN"/>
        </w:rPr>
        <w:t>30</w:t>
      </w:r>
      <w:r>
        <w:rPr>
          <w:rFonts w:hint="eastAsia" w:ascii="仿宋_GB2312" w:hAnsi="仿宋_GB2312" w:eastAsia="仿宋_GB2312" w:cs="仿宋_GB2312"/>
          <w:color w:val="auto"/>
          <w:spacing w:val="8"/>
          <w:sz w:val="28"/>
          <w:szCs w:val="28"/>
          <w:highlight w:val="none"/>
          <w:lang w:eastAsia="zh-CN"/>
        </w:rPr>
        <w:t>分，</w:t>
      </w:r>
      <w:r>
        <w:rPr>
          <w:rFonts w:hint="eastAsia" w:ascii="仿宋_GB2312" w:hAnsi="仿宋_GB2312" w:eastAsia="仿宋_GB2312" w:cs="仿宋_GB2312"/>
          <w:color w:val="auto"/>
          <w:spacing w:val="7"/>
          <w:sz w:val="28"/>
          <w:szCs w:val="28"/>
          <w:highlight w:val="none"/>
          <w:lang w:eastAsia="zh-CN"/>
        </w:rPr>
        <w:t>商务、</w:t>
      </w:r>
      <w:r>
        <w:rPr>
          <w:rFonts w:hint="eastAsia" w:ascii="仿宋_GB2312" w:hAnsi="仿宋_GB2312" w:eastAsia="仿宋_GB2312" w:cs="仿宋_GB2312"/>
          <w:color w:val="auto"/>
          <w:spacing w:val="-7"/>
          <w:sz w:val="28"/>
          <w:szCs w:val="28"/>
          <w:highlight w:val="none"/>
          <w:lang w:eastAsia="zh-CN"/>
        </w:rPr>
        <w:t>技术部</w:t>
      </w:r>
      <w:r>
        <w:rPr>
          <w:rFonts w:hint="eastAsia" w:ascii="仿宋_GB2312" w:hAnsi="仿宋_GB2312" w:eastAsia="仿宋_GB2312" w:cs="仿宋_GB2312"/>
          <w:color w:val="auto"/>
          <w:sz w:val="28"/>
          <w:szCs w:val="28"/>
          <w:highlight w:val="none"/>
          <w:lang w:eastAsia="zh-CN"/>
        </w:rPr>
        <w:t>分</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0分，合计满分100 分。</w:t>
      </w:r>
    </w:p>
    <w:p w14:paraId="3914392A">
      <w:pPr>
        <w:pStyle w:val="10"/>
        <w:spacing w:before="43" w:line="223" w:lineRule="auto"/>
        <w:ind w:left="18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34.3.4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具体评审内容及标准</w:t>
      </w:r>
    </w:p>
    <w:p w14:paraId="57E1DE37">
      <w:pPr>
        <w:pStyle w:val="10"/>
        <w:spacing w:before="100" w:line="218" w:lineRule="auto"/>
        <w:ind w:left="4391"/>
        <w:outlineLvl w:val="2"/>
        <w:rPr>
          <w:rFonts w:ascii="仿宋_GB2312" w:hAnsi="仿宋_GB2312" w:eastAsia="仿宋_GB2312" w:cs="仿宋_GB2312"/>
          <w:color w:val="auto"/>
          <w:sz w:val="28"/>
          <w:szCs w:val="28"/>
          <w:highlight w:val="none"/>
          <w:lang w:eastAsia="zh-CN"/>
        </w:rPr>
      </w:pPr>
      <w:bookmarkStart w:id="93" w:name="_Toc28591"/>
      <w:bookmarkStart w:id="94" w:name="_Toc10264"/>
      <w:r>
        <w:rPr>
          <w:rFonts w:hint="eastAsia" w:ascii="仿宋_GB2312" w:hAnsi="仿宋_GB2312" w:eastAsia="仿宋_GB2312" w:cs="仿宋_GB2312"/>
          <w:b/>
          <w:bCs/>
          <w:color w:val="auto"/>
          <w:spacing w:val="-6"/>
          <w:sz w:val="28"/>
          <w:szCs w:val="28"/>
          <w:highlight w:val="none"/>
          <w:lang w:eastAsia="zh-CN"/>
        </w:rPr>
        <w:t>报价评审</w:t>
      </w:r>
      <w:bookmarkEnd w:id="93"/>
      <w:bookmarkEnd w:id="94"/>
    </w:p>
    <w:tbl>
      <w:tblPr>
        <w:tblStyle w:val="32"/>
        <w:tblW w:w="9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1"/>
        <w:gridCol w:w="1136"/>
        <w:gridCol w:w="7148"/>
      </w:tblGrid>
      <w:tr w14:paraId="52A5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581" w:type="dxa"/>
          </w:tcPr>
          <w:p w14:paraId="0F16DBA5">
            <w:pPr>
              <w:pStyle w:val="33"/>
              <w:spacing w:before="46"/>
              <w:ind w:left="57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评审因素</w:t>
            </w:r>
          </w:p>
        </w:tc>
        <w:tc>
          <w:tcPr>
            <w:tcW w:w="1136" w:type="dxa"/>
          </w:tcPr>
          <w:p w14:paraId="7AF4FF7C">
            <w:pPr>
              <w:pStyle w:val="33"/>
              <w:spacing w:before="46"/>
              <w:ind w:left="3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分值</w:t>
            </w:r>
          </w:p>
        </w:tc>
        <w:tc>
          <w:tcPr>
            <w:tcW w:w="7148" w:type="dxa"/>
          </w:tcPr>
          <w:p w14:paraId="23FA413E">
            <w:pPr>
              <w:pStyle w:val="33"/>
              <w:spacing w:before="46"/>
              <w:ind w:left="268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评分标准</w:t>
            </w:r>
          </w:p>
        </w:tc>
      </w:tr>
      <w:tr w14:paraId="20FFF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81" w:type="dxa"/>
            <w:vAlign w:val="center"/>
          </w:tcPr>
          <w:p w14:paraId="399679E0">
            <w:pPr>
              <w:pStyle w:val="33"/>
              <w:spacing w:before="91"/>
              <w:ind w:right="276"/>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价格部分</w:t>
            </w:r>
            <w:r>
              <w:rPr>
                <w:rFonts w:hint="eastAsia" w:ascii="仿宋_GB2312" w:hAnsi="仿宋_GB2312" w:eastAsia="仿宋_GB2312" w:cs="仿宋_GB2312"/>
                <w:color w:val="auto"/>
                <w:spacing w:val="-3"/>
                <w:sz w:val="24"/>
                <w:szCs w:val="24"/>
                <w:highlight w:val="none"/>
                <w:lang w:eastAsia="zh-CN"/>
              </w:rPr>
              <w:t xml:space="preserve">        </w:t>
            </w:r>
          </w:p>
        </w:tc>
        <w:tc>
          <w:tcPr>
            <w:tcW w:w="1136" w:type="dxa"/>
            <w:vAlign w:val="center"/>
          </w:tcPr>
          <w:p w14:paraId="5CCE5712">
            <w:pPr>
              <w:spacing w:line="360" w:lineRule="auto"/>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lang w:eastAsia="zh-CN"/>
              </w:rPr>
              <w:t>分</w:t>
            </w:r>
          </w:p>
        </w:tc>
        <w:tc>
          <w:tcPr>
            <w:tcW w:w="7148" w:type="dxa"/>
            <w:vAlign w:val="center"/>
          </w:tcPr>
          <w:p w14:paraId="72EF3F6D">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满足采购文件要求且投标价格最低的投标报价为评标基准价，其价格分为满分。其他投标人的价格分统一按照下列公式计算：</w:t>
            </w:r>
          </w:p>
          <w:p w14:paraId="5F613C65">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投标报价得分=（评标基准价/投标报价）*价格分值</w:t>
            </w:r>
          </w:p>
          <w:p w14:paraId="3056DC03">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（计算分值时，百分比按四舍五入原则，保留小数点后二位数）</w:t>
            </w:r>
          </w:p>
          <w:p w14:paraId="0F433975">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备注：报统一折扣（如投标报价“九五折”，投标报价一览表中填写为“95%”）</w:t>
            </w:r>
          </w:p>
        </w:tc>
      </w:tr>
    </w:tbl>
    <w:p w14:paraId="1622DAFB">
      <w:pPr>
        <w:rPr>
          <w:rFonts w:ascii="仿宋_GB2312" w:hAnsi="仿宋_GB2312" w:eastAsia="仿宋_GB2312" w:cs="仿宋_GB2312"/>
          <w:color w:val="auto"/>
          <w:highlight w:val="none"/>
          <w:lang w:eastAsia="zh-CN"/>
        </w:rPr>
      </w:pPr>
    </w:p>
    <w:p w14:paraId="523779AB">
      <w:pPr>
        <w:pStyle w:val="10"/>
        <w:spacing w:before="91" w:line="217" w:lineRule="auto"/>
        <w:ind w:left="4102"/>
        <w:rPr>
          <w:rFonts w:ascii="仿宋_GB2312" w:hAnsi="仿宋_GB2312" w:eastAsia="仿宋_GB2312" w:cs="仿宋_GB2312"/>
          <w:b/>
          <w:bCs/>
          <w:color w:val="auto"/>
          <w:spacing w:val="-7"/>
          <w:sz w:val="28"/>
          <w:szCs w:val="28"/>
          <w:highlight w:val="none"/>
          <w:lang w:eastAsia="zh-CN"/>
        </w:rPr>
      </w:pPr>
      <w:r>
        <w:rPr>
          <w:rFonts w:hint="eastAsia" w:ascii="仿宋_GB2312" w:hAnsi="仿宋_GB2312" w:eastAsia="仿宋_GB2312" w:cs="仿宋_GB2312"/>
          <w:b/>
          <w:bCs/>
          <w:color w:val="auto"/>
          <w:spacing w:val="-7"/>
          <w:sz w:val="28"/>
          <w:szCs w:val="28"/>
          <w:highlight w:val="none"/>
          <w:lang w:eastAsia="zh-CN"/>
        </w:rPr>
        <w:t>详细评审</w:t>
      </w:r>
    </w:p>
    <w:tbl>
      <w:tblPr>
        <w:tblStyle w:val="26"/>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209"/>
        <w:gridCol w:w="7101"/>
        <w:gridCol w:w="996"/>
      </w:tblGrid>
      <w:tr w14:paraId="297B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76F645AF">
            <w:pPr>
              <w:spacing w:line="440" w:lineRule="exact"/>
              <w:ind w:right="-31" w:rightChars="-15"/>
              <w:jc w:val="center"/>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序号</w:t>
            </w:r>
          </w:p>
        </w:tc>
        <w:tc>
          <w:tcPr>
            <w:tcW w:w="607" w:type="pct"/>
            <w:tcBorders>
              <w:top w:val="single" w:color="auto" w:sz="4" w:space="0"/>
              <w:left w:val="single" w:color="auto" w:sz="4" w:space="0"/>
              <w:bottom w:val="single" w:color="auto" w:sz="4" w:space="0"/>
              <w:right w:val="single" w:color="auto" w:sz="4" w:space="0"/>
            </w:tcBorders>
            <w:vAlign w:val="center"/>
          </w:tcPr>
          <w:p w14:paraId="60DC3891">
            <w:pPr>
              <w:spacing w:line="440" w:lineRule="exact"/>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评审项目</w:t>
            </w:r>
          </w:p>
        </w:tc>
        <w:tc>
          <w:tcPr>
            <w:tcW w:w="3565" w:type="pct"/>
            <w:tcBorders>
              <w:top w:val="single" w:color="auto" w:sz="4" w:space="0"/>
              <w:left w:val="single" w:color="auto" w:sz="4" w:space="0"/>
              <w:bottom w:val="single" w:color="auto" w:sz="4" w:space="0"/>
              <w:right w:val="single" w:color="auto" w:sz="4" w:space="0"/>
            </w:tcBorders>
            <w:vAlign w:val="center"/>
          </w:tcPr>
          <w:p w14:paraId="7B730563">
            <w:pPr>
              <w:spacing w:line="440" w:lineRule="exact"/>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评审细则</w:t>
            </w:r>
          </w:p>
        </w:tc>
        <w:tc>
          <w:tcPr>
            <w:tcW w:w="500" w:type="pct"/>
            <w:tcBorders>
              <w:top w:val="single" w:color="auto" w:sz="4" w:space="0"/>
              <w:left w:val="single" w:color="auto" w:sz="4" w:space="0"/>
              <w:bottom w:val="single" w:color="auto" w:sz="4" w:space="0"/>
              <w:right w:val="single" w:color="auto" w:sz="4" w:space="0"/>
            </w:tcBorders>
            <w:vAlign w:val="center"/>
          </w:tcPr>
          <w:p w14:paraId="06A2AAB1">
            <w:pPr>
              <w:spacing w:line="440" w:lineRule="exact"/>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r>
      <w:tr w14:paraId="1DF7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6FF6FD7E">
            <w:pPr>
              <w:spacing w:line="44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607" w:type="pct"/>
            <w:tcBorders>
              <w:top w:val="single" w:color="auto" w:sz="4" w:space="0"/>
              <w:left w:val="single" w:color="auto" w:sz="4" w:space="0"/>
              <w:bottom w:val="single" w:color="auto" w:sz="4" w:space="0"/>
              <w:right w:val="single" w:color="auto" w:sz="4" w:space="0"/>
            </w:tcBorders>
            <w:vAlign w:val="center"/>
          </w:tcPr>
          <w:p w14:paraId="7167D0F8">
            <w:pPr>
              <w:spacing w:line="44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人员配备</w:t>
            </w:r>
            <w:r>
              <w:rPr>
                <w:rFonts w:hint="eastAsia" w:ascii="仿宋_GB2312" w:hAnsi="仿宋_GB2312" w:eastAsia="仿宋_GB2312" w:cs="仿宋_GB2312"/>
                <w:color w:val="auto"/>
                <w:sz w:val="24"/>
                <w:szCs w:val="24"/>
                <w:highlight w:val="none"/>
                <w:lang w:eastAsia="zh-CN"/>
              </w:rPr>
              <w:t xml:space="preserve"> </w:t>
            </w:r>
          </w:p>
        </w:tc>
        <w:tc>
          <w:tcPr>
            <w:tcW w:w="3565" w:type="pct"/>
            <w:tcBorders>
              <w:top w:val="single" w:color="auto" w:sz="4" w:space="0"/>
              <w:left w:val="single" w:color="auto" w:sz="4" w:space="0"/>
              <w:bottom w:val="single" w:color="auto" w:sz="4" w:space="0"/>
              <w:right w:val="single" w:color="auto" w:sz="4" w:space="0"/>
            </w:tcBorders>
            <w:vAlign w:val="center"/>
          </w:tcPr>
          <w:p w14:paraId="36C8A039">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供应商拟为本项目提供服务团队配置健全（包括项目负责人、财务人员、采购人员、配送人员及其职责分工等），可服务本项目人员不少于</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人，每增加1人加</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分，满分</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人以下不得分。（须提供拟派人员身份证、在本单位签订的劳动合同；未提供证明材料或者提供的证明材料不符合要求或者提供的证明材料不清晰导致评审专家无法辨认的，不得分。）</w:t>
            </w:r>
          </w:p>
        </w:tc>
        <w:tc>
          <w:tcPr>
            <w:tcW w:w="500" w:type="pct"/>
            <w:tcBorders>
              <w:top w:val="single" w:color="auto" w:sz="4" w:space="0"/>
              <w:left w:val="single" w:color="auto" w:sz="4" w:space="0"/>
              <w:bottom w:val="single" w:color="auto" w:sz="4" w:space="0"/>
              <w:right w:val="single" w:color="auto" w:sz="4" w:space="0"/>
            </w:tcBorders>
            <w:vAlign w:val="center"/>
          </w:tcPr>
          <w:p w14:paraId="49B7745C">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p>
        </w:tc>
      </w:tr>
      <w:tr w14:paraId="64AB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48D1A26A">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w:t>
            </w:r>
          </w:p>
        </w:tc>
        <w:tc>
          <w:tcPr>
            <w:tcW w:w="607" w:type="pct"/>
            <w:tcBorders>
              <w:top w:val="single" w:color="auto" w:sz="4" w:space="0"/>
              <w:left w:val="single" w:color="auto" w:sz="4" w:space="0"/>
              <w:bottom w:val="single" w:color="auto" w:sz="4" w:space="0"/>
              <w:right w:val="single" w:color="auto" w:sz="4" w:space="0"/>
            </w:tcBorders>
            <w:vAlign w:val="center"/>
          </w:tcPr>
          <w:p w14:paraId="2D50868A">
            <w:pPr>
              <w:spacing w:line="440" w:lineRule="exact"/>
              <w:jc w:val="center"/>
              <w:rPr>
                <w:rFonts w:ascii="仿宋_GB2312" w:hAnsi="仿宋_GB2312" w:eastAsia="宋体"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车辆配备 </w:t>
            </w:r>
          </w:p>
        </w:tc>
        <w:tc>
          <w:tcPr>
            <w:tcW w:w="7099" w:type="dxa"/>
            <w:tcBorders>
              <w:top w:val="single" w:color="auto" w:sz="4" w:space="0"/>
              <w:left w:val="single" w:color="auto" w:sz="4" w:space="0"/>
              <w:bottom w:val="single" w:color="auto" w:sz="4" w:space="0"/>
              <w:right w:val="single" w:color="auto" w:sz="4" w:space="0"/>
            </w:tcBorders>
            <w:vAlign w:val="center"/>
          </w:tcPr>
          <w:p w14:paraId="28A58738">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供应商拟为本项目提供配送车辆（须为满足项目配送需求的货运车辆，为公司或法人所有或租用的国家标准货运车辆），每提供1辆得2分，满分8分。</w:t>
            </w:r>
          </w:p>
          <w:p w14:paraId="21D08728">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注：所有车辆均须提供正面照片，有效的机动车行驶证，租赁车辆还须提供租赁合同和与租赁合同双方信息一致的付款凭证及发票。</w:t>
            </w:r>
          </w:p>
          <w:p w14:paraId="33D96E09">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未提供证明材料或者提供的证明材料不符合要求或者提供的证明材料不清晰导致评审专家无法辨认的，不得分。</w:t>
            </w:r>
          </w:p>
        </w:tc>
        <w:tc>
          <w:tcPr>
            <w:tcW w:w="996" w:type="dxa"/>
            <w:tcBorders>
              <w:top w:val="single" w:color="auto" w:sz="4" w:space="0"/>
              <w:left w:val="single" w:color="auto" w:sz="4" w:space="0"/>
              <w:bottom w:val="single" w:color="auto" w:sz="4" w:space="0"/>
              <w:right w:val="single" w:color="auto" w:sz="4" w:space="0"/>
            </w:tcBorders>
            <w:vAlign w:val="center"/>
          </w:tcPr>
          <w:p w14:paraId="0DAA988F">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8分</w:t>
            </w:r>
          </w:p>
        </w:tc>
      </w:tr>
      <w:tr w14:paraId="6B8C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1C983C03">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p>
        </w:tc>
        <w:tc>
          <w:tcPr>
            <w:tcW w:w="607" w:type="pct"/>
            <w:tcBorders>
              <w:top w:val="single" w:color="auto" w:sz="4" w:space="0"/>
              <w:left w:val="single" w:color="auto" w:sz="4" w:space="0"/>
              <w:bottom w:val="single" w:color="auto" w:sz="4" w:space="0"/>
              <w:right w:val="single" w:color="auto" w:sz="4" w:space="0"/>
            </w:tcBorders>
            <w:vAlign w:val="center"/>
          </w:tcPr>
          <w:p w14:paraId="1743103D">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类似业绩</w:t>
            </w:r>
          </w:p>
        </w:tc>
        <w:tc>
          <w:tcPr>
            <w:tcW w:w="3565" w:type="pct"/>
            <w:tcBorders>
              <w:top w:val="single" w:color="auto" w:sz="4" w:space="0"/>
              <w:left w:val="single" w:color="auto" w:sz="4" w:space="0"/>
              <w:bottom w:val="single" w:color="auto" w:sz="4" w:space="0"/>
              <w:right w:val="single" w:color="auto" w:sz="4" w:space="0"/>
            </w:tcBorders>
            <w:vAlign w:val="center"/>
          </w:tcPr>
          <w:p w14:paraId="02D2C323">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根据供应商近三年（202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年1月1日至今）类似业绩情况进行评定：每提供一个有效业绩加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满分12分，同一项目续签合同的不可重复得分。（业绩证明资料须同时提供合同和中标通知书及发票扫描件&lt;发票应体现具体内容，如发票未体现具体内容，应附清单&gt;，上述材料缺一不可，提供不全或上述材料不清晰不完整无法辨识的本项不得分。）</w:t>
            </w:r>
          </w:p>
        </w:tc>
        <w:tc>
          <w:tcPr>
            <w:tcW w:w="500" w:type="pct"/>
            <w:tcBorders>
              <w:top w:val="single" w:color="auto" w:sz="4" w:space="0"/>
              <w:left w:val="single" w:color="auto" w:sz="4" w:space="0"/>
              <w:bottom w:val="single" w:color="auto" w:sz="4" w:space="0"/>
              <w:right w:val="single" w:color="auto" w:sz="4" w:space="0"/>
            </w:tcBorders>
            <w:vAlign w:val="center"/>
          </w:tcPr>
          <w:p w14:paraId="6A94DA6C">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eastAsia="zh-CN"/>
              </w:rPr>
              <w:t>分</w:t>
            </w:r>
          </w:p>
        </w:tc>
      </w:tr>
      <w:tr w14:paraId="1E3C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10A4907C">
            <w:pPr>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1023809D">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用户评价</w:t>
            </w:r>
          </w:p>
        </w:tc>
        <w:tc>
          <w:tcPr>
            <w:tcW w:w="3565" w:type="pct"/>
            <w:tcBorders>
              <w:top w:val="single" w:color="auto" w:sz="4" w:space="0"/>
              <w:left w:val="single" w:color="auto" w:sz="4" w:space="0"/>
              <w:bottom w:val="single" w:color="auto" w:sz="4" w:space="0"/>
              <w:right w:val="single" w:color="auto" w:sz="4" w:space="0"/>
            </w:tcBorders>
            <w:shd w:val="clear" w:color="auto" w:fill="auto"/>
            <w:vAlign w:val="center"/>
          </w:tcPr>
          <w:p w14:paraId="290B2B5B">
            <w:pPr>
              <w:spacing w:line="440" w:lineRule="exact"/>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投标人有单位用户评价，评价等级为良好以上的。每提供一份得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分，最高不超过</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分。同一单位提供多份的只算一份用户证明。</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92445F9">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p>
        </w:tc>
      </w:tr>
      <w:tr w14:paraId="30A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2E0CC219">
            <w:pPr>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5D27BD48">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食品安全检测能力   </w:t>
            </w:r>
          </w:p>
        </w:tc>
        <w:tc>
          <w:tcPr>
            <w:tcW w:w="3565" w:type="pct"/>
            <w:tcBorders>
              <w:top w:val="single" w:color="auto" w:sz="4" w:space="0"/>
              <w:left w:val="single" w:color="auto" w:sz="4" w:space="0"/>
              <w:bottom w:val="single" w:color="auto" w:sz="4" w:space="0"/>
              <w:right w:val="single" w:color="auto" w:sz="4" w:space="0"/>
            </w:tcBorders>
            <w:shd w:val="clear" w:color="auto" w:fill="auto"/>
            <w:vAlign w:val="center"/>
          </w:tcPr>
          <w:p w14:paraId="1E5A333B">
            <w:pPr>
              <w:spacing w:line="440" w:lineRule="exact"/>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eastAsia="zh-CN"/>
              </w:rPr>
              <w:t>供应商须承诺，中标后按采购人要求提供：第三方食品检测机构出具的由供应商送检的实际供货货物的食品检测报告的得5分，未提供的不得分。</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EB3982E">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5分</w:t>
            </w:r>
          </w:p>
        </w:tc>
      </w:tr>
      <w:tr w14:paraId="30C5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385F5353">
            <w:pPr>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13D3AC95">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仓储</w:t>
            </w:r>
            <w:r>
              <w:rPr>
                <w:rFonts w:hint="eastAsia" w:ascii="仿宋_GB2312" w:hAnsi="仿宋_GB2312" w:eastAsia="仿宋_GB2312" w:cs="仿宋_GB2312"/>
                <w:color w:val="auto"/>
                <w:sz w:val="24"/>
                <w:szCs w:val="24"/>
                <w:highlight w:val="none"/>
                <w:lang w:val="en-US" w:eastAsia="zh-CN"/>
              </w:rPr>
              <w:t>条件</w:t>
            </w:r>
          </w:p>
        </w:tc>
        <w:tc>
          <w:tcPr>
            <w:tcW w:w="3565" w:type="pct"/>
            <w:tcBorders>
              <w:top w:val="single" w:color="auto" w:sz="4" w:space="0"/>
              <w:left w:val="single" w:color="auto" w:sz="4" w:space="0"/>
              <w:bottom w:val="single" w:color="auto" w:sz="4" w:space="0"/>
              <w:right w:val="single" w:color="auto" w:sz="4" w:space="0"/>
            </w:tcBorders>
            <w:shd w:val="clear" w:color="auto" w:fill="auto"/>
            <w:vAlign w:val="center"/>
          </w:tcPr>
          <w:p w14:paraId="5FBE9760">
            <w:pPr>
              <w:spacing w:line="440" w:lineRule="exact"/>
              <w:rPr>
                <w:rFonts w:hint="eastAsia" w:ascii="仿宋_GB2312" w:hAnsi="仿宋_GB2312" w:eastAsia="仿宋_GB2312" w:cs="仿宋_GB2312"/>
                <w:snapToGrid w:val="0"/>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rPr>
              <w:t>投标人是否具备仓储库（常温仓储库房或保鲜库房），且能满足本项目配送所需得3分，未提供不得分。（注：投标人自有的库房须提供房产相关证明复印件，投标人租赁的库房须提供租赁租赁合同及房产相关证明复印件，但均必须显示面积）。</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643F101">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p>
        </w:tc>
      </w:tr>
      <w:tr w14:paraId="1E87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0101EB35">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607" w:type="pct"/>
            <w:tcBorders>
              <w:top w:val="single" w:color="auto" w:sz="4" w:space="0"/>
              <w:left w:val="single" w:color="auto" w:sz="4" w:space="0"/>
              <w:bottom w:val="single" w:color="auto" w:sz="4" w:space="0"/>
              <w:right w:val="single" w:color="auto" w:sz="4" w:space="0"/>
            </w:tcBorders>
            <w:vAlign w:val="center"/>
          </w:tcPr>
          <w:p w14:paraId="41A8F87E">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实施方案</w:t>
            </w:r>
          </w:p>
        </w:tc>
        <w:tc>
          <w:tcPr>
            <w:tcW w:w="3565" w:type="pct"/>
            <w:tcBorders>
              <w:top w:val="single" w:color="auto" w:sz="4" w:space="0"/>
              <w:left w:val="single" w:color="auto" w:sz="4" w:space="0"/>
              <w:bottom w:val="single" w:color="auto" w:sz="4" w:space="0"/>
              <w:right w:val="single" w:color="auto" w:sz="4" w:space="0"/>
            </w:tcBorders>
            <w:vAlign w:val="center"/>
          </w:tcPr>
          <w:p w14:paraId="7D8C898F">
            <w:pPr>
              <w:autoSpaceDE/>
              <w:autoSpaceDN/>
              <w:spacing w:line="440" w:lineRule="exact"/>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根据投标人提供的实施方案进行综合评审，投标人能够详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c>
          <w:tcPr>
            <w:tcW w:w="500" w:type="pct"/>
            <w:tcBorders>
              <w:top w:val="single" w:color="auto" w:sz="4" w:space="0"/>
              <w:left w:val="single" w:color="auto" w:sz="4" w:space="0"/>
              <w:bottom w:val="single" w:color="auto" w:sz="4" w:space="0"/>
              <w:right w:val="single" w:color="auto" w:sz="4" w:space="0"/>
            </w:tcBorders>
            <w:vAlign w:val="center"/>
          </w:tcPr>
          <w:p w14:paraId="1386340E">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10分</w:t>
            </w:r>
          </w:p>
        </w:tc>
      </w:tr>
      <w:tr w14:paraId="300C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565F580D">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607" w:type="pct"/>
            <w:tcBorders>
              <w:top w:val="single" w:color="auto" w:sz="4" w:space="0"/>
              <w:left w:val="single" w:color="auto" w:sz="4" w:space="0"/>
              <w:bottom w:val="single" w:color="auto" w:sz="4" w:space="0"/>
              <w:right w:val="single" w:color="auto" w:sz="4" w:space="0"/>
            </w:tcBorders>
            <w:vAlign w:val="center"/>
          </w:tcPr>
          <w:p w14:paraId="22C1DFB0">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特殊情况应急保障方案</w:t>
            </w:r>
          </w:p>
        </w:tc>
        <w:tc>
          <w:tcPr>
            <w:tcW w:w="3565" w:type="pct"/>
            <w:tcBorders>
              <w:top w:val="single" w:color="auto" w:sz="4" w:space="0"/>
              <w:left w:val="single" w:color="auto" w:sz="4" w:space="0"/>
              <w:bottom w:val="single" w:color="auto" w:sz="4" w:space="0"/>
              <w:right w:val="single" w:color="auto" w:sz="4" w:space="0"/>
            </w:tcBorders>
            <w:vAlign w:val="center"/>
          </w:tcPr>
          <w:p w14:paraId="1517EE5C">
            <w:pPr>
              <w:autoSpaceDE/>
              <w:autoSpaceDN/>
              <w:spacing w:line="440" w:lineRule="exact"/>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p>
        </w:tc>
        <w:tc>
          <w:tcPr>
            <w:tcW w:w="500" w:type="pct"/>
            <w:tcBorders>
              <w:top w:val="single" w:color="auto" w:sz="4" w:space="0"/>
              <w:left w:val="single" w:color="auto" w:sz="4" w:space="0"/>
              <w:bottom w:val="single" w:color="auto" w:sz="4" w:space="0"/>
              <w:right w:val="single" w:color="auto" w:sz="4" w:space="0"/>
            </w:tcBorders>
            <w:vAlign w:val="center"/>
          </w:tcPr>
          <w:p w14:paraId="521FFBD1">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5分</w:t>
            </w:r>
          </w:p>
        </w:tc>
      </w:tr>
      <w:tr w14:paraId="2912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326" w:type="pct"/>
            <w:vAlign w:val="center"/>
          </w:tcPr>
          <w:p w14:paraId="6505C2BE">
            <w:pPr>
              <w:autoSpaceDE/>
              <w:autoSpaceDN/>
              <w:spacing w:line="440" w:lineRule="exact"/>
              <w:ind w:left="170"/>
              <w:jc w:val="both"/>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val="en-US" w:eastAsia="zh-CN"/>
              </w:rPr>
              <w:t>9</w:t>
            </w:r>
          </w:p>
        </w:tc>
        <w:tc>
          <w:tcPr>
            <w:tcW w:w="607" w:type="pct"/>
            <w:vAlign w:val="center"/>
          </w:tcPr>
          <w:p w14:paraId="51540F78">
            <w:pPr>
              <w:autoSpaceDE/>
              <w:autoSpaceDN/>
              <w:spacing w:line="440" w:lineRule="exact"/>
              <w:jc w:val="center"/>
              <w:rPr>
                <w:rFonts w:hint="eastAsia"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产品质量</w:t>
            </w:r>
          </w:p>
          <w:p w14:paraId="3B93895B">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保障</w:t>
            </w:r>
          </w:p>
        </w:tc>
        <w:tc>
          <w:tcPr>
            <w:tcW w:w="3565" w:type="pct"/>
            <w:vAlign w:val="center"/>
          </w:tcPr>
          <w:p w14:paraId="702C71A1">
            <w:pPr>
              <w:autoSpaceDE/>
              <w:autoSpaceDN/>
              <w:spacing w:line="440" w:lineRule="exact"/>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p>
        </w:tc>
        <w:tc>
          <w:tcPr>
            <w:tcW w:w="500" w:type="pct"/>
            <w:vAlign w:val="center"/>
          </w:tcPr>
          <w:p w14:paraId="74101C14">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10分</w:t>
            </w:r>
          </w:p>
        </w:tc>
      </w:tr>
      <w:tr w14:paraId="7A10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326" w:type="pct"/>
            <w:vAlign w:val="center"/>
          </w:tcPr>
          <w:p w14:paraId="39AFE59E">
            <w:pPr>
              <w:autoSpaceDE/>
              <w:autoSpaceDN/>
              <w:spacing w:line="440" w:lineRule="exact"/>
              <w:ind w:left="170"/>
              <w:jc w:val="both"/>
              <w:rPr>
                <w:rFonts w:hint="default" w:ascii="仿宋_GB2312" w:hAnsi="仿宋_GB2312" w:eastAsia="仿宋_GB2312" w:cs="仿宋_GB2312"/>
                <w:bCs/>
                <w:color w:val="auto"/>
                <w:kern w:val="2"/>
                <w:sz w:val="24"/>
                <w:szCs w:val="24"/>
                <w:highlight w:val="none"/>
                <w:lang w:val="en-US" w:eastAsia="zh-CN"/>
              </w:rPr>
            </w:pPr>
            <w:r>
              <w:rPr>
                <w:rFonts w:hint="eastAsia" w:ascii="仿宋_GB2312" w:hAnsi="仿宋_GB2312" w:eastAsia="仿宋_GB2312" w:cs="仿宋_GB2312"/>
                <w:bCs/>
                <w:color w:val="auto"/>
                <w:kern w:val="2"/>
                <w:sz w:val="24"/>
                <w:szCs w:val="24"/>
                <w:highlight w:val="none"/>
                <w:lang w:val="en-US" w:eastAsia="zh-CN"/>
              </w:rPr>
              <w:t>10</w:t>
            </w:r>
          </w:p>
        </w:tc>
        <w:tc>
          <w:tcPr>
            <w:tcW w:w="607" w:type="pct"/>
            <w:vAlign w:val="center"/>
          </w:tcPr>
          <w:p w14:paraId="2C08A847">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食品安全保障措施</w:t>
            </w:r>
          </w:p>
        </w:tc>
        <w:tc>
          <w:tcPr>
            <w:tcW w:w="3565" w:type="pct"/>
            <w:vAlign w:val="center"/>
          </w:tcPr>
          <w:p w14:paraId="632C8960">
            <w:pPr>
              <w:autoSpaceDE/>
              <w:autoSpaceDN/>
              <w:spacing w:line="440" w:lineRule="exact"/>
              <w:jc w:val="both"/>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投标人根据采购需求的特性提供的食品安全保障措施，包括但不限于①食品安全保障承诺、②食品安全监管措施、③配送途径的安全保障、④卫生安全管理、⑤卫生防疫等内容，上述每项内容2分，未提供或缺失对应内容不得分，满分10分；每项内容出现不符合项目情况或不利于项目实施或内容表述错误或内容前后矛盾等情形，每处扣1分，扣完为止。</w:t>
            </w:r>
          </w:p>
        </w:tc>
        <w:tc>
          <w:tcPr>
            <w:tcW w:w="500" w:type="pct"/>
            <w:vAlign w:val="center"/>
          </w:tcPr>
          <w:p w14:paraId="3E9F230F">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10分</w:t>
            </w:r>
          </w:p>
        </w:tc>
      </w:tr>
    </w:tbl>
    <w:p w14:paraId="253A10E9">
      <w:pPr>
        <w:rPr>
          <w:rFonts w:ascii="仿宋_GB2312" w:hAnsi="仿宋_GB2312" w:eastAsia="仿宋_GB2312" w:cs="仿宋_GB2312"/>
          <w:color w:val="auto"/>
          <w:highlight w:val="none"/>
        </w:rPr>
      </w:pPr>
      <w:r>
        <w:rPr>
          <w:rFonts w:ascii="仿宋_GB2312" w:hAnsi="仿宋_GB2312" w:eastAsia="仿宋_GB2312" w:cs="仿宋_GB2312"/>
          <w:color w:val="auto"/>
          <w:highlight w:val="none"/>
        </w:rPr>
        <w:br w:type="page"/>
      </w:r>
    </w:p>
    <w:p w14:paraId="313C7E18">
      <w:pPr>
        <w:pStyle w:val="10"/>
        <w:spacing w:before="40" w:line="223" w:lineRule="auto"/>
        <w:ind w:firstLine="530" w:firstLineChars="200"/>
        <w:outlineLvl w:val="2"/>
        <w:rPr>
          <w:rFonts w:ascii="仿宋_GB2312" w:hAnsi="仿宋_GB2312" w:eastAsia="仿宋_GB2312" w:cs="仿宋_GB2312"/>
          <w:color w:val="auto"/>
          <w:sz w:val="28"/>
          <w:szCs w:val="28"/>
          <w:highlight w:val="none"/>
        </w:rPr>
      </w:pPr>
      <w:bookmarkStart w:id="95" w:name="_Toc1774"/>
      <w:bookmarkStart w:id="96" w:name="_Toc14788"/>
      <w:r>
        <w:rPr>
          <w:rFonts w:hint="eastAsia" w:ascii="仿宋_GB2312" w:hAnsi="仿宋_GB2312" w:eastAsia="仿宋_GB2312" w:cs="仿宋_GB2312"/>
          <w:b/>
          <w:bCs/>
          <w:color w:val="auto"/>
          <w:spacing w:val="-8"/>
          <w:sz w:val="28"/>
          <w:szCs w:val="28"/>
          <w:highlight w:val="none"/>
        </w:rPr>
        <w:t>35.</w:t>
      </w:r>
      <w:r>
        <w:rPr>
          <w:rFonts w:hint="eastAsia" w:ascii="仿宋_GB2312" w:hAnsi="仿宋_GB2312" w:eastAsia="仿宋_GB2312" w:cs="仿宋_GB2312"/>
          <w:color w:val="auto"/>
          <w:spacing w:val="29"/>
          <w:sz w:val="28"/>
          <w:szCs w:val="28"/>
          <w:highlight w:val="none"/>
        </w:rPr>
        <w:t xml:space="preserve"> </w:t>
      </w:r>
      <w:r>
        <w:rPr>
          <w:rFonts w:hint="eastAsia" w:ascii="仿宋_GB2312" w:hAnsi="仿宋_GB2312" w:eastAsia="仿宋_GB2312" w:cs="仿宋_GB2312"/>
          <w:b/>
          <w:bCs/>
          <w:color w:val="auto"/>
          <w:spacing w:val="-8"/>
          <w:sz w:val="28"/>
          <w:szCs w:val="28"/>
          <w:highlight w:val="none"/>
        </w:rPr>
        <w:t>定标原则</w:t>
      </w:r>
      <w:bookmarkEnd w:id="95"/>
      <w:bookmarkEnd w:id="96"/>
    </w:p>
    <w:p w14:paraId="78BE3362">
      <w:pPr>
        <w:pStyle w:val="10"/>
        <w:spacing w:before="317" w:line="296" w:lineRule="auto"/>
        <w:ind w:left="29" w:right="42"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35.1 评标委员会依据投标须知前附表规定的评标方法和标准，按照供应</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商综合得分排序确定出前三名作为中标候选人推荐给采购人。</w:t>
      </w:r>
    </w:p>
    <w:p w14:paraId="33C6408C">
      <w:pPr>
        <w:pStyle w:val="10"/>
        <w:spacing w:before="46" w:line="301" w:lineRule="auto"/>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35.2</w:t>
      </w:r>
      <w:r>
        <w:rPr>
          <w:rFonts w:hint="eastAsia" w:ascii="仿宋_GB2312" w:hAnsi="仿宋_GB2312" w:eastAsia="仿宋_GB2312" w:cs="仿宋_GB2312"/>
          <w:color w:val="auto"/>
          <w:spacing w:val="-28"/>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采购代理机构应当在评标结束后2个工作日内将评标报告送采购</w:t>
      </w:r>
      <w:r>
        <w:rPr>
          <w:rFonts w:hint="eastAsia" w:ascii="仿宋_GB2312" w:hAnsi="仿宋_GB2312" w:eastAsia="仿宋_GB2312" w:cs="仿宋_GB2312"/>
          <w:color w:val="auto"/>
          <w:sz w:val="28"/>
          <w:szCs w:val="28"/>
          <w:highlight w:val="none"/>
          <w:lang w:eastAsia="zh-CN"/>
        </w:rPr>
        <w:t xml:space="preserve"> 人。采购人应当自收到评标报告之日起5个工作日内，在评标报告确定的中标</w:t>
      </w:r>
      <w:r>
        <w:rPr>
          <w:rFonts w:hint="eastAsia" w:ascii="仿宋_GB2312" w:hAnsi="仿宋_GB2312" w:eastAsia="仿宋_GB2312" w:cs="仿宋_GB2312"/>
          <w:color w:val="auto"/>
          <w:spacing w:val="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候选人名单中按顺序确定中标人。</w:t>
      </w:r>
    </w:p>
    <w:p w14:paraId="57A6FDC5">
      <w:pPr>
        <w:pStyle w:val="10"/>
        <w:spacing w:before="47" w:line="222" w:lineRule="auto"/>
        <w:ind w:left="582"/>
        <w:outlineLvl w:val="2"/>
        <w:rPr>
          <w:rFonts w:ascii="仿宋_GB2312" w:hAnsi="仿宋_GB2312" w:eastAsia="仿宋_GB2312" w:cs="仿宋_GB2312"/>
          <w:color w:val="auto"/>
          <w:sz w:val="28"/>
          <w:szCs w:val="28"/>
          <w:highlight w:val="none"/>
          <w:lang w:eastAsia="zh-CN"/>
        </w:rPr>
      </w:pPr>
      <w:bookmarkStart w:id="97" w:name="_Toc8913"/>
      <w:bookmarkStart w:id="98" w:name="_Toc32606"/>
      <w:r>
        <w:rPr>
          <w:rFonts w:hint="eastAsia" w:ascii="仿宋_GB2312" w:hAnsi="仿宋_GB2312" w:eastAsia="仿宋_GB2312" w:cs="仿宋_GB2312"/>
          <w:b/>
          <w:bCs/>
          <w:color w:val="auto"/>
          <w:spacing w:val="-6"/>
          <w:sz w:val="28"/>
          <w:szCs w:val="28"/>
          <w:highlight w:val="none"/>
          <w:lang w:eastAsia="zh-CN"/>
        </w:rPr>
        <w:t>36.</w:t>
      </w:r>
      <w:r>
        <w:rPr>
          <w:rFonts w:hint="eastAsia" w:ascii="仿宋_GB2312" w:hAnsi="仿宋_GB2312" w:eastAsia="仿宋_GB2312" w:cs="仿宋_GB2312"/>
          <w:color w:val="auto"/>
          <w:spacing w:val="27"/>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评标过程的保密</w:t>
      </w:r>
      <w:bookmarkEnd w:id="97"/>
      <w:bookmarkEnd w:id="98"/>
    </w:p>
    <w:p w14:paraId="3C625046">
      <w:pPr>
        <w:pStyle w:val="10"/>
        <w:spacing w:before="134" w:line="301" w:lineRule="auto"/>
        <w:ind w:left="22" w:right="38" w:firstLine="557"/>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36.1</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凡属于对投标文件的审查、澄清、评价和比较有关的资料、中标候</w:t>
      </w:r>
      <w:r>
        <w:rPr>
          <w:rFonts w:hint="eastAsia" w:ascii="仿宋_GB2312" w:hAnsi="仿宋_GB2312" w:eastAsia="仿宋_GB2312" w:cs="仿宋_GB2312"/>
          <w:color w:val="auto"/>
          <w:sz w:val="28"/>
          <w:szCs w:val="28"/>
          <w:highlight w:val="none"/>
          <w:lang w:eastAsia="zh-CN"/>
        </w:rPr>
        <w:t xml:space="preserve"> 选人的推荐情况以及与评标有关的其他任何情况，评标委员会成员和与评标活</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动有关的工作人员不得对任何单位和个人透露。</w:t>
      </w:r>
    </w:p>
    <w:p w14:paraId="22AE61E0">
      <w:pPr>
        <w:pStyle w:val="10"/>
        <w:spacing w:before="46" w:line="302" w:lineRule="auto"/>
        <w:ind w:left="19" w:right="38" w:firstLine="560"/>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36.2 在投标文件的评审和比较、中标候选人推荐以及授</w:t>
      </w:r>
      <w:r>
        <w:rPr>
          <w:rFonts w:hint="eastAsia" w:ascii="仿宋_GB2312" w:hAnsi="仿宋_GB2312" w:eastAsia="仿宋_GB2312" w:cs="仿宋_GB2312"/>
          <w:color w:val="auto"/>
          <w:spacing w:val="12"/>
          <w:sz w:val="28"/>
          <w:szCs w:val="28"/>
          <w:highlight w:val="none"/>
          <w:lang w:eastAsia="zh-CN"/>
        </w:rPr>
        <w:t>予合同的过程</w:t>
      </w:r>
      <w:r>
        <w:rPr>
          <w:rFonts w:hint="eastAsia" w:ascii="仿宋_GB2312" w:hAnsi="仿宋_GB2312" w:eastAsia="仿宋_GB2312" w:cs="仿宋_GB2312"/>
          <w:color w:val="auto"/>
          <w:sz w:val="28"/>
          <w:szCs w:val="28"/>
          <w:highlight w:val="none"/>
          <w:lang w:eastAsia="zh-CN"/>
        </w:rPr>
        <w:t xml:space="preserve"> 中，供应商向采购人或者评标委员会施加影响的任何行为，都将会导致其投标</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被拒绝。</w:t>
      </w:r>
    </w:p>
    <w:p w14:paraId="16ED9D0D">
      <w:pPr>
        <w:pStyle w:val="10"/>
        <w:spacing w:before="42" w:line="301" w:lineRule="auto"/>
        <w:ind w:left="18" w:right="38" w:firstLine="56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36.3</w:t>
      </w:r>
      <w:r>
        <w:rPr>
          <w:rFonts w:hint="eastAsia" w:ascii="仿宋_GB2312" w:hAnsi="仿宋_GB2312" w:eastAsia="仿宋_GB2312" w:cs="仿宋_GB2312"/>
          <w:color w:val="auto"/>
          <w:spacing w:val="78"/>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中标人确定后，采购人不对未中标人就评标过程以及未能中标原因</w:t>
      </w:r>
      <w:r>
        <w:rPr>
          <w:rFonts w:hint="eastAsia" w:ascii="仿宋_GB2312" w:hAnsi="仿宋_GB2312" w:eastAsia="仿宋_GB2312" w:cs="仿宋_GB2312"/>
          <w:color w:val="auto"/>
          <w:sz w:val="28"/>
          <w:szCs w:val="28"/>
          <w:highlight w:val="none"/>
          <w:lang w:eastAsia="zh-CN"/>
        </w:rPr>
        <w:t xml:space="preserve"> 做出任何解释。未中标人不得向评标委员会组成人员或者其他有关人员索问评</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标过程的情况和材料。</w:t>
      </w:r>
    </w:p>
    <w:p w14:paraId="34AECAEC">
      <w:pPr>
        <w:pStyle w:val="10"/>
        <w:spacing w:before="45" w:line="224" w:lineRule="auto"/>
        <w:ind w:left="586"/>
        <w:outlineLvl w:val="1"/>
        <w:rPr>
          <w:rFonts w:ascii="仿宋_GB2312" w:hAnsi="仿宋_GB2312" w:eastAsia="仿宋_GB2312" w:cs="仿宋_GB2312"/>
          <w:color w:val="auto"/>
          <w:sz w:val="28"/>
          <w:szCs w:val="28"/>
          <w:highlight w:val="none"/>
          <w:lang w:eastAsia="zh-CN"/>
        </w:rPr>
      </w:pPr>
      <w:bookmarkStart w:id="99" w:name="_Toc30567"/>
      <w:bookmarkStart w:id="100" w:name="_Toc19699"/>
      <w:r>
        <w:rPr>
          <w:rFonts w:hint="eastAsia" w:ascii="仿宋_GB2312" w:hAnsi="仿宋_GB2312" w:eastAsia="仿宋_GB2312" w:cs="仿宋_GB2312"/>
          <w:b/>
          <w:bCs/>
          <w:color w:val="auto"/>
          <w:spacing w:val="-7"/>
          <w:sz w:val="28"/>
          <w:szCs w:val="28"/>
          <w:highlight w:val="none"/>
          <w:lang w:eastAsia="zh-CN"/>
        </w:rPr>
        <w:t>（七）</w:t>
      </w:r>
      <w:r>
        <w:rPr>
          <w:rFonts w:hint="eastAsia" w:ascii="仿宋_GB2312" w:hAnsi="仿宋_GB2312" w:eastAsia="仿宋_GB2312" w:cs="仿宋_GB2312"/>
          <w:color w:val="auto"/>
          <w:spacing w:val="19"/>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授予合同</w:t>
      </w:r>
      <w:bookmarkEnd w:id="99"/>
      <w:bookmarkEnd w:id="100"/>
    </w:p>
    <w:p w14:paraId="30AB995A">
      <w:pPr>
        <w:pStyle w:val="10"/>
        <w:spacing w:before="136" w:line="223" w:lineRule="auto"/>
        <w:ind w:left="582"/>
        <w:outlineLvl w:val="2"/>
        <w:rPr>
          <w:rFonts w:ascii="仿宋_GB2312" w:hAnsi="仿宋_GB2312" w:eastAsia="仿宋_GB2312" w:cs="仿宋_GB2312"/>
          <w:color w:val="auto"/>
          <w:sz w:val="28"/>
          <w:szCs w:val="28"/>
          <w:highlight w:val="none"/>
          <w:lang w:eastAsia="zh-CN"/>
        </w:rPr>
      </w:pPr>
      <w:bookmarkStart w:id="101" w:name="_Toc19606"/>
      <w:bookmarkStart w:id="102" w:name="_Toc11066"/>
      <w:r>
        <w:rPr>
          <w:rFonts w:hint="eastAsia" w:ascii="仿宋_GB2312" w:hAnsi="仿宋_GB2312" w:eastAsia="仿宋_GB2312" w:cs="仿宋_GB2312"/>
          <w:b/>
          <w:bCs/>
          <w:color w:val="auto"/>
          <w:spacing w:val="-7"/>
          <w:sz w:val="28"/>
          <w:szCs w:val="28"/>
          <w:highlight w:val="none"/>
          <w:lang w:eastAsia="zh-CN"/>
        </w:rPr>
        <w:t>37.</w:t>
      </w:r>
      <w:r>
        <w:rPr>
          <w:rFonts w:hint="eastAsia" w:ascii="仿宋_GB2312" w:hAnsi="仿宋_GB2312" w:eastAsia="仿宋_GB2312" w:cs="仿宋_GB2312"/>
          <w:color w:val="auto"/>
          <w:spacing w:val="27"/>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确定中标人</w:t>
      </w:r>
      <w:bookmarkEnd w:id="101"/>
      <w:bookmarkEnd w:id="102"/>
    </w:p>
    <w:p w14:paraId="4226CE76">
      <w:pPr>
        <w:pStyle w:val="10"/>
        <w:spacing w:before="133" w:line="223"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37.1</w:t>
      </w:r>
      <w:r>
        <w:rPr>
          <w:rFonts w:hint="eastAsia" w:ascii="仿宋_GB2312" w:hAnsi="仿宋_GB2312" w:eastAsia="仿宋_GB2312" w:cs="仿宋_GB2312"/>
          <w:color w:val="auto"/>
          <w:spacing w:val="58"/>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中标的标准</w:t>
      </w:r>
    </w:p>
    <w:p w14:paraId="65CB6A9E">
      <w:pPr>
        <w:pStyle w:val="10"/>
        <w:spacing w:before="135" w:line="296" w:lineRule="auto"/>
        <w:ind w:left="580" w:right="313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37.1.1</w:t>
      </w:r>
      <w:r>
        <w:rPr>
          <w:rFonts w:hint="eastAsia" w:ascii="仿宋_GB2312" w:hAnsi="仿宋_GB2312" w:eastAsia="仿宋_GB2312" w:cs="仿宋_GB2312"/>
          <w:color w:val="auto"/>
          <w:spacing w:val="-48"/>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投标文件满足采购文件全部实质性要求；</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37.1.2 具有良好的履行合同的能力和条件；</w:t>
      </w:r>
    </w:p>
    <w:p w14:paraId="47C622DD">
      <w:pPr>
        <w:pStyle w:val="10"/>
        <w:spacing w:before="45" w:line="222"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37.1.3</w:t>
      </w:r>
      <w:r>
        <w:rPr>
          <w:rFonts w:hint="eastAsia" w:ascii="仿宋_GB2312" w:hAnsi="仿宋_GB2312" w:eastAsia="仿宋_GB2312" w:cs="仿宋_GB2312"/>
          <w:color w:val="auto"/>
          <w:spacing w:val="3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能够最大限度满足采购文件的各项要求；</w:t>
      </w:r>
    </w:p>
    <w:p w14:paraId="17344E9B">
      <w:pPr>
        <w:pStyle w:val="10"/>
        <w:spacing w:before="136" w:line="222"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37.2 采购人将确定资格合格的中标候选人为中标人。</w:t>
      </w:r>
    </w:p>
    <w:p w14:paraId="4CB84D60">
      <w:pPr>
        <w:pStyle w:val="10"/>
        <w:spacing w:before="136" w:line="223" w:lineRule="auto"/>
        <w:ind w:left="582"/>
        <w:outlineLvl w:val="2"/>
        <w:rPr>
          <w:rFonts w:ascii="仿宋_GB2312" w:hAnsi="仿宋_GB2312" w:eastAsia="仿宋_GB2312" w:cs="仿宋_GB2312"/>
          <w:color w:val="auto"/>
          <w:sz w:val="28"/>
          <w:szCs w:val="28"/>
          <w:highlight w:val="none"/>
          <w:lang w:eastAsia="zh-CN"/>
        </w:rPr>
      </w:pPr>
      <w:bookmarkStart w:id="103" w:name="_Toc5310"/>
      <w:bookmarkStart w:id="104" w:name="_Toc12580"/>
      <w:r>
        <w:rPr>
          <w:rFonts w:hint="eastAsia" w:ascii="仿宋_GB2312" w:hAnsi="仿宋_GB2312" w:eastAsia="仿宋_GB2312" w:cs="仿宋_GB2312"/>
          <w:b/>
          <w:bCs/>
          <w:color w:val="auto"/>
          <w:spacing w:val="-3"/>
          <w:sz w:val="28"/>
          <w:szCs w:val="28"/>
          <w:highlight w:val="none"/>
          <w:lang w:eastAsia="zh-CN"/>
        </w:rPr>
        <w:t>38.</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授予合同的准则</w:t>
      </w:r>
      <w:bookmarkEnd w:id="103"/>
      <w:bookmarkEnd w:id="104"/>
    </w:p>
    <w:p w14:paraId="557D3723">
      <w:pPr>
        <w:pStyle w:val="10"/>
        <w:spacing w:before="132" w:line="222"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38.1 采购人将把合同授予经确认的中标人。</w:t>
      </w:r>
    </w:p>
    <w:p w14:paraId="3FB91CB2">
      <w:pPr>
        <w:pStyle w:val="10"/>
        <w:spacing w:before="136" w:line="223" w:lineRule="auto"/>
        <w:ind w:left="582"/>
        <w:outlineLvl w:val="2"/>
        <w:rPr>
          <w:rFonts w:ascii="仿宋_GB2312" w:hAnsi="仿宋_GB2312" w:eastAsia="仿宋_GB2312" w:cs="仿宋_GB2312"/>
          <w:color w:val="auto"/>
          <w:sz w:val="28"/>
          <w:szCs w:val="28"/>
          <w:highlight w:val="none"/>
          <w:lang w:eastAsia="zh-CN"/>
        </w:rPr>
      </w:pPr>
      <w:bookmarkStart w:id="105" w:name="_Toc96"/>
      <w:bookmarkStart w:id="106" w:name="_Toc32471"/>
      <w:r>
        <w:rPr>
          <w:rFonts w:hint="eastAsia" w:ascii="仿宋_GB2312" w:hAnsi="仿宋_GB2312" w:eastAsia="仿宋_GB2312" w:cs="仿宋_GB2312"/>
          <w:b/>
          <w:bCs/>
          <w:color w:val="auto"/>
          <w:spacing w:val="-11"/>
          <w:sz w:val="28"/>
          <w:szCs w:val="28"/>
          <w:highlight w:val="none"/>
          <w:lang w:eastAsia="zh-CN"/>
        </w:rPr>
        <w:t>39.</w:t>
      </w:r>
      <w:r>
        <w:rPr>
          <w:rFonts w:hint="eastAsia" w:ascii="仿宋_GB2312" w:hAnsi="仿宋_GB2312" w:eastAsia="仿宋_GB2312" w:cs="仿宋_GB2312"/>
          <w:color w:val="auto"/>
          <w:spacing w:val="60"/>
          <w:sz w:val="28"/>
          <w:szCs w:val="28"/>
          <w:highlight w:val="none"/>
          <w:lang w:eastAsia="zh-CN"/>
        </w:rPr>
        <w:t xml:space="preserve"> </w:t>
      </w:r>
      <w:r>
        <w:rPr>
          <w:rFonts w:hint="eastAsia" w:ascii="仿宋_GB2312" w:hAnsi="仿宋_GB2312" w:eastAsia="仿宋_GB2312" w:cs="仿宋_GB2312"/>
          <w:b/>
          <w:bCs/>
          <w:color w:val="auto"/>
          <w:spacing w:val="-11"/>
          <w:sz w:val="28"/>
          <w:szCs w:val="28"/>
          <w:highlight w:val="none"/>
          <w:lang w:eastAsia="zh-CN"/>
        </w:rPr>
        <w:t>中标通知</w:t>
      </w:r>
      <w:bookmarkEnd w:id="105"/>
      <w:bookmarkEnd w:id="106"/>
    </w:p>
    <w:p w14:paraId="3B8EB07B">
      <w:pPr>
        <w:pStyle w:val="10"/>
        <w:spacing w:before="132" w:line="520" w:lineRule="exact"/>
        <w:ind w:left="18" w:right="44" w:firstLine="56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39.1</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采购人依据评标委员会推荐的中标候选人排序确定排名第一的中标</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候选人为中标人后，将对中标结果公示1工作日，同时向中标人发出中标通知</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书。</w:t>
      </w:r>
    </w:p>
    <w:p w14:paraId="6C153406">
      <w:pPr>
        <w:pStyle w:val="10"/>
        <w:spacing w:before="44" w:line="520" w:lineRule="exact"/>
        <w:ind w:right="42"/>
        <w:jc w:val="right"/>
        <w:rPr>
          <w:rFonts w:ascii="仿宋_GB2312" w:hAnsi="仿宋_GB2312" w:eastAsia="仿宋_GB2312" w:cs="仿宋_GB2312"/>
          <w:color w:val="auto"/>
          <w:spacing w:val="7"/>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 xml:space="preserve">  39.2 供应商对中标或者成交结果有异议的，可以在知道或者应知其权益</w:t>
      </w:r>
      <w:r>
        <w:rPr>
          <w:rFonts w:hint="eastAsia" w:ascii="仿宋_GB2312" w:hAnsi="仿宋_GB2312" w:eastAsia="仿宋_GB2312" w:cs="仿宋_GB2312"/>
          <w:color w:val="auto"/>
          <w:spacing w:val="7"/>
          <w:sz w:val="28"/>
          <w:szCs w:val="28"/>
          <w:highlight w:val="none"/>
          <w:lang w:eastAsia="zh-CN"/>
        </w:rPr>
        <w:t>受</w:t>
      </w:r>
    </w:p>
    <w:p w14:paraId="0479C61D">
      <w:pPr>
        <w:pStyle w:val="10"/>
        <w:spacing w:before="44" w:line="520" w:lineRule="exact"/>
        <w:ind w:right="4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到损害之日起7个工作日内，按照《政府</w:t>
      </w:r>
      <w:r>
        <w:rPr>
          <w:rFonts w:hint="eastAsia" w:ascii="仿宋_GB2312" w:hAnsi="仿宋_GB2312" w:eastAsia="仿宋_GB2312" w:cs="仿宋_GB2312"/>
          <w:color w:val="auto"/>
          <w:spacing w:val="6"/>
          <w:sz w:val="28"/>
          <w:szCs w:val="28"/>
          <w:highlight w:val="none"/>
          <w:lang w:eastAsia="zh-CN"/>
        </w:rPr>
        <w:t>采购质疑和投诉办法》（财政部</w:t>
      </w:r>
      <w:r>
        <w:rPr>
          <w:rFonts w:hint="eastAsia" w:ascii="仿宋_GB2312" w:hAnsi="仿宋_GB2312" w:eastAsia="仿宋_GB2312" w:cs="仿宋_GB2312"/>
          <w:color w:val="auto"/>
          <w:spacing w:val="4"/>
          <w:sz w:val="28"/>
          <w:szCs w:val="28"/>
          <w:highlight w:val="none"/>
          <w:lang w:eastAsia="zh-CN"/>
        </w:rPr>
        <w:t>94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号令）</w:t>
      </w:r>
      <w:r>
        <w:rPr>
          <w:rFonts w:hint="eastAsia" w:ascii="仿宋_GB2312" w:hAnsi="仿宋_GB2312" w:eastAsia="仿宋_GB2312" w:cs="仿宋_GB2312"/>
          <w:color w:val="auto"/>
          <w:spacing w:val="-72"/>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向采购人或采购代理机构提出质疑</w:t>
      </w:r>
      <w:r>
        <w:rPr>
          <w:rFonts w:hint="eastAsia" w:ascii="仿宋_GB2312" w:hAnsi="仿宋_GB2312" w:eastAsia="仿宋_GB2312" w:cs="仿宋_GB2312"/>
          <w:color w:val="auto"/>
          <w:spacing w:val="3"/>
          <w:sz w:val="28"/>
          <w:szCs w:val="28"/>
          <w:highlight w:val="none"/>
          <w:lang w:eastAsia="zh-CN"/>
        </w:rPr>
        <w:t>。采购人在收到供应商的书面质</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疑后7个工作日内作出答复，并以书面形式通知质疑供应商和其他有关供应</w:t>
      </w:r>
      <w:r>
        <w:rPr>
          <w:rFonts w:hint="eastAsia" w:ascii="仿宋_GB2312" w:hAnsi="仿宋_GB2312" w:eastAsia="仿宋_GB2312" w:cs="仿宋_GB2312"/>
          <w:color w:val="auto"/>
          <w:spacing w:val="-2"/>
          <w:sz w:val="28"/>
          <w:szCs w:val="28"/>
          <w:highlight w:val="none"/>
          <w:lang w:eastAsia="zh-CN"/>
        </w:rPr>
        <w:t>商；作出答复前，将暂停采购活动。</w:t>
      </w:r>
    </w:p>
    <w:p w14:paraId="4EB20AA5">
      <w:pPr>
        <w:pStyle w:val="10"/>
        <w:spacing w:before="48" w:line="520" w:lineRule="exact"/>
        <w:ind w:left="21" w:right="43" w:firstLine="55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1"/>
          <w:sz w:val="28"/>
          <w:szCs w:val="28"/>
          <w:highlight w:val="none"/>
          <w:lang w:eastAsia="zh-CN"/>
        </w:rPr>
        <w:t>39.3</w:t>
      </w:r>
      <w:r>
        <w:rPr>
          <w:rFonts w:hint="eastAsia" w:ascii="仿宋_GB2312" w:hAnsi="仿宋_GB2312" w:eastAsia="仿宋_GB2312" w:cs="仿宋_GB2312"/>
          <w:color w:val="auto"/>
          <w:spacing w:val="71"/>
          <w:sz w:val="28"/>
          <w:szCs w:val="28"/>
          <w:highlight w:val="none"/>
          <w:lang w:eastAsia="zh-CN"/>
        </w:rPr>
        <w:t xml:space="preserve"> </w:t>
      </w:r>
      <w:r>
        <w:rPr>
          <w:rFonts w:hint="eastAsia" w:ascii="仿宋_GB2312" w:hAnsi="仿宋_GB2312" w:eastAsia="仿宋_GB2312" w:cs="仿宋_GB2312"/>
          <w:color w:val="auto"/>
          <w:spacing w:val="11"/>
          <w:sz w:val="28"/>
          <w:szCs w:val="28"/>
          <w:highlight w:val="none"/>
          <w:lang w:eastAsia="zh-CN"/>
        </w:rPr>
        <w:t>中标通知书对采购人和中标人具有法律约束力。中标通知书发出</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后，采购人不得违法改变中标结果，中标人无正当理由不得放</w:t>
      </w:r>
      <w:r>
        <w:rPr>
          <w:rFonts w:hint="eastAsia" w:ascii="仿宋_GB2312" w:hAnsi="仿宋_GB2312" w:eastAsia="仿宋_GB2312" w:cs="仿宋_GB2312"/>
          <w:color w:val="auto"/>
          <w:spacing w:val="-2"/>
          <w:sz w:val="28"/>
          <w:szCs w:val="28"/>
          <w:highlight w:val="none"/>
          <w:lang w:eastAsia="zh-CN"/>
        </w:rPr>
        <w:t>弃中标。</w:t>
      </w:r>
    </w:p>
    <w:p w14:paraId="1F4F3A0E">
      <w:pPr>
        <w:pStyle w:val="10"/>
        <w:spacing w:before="43" w:line="224" w:lineRule="auto"/>
        <w:ind w:left="576"/>
        <w:outlineLvl w:val="2"/>
        <w:rPr>
          <w:rFonts w:ascii="仿宋_GB2312" w:hAnsi="仿宋_GB2312" w:eastAsia="仿宋_GB2312" w:cs="仿宋_GB2312"/>
          <w:color w:val="auto"/>
          <w:sz w:val="28"/>
          <w:szCs w:val="28"/>
          <w:highlight w:val="none"/>
          <w:lang w:eastAsia="zh-CN"/>
        </w:rPr>
      </w:pPr>
      <w:bookmarkStart w:id="107" w:name="_Toc24679"/>
      <w:bookmarkStart w:id="108" w:name="_Toc29072"/>
      <w:r>
        <w:rPr>
          <w:rFonts w:hint="eastAsia" w:ascii="仿宋_GB2312" w:hAnsi="仿宋_GB2312" w:eastAsia="仿宋_GB2312" w:cs="仿宋_GB2312"/>
          <w:b/>
          <w:bCs/>
          <w:color w:val="auto"/>
          <w:spacing w:val="-6"/>
          <w:sz w:val="28"/>
          <w:szCs w:val="28"/>
          <w:highlight w:val="none"/>
          <w:lang w:eastAsia="zh-CN"/>
        </w:rPr>
        <w:t>40.</w:t>
      </w:r>
      <w:r>
        <w:rPr>
          <w:rFonts w:hint="eastAsia" w:ascii="仿宋_GB2312" w:hAnsi="仿宋_GB2312" w:eastAsia="仿宋_GB2312" w:cs="仿宋_GB2312"/>
          <w:color w:val="auto"/>
          <w:spacing w:val="28"/>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合同的签订</w:t>
      </w:r>
      <w:bookmarkEnd w:id="107"/>
      <w:bookmarkEnd w:id="108"/>
    </w:p>
    <w:p w14:paraId="3D72E3F5">
      <w:pPr>
        <w:pStyle w:val="10"/>
        <w:spacing w:before="133" w:line="300" w:lineRule="auto"/>
        <w:ind w:left="19" w:right="38"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40.1</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采购人应当自中标通知书发出之日起30日内，按照采购文件和中标</w:t>
      </w:r>
      <w:r>
        <w:rPr>
          <w:rFonts w:hint="eastAsia" w:ascii="仿宋_GB2312" w:hAnsi="仿宋_GB2312" w:eastAsia="仿宋_GB2312" w:cs="仿宋_GB2312"/>
          <w:color w:val="auto"/>
          <w:sz w:val="28"/>
          <w:szCs w:val="28"/>
          <w:highlight w:val="none"/>
          <w:lang w:eastAsia="zh-CN"/>
        </w:rPr>
        <w:t>人投标文件的规定，与中标人签订政府采购合同。所签订的合同不得对招标文</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件确定的事项和中标人投标文件作实质性修改。</w:t>
      </w:r>
    </w:p>
    <w:p w14:paraId="7BA002AB">
      <w:pPr>
        <w:pStyle w:val="10"/>
        <w:spacing w:before="50" w:line="296" w:lineRule="auto"/>
        <w:ind w:left="18" w:right="42"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40.2 采购文件要求中标人提交履约保证金或者其他形式履约担保的，中</w:t>
      </w:r>
      <w:r>
        <w:rPr>
          <w:rFonts w:hint="eastAsia" w:ascii="仿宋_GB2312" w:hAnsi="仿宋_GB2312" w:eastAsia="仿宋_GB2312" w:cs="仿宋_GB2312"/>
          <w:color w:val="auto"/>
          <w:sz w:val="28"/>
          <w:szCs w:val="28"/>
          <w:highlight w:val="none"/>
          <w:lang w:eastAsia="zh-CN"/>
        </w:rPr>
        <w:t xml:space="preserve"> 标人应当提交；拒绝提交的，视为放弃中标项</w:t>
      </w:r>
      <w:r>
        <w:rPr>
          <w:rFonts w:hint="eastAsia" w:ascii="仿宋_GB2312" w:hAnsi="仿宋_GB2312" w:eastAsia="仿宋_GB2312" w:cs="仿宋_GB2312"/>
          <w:color w:val="auto"/>
          <w:spacing w:val="-1"/>
          <w:sz w:val="28"/>
          <w:szCs w:val="28"/>
          <w:highlight w:val="none"/>
          <w:lang w:eastAsia="zh-CN"/>
        </w:rPr>
        <w:t>目，且投标保证金将被没收。</w:t>
      </w:r>
    </w:p>
    <w:p w14:paraId="44936410">
      <w:pPr>
        <w:pStyle w:val="10"/>
        <w:spacing w:before="45" w:line="223"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40.3 采购文件和中标人的投标文件均是该书面合同</w:t>
      </w:r>
      <w:r>
        <w:rPr>
          <w:rFonts w:hint="eastAsia" w:ascii="仿宋_GB2312" w:hAnsi="仿宋_GB2312" w:eastAsia="仿宋_GB2312" w:cs="仿宋_GB2312"/>
          <w:color w:val="auto"/>
          <w:spacing w:val="-1"/>
          <w:sz w:val="28"/>
          <w:szCs w:val="28"/>
          <w:highlight w:val="none"/>
          <w:lang w:eastAsia="zh-CN"/>
        </w:rPr>
        <w:t>的附件。</w:t>
      </w:r>
    </w:p>
    <w:p w14:paraId="6572A316">
      <w:pPr>
        <w:pStyle w:val="10"/>
        <w:spacing w:before="134" w:line="301" w:lineRule="auto"/>
        <w:ind w:left="16" w:right="38" w:firstLine="55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40.4</w:t>
      </w:r>
      <w:r>
        <w:rPr>
          <w:rFonts w:hint="eastAsia" w:ascii="仿宋_GB2312" w:hAnsi="仿宋_GB2312" w:eastAsia="仿宋_GB2312" w:cs="仿宋_GB2312"/>
          <w:color w:val="auto"/>
          <w:spacing w:val="61"/>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中标人因不可抗力或自身原因不能履行采购</w:t>
      </w:r>
      <w:r>
        <w:rPr>
          <w:rFonts w:hint="eastAsia" w:ascii="仿宋_GB2312" w:hAnsi="仿宋_GB2312" w:eastAsia="仿宋_GB2312" w:cs="仿宋_GB2312"/>
          <w:color w:val="auto"/>
          <w:spacing w:val="2"/>
          <w:sz w:val="28"/>
          <w:szCs w:val="28"/>
          <w:highlight w:val="none"/>
          <w:lang w:eastAsia="zh-CN"/>
        </w:rPr>
        <w:t>合同的，采购人可以与</w:t>
      </w:r>
      <w:r>
        <w:rPr>
          <w:rFonts w:hint="eastAsia" w:ascii="仿宋_GB2312" w:hAnsi="仿宋_GB2312" w:eastAsia="仿宋_GB2312" w:cs="仿宋_GB2312"/>
          <w:color w:val="auto"/>
          <w:sz w:val="28"/>
          <w:szCs w:val="28"/>
          <w:highlight w:val="none"/>
          <w:lang w:eastAsia="zh-CN"/>
        </w:rPr>
        <w:t xml:space="preserve"> 排位在中标人之后第一位的中标候选人签订采购合同，以此类推，或采购人重</w:t>
      </w:r>
      <w:r>
        <w:rPr>
          <w:rFonts w:hint="eastAsia" w:ascii="仿宋_GB2312" w:hAnsi="仿宋_GB2312" w:eastAsia="仿宋_GB2312" w:cs="仿宋_GB2312"/>
          <w:color w:val="auto"/>
          <w:spacing w:val="12"/>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新组织招标。</w:t>
      </w:r>
    </w:p>
    <w:p w14:paraId="79E764B2">
      <w:pPr>
        <w:pStyle w:val="10"/>
        <w:spacing w:before="48" w:line="296" w:lineRule="auto"/>
        <w:ind w:left="27" w:right="44" w:firstLine="54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40.5 政府采购合同自签订之日起2个工作日内，采购人应当在网上发布</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合同公告。</w:t>
      </w:r>
    </w:p>
    <w:p w14:paraId="3D0EFB79">
      <w:pPr>
        <w:pStyle w:val="10"/>
        <w:spacing w:before="46" w:line="223" w:lineRule="auto"/>
        <w:ind w:left="559"/>
        <w:outlineLvl w:val="2"/>
        <w:rPr>
          <w:rFonts w:ascii="仿宋_GB2312" w:hAnsi="仿宋_GB2312" w:eastAsia="仿宋_GB2312" w:cs="仿宋_GB2312"/>
          <w:color w:val="auto"/>
          <w:sz w:val="28"/>
          <w:szCs w:val="28"/>
          <w:highlight w:val="none"/>
          <w:lang w:eastAsia="zh-CN"/>
        </w:rPr>
      </w:pPr>
      <w:bookmarkStart w:id="109" w:name="_Toc22412"/>
      <w:bookmarkStart w:id="110" w:name="_Toc18891"/>
      <w:r>
        <w:rPr>
          <w:rFonts w:hint="eastAsia" w:ascii="仿宋_GB2312" w:hAnsi="仿宋_GB2312" w:eastAsia="仿宋_GB2312" w:cs="仿宋_GB2312"/>
          <w:b/>
          <w:bCs/>
          <w:color w:val="auto"/>
          <w:spacing w:val="-3"/>
          <w:sz w:val="28"/>
          <w:szCs w:val="28"/>
          <w:highlight w:val="none"/>
          <w:lang w:eastAsia="zh-CN"/>
        </w:rPr>
        <w:t>41.质疑与投诉</w:t>
      </w:r>
      <w:bookmarkEnd w:id="109"/>
      <w:bookmarkEnd w:id="110"/>
    </w:p>
    <w:p w14:paraId="02D21FB6">
      <w:pPr>
        <w:pStyle w:val="10"/>
        <w:spacing w:before="134" w:line="305" w:lineRule="auto"/>
        <w:ind w:left="19" w:right="38" w:firstLine="54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41.1、供应商认为采购文件、采购过程、中标或者成交结果使自己的权益</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受到损害的，可以在知道或者应知其权益受到损害之日起</w:t>
      </w:r>
      <w:r>
        <w:rPr>
          <w:rFonts w:hint="eastAsia" w:ascii="仿宋_GB2312" w:hAnsi="仿宋_GB2312" w:eastAsia="仿宋_GB2312" w:cs="仿宋_GB2312"/>
          <w:color w:val="auto"/>
          <w:spacing w:val="-5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7</w:t>
      </w:r>
      <w:r>
        <w:rPr>
          <w:rFonts w:hint="eastAsia" w:ascii="仿宋_GB2312" w:hAnsi="仿宋_GB2312" w:eastAsia="仿宋_GB2312" w:cs="仿宋_GB2312"/>
          <w:color w:val="auto"/>
          <w:spacing w:val="-49"/>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个工作日内，向采</w:t>
      </w:r>
      <w:r>
        <w:rPr>
          <w:rFonts w:hint="eastAsia" w:ascii="仿宋_GB2312" w:hAnsi="仿宋_GB2312" w:eastAsia="仿宋_GB2312" w:cs="仿宋_GB2312"/>
          <w:color w:val="auto"/>
          <w:sz w:val="28"/>
          <w:szCs w:val="28"/>
          <w:highlight w:val="none"/>
          <w:lang w:eastAsia="zh-CN"/>
        </w:rPr>
        <w:t xml:space="preserve"> 购人、采购代理机构提出质疑。本项目对采购文件内容提出质疑截止时间见前</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附表第13</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项规定。供应商须在法定质疑期</w:t>
      </w:r>
      <w:r>
        <w:rPr>
          <w:rFonts w:hint="eastAsia" w:ascii="仿宋_GB2312" w:hAnsi="仿宋_GB2312" w:eastAsia="仿宋_GB2312" w:cs="仿宋_GB2312"/>
          <w:color w:val="auto"/>
          <w:spacing w:val="2"/>
          <w:sz w:val="28"/>
          <w:szCs w:val="28"/>
          <w:highlight w:val="none"/>
          <w:lang w:eastAsia="zh-CN"/>
        </w:rPr>
        <w:t>内一次性提出针对同一采购程序环</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节的质疑。</w:t>
      </w:r>
    </w:p>
    <w:p w14:paraId="521738EC">
      <w:pPr>
        <w:pStyle w:val="10"/>
        <w:spacing w:before="47" w:line="223" w:lineRule="auto"/>
        <w:ind w:left="56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41.2、质疑函内容</w:t>
      </w:r>
    </w:p>
    <w:p w14:paraId="5FEF8B3A">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（1）供应商的姓名或者名称、地址、邮编、联系人及联系电话；</w:t>
      </w:r>
    </w:p>
    <w:p w14:paraId="03BD2A95">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（2）质疑项目的名称、编号；</w:t>
      </w:r>
    </w:p>
    <w:p w14:paraId="0B1748EF">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（3）具体、明确的质疑事项和与质疑事项相关的请求；</w:t>
      </w:r>
    </w:p>
    <w:p w14:paraId="1755B226">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（4）事实依据；</w:t>
      </w:r>
    </w:p>
    <w:p w14:paraId="4DA00D8E">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（5）必要的法律依据；</w:t>
      </w:r>
    </w:p>
    <w:p w14:paraId="1034F1CE">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（6）提出质疑的日期。</w:t>
      </w:r>
    </w:p>
    <w:p w14:paraId="5A2D30EB">
      <w:pPr>
        <w:pStyle w:val="10"/>
        <w:spacing w:before="132" w:line="301" w:lineRule="auto"/>
        <w:ind w:left="20" w:right="38" w:firstLine="55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供应商为自然人的，应当由本人签字；供应商为法人或者其他组织的，应</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当由法定代表人、主要负责人，或者其授权代表签字或者盖章，并加盖投标单</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位公章。</w:t>
      </w:r>
    </w:p>
    <w:p w14:paraId="12BA9359">
      <w:pPr>
        <w:pStyle w:val="10"/>
        <w:spacing w:before="47" w:line="295" w:lineRule="auto"/>
        <w:ind w:left="32" w:right="74" w:firstLine="53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41.3、采购人在收到供应商的书面质疑函后七个工作日内作出答复，并以</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书面形式通知质疑供应商和其他有关供应商，但答</w:t>
      </w:r>
      <w:r>
        <w:rPr>
          <w:rFonts w:hint="eastAsia" w:ascii="仿宋_GB2312" w:hAnsi="仿宋_GB2312" w:eastAsia="仿宋_GB2312" w:cs="仿宋_GB2312"/>
          <w:color w:val="auto"/>
          <w:spacing w:val="-2"/>
          <w:sz w:val="28"/>
          <w:szCs w:val="28"/>
          <w:highlight w:val="none"/>
          <w:lang w:eastAsia="zh-CN"/>
        </w:rPr>
        <w:t>复的内容不涉及商业秘密。</w:t>
      </w:r>
    </w:p>
    <w:p w14:paraId="1AB366FF">
      <w:pPr>
        <w:pStyle w:val="10"/>
        <w:spacing w:before="46" w:line="304" w:lineRule="auto"/>
        <w:ind w:left="18"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41.4、提出质疑的供应商对答复不满意的，可以在答复期满后十五个工作</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日内向同级政府招标监督管理部门投诉。政府招标监督管理部门应当在收到投</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诉三十个工作日内，对投诉事项作出处理决定，并以书面形式通知投诉人和与</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投诉事项相关的当事人。</w:t>
      </w:r>
    </w:p>
    <w:p w14:paraId="6F82F7CF">
      <w:pPr>
        <w:pStyle w:val="10"/>
        <w:spacing w:before="46" w:line="222" w:lineRule="auto"/>
        <w:ind w:left="576"/>
        <w:outlineLvl w:val="2"/>
        <w:rPr>
          <w:rFonts w:ascii="仿宋_GB2312" w:hAnsi="仿宋_GB2312" w:eastAsia="仿宋_GB2312" w:cs="仿宋_GB2312"/>
          <w:color w:val="auto"/>
          <w:sz w:val="28"/>
          <w:szCs w:val="28"/>
          <w:highlight w:val="none"/>
          <w:lang w:eastAsia="zh-CN"/>
        </w:rPr>
      </w:pPr>
      <w:bookmarkStart w:id="111" w:name="_Toc14222"/>
      <w:bookmarkStart w:id="112" w:name="_Toc22820"/>
      <w:r>
        <w:rPr>
          <w:rFonts w:hint="eastAsia" w:ascii="仿宋_GB2312" w:hAnsi="仿宋_GB2312" w:eastAsia="仿宋_GB2312" w:cs="仿宋_GB2312"/>
          <w:b/>
          <w:bCs/>
          <w:color w:val="auto"/>
          <w:spacing w:val="-7"/>
          <w:sz w:val="28"/>
          <w:szCs w:val="28"/>
          <w:highlight w:val="none"/>
          <w:lang w:eastAsia="zh-CN"/>
        </w:rPr>
        <w:t>42.</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履约担保</w:t>
      </w:r>
      <w:bookmarkEnd w:id="111"/>
      <w:bookmarkEnd w:id="112"/>
    </w:p>
    <w:p w14:paraId="0E69C2BA">
      <w:pPr>
        <w:pStyle w:val="10"/>
        <w:spacing w:before="46" w:line="304" w:lineRule="auto"/>
        <w:ind w:left="18"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42.1 中标人须在与采购人签署合同前按采购文件有关要求提交履约担保，逾期提交视为放弃中标资格。中标人应按照下列规定的方式和金额向采购人提交履约担保。</w:t>
      </w:r>
    </w:p>
    <w:p w14:paraId="0A601D16">
      <w:pPr>
        <w:pStyle w:val="10"/>
        <w:spacing w:before="47" w:line="222" w:lineRule="auto"/>
        <w:ind w:left="537"/>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xml:space="preserve">42.1.1 </w:t>
      </w:r>
      <w:r>
        <w:rPr>
          <w:rFonts w:hint="eastAsia" w:ascii="仿宋_GB2312" w:hAnsi="仿宋_GB2312" w:eastAsia="仿宋_GB2312" w:cs="仿宋_GB2312"/>
          <w:color w:val="auto"/>
          <w:spacing w:val="-2"/>
          <w:sz w:val="28"/>
          <w:szCs w:val="28"/>
          <w:highlight w:val="none"/>
          <w:lang w:eastAsia="zh-CN"/>
        </w:rPr>
        <w:t>履约保证金担保方式：</w:t>
      </w:r>
      <w:r>
        <w:rPr>
          <w:rFonts w:hint="eastAsia" w:ascii="仿宋_GB2312" w:hAnsi="仿宋_GB2312" w:eastAsia="仿宋_GB2312" w:cs="仿宋_GB2312"/>
          <w:color w:val="auto"/>
          <w:spacing w:val="3"/>
          <w:sz w:val="28"/>
          <w:szCs w:val="28"/>
          <w:highlight w:val="none"/>
          <w:lang w:eastAsia="zh-CN"/>
        </w:rPr>
        <w:t>1） 银行汇票；2） 支票；3）银行转账；</w:t>
      </w:r>
    </w:p>
    <w:p w14:paraId="24487B5C">
      <w:pPr>
        <w:pStyle w:val="10"/>
        <w:spacing w:before="47" w:line="222" w:lineRule="auto"/>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等非现金形式。</w:t>
      </w:r>
    </w:p>
    <w:p w14:paraId="0BB12BE7">
      <w:pPr>
        <w:pStyle w:val="10"/>
        <w:spacing w:before="48" w:line="222"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42.1.2 履约保证金：见投标须知前附表。</w:t>
      </w:r>
    </w:p>
    <w:p w14:paraId="26EDE83A">
      <w:pPr>
        <w:pStyle w:val="10"/>
        <w:spacing w:before="137" w:line="301" w:lineRule="auto"/>
        <w:ind w:left="24" w:right="38" w:firstLine="54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42.2 如中标人不能按照投标须知的规定执行，采购人将视为中标</w:t>
      </w:r>
      <w:r>
        <w:rPr>
          <w:rFonts w:hint="eastAsia" w:ascii="仿宋_GB2312" w:hAnsi="仿宋_GB2312" w:eastAsia="仿宋_GB2312" w:cs="仿宋_GB2312"/>
          <w:color w:val="auto"/>
          <w:sz w:val="28"/>
          <w:szCs w:val="28"/>
          <w:highlight w:val="none"/>
          <w:lang w:eastAsia="zh-CN"/>
        </w:rPr>
        <w:t>人放弃中标项目；已经订立合同的，采购人有充分理由解除合同，给采购人造</w:t>
      </w:r>
      <w:r>
        <w:rPr>
          <w:rFonts w:hint="eastAsia" w:ascii="仿宋_GB2312" w:hAnsi="仿宋_GB2312" w:eastAsia="仿宋_GB2312" w:cs="仿宋_GB2312"/>
          <w:color w:val="auto"/>
          <w:spacing w:val="-3"/>
          <w:sz w:val="28"/>
          <w:szCs w:val="28"/>
          <w:highlight w:val="none"/>
          <w:lang w:eastAsia="zh-CN"/>
        </w:rPr>
        <w:t>成损失的，放弃中标项目的中标人应当赔偿</w:t>
      </w:r>
      <w:r>
        <w:rPr>
          <w:rFonts w:hint="eastAsia" w:ascii="仿宋_GB2312" w:hAnsi="仿宋_GB2312" w:eastAsia="仿宋_GB2312" w:cs="仿宋_GB2312"/>
          <w:color w:val="auto"/>
          <w:spacing w:val="-3"/>
          <w:sz w:val="28"/>
          <w:szCs w:val="28"/>
          <w:highlight w:val="none"/>
          <w:lang w:eastAsia="zh-CN" w:bidi="ar"/>
        </w:rPr>
        <w:t>全部损失</w:t>
      </w:r>
      <w:r>
        <w:rPr>
          <w:rFonts w:hint="eastAsia" w:ascii="仿宋_GB2312" w:hAnsi="仿宋_GB2312" w:eastAsia="仿宋_GB2312" w:cs="仿宋_GB2312"/>
          <w:color w:val="auto"/>
          <w:spacing w:val="-3"/>
          <w:sz w:val="28"/>
          <w:szCs w:val="28"/>
          <w:highlight w:val="none"/>
          <w:lang w:eastAsia="zh-CN"/>
        </w:rPr>
        <w:t>。</w:t>
      </w:r>
    </w:p>
    <w:p w14:paraId="0FF2D277">
      <w:pPr>
        <w:pStyle w:val="10"/>
        <w:spacing w:before="47" w:line="223" w:lineRule="auto"/>
        <w:ind w:left="576"/>
        <w:outlineLvl w:val="2"/>
        <w:rPr>
          <w:rFonts w:ascii="仿宋_GB2312" w:hAnsi="仿宋_GB2312" w:eastAsia="仿宋_GB2312" w:cs="仿宋_GB2312"/>
          <w:color w:val="auto"/>
          <w:sz w:val="28"/>
          <w:szCs w:val="28"/>
          <w:highlight w:val="none"/>
          <w:lang w:eastAsia="zh-CN"/>
        </w:rPr>
      </w:pPr>
      <w:bookmarkStart w:id="113" w:name="_Toc15444"/>
      <w:bookmarkStart w:id="114" w:name="_Toc20667"/>
      <w:r>
        <w:rPr>
          <w:rFonts w:hint="eastAsia" w:ascii="仿宋_GB2312" w:hAnsi="仿宋_GB2312" w:eastAsia="仿宋_GB2312" w:cs="仿宋_GB2312"/>
          <w:b/>
          <w:bCs/>
          <w:color w:val="auto"/>
          <w:spacing w:val="-3"/>
          <w:sz w:val="28"/>
          <w:szCs w:val="28"/>
          <w:highlight w:val="none"/>
          <w:lang w:eastAsia="zh-CN"/>
        </w:rPr>
        <w:t>43.招标代理服务费</w:t>
      </w:r>
      <w:bookmarkEnd w:id="113"/>
      <w:bookmarkEnd w:id="114"/>
    </w:p>
    <w:p w14:paraId="7180C717">
      <w:pPr>
        <w:pStyle w:val="10"/>
        <w:spacing w:before="133" w:line="302" w:lineRule="auto"/>
        <w:ind w:left="18"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43.1</w:t>
      </w:r>
      <w:r>
        <w:rPr>
          <w:rFonts w:hint="eastAsia" w:ascii="仿宋_GB2312" w:hAnsi="仿宋_GB2312" w:eastAsia="仿宋_GB2312" w:cs="仿宋_GB2312"/>
          <w:color w:val="auto"/>
          <w:spacing w:val="61"/>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中标人应按本采购文件的规定，在领取中标</w:t>
      </w:r>
      <w:r>
        <w:rPr>
          <w:rFonts w:hint="eastAsia" w:ascii="仿宋_GB2312" w:hAnsi="仿宋_GB2312" w:eastAsia="仿宋_GB2312" w:cs="仿宋_GB2312"/>
          <w:color w:val="auto"/>
          <w:spacing w:val="2"/>
          <w:sz w:val="28"/>
          <w:szCs w:val="28"/>
          <w:highlight w:val="none"/>
          <w:lang w:eastAsia="zh-CN"/>
        </w:rPr>
        <w:t>通知书时向采购代理机</w:t>
      </w:r>
      <w:r>
        <w:rPr>
          <w:rFonts w:hint="eastAsia" w:ascii="仿宋_GB2312" w:hAnsi="仿宋_GB2312" w:eastAsia="仿宋_GB2312" w:cs="仿宋_GB2312"/>
          <w:color w:val="auto"/>
          <w:sz w:val="28"/>
          <w:szCs w:val="28"/>
          <w:highlight w:val="none"/>
          <w:lang w:eastAsia="zh-CN"/>
        </w:rPr>
        <w:t xml:space="preserve"> 构一次性支付中标服务费。采购代理机构也可直接从中标人的投标保证金内扣</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除。</w:t>
      </w:r>
    </w:p>
    <w:p w14:paraId="7462AF78">
      <w:pPr>
        <w:pStyle w:val="10"/>
        <w:spacing w:before="45" w:line="222"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43.2</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具体收取比例详见《前附表》。</w:t>
      </w:r>
    </w:p>
    <w:p w14:paraId="08F28103">
      <w:pPr>
        <w:pStyle w:val="10"/>
        <w:spacing w:before="318" w:line="222" w:lineRule="auto"/>
        <w:ind w:left="576"/>
        <w:outlineLvl w:val="2"/>
        <w:rPr>
          <w:rFonts w:ascii="仿宋_GB2312" w:hAnsi="仿宋_GB2312" w:eastAsia="仿宋_GB2312" w:cs="仿宋_GB2312"/>
          <w:color w:val="auto"/>
          <w:sz w:val="28"/>
          <w:szCs w:val="28"/>
          <w:highlight w:val="none"/>
          <w:lang w:eastAsia="zh-CN"/>
        </w:rPr>
      </w:pPr>
      <w:bookmarkStart w:id="115" w:name="_Toc28561"/>
      <w:bookmarkStart w:id="116" w:name="_Toc8318"/>
      <w:r>
        <w:rPr>
          <w:rFonts w:hint="eastAsia" w:ascii="仿宋_GB2312" w:hAnsi="仿宋_GB2312" w:eastAsia="仿宋_GB2312" w:cs="仿宋_GB2312"/>
          <w:b/>
          <w:bCs/>
          <w:color w:val="auto"/>
          <w:spacing w:val="-7"/>
          <w:sz w:val="28"/>
          <w:szCs w:val="28"/>
          <w:highlight w:val="none"/>
          <w:lang w:eastAsia="zh-CN"/>
        </w:rPr>
        <w:t>44.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其他</w:t>
      </w:r>
      <w:bookmarkEnd w:id="115"/>
      <w:bookmarkEnd w:id="116"/>
    </w:p>
    <w:p w14:paraId="5A4C11A7">
      <w:pPr>
        <w:pStyle w:val="10"/>
        <w:spacing w:before="135" w:line="301" w:lineRule="auto"/>
        <w:ind w:left="18" w:right="47" w:firstLine="565"/>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44.1 本采购文件是根据《中华人民共和国政府采购法》及其实施条例（658</w:t>
      </w:r>
      <w:r>
        <w:rPr>
          <w:rFonts w:hint="eastAsia" w:ascii="仿宋_GB2312" w:hAnsi="仿宋_GB2312" w:eastAsia="仿宋_GB2312" w:cs="仿宋_GB2312"/>
          <w:color w:val="auto"/>
          <w:spacing w:val="-3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号</w:t>
      </w:r>
      <w:r>
        <w:rPr>
          <w:rFonts w:hint="eastAsia" w:ascii="仿宋_GB2312" w:hAnsi="仿宋_GB2312" w:eastAsia="仿宋_GB2312" w:cs="仿宋_GB2312"/>
          <w:color w:val="auto"/>
          <w:spacing w:val="5"/>
          <w:sz w:val="28"/>
          <w:szCs w:val="28"/>
          <w:highlight w:val="none"/>
          <w:lang w:eastAsia="zh-CN"/>
        </w:rPr>
        <w:t>令）及《政府采购货物和服务招标投标管理办法》（87</w:t>
      </w:r>
      <w:r>
        <w:rPr>
          <w:rFonts w:hint="eastAsia" w:ascii="仿宋_GB2312" w:hAnsi="仿宋_GB2312" w:eastAsia="仿宋_GB2312" w:cs="仿宋_GB2312"/>
          <w:color w:val="auto"/>
          <w:spacing w:val="-34"/>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号令）规定编制的，</w:t>
      </w:r>
      <w:r>
        <w:rPr>
          <w:rFonts w:hint="eastAsia" w:ascii="仿宋_GB2312" w:hAnsi="仿宋_GB2312" w:eastAsia="仿宋_GB2312" w:cs="仿宋_GB2312"/>
          <w:color w:val="auto"/>
          <w:spacing w:val="-1"/>
          <w:sz w:val="28"/>
          <w:szCs w:val="28"/>
          <w:highlight w:val="none"/>
          <w:lang w:eastAsia="zh-CN"/>
        </w:rPr>
        <w:t>解释权属新疆华域建设工程项目管理咨询有限公司。</w:t>
      </w:r>
    </w:p>
    <w:p w14:paraId="334E0B09">
      <w:pPr>
        <w:spacing w:line="440" w:lineRule="exact"/>
        <w:ind w:firstLine="564" w:firstLineChars="200"/>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44.2  出现以下情形，应予废标：</w:t>
      </w:r>
    </w:p>
    <w:p w14:paraId="540A2A2A">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（1）符合专业条件的供应商或者对采购文件作实质响应的供应商不足三家的</w:t>
      </w:r>
    </w:p>
    <w:p w14:paraId="25007B8E">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（2）出现影响采购公正的违法、违规行为的；</w:t>
      </w:r>
    </w:p>
    <w:p w14:paraId="1E90B873">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（3）投标人的报价均超过了采购预算，采购人不能支付的；</w:t>
      </w:r>
    </w:p>
    <w:p w14:paraId="3100E0A8">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（4）因重大变故，采购任务取消的。</w:t>
      </w:r>
    </w:p>
    <w:p w14:paraId="09B74E73">
      <w:pPr>
        <w:spacing w:line="440" w:lineRule="exact"/>
        <w:rPr>
          <w:rFonts w:ascii="仿宋_GB2312" w:hAnsi="仿宋_GB2312" w:eastAsia="仿宋_GB2312" w:cs="仿宋_GB2312"/>
          <w:color w:val="auto"/>
          <w:spacing w:val="1"/>
          <w:sz w:val="28"/>
          <w:szCs w:val="28"/>
          <w:highlight w:val="none"/>
          <w:lang w:eastAsia="zh-CN"/>
        </w:rPr>
        <w:sectPr>
          <w:headerReference r:id="rId16" w:type="default"/>
          <w:footerReference r:id="rId17" w:type="default"/>
          <w:pgSz w:w="11906" w:h="16838"/>
          <w:pgMar w:top="1161" w:right="1134" w:bottom="1162" w:left="1134" w:header="861" w:footer="1236" w:gutter="0"/>
          <w:pgNumType w:fmt="numberInDash"/>
          <w:cols w:space="720" w:num="1"/>
        </w:sectPr>
      </w:pPr>
      <w:r>
        <w:rPr>
          <w:rFonts w:hint="eastAsia" w:ascii="仿宋_GB2312" w:hAnsi="仿宋_GB2312" w:eastAsia="仿宋_GB2312" w:cs="仿宋_GB2312"/>
          <w:color w:val="auto"/>
          <w:spacing w:val="1"/>
          <w:sz w:val="28"/>
          <w:szCs w:val="28"/>
          <w:highlight w:val="none"/>
          <w:lang w:eastAsia="zh-CN"/>
        </w:rPr>
        <w:t>　</w:t>
      </w:r>
    </w:p>
    <w:p w14:paraId="584934D8">
      <w:pPr>
        <w:pStyle w:val="2"/>
        <w:rPr>
          <w:rFonts w:ascii="仿宋_GB2312" w:hAnsi="仿宋_GB2312" w:eastAsia="仿宋_GB2312" w:cs="仿宋_GB2312"/>
          <w:color w:val="auto"/>
          <w:szCs w:val="31"/>
          <w:highlight w:val="none"/>
          <w:lang w:eastAsia="zh-CN"/>
        </w:rPr>
      </w:pPr>
      <w:bookmarkStart w:id="117" w:name="bookmark5"/>
      <w:bookmarkEnd w:id="117"/>
      <w:bookmarkStart w:id="118" w:name="_Toc5927"/>
      <w:bookmarkStart w:id="119" w:name="_Toc22354"/>
      <w:r>
        <w:rPr>
          <w:rFonts w:hint="eastAsia"/>
          <w:b/>
          <w:bCs/>
          <w:color w:val="auto"/>
          <w:highlight w:val="none"/>
          <w:lang w:eastAsia="zh-CN"/>
        </w:rPr>
        <w:t>第三章  拟签订的合同文本</w:t>
      </w:r>
      <w:bookmarkEnd w:id="118"/>
      <w:bookmarkEnd w:id="119"/>
    </w:p>
    <w:p w14:paraId="0B7D1C9C">
      <w:pPr>
        <w:spacing w:line="318" w:lineRule="auto"/>
        <w:rPr>
          <w:rFonts w:ascii="仿宋_GB2312" w:hAnsi="仿宋_GB2312" w:eastAsia="仿宋_GB2312" w:cs="仿宋_GB2312"/>
          <w:color w:val="auto"/>
          <w:highlight w:val="none"/>
          <w:lang w:eastAsia="zh-CN"/>
        </w:rPr>
      </w:pPr>
    </w:p>
    <w:p w14:paraId="758451F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40"/>
          <w:highlight w:val="none"/>
          <w:lang w:eastAsia="zh-CN"/>
        </w:rPr>
      </w:pPr>
      <w:bookmarkStart w:id="120" w:name="bookmark7"/>
      <w:bookmarkEnd w:id="120"/>
      <w:r>
        <w:rPr>
          <w:rFonts w:hint="default" w:ascii="方正小标宋简体" w:hAnsi="方正小标宋简体" w:eastAsia="方正小标宋简体" w:cs="方正小标宋简体"/>
          <w:color w:val="auto"/>
          <w:sz w:val="40"/>
          <w:szCs w:val="40"/>
          <w:highlight w:val="none"/>
          <w:lang w:val="en-US" w:eastAsia="zh-CN"/>
        </w:rPr>
        <w:t>xxx</w:t>
      </w:r>
      <w:r>
        <w:rPr>
          <w:rFonts w:hint="eastAsia" w:ascii="方正小标宋简体" w:hAnsi="方正小标宋简体" w:eastAsia="方正小标宋简体" w:cs="方正小标宋简体"/>
          <w:color w:val="auto"/>
          <w:sz w:val="40"/>
          <w:szCs w:val="40"/>
          <w:highlight w:val="none"/>
          <w:lang w:eastAsia="zh-CN"/>
        </w:rPr>
        <w:t>水果、干果类供应合同</w:t>
      </w:r>
    </w:p>
    <w:p w14:paraId="0ED60041">
      <w:pPr>
        <w:pStyle w:val="10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rPr>
          <w:rStyle w:val="29"/>
          <w:rFonts w:hint="eastAsia" w:ascii="CESI仿宋-GB2312" w:hAnsi="CESI仿宋-GB2312" w:eastAsia="CESI仿宋-GB2312" w:cs="CESI仿宋-GB2312"/>
          <w:i w:val="0"/>
          <w:iCs w:val="0"/>
          <w:caps w:val="0"/>
          <w:color w:val="auto"/>
          <w:spacing w:val="0"/>
          <w:sz w:val="28"/>
          <w:szCs w:val="28"/>
          <w:highlight w:val="none"/>
        </w:rPr>
      </w:pPr>
      <w:r>
        <w:rPr>
          <w:rStyle w:val="29"/>
          <w:rFonts w:hint="eastAsia" w:ascii="CESI仿宋-GB2312" w:hAnsi="CESI仿宋-GB2312" w:eastAsia="CESI仿宋-GB2312" w:cs="CESI仿宋-GB2312"/>
          <w:i w:val="0"/>
          <w:iCs w:val="0"/>
          <w:caps w:val="0"/>
          <w:color w:val="auto"/>
          <w:spacing w:val="0"/>
          <w:sz w:val="28"/>
          <w:szCs w:val="28"/>
          <w:highlight w:val="none"/>
        </w:rPr>
        <w:t>　</w:t>
      </w:r>
    </w:p>
    <w:p w14:paraId="7DBBA9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甲方：新疆维吾尔自治区</w:t>
      </w:r>
    </w:p>
    <w:p w14:paraId="6EE490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地址：高昌区大河沿镇</w:t>
      </w:r>
    </w:p>
    <w:p w14:paraId="1956F32D">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kern w:val="0"/>
          <w:sz w:val="28"/>
          <w:szCs w:val="28"/>
          <w:highlight w:val="none"/>
          <w:lang w:val="en-US" w:eastAsia="zh-CN"/>
        </w:rPr>
      </w:pPr>
      <w:r>
        <w:rPr>
          <w:rFonts w:hint="eastAsia" w:ascii="CESI仿宋-GB2312" w:hAnsi="CESI仿宋-GB2312" w:eastAsia="CESI仿宋-GB2312" w:cs="CESI仿宋-GB2312"/>
          <w:color w:val="auto"/>
          <w:sz w:val="28"/>
          <w:szCs w:val="28"/>
          <w:highlight w:val="none"/>
        </w:rPr>
        <w:t>乙方：</w:t>
      </w:r>
    </w:p>
    <w:p w14:paraId="1C7378D0">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地址：</w:t>
      </w:r>
    </w:p>
    <w:p w14:paraId="731729AD">
      <w:pPr>
        <w:keepNext w:val="0"/>
        <w:keepLines w:val="0"/>
        <w:pageBreakBefore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color w:val="auto"/>
          <w:kern w:val="0"/>
          <w:sz w:val="28"/>
          <w:szCs w:val="28"/>
          <w:highlight w:val="none"/>
          <w:lang w:val="en-US" w:eastAsia="zh-CN"/>
        </w:rPr>
      </w:pPr>
      <w:r>
        <w:rPr>
          <w:rFonts w:hint="eastAsia" w:ascii="CESI仿宋-GB2312" w:hAnsi="CESI仿宋-GB2312" w:eastAsia="CESI仿宋-GB2312" w:cs="CESI仿宋-GB2312"/>
          <w:color w:val="auto"/>
          <w:sz w:val="28"/>
          <w:szCs w:val="28"/>
          <w:highlight w:val="none"/>
        </w:rPr>
        <w:t>联系人：</w:t>
      </w:r>
      <w:r>
        <w:rPr>
          <w:rFonts w:hint="eastAsia" w:ascii="CESI仿宋-GB2312" w:hAnsi="CESI仿宋-GB2312" w:eastAsia="CESI仿宋-GB2312" w:cs="CESI仿宋-GB2312"/>
          <w:color w:val="auto"/>
          <w:kern w:val="0"/>
          <w:sz w:val="28"/>
          <w:szCs w:val="28"/>
          <w:highlight w:val="none"/>
        </w:rPr>
        <w:t xml:space="preserve">           </w:t>
      </w:r>
      <w:r>
        <w:rPr>
          <w:rFonts w:hint="eastAsia" w:ascii="CESI仿宋-GB2312" w:hAnsi="CESI仿宋-GB2312" w:eastAsia="CESI仿宋-GB2312" w:cs="CESI仿宋-GB2312"/>
          <w:color w:val="auto"/>
          <w:sz w:val="28"/>
          <w:szCs w:val="28"/>
          <w:highlight w:val="none"/>
        </w:rPr>
        <w:t>电话：</w:t>
      </w:r>
    </w:p>
    <w:p w14:paraId="675F35B5">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本合同签订地点：</w:t>
      </w:r>
      <w:r>
        <w:rPr>
          <w:rFonts w:hint="eastAsia" w:ascii="CESI仿宋-GB2312" w:hAnsi="CESI仿宋-GB2312" w:eastAsia="CESI仿宋-GB2312" w:cs="CESI仿宋-GB2312"/>
          <w:color w:val="auto"/>
          <w:sz w:val="28"/>
          <w:szCs w:val="28"/>
          <w:highlight w:val="none"/>
          <w:lang w:eastAsia="zh-CN"/>
        </w:rPr>
        <w:t>高昌区大河沿镇</w:t>
      </w:r>
    </w:p>
    <w:p w14:paraId="389207C0">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甲乙双方本着友好协商、平等自愿的原则，根据《国务院关于加强食品等产品安全监督管理的特别规定》《中华人民共和国</w:t>
      </w:r>
      <w:r>
        <w:rPr>
          <w:rFonts w:hint="eastAsia" w:ascii="CESI仿宋-GB2312" w:hAnsi="CESI仿宋-GB2312" w:eastAsia="CESI仿宋-GB2312" w:cs="CESI仿宋-GB2312"/>
          <w:color w:val="auto"/>
          <w:sz w:val="28"/>
          <w:szCs w:val="28"/>
          <w:highlight w:val="none"/>
          <w:lang w:eastAsia="zh-CN"/>
        </w:rPr>
        <w:t>民法典</w:t>
      </w:r>
      <w:r>
        <w:rPr>
          <w:rFonts w:hint="eastAsia" w:ascii="CESI仿宋-GB2312" w:hAnsi="CESI仿宋-GB2312" w:eastAsia="CESI仿宋-GB2312" w:cs="CESI仿宋-GB2312"/>
          <w:color w:val="auto"/>
          <w:sz w:val="28"/>
          <w:szCs w:val="28"/>
          <w:highlight w:val="none"/>
        </w:rPr>
        <w:t>》等法律法规，甲乙双方本着平等自愿和诚实守信的原则，经双方共同协商，甲方所需的外购</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交由乙方供应配送，为确保双方权益，订立本合同，共同遵守：</w:t>
      </w:r>
    </w:p>
    <w:p w14:paraId="708D1EA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一、主体资格</w:t>
      </w:r>
    </w:p>
    <w:p w14:paraId="33285EA7">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乙方在本合同签订时，应当提供营业执照、税务登记证等自身主体资格的证明。</w:t>
      </w:r>
    </w:p>
    <w:p w14:paraId="0A89992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二、标的及配送范围</w:t>
      </w:r>
    </w:p>
    <w:p w14:paraId="3AECC3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1.标的物为甲方所用</w:t>
      </w:r>
      <w:r>
        <w:rPr>
          <w:rFonts w:hint="eastAsia" w:ascii="CESI仿宋-GB2312" w:hAnsi="CESI仿宋-GB2312" w:eastAsia="CESI仿宋-GB2312" w:cs="CESI仿宋-GB2312"/>
          <w:color w:val="auto"/>
          <w:sz w:val="28"/>
          <w:szCs w:val="28"/>
          <w:highlight w:val="none"/>
          <w:lang w:eastAsia="zh-CN"/>
        </w:rPr>
        <w:t>物资</w:t>
      </w:r>
      <w:r>
        <w:rPr>
          <w:rFonts w:hint="default" w:ascii="CESI仿宋-GB2312" w:hAnsi="CESI仿宋-GB2312" w:eastAsia="CESI仿宋-GB2312" w:cs="CESI仿宋-GB2312"/>
          <w:color w:val="auto"/>
          <w:sz w:val="28"/>
          <w:szCs w:val="28"/>
          <w:highlight w:val="none"/>
          <w:lang w:val="en-US" w:eastAsia="zh-CN"/>
        </w:rPr>
        <w:t>（见附件）</w:t>
      </w:r>
      <w:r>
        <w:rPr>
          <w:rFonts w:hint="eastAsia" w:ascii="CESI仿宋-GB2312" w:hAnsi="CESI仿宋-GB2312" w:eastAsia="CESI仿宋-GB2312" w:cs="CESI仿宋-GB2312"/>
          <w:color w:val="auto"/>
          <w:sz w:val="28"/>
          <w:szCs w:val="28"/>
          <w:highlight w:val="none"/>
        </w:rPr>
        <w:t>。</w:t>
      </w:r>
    </w:p>
    <w:p w14:paraId="73D9C6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2.甲方须提前3天下单给乙方订货，若乙方有特殊情况，需提前3天通知甲方。在接到甲方通知后，乙方按约定时间送至甲方预定地点。</w:t>
      </w:r>
    </w:p>
    <w:p w14:paraId="016D65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3.乙方按甲方需求预约交货，乙方必须确保服务质量，送货及时快捷。</w:t>
      </w:r>
    </w:p>
    <w:p w14:paraId="10C8F78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4.在紧急需求等特殊情况下，乙方必须按照甲方要求送货。</w:t>
      </w:r>
    </w:p>
    <w:p w14:paraId="65D64BA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三、数量确定</w:t>
      </w:r>
    </w:p>
    <w:p w14:paraId="39BBD2BA">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1.供货数量确保准确，数量以甲方验收确认的数量为准。</w:t>
      </w:r>
    </w:p>
    <w:p w14:paraId="0AFC48B9">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2.乙方每次随货的送货清单，经甲方指定人员验货后签字确定；甲乙双方各执一份，以此作为结算时的数量依据。</w:t>
      </w:r>
    </w:p>
    <w:p w14:paraId="375FB9C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黑体" w:hAnsi="黑体" w:eastAsia="黑体" w:cs="黑体"/>
          <w:color w:val="auto"/>
          <w:sz w:val="28"/>
          <w:szCs w:val="28"/>
          <w:highlight w:val="none"/>
        </w:rPr>
        <w:t xml:space="preserve">四、质量保证  </w:t>
      </w:r>
      <w:r>
        <w:rPr>
          <w:rFonts w:hint="eastAsia" w:ascii="CESI仿宋-GB2312" w:hAnsi="CESI仿宋-GB2312" w:eastAsia="CESI仿宋-GB2312" w:cs="CESI仿宋-GB2312"/>
          <w:color w:val="auto"/>
          <w:sz w:val="28"/>
          <w:szCs w:val="28"/>
          <w:highlight w:val="none"/>
        </w:rPr>
        <w:t xml:space="preserve">  </w:t>
      </w:r>
    </w:p>
    <w:p w14:paraId="512EE3D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1.乙方配送的</w:t>
      </w:r>
      <w:r>
        <w:rPr>
          <w:rFonts w:hint="eastAsia" w:ascii="CESI仿宋-GB2312" w:hAnsi="CESI仿宋-GB2312" w:eastAsia="CESI仿宋-GB2312" w:cs="CESI仿宋-GB2312"/>
          <w:color w:val="auto"/>
          <w:sz w:val="28"/>
          <w:szCs w:val="28"/>
          <w:highlight w:val="none"/>
          <w:lang w:val="en-US" w:eastAsia="zh-CN"/>
        </w:rPr>
        <w:t>水果、干果类</w:t>
      </w:r>
      <w:r>
        <w:rPr>
          <w:rFonts w:hint="eastAsia" w:ascii="CESI仿宋-GB2312" w:hAnsi="CESI仿宋-GB2312" w:eastAsia="CESI仿宋-GB2312" w:cs="CESI仿宋-GB2312"/>
          <w:color w:val="auto"/>
          <w:sz w:val="28"/>
          <w:szCs w:val="28"/>
          <w:highlight w:val="none"/>
        </w:rPr>
        <w:t>必须新鲜、无腐烂、无机械性损伤，如出现与甲方所要求的质量、数量不符的，甲方有权不计算不符合要求的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w:t>
      </w:r>
    </w:p>
    <w:p w14:paraId="16B3AA96">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2.凡属于质量问题必须包退包换，退补货品须在24个小时内补给,不能影响甲方正常用餐。</w:t>
      </w:r>
    </w:p>
    <w:p w14:paraId="6F912F0D">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3.若因乙方配送</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导致甲方出现食物事故时，经卫生防疫站检验证明确属乙方造成的，乙方必须承担经济与法律上的全部责任。</w:t>
      </w:r>
    </w:p>
    <w:p w14:paraId="2AAB5DC5">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4.乙方供应的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要确保产地真实、质量可靠，检验检测证齐全，供应</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须提供</w:t>
      </w:r>
      <w:r>
        <w:rPr>
          <w:rFonts w:hint="eastAsia" w:ascii="CESI仿宋-GB2312" w:hAnsi="CESI仿宋-GB2312" w:eastAsia="CESI仿宋-GB2312" w:cs="CESI仿宋-GB2312"/>
          <w:color w:val="auto"/>
          <w:sz w:val="28"/>
          <w:szCs w:val="28"/>
          <w:highlight w:val="none"/>
          <w:lang w:eastAsia="zh-CN"/>
        </w:rPr>
        <w:t>部分</w:t>
      </w:r>
      <w:r>
        <w:rPr>
          <w:rFonts w:hint="eastAsia" w:ascii="CESI仿宋-GB2312" w:hAnsi="CESI仿宋-GB2312" w:eastAsia="CESI仿宋-GB2312" w:cs="CESI仿宋-GB2312"/>
          <w:color w:val="auto"/>
          <w:sz w:val="28"/>
          <w:szCs w:val="28"/>
          <w:highlight w:val="none"/>
        </w:rPr>
        <w:t>检验合格证，如食品药品监督局相关执法单位检查不合格者，乙方必须承担经济与法律上的全部责任。</w:t>
      </w:r>
    </w:p>
    <w:p w14:paraId="1BFAF08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5.甲方对乙方配送的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进行抽检，两次以上供应不合格的，甲方有权解除</w:t>
      </w:r>
      <w:r>
        <w:rPr>
          <w:rFonts w:hint="eastAsia" w:ascii="CESI仿宋-GB2312" w:hAnsi="CESI仿宋-GB2312" w:eastAsia="CESI仿宋-GB2312" w:cs="CESI仿宋-GB2312"/>
          <w:color w:val="auto"/>
          <w:sz w:val="28"/>
          <w:szCs w:val="28"/>
          <w:highlight w:val="none"/>
          <w:lang w:val="en-US" w:eastAsia="zh-CN"/>
        </w:rPr>
        <w:t>本合同</w:t>
      </w:r>
      <w:r>
        <w:rPr>
          <w:rFonts w:hint="eastAsia" w:ascii="CESI仿宋-GB2312" w:hAnsi="CESI仿宋-GB2312" w:eastAsia="CESI仿宋-GB2312" w:cs="CESI仿宋-GB2312"/>
          <w:color w:val="auto"/>
          <w:sz w:val="28"/>
          <w:szCs w:val="28"/>
          <w:highlight w:val="none"/>
        </w:rPr>
        <w:t>。</w:t>
      </w:r>
    </w:p>
    <w:p w14:paraId="04C98A6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五、供货及验收</w:t>
      </w:r>
    </w:p>
    <w:p w14:paraId="1DC5D1BD">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1.双方约定的交货地点为：</w:t>
      </w:r>
      <w:r>
        <w:rPr>
          <w:rFonts w:hint="eastAsia" w:ascii="CESI仿宋-GB2312" w:hAnsi="CESI仿宋-GB2312" w:eastAsia="CESI仿宋-GB2312" w:cs="CESI仿宋-GB2312"/>
          <w:color w:val="auto"/>
          <w:sz w:val="28"/>
          <w:szCs w:val="28"/>
          <w:highlight w:val="none"/>
          <w:u w:val="single"/>
          <w:lang w:eastAsia="zh-CN"/>
        </w:rPr>
        <w:t>高昌区大河沿镇</w:t>
      </w:r>
      <w:r>
        <w:rPr>
          <w:rFonts w:hint="eastAsia" w:ascii="CESI仿宋-GB2312" w:hAnsi="CESI仿宋-GB2312" w:eastAsia="CESI仿宋-GB2312" w:cs="CESI仿宋-GB2312"/>
          <w:color w:val="auto"/>
          <w:sz w:val="28"/>
          <w:szCs w:val="28"/>
          <w:highlight w:val="none"/>
        </w:rPr>
        <w:t>；乙方将订单列明的商品，按照约定的时间、运输方式交付到双方约定地点，由乙方承担所有费用。</w:t>
      </w:r>
    </w:p>
    <w:p w14:paraId="05F430AF">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2.双方设专职信息员，建立沟通协调机制，确保配送商品及时到位。</w:t>
      </w:r>
      <w:r>
        <w:rPr>
          <w:rFonts w:hint="default" w:ascii="CESI仿宋-GB2312" w:hAnsi="CESI仿宋-GB2312" w:eastAsia="CESI仿宋-GB2312" w:cs="CESI仿宋-GB2312"/>
          <w:color w:val="auto"/>
          <w:sz w:val="28"/>
          <w:szCs w:val="28"/>
          <w:highlight w:val="none"/>
          <w:lang w:val="en-US"/>
        </w:rPr>
        <w:t>甲方人员：xxxx，电话：xxx；乙方人员：xxx，电话：xxxx。</w:t>
      </w:r>
    </w:p>
    <w:p w14:paraId="7A78F55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3.乙方保证商品的质量及食品的卫生安全，包装符合甲方的特定要求，确保不发生食品安全事故。甲方应当及时安排工作人员在到货后按照订单对商品的种类、规格、产地、数量、包装等进行验收，并出具收货凭证；如商品不符合本合同及订单要求的，可以拒绝接收或不计算不符合商品的数量</w:t>
      </w:r>
      <w:r>
        <w:rPr>
          <w:rFonts w:hint="eastAsia" w:ascii="CESI仿宋-GB2312" w:hAnsi="CESI仿宋-GB2312" w:eastAsia="CESI仿宋-GB2312" w:cs="CESI仿宋-GB2312"/>
          <w:color w:val="auto"/>
          <w:sz w:val="28"/>
          <w:szCs w:val="28"/>
          <w:highlight w:val="none"/>
          <w:lang w:eastAsia="zh-CN"/>
        </w:rPr>
        <w:t>，并扣除当次货款的</w:t>
      </w:r>
      <w:r>
        <w:rPr>
          <w:rFonts w:hint="eastAsia" w:ascii="CESI仿宋-GB2312" w:hAnsi="CESI仿宋-GB2312" w:eastAsia="CESI仿宋-GB2312" w:cs="CESI仿宋-GB2312"/>
          <w:color w:val="auto"/>
          <w:sz w:val="28"/>
          <w:szCs w:val="28"/>
          <w:highlight w:val="none"/>
          <w:lang w:val="en-US" w:eastAsia="zh-CN"/>
        </w:rPr>
        <w:t>5%</w:t>
      </w:r>
      <w:r>
        <w:rPr>
          <w:rFonts w:hint="eastAsia" w:ascii="CESI仿宋-GB2312" w:hAnsi="CESI仿宋-GB2312" w:eastAsia="CESI仿宋-GB2312" w:cs="CESI仿宋-GB2312"/>
          <w:color w:val="auto"/>
          <w:sz w:val="28"/>
          <w:szCs w:val="28"/>
          <w:highlight w:val="none"/>
        </w:rPr>
        <w:t>。</w:t>
      </w:r>
    </w:p>
    <w:p w14:paraId="00052C88">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4.配送人员、车辆、程序必须严格遵守甲方各项规定，严格执行甲方</w:t>
      </w:r>
      <w:r>
        <w:rPr>
          <w:rFonts w:hint="eastAsia" w:ascii="CESI仿宋-GB2312" w:hAnsi="CESI仿宋-GB2312" w:eastAsia="CESI仿宋-GB2312" w:cs="CESI仿宋-GB2312"/>
          <w:color w:val="auto"/>
          <w:sz w:val="28"/>
          <w:szCs w:val="28"/>
          <w:highlight w:val="none"/>
          <w:lang w:eastAsia="zh-CN"/>
        </w:rPr>
        <w:t>相关</w:t>
      </w:r>
      <w:r>
        <w:rPr>
          <w:rFonts w:hint="eastAsia" w:ascii="CESI仿宋-GB2312" w:hAnsi="CESI仿宋-GB2312" w:eastAsia="CESI仿宋-GB2312" w:cs="CESI仿宋-GB2312"/>
          <w:color w:val="auto"/>
          <w:sz w:val="28"/>
          <w:szCs w:val="28"/>
          <w:highlight w:val="none"/>
        </w:rPr>
        <w:t>规定</w:t>
      </w:r>
      <w:r>
        <w:rPr>
          <w:rFonts w:hint="eastAsia" w:ascii="CESI仿宋-GB2312" w:hAnsi="CESI仿宋-GB2312" w:eastAsia="CESI仿宋-GB2312" w:cs="CESI仿宋-GB2312"/>
          <w:color w:val="auto"/>
          <w:sz w:val="28"/>
          <w:szCs w:val="28"/>
          <w:highlight w:val="none"/>
          <w:lang w:eastAsia="zh-CN"/>
        </w:rPr>
        <w:t>制度</w:t>
      </w:r>
      <w:r>
        <w:rPr>
          <w:rFonts w:hint="eastAsia" w:ascii="CESI仿宋-GB2312" w:hAnsi="CESI仿宋-GB2312" w:eastAsia="CESI仿宋-GB2312" w:cs="CESI仿宋-GB2312"/>
          <w:color w:val="auto"/>
          <w:sz w:val="28"/>
          <w:szCs w:val="28"/>
          <w:highlight w:val="none"/>
        </w:rPr>
        <w:t>，配合甲方做好安全检查，乙方要根据甲方提供的供货清单，按照甲方的要求装货供货，送到指定区域，核对验收商品，由</w:t>
      </w:r>
      <w:r>
        <w:rPr>
          <w:rFonts w:hint="eastAsia" w:ascii="CESI仿宋-GB2312" w:hAnsi="CESI仿宋-GB2312" w:eastAsia="CESI仿宋-GB2312" w:cs="CESI仿宋-GB2312"/>
          <w:color w:val="auto"/>
          <w:sz w:val="28"/>
          <w:szCs w:val="28"/>
          <w:highlight w:val="none"/>
          <w:lang w:val="en-US" w:eastAsia="zh-CN"/>
        </w:rPr>
        <w:t>甲乙双</w:t>
      </w:r>
      <w:r>
        <w:rPr>
          <w:rFonts w:hint="eastAsia" w:ascii="CESI仿宋-GB2312" w:hAnsi="CESI仿宋-GB2312" w:eastAsia="CESI仿宋-GB2312" w:cs="CESI仿宋-GB2312"/>
          <w:color w:val="auto"/>
          <w:sz w:val="28"/>
          <w:szCs w:val="28"/>
          <w:highlight w:val="none"/>
        </w:rPr>
        <w:t>方清点货物后签字确认，确保商品数量零误差。</w:t>
      </w:r>
    </w:p>
    <w:p w14:paraId="5C7D87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rPr>
        <w:t>5.根据招标文件规定，</w:t>
      </w:r>
      <w:r>
        <w:rPr>
          <w:rFonts w:hint="eastAsia" w:ascii="CESI仿宋-GB2312" w:hAnsi="CESI仿宋-GB2312" w:eastAsia="CESI仿宋-GB2312" w:cs="CESI仿宋-GB2312"/>
          <w:color w:val="auto"/>
          <w:sz w:val="28"/>
          <w:szCs w:val="28"/>
          <w:highlight w:val="none"/>
        </w:rPr>
        <w:t>最终具体实施</w:t>
      </w:r>
      <w:r>
        <w:rPr>
          <w:rFonts w:hint="eastAsia" w:ascii="CESI仿宋-GB2312" w:hAnsi="CESI仿宋-GB2312" w:eastAsia="CESI仿宋-GB2312" w:cs="CESI仿宋-GB2312"/>
          <w:color w:val="auto"/>
          <w:sz w:val="28"/>
          <w:szCs w:val="28"/>
          <w:highlight w:val="none"/>
          <w:lang w:eastAsia="zh-CN"/>
        </w:rPr>
        <w:t>以</w:t>
      </w:r>
      <w:r>
        <w:rPr>
          <w:rFonts w:hint="eastAsia" w:ascii="CESI仿宋-GB2312" w:hAnsi="CESI仿宋-GB2312" w:eastAsia="CESI仿宋-GB2312" w:cs="CESI仿宋-GB2312"/>
          <w:color w:val="auto"/>
          <w:sz w:val="28"/>
          <w:szCs w:val="28"/>
          <w:highlight w:val="none"/>
        </w:rPr>
        <w:t>甲方合同为准。</w:t>
      </w:r>
      <w:r>
        <w:rPr>
          <w:rFonts w:hint="eastAsia" w:ascii="CESI仿宋-GB2312" w:hAnsi="CESI仿宋-GB2312" w:eastAsia="CESI仿宋-GB2312" w:cs="CESI仿宋-GB2312"/>
          <w:color w:val="auto"/>
          <w:sz w:val="28"/>
          <w:szCs w:val="28"/>
          <w:highlight w:val="none"/>
          <w:lang w:eastAsia="zh-CN"/>
        </w:rPr>
        <w:t>物资供货价格按照中标通知书折扣率（</w:t>
      </w:r>
      <w:r>
        <w:rPr>
          <w:rFonts w:hint="eastAsia" w:ascii="CESI仿宋-GB2312" w:hAnsi="CESI仿宋-GB2312" w:eastAsia="CESI仿宋-GB2312" w:cs="CESI仿宋-GB2312"/>
          <w:color w:val="auto"/>
          <w:sz w:val="28"/>
          <w:szCs w:val="28"/>
          <w:highlight w:val="none"/>
          <w:lang w:val="en-US" w:eastAsia="zh-CN"/>
        </w:rPr>
        <w:t>58.4%</w:t>
      </w:r>
      <w:r>
        <w:rPr>
          <w:rFonts w:hint="eastAsia" w:ascii="CESI仿宋-GB2312" w:hAnsi="CESI仿宋-GB2312" w:eastAsia="CESI仿宋-GB2312" w:cs="CESI仿宋-GB2312"/>
          <w:color w:val="auto"/>
          <w:sz w:val="28"/>
          <w:szCs w:val="28"/>
          <w:highlight w:val="none"/>
          <w:lang w:eastAsia="zh-CN"/>
        </w:rPr>
        <w:t>）执行，参考订货前一天乌鲁木齐北园春（集团）有限责任公司网上公布的货物价格，货物价格中间价作为基础价*中标折扣率（</w:t>
      </w:r>
      <w:r>
        <w:rPr>
          <w:rFonts w:hint="eastAsia" w:ascii="CESI仿宋-GB2312" w:hAnsi="CESI仿宋-GB2312" w:eastAsia="CESI仿宋-GB2312" w:cs="CESI仿宋-GB2312"/>
          <w:color w:val="auto"/>
          <w:sz w:val="28"/>
          <w:szCs w:val="28"/>
          <w:highlight w:val="none"/>
          <w:lang w:val="en-US" w:eastAsia="zh-CN"/>
        </w:rPr>
        <w:t>58.4%</w:t>
      </w:r>
      <w:r>
        <w:rPr>
          <w:rFonts w:hint="eastAsia" w:ascii="CESI仿宋-GB2312" w:hAnsi="CESI仿宋-GB2312" w:eastAsia="CESI仿宋-GB2312" w:cs="CESI仿宋-GB2312"/>
          <w:color w:val="auto"/>
          <w:sz w:val="28"/>
          <w:szCs w:val="28"/>
          <w:highlight w:val="none"/>
          <w:lang w:eastAsia="zh-CN"/>
        </w:rPr>
        <w:t>）作为结算依据。</w:t>
      </w:r>
    </w:p>
    <w:p w14:paraId="7F068B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6.</w:t>
      </w:r>
      <w:r>
        <w:rPr>
          <w:rFonts w:hint="eastAsia" w:ascii="CESI仿宋-GB2312" w:hAnsi="CESI仿宋-GB2312" w:eastAsia="CESI仿宋-GB2312" w:cs="CESI仿宋-GB2312"/>
          <w:color w:val="auto"/>
          <w:sz w:val="28"/>
          <w:szCs w:val="28"/>
          <w:highlight w:val="none"/>
          <w:lang w:eastAsia="zh-CN"/>
        </w:rPr>
        <w:t>中标</w:t>
      </w:r>
      <w:r>
        <w:rPr>
          <w:rFonts w:hint="eastAsia" w:ascii="CESI仿宋-GB2312" w:hAnsi="CESI仿宋-GB2312" w:eastAsia="CESI仿宋-GB2312" w:cs="CESI仿宋-GB2312"/>
          <w:color w:val="auto"/>
          <w:sz w:val="28"/>
          <w:szCs w:val="28"/>
          <w:highlight w:val="none"/>
        </w:rPr>
        <w:t>供应商不得随意退出，也不得</w:t>
      </w:r>
      <w:r>
        <w:rPr>
          <w:rFonts w:hint="eastAsia" w:ascii="CESI仿宋-GB2312" w:hAnsi="CESI仿宋-GB2312" w:eastAsia="CESI仿宋-GB2312" w:cs="CESI仿宋-GB2312"/>
          <w:color w:val="auto"/>
          <w:sz w:val="28"/>
          <w:szCs w:val="28"/>
          <w:highlight w:val="none"/>
          <w:lang w:eastAsia="zh-CN"/>
        </w:rPr>
        <w:t>高于中标通知书折扣率</w:t>
      </w:r>
      <w:r>
        <w:rPr>
          <w:rFonts w:hint="eastAsia" w:ascii="CESI仿宋-GB2312" w:hAnsi="CESI仿宋-GB2312" w:eastAsia="CESI仿宋-GB2312" w:cs="CESI仿宋-GB2312"/>
          <w:color w:val="auto"/>
          <w:sz w:val="28"/>
          <w:szCs w:val="28"/>
          <w:highlight w:val="none"/>
        </w:rPr>
        <w:t>，</w:t>
      </w:r>
      <w:r>
        <w:rPr>
          <w:rFonts w:hint="eastAsia" w:ascii="CESI仿宋-GB2312" w:hAnsi="CESI仿宋-GB2312" w:eastAsia="CESI仿宋-GB2312" w:cs="CESI仿宋-GB2312"/>
          <w:color w:val="auto"/>
          <w:sz w:val="28"/>
          <w:szCs w:val="28"/>
          <w:highlight w:val="none"/>
          <w:lang w:eastAsia="zh-CN"/>
        </w:rPr>
        <w:t>如发现折扣率和中标通知书不一致，甲方将扣除中标供应商履约保证金的</w:t>
      </w:r>
      <w:r>
        <w:rPr>
          <w:rFonts w:hint="eastAsia" w:ascii="CESI仿宋-GB2312" w:hAnsi="CESI仿宋-GB2312" w:eastAsia="CESI仿宋-GB2312" w:cs="CESI仿宋-GB2312"/>
          <w:color w:val="auto"/>
          <w:sz w:val="28"/>
          <w:szCs w:val="28"/>
          <w:highlight w:val="none"/>
          <w:lang w:val="en-US" w:eastAsia="zh-CN"/>
        </w:rPr>
        <w:t>20%。采购清单里货品在</w:t>
      </w:r>
      <w:r>
        <w:rPr>
          <w:rFonts w:hint="eastAsia" w:ascii="CESI仿宋-GB2312" w:hAnsi="CESI仿宋-GB2312" w:eastAsia="CESI仿宋-GB2312" w:cs="CESI仿宋-GB2312"/>
          <w:color w:val="auto"/>
          <w:sz w:val="28"/>
          <w:szCs w:val="28"/>
          <w:highlight w:val="none"/>
          <w:lang w:eastAsia="zh-CN"/>
        </w:rPr>
        <w:t>乌鲁木齐北园春（集团）有限责任公司官网没有的，</w:t>
      </w:r>
      <w:r>
        <w:rPr>
          <w:rFonts w:hint="eastAsia" w:ascii="CESI仿宋-GB2312" w:hAnsi="CESI仿宋-GB2312" w:eastAsia="CESI仿宋-GB2312" w:cs="CESI仿宋-GB2312"/>
          <w:color w:val="auto"/>
          <w:sz w:val="28"/>
          <w:szCs w:val="28"/>
          <w:highlight w:val="none"/>
          <w:lang w:eastAsia="zh-CN"/>
        </w:rPr>
        <w:t>由采购人、中标人共同对吐鲁番本地至少</w:t>
      </w:r>
      <w:r>
        <w:rPr>
          <w:rFonts w:hint="eastAsia" w:ascii="CESI仿宋-GB2312" w:hAnsi="CESI仿宋-GB2312" w:eastAsia="CESI仿宋-GB2312" w:cs="CESI仿宋-GB2312"/>
          <w:color w:val="auto"/>
          <w:sz w:val="28"/>
          <w:szCs w:val="28"/>
          <w:highlight w:val="none"/>
          <w:lang w:val="en-US" w:eastAsia="zh-CN"/>
        </w:rPr>
        <w:t>3家大型农贸市场或商超进行询价，取均价作为基准价，且该价格不得高于同期吐鲁番市发改委公布的市场指导价格，基准价乘以中标折扣率作为结算价。</w:t>
      </w:r>
    </w:p>
    <w:p w14:paraId="28453BD9">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lang w:val="en-US" w:eastAsia="zh-CN"/>
        </w:rPr>
        <w:t>7.如不按照甲方要求进行供货，甲方将扣除当次货款的20%。</w:t>
      </w:r>
    </w:p>
    <w:p w14:paraId="7D459AB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六、对账支付</w:t>
      </w:r>
    </w:p>
    <w:p w14:paraId="42C2FCD0">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1.对账方式为：乙方和</w:t>
      </w:r>
      <w:r>
        <w:rPr>
          <w:rFonts w:hint="eastAsia" w:ascii="CESI仿宋-GB2312" w:hAnsi="CESI仿宋-GB2312" w:eastAsia="CESI仿宋-GB2312" w:cs="CESI仿宋-GB2312"/>
          <w:color w:val="auto"/>
          <w:sz w:val="28"/>
          <w:szCs w:val="28"/>
          <w:highlight w:val="none"/>
          <w:lang w:val="en-US" w:eastAsia="zh-CN"/>
        </w:rPr>
        <w:t>甲方</w:t>
      </w:r>
      <w:r>
        <w:rPr>
          <w:rFonts w:hint="eastAsia" w:ascii="CESI仿宋-GB2312" w:hAnsi="CESI仿宋-GB2312" w:eastAsia="CESI仿宋-GB2312" w:cs="CESI仿宋-GB2312"/>
          <w:color w:val="auto"/>
          <w:sz w:val="28"/>
          <w:szCs w:val="28"/>
          <w:highlight w:val="none"/>
        </w:rPr>
        <w:t>进行对账，对账周期为每月一次。</w:t>
      </w:r>
    </w:p>
    <w:p w14:paraId="5735D4F8">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w:t>
      </w:r>
      <w:r>
        <w:rPr>
          <w:rFonts w:hint="eastAsia" w:ascii="CESI仿宋-GB2312" w:hAnsi="CESI仿宋-GB2312" w:eastAsia="CESI仿宋-GB2312" w:cs="CESI仿宋-GB2312"/>
          <w:color w:val="auto"/>
          <w:sz w:val="28"/>
          <w:szCs w:val="28"/>
          <w:highlight w:val="none"/>
        </w:rPr>
        <w:t xml:space="preserve"> </w:t>
      </w:r>
      <w:r>
        <w:rPr>
          <w:rFonts w:hint="eastAsia" w:ascii="CESI仿宋-GB2312" w:hAnsi="CESI仿宋-GB2312" w:eastAsia="CESI仿宋-GB2312" w:cs="CESI仿宋-GB2312"/>
          <w:color w:val="auto"/>
          <w:sz w:val="28"/>
          <w:szCs w:val="28"/>
          <w:highlight w:val="none"/>
        </w:rPr>
        <w:t>2.双方按照确认的书面对账单按时进行对账，如因甲方原因在规定的日期不能提供对账单的，在乙方开具发票后，甲方应当依据销售清单和本合同先行给付无争议部分的货款。乙方如遇特殊情况未能在规定的时段对账，可与甲方协商解决。</w:t>
      </w:r>
    </w:p>
    <w:p w14:paraId="14BFD5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3.支付方式：货款按</w:t>
      </w:r>
      <w:r>
        <w:rPr>
          <w:rFonts w:hint="eastAsia" w:ascii="CESI仿宋-GB2312" w:hAnsi="CESI仿宋-GB2312" w:eastAsia="CESI仿宋-GB2312" w:cs="CESI仿宋-GB2312"/>
          <w:color w:val="auto"/>
          <w:sz w:val="28"/>
          <w:szCs w:val="28"/>
          <w:highlight w:val="none"/>
          <w:lang w:val="en-US" w:eastAsia="zh-CN"/>
        </w:rPr>
        <w:t>甲方</w:t>
      </w:r>
      <w:r>
        <w:rPr>
          <w:rFonts w:hint="eastAsia" w:ascii="CESI仿宋-GB2312" w:hAnsi="CESI仿宋-GB2312" w:eastAsia="CESI仿宋-GB2312" w:cs="CESI仿宋-GB2312"/>
          <w:color w:val="auto"/>
          <w:sz w:val="28"/>
          <w:szCs w:val="28"/>
          <w:highlight w:val="none"/>
        </w:rPr>
        <w:t>财务制度</w:t>
      </w:r>
      <w:r>
        <w:rPr>
          <w:rFonts w:hint="eastAsia" w:ascii="CESI仿宋-GB2312" w:hAnsi="CESI仿宋-GB2312" w:eastAsia="CESI仿宋-GB2312" w:cs="CESI仿宋-GB2312"/>
          <w:color w:val="auto"/>
          <w:sz w:val="28"/>
          <w:szCs w:val="28"/>
          <w:highlight w:val="none"/>
          <w:lang w:eastAsia="zh-CN"/>
        </w:rPr>
        <w:t>每月</w:t>
      </w:r>
      <w:r>
        <w:rPr>
          <w:rFonts w:hint="eastAsia" w:ascii="CESI仿宋-GB2312" w:hAnsi="CESI仿宋-GB2312" w:eastAsia="CESI仿宋-GB2312" w:cs="CESI仿宋-GB2312"/>
          <w:color w:val="auto"/>
          <w:sz w:val="28"/>
          <w:szCs w:val="28"/>
          <w:highlight w:val="none"/>
        </w:rPr>
        <w:t>结算一次，对账后乙方给甲方开具上月所购货款普通发票，甲方根据实际情况给乙方付款。</w:t>
      </w:r>
      <w:r>
        <w:rPr>
          <w:rFonts w:hint="default" w:ascii="CESI仿宋-GB2312" w:hAnsi="CESI仿宋-GB2312" w:eastAsia="CESI仿宋-GB2312" w:cs="CESI仿宋-GB2312"/>
          <w:color w:val="auto"/>
          <w:sz w:val="28"/>
          <w:szCs w:val="28"/>
          <w:highlight w:val="none"/>
          <w:lang w:val="en-US"/>
        </w:rPr>
        <w:t>甲方支付的货款为含税价，除此之外，甲方不再向乙方支付任何费用。</w:t>
      </w:r>
    </w:p>
    <w:p w14:paraId="108930DB">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4.乙方需缴纳履约保证金，</w:t>
      </w:r>
      <w:r>
        <w:rPr>
          <w:rFonts w:hint="eastAsia" w:ascii="CESI仿宋-GB2312" w:hAnsi="CESI仿宋-GB2312" w:eastAsia="CESI仿宋-GB2312" w:cs="CESI仿宋-GB2312"/>
          <w:color w:val="auto"/>
          <w:sz w:val="28"/>
          <w:szCs w:val="28"/>
          <w:highlight w:val="none"/>
          <w:lang w:eastAsia="zh-CN"/>
        </w:rPr>
        <w:t>履约保证金为</w:t>
      </w:r>
      <w:r>
        <w:rPr>
          <w:rFonts w:hint="eastAsia" w:ascii="CESI仿宋-GB2312" w:hAnsi="CESI仿宋-GB2312" w:eastAsia="CESI仿宋-GB2312" w:cs="CESI仿宋-GB2312"/>
          <w:color w:val="auto"/>
          <w:sz w:val="28"/>
          <w:szCs w:val="28"/>
          <w:highlight w:val="none"/>
          <w:lang w:val="en-US" w:eastAsia="zh-CN"/>
        </w:rPr>
        <w:t>10万元，</w:t>
      </w:r>
      <w:r>
        <w:rPr>
          <w:rFonts w:hint="eastAsia" w:ascii="CESI仿宋-GB2312" w:hAnsi="CESI仿宋-GB2312" w:eastAsia="CESI仿宋-GB2312" w:cs="CESI仿宋-GB2312"/>
          <w:color w:val="auto"/>
          <w:sz w:val="28"/>
          <w:szCs w:val="28"/>
          <w:highlight w:val="none"/>
        </w:rPr>
        <w:t>原则上履约保证金在合同解除时退还乙方，如乙方有违约行为，将从履约保证金中扣除20%违约金。</w:t>
      </w:r>
    </w:p>
    <w:p w14:paraId="2932EE4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七、履行期限及地点</w:t>
      </w:r>
    </w:p>
    <w:p w14:paraId="632577D7">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1.履行期限为合同有效期内。</w:t>
      </w:r>
    </w:p>
    <w:p w14:paraId="4E25B569">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2.地点为甲方指定地点。</w:t>
      </w:r>
    </w:p>
    <w:p w14:paraId="60150D8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八、违约责任</w:t>
      </w:r>
    </w:p>
    <w:p w14:paraId="64D546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1.乙方配送的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不符合质量要求，甲方应及时通知乙</w:t>
      </w:r>
      <w:r>
        <w:rPr>
          <w:rFonts w:hint="eastAsia" w:ascii="CESI仿宋-GB2312" w:hAnsi="CESI仿宋-GB2312" w:eastAsia="CESI仿宋-GB2312" w:cs="CESI仿宋-GB2312"/>
          <w:color w:val="auto"/>
          <w:sz w:val="28"/>
          <w:szCs w:val="28"/>
          <w:highlight w:val="none"/>
        </w:rPr>
        <w:t>方，甲方有权拒收；发生甲方拒收或甲方提出质量异议的情况下，乙方应</w:t>
      </w:r>
      <w:r>
        <w:rPr>
          <w:rFonts w:hint="eastAsia" w:ascii="CESI仿宋-GB2312" w:hAnsi="CESI仿宋-GB2312" w:eastAsia="CESI仿宋-GB2312" w:cs="CESI仿宋-GB2312"/>
          <w:color w:val="auto"/>
          <w:sz w:val="28"/>
          <w:szCs w:val="28"/>
          <w:highlight w:val="none"/>
          <w:lang w:val="en-US" w:eastAsia="zh-CN"/>
        </w:rPr>
        <w:t>24小时</w:t>
      </w:r>
      <w:r>
        <w:rPr>
          <w:rFonts w:hint="eastAsia" w:ascii="CESI仿宋-GB2312" w:hAnsi="CESI仿宋-GB2312" w:eastAsia="CESI仿宋-GB2312" w:cs="CESI仿宋-GB2312"/>
          <w:color w:val="auto"/>
          <w:sz w:val="28"/>
          <w:szCs w:val="28"/>
          <w:highlight w:val="none"/>
        </w:rPr>
        <w:t>之内向甲方补足。质量问题严重的，甲方有权解除合同，因乙方供应的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不符合质量要求给甲方造成损失的，乙方应承担赔偿责任，并扣除乙方</w:t>
      </w:r>
      <w:r>
        <w:rPr>
          <w:rFonts w:hint="eastAsia" w:ascii="CESI仿宋-GB2312" w:hAnsi="CESI仿宋-GB2312" w:eastAsia="CESI仿宋-GB2312" w:cs="CESI仿宋-GB2312"/>
          <w:color w:val="auto"/>
          <w:sz w:val="28"/>
          <w:szCs w:val="28"/>
          <w:highlight w:val="none"/>
          <w:lang w:eastAsia="zh-CN"/>
        </w:rPr>
        <w:t>当次</w:t>
      </w:r>
      <w:r>
        <w:rPr>
          <w:rFonts w:hint="eastAsia" w:ascii="CESI仿宋-GB2312" w:hAnsi="CESI仿宋-GB2312" w:eastAsia="CESI仿宋-GB2312" w:cs="CESI仿宋-GB2312"/>
          <w:color w:val="auto"/>
          <w:sz w:val="28"/>
          <w:szCs w:val="28"/>
          <w:highlight w:val="none"/>
        </w:rPr>
        <w:t>货款的</w:t>
      </w:r>
      <w:r>
        <w:rPr>
          <w:rFonts w:hint="eastAsia" w:ascii="CESI仿宋-GB2312" w:hAnsi="CESI仿宋-GB2312" w:eastAsia="CESI仿宋-GB2312" w:cs="CESI仿宋-GB2312"/>
          <w:color w:val="auto"/>
          <w:sz w:val="28"/>
          <w:szCs w:val="28"/>
          <w:highlight w:val="none"/>
          <w:lang w:val="en-US" w:eastAsia="zh-CN"/>
        </w:rPr>
        <w:t>20%</w:t>
      </w:r>
      <w:r>
        <w:rPr>
          <w:rFonts w:hint="eastAsia" w:ascii="CESI仿宋-GB2312" w:hAnsi="CESI仿宋-GB2312" w:eastAsia="CESI仿宋-GB2312" w:cs="CESI仿宋-GB2312"/>
          <w:color w:val="auto"/>
          <w:sz w:val="28"/>
          <w:szCs w:val="28"/>
          <w:highlight w:val="none"/>
        </w:rPr>
        <w:t>。</w:t>
      </w:r>
      <w:r>
        <w:rPr>
          <w:rFonts w:hint="eastAsia" w:ascii="CESI仿宋-GB2312" w:hAnsi="CESI仿宋-GB2312" w:eastAsia="CESI仿宋-GB2312" w:cs="CESI仿宋-GB2312"/>
          <w:color w:val="auto"/>
          <w:sz w:val="28"/>
          <w:szCs w:val="28"/>
          <w:highlight w:val="none"/>
          <w:lang w:eastAsia="zh-CN"/>
        </w:rPr>
        <w:t>因乙方供应的物资导致食品安全事故的，乙方需承担全部医疗费、误工费、赔偿金等，</w:t>
      </w:r>
      <w:r>
        <w:rPr>
          <w:rFonts w:hint="eastAsia" w:ascii="CESI仿宋-GB2312" w:hAnsi="CESI仿宋-GB2312" w:eastAsia="CESI仿宋-GB2312" w:cs="CESI仿宋-GB2312"/>
          <w:color w:val="auto"/>
          <w:sz w:val="28"/>
          <w:szCs w:val="28"/>
          <w:highlight w:val="none"/>
          <w:lang w:eastAsia="zh-CN"/>
        </w:rPr>
        <w:t>且甲方有权按已付货款的</w:t>
      </w:r>
      <w:r>
        <w:rPr>
          <w:rFonts w:hint="eastAsia" w:ascii="CESI仿宋-GB2312" w:hAnsi="CESI仿宋-GB2312" w:eastAsia="CESI仿宋-GB2312" w:cs="CESI仿宋-GB2312"/>
          <w:color w:val="auto"/>
          <w:sz w:val="28"/>
          <w:szCs w:val="28"/>
          <w:highlight w:val="none"/>
          <w:lang w:val="en-US" w:eastAsia="zh-CN"/>
        </w:rPr>
        <w:t>20%收取违约金。</w:t>
      </w:r>
    </w:p>
    <w:p w14:paraId="6BD8EFFA">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2.若发生特殊情况，致使甲方不再需要乙方送货的，或乙方无足够</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提供甲方时，均应提</w:t>
      </w:r>
      <w:r>
        <w:rPr>
          <w:rFonts w:hint="eastAsia" w:ascii="CESI仿宋-GB2312" w:hAnsi="CESI仿宋-GB2312" w:eastAsia="CESI仿宋-GB2312" w:cs="CESI仿宋-GB2312"/>
          <w:color w:val="auto"/>
          <w:sz w:val="28"/>
          <w:szCs w:val="28"/>
          <w:highlight w:val="none"/>
        </w:rPr>
        <w:t>前15天</w:t>
      </w:r>
      <w:r>
        <w:rPr>
          <w:rFonts w:hint="eastAsia" w:ascii="CESI仿宋-GB2312" w:hAnsi="CESI仿宋-GB2312" w:eastAsia="CESI仿宋-GB2312" w:cs="CESI仿宋-GB2312"/>
          <w:color w:val="auto"/>
          <w:sz w:val="28"/>
          <w:szCs w:val="28"/>
          <w:highlight w:val="none"/>
        </w:rPr>
        <w:t>告知对方，经协商同意后双方可解除合同；如未及时通知对方，责任方应赔偿由此给对方造成的直接经济损失。</w:t>
      </w:r>
    </w:p>
    <w:p w14:paraId="1E002C38">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3.一方无正当理由终止履行或单方变更、解除本合同的，应赔偿履约保证金50%。</w:t>
      </w:r>
    </w:p>
    <w:p w14:paraId="6C4D5C2D">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乙方应执行双方约定时间交货，如果乙方在履行协议过程中，遇到不能按时交货的情况，应及时将不能按时交货的理由和由此造成的延误时间通知甲方。甲方在收到通知后，如果同意可酌情延长交货时间，否则视为乙方违约，乙方应向甲方赔偿违约金，违约金每日按未履约金额的 10 %收取。</w:t>
      </w:r>
    </w:p>
    <w:p w14:paraId="7C7AA8A3">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5.甲方因单位特殊性，时常有不确定增加人数情况，需要增加</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数量、品种，临时通知乙方，乙方不得以任何理由推辞，保证及时供应。</w:t>
      </w:r>
    </w:p>
    <w:p w14:paraId="66DAA8B1">
      <w:pPr>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lang w:val="en-US" w:eastAsia="zh-CN"/>
        </w:rPr>
        <w:t>6.上述乙方应赔偿甲方的损失包括但不限于因此产生的诉讼费、保全费、保函费、律师费、鉴定费、交通费等。</w:t>
      </w:r>
    </w:p>
    <w:p w14:paraId="7D507F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九、解决争议方式</w:t>
      </w:r>
    </w:p>
    <w:p w14:paraId="3EC79972">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b/>
          <w:color w:val="auto"/>
          <w:sz w:val="28"/>
          <w:szCs w:val="28"/>
          <w:highlight w:val="none"/>
        </w:rPr>
      </w:pPr>
      <w:r>
        <w:rPr>
          <w:rFonts w:hint="eastAsia" w:ascii="CESI仿宋-GB2312" w:hAnsi="CESI仿宋-GB2312" w:eastAsia="CESI仿宋-GB2312" w:cs="CESI仿宋-GB2312"/>
          <w:color w:val="auto"/>
          <w:sz w:val="28"/>
          <w:szCs w:val="28"/>
          <w:highlight w:val="none"/>
        </w:rPr>
        <w:t xml:space="preserve">    在本协议履行过程中发生争议，甲乙双方应协商解决,不能协商解决的，向甲方所在地人民法院起诉</w:t>
      </w:r>
      <w:r>
        <w:rPr>
          <w:rFonts w:hint="eastAsia" w:ascii="CESI仿宋-GB2312" w:hAnsi="CESI仿宋-GB2312" w:eastAsia="CESI仿宋-GB2312" w:cs="CESI仿宋-GB2312"/>
          <w:b/>
          <w:color w:val="auto"/>
          <w:sz w:val="28"/>
          <w:szCs w:val="28"/>
          <w:highlight w:val="none"/>
        </w:rPr>
        <w:t>。</w:t>
      </w:r>
    </w:p>
    <w:p w14:paraId="519BE9E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十、遵守规章制度</w:t>
      </w:r>
    </w:p>
    <w:p w14:paraId="7ACBE259">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乙方在送货时，要遵守甲方的各项规章制度，不得在货物中夹带任何其他物品，一旦发现立即终止协议，拒收</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并没收所带物品，当日货款不予支付，并扣罚上月货款。</w:t>
      </w:r>
    </w:p>
    <w:p w14:paraId="7AF264B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十一、反商业贿赂约定  </w:t>
      </w:r>
    </w:p>
    <w:p w14:paraId="63CECFF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1.甲乙双方均反对、行贿及其他不正当交易行为。乙方承诺，不向甲方人员提供赠送礼品、现金、样品、餐饮等任何形式的利益，造成的损失由乙方承担。</w:t>
      </w:r>
    </w:p>
    <w:p w14:paraId="23AACF83">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若乙方被发现任何形式的商业贿赂及其他不正当方式取悦甲方工作人员，以获取订单、更有利的价格，或虚报送货量，或降低商品质量，或缩短付款期限时，甲方将立即停止与其的商业合作关系或订单，并向有关执法部门举报。</w:t>
      </w:r>
    </w:p>
    <w:p w14:paraId="275FAC0A">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3.如有甲方工作人员要求乙方付任何形式的商业贿赂，乙方有义务向甲方书面检举，并提供相关证据。对乙方的检举，甲方应给予保密，并按照国家有关规定给予严肃处理，直至送交司法机关。</w:t>
      </w:r>
    </w:p>
    <w:p w14:paraId="18C9527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十二、转让与分包</w:t>
      </w:r>
    </w:p>
    <w:p w14:paraId="6A52E12A">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乙方不得部分或全部转让或分包，应履行协议规定的义务。</w:t>
      </w:r>
    </w:p>
    <w:p w14:paraId="440B49D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十三、不可抗力</w:t>
      </w:r>
    </w:p>
    <w:p w14:paraId="0973948B">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在本协议执行期间，若发生自然灾害等不可抗力事件，经核实可全部或部分免除责任，但应当及时通知对方，并在协议期限内提供证明。</w:t>
      </w:r>
    </w:p>
    <w:p w14:paraId="50328AC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十四、费用</w:t>
      </w:r>
    </w:p>
    <w:p w14:paraId="71463D41">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根据国家现行税法的规定，</w:t>
      </w:r>
      <w:r>
        <w:rPr>
          <w:rFonts w:hint="eastAsia" w:ascii="CESI仿宋-GB2312" w:hAnsi="CESI仿宋-GB2312" w:eastAsia="CESI仿宋-GB2312" w:cs="CESI仿宋-GB2312"/>
          <w:color w:val="auto"/>
          <w:sz w:val="28"/>
          <w:szCs w:val="28"/>
          <w:highlight w:val="none"/>
          <w:lang w:eastAsia="zh-CN"/>
        </w:rPr>
        <w:t>本合同</w:t>
      </w:r>
      <w:r>
        <w:rPr>
          <w:rFonts w:hint="eastAsia" w:ascii="CESI仿宋-GB2312" w:hAnsi="CESI仿宋-GB2312" w:eastAsia="CESI仿宋-GB2312" w:cs="CESI仿宋-GB2312"/>
          <w:color w:val="auto"/>
          <w:sz w:val="28"/>
          <w:szCs w:val="28"/>
          <w:highlight w:val="none"/>
        </w:rPr>
        <w:t>有关一切税费由乙方负担。</w:t>
      </w:r>
    </w:p>
    <w:p w14:paraId="244DA88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十五、交货方式</w:t>
      </w:r>
    </w:p>
    <w:p w14:paraId="08D288D8">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乙方无偿送货上门。</w:t>
      </w:r>
    </w:p>
    <w:p w14:paraId="0B40382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十六、违约终止合同</w:t>
      </w:r>
    </w:p>
    <w:p w14:paraId="5EC022E2">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在采取任何补救违约措施未能实现的情况下，即在乙方收到甲方发出的违约通知后3日内，或经甲方书面确认的</w:t>
      </w:r>
      <w:r>
        <w:rPr>
          <w:rFonts w:hint="eastAsia" w:ascii="CESI仿宋-GB2312" w:hAnsi="CESI仿宋-GB2312" w:eastAsia="CESI仿宋-GB2312" w:cs="CESI仿宋-GB2312"/>
          <w:color w:val="auto"/>
          <w:sz w:val="28"/>
          <w:szCs w:val="28"/>
          <w:highlight w:val="none"/>
          <w:lang w:val="en-US" w:eastAsia="zh-CN"/>
        </w:rPr>
        <w:t>3日</w:t>
      </w:r>
      <w:r>
        <w:rPr>
          <w:rFonts w:hint="eastAsia" w:ascii="CESI仿宋-GB2312" w:hAnsi="CESI仿宋-GB2312" w:eastAsia="CESI仿宋-GB2312" w:cs="CESI仿宋-GB2312"/>
          <w:color w:val="auto"/>
          <w:sz w:val="28"/>
          <w:szCs w:val="28"/>
          <w:highlight w:val="none"/>
        </w:rPr>
        <w:t>内仍未能纠正以下任何一种违约行为，甲方可向乙方发出违约通知，终止全部或部分合同。</w:t>
      </w:r>
    </w:p>
    <w:p w14:paraId="37E6C603">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1.乙方未能按甲方规定的期限内或甲方同意延长的期限内提供全部或部分货品。</w:t>
      </w:r>
    </w:p>
    <w:p w14:paraId="266CF69D">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2.乙方随意降低</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质量，变更</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种类，拖延供货时间。</w:t>
      </w:r>
    </w:p>
    <w:p w14:paraId="5AF0D700">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3.乙方未能履行协议下的全部义务。</w:t>
      </w:r>
    </w:p>
    <w:p w14:paraId="33B848FA">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4.乙方无力继续执行协议时，须在停止供货</w:t>
      </w:r>
      <w:r>
        <w:rPr>
          <w:rFonts w:hint="eastAsia" w:ascii="CESI仿宋-GB2312" w:hAnsi="CESI仿宋-GB2312" w:eastAsia="CESI仿宋-GB2312" w:cs="CESI仿宋-GB2312"/>
          <w:b w:val="0"/>
          <w:bCs w:val="0"/>
          <w:color w:val="auto"/>
          <w:sz w:val="28"/>
          <w:szCs w:val="28"/>
          <w:highlight w:val="none"/>
          <w:lang w:val="en-US" w:eastAsia="zh-CN"/>
        </w:rPr>
        <w:t>1</w:t>
      </w:r>
      <w:r>
        <w:rPr>
          <w:rFonts w:hint="eastAsia" w:ascii="CESI仿宋-GB2312" w:hAnsi="CESI仿宋-GB2312" w:eastAsia="CESI仿宋-GB2312" w:cs="CESI仿宋-GB2312"/>
          <w:b w:val="0"/>
          <w:bCs w:val="0"/>
          <w:color w:val="auto"/>
          <w:sz w:val="28"/>
          <w:szCs w:val="28"/>
          <w:highlight w:val="none"/>
        </w:rPr>
        <w:t>5日</w:t>
      </w:r>
      <w:r>
        <w:rPr>
          <w:rFonts w:hint="eastAsia" w:ascii="CESI仿宋-GB2312" w:hAnsi="CESI仿宋-GB2312" w:eastAsia="CESI仿宋-GB2312" w:cs="CESI仿宋-GB2312"/>
          <w:color w:val="auto"/>
          <w:sz w:val="28"/>
          <w:szCs w:val="28"/>
          <w:highlight w:val="none"/>
        </w:rPr>
        <w:t>前告知甲方。</w:t>
      </w:r>
    </w:p>
    <w:p w14:paraId="0B7B2858">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十七、合同期限</w:t>
      </w:r>
    </w:p>
    <w:p w14:paraId="19B691DF">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本合同自   年   月   日起至   年   月   日。</w:t>
      </w:r>
    </w:p>
    <w:p w14:paraId="2E8BEC9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十八、其它</w:t>
      </w:r>
    </w:p>
    <w:p w14:paraId="4BBE0636">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1.在履行本合同过程中，双方明确授权代理人和具体执行交易过程中各环节代理人以及代理行为的法律效力，从而确保合同的顺利履行。</w:t>
      </w:r>
    </w:p>
    <w:p w14:paraId="2F93DB9B">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2.本合同涉及的通知，应当以双方约定的形式送达。</w:t>
      </w:r>
    </w:p>
    <w:p w14:paraId="2779F887">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3双方明确送达方式：按时送货到甲方指定地点。 </w:t>
      </w:r>
    </w:p>
    <w:p w14:paraId="2AA8E7F4">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4.本合同的变更和补充，双方应当另行签订补充协议，且补充协议不得与本合同相冲突。</w:t>
      </w:r>
    </w:p>
    <w:p w14:paraId="0D260BB7">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5.本合同经双方法定代表人或其代理人签署并加盖公章后生效。</w:t>
      </w:r>
    </w:p>
    <w:p w14:paraId="7EAD5F39">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6.本合同一式</w:t>
      </w:r>
      <w:r>
        <w:rPr>
          <w:rFonts w:hint="eastAsia" w:ascii="CESI仿宋-GB2312" w:hAnsi="CESI仿宋-GB2312" w:eastAsia="CESI仿宋-GB2312" w:cs="CESI仿宋-GB2312"/>
          <w:color w:val="auto"/>
          <w:sz w:val="28"/>
          <w:szCs w:val="28"/>
          <w:highlight w:val="none"/>
          <w:lang w:eastAsia="zh-CN"/>
        </w:rPr>
        <w:t>五</w:t>
      </w:r>
      <w:r>
        <w:rPr>
          <w:rFonts w:hint="eastAsia" w:ascii="CESI仿宋-GB2312" w:hAnsi="CESI仿宋-GB2312" w:eastAsia="CESI仿宋-GB2312" w:cs="CESI仿宋-GB2312"/>
          <w:color w:val="auto"/>
          <w:sz w:val="28"/>
          <w:szCs w:val="28"/>
          <w:highlight w:val="none"/>
        </w:rPr>
        <w:t>份，甲方执</w:t>
      </w:r>
      <w:r>
        <w:rPr>
          <w:rFonts w:hint="eastAsia" w:ascii="CESI仿宋-GB2312" w:hAnsi="CESI仿宋-GB2312" w:eastAsia="CESI仿宋-GB2312" w:cs="CESI仿宋-GB2312"/>
          <w:color w:val="auto"/>
          <w:sz w:val="28"/>
          <w:szCs w:val="28"/>
          <w:highlight w:val="none"/>
          <w:lang w:eastAsia="zh-CN"/>
        </w:rPr>
        <w:t>四</w:t>
      </w:r>
      <w:r>
        <w:rPr>
          <w:rFonts w:hint="eastAsia" w:ascii="CESI仿宋-GB2312" w:hAnsi="CESI仿宋-GB2312" w:eastAsia="CESI仿宋-GB2312" w:cs="CESI仿宋-GB2312"/>
          <w:color w:val="auto"/>
          <w:sz w:val="28"/>
          <w:szCs w:val="28"/>
          <w:highlight w:val="none"/>
        </w:rPr>
        <w:t>份，乙方执</w:t>
      </w:r>
      <w:r>
        <w:rPr>
          <w:rFonts w:hint="eastAsia" w:ascii="CESI仿宋-GB2312" w:hAnsi="CESI仿宋-GB2312" w:eastAsia="CESI仿宋-GB2312" w:cs="CESI仿宋-GB2312"/>
          <w:color w:val="auto"/>
          <w:sz w:val="28"/>
          <w:szCs w:val="28"/>
          <w:highlight w:val="none"/>
          <w:lang w:eastAsia="zh-CN"/>
        </w:rPr>
        <w:t>一份</w:t>
      </w:r>
      <w:r>
        <w:rPr>
          <w:rFonts w:hint="eastAsia" w:ascii="CESI仿宋-GB2312" w:hAnsi="CESI仿宋-GB2312" w:eastAsia="CESI仿宋-GB2312" w:cs="CESI仿宋-GB2312"/>
          <w:color w:val="auto"/>
          <w:sz w:val="28"/>
          <w:szCs w:val="28"/>
          <w:highlight w:val="none"/>
        </w:rPr>
        <w:t>，均具同等法律效力。</w:t>
      </w:r>
    </w:p>
    <w:p w14:paraId="04CB9DC9">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lang w:eastAsia="zh-CN"/>
        </w:rPr>
      </w:pPr>
    </w:p>
    <w:p w14:paraId="43BF32A1">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lang w:eastAsia="zh-CN"/>
        </w:rPr>
      </w:pPr>
    </w:p>
    <w:p w14:paraId="76E7A676">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lang w:eastAsia="zh-CN"/>
        </w:rPr>
        <w:t>附件：水果类物资清单</w:t>
      </w:r>
    </w:p>
    <w:p w14:paraId="507CFD97">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p>
    <w:p w14:paraId="1E9ED2B8">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p>
    <w:p w14:paraId="37FC4875">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甲方（印章）                    乙方（印章）</w:t>
      </w:r>
    </w:p>
    <w:p w14:paraId="43A73960">
      <w:pPr>
        <w:keepNext w:val="0"/>
        <w:keepLines w:val="0"/>
        <w:pageBreakBefore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w:t>
      </w:r>
    </w:p>
    <w:p w14:paraId="652CBD01">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授权代表签字：                  授权代表签字：</w:t>
      </w:r>
    </w:p>
    <w:p w14:paraId="4B31B4F5">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地址：</w:t>
      </w:r>
      <w:r>
        <w:rPr>
          <w:rFonts w:hint="eastAsia" w:ascii="CESI仿宋-GB2312" w:hAnsi="CESI仿宋-GB2312" w:eastAsia="CESI仿宋-GB2312" w:cs="CESI仿宋-GB2312"/>
          <w:color w:val="auto"/>
          <w:sz w:val="28"/>
          <w:szCs w:val="28"/>
          <w:highlight w:val="none"/>
          <w:lang w:eastAsia="zh-CN"/>
        </w:rPr>
        <w:t>高昌区大河沿镇</w:t>
      </w:r>
      <w:r>
        <w:rPr>
          <w:rFonts w:hint="eastAsia" w:ascii="CESI仿宋-GB2312" w:hAnsi="CESI仿宋-GB2312" w:eastAsia="CESI仿宋-GB2312" w:cs="CESI仿宋-GB2312"/>
          <w:color w:val="auto"/>
          <w:sz w:val="28"/>
          <w:szCs w:val="28"/>
          <w:highlight w:val="none"/>
        </w:rPr>
        <w:t xml:space="preserve">            地址：</w:t>
      </w:r>
    </w:p>
    <w:p w14:paraId="41AA4819">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签定日期：                      签定日期：</w:t>
      </w:r>
    </w:p>
    <w:p w14:paraId="19D5E1AF">
      <w:pPr>
        <w:keepNext w:val="0"/>
        <w:keepLines w:val="0"/>
        <w:pageBreakBefore w:val="0"/>
        <w:kinsoku/>
        <w:wordWrap/>
        <w:overflowPunct/>
        <w:topLinePunct w:val="0"/>
        <w:autoSpaceDE/>
        <w:autoSpaceDN/>
        <w:bidi w:val="0"/>
        <w:adjustRightInd/>
        <w:snapToGrid/>
        <w:spacing w:line="560" w:lineRule="exact"/>
        <w:ind w:firstLine="840" w:firstLineChars="300"/>
        <w:textAlignment w:val="auto"/>
        <w:rPr>
          <w:rFonts w:hint="eastAsia" w:ascii="CESI仿宋-GB2312" w:hAnsi="CESI仿宋-GB2312" w:eastAsia="CESI仿宋-GB2312" w:cs="CESI仿宋-GB2312"/>
          <w:color w:val="auto"/>
          <w:sz w:val="28"/>
          <w:szCs w:val="28"/>
          <w:highlight w:val="none"/>
        </w:rPr>
      </w:pPr>
    </w:p>
    <w:p w14:paraId="05DA3B8A">
      <w:pPr>
        <w:keepNext w:val="0"/>
        <w:keepLines w:val="0"/>
        <w:pageBreakBefore w:val="0"/>
        <w:widowControl w:val="0"/>
        <w:kinsoku/>
        <w:wordWrap/>
        <w:overflowPunct/>
        <w:topLinePunct w:val="0"/>
        <w:autoSpaceDE/>
        <w:autoSpaceDN/>
        <w:bidi w:val="0"/>
        <w:adjustRightInd w:val="0"/>
        <w:snapToGrid w:val="0"/>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p>
    <w:p w14:paraId="30766913">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hint="eastAsia" w:ascii="CESI仿宋-GB2312" w:hAnsi="CESI仿宋-GB2312" w:eastAsia="CESI仿宋-GB2312" w:cs="CESI仿宋-GB2312"/>
          <w:color w:val="auto"/>
          <w:sz w:val="32"/>
          <w:szCs w:val="32"/>
          <w:highlight w:val="none"/>
        </w:rPr>
      </w:pPr>
    </w:p>
    <w:p w14:paraId="7DD63975">
      <w:pPr>
        <w:pStyle w:val="92"/>
        <w:snapToGrid w:val="0"/>
        <w:spacing w:line="312" w:lineRule="auto"/>
        <w:rPr>
          <w:rFonts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最终以实际签订合同为准！</w:t>
      </w:r>
    </w:p>
    <w:p w14:paraId="7BBB5340">
      <w:pPr>
        <w:pStyle w:val="2"/>
        <w:rPr>
          <w:rFonts w:hint="eastAsia"/>
          <w:b/>
          <w:bCs/>
          <w:color w:val="auto"/>
          <w:highlight w:val="none"/>
          <w:lang w:eastAsia="zh-CN"/>
        </w:rPr>
      </w:pPr>
      <w:r>
        <w:rPr>
          <w:rFonts w:hint="eastAsia"/>
          <w:b/>
          <w:bCs/>
          <w:color w:val="auto"/>
          <w:highlight w:val="none"/>
          <w:lang w:eastAsia="zh-CN"/>
        </w:rPr>
        <w:t xml:space="preserve"> </w:t>
      </w:r>
      <w:bookmarkStart w:id="121" w:name="_Toc8122"/>
      <w:bookmarkStart w:id="122" w:name="_Toc4376"/>
    </w:p>
    <w:p w14:paraId="5F473755">
      <w:pPr>
        <w:rPr>
          <w:rFonts w:hint="eastAsia"/>
          <w:b/>
          <w:bCs/>
          <w:color w:val="auto"/>
          <w:highlight w:val="none"/>
          <w:lang w:eastAsia="zh-CN"/>
        </w:rPr>
      </w:pPr>
      <w:r>
        <w:rPr>
          <w:rFonts w:hint="eastAsia"/>
          <w:b/>
          <w:bCs/>
          <w:color w:val="auto"/>
          <w:highlight w:val="none"/>
          <w:lang w:eastAsia="zh-CN"/>
        </w:rPr>
        <w:br w:type="page"/>
      </w:r>
    </w:p>
    <w:p w14:paraId="787AE8B9">
      <w:pPr>
        <w:pStyle w:val="2"/>
        <w:rPr>
          <w:rFonts w:ascii="仿宋_GB2312" w:hAnsi="仿宋_GB2312" w:eastAsia="仿宋_GB2312" w:cs="仿宋_GB2312"/>
          <w:b/>
          <w:bCs/>
          <w:color w:val="auto"/>
          <w:spacing w:val="-1"/>
          <w:sz w:val="31"/>
          <w:szCs w:val="31"/>
          <w:highlight w:val="none"/>
        </w:rPr>
      </w:pPr>
      <w:r>
        <w:rPr>
          <w:rFonts w:hint="eastAsia"/>
          <w:b/>
          <w:bCs/>
          <w:color w:val="auto"/>
          <w:highlight w:val="none"/>
          <w:lang w:eastAsia="zh-CN"/>
        </w:rPr>
        <w:t>第四章 采购需求</w:t>
      </w:r>
      <w:bookmarkEnd w:id="121"/>
      <w:bookmarkEnd w:id="122"/>
    </w:p>
    <w:p w14:paraId="1E3F00E3">
      <w:pPr>
        <w:pStyle w:val="24"/>
        <w:numPr>
          <w:ilvl w:val="0"/>
          <w:numId w:val="2"/>
        </w:numPr>
        <w:ind w:firstLine="558"/>
        <w:rPr>
          <w:rFonts w:hAnsi="仿宋_GB2312" w:cs="仿宋_GB2312"/>
          <w:b/>
          <w:bCs/>
          <w:color w:val="auto"/>
          <w:spacing w:val="-1"/>
          <w:sz w:val="28"/>
          <w:szCs w:val="28"/>
          <w:highlight w:val="none"/>
          <w:lang w:eastAsia="zh-CN"/>
        </w:rPr>
      </w:pPr>
      <w:r>
        <w:rPr>
          <w:rFonts w:hint="eastAsia" w:hAnsi="仿宋_GB2312" w:cs="仿宋_GB2312"/>
          <w:b/>
          <w:bCs/>
          <w:color w:val="auto"/>
          <w:spacing w:val="-1"/>
          <w:sz w:val="28"/>
          <w:szCs w:val="28"/>
          <w:highlight w:val="none"/>
          <w:lang w:eastAsia="zh-CN"/>
        </w:rPr>
        <w:t>采购</w:t>
      </w:r>
      <w:bookmarkStart w:id="123" w:name="1120129-1185072-3_1"/>
      <w:bookmarkEnd w:id="123"/>
      <w:bookmarkStart w:id="124" w:name="_Toc503463633"/>
      <w:bookmarkStart w:id="125" w:name="_Toc11735"/>
      <w:bookmarkStart w:id="126" w:name="_Toc162806154"/>
      <w:bookmarkStart w:id="127" w:name="_Toc4116"/>
      <w:r>
        <w:rPr>
          <w:rFonts w:hint="eastAsia" w:hAnsi="仿宋_GB2312" w:cs="仿宋_GB2312"/>
          <w:b/>
          <w:bCs/>
          <w:color w:val="auto"/>
          <w:spacing w:val="-1"/>
          <w:sz w:val="28"/>
          <w:szCs w:val="28"/>
          <w:highlight w:val="none"/>
          <w:lang w:eastAsia="zh-CN"/>
        </w:rPr>
        <w:t>需求</w:t>
      </w:r>
    </w:p>
    <w:bookmarkEnd w:id="124"/>
    <w:bookmarkEnd w:id="125"/>
    <w:bookmarkEnd w:id="126"/>
    <w:p w14:paraId="4597B26D">
      <w:pPr>
        <w:pStyle w:val="10"/>
        <w:jc w:val="center"/>
        <w:rPr>
          <w:color w:val="auto"/>
          <w:highlight w:val="none"/>
          <w:lang w:eastAsia="zh-CN"/>
        </w:rPr>
      </w:pPr>
      <w:r>
        <w:rPr>
          <w:rFonts w:hint="eastAsia"/>
          <w:b/>
          <w:bCs/>
          <w:color w:val="auto"/>
          <w:kern w:val="2"/>
          <w:sz w:val="24"/>
          <w:szCs w:val="24"/>
          <w:highlight w:val="none"/>
          <w:lang w:eastAsia="zh-CN"/>
        </w:rPr>
        <w:t>需求清单</w:t>
      </w:r>
      <w:r>
        <w:rPr>
          <w:rFonts w:hint="eastAsia"/>
          <w:color w:val="auto"/>
          <w:kern w:val="2"/>
          <w:sz w:val="24"/>
          <w:szCs w:val="24"/>
          <w:highlight w:val="none"/>
          <w:lang w:eastAsia="zh-CN"/>
        </w:rPr>
        <w:t>（包括但不限于以下食材，采购品种及数量以实际发生为准。</w:t>
      </w:r>
      <w:r>
        <w:rPr>
          <w:rFonts w:hint="eastAsia"/>
          <w:color w:val="auto"/>
          <w:kern w:val="2"/>
          <w:sz w:val="24"/>
          <w:szCs w:val="24"/>
          <w:highlight w:val="none"/>
        </w:rPr>
        <w:t>）</w:t>
      </w:r>
    </w:p>
    <w:tbl>
      <w:tblPr>
        <w:tblStyle w:val="26"/>
        <w:tblW w:w="4998" w:type="pct"/>
        <w:tblInd w:w="0" w:type="dxa"/>
        <w:tblLayout w:type="autofit"/>
        <w:tblCellMar>
          <w:top w:w="0" w:type="dxa"/>
          <w:left w:w="108" w:type="dxa"/>
          <w:bottom w:w="0" w:type="dxa"/>
          <w:right w:w="108" w:type="dxa"/>
        </w:tblCellMar>
      </w:tblPr>
      <w:tblGrid>
        <w:gridCol w:w="696"/>
        <w:gridCol w:w="1108"/>
        <w:gridCol w:w="3650"/>
        <w:gridCol w:w="1638"/>
        <w:gridCol w:w="1436"/>
        <w:gridCol w:w="1324"/>
      </w:tblGrid>
      <w:tr w14:paraId="075063B2">
        <w:tblPrEx>
          <w:tblCellMar>
            <w:top w:w="0" w:type="dxa"/>
            <w:left w:w="108" w:type="dxa"/>
            <w:bottom w:w="0" w:type="dxa"/>
            <w:right w:w="108" w:type="dxa"/>
          </w:tblCellMar>
        </w:tblPrEx>
        <w:trPr>
          <w:trHeight w:val="99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67A4E8B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序号</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3C80D4F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品种</w:t>
            </w:r>
          </w:p>
        </w:tc>
        <w:tc>
          <w:tcPr>
            <w:tcW w:w="1884" w:type="pct"/>
            <w:tcBorders>
              <w:top w:val="single" w:color="000000" w:sz="4" w:space="0"/>
              <w:left w:val="single" w:color="000000" w:sz="4" w:space="0"/>
              <w:bottom w:val="single" w:color="000000" w:sz="4" w:space="0"/>
              <w:right w:val="single" w:color="000000" w:sz="4" w:space="0"/>
            </w:tcBorders>
            <w:noWrap/>
            <w:vAlign w:val="center"/>
          </w:tcPr>
          <w:p w14:paraId="3577578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规格型号</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3E64E42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控制单价</w:t>
            </w:r>
          </w:p>
        </w:tc>
        <w:tc>
          <w:tcPr>
            <w:tcW w:w="760" w:type="pct"/>
            <w:tcBorders>
              <w:top w:val="single" w:color="000000" w:sz="4" w:space="0"/>
              <w:left w:val="single" w:color="000000" w:sz="4" w:space="0"/>
              <w:bottom w:val="single" w:color="000000" w:sz="4" w:space="0"/>
              <w:right w:val="single" w:color="000000" w:sz="4" w:space="0"/>
            </w:tcBorders>
            <w:vAlign w:val="center"/>
          </w:tcPr>
          <w:p w14:paraId="3F91826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单位</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C44D29B">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 xml:space="preserve">    备注</w:t>
            </w:r>
          </w:p>
        </w:tc>
      </w:tr>
      <w:tr w14:paraId="1C1D9CD6">
        <w:tblPrEx>
          <w:tblCellMar>
            <w:top w:w="0" w:type="dxa"/>
            <w:left w:w="108" w:type="dxa"/>
            <w:bottom w:w="0" w:type="dxa"/>
            <w:right w:w="108" w:type="dxa"/>
          </w:tblCellMar>
        </w:tblPrEx>
        <w:trPr>
          <w:trHeight w:val="60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320D5FE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4625229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苹果</w:t>
            </w:r>
          </w:p>
        </w:tc>
        <w:tc>
          <w:tcPr>
            <w:tcW w:w="1884" w:type="pct"/>
            <w:tcBorders>
              <w:top w:val="single" w:color="000000" w:sz="4" w:space="0"/>
              <w:left w:val="single" w:color="000000" w:sz="4" w:space="0"/>
              <w:bottom w:val="single" w:color="000000" w:sz="4" w:space="0"/>
              <w:right w:val="single" w:color="000000" w:sz="4" w:space="0"/>
            </w:tcBorders>
            <w:vAlign w:val="center"/>
          </w:tcPr>
          <w:p w14:paraId="19ADF15A">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二级果、直径大于7cm，扁圆或圆形，结实、个体均匀、不变色、不干皱、无压伤。果肉鲜甜，无酸涩味。无腐烂、无明显机械伤。</w:t>
            </w:r>
          </w:p>
        </w:tc>
        <w:tc>
          <w:tcPr>
            <w:tcW w:w="863" w:type="pct"/>
            <w:tcBorders>
              <w:top w:val="single" w:color="000000" w:sz="4" w:space="0"/>
              <w:left w:val="nil"/>
              <w:bottom w:val="single" w:color="000000" w:sz="4" w:space="0"/>
              <w:right w:val="single" w:color="000000" w:sz="4" w:space="0"/>
            </w:tcBorders>
            <w:vAlign w:val="center"/>
          </w:tcPr>
          <w:p w14:paraId="4110B707">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报价折扣</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394A5D4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700" w:type="pct"/>
            <w:vMerge w:val="restart"/>
            <w:tcBorders>
              <w:top w:val="single" w:color="000000" w:sz="4" w:space="0"/>
              <w:left w:val="single" w:color="000000" w:sz="4" w:space="0"/>
              <w:bottom w:val="single" w:color="000000" w:sz="4" w:space="0"/>
              <w:right w:val="single" w:color="000000" w:sz="4" w:space="0"/>
            </w:tcBorders>
            <w:vAlign w:val="center"/>
          </w:tcPr>
          <w:p w14:paraId="74E8A562">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报价在控制价基础</w:t>
            </w:r>
            <w:r>
              <w:rPr>
                <w:rFonts w:hint="eastAsia" w:ascii="仿宋" w:hAnsi="仿宋" w:eastAsia="仿宋" w:cs="仿宋"/>
                <w:color w:val="auto"/>
                <w:sz w:val="24"/>
                <w:szCs w:val="24"/>
                <w:highlight w:val="none"/>
                <w:lang w:eastAsia="zh-CN" w:bidi="ar"/>
              </w:rPr>
              <w:br w:type="textWrapping"/>
            </w:r>
            <w:r>
              <w:rPr>
                <w:rFonts w:hint="eastAsia" w:ascii="仿宋" w:hAnsi="仿宋" w:eastAsia="仿宋" w:cs="仿宋"/>
                <w:color w:val="auto"/>
                <w:sz w:val="24"/>
                <w:szCs w:val="24"/>
                <w:highlight w:val="none"/>
                <w:lang w:eastAsia="zh-CN" w:bidi="ar"/>
              </w:rPr>
              <w:t>上报折扣</w:t>
            </w:r>
          </w:p>
        </w:tc>
      </w:tr>
      <w:tr w14:paraId="2B0B7396">
        <w:tblPrEx>
          <w:tblCellMar>
            <w:top w:w="0" w:type="dxa"/>
            <w:left w:w="108" w:type="dxa"/>
            <w:bottom w:w="0" w:type="dxa"/>
            <w:right w:w="108" w:type="dxa"/>
          </w:tblCellMar>
        </w:tblPrEx>
        <w:trPr>
          <w:trHeight w:val="60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3716775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73EDF86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橙子</w:t>
            </w:r>
          </w:p>
        </w:tc>
        <w:tc>
          <w:tcPr>
            <w:tcW w:w="1884" w:type="pct"/>
            <w:tcBorders>
              <w:top w:val="single" w:color="000000" w:sz="4" w:space="0"/>
              <w:left w:val="single" w:color="000000" w:sz="4" w:space="0"/>
              <w:bottom w:val="single" w:color="000000" w:sz="4" w:space="0"/>
              <w:right w:val="single" w:color="000000" w:sz="4" w:space="0"/>
            </w:tcBorders>
            <w:vAlign w:val="center"/>
          </w:tcPr>
          <w:p w14:paraId="0B5FB4E1">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果皮光滑有色泽、无压伤，无明显病斑、虫眼，口感甘甜多汁，酸甜比例适中，无腐烂、无明显机械伤。</w:t>
            </w:r>
          </w:p>
        </w:tc>
        <w:tc>
          <w:tcPr>
            <w:tcW w:w="863" w:type="pct"/>
            <w:tcBorders>
              <w:top w:val="single" w:color="000000" w:sz="4" w:space="0"/>
              <w:left w:val="nil"/>
              <w:bottom w:val="single" w:color="000000" w:sz="4" w:space="0"/>
              <w:right w:val="single" w:color="000000" w:sz="4" w:space="0"/>
            </w:tcBorders>
            <w:vAlign w:val="center"/>
          </w:tcPr>
          <w:p w14:paraId="71AAE265">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报价折扣</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43BC218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35FBE12">
            <w:pPr>
              <w:jc w:val="center"/>
              <w:rPr>
                <w:rFonts w:ascii="仿宋" w:hAnsi="仿宋" w:eastAsia="仿宋" w:cs="仿宋"/>
                <w:color w:val="auto"/>
                <w:sz w:val="24"/>
                <w:szCs w:val="24"/>
                <w:highlight w:val="none"/>
              </w:rPr>
            </w:pPr>
          </w:p>
        </w:tc>
      </w:tr>
      <w:tr w14:paraId="2B647EF8">
        <w:tblPrEx>
          <w:tblCellMar>
            <w:top w:w="0" w:type="dxa"/>
            <w:left w:w="108" w:type="dxa"/>
            <w:bottom w:w="0" w:type="dxa"/>
            <w:right w:w="108" w:type="dxa"/>
          </w:tblCellMar>
        </w:tblPrEx>
        <w:trPr>
          <w:trHeight w:val="60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715DFA0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3D4F16F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梨子</w:t>
            </w:r>
          </w:p>
        </w:tc>
        <w:tc>
          <w:tcPr>
            <w:tcW w:w="1884" w:type="pct"/>
            <w:tcBorders>
              <w:top w:val="single" w:color="000000" w:sz="4" w:space="0"/>
              <w:left w:val="single" w:color="000000" w:sz="4" w:space="0"/>
              <w:bottom w:val="single" w:color="000000" w:sz="4" w:space="0"/>
              <w:right w:val="single" w:color="000000" w:sz="4" w:space="0"/>
            </w:tcBorders>
            <w:vAlign w:val="center"/>
          </w:tcPr>
          <w:p w14:paraId="1E311C29">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二级果，重量大于80g,果面光洁，无明显病虫害损伤，口感酸甜适中，无腐烂、无明显机械伤。</w:t>
            </w:r>
          </w:p>
        </w:tc>
        <w:tc>
          <w:tcPr>
            <w:tcW w:w="863" w:type="pct"/>
            <w:tcBorders>
              <w:top w:val="single" w:color="000000" w:sz="4" w:space="0"/>
              <w:left w:val="nil"/>
              <w:bottom w:val="single" w:color="000000" w:sz="4" w:space="0"/>
              <w:right w:val="single" w:color="000000" w:sz="4" w:space="0"/>
            </w:tcBorders>
            <w:vAlign w:val="center"/>
          </w:tcPr>
          <w:p w14:paraId="5D12123B">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报价折扣</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19524A4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04F7A43E">
            <w:pPr>
              <w:jc w:val="center"/>
              <w:rPr>
                <w:rFonts w:ascii="仿宋" w:hAnsi="仿宋" w:eastAsia="仿宋" w:cs="仿宋"/>
                <w:color w:val="auto"/>
                <w:sz w:val="24"/>
                <w:szCs w:val="24"/>
                <w:highlight w:val="none"/>
              </w:rPr>
            </w:pPr>
          </w:p>
        </w:tc>
      </w:tr>
      <w:tr w14:paraId="78B094EF">
        <w:tblPrEx>
          <w:tblCellMar>
            <w:top w:w="0" w:type="dxa"/>
            <w:left w:w="108" w:type="dxa"/>
            <w:bottom w:w="0" w:type="dxa"/>
            <w:right w:w="108" w:type="dxa"/>
          </w:tblCellMar>
        </w:tblPrEx>
        <w:trPr>
          <w:trHeight w:val="60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4967BC8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2BB81EA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桃类</w:t>
            </w:r>
          </w:p>
        </w:tc>
        <w:tc>
          <w:tcPr>
            <w:tcW w:w="1884" w:type="pct"/>
            <w:tcBorders>
              <w:top w:val="single" w:color="000000" w:sz="4" w:space="0"/>
              <w:left w:val="single" w:color="000000" w:sz="4" w:space="0"/>
              <w:bottom w:val="single" w:color="000000" w:sz="4" w:space="0"/>
              <w:right w:val="single" w:color="000000" w:sz="4" w:space="0"/>
            </w:tcBorders>
            <w:vAlign w:val="center"/>
          </w:tcPr>
          <w:p w14:paraId="517C8219">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果皮光滑有色泽、不过熟略硬、果肉香甜，无腐烂、无明显机械伤。</w:t>
            </w:r>
          </w:p>
        </w:tc>
        <w:tc>
          <w:tcPr>
            <w:tcW w:w="863" w:type="pct"/>
            <w:tcBorders>
              <w:top w:val="single" w:color="000000" w:sz="4" w:space="0"/>
              <w:left w:val="nil"/>
              <w:bottom w:val="single" w:color="000000" w:sz="4" w:space="0"/>
              <w:right w:val="single" w:color="000000" w:sz="4" w:space="0"/>
            </w:tcBorders>
            <w:vAlign w:val="center"/>
          </w:tcPr>
          <w:p w14:paraId="3097D0F9">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报价折扣</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4B38BCC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5AAEA303">
            <w:pPr>
              <w:jc w:val="center"/>
              <w:rPr>
                <w:rFonts w:ascii="仿宋" w:hAnsi="仿宋" w:eastAsia="仿宋" w:cs="仿宋"/>
                <w:color w:val="auto"/>
                <w:sz w:val="24"/>
                <w:szCs w:val="24"/>
                <w:highlight w:val="none"/>
              </w:rPr>
            </w:pPr>
          </w:p>
        </w:tc>
      </w:tr>
      <w:tr w14:paraId="256E0A62">
        <w:tblPrEx>
          <w:tblCellMar>
            <w:top w:w="0" w:type="dxa"/>
            <w:left w:w="108" w:type="dxa"/>
            <w:bottom w:w="0" w:type="dxa"/>
            <w:right w:w="108" w:type="dxa"/>
          </w:tblCellMar>
        </w:tblPrEx>
        <w:trPr>
          <w:trHeight w:val="60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294E95C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46D4BDF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葡萄类</w:t>
            </w:r>
          </w:p>
        </w:tc>
        <w:tc>
          <w:tcPr>
            <w:tcW w:w="1884" w:type="pct"/>
            <w:tcBorders>
              <w:top w:val="single" w:color="000000" w:sz="4" w:space="0"/>
              <w:left w:val="single" w:color="000000" w:sz="4" w:space="0"/>
              <w:bottom w:val="single" w:color="000000" w:sz="4" w:space="0"/>
              <w:right w:val="single" w:color="000000" w:sz="4" w:space="0"/>
            </w:tcBorders>
            <w:vAlign w:val="center"/>
          </w:tcPr>
          <w:p w14:paraId="6A89BD25">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大小均匀、无压伤，酸甜度适中，无腐烂。</w:t>
            </w:r>
          </w:p>
        </w:tc>
        <w:tc>
          <w:tcPr>
            <w:tcW w:w="863" w:type="pct"/>
            <w:tcBorders>
              <w:top w:val="single" w:color="000000" w:sz="4" w:space="0"/>
              <w:left w:val="nil"/>
              <w:bottom w:val="single" w:color="000000" w:sz="4" w:space="0"/>
              <w:right w:val="single" w:color="000000" w:sz="4" w:space="0"/>
            </w:tcBorders>
            <w:vAlign w:val="center"/>
          </w:tcPr>
          <w:p w14:paraId="412A28A8">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报价折扣</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0966844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CEE84EB">
            <w:pPr>
              <w:jc w:val="center"/>
              <w:rPr>
                <w:rFonts w:ascii="仿宋" w:hAnsi="仿宋" w:eastAsia="仿宋" w:cs="仿宋"/>
                <w:color w:val="auto"/>
                <w:sz w:val="24"/>
                <w:szCs w:val="24"/>
                <w:highlight w:val="none"/>
              </w:rPr>
            </w:pPr>
          </w:p>
        </w:tc>
      </w:tr>
      <w:tr w14:paraId="5BCBE087">
        <w:tblPrEx>
          <w:tblCellMar>
            <w:top w:w="0" w:type="dxa"/>
            <w:left w:w="108" w:type="dxa"/>
            <w:bottom w:w="0" w:type="dxa"/>
            <w:right w:w="108" w:type="dxa"/>
          </w:tblCellMar>
        </w:tblPrEx>
        <w:trPr>
          <w:trHeight w:val="60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0991115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1D540CB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瓜类</w:t>
            </w:r>
          </w:p>
        </w:tc>
        <w:tc>
          <w:tcPr>
            <w:tcW w:w="1884" w:type="pct"/>
            <w:tcBorders>
              <w:top w:val="single" w:color="000000" w:sz="4" w:space="0"/>
              <w:left w:val="single" w:color="000000" w:sz="4" w:space="0"/>
              <w:bottom w:val="single" w:color="000000" w:sz="4" w:space="0"/>
              <w:right w:val="single" w:color="000000" w:sz="4" w:space="0"/>
            </w:tcBorders>
            <w:vAlign w:val="center"/>
          </w:tcPr>
          <w:p w14:paraId="3C7923A5">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无开裂、压伤、每个重量约5-8kg，果瓤新鲜、香甜，成熟度适中。</w:t>
            </w:r>
          </w:p>
        </w:tc>
        <w:tc>
          <w:tcPr>
            <w:tcW w:w="863" w:type="pct"/>
            <w:tcBorders>
              <w:top w:val="single" w:color="000000" w:sz="4" w:space="0"/>
              <w:left w:val="nil"/>
              <w:bottom w:val="single" w:color="000000" w:sz="4" w:space="0"/>
              <w:right w:val="single" w:color="000000" w:sz="4" w:space="0"/>
            </w:tcBorders>
            <w:vAlign w:val="center"/>
          </w:tcPr>
          <w:p w14:paraId="0E59563F">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报价折扣</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144E788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2173352E">
            <w:pPr>
              <w:jc w:val="center"/>
              <w:rPr>
                <w:rFonts w:ascii="仿宋" w:hAnsi="仿宋" w:eastAsia="仿宋" w:cs="仿宋"/>
                <w:color w:val="auto"/>
                <w:sz w:val="24"/>
                <w:szCs w:val="24"/>
                <w:highlight w:val="none"/>
              </w:rPr>
            </w:pPr>
          </w:p>
        </w:tc>
      </w:tr>
      <w:tr w14:paraId="4DAF00CF">
        <w:tblPrEx>
          <w:tblCellMar>
            <w:top w:w="0" w:type="dxa"/>
            <w:left w:w="108" w:type="dxa"/>
            <w:bottom w:w="0" w:type="dxa"/>
            <w:right w:w="108" w:type="dxa"/>
          </w:tblCellMar>
        </w:tblPrEx>
        <w:trPr>
          <w:trHeight w:val="60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37718B7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19FF0CD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香蕉</w:t>
            </w:r>
          </w:p>
        </w:tc>
        <w:tc>
          <w:tcPr>
            <w:tcW w:w="1884" w:type="pct"/>
            <w:tcBorders>
              <w:top w:val="single" w:color="000000" w:sz="4" w:space="0"/>
              <w:left w:val="single" w:color="000000" w:sz="4" w:space="0"/>
              <w:bottom w:val="single" w:color="000000" w:sz="4" w:space="0"/>
              <w:right w:val="single" w:color="000000" w:sz="4" w:space="0"/>
            </w:tcBorders>
            <w:vAlign w:val="center"/>
          </w:tcPr>
          <w:p w14:paraId="689CAD68">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果实象牙状、软糯香甜、每板香蕉不少于7支、每只长15cm以上、每只单克约60克。</w:t>
            </w:r>
          </w:p>
        </w:tc>
        <w:tc>
          <w:tcPr>
            <w:tcW w:w="863" w:type="pct"/>
            <w:tcBorders>
              <w:top w:val="single" w:color="000000" w:sz="4" w:space="0"/>
              <w:left w:val="nil"/>
              <w:bottom w:val="single" w:color="000000" w:sz="4" w:space="0"/>
              <w:right w:val="single" w:color="000000" w:sz="4" w:space="0"/>
            </w:tcBorders>
            <w:vAlign w:val="center"/>
          </w:tcPr>
          <w:p w14:paraId="5DB5610C">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报价折扣</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1258E34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7713CD11">
            <w:pPr>
              <w:jc w:val="center"/>
              <w:rPr>
                <w:rFonts w:ascii="仿宋" w:hAnsi="仿宋" w:eastAsia="仿宋" w:cs="仿宋"/>
                <w:color w:val="auto"/>
                <w:sz w:val="24"/>
                <w:szCs w:val="24"/>
                <w:highlight w:val="none"/>
              </w:rPr>
            </w:pPr>
          </w:p>
        </w:tc>
      </w:tr>
      <w:tr w14:paraId="12B8590F">
        <w:tblPrEx>
          <w:tblCellMar>
            <w:top w:w="0" w:type="dxa"/>
            <w:left w:w="108" w:type="dxa"/>
            <w:bottom w:w="0" w:type="dxa"/>
            <w:right w:w="108" w:type="dxa"/>
          </w:tblCellMar>
        </w:tblPrEx>
        <w:trPr>
          <w:trHeight w:val="60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4DBED3C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w:t>
            </w:r>
          </w:p>
        </w:tc>
        <w:tc>
          <w:tcPr>
            <w:tcW w:w="594" w:type="pct"/>
            <w:tcBorders>
              <w:top w:val="single" w:color="000000" w:sz="4" w:space="0"/>
              <w:left w:val="single" w:color="000000" w:sz="4" w:space="0"/>
              <w:bottom w:val="nil"/>
              <w:right w:val="nil"/>
            </w:tcBorders>
            <w:noWrap/>
            <w:vAlign w:val="center"/>
          </w:tcPr>
          <w:p w14:paraId="2CD027B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猕猴桃</w:t>
            </w:r>
          </w:p>
        </w:tc>
        <w:tc>
          <w:tcPr>
            <w:tcW w:w="1884" w:type="pct"/>
            <w:tcBorders>
              <w:top w:val="single" w:color="000000" w:sz="4" w:space="0"/>
              <w:left w:val="single" w:color="000000" w:sz="4" w:space="0"/>
              <w:bottom w:val="single" w:color="000000" w:sz="4" w:space="0"/>
              <w:right w:val="single" w:color="000000" w:sz="4" w:space="0"/>
            </w:tcBorders>
            <w:vAlign w:val="center"/>
          </w:tcPr>
          <w:p w14:paraId="48900220">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果皮光滑有色泽、不过熟略硬、果肉香甜，无腐烂。</w:t>
            </w:r>
          </w:p>
        </w:tc>
        <w:tc>
          <w:tcPr>
            <w:tcW w:w="863" w:type="pct"/>
            <w:tcBorders>
              <w:top w:val="single" w:color="000000" w:sz="4" w:space="0"/>
              <w:left w:val="nil"/>
              <w:bottom w:val="single" w:color="000000" w:sz="4" w:space="0"/>
              <w:right w:val="single" w:color="000000" w:sz="4" w:space="0"/>
            </w:tcBorders>
            <w:vAlign w:val="center"/>
          </w:tcPr>
          <w:p w14:paraId="57AE6861">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报价折扣</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58E73A8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39BC954C">
            <w:pPr>
              <w:jc w:val="center"/>
              <w:rPr>
                <w:rFonts w:ascii="仿宋" w:hAnsi="仿宋" w:eastAsia="仿宋" w:cs="仿宋"/>
                <w:color w:val="auto"/>
                <w:sz w:val="24"/>
                <w:szCs w:val="24"/>
                <w:highlight w:val="none"/>
              </w:rPr>
            </w:pPr>
          </w:p>
        </w:tc>
      </w:tr>
      <w:tr w14:paraId="504CC760">
        <w:tblPrEx>
          <w:tblCellMar>
            <w:top w:w="0" w:type="dxa"/>
            <w:left w:w="108" w:type="dxa"/>
            <w:bottom w:w="0" w:type="dxa"/>
            <w:right w:w="108" w:type="dxa"/>
          </w:tblCellMar>
        </w:tblPrEx>
        <w:trPr>
          <w:trHeight w:val="600" w:hRule="atLeast"/>
        </w:trPr>
        <w:tc>
          <w:tcPr>
            <w:tcW w:w="196" w:type="pct"/>
            <w:tcBorders>
              <w:top w:val="single" w:color="000000" w:sz="4" w:space="0"/>
              <w:left w:val="single" w:color="000000" w:sz="4" w:space="0"/>
              <w:bottom w:val="single" w:color="000000" w:sz="4" w:space="0"/>
              <w:right w:val="single" w:color="000000" w:sz="4" w:space="0"/>
            </w:tcBorders>
            <w:noWrap/>
            <w:vAlign w:val="center"/>
          </w:tcPr>
          <w:p w14:paraId="453D3CC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9</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5950D40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橘子</w:t>
            </w:r>
          </w:p>
        </w:tc>
        <w:tc>
          <w:tcPr>
            <w:tcW w:w="1884" w:type="pct"/>
            <w:tcBorders>
              <w:top w:val="single" w:color="000000" w:sz="4" w:space="0"/>
              <w:left w:val="single" w:color="000000" w:sz="4" w:space="0"/>
              <w:bottom w:val="single" w:color="000000" w:sz="4" w:space="0"/>
              <w:right w:val="single" w:color="000000" w:sz="4" w:space="0"/>
            </w:tcBorders>
            <w:vAlign w:val="center"/>
          </w:tcPr>
          <w:p w14:paraId="0CE35D40">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果皮光滑有色泽、无压伤，无腐烂。</w:t>
            </w:r>
          </w:p>
        </w:tc>
        <w:tc>
          <w:tcPr>
            <w:tcW w:w="863" w:type="pct"/>
            <w:tcBorders>
              <w:top w:val="single" w:color="000000" w:sz="4" w:space="0"/>
              <w:left w:val="nil"/>
              <w:bottom w:val="single" w:color="000000" w:sz="4" w:space="0"/>
              <w:right w:val="single" w:color="000000" w:sz="4" w:space="0"/>
            </w:tcBorders>
            <w:vAlign w:val="center"/>
          </w:tcPr>
          <w:p w14:paraId="097D1D05">
            <w:pP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报价折扣</w:t>
            </w:r>
          </w:p>
        </w:tc>
        <w:tc>
          <w:tcPr>
            <w:tcW w:w="760" w:type="pct"/>
            <w:tcBorders>
              <w:top w:val="single" w:color="000000" w:sz="4" w:space="0"/>
              <w:left w:val="single" w:color="000000" w:sz="4" w:space="0"/>
              <w:bottom w:val="single" w:color="000000" w:sz="4" w:space="0"/>
              <w:right w:val="single" w:color="000000" w:sz="4" w:space="0"/>
            </w:tcBorders>
            <w:noWrap/>
            <w:vAlign w:val="center"/>
          </w:tcPr>
          <w:p w14:paraId="1FCF083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700" w:type="pct"/>
            <w:vMerge w:val="continue"/>
            <w:tcBorders>
              <w:top w:val="single" w:color="000000" w:sz="4" w:space="0"/>
              <w:left w:val="single" w:color="000000" w:sz="4" w:space="0"/>
              <w:bottom w:val="single" w:color="000000" w:sz="4" w:space="0"/>
              <w:right w:val="single" w:color="000000" w:sz="4" w:space="0"/>
            </w:tcBorders>
            <w:vAlign w:val="center"/>
          </w:tcPr>
          <w:p w14:paraId="647AA65A">
            <w:pPr>
              <w:jc w:val="center"/>
              <w:rPr>
                <w:rFonts w:ascii="仿宋" w:hAnsi="仿宋" w:eastAsia="仿宋" w:cs="仿宋"/>
                <w:color w:val="auto"/>
                <w:sz w:val="24"/>
                <w:szCs w:val="24"/>
                <w:highlight w:val="none"/>
              </w:rPr>
            </w:pPr>
          </w:p>
        </w:tc>
      </w:tr>
      <w:tr w14:paraId="3498389A">
        <w:tblPrEx>
          <w:tblCellMar>
            <w:top w:w="0" w:type="dxa"/>
            <w:left w:w="108" w:type="dxa"/>
            <w:bottom w:w="0" w:type="dxa"/>
            <w:right w:w="108" w:type="dxa"/>
          </w:tblCellMar>
        </w:tblPrEx>
        <w:trPr>
          <w:trHeight w:val="1695"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2C89914E">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备注：招标以上货物含但不仅限于，苹果：结实、个体均匀、不变色、不干皱、无压伤。桃类：果皮光滑有色泽、不过熟略硬、果肉香甜。葡萄类：大小均匀、无压伤。瓜类：无开裂、压伤、每个重约5-6kg。香蕉：果实象牙状、软糯香甜、每板香蕉不少于7支、每只长10cm以上、每只单克约60克。橘子橙子：果皮光滑有色泽、无压伤。所有水果必须有农药残留检测报告。</w:t>
            </w:r>
          </w:p>
        </w:tc>
      </w:tr>
    </w:tbl>
    <w:p w14:paraId="4EC02890">
      <w:pPr>
        <w:pStyle w:val="11"/>
        <w:rPr>
          <w:color w:val="auto"/>
          <w:highlight w:val="none"/>
          <w:lang w:eastAsia="zh-CN"/>
        </w:rPr>
      </w:pPr>
    </w:p>
    <w:p w14:paraId="3CE0F421">
      <w:pPr>
        <w:rPr>
          <w:rFonts w:ascii="仿宋_GB2312" w:hAnsi="仿宋_GB2312" w:eastAsia="仿宋_GB2312" w:cs="仿宋_GB2312"/>
          <w:bCs/>
          <w:snapToGrid/>
          <w:color w:val="auto"/>
          <w:kern w:val="2"/>
          <w:sz w:val="24"/>
          <w:szCs w:val="24"/>
          <w:highlight w:val="none"/>
          <w:lang w:eastAsia="zh-CN"/>
        </w:rPr>
      </w:pPr>
      <w:r>
        <w:rPr>
          <w:rFonts w:hint="eastAsia" w:ascii="仿宋_GB2312" w:hAnsi="仿宋_GB2312" w:eastAsia="仿宋_GB2312" w:cs="仿宋_GB2312"/>
          <w:bCs/>
          <w:snapToGrid/>
          <w:color w:val="auto"/>
          <w:kern w:val="2"/>
          <w:sz w:val="24"/>
          <w:szCs w:val="24"/>
          <w:highlight w:val="none"/>
          <w:lang w:val="zh-TW" w:eastAsia="zh-TW"/>
        </w:rPr>
        <w:t>备注：</w:t>
      </w:r>
      <w:r>
        <w:rPr>
          <w:rFonts w:hint="eastAsia" w:ascii="仿宋_GB2312" w:hAnsi="仿宋_GB2312" w:eastAsia="仿宋_GB2312" w:cs="仿宋_GB2312"/>
          <w:bCs/>
          <w:snapToGrid/>
          <w:color w:val="auto"/>
          <w:kern w:val="2"/>
          <w:sz w:val="24"/>
          <w:szCs w:val="24"/>
          <w:highlight w:val="none"/>
          <w:lang w:eastAsia="zh-CN"/>
        </w:rPr>
        <w:t>1、</w:t>
      </w:r>
      <w:r>
        <w:rPr>
          <w:rFonts w:hint="eastAsia" w:ascii="仿宋_GB2312" w:hAnsi="仿宋_GB2312" w:eastAsia="仿宋_GB2312" w:cs="仿宋_GB2312"/>
          <w:bCs/>
          <w:snapToGrid/>
          <w:color w:val="auto"/>
          <w:kern w:val="2"/>
          <w:sz w:val="24"/>
          <w:szCs w:val="24"/>
          <w:highlight w:val="none"/>
          <w:lang w:val="zh-TW" w:eastAsia="zh-TW"/>
        </w:rPr>
        <w:t>所有产品品目基准价统一按照北园春集团网站（http://www.beiyuanchun.com）公布的价格（中间价）为基准价</w:t>
      </w:r>
      <w:r>
        <w:rPr>
          <w:rFonts w:hint="eastAsia" w:ascii="仿宋_GB2312" w:hAnsi="仿宋_GB2312" w:eastAsia="仿宋_GB2312" w:cs="仿宋_GB2312"/>
          <w:bCs/>
          <w:snapToGrid/>
          <w:color w:val="auto"/>
          <w:kern w:val="2"/>
          <w:sz w:val="24"/>
          <w:szCs w:val="24"/>
          <w:highlight w:val="none"/>
          <w:lang w:val="zh-TW" w:eastAsia="zh-CN"/>
        </w:rPr>
        <w:t>，</w:t>
      </w:r>
      <w:r>
        <w:rPr>
          <w:rFonts w:hint="eastAsia" w:ascii="仿宋_GB2312" w:hAnsi="仿宋_GB2312" w:eastAsia="仿宋_GB2312" w:cs="仿宋_GB2312"/>
          <w:bCs/>
          <w:snapToGrid/>
          <w:color w:val="auto"/>
          <w:kern w:val="2"/>
          <w:sz w:val="24"/>
          <w:szCs w:val="24"/>
          <w:highlight w:val="none"/>
          <w:lang w:val="zh-TW" w:eastAsia="zh-TW"/>
        </w:rPr>
        <w:t>结算价=基准价×</w:t>
      </w:r>
      <w:r>
        <w:rPr>
          <w:rFonts w:hint="eastAsia" w:ascii="仿宋_GB2312" w:hAnsi="仿宋_GB2312" w:eastAsia="仿宋_GB2312" w:cs="仿宋_GB2312"/>
          <w:bCs/>
          <w:snapToGrid/>
          <w:color w:val="auto"/>
          <w:kern w:val="2"/>
          <w:sz w:val="24"/>
          <w:szCs w:val="24"/>
          <w:highlight w:val="none"/>
          <w:lang w:eastAsia="zh-CN"/>
        </w:rPr>
        <w:t>报价折扣。</w:t>
      </w:r>
    </w:p>
    <w:p w14:paraId="1D026B56">
      <w:pPr>
        <w:rPr>
          <w:rFonts w:ascii="仿宋_GB2312" w:hAnsi="仿宋_GB2312" w:eastAsia="仿宋_GB2312" w:cs="仿宋_GB2312"/>
          <w:bCs/>
          <w:snapToGrid/>
          <w:color w:val="auto"/>
          <w:kern w:val="2"/>
          <w:sz w:val="24"/>
          <w:szCs w:val="24"/>
          <w:highlight w:val="none"/>
          <w:lang w:eastAsia="zh-CN"/>
        </w:rPr>
      </w:pPr>
      <w:r>
        <w:rPr>
          <w:rFonts w:hint="eastAsia" w:ascii="仿宋_GB2312" w:hAnsi="仿宋_GB2312" w:eastAsia="仿宋_GB2312" w:cs="仿宋_GB2312"/>
          <w:bCs/>
          <w:snapToGrid/>
          <w:color w:val="auto"/>
          <w:kern w:val="2"/>
          <w:sz w:val="24"/>
          <w:szCs w:val="24"/>
          <w:highlight w:val="none"/>
          <w:lang w:eastAsia="zh-CN"/>
        </w:rPr>
        <w:t>2</w:t>
      </w:r>
      <w:r>
        <w:rPr>
          <w:rFonts w:hint="eastAsia" w:ascii="仿宋_GB2312" w:hAnsi="仿宋_GB2312" w:eastAsia="仿宋_GB2312" w:cs="仿宋_GB2312"/>
          <w:bCs/>
          <w:snapToGrid/>
          <w:color w:val="auto"/>
          <w:kern w:val="2"/>
          <w:sz w:val="24"/>
          <w:szCs w:val="24"/>
          <w:highlight w:val="none"/>
          <w:lang w:val="zh-TW" w:eastAsia="zh-CN"/>
        </w:rPr>
        <w:t>、</w:t>
      </w:r>
      <w:r>
        <w:rPr>
          <w:rFonts w:hint="eastAsia" w:ascii="仿宋_GB2312" w:hAnsi="仿宋_GB2312" w:eastAsia="仿宋_GB2312" w:cs="仿宋_GB2312"/>
          <w:bCs/>
          <w:snapToGrid/>
          <w:color w:val="auto"/>
          <w:kern w:val="2"/>
          <w:sz w:val="24"/>
          <w:szCs w:val="24"/>
          <w:highlight w:val="none"/>
          <w:lang w:eastAsia="zh-CN"/>
        </w:rPr>
        <w:t>甲方已给定最高限价的商品，</w:t>
      </w:r>
      <w:r>
        <w:rPr>
          <w:rFonts w:hint="eastAsia" w:ascii="仿宋_GB2312" w:hAnsi="仿宋_GB2312" w:eastAsia="仿宋_GB2312" w:cs="仿宋_GB2312"/>
          <w:bCs/>
          <w:snapToGrid/>
          <w:color w:val="auto"/>
          <w:kern w:val="2"/>
          <w:sz w:val="24"/>
          <w:szCs w:val="24"/>
          <w:highlight w:val="none"/>
          <w:lang w:val="zh-TW" w:eastAsia="zh-TW"/>
        </w:rPr>
        <w:t>需参照甲方提前公布的品目最高限价为基准价</w:t>
      </w:r>
      <w:r>
        <w:rPr>
          <w:rFonts w:hint="eastAsia" w:ascii="仿宋_GB2312" w:hAnsi="仿宋_GB2312" w:eastAsia="仿宋_GB2312" w:cs="仿宋_GB2312"/>
          <w:bCs/>
          <w:snapToGrid/>
          <w:color w:val="auto"/>
          <w:kern w:val="2"/>
          <w:sz w:val="24"/>
          <w:szCs w:val="24"/>
          <w:highlight w:val="none"/>
          <w:lang w:eastAsia="zh-CN"/>
        </w:rPr>
        <w:t>为基准价，进行报价折扣，</w:t>
      </w:r>
      <w:r>
        <w:rPr>
          <w:rFonts w:hint="eastAsia" w:ascii="仿宋_GB2312" w:hAnsi="仿宋_GB2312" w:eastAsia="仿宋_GB2312" w:cs="仿宋_GB2312"/>
          <w:bCs/>
          <w:snapToGrid/>
          <w:color w:val="auto"/>
          <w:kern w:val="2"/>
          <w:sz w:val="24"/>
          <w:szCs w:val="24"/>
          <w:highlight w:val="none"/>
          <w:lang w:val="zh-TW" w:eastAsia="zh-TW"/>
        </w:rPr>
        <w:t>结算价=基准价×</w:t>
      </w:r>
      <w:r>
        <w:rPr>
          <w:rFonts w:hint="eastAsia" w:ascii="仿宋_GB2312" w:hAnsi="仿宋_GB2312" w:eastAsia="仿宋_GB2312" w:cs="仿宋_GB2312"/>
          <w:bCs/>
          <w:snapToGrid/>
          <w:color w:val="auto"/>
          <w:kern w:val="2"/>
          <w:sz w:val="24"/>
          <w:szCs w:val="24"/>
          <w:highlight w:val="none"/>
          <w:lang w:eastAsia="zh-CN"/>
        </w:rPr>
        <w:t>报价折扣。</w:t>
      </w:r>
      <w:r>
        <w:rPr>
          <w:rFonts w:hint="eastAsia" w:ascii="仿宋_GB2312" w:hAnsi="仿宋_GB2312" w:eastAsia="仿宋_GB2312" w:cs="仿宋_GB2312"/>
          <w:bCs/>
          <w:snapToGrid/>
          <w:color w:val="auto"/>
          <w:kern w:val="2"/>
          <w:sz w:val="24"/>
          <w:szCs w:val="24"/>
          <w:highlight w:val="none"/>
          <w:lang w:val="zh-TW" w:eastAsia="zh-TW"/>
        </w:rPr>
        <w:t>经报价的品目，价格经双方确定后，合同期间内，不因市场行情波动、季节更迭、原材料涨跌及其他外部因素调整变动，定价固定不变。</w:t>
      </w:r>
    </w:p>
    <w:p w14:paraId="00DC7174">
      <w:pPr>
        <w:rPr>
          <w:rFonts w:ascii="仿宋_GB2312" w:hAnsi="仿宋_GB2312" w:eastAsia="仿宋_GB2312" w:cs="仿宋_GB2312"/>
          <w:b/>
          <w:bCs/>
          <w:color w:val="auto"/>
          <w:spacing w:val="4"/>
          <w:sz w:val="31"/>
          <w:szCs w:val="31"/>
          <w:highlight w:val="none"/>
          <w:lang w:eastAsia="zh-CN"/>
        </w:rPr>
      </w:pPr>
      <w:r>
        <w:rPr>
          <w:rFonts w:hint="eastAsia" w:ascii="仿宋_GB2312" w:hAnsi="仿宋_GB2312" w:eastAsia="仿宋_GB2312" w:cs="仿宋_GB2312"/>
          <w:bCs/>
          <w:snapToGrid/>
          <w:color w:val="auto"/>
          <w:kern w:val="2"/>
          <w:sz w:val="24"/>
          <w:szCs w:val="24"/>
          <w:highlight w:val="none"/>
          <w:lang w:eastAsia="zh-CN"/>
        </w:rPr>
        <w:t>3、</w:t>
      </w:r>
      <w:r>
        <w:rPr>
          <w:rFonts w:hint="eastAsia" w:ascii="仿宋_GB2312" w:hAnsi="仿宋_GB2312" w:eastAsia="仿宋_GB2312" w:cs="仿宋_GB2312"/>
          <w:bCs/>
          <w:snapToGrid/>
          <w:color w:val="auto"/>
          <w:kern w:val="2"/>
          <w:sz w:val="24"/>
          <w:szCs w:val="24"/>
          <w:highlight w:val="none"/>
          <w:lang w:val="zh-TW" w:eastAsia="zh-TW"/>
        </w:rPr>
        <w:t>北园春市场没有公示价格的产品，也不在甲方列出的最高限价品目中</w:t>
      </w:r>
      <w:r>
        <w:rPr>
          <w:rFonts w:hint="eastAsia" w:ascii="仿宋_GB2312" w:hAnsi="仿宋_GB2312" w:eastAsia="仿宋_GB2312" w:cs="仿宋_GB2312"/>
          <w:bCs/>
          <w:snapToGrid/>
          <w:color w:val="auto"/>
          <w:kern w:val="2"/>
          <w:sz w:val="24"/>
          <w:szCs w:val="24"/>
          <w:highlight w:val="none"/>
          <w:lang w:val="zh-TW" w:eastAsia="zh-CN"/>
        </w:rPr>
        <w:t>，</w:t>
      </w:r>
      <w:r>
        <w:rPr>
          <w:rFonts w:hint="eastAsia" w:ascii="仿宋_GB2312" w:hAnsi="仿宋_GB2312" w:eastAsia="仿宋_GB2312" w:cs="仿宋_GB2312"/>
          <w:bCs/>
          <w:snapToGrid/>
          <w:color w:val="auto"/>
          <w:kern w:val="2"/>
          <w:sz w:val="24"/>
          <w:szCs w:val="24"/>
          <w:highlight w:val="none"/>
          <w:lang w:val="zh-TW" w:eastAsia="zh-TW"/>
        </w:rPr>
        <w:t>市场价为甲方（乙方可一并参加）在本周期内（周期为季度）对乌鲁木齐市新联市场、九鼎农贸市场或大型专业批发市场、大中型商超市场或者吐鲁番市的大型专业批发市场或大中型商超市场的</w:t>
      </w:r>
      <w:r>
        <w:rPr>
          <w:rFonts w:hint="eastAsia" w:ascii="仿宋_GB2312" w:hAnsi="仿宋_GB2312" w:eastAsia="仿宋_GB2312" w:cs="仿宋_GB2312"/>
          <w:bCs/>
          <w:snapToGrid/>
          <w:color w:val="auto"/>
          <w:kern w:val="2"/>
          <w:sz w:val="24"/>
          <w:szCs w:val="24"/>
          <w:highlight w:val="none"/>
          <w:lang w:val="zh-TW" w:eastAsia="zh-CN"/>
        </w:rPr>
        <w:t>三家及以上</w:t>
      </w:r>
      <w:r>
        <w:rPr>
          <w:rFonts w:hint="eastAsia" w:ascii="仿宋_GB2312" w:hAnsi="仿宋_GB2312" w:eastAsia="仿宋_GB2312" w:cs="仿宋_GB2312"/>
          <w:bCs/>
          <w:snapToGrid/>
          <w:color w:val="auto"/>
          <w:kern w:val="2"/>
          <w:sz w:val="24"/>
          <w:szCs w:val="24"/>
          <w:highlight w:val="none"/>
          <w:lang w:val="zh-TW" w:eastAsia="zh-TW"/>
        </w:rPr>
        <w:t>询价，经</w:t>
      </w:r>
      <w:r>
        <w:rPr>
          <w:rFonts w:hint="eastAsia" w:ascii="仿宋_GB2312" w:hAnsi="仿宋_GB2312" w:eastAsia="仿宋_GB2312" w:cs="仿宋_GB2312"/>
          <w:bCs/>
          <w:snapToGrid/>
          <w:color w:val="auto"/>
          <w:kern w:val="2"/>
          <w:sz w:val="24"/>
          <w:szCs w:val="24"/>
          <w:highlight w:val="none"/>
          <w:lang w:eastAsia="zh-CN"/>
        </w:rPr>
        <w:t>甲乙</w:t>
      </w:r>
      <w:r>
        <w:rPr>
          <w:rFonts w:hint="eastAsia" w:ascii="仿宋_GB2312" w:hAnsi="仿宋_GB2312" w:eastAsia="仿宋_GB2312" w:cs="仿宋_GB2312"/>
          <w:bCs/>
          <w:snapToGrid/>
          <w:color w:val="auto"/>
          <w:kern w:val="2"/>
          <w:sz w:val="24"/>
          <w:szCs w:val="24"/>
          <w:highlight w:val="none"/>
          <w:lang w:val="zh-TW" w:eastAsia="zh-TW"/>
        </w:rPr>
        <w:t>双方共同确认后</w:t>
      </w:r>
      <w:r>
        <w:rPr>
          <w:rFonts w:hint="eastAsia" w:ascii="仿宋_GB2312" w:hAnsi="仿宋_GB2312" w:eastAsia="仿宋_GB2312" w:cs="仿宋_GB2312"/>
          <w:bCs/>
          <w:snapToGrid/>
          <w:color w:val="auto"/>
          <w:kern w:val="2"/>
          <w:sz w:val="24"/>
          <w:szCs w:val="24"/>
          <w:highlight w:val="none"/>
          <w:lang w:val="zh-TW" w:eastAsia="zh-CN"/>
        </w:rPr>
        <w:t>，</w:t>
      </w:r>
      <w:r>
        <w:rPr>
          <w:rFonts w:hint="eastAsia" w:ascii="仿宋_GB2312" w:hAnsi="仿宋_GB2312" w:eastAsia="仿宋_GB2312" w:cs="仿宋_GB2312"/>
          <w:bCs/>
          <w:snapToGrid/>
          <w:color w:val="auto"/>
          <w:kern w:val="2"/>
          <w:sz w:val="24"/>
          <w:szCs w:val="24"/>
          <w:highlight w:val="none"/>
          <w:lang w:eastAsia="zh-CN"/>
        </w:rPr>
        <w:t>以书面形式</w:t>
      </w:r>
      <w:r>
        <w:rPr>
          <w:rFonts w:hint="eastAsia" w:ascii="仿宋_GB2312" w:hAnsi="仿宋_GB2312" w:eastAsia="仿宋_GB2312" w:cs="仿宋_GB2312"/>
          <w:bCs/>
          <w:snapToGrid/>
          <w:color w:val="auto"/>
          <w:kern w:val="2"/>
          <w:sz w:val="24"/>
          <w:szCs w:val="24"/>
          <w:highlight w:val="none"/>
          <w:lang w:val="zh-TW" w:eastAsia="zh-CN"/>
        </w:rPr>
        <w:t>确定最低价</w:t>
      </w:r>
      <w:r>
        <w:rPr>
          <w:rFonts w:hint="eastAsia" w:ascii="仿宋_GB2312" w:hAnsi="仿宋_GB2312" w:eastAsia="仿宋_GB2312" w:cs="仿宋_GB2312"/>
          <w:bCs/>
          <w:snapToGrid/>
          <w:color w:val="auto"/>
          <w:kern w:val="2"/>
          <w:sz w:val="24"/>
          <w:szCs w:val="24"/>
          <w:highlight w:val="none"/>
          <w:lang w:eastAsia="zh-CN"/>
        </w:rPr>
        <w:t>为基准价；</w:t>
      </w:r>
      <w:r>
        <w:rPr>
          <w:rFonts w:hint="eastAsia" w:ascii="仿宋_GB2312" w:hAnsi="仿宋_GB2312" w:eastAsia="仿宋_GB2312" w:cs="仿宋_GB2312"/>
          <w:bCs/>
          <w:snapToGrid/>
          <w:color w:val="auto"/>
          <w:kern w:val="2"/>
          <w:sz w:val="24"/>
          <w:szCs w:val="24"/>
          <w:highlight w:val="none"/>
          <w:lang w:val="zh-TW" w:eastAsia="zh-TW"/>
        </w:rPr>
        <w:t>甲乙双方</w:t>
      </w:r>
      <w:r>
        <w:rPr>
          <w:rFonts w:hint="eastAsia" w:ascii="仿宋_GB2312" w:hAnsi="仿宋_GB2312" w:eastAsia="仿宋_GB2312" w:cs="仿宋_GB2312"/>
          <w:bCs/>
          <w:snapToGrid/>
          <w:color w:val="auto"/>
          <w:kern w:val="2"/>
          <w:sz w:val="24"/>
          <w:szCs w:val="24"/>
          <w:highlight w:val="none"/>
          <w:lang w:eastAsia="zh-CN"/>
        </w:rPr>
        <w:t>以书面确认的</w:t>
      </w:r>
      <w:r>
        <w:rPr>
          <w:rFonts w:hint="eastAsia" w:ascii="仿宋_GB2312" w:hAnsi="仿宋_GB2312" w:eastAsia="仿宋_GB2312" w:cs="仿宋_GB2312"/>
          <w:bCs/>
          <w:snapToGrid/>
          <w:color w:val="auto"/>
          <w:kern w:val="2"/>
          <w:sz w:val="24"/>
          <w:szCs w:val="24"/>
          <w:highlight w:val="none"/>
          <w:lang w:val="zh-TW" w:eastAsia="zh-TW"/>
        </w:rPr>
        <w:t>基准价进行</w:t>
      </w:r>
      <w:r>
        <w:rPr>
          <w:rFonts w:hint="eastAsia" w:ascii="仿宋_GB2312" w:hAnsi="仿宋_GB2312" w:eastAsia="仿宋_GB2312" w:cs="仿宋_GB2312"/>
          <w:bCs/>
          <w:snapToGrid/>
          <w:color w:val="auto"/>
          <w:kern w:val="2"/>
          <w:sz w:val="24"/>
          <w:szCs w:val="24"/>
          <w:highlight w:val="none"/>
          <w:lang w:eastAsia="zh-CN"/>
        </w:rPr>
        <w:t>折扣报价</w:t>
      </w:r>
      <w:r>
        <w:rPr>
          <w:rFonts w:hint="eastAsia" w:ascii="仿宋_GB2312" w:hAnsi="仿宋_GB2312" w:eastAsia="仿宋_GB2312" w:cs="仿宋_GB2312"/>
          <w:bCs/>
          <w:snapToGrid/>
          <w:color w:val="auto"/>
          <w:kern w:val="2"/>
          <w:sz w:val="24"/>
          <w:szCs w:val="24"/>
          <w:highlight w:val="none"/>
          <w:lang w:val="zh-TW" w:eastAsia="zh-TW"/>
        </w:rPr>
        <w:t>后确定结算价。即：结算价=基准价（市场价）×</w:t>
      </w:r>
      <w:r>
        <w:rPr>
          <w:rFonts w:hint="eastAsia" w:ascii="仿宋_GB2312" w:hAnsi="仿宋_GB2312" w:eastAsia="仿宋_GB2312" w:cs="仿宋_GB2312"/>
          <w:bCs/>
          <w:snapToGrid/>
          <w:color w:val="auto"/>
          <w:kern w:val="2"/>
          <w:sz w:val="24"/>
          <w:szCs w:val="24"/>
          <w:highlight w:val="none"/>
          <w:lang w:eastAsia="zh-CN"/>
        </w:rPr>
        <w:t>报价折扣</w:t>
      </w:r>
      <w:r>
        <w:rPr>
          <w:rFonts w:hint="eastAsia" w:ascii="仿宋_GB2312" w:hAnsi="仿宋_GB2312" w:eastAsia="仿宋_GB2312" w:cs="仿宋_GB2312"/>
          <w:bCs/>
          <w:snapToGrid/>
          <w:color w:val="auto"/>
          <w:kern w:val="2"/>
          <w:sz w:val="24"/>
          <w:szCs w:val="24"/>
          <w:highlight w:val="none"/>
          <w:lang w:val="zh-TW" w:eastAsia="zh-TW"/>
        </w:rPr>
        <w:t>。</w:t>
      </w:r>
    </w:p>
    <w:p w14:paraId="23F90CE4">
      <w:pPr>
        <w:pStyle w:val="24"/>
        <w:ind w:firstLine="558"/>
        <w:rPr>
          <w:rFonts w:hAnsi="仿宋_GB2312" w:cs="仿宋_GB2312"/>
          <w:b/>
          <w:bCs/>
          <w:color w:val="auto"/>
          <w:spacing w:val="-1"/>
          <w:sz w:val="28"/>
          <w:szCs w:val="28"/>
          <w:highlight w:val="none"/>
          <w:lang w:eastAsia="zh-CN"/>
        </w:rPr>
      </w:pPr>
      <w:r>
        <w:rPr>
          <w:rFonts w:hint="eastAsia" w:hAnsi="仿宋_GB2312" w:cs="仿宋_GB2312"/>
          <w:b/>
          <w:bCs/>
          <w:color w:val="auto"/>
          <w:spacing w:val="-1"/>
          <w:sz w:val="28"/>
          <w:szCs w:val="28"/>
          <w:highlight w:val="none"/>
          <w:lang w:eastAsia="zh-CN"/>
        </w:rPr>
        <w:t>二、技术要求</w:t>
      </w:r>
    </w:p>
    <w:p w14:paraId="24703E94">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1、总体要求：投标人所提供的产品，各项指标必须符合中华人民共和国食品安全国家标准。</w:t>
      </w:r>
    </w:p>
    <w:p w14:paraId="011D7824">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2、卫生指标：卫生指标应符合GB2762《食品中污染物限量》、GB2763《食品中农药最大残留限量》等相关标准。</w:t>
      </w:r>
    </w:p>
    <w:p w14:paraId="6296BA08">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3、质量要求：</w:t>
      </w:r>
    </w:p>
    <w:p w14:paraId="4B6BA8E6">
      <w:pPr>
        <w:pStyle w:val="69"/>
        <w:tabs>
          <w:tab w:val="left" w:pos="1560"/>
        </w:tabs>
        <w:adjustRightInd w:val="0"/>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1</w:t>
      </w: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色泽均匀，果实饱满，无腐烂，病虫害，机械性损伤，斑点等</w:t>
      </w:r>
      <w:r>
        <w:rPr>
          <w:rFonts w:hint="eastAsia" w:ascii="仿宋_GB2312" w:hAnsi="仿宋_GB2312" w:eastAsia="仿宋_GB2312" w:cs="仿宋_GB2312"/>
          <w:bCs/>
          <w:color w:val="auto"/>
          <w:sz w:val="24"/>
          <w:szCs w:val="24"/>
          <w:highlight w:val="none"/>
        </w:rPr>
        <w:t>；</w:t>
      </w:r>
    </w:p>
    <w:p w14:paraId="7C3B6108">
      <w:pPr>
        <w:pStyle w:val="69"/>
        <w:tabs>
          <w:tab w:val="left" w:pos="1560"/>
        </w:tabs>
        <w:adjustRightInd w:val="0"/>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无肉眼可见外来杂质</w:t>
      </w:r>
      <w:r>
        <w:rPr>
          <w:rFonts w:hint="eastAsia" w:ascii="仿宋_GB2312" w:hAnsi="仿宋_GB2312" w:eastAsia="仿宋_GB2312" w:cs="仿宋_GB2312"/>
          <w:bCs/>
          <w:color w:val="auto"/>
          <w:sz w:val="24"/>
          <w:szCs w:val="24"/>
          <w:highlight w:val="none"/>
        </w:rPr>
        <w:t>；</w:t>
      </w:r>
    </w:p>
    <w:p w14:paraId="0D067C2D">
      <w:pPr>
        <w:pStyle w:val="69"/>
        <w:tabs>
          <w:tab w:val="left" w:pos="1560"/>
        </w:tabs>
        <w:adjustRightInd w:val="0"/>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无腐贩味、无异味</w:t>
      </w:r>
      <w:r>
        <w:rPr>
          <w:rFonts w:hint="eastAsia" w:ascii="仿宋_GB2312" w:hAnsi="仿宋_GB2312" w:eastAsia="仿宋_GB2312" w:cs="仿宋_GB2312"/>
          <w:bCs/>
          <w:color w:val="auto"/>
          <w:sz w:val="24"/>
          <w:szCs w:val="24"/>
          <w:highlight w:val="none"/>
        </w:rPr>
        <w:t>；</w:t>
      </w:r>
    </w:p>
    <w:p w14:paraId="4CD67F06">
      <w:pPr>
        <w:pStyle w:val="69"/>
        <w:tabs>
          <w:tab w:val="left" w:pos="1560"/>
        </w:tabs>
        <w:adjustRightInd w:val="0"/>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苹果单果重量兰200克，果径≥8厘米</w:t>
      </w: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梨子单果重量≥100克果径兰6厘米</w:t>
      </w:r>
      <w:r>
        <w:rPr>
          <w:rFonts w:hint="eastAsia" w:ascii="仿宋_GB2312" w:hAnsi="仿宋_GB2312" w:eastAsia="仿宋_GB2312" w:cs="仿宋_GB2312"/>
          <w:bCs/>
          <w:color w:val="auto"/>
          <w:sz w:val="24"/>
          <w:szCs w:val="24"/>
          <w:highlight w:val="none"/>
        </w:rPr>
        <w:t>；</w:t>
      </w:r>
      <w:r>
        <w:rPr>
          <w:rFonts w:ascii="仿宋_GB2312" w:hAnsi="仿宋_GB2312" w:eastAsia="仿宋_GB2312" w:cs="仿宋_GB2312"/>
          <w:bCs/>
          <w:color w:val="auto"/>
          <w:sz w:val="24"/>
          <w:szCs w:val="24"/>
          <w:highlight w:val="none"/>
        </w:rPr>
        <w:t>香蕉长度15-20厘米，在实际送货中，未达以上标准的货物占比不得超过5%。</w:t>
      </w:r>
    </w:p>
    <w:p w14:paraId="5BD3D741">
      <w:pPr>
        <w:pStyle w:val="69"/>
        <w:tabs>
          <w:tab w:val="left" w:pos="1560"/>
        </w:tabs>
        <w:adjustRightInd w:val="0"/>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w:t>
      </w:r>
      <w:r>
        <w:rPr>
          <w:rFonts w:ascii="仿宋_GB2312" w:hAnsi="仿宋_GB2312" w:eastAsia="仿宋_GB2312" w:cs="仿宋_GB2312"/>
          <w:bCs/>
          <w:color w:val="auto"/>
          <w:sz w:val="24"/>
          <w:szCs w:val="24"/>
          <w:highlight w:val="none"/>
        </w:rPr>
        <w:t>农药残留应符合GB2763中相应水果种类的要求及国家公告的规定</w:t>
      </w:r>
      <w:r>
        <w:rPr>
          <w:rFonts w:hint="eastAsia" w:ascii="仿宋_GB2312" w:hAnsi="仿宋_GB2312" w:eastAsia="仿宋_GB2312" w:cs="仿宋_GB2312"/>
          <w:bCs/>
          <w:color w:val="auto"/>
          <w:sz w:val="24"/>
          <w:szCs w:val="24"/>
          <w:highlight w:val="none"/>
        </w:rPr>
        <w:t>；</w:t>
      </w:r>
    </w:p>
    <w:p w14:paraId="68F5BCCA">
      <w:pPr>
        <w:pStyle w:val="69"/>
        <w:tabs>
          <w:tab w:val="left" w:pos="1560"/>
        </w:tabs>
        <w:adjustRightInd w:val="0"/>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w:t>
      </w:r>
      <w:r>
        <w:rPr>
          <w:rFonts w:ascii="仿宋_GB2312" w:hAnsi="仿宋_GB2312" w:eastAsia="仿宋_GB2312" w:cs="仿宋_GB2312"/>
          <w:bCs/>
          <w:color w:val="auto"/>
          <w:sz w:val="24"/>
          <w:szCs w:val="24"/>
          <w:highlight w:val="none"/>
        </w:rPr>
        <w:t>每批次货物提供所供产品的有效检测报告。</w:t>
      </w:r>
    </w:p>
    <w:p w14:paraId="36588BF7">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4、包装要求：</w:t>
      </w:r>
    </w:p>
    <w:p w14:paraId="7DFE62DC">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（1）包装使用塑料薄膜、纸制品、网袋、泡沫箱、托盘等，材料无毒、无害、无异味，具有一定透气性；</w:t>
      </w:r>
    </w:p>
    <w:p w14:paraId="232393DA">
      <w:pPr>
        <w:pStyle w:val="69"/>
        <w:tabs>
          <w:tab w:val="left" w:pos="1560"/>
        </w:tabs>
        <w:spacing w:line="440" w:lineRule="exact"/>
        <w:ind w:firstLine="480" w:firstLineChars="200"/>
        <w:rPr>
          <w:rFonts w:ascii="仿宋" w:hAnsi="仿宋" w:eastAsia="仿宋" w:cs="仿宋"/>
          <w:color w:val="auto"/>
          <w:kern w:val="0"/>
          <w:sz w:val="28"/>
          <w:szCs w:val="28"/>
          <w:highlight w:val="none"/>
        </w:rPr>
      </w:pPr>
      <w:r>
        <w:rPr>
          <w:rFonts w:hint="eastAsia" w:ascii="仿宋_GB2312" w:hAnsi="仿宋_GB2312" w:eastAsia="仿宋_GB2312" w:cs="仿宋_GB2312"/>
          <w:bCs/>
          <w:color w:val="auto"/>
          <w:sz w:val="24"/>
          <w:szCs w:val="24"/>
          <w:highlight w:val="none"/>
        </w:rPr>
        <w:t>（2）包装材料应清洁、干燥，不得含有害物质，也不能对水果造成污染。</w:t>
      </w:r>
    </w:p>
    <w:p w14:paraId="26EBC453">
      <w:pPr>
        <w:pStyle w:val="10"/>
        <w:spacing w:before="101" w:line="228" w:lineRule="auto"/>
        <w:ind w:left="3571"/>
        <w:outlineLvl w:val="0"/>
        <w:rPr>
          <w:rFonts w:ascii="仿宋_GB2312" w:hAnsi="仿宋_GB2312" w:eastAsia="仿宋_GB2312" w:cs="仿宋_GB2312"/>
          <w:b/>
          <w:bCs/>
          <w:color w:val="auto"/>
          <w:spacing w:val="4"/>
          <w:sz w:val="31"/>
          <w:szCs w:val="31"/>
          <w:highlight w:val="none"/>
          <w:lang w:eastAsia="zh-CN"/>
        </w:rPr>
      </w:pPr>
    </w:p>
    <w:p w14:paraId="3DD76B7C">
      <w:pPr>
        <w:spacing w:line="360" w:lineRule="auto"/>
        <w:ind w:right="14" w:firstLine="562" w:firstLineChars="200"/>
        <w:rPr>
          <w:rFonts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三、商务要求</w:t>
      </w:r>
    </w:p>
    <w:p w14:paraId="0C434AE4">
      <w:pPr>
        <w:pStyle w:val="69"/>
        <w:tabs>
          <w:tab w:val="left" w:pos="1560"/>
        </w:tabs>
        <w:spacing w:line="440" w:lineRule="exact"/>
        <w:ind w:firstLine="480" w:firstLineChars="20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lang w:val="zh-TW" w:eastAsia="zh-TW"/>
        </w:rPr>
        <w:t>★</w:t>
      </w:r>
      <w:r>
        <w:rPr>
          <w:rFonts w:hint="eastAsia" w:ascii="仿宋_GB2312" w:hAnsi="仿宋_GB2312" w:eastAsia="仿宋_GB2312" w:cs="仿宋_GB2312"/>
          <w:bCs/>
          <w:color w:val="auto"/>
          <w:sz w:val="24"/>
          <w:szCs w:val="24"/>
          <w:highlight w:val="none"/>
        </w:rPr>
        <w:t>1、供货时间：采购人提前1个工作日下达订单，供应商按指定时间配送至指定地点，紧急订单4小时内送达，不得延迟、漏送、错送。（</w:t>
      </w:r>
      <w:r>
        <w:rPr>
          <w:rFonts w:hint="eastAsia" w:ascii="仿宋_GB2312" w:hAnsi="仿宋_GB2312" w:eastAsia="仿宋_GB2312" w:cs="仿宋_GB2312"/>
          <w:b/>
          <w:color w:val="auto"/>
          <w:sz w:val="24"/>
          <w:szCs w:val="24"/>
          <w:highlight w:val="none"/>
        </w:rPr>
        <w:t>实质性条款</w:t>
      </w:r>
      <w:r>
        <w:rPr>
          <w:rFonts w:hint="eastAsia" w:ascii="仿宋_GB2312" w:hAnsi="仿宋_GB2312" w:eastAsia="仿宋_GB2312" w:cs="仿宋_GB2312"/>
          <w:bCs/>
          <w:color w:val="auto"/>
          <w:sz w:val="24"/>
          <w:szCs w:val="24"/>
          <w:highlight w:val="none"/>
        </w:rPr>
        <w:t>）</w:t>
      </w:r>
    </w:p>
    <w:p w14:paraId="0C9CD450">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zh-TW" w:eastAsia="zh-TW"/>
        </w:rPr>
        <w:t>★</w:t>
      </w:r>
      <w:r>
        <w:rPr>
          <w:rFonts w:hint="eastAsia" w:ascii="仿宋_GB2312" w:hAnsi="仿宋_GB2312" w:eastAsia="仿宋_GB2312" w:cs="仿宋_GB2312"/>
          <w:bCs/>
          <w:color w:val="auto"/>
          <w:sz w:val="24"/>
          <w:szCs w:val="24"/>
          <w:highlight w:val="none"/>
        </w:rPr>
        <w:t>2、交货地点：</w:t>
      </w:r>
      <w:r>
        <w:rPr>
          <w:rFonts w:hint="eastAsia" w:ascii="仿宋_GB2312" w:hAnsi="仿宋_GB2312" w:eastAsia="仿宋_GB2312" w:cs="仿宋_GB2312"/>
          <w:bCs/>
          <w:color w:val="auto"/>
          <w:sz w:val="24"/>
          <w:szCs w:val="24"/>
          <w:highlight w:val="none"/>
          <w:lang w:eastAsia="zh-CN"/>
        </w:rPr>
        <w:t>采购人指定地点</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
          <w:color w:val="auto"/>
          <w:sz w:val="24"/>
          <w:szCs w:val="24"/>
          <w:highlight w:val="none"/>
        </w:rPr>
        <w:t>实质性条款</w:t>
      </w:r>
      <w:r>
        <w:rPr>
          <w:rFonts w:hint="eastAsia" w:ascii="仿宋_GB2312" w:hAnsi="仿宋_GB2312" w:eastAsia="仿宋_GB2312" w:cs="仿宋_GB2312"/>
          <w:bCs/>
          <w:color w:val="auto"/>
          <w:sz w:val="24"/>
          <w:szCs w:val="24"/>
          <w:highlight w:val="none"/>
        </w:rPr>
        <w:t>）</w:t>
      </w:r>
    </w:p>
    <w:p w14:paraId="7789BF7A">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zh-TW" w:eastAsia="zh-TW"/>
        </w:rPr>
        <w:t>★</w:t>
      </w:r>
      <w:r>
        <w:rPr>
          <w:rFonts w:hint="eastAsia" w:ascii="仿宋_GB2312" w:hAnsi="仿宋_GB2312" w:eastAsia="仿宋_GB2312" w:cs="仿宋_GB2312"/>
          <w:bCs/>
          <w:color w:val="auto"/>
          <w:sz w:val="24"/>
          <w:szCs w:val="24"/>
          <w:highlight w:val="none"/>
        </w:rPr>
        <w:t>3、质保期：</w:t>
      </w:r>
      <w:r>
        <w:rPr>
          <w:rFonts w:hint="eastAsia" w:ascii="仿宋_GB2312" w:hAnsi="仿宋_GB2312" w:eastAsia="仿宋_GB2312" w:cs="仿宋_GB2312"/>
          <w:color w:val="auto"/>
          <w:sz w:val="24"/>
          <w:szCs w:val="24"/>
          <w:highlight w:val="none"/>
          <w:lang w:eastAsia="zh-CN"/>
        </w:rPr>
        <w:t>供应商保证所供货物质量新鲜，有保质期约定的货品，配送的货品质保期应在80%以上，否则采购人有权按照不符合合同约定要求退换货物。（例：如质保期为10个月的，供货时剩余的质保期应当大于或等于8个月）。</w:t>
      </w:r>
    </w:p>
    <w:p w14:paraId="7A8390EB">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4、配送服务要求</w:t>
      </w:r>
    </w:p>
    <w:p w14:paraId="245B9344">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（1）配送时效：采购人提前1个工作日下达订单，供应商按指定时间配送至指定地点，紧急订单4小时内送达，不得延迟、漏送、错送。</w:t>
      </w:r>
    </w:p>
    <w:p w14:paraId="682D4FF9">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 配送规范：采用专用冷链车辆，全程温控达标，车辆清洁卫生、定期消毒，从业人员持有效健康证，食材分类分拣、密封包装，杜绝交叉污染。</w:t>
      </w:r>
    </w:p>
    <w:p w14:paraId="2D61ED1B">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 随货资料：每批次货物必须附带送货单、对应检疫检验报告、合格证明、进货凭证，资料齐全、真实有效，方可验收。</w:t>
      </w:r>
    </w:p>
    <w:p w14:paraId="20D202FF">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（4）退换货处理：验收不合格产品，供应商需在2小时内响应，8小时内完成退换、补货，产生的全部费用由供应商自行承担，不得影响采购方正常使用。</w:t>
      </w:r>
    </w:p>
    <w:p w14:paraId="33C9B07A">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5、验收标准</w:t>
      </w:r>
    </w:p>
    <w:p w14:paraId="5B8408DE">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（1）采购方按照本采购文件内列出的采购需求及验收标准需求及国家食品安全标准，对食材的品种、规格、数量、质量、包装、资质文件进行现场逐批次验收。</w:t>
      </w:r>
    </w:p>
    <w:p w14:paraId="7355109A">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（2）验收不合格的食材，采购方有权拒收、退货、终止合作，供应商需承担全部损失及法律责任。</w:t>
      </w:r>
    </w:p>
    <w:p w14:paraId="216AC9A0">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（3）若食材存在质量超标、检疫不合格、假冒伪劣等问题，一经查实，扣除全部履约保证金，取消中标资格，并上报监管部门处理。</w:t>
      </w:r>
    </w:p>
    <w:p w14:paraId="18C5C556">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（4）验收合格后双方签字确认，送货单作为结算依据。</w:t>
      </w:r>
    </w:p>
    <w:p w14:paraId="76302F48">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6、其他要求</w:t>
      </w:r>
    </w:p>
    <w:p w14:paraId="3192E274">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（1）供应商需建立完善的食材采购、储存、配送、溯源管理制度，配合采购方及监管部门的质量抽检。</w:t>
      </w:r>
    </w:p>
    <w:p w14:paraId="44BB8EA9">
      <w:pPr>
        <w:pStyle w:val="69"/>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eastAsia="zh-CN"/>
        </w:rPr>
        <w:t>（2）履约期间，供应商需保障食材供应稳定，不得无故断供、涨价。</w:t>
      </w:r>
    </w:p>
    <w:p w14:paraId="6B065B5F">
      <w:pPr>
        <w:rPr>
          <w:rFonts w:ascii="仿宋_GB2312" w:hAnsi="仿宋_GB2312" w:eastAsia="仿宋_GB2312" w:cs="仿宋_GB2312"/>
          <w:b/>
          <w:bCs/>
          <w:color w:val="auto"/>
          <w:spacing w:val="4"/>
          <w:sz w:val="31"/>
          <w:szCs w:val="31"/>
          <w:highlight w:val="none"/>
          <w:lang w:eastAsia="zh-CN"/>
        </w:rPr>
      </w:pPr>
      <w:r>
        <w:rPr>
          <w:rFonts w:hint="eastAsia" w:ascii="仿宋_GB2312" w:hAnsi="仿宋_GB2312" w:eastAsia="仿宋_GB2312" w:cs="仿宋_GB2312"/>
          <w:b/>
          <w:bCs/>
          <w:color w:val="auto"/>
          <w:spacing w:val="4"/>
          <w:sz w:val="31"/>
          <w:szCs w:val="31"/>
          <w:highlight w:val="none"/>
          <w:lang w:eastAsia="zh-CN"/>
        </w:rPr>
        <w:br w:type="page"/>
      </w:r>
    </w:p>
    <w:p w14:paraId="6DEC468B">
      <w:pPr>
        <w:pStyle w:val="2"/>
        <w:rPr>
          <w:rFonts w:ascii="仿宋_GB2312" w:hAnsi="仿宋_GB2312" w:eastAsia="仿宋_GB2312" w:cs="仿宋_GB2312"/>
          <w:color w:val="auto"/>
          <w:szCs w:val="31"/>
          <w:highlight w:val="none"/>
          <w:lang w:eastAsia="zh-CN"/>
        </w:rPr>
      </w:pPr>
      <w:bookmarkStart w:id="128" w:name="_Toc24165"/>
      <w:r>
        <w:rPr>
          <w:rFonts w:hint="eastAsia"/>
          <w:b/>
          <w:bCs/>
          <w:color w:val="auto"/>
          <w:highlight w:val="none"/>
          <w:lang w:eastAsia="zh-CN"/>
        </w:rPr>
        <w:t>第五章  投标文件格式</w:t>
      </w:r>
      <w:bookmarkEnd w:id="127"/>
      <w:bookmarkEnd w:id="128"/>
    </w:p>
    <w:p w14:paraId="1C5B2614">
      <w:pPr>
        <w:spacing w:line="389" w:lineRule="auto"/>
        <w:rPr>
          <w:rFonts w:ascii="仿宋_GB2312" w:hAnsi="仿宋_GB2312" w:eastAsia="仿宋_GB2312" w:cs="仿宋_GB2312"/>
          <w:color w:val="auto"/>
          <w:highlight w:val="none"/>
          <w:lang w:eastAsia="zh-CN"/>
        </w:rPr>
      </w:pPr>
    </w:p>
    <w:p w14:paraId="6FD0902D">
      <w:pPr>
        <w:pStyle w:val="10"/>
        <w:spacing w:before="114" w:line="231" w:lineRule="auto"/>
        <w:ind w:left="4484"/>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6"/>
          <w:highlight w:val="none"/>
          <w:lang w:eastAsia="zh-CN"/>
        </w:rPr>
        <w:t>封面</w:t>
      </w:r>
    </w:p>
    <w:p w14:paraId="2F37F00E">
      <w:pPr>
        <w:spacing w:line="296" w:lineRule="auto"/>
        <w:rPr>
          <w:rFonts w:ascii="仿宋_GB2312" w:hAnsi="仿宋_GB2312" w:eastAsia="仿宋_GB2312" w:cs="仿宋_GB2312"/>
          <w:color w:val="auto"/>
          <w:highlight w:val="none"/>
          <w:lang w:eastAsia="zh-CN"/>
        </w:rPr>
      </w:pPr>
    </w:p>
    <w:p w14:paraId="10011D89">
      <w:pPr>
        <w:spacing w:line="296" w:lineRule="auto"/>
        <w:rPr>
          <w:rFonts w:ascii="仿宋_GB2312" w:hAnsi="仿宋_GB2312" w:eastAsia="仿宋_GB2312" w:cs="仿宋_GB2312"/>
          <w:color w:val="auto"/>
          <w:highlight w:val="none"/>
          <w:lang w:eastAsia="zh-CN"/>
        </w:rPr>
      </w:pPr>
    </w:p>
    <w:p w14:paraId="15D6B915">
      <w:pPr>
        <w:spacing w:line="297" w:lineRule="auto"/>
        <w:rPr>
          <w:rFonts w:ascii="仿宋_GB2312" w:hAnsi="仿宋_GB2312" w:eastAsia="仿宋_GB2312" w:cs="仿宋_GB2312"/>
          <w:color w:val="auto"/>
          <w:highlight w:val="none"/>
          <w:lang w:eastAsia="zh-CN"/>
        </w:rPr>
      </w:pPr>
    </w:p>
    <w:p w14:paraId="698729D3">
      <w:pPr>
        <w:pStyle w:val="10"/>
        <w:spacing w:before="270" w:line="225" w:lineRule="auto"/>
        <w:ind w:left="2571"/>
        <w:rPr>
          <w:rFonts w:ascii="仿宋_GB2312" w:hAnsi="仿宋_GB2312" w:eastAsia="仿宋_GB2312" w:cs="仿宋_GB2312"/>
          <w:color w:val="auto"/>
          <w:sz w:val="83"/>
          <w:szCs w:val="83"/>
          <w:highlight w:val="none"/>
          <w:lang w:eastAsia="zh-CN"/>
        </w:rPr>
      </w:pPr>
      <w:r>
        <w:rPr>
          <w:rFonts w:hint="eastAsia" w:ascii="仿宋_GB2312" w:hAnsi="仿宋_GB2312" w:eastAsia="仿宋_GB2312" w:cs="仿宋_GB2312"/>
          <w:color w:val="auto"/>
          <w:spacing w:val="-33"/>
          <w:sz w:val="83"/>
          <w:szCs w:val="83"/>
          <w:highlight w:val="none"/>
          <w:lang w:eastAsia="zh-CN"/>
        </w:rPr>
        <w:t>投</w:t>
      </w:r>
      <w:r>
        <w:rPr>
          <w:rFonts w:hint="eastAsia" w:ascii="仿宋_GB2312" w:hAnsi="仿宋_GB2312" w:eastAsia="仿宋_GB2312" w:cs="仿宋_GB2312"/>
          <w:color w:val="auto"/>
          <w:spacing w:val="57"/>
          <w:sz w:val="83"/>
          <w:szCs w:val="83"/>
          <w:highlight w:val="none"/>
          <w:lang w:eastAsia="zh-CN"/>
        </w:rPr>
        <w:t xml:space="preserve"> </w:t>
      </w:r>
      <w:r>
        <w:rPr>
          <w:rFonts w:hint="eastAsia" w:ascii="仿宋_GB2312" w:hAnsi="仿宋_GB2312" w:eastAsia="仿宋_GB2312" w:cs="仿宋_GB2312"/>
          <w:color w:val="auto"/>
          <w:spacing w:val="-33"/>
          <w:sz w:val="83"/>
          <w:szCs w:val="83"/>
          <w:highlight w:val="none"/>
          <w:lang w:eastAsia="zh-CN"/>
        </w:rPr>
        <w:t>标</w:t>
      </w:r>
      <w:r>
        <w:rPr>
          <w:rFonts w:hint="eastAsia" w:ascii="仿宋_GB2312" w:hAnsi="仿宋_GB2312" w:eastAsia="仿宋_GB2312" w:cs="仿宋_GB2312"/>
          <w:color w:val="auto"/>
          <w:spacing w:val="61"/>
          <w:sz w:val="83"/>
          <w:szCs w:val="83"/>
          <w:highlight w:val="none"/>
          <w:lang w:eastAsia="zh-CN"/>
        </w:rPr>
        <w:t xml:space="preserve"> </w:t>
      </w:r>
      <w:r>
        <w:rPr>
          <w:rFonts w:hint="eastAsia" w:ascii="仿宋_GB2312" w:hAnsi="仿宋_GB2312" w:eastAsia="仿宋_GB2312" w:cs="仿宋_GB2312"/>
          <w:color w:val="auto"/>
          <w:spacing w:val="-33"/>
          <w:sz w:val="83"/>
          <w:szCs w:val="83"/>
          <w:highlight w:val="none"/>
          <w:lang w:eastAsia="zh-CN"/>
        </w:rPr>
        <w:t>文</w:t>
      </w:r>
      <w:r>
        <w:rPr>
          <w:rFonts w:hint="eastAsia" w:ascii="仿宋_GB2312" w:hAnsi="仿宋_GB2312" w:eastAsia="仿宋_GB2312" w:cs="仿宋_GB2312"/>
          <w:color w:val="auto"/>
          <w:spacing w:val="60"/>
          <w:sz w:val="83"/>
          <w:szCs w:val="83"/>
          <w:highlight w:val="none"/>
          <w:lang w:eastAsia="zh-CN"/>
        </w:rPr>
        <w:t xml:space="preserve"> </w:t>
      </w:r>
      <w:r>
        <w:rPr>
          <w:rFonts w:hint="eastAsia" w:ascii="仿宋_GB2312" w:hAnsi="仿宋_GB2312" w:eastAsia="仿宋_GB2312" w:cs="仿宋_GB2312"/>
          <w:color w:val="auto"/>
          <w:spacing w:val="-33"/>
          <w:sz w:val="83"/>
          <w:szCs w:val="83"/>
          <w:highlight w:val="none"/>
          <w:lang w:eastAsia="zh-CN"/>
        </w:rPr>
        <w:t>件</w:t>
      </w:r>
    </w:p>
    <w:p w14:paraId="015C83A2">
      <w:pPr>
        <w:spacing w:line="254" w:lineRule="auto"/>
        <w:rPr>
          <w:rFonts w:ascii="仿宋_GB2312" w:hAnsi="仿宋_GB2312" w:eastAsia="仿宋_GB2312" w:cs="仿宋_GB2312"/>
          <w:color w:val="auto"/>
          <w:highlight w:val="none"/>
          <w:lang w:eastAsia="zh-CN"/>
        </w:rPr>
      </w:pPr>
    </w:p>
    <w:p w14:paraId="55329A9E">
      <w:pPr>
        <w:spacing w:line="254" w:lineRule="auto"/>
        <w:rPr>
          <w:rFonts w:ascii="仿宋_GB2312" w:hAnsi="仿宋_GB2312" w:eastAsia="仿宋_GB2312" w:cs="仿宋_GB2312"/>
          <w:color w:val="auto"/>
          <w:highlight w:val="none"/>
          <w:lang w:eastAsia="zh-CN"/>
        </w:rPr>
      </w:pPr>
    </w:p>
    <w:p w14:paraId="11628528">
      <w:pPr>
        <w:spacing w:line="254" w:lineRule="auto"/>
        <w:rPr>
          <w:rFonts w:ascii="仿宋_GB2312" w:hAnsi="仿宋_GB2312" w:eastAsia="仿宋_GB2312" w:cs="仿宋_GB2312"/>
          <w:color w:val="auto"/>
          <w:highlight w:val="none"/>
          <w:lang w:eastAsia="zh-CN"/>
        </w:rPr>
      </w:pPr>
    </w:p>
    <w:p w14:paraId="0B9B01BD">
      <w:pPr>
        <w:spacing w:line="254" w:lineRule="auto"/>
        <w:rPr>
          <w:rFonts w:ascii="仿宋_GB2312" w:hAnsi="仿宋_GB2312" w:eastAsia="仿宋_GB2312" w:cs="仿宋_GB2312"/>
          <w:color w:val="auto"/>
          <w:highlight w:val="none"/>
          <w:lang w:eastAsia="zh-CN"/>
        </w:rPr>
      </w:pPr>
    </w:p>
    <w:p w14:paraId="549E5799">
      <w:pPr>
        <w:spacing w:line="255" w:lineRule="auto"/>
        <w:jc w:val="center"/>
        <w:rPr>
          <w:rFonts w:ascii="仿宋_GB2312" w:hAnsi="仿宋_GB2312" w:eastAsia="仿宋_GB2312" w:cs="仿宋_GB2312"/>
          <w:b/>
          <w:bCs/>
          <w:color w:val="auto"/>
          <w:highlight w:val="none"/>
          <w:lang w:eastAsia="zh-CN"/>
        </w:rPr>
      </w:pPr>
    </w:p>
    <w:p w14:paraId="59935B4D">
      <w:pPr>
        <w:spacing w:line="255" w:lineRule="auto"/>
        <w:rPr>
          <w:rFonts w:ascii="仿宋_GB2312" w:hAnsi="仿宋_GB2312" w:eastAsia="仿宋_GB2312" w:cs="仿宋_GB2312"/>
          <w:color w:val="auto"/>
          <w:highlight w:val="none"/>
          <w:lang w:eastAsia="zh-CN"/>
        </w:rPr>
      </w:pPr>
    </w:p>
    <w:p w14:paraId="05228732">
      <w:pPr>
        <w:pStyle w:val="10"/>
        <w:spacing w:before="91" w:line="360" w:lineRule="auto"/>
        <w:ind w:left="856" w:right="7181" w:firstLine="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采购人名称：</w:t>
      </w:r>
      <w:r>
        <w:rPr>
          <w:rFonts w:hint="eastAsia" w:ascii="仿宋_GB2312" w:hAnsi="仿宋_GB2312" w:eastAsia="仿宋_GB2312" w:cs="仿宋_GB2312"/>
          <w:color w:val="auto"/>
          <w:sz w:val="28"/>
          <w:szCs w:val="28"/>
          <w:highlight w:val="none"/>
          <w:lang w:eastAsia="zh-CN"/>
        </w:rPr>
        <w:t xml:space="preserve"> 标项</w:t>
      </w:r>
      <w:r>
        <w:rPr>
          <w:rFonts w:hint="eastAsia" w:ascii="仿宋_GB2312" w:hAnsi="仿宋_GB2312" w:eastAsia="仿宋_GB2312" w:cs="仿宋_GB2312"/>
          <w:color w:val="auto"/>
          <w:spacing w:val="-12"/>
          <w:sz w:val="28"/>
          <w:szCs w:val="28"/>
          <w:highlight w:val="none"/>
          <w:lang w:eastAsia="zh-CN"/>
        </w:rPr>
        <w:t>名称：</w:t>
      </w:r>
    </w:p>
    <w:p w14:paraId="18A9440F">
      <w:pPr>
        <w:spacing w:line="360" w:lineRule="auto"/>
        <w:ind w:firstLine="834" w:firstLineChars="300"/>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项目编号：</w:t>
      </w:r>
    </w:p>
    <w:p w14:paraId="30A4C473">
      <w:pPr>
        <w:pStyle w:val="10"/>
        <w:spacing w:before="46" w:line="360" w:lineRule="auto"/>
        <w:ind w:left="859" w:right="4318" w:hanging="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采购代理机构名称：</w:t>
      </w:r>
    </w:p>
    <w:p w14:paraId="3C1130D1">
      <w:pPr>
        <w:pStyle w:val="10"/>
        <w:spacing w:before="46" w:line="360" w:lineRule="auto"/>
        <w:ind w:left="856" w:right="180"/>
        <w:rPr>
          <w:rFonts w:ascii="仿宋_GB2312" w:hAnsi="仿宋_GB2312" w:eastAsia="仿宋_GB2312" w:cs="仿宋_GB2312"/>
          <w:color w:val="auto"/>
          <w:spacing w:val="4"/>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投标单位名称（加盖公章）：</w:t>
      </w:r>
      <w:r>
        <w:rPr>
          <w:rFonts w:hint="eastAsia" w:ascii="仿宋_GB2312" w:hAnsi="仿宋_GB2312" w:eastAsia="仿宋_GB2312" w:cs="仿宋_GB2312"/>
          <w:color w:val="auto"/>
          <w:spacing w:val="4"/>
          <w:sz w:val="28"/>
          <w:szCs w:val="28"/>
          <w:highlight w:val="none"/>
          <w:lang w:eastAsia="zh-CN"/>
        </w:rPr>
        <w:t xml:space="preserve"> </w:t>
      </w:r>
    </w:p>
    <w:p w14:paraId="7A8A8EE0">
      <w:pPr>
        <w:pStyle w:val="10"/>
        <w:spacing w:before="46" w:line="360" w:lineRule="auto"/>
        <w:ind w:left="856" w:right="1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投标单位地址：</w:t>
      </w:r>
    </w:p>
    <w:p w14:paraId="3098161F">
      <w:pPr>
        <w:pStyle w:val="10"/>
        <w:spacing w:before="46" w:line="360" w:lineRule="auto"/>
        <w:ind w:left="854" w:right="-660" w:firstLine="12"/>
        <w:rPr>
          <w:rFonts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法定代表人或授权代表姓名（签字或盖章）：</w:t>
      </w:r>
      <w:r>
        <w:rPr>
          <w:rFonts w:hint="eastAsia" w:ascii="仿宋_GB2312" w:hAnsi="仿宋_GB2312" w:eastAsia="仿宋_GB2312" w:cs="仿宋_GB2312"/>
          <w:color w:val="auto"/>
          <w:spacing w:val="2"/>
          <w:sz w:val="28"/>
          <w:szCs w:val="28"/>
          <w:highlight w:val="none"/>
          <w:lang w:eastAsia="zh-CN"/>
        </w:rPr>
        <w:t xml:space="preserve"> </w:t>
      </w:r>
    </w:p>
    <w:p w14:paraId="55956892">
      <w:pPr>
        <w:pStyle w:val="10"/>
        <w:spacing w:before="46" w:line="360" w:lineRule="auto"/>
        <w:ind w:left="854" w:right="-660" w:firstLine="12"/>
        <w:rPr>
          <w:rFonts w:ascii="仿宋_GB2312" w:hAnsi="仿宋_GB2312" w:eastAsia="仿宋_GB2312" w:cs="仿宋_GB2312"/>
          <w:color w:val="auto"/>
          <w:sz w:val="28"/>
          <w:szCs w:val="28"/>
          <w:highlight w:val="none"/>
          <w:lang w:eastAsia="zh-CN"/>
        </w:rPr>
        <w:sectPr>
          <w:headerReference r:id="rId18" w:type="default"/>
          <w:footerReference r:id="rId19" w:type="default"/>
          <w:pgSz w:w="11906" w:h="16838"/>
          <w:pgMar w:top="1134" w:right="1133" w:bottom="1135" w:left="1133" w:header="712" w:footer="855" w:gutter="0"/>
          <w:pgNumType w:fmt="numberInDash"/>
          <w:cols w:space="720" w:num="1"/>
        </w:sectPr>
      </w:pPr>
      <w:r>
        <w:rPr>
          <w:rFonts w:hint="eastAsia" w:ascii="仿宋_GB2312" w:hAnsi="仿宋_GB2312" w:eastAsia="仿宋_GB2312" w:cs="仿宋_GB2312"/>
          <w:color w:val="auto"/>
          <w:spacing w:val="-12"/>
          <w:sz w:val="28"/>
          <w:szCs w:val="28"/>
          <w:highlight w:val="none"/>
          <w:lang w:eastAsia="zh-CN"/>
        </w:rPr>
        <w:t>联系电话：</w:t>
      </w:r>
    </w:p>
    <w:p w14:paraId="5FD9838D">
      <w:pPr>
        <w:tabs>
          <w:tab w:val="center" w:pos="4832"/>
          <w:tab w:val="left" w:pos="7140"/>
        </w:tabs>
        <w:jc w:val="center"/>
        <w:rPr>
          <w:rFonts w:ascii="仿宋" w:hAnsi="仿宋" w:eastAsia="仿宋" w:cs="仿宋"/>
          <w:b/>
          <w:color w:val="auto"/>
          <w:sz w:val="24"/>
          <w:szCs w:val="24"/>
          <w:highlight w:val="none"/>
          <w:lang w:eastAsia="zh-CN"/>
        </w:rPr>
      </w:pPr>
      <w:bookmarkStart w:id="129" w:name="_Toc130252613"/>
      <w:r>
        <w:rPr>
          <w:rFonts w:hint="eastAsia" w:ascii="仿宋" w:hAnsi="仿宋" w:eastAsia="仿宋" w:cs="仿宋"/>
          <w:b/>
          <w:color w:val="auto"/>
          <w:sz w:val="24"/>
          <w:szCs w:val="24"/>
          <w:highlight w:val="none"/>
          <w:lang w:eastAsia="zh-CN"/>
        </w:rPr>
        <w:t>目 录</w:t>
      </w:r>
      <w:bookmarkEnd w:id="129"/>
    </w:p>
    <w:p w14:paraId="3698A23F">
      <w:pPr>
        <w:spacing w:line="280" w:lineRule="exact"/>
        <w:ind w:firstLine="240" w:firstLineChars="100"/>
        <w:rPr>
          <w:rFonts w:ascii="仿宋" w:hAnsi="仿宋" w:eastAsia="仿宋" w:cs="仿宋"/>
          <w:bCs/>
          <w:color w:val="auto"/>
          <w:sz w:val="24"/>
          <w:szCs w:val="24"/>
          <w:highlight w:val="none"/>
          <w:lang w:eastAsia="zh-CN"/>
        </w:rPr>
      </w:pPr>
    </w:p>
    <w:p w14:paraId="1895258D">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（1）、投标函</w:t>
      </w:r>
      <w:r>
        <w:rPr>
          <w:rFonts w:hint="eastAsia" w:ascii="仿宋" w:hAnsi="仿宋" w:eastAsia="仿宋" w:cs="仿宋"/>
          <w:color w:val="auto"/>
          <w:sz w:val="24"/>
          <w:szCs w:val="24"/>
          <w:highlight w:val="none"/>
          <w:lang w:eastAsia="zh-CN"/>
        </w:rPr>
        <w:tab/>
      </w:r>
    </w:p>
    <w:p w14:paraId="2CCE63D2">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（2）、投标价格明细表</w:t>
      </w:r>
    </w:p>
    <w:p w14:paraId="04D841B7">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（3）、商务条款偏离表</w:t>
      </w:r>
    </w:p>
    <w:p w14:paraId="775DB576">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（4）、技术条款偏离表</w:t>
      </w:r>
    </w:p>
    <w:p w14:paraId="6107619B">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（5）、法定代表人身份证明书</w:t>
      </w:r>
    </w:p>
    <w:p w14:paraId="73386D2B">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（6）、法定代表人授权委托书</w:t>
      </w:r>
    </w:p>
    <w:p w14:paraId="56C1001C">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（7）、供应商资格条件证明材料</w:t>
      </w:r>
      <w:r>
        <w:rPr>
          <w:rFonts w:hint="eastAsia" w:ascii="仿宋" w:hAnsi="仿宋" w:eastAsia="仿宋" w:cs="仿宋"/>
          <w:color w:val="auto"/>
          <w:sz w:val="24"/>
          <w:szCs w:val="24"/>
          <w:highlight w:val="none"/>
          <w:lang w:eastAsia="zh-CN"/>
        </w:rPr>
        <w:tab/>
      </w:r>
    </w:p>
    <w:p w14:paraId="452E04D1">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（8）、供应商近年类似项目情况表</w:t>
      </w:r>
    </w:p>
    <w:p w14:paraId="117BAD2E">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（9）、拟派主要服务人员情况表</w:t>
      </w:r>
    </w:p>
    <w:p w14:paraId="50AF7CBA">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（10）、服务方案</w:t>
      </w:r>
    </w:p>
    <w:p w14:paraId="7750BC31">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（11）、其他需要提交的资料</w:t>
      </w:r>
    </w:p>
    <w:p w14:paraId="6F508EB9">
      <w:pPr>
        <w:spacing w:line="280" w:lineRule="exact"/>
        <w:ind w:firstLine="240" w:firstLineChars="100"/>
        <w:rPr>
          <w:rFonts w:ascii="仿宋" w:hAnsi="仿宋" w:eastAsia="仿宋" w:cs="仿宋"/>
          <w:color w:val="auto"/>
          <w:sz w:val="24"/>
          <w:szCs w:val="24"/>
          <w:highlight w:val="none"/>
          <w:lang w:eastAsia="zh-CN"/>
        </w:rPr>
      </w:pPr>
    </w:p>
    <w:p w14:paraId="008030D8">
      <w:pPr>
        <w:spacing w:line="280" w:lineRule="exact"/>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注：为了便于查找，请按上述顺序编制投标文件内容，并在目录中标明每项内容的起始页码。</w:t>
      </w:r>
    </w:p>
    <w:p w14:paraId="50DE75A8">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bookmarkStart w:id="130" w:name="_Toc110707964"/>
      <w:bookmarkStart w:id="131" w:name="_Toc1580"/>
      <w:bookmarkStart w:id="132" w:name="_Toc130252614"/>
      <w:bookmarkStart w:id="133" w:name="_Toc109941764"/>
      <w:r>
        <w:rPr>
          <w:rFonts w:hint="eastAsia" w:ascii="仿宋" w:hAnsi="仿宋" w:eastAsia="仿宋" w:cs="仿宋"/>
          <w:b/>
          <w:color w:val="auto"/>
          <w:sz w:val="24"/>
          <w:szCs w:val="24"/>
          <w:highlight w:val="none"/>
          <w:lang w:eastAsia="zh-CN"/>
        </w:rPr>
        <w:t>一、投标函</w:t>
      </w:r>
      <w:bookmarkEnd w:id="130"/>
      <w:bookmarkEnd w:id="131"/>
      <w:bookmarkEnd w:id="132"/>
      <w:bookmarkEnd w:id="133"/>
    </w:p>
    <w:p w14:paraId="015487CD">
      <w:pPr>
        <w:shd w:val="clear" w:color="auto" w:fill="FFFFFF"/>
        <w:spacing w:line="384" w:lineRule="auto"/>
        <w:rPr>
          <w:rFonts w:ascii="仿宋" w:hAnsi="仿宋" w:eastAsia="仿宋" w:cs="仿宋"/>
          <w:color w:val="auto"/>
          <w:sz w:val="24"/>
          <w:szCs w:val="24"/>
          <w:highlight w:val="none"/>
          <w:lang w:eastAsia="zh-CN"/>
        </w:rPr>
      </w:pPr>
    </w:p>
    <w:p w14:paraId="22EA7347">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1755404A">
      <w:pPr>
        <w:shd w:val="clear" w:color="auto" w:fill="FFFFFF"/>
        <w:spacing w:line="384" w:lineRule="auto"/>
        <w:rPr>
          <w:rFonts w:ascii="仿宋" w:hAnsi="仿宋" w:eastAsia="仿宋" w:cs="仿宋"/>
          <w:color w:val="auto"/>
          <w:sz w:val="24"/>
          <w:szCs w:val="24"/>
          <w:highlight w:val="none"/>
          <w:lang w:eastAsia="zh-CN"/>
        </w:rPr>
      </w:pPr>
    </w:p>
    <w:p w14:paraId="3C901F87">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根据已收到的</w:t>
      </w:r>
      <w:r>
        <w:rPr>
          <w:rFonts w:hint="eastAsia" w:ascii="仿宋" w:hAnsi="仿宋" w:eastAsia="仿宋" w:cs="仿宋"/>
          <w:color w:val="auto"/>
          <w:sz w:val="24"/>
          <w:szCs w:val="24"/>
          <w:highlight w:val="none"/>
          <w:u w:val="single"/>
          <w:lang w:eastAsia="zh-CN"/>
        </w:rPr>
        <w:t xml:space="preserve">     （标项名称）        </w:t>
      </w:r>
      <w:r>
        <w:rPr>
          <w:rFonts w:hint="eastAsia" w:ascii="仿宋" w:hAnsi="仿宋" w:eastAsia="仿宋" w:cs="仿宋"/>
          <w:color w:val="auto"/>
          <w:sz w:val="24"/>
          <w:szCs w:val="24"/>
          <w:highlight w:val="none"/>
          <w:lang w:eastAsia="zh-CN"/>
        </w:rPr>
        <w:t>项目的采购文件，遵照《中华人民共和国政府采购法》等有关法律法规的规定，经考察现场和充分研究贵方的采购文件的全部内容后，我方郑重承诺如下：</w:t>
      </w:r>
    </w:p>
    <w:p w14:paraId="00164890">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1.如果我方中标，我方将在采购文件规定的时间内签订合同。如果我方违约，除没收投标保证金外，贵方有权终止我方中标并选择其它中标供应商。</w:t>
      </w:r>
    </w:p>
    <w:p w14:paraId="71EA7541">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2.本投标文件在采购文件规定的投标有效期内对我方具有约束力，如果我方在投标有效期内撤销投标，其投标保证金将被贵方没收。</w:t>
      </w:r>
    </w:p>
    <w:p w14:paraId="4AA1409D">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3.我方已详细阅读采购文件全部内容且完全理解，同意放弃对这方面有不明及误解的权力。若有违反，同意被废除投标资格并接受处罚。</w:t>
      </w:r>
    </w:p>
    <w:p w14:paraId="2738B435">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4.我方保证投标文件内容无任何虚假、未侵犯他人知识产权。如有虚假，同意废除中标资格并被没收投标担保，承担因侵犯他人知识产权而由此引起的全部法律责任和经济责任。</w:t>
      </w:r>
    </w:p>
    <w:p w14:paraId="456621AE">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5.我方愿意提供贵方可能要求的与投标有关的一切数据或资料，完全理解贵方不一定接受最低投标报价的投标或收到的任何投标。</w:t>
      </w:r>
    </w:p>
    <w:p w14:paraId="7A26F489">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6.我方派法定代表人或其授权委托人作为我方代表，负责按时参加开标会并签署与投标有关的相关文件等。</w:t>
      </w:r>
    </w:p>
    <w:p w14:paraId="4380344A">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7.如我方中标，我方自愿向采购代理机构支付咨询费，并在合同签订后3个工作日内向采购代理机构提供采购合同原件一份用于采购资料备案工作。</w:t>
      </w:r>
    </w:p>
    <w:p w14:paraId="2862D2C7">
      <w:pPr>
        <w:shd w:val="clear" w:color="auto" w:fill="FFFFFF"/>
        <w:spacing w:line="384" w:lineRule="auto"/>
        <w:rPr>
          <w:rFonts w:ascii="仿宋" w:hAnsi="仿宋" w:eastAsia="仿宋" w:cs="仿宋"/>
          <w:color w:val="auto"/>
          <w:sz w:val="24"/>
          <w:szCs w:val="24"/>
          <w:highlight w:val="none"/>
          <w:lang w:eastAsia="zh-CN"/>
        </w:rPr>
      </w:pPr>
    </w:p>
    <w:p w14:paraId="723CD23D">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225A65F9">
      <w:pPr>
        <w:shd w:val="clear" w:color="auto" w:fill="FFFFFF"/>
        <w:spacing w:line="384" w:lineRule="auto"/>
        <w:rPr>
          <w:rFonts w:ascii="仿宋" w:hAnsi="仿宋" w:eastAsia="仿宋" w:cs="仿宋"/>
          <w:color w:val="auto"/>
          <w:sz w:val="24"/>
          <w:szCs w:val="24"/>
          <w:highlight w:val="none"/>
          <w:lang w:eastAsia="zh-CN"/>
        </w:rPr>
      </w:pPr>
    </w:p>
    <w:p w14:paraId="0106C605">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7BE76902">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77B45E98">
      <w:pPr>
        <w:pStyle w:val="96"/>
        <w:keepNext w:val="0"/>
        <w:pageBreakBefore w:val="0"/>
        <w:tabs>
          <w:tab w:val="clear" w:pos="720"/>
        </w:tabs>
        <w:ind w:firstLine="640"/>
        <w:outlineLvl w:val="2"/>
        <w:rPr>
          <w:rFonts w:ascii="仿宋" w:hAnsi="仿宋" w:eastAsia="仿宋" w:cs="仿宋"/>
          <w:color w:val="auto"/>
          <w:kern w:val="2"/>
          <w:sz w:val="32"/>
          <w:szCs w:val="32"/>
          <w:highlight w:val="none"/>
          <w:lang w:eastAsia="zh-CN"/>
        </w:rPr>
      </w:pPr>
      <w:r>
        <w:rPr>
          <w:rFonts w:hint="eastAsia" w:ascii="仿宋" w:hAnsi="仿宋" w:eastAsia="仿宋" w:cs="仿宋"/>
          <w:color w:val="auto"/>
          <w:kern w:val="0"/>
          <w:sz w:val="24"/>
          <w:szCs w:val="24"/>
          <w:highlight w:val="none"/>
          <w:lang w:eastAsia="zh-CN"/>
        </w:rPr>
        <w:br w:type="page"/>
      </w:r>
      <w:bookmarkStart w:id="134" w:name="_Toc14171"/>
      <w:bookmarkStart w:id="135" w:name="_Toc109921158"/>
      <w:bookmarkStart w:id="136" w:name="_Toc110707965"/>
      <w:bookmarkStart w:id="137" w:name="_Toc2798"/>
      <w:bookmarkStart w:id="138" w:name="_Toc109941765"/>
      <w:bookmarkStart w:id="139" w:name="_Toc130252615"/>
      <w:r>
        <w:rPr>
          <w:rFonts w:hint="eastAsia" w:ascii="仿宋" w:hAnsi="仿宋" w:eastAsia="仿宋" w:cs="仿宋"/>
          <w:color w:val="auto"/>
          <w:kern w:val="2"/>
          <w:sz w:val="32"/>
          <w:szCs w:val="32"/>
          <w:highlight w:val="none"/>
          <w:lang w:eastAsia="zh-CN"/>
        </w:rPr>
        <w:t>报价一览表</w:t>
      </w:r>
      <w:bookmarkEnd w:id="134"/>
    </w:p>
    <w:p w14:paraId="5D9DF5F6">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0FF1CB3E">
      <w:pPr>
        <w:spacing w:line="360" w:lineRule="auto"/>
        <w:ind w:firstLine="72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按你方</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lang w:val="zh-CN" w:eastAsia="zh-CN"/>
        </w:rPr>
        <w:t>要求，</w:t>
      </w:r>
      <w:r>
        <w:rPr>
          <w:rFonts w:hint="eastAsia" w:ascii="仿宋" w:hAnsi="仿宋" w:eastAsia="仿宋" w:cs="仿宋"/>
          <w:color w:val="auto"/>
          <w:sz w:val="24"/>
          <w:highlight w:val="none"/>
          <w:lang w:eastAsia="zh-CN"/>
        </w:rPr>
        <w:t>我们即</w:t>
      </w:r>
      <w:r>
        <w:rPr>
          <w:rFonts w:hint="eastAsia" w:ascii="仿宋" w:hAnsi="仿宋" w:eastAsia="仿宋" w:cs="仿宋"/>
          <w:color w:val="auto"/>
          <w:sz w:val="24"/>
          <w:highlight w:val="none"/>
          <w:lang w:val="zh-CN" w:eastAsia="zh-CN"/>
        </w:rPr>
        <w:t>本</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lang w:val="zh-CN" w:eastAsia="zh-CN"/>
        </w:rPr>
        <w:t>文件签字方，谨此向你方发出要约如下：如你方接受本响应，我方承诺</w:t>
      </w:r>
      <w:r>
        <w:rPr>
          <w:rFonts w:hint="eastAsia" w:ascii="仿宋" w:hAnsi="仿宋" w:eastAsia="仿宋" w:cs="仿宋"/>
          <w:color w:val="auto"/>
          <w:sz w:val="24"/>
          <w:highlight w:val="none"/>
          <w:u w:val="single"/>
          <w:lang w:eastAsia="zh-CN"/>
        </w:rPr>
        <w:t>（标项名称）【项目编号：（采购编号）】</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lang w:val="zh-CN" w:eastAsia="zh-CN"/>
        </w:rPr>
        <w:t>报价</w:t>
      </w:r>
      <w:r>
        <w:rPr>
          <w:rFonts w:hint="eastAsia" w:ascii="仿宋" w:hAnsi="仿宋" w:eastAsia="仿宋" w:cs="仿宋"/>
          <w:color w:val="auto"/>
          <w:sz w:val="24"/>
          <w:highlight w:val="none"/>
          <w:lang w:eastAsia="zh-CN"/>
        </w:rPr>
        <w:t>为报价</w:t>
      </w:r>
      <w:r>
        <w:rPr>
          <w:rFonts w:hint="eastAsia" w:ascii="仿宋" w:hAnsi="仿宋" w:eastAsia="仿宋" w:cs="仿宋"/>
          <w:color w:val="auto"/>
          <w:sz w:val="24"/>
          <w:highlight w:val="none"/>
          <w:lang w:val="zh-CN" w:eastAsia="zh-CN"/>
        </w:rPr>
        <w:t>一览表</w:t>
      </w:r>
      <w:r>
        <w:rPr>
          <w:rFonts w:hint="eastAsia" w:ascii="仿宋" w:hAnsi="仿宋" w:eastAsia="仿宋" w:cs="仿宋"/>
          <w:color w:val="auto"/>
          <w:sz w:val="24"/>
          <w:highlight w:val="none"/>
          <w:lang w:eastAsia="zh-CN"/>
        </w:rPr>
        <w:t>内容：</w:t>
      </w:r>
    </w:p>
    <w:tbl>
      <w:tblPr>
        <w:tblStyle w:val="2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95"/>
      </w:tblGrid>
      <w:tr w14:paraId="133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85" w:type="dxa"/>
            <w:tcBorders>
              <w:bottom w:val="single" w:color="auto" w:sz="4" w:space="0"/>
            </w:tcBorders>
            <w:vAlign w:val="center"/>
          </w:tcPr>
          <w:p w14:paraId="4A0EBA14">
            <w:pPr>
              <w:pStyle w:val="97"/>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标项名称</w:t>
            </w:r>
          </w:p>
        </w:tc>
        <w:tc>
          <w:tcPr>
            <w:tcW w:w="7295" w:type="dxa"/>
            <w:tcBorders>
              <w:bottom w:val="single" w:color="auto" w:sz="4" w:space="0"/>
            </w:tcBorders>
            <w:vAlign w:val="center"/>
          </w:tcPr>
          <w:p w14:paraId="32055FB7">
            <w:pPr>
              <w:pStyle w:val="97"/>
              <w:tabs>
                <w:tab w:val="left" w:pos="1337"/>
              </w:tabs>
              <w:spacing w:line="360" w:lineRule="auto"/>
              <w:jc w:val="left"/>
              <w:rPr>
                <w:rFonts w:ascii="仿宋" w:hAnsi="仿宋" w:eastAsia="仿宋" w:cs="仿宋"/>
                <w:bCs/>
                <w:color w:val="auto"/>
                <w:sz w:val="24"/>
                <w:szCs w:val="24"/>
                <w:highlight w:val="none"/>
              </w:rPr>
            </w:pPr>
          </w:p>
        </w:tc>
      </w:tr>
      <w:tr w14:paraId="2E38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885" w:type="dxa"/>
            <w:vAlign w:val="center"/>
          </w:tcPr>
          <w:p w14:paraId="127EB4B2">
            <w:pPr>
              <w:pStyle w:val="97"/>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报价折扣</w:t>
            </w:r>
          </w:p>
        </w:tc>
        <w:tc>
          <w:tcPr>
            <w:tcW w:w="7295" w:type="dxa"/>
            <w:vAlign w:val="center"/>
          </w:tcPr>
          <w:p w14:paraId="21E6CC4F">
            <w:pPr>
              <w:pStyle w:val="97"/>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折扣：</w:t>
            </w:r>
            <w:r>
              <w:rPr>
                <w:rFonts w:hint="eastAsia" w:ascii="仿宋" w:hAnsi="仿宋" w:eastAsia="仿宋" w:cs="仿宋"/>
                <w:color w:val="auto"/>
                <w:sz w:val="24"/>
                <w:szCs w:val="24"/>
                <w:highlight w:val="none"/>
                <w:u w:val="single"/>
              </w:rPr>
              <w:t xml:space="preserve">     %</w:t>
            </w:r>
          </w:p>
        </w:tc>
      </w:tr>
      <w:tr w14:paraId="6FA0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5" w:type="dxa"/>
            <w:vAlign w:val="center"/>
          </w:tcPr>
          <w:p w14:paraId="51AA3739">
            <w:pPr>
              <w:pStyle w:val="97"/>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合同履约期限</w:t>
            </w:r>
          </w:p>
        </w:tc>
        <w:tc>
          <w:tcPr>
            <w:tcW w:w="7295" w:type="dxa"/>
            <w:vAlign w:val="center"/>
          </w:tcPr>
          <w:p w14:paraId="0A155669">
            <w:pPr>
              <w:pStyle w:val="97"/>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自采购合同签订日期起，服务期限一年（365天）</w:t>
            </w:r>
          </w:p>
        </w:tc>
      </w:tr>
      <w:tr w14:paraId="2414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885" w:type="dxa"/>
            <w:vAlign w:val="center"/>
          </w:tcPr>
          <w:p w14:paraId="000C7724">
            <w:pPr>
              <w:pStyle w:val="97"/>
              <w:tabs>
                <w:tab w:val="left" w:pos="1337"/>
              </w:tabs>
              <w:spacing w:line="360" w:lineRule="auto"/>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保质期</w:t>
            </w:r>
          </w:p>
        </w:tc>
        <w:tc>
          <w:tcPr>
            <w:tcW w:w="7295" w:type="dxa"/>
            <w:vAlign w:val="center"/>
          </w:tcPr>
          <w:p w14:paraId="794340AB">
            <w:pPr>
              <w:pStyle w:val="97"/>
              <w:tabs>
                <w:tab w:val="left" w:pos="1337"/>
              </w:tabs>
              <w:spacing w:line="360" w:lineRule="auto"/>
              <w:jc w:val="left"/>
              <w:rPr>
                <w:rFonts w:ascii="仿宋" w:hAnsi="仿宋" w:eastAsia="仿宋" w:cs="仿宋"/>
                <w:color w:val="auto"/>
                <w:sz w:val="24"/>
                <w:szCs w:val="24"/>
                <w:highlight w:val="none"/>
              </w:rPr>
            </w:pPr>
          </w:p>
        </w:tc>
      </w:tr>
      <w:tr w14:paraId="1F64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885" w:type="dxa"/>
            <w:vAlign w:val="center"/>
          </w:tcPr>
          <w:p w14:paraId="5002CE8E">
            <w:pPr>
              <w:pStyle w:val="97"/>
              <w:tabs>
                <w:tab w:val="left" w:pos="1337"/>
              </w:tabs>
              <w:spacing w:line="360" w:lineRule="auto"/>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交货</w:t>
            </w:r>
            <w:r>
              <w:rPr>
                <w:rFonts w:hint="eastAsia" w:ascii="仿宋" w:hAnsi="仿宋" w:eastAsia="仿宋" w:cs="仿宋"/>
                <w:bCs/>
                <w:color w:val="auto"/>
                <w:sz w:val="24"/>
                <w:szCs w:val="24"/>
                <w:highlight w:val="none"/>
              </w:rPr>
              <w:t>地点</w:t>
            </w:r>
          </w:p>
        </w:tc>
        <w:tc>
          <w:tcPr>
            <w:tcW w:w="7295" w:type="dxa"/>
            <w:vAlign w:val="center"/>
          </w:tcPr>
          <w:p w14:paraId="16BB02BE">
            <w:pPr>
              <w:pStyle w:val="97"/>
              <w:tabs>
                <w:tab w:val="left" w:pos="1337"/>
              </w:tabs>
              <w:spacing w:line="360" w:lineRule="auto"/>
              <w:jc w:val="left"/>
              <w:rPr>
                <w:rFonts w:ascii="仿宋" w:hAnsi="仿宋" w:eastAsia="仿宋" w:cs="仿宋"/>
                <w:color w:val="auto"/>
                <w:sz w:val="24"/>
                <w:szCs w:val="24"/>
                <w:highlight w:val="none"/>
              </w:rPr>
            </w:pPr>
          </w:p>
        </w:tc>
      </w:tr>
      <w:tr w14:paraId="17B5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180" w:type="dxa"/>
            <w:gridSpan w:val="2"/>
            <w:vAlign w:val="center"/>
          </w:tcPr>
          <w:p w14:paraId="7E27BFF1">
            <w:pPr>
              <w:pStyle w:val="97"/>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备注：☑固定单价，要求：1、本项目投标报价采用折扣方式。</w:t>
            </w:r>
          </w:p>
          <w:p w14:paraId="55FB8759">
            <w:pPr>
              <w:pStyle w:val="97"/>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2、所有产品品目基准价统一按照北园春集团网站（http：//www.beiyuanchun.com）公布的价格（中间价）为基准价，结算价=基准价×报价折扣。</w:t>
            </w:r>
          </w:p>
          <w:p w14:paraId="2D84327B">
            <w:pPr>
              <w:pStyle w:val="97"/>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3、甲方已给定最高限价的冻货类商品，需参照甲方提前公布的品目最高限价为基准价为基准价，进行报价折扣，结算价=基准价×报价折扣。经报价的品目，价格经双方确定后，合同期间内，不因市场行情波动、季节更迭、原材料涨跌及其他外部因素调整变动，定价固定不变。</w:t>
            </w:r>
          </w:p>
          <w:p w14:paraId="439167A8">
            <w:pPr>
              <w:pStyle w:val="97"/>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4、北园春市场没有公示价格的产品，也不在甲方列出的最高限价品目中，市场价为甲方（乙方可一并参加）在本周期内（周期为季度）对乌鲁木齐市新联市场、九鼎农贸市场或大型专业批发市场、大中型商超市场或者吐鲁番市的大型专业批发市场或大中型商超市场的三家及以上询价，经甲乙双方共同确认后，以书面形式确定最低价为基准价；甲乙双方以书面确认的基准价进行折扣报价后确定结算价。即：结算价=基准价（市场价）×报价折扣。</w:t>
            </w:r>
          </w:p>
          <w:p w14:paraId="3C42831B">
            <w:pPr>
              <w:pStyle w:val="97"/>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5、本项目投标报价包括货物到达招标人指定地点的全部费用，包括但不限于项目实施所需的货物费、包装运输费、配送费、人工费、装卸费、管理费、利润、税费等一切费用。</w:t>
            </w:r>
          </w:p>
          <w:p w14:paraId="5EAC6BF0">
            <w:pPr>
              <w:pStyle w:val="97"/>
              <w:tabs>
                <w:tab w:val="left" w:pos="1337"/>
              </w:tabs>
              <w:spacing w:line="360" w:lineRule="auto"/>
              <w:jc w:val="left"/>
              <w:rPr>
                <w:rFonts w:ascii="仿宋" w:hAnsi="仿宋" w:eastAsia="仿宋" w:cs="仿宋"/>
                <w:color w:val="auto"/>
                <w:highlight w:val="none"/>
              </w:rPr>
            </w:pPr>
            <w:r>
              <w:rPr>
                <w:rFonts w:hint="eastAsia" w:ascii="仿宋" w:hAnsi="仿宋" w:eastAsia="仿宋" w:cs="仿宋"/>
                <w:color w:val="auto"/>
                <w:sz w:val="22"/>
                <w:highlight w:val="none"/>
              </w:rPr>
              <w:t xml:space="preserve">6、严格开具税务发票，投标报价为含税价格，供应商应按含税金额开具增值税普通发票。  </w:t>
            </w:r>
          </w:p>
        </w:tc>
      </w:tr>
    </w:tbl>
    <w:p w14:paraId="31CCBB98">
      <w:pPr>
        <w:ind w:left="-2" w:leftChars="-1" w:firstLine="480" w:firstLineChars="20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注：</w:t>
      </w:r>
      <w:r>
        <w:rPr>
          <w:rFonts w:hint="eastAsia" w:ascii="仿宋" w:hAnsi="仿宋" w:eastAsia="仿宋" w:cs="仿宋"/>
          <w:color w:val="auto"/>
          <w:sz w:val="24"/>
          <w:highlight w:val="none"/>
          <w:lang w:val="zh-CN" w:eastAsia="zh-CN"/>
        </w:rPr>
        <w:t>1、供应商需按本表格式填写</w:t>
      </w:r>
      <w:r>
        <w:rPr>
          <w:rFonts w:hint="eastAsia" w:ascii="仿宋" w:hAnsi="仿宋" w:eastAsia="仿宋" w:cs="仿宋"/>
          <w:b/>
          <w:color w:val="auto"/>
          <w:sz w:val="24"/>
          <w:highlight w:val="none"/>
          <w:lang w:val="zh-CN" w:eastAsia="zh-CN"/>
        </w:rPr>
        <w:t>，</w:t>
      </w:r>
      <w:r>
        <w:rPr>
          <w:rFonts w:hint="eastAsia" w:ascii="仿宋" w:hAnsi="仿宋" w:eastAsia="仿宋" w:cs="仿宋"/>
          <w:b/>
          <w:color w:val="auto"/>
          <w:sz w:val="24"/>
          <w:highlight w:val="none"/>
          <w:lang w:eastAsia="zh-CN"/>
        </w:rPr>
        <w:t>否则视为投标文件含有采购人不能接受的附加条件，响应无效</w:t>
      </w:r>
      <w:r>
        <w:rPr>
          <w:rFonts w:hint="eastAsia" w:ascii="仿宋" w:hAnsi="仿宋" w:eastAsia="仿宋" w:cs="仿宋"/>
          <w:color w:val="auto"/>
          <w:sz w:val="24"/>
          <w:highlight w:val="none"/>
          <w:lang w:val="zh-CN" w:eastAsia="zh-CN"/>
        </w:rPr>
        <w:t>。</w:t>
      </w:r>
    </w:p>
    <w:p w14:paraId="16457DA1">
      <w:pPr>
        <w:ind w:firstLine="480" w:firstLineChars="20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2、有关本项目实施所涉及的一切费用均计入报价。</w:t>
      </w:r>
      <w:r>
        <w:rPr>
          <w:rFonts w:hint="eastAsia" w:ascii="仿宋" w:hAnsi="仿宋" w:eastAsia="仿宋" w:cs="仿宋"/>
          <w:b/>
          <w:color w:val="auto"/>
          <w:sz w:val="24"/>
          <w:highlight w:val="none"/>
          <w:lang w:val="zh-CN" w:eastAsia="zh-CN"/>
        </w:rPr>
        <w:t>采购人将以合同形式有偿取得货物或服务，不接受供应商给予的赠品、回扣或者与采购无关的其他商品、服务</w:t>
      </w:r>
      <w:r>
        <w:rPr>
          <w:rFonts w:hint="eastAsia" w:ascii="仿宋" w:hAnsi="仿宋" w:eastAsia="仿宋" w:cs="仿宋"/>
          <w:color w:val="auto"/>
          <w:sz w:val="24"/>
          <w:highlight w:val="none"/>
          <w:lang w:val="zh-CN" w:eastAsia="zh-CN"/>
        </w:rPr>
        <w:t>，</w:t>
      </w:r>
      <w:r>
        <w:rPr>
          <w:rFonts w:hint="eastAsia" w:ascii="仿宋" w:hAnsi="仿宋" w:eastAsia="仿宋" w:cs="仿宋"/>
          <w:b/>
          <w:color w:val="auto"/>
          <w:sz w:val="24"/>
          <w:highlight w:val="none"/>
          <w:lang w:val="zh-CN" w:eastAsia="zh-CN"/>
        </w:rPr>
        <w:t>不得出现“0元”“免费赠送”等形式的无偿报价，</w:t>
      </w:r>
      <w:r>
        <w:rPr>
          <w:rFonts w:hint="eastAsia" w:ascii="仿宋" w:hAnsi="仿宋" w:eastAsia="仿宋" w:cs="仿宋"/>
          <w:b/>
          <w:color w:val="auto"/>
          <w:sz w:val="24"/>
          <w:highlight w:val="none"/>
          <w:lang w:eastAsia="zh-CN"/>
        </w:rPr>
        <w:t>否则视为报价文件含有采购人不能接受的附加条件，响应无效。</w:t>
      </w:r>
    </w:p>
    <w:p w14:paraId="02F140F0">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7C54FA8B">
      <w:pPr>
        <w:shd w:val="clear" w:color="auto" w:fill="FFFFFF"/>
        <w:spacing w:line="384" w:lineRule="auto"/>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631CB203">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bookmarkEnd w:id="135"/>
    <w:bookmarkEnd w:id="136"/>
    <w:bookmarkEnd w:id="137"/>
    <w:bookmarkEnd w:id="138"/>
    <w:bookmarkEnd w:id="139"/>
    <w:p w14:paraId="06847F36">
      <w:pPr>
        <w:pStyle w:val="10"/>
        <w:spacing w:before="100" w:line="223" w:lineRule="auto"/>
        <w:jc w:val="center"/>
        <w:rPr>
          <w:rFonts w:ascii="仿宋_GB2312" w:hAnsi="仿宋_GB2312" w:eastAsia="仿宋_GB2312" w:cs="仿宋_GB2312"/>
          <w:color w:val="auto"/>
          <w:sz w:val="28"/>
          <w:szCs w:val="28"/>
          <w:highlight w:val="none"/>
          <w:lang w:eastAsia="zh-CN"/>
        </w:rPr>
      </w:pPr>
      <w:bookmarkStart w:id="140" w:name="_Toc109921161"/>
      <w:bookmarkStart w:id="141" w:name="_Toc109941768"/>
      <w:bookmarkStart w:id="142" w:name="_Toc130252618"/>
      <w:bookmarkStart w:id="143" w:name="_Toc110707968"/>
      <w:r>
        <w:rPr>
          <w:rFonts w:hint="eastAsia" w:ascii="仿宋_GB2312" w:hAnsi="仿宋_GB2312" w:eastAsia="仿宋_GB2312" w:cs="仿宋_GB2312"/>
          <w:b/>
          <w:bCs/>
          <w:color w:val="auto"/>
          <w:spacing w:val="-5"/>
          <w:sz w:val="28"/>
          <w:szCs w:val="28"/>
          <w:highlight w:val="none"/>
          <w:lang w:eastAsia="zh-CN"/>
        </w:rPr>
        <w:t>分项报价明细表</w:t>
      </w:r>
    </w:p>
    <w:p w14:paraId="5B13ADA3">
      <w:pPr>
        <w:spacing w:before="190"/>
        <w:rPr>
          <w:rFonts w:ascii="仿宋_GB2312" w:hAnsi="仿宋_GB2312" w:eastAsia="仿宋_GB2312" w:cs="仿宋_GB2312"/>
          <w:color w:val="auto"/>
          <w:highlight w:val="none"/>
          <w:lang w:eastAsia="zh-CN"/>
        </w:rPr>
      </w:pPr>
    </w:p>
    <w:p w14:paraId="613B9991">
      <w:pPr>
        <w:pStyle w:val="84"/>
        <w:spacing w:line="360" w:lineRule="auto"/>
        <w:ind w:left="0" w:leftChars="0" w:firstLine="0" w:firstLineChars="0"/>
        <w:rPr>
          <w:rFonts w:ascii="仿宋_GB2312" w:hAnsi="仿宋_GB2312" w:eastAsia="仿宋_GB2312" w:cs="仿宋_GB2312"/>
          <w:color w:val="auto"/>
          <w:highlight w:val="none"/>
          <w:lang w:bidi="ar"/>
        </w:rPr>
      </w:pPr>
      <w:r>
        <w:rPr>
          <w:rFonts w:hint="eastAsia" w:ascii="仿宋_GB2312" w:hAnsi="仿宋_GB2312" w:eastAsia="仿宋_GB2312" w:cs="仿宋_GB2312"/>
          <w:bCs/>
          <w:color w:val="auto"/>
          <w:highlight w:val="none"/>
        </w:rPr>
        <w:t>项目名称</w:t>
      </w:r>
      <w:r>
        <w:rPr>
          <w:rFonts w:hint="eastAsia" w:ascii="仿宋_GB2312" w:hAnsi="仿宋_GB2312" w:eastAsia="仿宋_GB2312" w:cs="仿宋_GB2312"/>
          <w:color w:val="auto"/>
          <w:highlight w:val="none"/>
          <w:lang w:bidi="ar"/>
        </w:rPr>
        <w:t>：</w:t>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bCs/>
          <w:color w:val="auto"/>
          <w:highlight w:val="none"/>
        </w:rPr>
        <w:t>项目编号：</w:t>
      </w:r>
    </w:p>
    <w:p w14:paraId="33DA0B64">
      <w:pPr>
        <w:pStyle w:val="84"/>
        <w:spacing w:line="360" w:lineRule="auto"/>
        <w:ind w:left="0" w:leftChars="0" w:firstLine="0" w:firstLineChars="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bidi="ar"/>
        </w:rPr>
        <w:t>投标单位名称：</w:t>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836"/>
        <w:gridCol w:w="1679"/>
        <w:gridCol w:w="1679"/>
        <w:gridCol w:w="919"/>
        <w:gridCol w:w="915"/>
        <w:gridCol w:w="1695"/>
        <w:gridCol w:w="1102"/>
      </w:tblGrid>
      <w:tr w14:paraId="48D4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2B797BAB">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bidi="ar"/>
              </w:rPr>
              <w:t>序号</w:t>
            </w:r>
          </w:p>
        </w:tc>
        <w:tc>
          <w:tcPr>
            <w:tcW w:w="424" w:type="pct"/>
            <w:vAlign w:val="center"/>
          </w:tcPr>
          <w:p w14:paraId="7182FEC6">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bidi="ar"/>
              </w:rPr>
              <w:t>品名</w:t>
            </w:r>
          </w:p>
        </w:tc>
        <w:tc>
          <w:tcPr>
            <w:tcW w:w="852" w:type="pct"/>
            <w:vAlign w:val="center"/>
          </w:tcPr>
          <w:p w14:paraId="0FD30C73">
            <w:pPr>
              <w:jc w:val="center"/>
              <w:textAlignment w:val="center"/>
              <w:rPr>
                <w:rFonts w:hint="eastAsia" w:ascii="仿宋_GB2312" w:hAnsi="仿宋_GB2312" w:eastAsia="仿宋_GB2312" w:cs="仿宋_GB2312"/>
                <w:b/>
                <w:bCs/>
                <w:color w:val="auto"/>
                <w:sz w:val="24"/>
                <w:szCs w:val="24"/>
                <w:highlight w:val="none"/>
                <w:lang w:val="en-US" w:eastAsia="zh-CN" w:bidi="ar"/>
              </w:rPr>
            </w:pPr>
            <w:r>
              <w:rPr>
                <w:rFonts w:hint="eastAsia" w:ascii="仿宋_GB2312" w:hAnsi="仿宋_GB2312" w:eastAsia="仿宋_GB2312" w:cs="仿宋_GB2312"/>
                <w:b/>
                <w:bCs/>
                <w:color w:val="auto"/>
                <w:sz w:val="24"/>
                <w:szCs w:val="24"/>
                <w:highlight w:val="none"/>
                <w:lang w:eastAsia="zh-CN" w:bidi="ar"/>
              </w:rPr>
              <w:t>品牌</w:t>
            </w:r>
          </w:p>
        </w:tc>
        <w:tc>
          <w:tcPr>
            <w:tcW w:w="852" w:type="pct"/>
            <w:vAlign w:val="center"/>
          </w:tcPr>
          <w:p w14:paraId="536CEDA9">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bidi="ar"/>
              </w:rPr>
              <w:t>规格型号</w:t>
            </w:r>
          </w:p>
        </w:tc>
        <w:tc>
          <w:tcPr>
            <w:tcW w:w="466" w:type="pct"/>
            <w:vAlign w:val="center"/>
          </w:tcPr>
          <w:p w14:paraId="303701E9">
            <w:pPr>
              <w:jc w:val="center"/>
              <w:textAlignment w:val="center"/>
              <w:rPr>
                <w:rFonts w:hint="eastAsia" w:ascii="仿宋_GB2312" w:hAnsi="仿宋_GB2312" w:eastAsia="仿宋_GB2312" w:cs="仿宋_GB2312"/>
                <w:b/>
                <w:bCs/>
                <w:color w:val="auto"/>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bidi="ar"/>
              </w:rPr>
              <w:t>数量</w:t>
            </w:r>
          </w:p>
          <w:p w14:paraId="2DC20722">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16"/>
                <w:szCs w:val="16"/>
                <w:highlight w:val="none"/>
                <w:lang w:val="en-US" w:eastAsia="zh-CN" w:bidi="ar"/>
              </w:rPr>
              <w:t>（同时填写单位）</w:t>
            </w:r>
          </w:p>
        </w:tc>
        <w:tc>
          <w:tcPr>
            <w:tcW w:w="464" w:type="pct"/>
            <w:vAlign w:val="center"/>
          </w:tcPr>
          <w:p w14:paraId="65815428">
            <w:pPr>
              <w:jc w:val="center"/>
              <w:textAlignment w:val="center"/>
              <w:rPr>
                <w:rFonts w:hint="default" w:ascii="仿宋_GB2312" w:hAnsi="仿宋_GB2312" w:eastAsia="仿宋_GB2312" w:cs="仿宋_GB2312"/>
                <w:b/>
                <w:bCs/>
                <w:color w:val="auto"/>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bidi="ar"/>
              </w:rPr>
              <w:t>制造商</w:t>
            </w:r>
          </w:p>
        </w:tc>
        <w:tc>
          <w:tcPr>
            <w:tcW w:w="860" w:type="pct"/>
            <w:vAlign w:val="center"/>
          </w:tcPr>
          <w:p w14:paraId="38263241">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投标报价（</w:t>
            </w:r>
            <w:r>
              <w:rPr>
                <w:rFonts w:hint="eastAsia" w:ascii="仿宋_GB2312" w:hAnsi="仿宋_GB2312" w:eastAsia="仿宋_GB2312" w:cs="仿宋_GB2312"/>
                <w:b/>
                <w:bCs/>
                <w:color w:val="auto"/>
                <w:sz w:val="24"/>
                <w:szCs w:val="24"/>
                <w:highlight w:val="none"/>
                <w:lang w:val="en-US" w:eastAsia="zh-CN"/>
              </w:rPr>
              <w:t>折扣</w:t>
            </w:r>
            <w:r>
              <w:rPr>
                <w:rFonts w:hint="eastAsia" w:ascii="仿宋_GB2312" w:hAnsi="仿宋_GB2312" w:eastAsia="仿宋_GB2312" w:cs="仿宋_GB2312"/>
                <w:b/>
                <w:bCs/>
                <w:color w:val="auto"/>
                <w:sz w:val="24"/>
                <w:szCs w:val="24"/>
                <w:highlight w:val="none"/>
                <w:lang w:eastAsia="zh-CN"/>
              </w:rPr>
              <w:t>率）</w:t>
            </w:r>
          </w:p>
        </w:tc>
        <w:tc>
          <w:tcPr>
            <w:tcW w:w="559" w:type="pct"/>
            <w:vAlign w:val="center"/>
          </w:tcPr>
          <w:p w14:paraId="4640D298">
            <w:pPr>
              <w:jc w:val="center"/>
              <w:textAlignment w:val="center"/>
              <w:rPr>
                <w:rFonts w:ascii="仿宋_GB2312" w:hAnsi="仿宋_GB2312" w:eastAsia="仿宋_GB2312" w:cs="仿宋_GB2312"/>
                <w:b/>
                <w:bCs/>
                <w:color w:val="auto"/>
                <w:sz w:val="24"/>
                <w:szCs w:val="24"/>
                <w:highlight w:val="none"/>
                <w:lang w:eastAsia="zh-CN" w:bidi="ar"/>
              </w:rPr>
            </w:pPr>
            <w:r>
              <w:rPr>
                <w:rFonts w:hint="eastAsia" w:ascii="仿宋_GB2312" w:hAnsi="仿宋_GB2312" w:eastAsia="仿宋_GB2312" w:cs="仿宋_GB2312"/>
                <w:b/>
                <w:bCs/>
                <w:color w:val="auto"/>
                <w:sz w:val="24"/>
                <w:szCs w:val="24"/>
                <w:highlight w:val="none"/>
                <w:lang w:eastAsia="zh-CN" w:bidi="ar"/>
              </w:rPr>
              <w:t>备注</w:t>
            </w:r>
          </w:p>
        </w:tc>
      </w:tr>
      <w:tr w14:paraId="0532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1F0F0799">
            <w:pPr>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bidi="ar"/>
              </w:rPr>
              <w:t>1</w:t>
            </w:r>
          </w:p>
        </w:tc>
        <w:tc>
          <w:tcPr>
            <w:tcW w:w="424" w:type="pct"/>
            <w:vAlign w:val="center"/>
          </w:tcPr>
          <w:p w14:paraId="6A6F0784">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10DB0035">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6B967042">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45BEC42C">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2926B854">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restart"/>
            <w:vAlign w:val="center"/>
          </w:tcPr>
          <w:p w14:paraId="3111D898">
            <w:pPr>
              <w:jc w:val="center"/>
              <w:rPr>
                <w:rFonts w:ascii="仿宋_GB2312" w:hAnsi="仿宋_GB2312" w:eastAsia="仿宋_GB2312" w:cs="仿宋_GB2312"/>
                <w:b/>
                <w:bCs/>
                <w:color w:val="auto"/>
                <w:sz w:val="24"/>
                <w:szCs w:val="24"/>
                <w:highlight w:val="none"/>
                <w:lang w:eastAsia="zh-CN"/>
              </w:rPr>
            </w:pPr>
          </w:p>
        </w:tc>
        <w:tc>
          <w:tcPr>
            <w:tcW w:w="559" w:type="pct"/>
            <w:vMerge w:val="restart"/>
            <w:vAlign w:val="center"/>
          </w:tcPr>
          <w:p w14:paraId="0CB9084F">
            <w:pPr>
              <w:jc w:val="center"/>
              <w:rPr>
                <w:rFonts w:ascii="仿宋_GB2312" w:hAnsi="仿宋_GB2312" w:eastAsia="仿宋_GB2312" w:cs="仿宋_GB2312"/>
                <w:b/>
                <w:bCs/>
                <w:color w:val="auto"/>
                <w:sz w:val="24"/>
                <w:szCs w:val="24"/>
                <w:highlight w:val="none"/>
                <w:lang w:eastAsia="zh-CN"/>
              </w:rPr>
            </w:pPr>
          </w:p>
        </w:tc>
      </w:tr>
      <w:tr w14:paraId="3EE6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645851FF">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eastAsia="zh-CN" w:bidi="ar"/>
              </w:rPr>
              <w:t>2</w:t>
            </w:r>
          </w:p>
        </w:tc>
        <w:tc>
          <w:tcPr>
            <w:tcW w:w="424" w:type="pct"/>
            <w:vAlign w:val="center"/>
          </w:tcPr>
          <w:p w14:paraId="2CF67A1B">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7A826411">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509A7DED">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3114BEB2">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326F405E">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continue"/>
            <w:vAlign w:val="center"/>
          </w:tcPr>
          <w:p w14:paraId="4089CE7F">
            <w:pPr>
              <w:jc w:val="center"/>
              <w:textAlignment w:val="center"/>
              <w:rPr>
                <w:rFonts w:ascii="仿宋_GB2312" w:hAnsi="仿宋_GB2312" w:eastAsia="仿宋_GB2312" w:cs="仿宋_GB2312"/>
                <w:b/>
                <w:bCs/>
                <w:color w:val="auto"/>
                <w:sz w:val="24"/>
                <w:szCs w:val="24"/>
                <w:highlight w:val="none"/>
                <w:lang w:eastAsia="zh-CN"/>
              </w:rPr>
            </w:pPr>
          </w:p>
        </w:tc>
        <w:tc>
          <w:tcPr>
            <w:tcW w:w="559" w:type="pct"/>
            <w:vMerge w:val="continue"/>
            <w:vAlign w:val="center"/>
          </w:tcPr>
          <w:p w14:paraId="50FF2CF0">
            <w:pPr>
              <w:jc w:val="center"/>
              <w:textAlignment w:val="center"/>
              <w:rPr>
                <w:rFonts w:ascii="仿宋_GB2312" w:hAnsi="仿宋_GB2312" w:eastAsia="仿宋_GB2312" w:cs="仿宋_GB2312"/>
                <w:b/>
                <w:bCs/>
                <w:color w:val="auto"/>
                <w:sz w:val="24"/>
                <w:szCs w:val="24"/>
                <w:highlight w:val="none"/>
                <w:lang w:eastAsia="zh-CN" w:bidi="ar"/>
              </w:rPr>
            </w:pPr>
          </w:p>
        </w:tc>
      </w:tr>
      <w:tr w14:paraId="1F75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1545B34A">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eastAsia="zh-CN" w:bidi="ar"/>
              </w:rPr>
              <w:t>3</w:t>
            </w:r>
          </w:p>
        </w:tc>
        <w:tc>
          <w:tcPr>
            <w:tcW w:w="424" w:type="pct"/>
            <w:vAlign w:val="center"/>
          </w:tcPr>
          <w:p w14:paraId="64997D02">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1016AB05">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0CEFCC5B">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55E9E5D8">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702656AB">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continue"/>
            <w:vAlign w:val="center"/>
          </w:tcPr>
          <w:p w14:paraId="0E44793F">
            <w:pPr>
              <w:jc w:val="center"/>
              <w:textAlignment w:val="center"/>
              <w:rPr>
                <w:rFonts w:ascii="仿宋_GB2312" w:hAnsi="仿宋_GB2312" w:eastAsia="仿宋_GB2312" w:cs="仿宋_GB2312"/>
                <w:b/>
                <w:bCs/>
                <w:color w:val="auto"/>
                <w:sz w:val="24"/>
                <w:szCs w:val="24"/>
                <w:highlight w:val="none"/>
                <w:lang w:eastAsia="zh-CN"/>
              </w:rPr>
            </w:pPr>
          </w:p>
        </w:tc>
        <w:tc>
          <w:tcPr>
            <w:tcW w:w="559" w:type="pct"/>
            <w:vMerge w:val="continue"/>
            <w:vAlign w:val="center"/>
          </w:tcPr>
          <w:p w14:paraId="5DF2E8DB">
            <w:pPr>
              <w:jc w:val="center"/>
              <w:textAlignment w:val="center"/>
              <w:rPr>
                <w:rFonts w:ascii="仿宋_GB2312" w:hAnsi="仿宋_GB2312" w:eastAsia="仿宋_GB2312" w:cs="仿宋_GB2312"/>
                <w:b/>
                <w:bCs/>
                <w:color w:val="auto"/>
                <w:sz w:val="24"/>
                <w:szCs w:val="24"/>
                <w:highlight w:val="none"/>
                <w:lang w:eastAsia="zh-CN" w:bidi="ar"/>
              </w:rPr>
            </w:pPr>
          </w:p>
        </w:tc>
      </w:tr>
      <w:tr w14:paraId="7347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775CE51D">
            <w:pPr>
              <w:jc w:val="center"/>
              <w:textAlignment w:val="center"/>
              <w:rPr>
                <w:rFonts w:hint="default"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bidi="ar"/>
              </w:rPr>
              <w:t>...</w:t>
            </w:r>
          </w:p>
        </w:tc>
        <w:tc>
          <w:tcPr>
            <w:tcW w:w="424" w:type="pct"/>
            <w:vAlign w:val="center"/>
          </w:tcPr>
          <w:p w14:paraId="2BD6C2AF">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37C0F14E">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3F3145C8">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30301DFF">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07351CBF">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continue"/>
            <w:vAlign w:val="center"/>
          </w:tcPr>
          <w:p w14:paraId="2B9A294C">
            <w:pPr>
              <w:jc w:val="center"/>
              <w:rPr>
                <w:rFonts w:ascii="仿宋_GB2312" w:hAnsi="仿宋_GB2312" w:eastAsia="仿宋_GB2312" w:cs="仿宋_GB2312"/>
                <w:b/>
                <w:bCs/>
                <w:color w:val="auto"/>
                <w:sz w:val="24"/>
                <w:szCs w:val="24"/>
                <w:highlight w:val="none"/>
                <w:lang w:eastAsia="zh-CN"/>
              </w:rPr>
            </w:pPr>
          </w:p>
        </w:tc>
        <w:tc>
          <w:tcPr>
            <w:tcW w:w="559" w:type="pct"/>
            <w:vMerge w:val="continue"/>
            <w:vAlign w:val="center"/>
          </w:tcPr>
          <w:p w14:paraId="5F52C493">
            <w:pPr>
              <w:jc w:val="center"/>
              <w:rPr>
                <w:rFonts w:ascii="仿宋_GB2312" w:hAnsi="仿宋_GB2312" w:eastAsia="仿宋_GB2312" w:cs="仿宋_GB2312"/>
                <w:b/>
                <w:bCs/>
                <w:color w:val="auto"/>
                <w:sz w:val="24"/>
                <w:szCs w:val="24"/>
                <w:highlight w:val="none"/>
                <w:lang w:eastAsia="zh-CN"/>
              </w:rPr>
            </w:pPr>
          </w:p>
        </w:tc>
      </w:tr>
    </w:tbl>
    <w:p w14:paraId="59F8C032">
      <w:pPr>
        <w:pStyle w:val="86"/>
        <w:widowControl/>
        <w:spacing w:line="360" w:lineRule="auto"/>
        <w:ind w:left="101" w:leftChars="48" w:firstLine="361" w:firstLineChars="150"/>
        <w:rPr>
          <w:rFonts w:ascii="仿宋_GB2312" w:hAnsi="仿宋_GB2312" w:eastAsia="仿宋_GB2312" w:cs="仿宋_GB2312"/>
          <w:b/>
          <w:color w:val="auto"/>
          <w:sz w:val="24"/>
          <w:highlight w:val="none"/>
        </w:rPr>
      </w:pPr>
    </w:p>
    <w:p w14:paraId="59440631">
      <w:pPr>
        <w:pStyle w:val="86"/>
        <w:widowControl/>
        <w:spacing w:line="360" w:lineRule="auto"/>
        <w:ind w:left="101" w:leftChars="48" w:firstLine="361" w:firstLineChars="15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投标人法定代表人电子签字或盖章：</w:t>
      </w:r>
    </w:p>
    <w:p w14:paraId="58B32C0B">
      <w:pPr>
        <w:pStyle w:val="86"/>
        <w:widowControl/>
        <w:spacing w:line="360" w:lineRule="auto"/>
        <w:ind w:left="0" w:leftChars="0"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投标人公章：</w:t>
      </w:r>
    </w:p>
    <w:p w14:paraId="60280047">
      <w:pPr>
        <w:pStyle w:val="86"/>
        <w:widowControl/>
        <w:spacing w:line="360" w:lineRule="auto"/>
        <w:ind w:left="0" w:leftChars="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b/>
          <w:bCs/>
          <w:color w:val="auto"/>
          <w:sz w:val="24"/>
          <w:highlight w:val="none"/>
        </w:rPr>
        <w:t>日　期：</w:t>
      </w:r>
    </w:p>
    <w:p w14:paraId="4F5E0241">
      <w:pPr>
        <w:pStyle w:val="86"/>
        <w:widowControl/>
        <w:spacing w:line="360" w:lineRule="auto"/>
        <w:ind w:left="101" w:leftChars="48" w:firstLine="360" w:firstLineChars="150"/>
        <w:rPr>
          <w:rFonts w:ascii="仿宋_GB2312" w:hAnsi="仿宋_GB2312" w:eastAsia="仿宋_GB2312" w:cs="仿宋_GB2312"/>
          <w:color w:val="auto"/>
          <w:sz w:val="24"/>
          <w:szCs w:val="24"/>
          <w:highlight w:val="none"/>
        </w:rPr>
      </w:pPr>
    </w:p>
    <w:p w14:paraId="0190413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w:t>
      </w:r>
      <w:r>
        <w:rPr>
          <w:rFonts w:hint="eastAsia" w:ascii="仿宋_GB2312" w:hAnsi="仿宋_GB2312" w:eastAsia="仿宋_GB2312" w:cs="仿宋_GB2312"/>
          <w:color w:val="auto"/>
          <w:sz w:val="24"/>
          <w:szCs w:val="24"/>
          <w:highlight w:val="none"/>
          <w:lang w:val="en-US" w:eastAsia="zh-CN"/>
        </w:rPr>
        <w:t>供应商报价为对应标包的整体折扣率。</w:t>
      </w:r>
    </w:p>
    <w:p w14:paraId="461A7335">
      <w:pPr>
        <w:pStyle w:val="86"/>
        <w:widowControl/>
        <w:numPr>
          <w:ilvl w:val="0"/>
          <w:numId w:val="3"/>
        </w:numPr>
        <w:spacing w:line="360" w:lineRule="auto"/>
        <w:ind w:left="0" w:leftChars="0" w:firstLine="720" w:firstLineChars="3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highlight w:val="none"/>
        </w:rPr>
        <w:t>投标人必须按</w:t>
      </w:r>
      <w:r>
        <w:rPr>
          <w:rFonts w:hint="eastAsia" w:ascii="仿宋_GB2312" w:hAnsi="仿宋_GB2312" w:eastAsia="仿宋_GB2312" w:cs="仿宋_GB2312"/>
          <w:bCs/>
          <w:color w:val="auto"/>
          <w:sz w:val="24"/>
          <w:highlight w:val="none"/>
          <w:lang w:val="en-US" w:eastAsia="zh-CN"/>
        </w:rPr>
        <w:t>第四章《采购需求》中列明的产品清单</w:t>
      </w:r>
      <w:r>
        <w:rPr>
          <w:rFonts w:hint="eastAsia" w:ascii="仿宋_GB2312" w:hAnsi="仿宋_GB2312" w:eastAsia="仿宋_GB2312" w:cs="仿宋_GB2312"/>
          <w:bCs/>
          <w:color w:val="auto"/>
          <w:sz w:val="24"/>
          <w:highlight w:val="none"/>
        </w:rPr>
        <w:t>完整填写报价明细表，</w:t>
      </w:r>
      <w:r>
        <w:rPr>
          <w:rFonts w:hint="eastAsia" w:ascii="仿宋_GB2312" w:hAnsi="仿宋_GB2312" w:eastAsia="仿宋_GB2312" w:cs="仿宋_GB2312"/>
          <w:bCs/>
          <w:color w:val="auto"/>
          <w:sz w:val="24"/>
          <w:highlight w:val="none"/>
          <w:lang w:val="en-US" w:eastAsia="zh-CN"/>
        </w:rPr>
        <w:t>不得</w:t>
      </w:r>
      <w:r>
        <w:rPr>
          <w:rFonts w:hint="eastAsia" w:ascii="仿宋_GB2312" w:hAnsi="仿宋_GB2312" w:eastAsia="仿宋_GB2312" w:cs="仿宋_GB2312"/>
          <w:bCs/>
          <w:color w:val="auto"/>
          <w:sz w:val="24"/>
          <w:highlight w:val="none"/>
        </w:rPr>
        <w:t>缺失或变动表格相关内容。</w:t>
      </w:r>
      <w:r>
        <w:rPr>
          <w:rFonts w:hint="eastAsia" w:ascii="仿宋_GB2312" w:hAnsi="仿宋_GB2312" w:eastAsia="仿宋_GB2312" w:cs="仿宋_GB2312"/>
          <w:color w:val="auto"/>
          <w:sz w:val="24"/>
          <w:szCs w:val="24"/>
          <w:highlight w:val="none"/>
          <w:lang w:val="en-US" w:eastAsia="zh-CN"/>
        </w:rPr>
        <w:t xml:space="preserve">      </w:t>
      </w:r>
    </w:p>
    <w:p w14:paraId="09A70CBC">
      <w:pPr>
        <w:ind w:firstLine="480" w:firstLineChars="200"/>
        <w:rPr>
          <w:rFonts w:ascii="仿宋" w:hAnsi="仿宋" w:eastAsia="仿宋" w:cs="仿宋"/>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3、分项报价明细表中内容须填写明确，</w:t>
      </w:r>
      <w:r>
        <w:rPr>
          <w:rFonts w:hint="eastAsia" w:ascii="仿宋_GB2312" w:hAnsi="仿宋_GB2312" w:eastAsia="仿宋_GB2312" w:cs="仿宋_GB2312"/>
          <w:b/>
          <w:bCs/>
          <w:color w:val="auto"/>
          <w:sz w:val="24"/>
          <w:szCs w:val="24"/>
          <w:highlight w:val="none"/>
          <w:lang w:val="en-US" w:eastAsia="zh-CN"/>
        </w:rPr>
        <w:t>不得填写“按照甲方要求”等类似不明确的字样。</w:t>
      </w:r>
      <w:r>
        <w:rPr>
          <w:rFonts w:hint="eastAsia" w:ascii="仿宋_GB2312" w:hAnsi="仿宋_GB2312" w:eastAsia="仿宋_GB2312" w:cs="仿宋_GB2312"/>
          <w:color w:val="auto"/>
          <w:sz w:val="28"/>
          <w:szCs w:val="28"/>
          <w:highlight w:val="none"/>
          <w:lang w:eastAsia="zh-CN"/>
        </w:rPr>
        <w:br w:type="page"/>
      </w:r>
    </w:p>
    <w:p w14:paraId="33AF3642">
      <w:pPr>
        <w:tabs>
          <w:tab w:val="center" w:pos="4832"/>
          <w:tab w:val="left" w:pos="7140"/>
        </w:tabs>
        <w:jc w:val="center"/>
        <w:outlineLvl w:val="1"/>
        <w:rPr>
          <w:rFonts w:ascii="仿宋" w:hAnsi="仿宋" w:eastAsia="仿宋" w:cs="仿宋"/>
          <w:b/>
          <w:color w:val="auto"/>
          <w:sz w:val="24"/>
          <w:szCs w:val="24"/>
          <w:highlight w:val="none"/>
          <w:lang w:eastAsia="zh-CN"/>
        </w:rPr>
      </w:pPr>
      <w:bookmarkStart w:id="144" w:name="_Toc18934"/>
      <w:r>
        <w:rPr>
          <w:rFonts w:hint="eastAsia" w:ascii="仿宋" w:hAnsi="仿宋" w:eastAsia="仿宋" w:cs="仿宋"/>
          <w:b/>
          <w:color w:val="auto"/>
          <w:sz w:val="24"/>
          <w:szCs w:val="24"/>
          <w:highlight w:val="none"/>
          <w:lang w:eastAsia="zh-CN"/>
        </w:rPr>
        <w:t>二、商务条款偏离表</w:t>
      </w:r>
      <w:bookmarkEnd w:id="140"/>
      <w:bookmarkEnd w:id="141"/>
      <w:bookmarkEnd w:id="142"/>
      <w:bookmarkEnd w:id="143"/>
      <w:bookmarkEnd w:id="144"/>
    </w:p>
    <w:tbl>
      <w:tblPr>
        <w:tblStyle w:val="26"/>
        <w:tblW w:w="9741" w:type="dxa"/>
        <w:tblInd w:w="-316" w:type="dxa"/>
        <w:tblLayout w:type="fixed"/>
        <w:tblCellMar>
          <w:top w:w="0" w:type="dxa"/>
          <w:left w:w="0" w:type="dxa"/>
          <w:bottom w:w="0" w:type="dxa"/>
          <w:right w:w="0" w:type="dxa"/>
        </w:tblCellMar>
      </w:tblPr>
      <w:tblGrid>
        <w:gridCol w:w="413"/>
        <w:gridCol w:w="683"/>
        <w:gridCol w:w="5045"/>
        <w:gridCol w:w="1167"/>
        <w:gridCol w:w="917"/>
        <w:gridCol w:w="1516"/>
      </w:tblGrid>
      <w:tr w14:paraId="051A1F03">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C15299">
            <w:pPr>
              <w:jc w:val="center"/>
              <w:textAlignment w:val="center"/>
              <w:rPr>
                <w:rStyle w:val="105"/>
                <w:rFonts w:hint="default" w:ascii="仿宋" w:hAnsi="仿宋" w:eastAsia="仿宋" w:cs="仿宋"/>
                <w:color w:val="auto"/>
                <w:sz w:val="21"/>
                <w:szCs w:val="21"/>
                <w:highlight w:val="none"/>
                <w:lang w:bidi="ar"/>
              </w:rPr>
            </w:pPr>
            <w:r>
              <w:rPr>
                <w:rStyle w:val="105"/>
                <w:rFonts w:ascii="仿宋" w:hAnsi="仿宋" w:eastAsia="仿宋" w:cs="仿宋"/>
                <w:color w:val="auto"/>
                <w:sz w:val="21"/>
                <w:szCs w:val="21"/>
                <w:highlight w:val="none"/>
                <w:lang w:bidi="ar"/>
              </w:rPr>
              <w:t>序号</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8AA282">
            <w:pPr>
              <w:jc w:val="center"/>
              <w:textAlignment w:val="center"/>
              <w:rPr>
                <w:rStyle w:val="105"/>
                <w:rFonts w:hint="default" w:ascii="仿宋" w:hAnsi="仿宋" w:eastAsia="仿宋" w:cs="仿宋"/>
                <w:color w:val="auto"/>
                <w:sz w:val="21"/>
                <w:szCs w:val="21"/>
                <w:highlight w:val="none"/>
                <w:lang w:bidi="ar"/>
              </w:rPr>
            </w:pPr>
            <w:r>
              <w:rPr>
                <w:rStyle w:val="105"/>
                <w:rFonts w:ascii="仿宋" w:hAnsi="仿宋" w:eastAsia="仿宋" w:cs="仿宋"/>
                <w:color w:val="auto"/>
                <w:sz w:val="21"/>
                <w:szCs w:val="21"/>
                <w:highlight w:val="none"/>
                <w:lang w:bidi="ar"/>
              </w:rPr>
              <w:t>名称</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89106D">
            <w:pPr>
              <w:jc w:val="center"/>
              <w:textAlignment w:val="center"/>
              <w:rPr>
                <w:rStyle w:val="105"/>
                <w:rFonts w:hint="default" w:ascii="仿宋" w:hAnsi="仿宋" w:eastAsia="仿宋" w:cs="仿宋"/>
                <w:color w:val="auto"/>
                <w:sz w:val="21"/>
                <w:szCs w:val="21"/>
                <w:highlight w:val="none"/>
                <w:lang w:bidi="ar"/>
              </w:rPr>
            </w:pPr>
            <w:r>
              <w:rPr>
                <w:rStyle w:val="105"/>
                <w:rFonts w:ascii="仿宋" w:hAnsi="仿宋" w:eastAsia="仿宋" w:cs="仿宋"/>
                <w:color w:val="auto"/>
                <w:sz w:val="21"/>
                <w:szCs w:val="21"/>
                <w:highlight w:val="none"/>
                <w:lang w:bidi="ar"/>
              </w:rPr>
              <w:t>商务指标要求</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47C5BE">
            <w:pPr>
              <w:jc w:val="center"/>
              <w:textAlignment w:val="center"/>
              <w:rPr>
                <w:rStyle w:val="105"/>
                <w:rFonts w:hint="default" w:ascii="仿宋" w:hAnsi="仿宋" w:eastAsia="仿宋" w:cs="仿宋"/>
                <w:color w:val="auto"/>
                <w:sz w:val="21"/>
                <w:szCs w:val="21"/>
                <w:highlight w:val="none"/>
                <w:lang w:eastAsia="zh-CN" w:bidi="ar"/>
              </w:rPr>
            </w:pPr>
            <w:r>
              <w:rPr>
                <w:rStyle w:val="105"/>
                <w:rFonts w:ascii="仿宋" w:hAnsi="仿宋" w:eastAsia="仿宋" w:cs="仿宋"/>
                <w:color w:val="auto"/>
                <w:sz w:val="21"/>
                <w:szCs w:val="21"/>
                <w:highlight w:val="none"/>
                <w:lang w:eastAsia="zh-CN" w:bidi="ar"/>
              </w:rPr>
              <w:t>偏离情况</w:t>
            </w:r>
          </w:p>
          <w:p w14:paraId="2879E0F1">
            <w:pPr>
              <w:jc w:val="center"/>
              <w:textAlignment w:val="center"/>
              <w:rPr>
                <w:rStyle w:val="105"/>
                <w:rFonts w:hint="default" w:ascii="仿宋" w:hAnsi="仿宋" w:eastAsia="仿宋" w:cs="仿宋"/>
                <w:color w:val="auto"/>
                <w:sz w:val="21"/>
                <w:szCs w:val="21"/>
                <w:highlight w:val="none"/>
                <w:lang w:eastAsia="zh-CN" w:bidi="ar"/>
              </w:rPr>
            </w:pPr>
            <w:r>
              <w:rPr>
                <w:rStyle w:val="105"/>
                <w:rFonts w:ascii="仿宋" w:hAnsi="仿宋" w:eastAsia="仿宋" w:cs="仿宋"/>
                <w:color w:val="auto"/>
                <w:sz w:val="21"/>
                <w:szCs w:val="21"/>
                <w:highlight w:val="none"/>
                <w:lang w:eastAsia="zh-CN" w:bidi="ar"/>
              </w:rPr>
              <w:t>（正偏离/负偏离/无偏离）</w:t>
            </w: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B74C00">
            <w:pPr>
              <w:jc w:val="center"/>
              <w:textAlignment w:val="center"/>
              <w:rPr>
                <w:rStyle w:val="105"/>
                <w:rFonts w:hint="default" w:ascii="仿宋" w:hAnsi="仿宋" w:eastAsia="仿宋" w:cs="仿宋"/>
                <w:color w:val="auto"/>
                <w:sz w:val="21"/>
                <w:szCs w:val="21"/>
                <w:highlight w:val="none"/>
                <w:lang w:bidi="ar"/>
              </w:rPr>
            </w:pPr>
            <w:r>
              <w:rPr>
                <w:rStyle w:val="105"/>
                <w:rFonts w:ascii="仿宋" w:hAnsi="仿宋" w:eastAsia="仿宋" w:cs="仿宋"/>
                <w:color w:val="auto"/>
                <w:sz w:val="21"/>
                <w:szCs w:val="21"/>
                <w:highlight w:val="none"/>
                <w:lang w:bidi="ar"/>
              </w:rPr>
              <w:t>相关承诺或证明材料</w:t>
            </w: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EB7CA9">
            <w:pPr>
              <w:jc w:val="center"/>
              <w:textAlignment w:val="center"/>
              <w:rPr>
                <w:rStyle w:val="105"/>
                <w:rFonts w:hint="default" w:ascii="仿宋" w:hAnsi="仿宋" w:eastAsia="仿宋" w:cs="仿宋"/>
                <w:color w:val="auto"/>
                <w:sz w:val="21"/>
                <w:szCs w:val="21"/>
                <w:highlight w:val="none"/>
                <w:lang w:eastAsia="zh-CN" w:bidi="ar"/>
              </w:rPr>
            </w:pPr>
            <w:r>
              <w:rPr>
                <w:rStyle w:val="105"/>
                <w:rFonts w:ascii="仿宋" w:hAnsi="仿宋" w:eastAsia="仿宋" w:cs="仿宋"/>
                <w:color w:val="auto"/>
                <w:sz w:val="21"/>
                <w:szCs w:val="21"/>
                <w:highlight w:val="none"/>
                <w:lang w:eastAsia="zh-CN" w:bidi="ar"/>
              </w:rPr>
              <w:t>相关承诺或证明材料在投标文件中页码</w:t>
            </w:r>
          </w:p>
        </w:tc>
      </w:tr>
      <w:tr w14:paraId="7751F850">
        <w:tblPrEx>
          <w:tblCellMar>
            <w:top w:w="0" w:type="dxa"/>
            <w:left w:w="0" w:type="dxa"/>
            <w:bottom w:w="0" w:type="dxa"/>
            <w:right w:w="0" w:type="dxa"/>
          </w:tblCellMar>
        </w:tblPrEx>
        <w:trPr>
          <w:trHeight w:val="84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2471BB">
            <w:pPr>
              <w:jc w:val="center"/>
              <w:textAlignment w:val="center"/>
              <w:rPr>
                <w:rStyle w:val="105"/>
                <w:rFonts w:hint="default" w:ascii="仿宋" w:hAnsi="仿宋" w:eastAsia="仿宋" w:cs="仿宋"/>
                <w:color w:val="auto"/>
                <w:sz w:val="21"/>
                <w:szCs w:val="21"/>
                <w:highlight w:val="none"/>
                <w:lang w:bidi="ar"/>
              </w:rPr>
            </w:pPr>
            <w:r>
              <w:rPr>
                <w:rStyle w:val="105"/>
                <w:rFonts w:ascii="仿宋" w:hAnsi="仿宋" w:eastAsia="仿宋" w:cs="仿宋"/>
                <w:color w:val="auto"/>
                <w:sz w:val="21"/>
                <w:szCs w:val="21"/>
                <w:highlight w:val="none"/>
                <w:lang w:bidi="ar"/>
              </w:rPr>
              <w:t>1</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2C0340">
            <w:pPr>
              <w:jc w:val="center"/>
              <w:textAlignment w:val="center"/>
              <w:rPr>
                <w:rStyle w:val="105"/>
                <w:rFonts w:hint="default" w:ascii="仿宋" w:hAnsi="仿宋" w:eastAsia="仿宋" w:cs="仿宋"/>
                <w:color w:val="auto"/>
                <w:sz w:val="21"/>
                <w:szCs w:val="21"/>
                <w:highlight w:val="none"/>
                <w:lang w:eastAsia="zh-CN"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8592CD">
            <w:pPr>
              <w:textAlignment w:val="center"/>
              <w:rPr>
                <w:rStyle w:val="105"/>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5DB989">
            <w:pPr>
              <w:jc w:val="center"/>
              <w:textAlignment w:val="center"/>
              <w:rPr>
                <w:rStyle w:val="105"/>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A3884B">
            <w:pPr>
              <w:jc w:val="center"/>
              <w:textAlignment w:val="center"/>
              <w:rPr>
                <w:rStyle w:val="105"/>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B0A90C">
            <w:pPr>
              <w:jc w:val="center"/>
              <w:textAlignment w:val="center"/>
              <w:rPr>
                <w:rStyle w:val="105"/>
                <w:rFonts w:hint="default" w:ascii="仿宋" w:hAnsi="仿宋" w:eastAsia="仿宋" w:cs="仿宋"/>
                <w:color w:val="auto"/>
                <w:sz w:val="21"/>
                <w:szCs w:val="21"/>
                <w:highlight w:val="none"/>
                <w:lang w:bidi="ar"/>
              </w:rPr>
            </w:pPr>
          </w:p>
        </w:tc>
      </w:tr>
      <w:tr w14:paraId="56319CF7">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B015CB">
            <w:pPr>
              <w:jc w:val="center"/>
              <w:textAlignment w:val="center"/>
              <w:rPr>
                <w:rStyle w:val="105"/>
                <w:rFonts w:hint="default" w:ascii="仿宋" w:hAnsi="仿宋" w:eastAsia="仿宋" w:cs="仿宋"/>
                <w:color w:val="auto"/>
                <w:sz w:val="21"/>
                <w:szCs w:val="21"/>
                <w:highlight w:val="none"/>
                <w:lang w:bidi="ar"/>
              </w:rPr>
            </w:pPr>
            <w:r>
              <w:rPr>
                <w:rStyle w:val="105"/>
                <w:rFonts w:ascii="仿宋" w:hAnsi="仿宋" w:eastAsia="仿宋" w:cs="仿宋"/>
                <w:color w:val="auto"/>
                <w:sz w:val="21"/>
                <w:szCs w:val="21"/>
                <w:highlight w:val="none"/>
                <w:lang w:bidi="ar"/>
              </w:rPr>
              <w:t>2</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40C278">
            <w:pPr>
              <w:jc w:val="center"/>
              <w:textAlignment w:val="center"/>
              <w:rPr>
                <w:rStyle w:val="105"/>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715880">
            <w:pPr>
              <w:textAlignment w:val="center"/>
              <w:rPr>
                <w:rStyle w:val="105"/>
                <w:rFonts w:hint="default" w:ascii="仿宋" w:hAnsi="仿宋" w:eastAsia="仿宋" w:cs="仿宋"/>
                <w:color w:val="auto"/>
                <w:sz w:val="21"/>
                <w:szCs w:val="21"/>
                <w:highlight w:val="none"/>
                <w:lang w:eastAsia="zh-CN"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5CF759">
            <w:pPr>
              <w:jc w:val="center"/>
              <w:textAlignment w:val="center"/>
              <w:rPr>
                <w:rStyle w:val="105"/>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89EACB">
            <w:pPr>
              <w:jc w:val="center"/>
              <w:textAlignment w:val="center"/>
              <w:rPr>
                <w:rStyle w:val="105"/>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01694D">
            <w:pPr>
              <w:jc w:val="center"/>
              <w:textAlignment w:val="center"/>
              <w:rPr>
                <w:rStyle w:val="105"/>
                <w:rFonts w:hint="default" w:ascii="仿宋" w:hAnsi="仿宋" w:eastAsia="仿宋" w:cs="仿宋"/>
                <w:color w:val="auto"/>
                <w:sz w:val="21"/>
                <w:szCs w:val="21"/>
                <w:highlight w:val="none"/>
                <w:lang w:bidi="ar"/>
              </w:rPr>
            </w:pPr>
          </w:p>
        </w:tc>
      </w:tr>
      <w:tr w14:paraId="4CB14AC8">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5FA272">
            <w:pPr>
              <w:jc w:val="center"/>
              <w:textAlignment w:val="center"/>
              <w:rPr>
                <w:rStyle w:val="105"/>
                <w:rFonts w:hint="default" w:ascii="仿宋" w:hAnsi="仿宋" w:eastAsia="仿宋" w:cs="仿宋"/>
                <w:color w:val="auto"/>
                <w:sz w:val="21"/>
                <w:szCs w:val="21"/>
                <w:highlight w:val="none"/>
                <w:lang w:bidi="ar"/>
              </w:rPr>
            </w:pPr>
            <w:r>
              <w:rPr>
                <w:rStyle w:val="105"/>
                <w:rFonts w:ascii="仿宋" w:hAnsi="仿宋" w:eastAsia="仿宋" w:cs="仿宋"/>
                <w:color w:val="auto"/>
                <w:sz w:val="21"/>
                <w:szCs w:val="21"/>
                <w:highlight w:val="none"/>
                <w:lang w:bidi="ar"/>
              </w:rPr>
              <w:t>3</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E7CCC7">
            <w:pPr>
              <w:jc w:val="center"/>
              <w:textAlignment w:val="center"/>
              <w:rPr>
                <w:rStyle w:val="105"/>
                <w:rFonts w:hint="default" w:ascii="仿宋" w:hAnsi="仿宋" w:eastAsia="仿宋" w:cs="仿宋"/>
                <w:color w:val="auto"/>
                <w:sz w:val="21"/>
                <w:szCs w:val="21"/>
                <w:highlight w:val="none"/>
                <w:lang w:eastAsia="zh-CN"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A7AE35">
            <w:pPr>
              <w:textAlignment w:val="center"/>
              <w:rPr>
                <w:rStyle w:val="105"/>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D2FEC5">
            <w:pPr>
              <w:jc w:val="center"/>
              <w:textAlignment w:val="center"/>
              <w:rPr>
                <w:rStyle w:val="105"/>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84AB66">
            <w:pPr>
              <w:jc w:val="center"/>
              <w:textAlignment w:val="center"/>
              <w:rPr>
                <w:rStyle w:val="105"/>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B04E1B">
            <w:pPr>
              <w:jc w:val="center"/>
              <w:textAlignment w:val="center"/>
              <w:rPr>
                <w:rStyle w:val="105"/>
                <w:rFonts w:hint="default" w:ascii="仿宋" w:hAnsi="仿宋" w:eastAsia="仿宋" w:cs="仿宋"/>
                <w:color w:val="auto"/>
                <w:sz w:val="21"/>
                <w:szCs w:val="21"/>
                <w:highlight w:val="none"/>
                <w:lang w:bidi="ar"/>
              </w:rPr>
            </w:pPr>
          </w:p>
        </w:tc>
      </w:tr>
      <w:tr w14:paraId="74557EA4">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8EC6ED">
            <w:pPr>
              <w:jc w:val="center"/>
              <w:textAlignment w:val="center"/>
              <w:rPr>
                <w:rStyle w:val="105"/>
                <w:rFonts w:hint="default" w:ascii="仿宋" w:hAnsi="仿宋" w:eastAsia="仿宋" w:cs="仿宋"/>
                <w:color w:val="auto"/>
                <w:sz w:val="21"/>
                <w:szCs w:val="21"/>
                <w:highlight w:val="none"/>
                <w:lang w:bidi="ar"/>
              </w:rPr>
            </w:pPr>
            <w:r>
              <w:rPr>
                <w:rStyle w:val="105"/>
                <w:rFonts w:ascii="仿宋" w:hAnsi="仿宋" w:eastAsia="仿宋" w:cs="仿宋"/>
                <w:color w:val="auto"/>
                <w:sz w:val="21"/>
                <w:szCs w:val="21"/>
                <w:highlight w:val="none"/>
                <w:lang w:bidi="ar"/>
              </w:rPr>
              <w:t>4</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725DFF">
            <w:pPr>
              <w:jc w:val="center"/>
              <w:textAlignment w:val="center"/>
              <w:rPr>
                <w:rStyle w:val="105"/>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8CC8B1">
            <w:pPr>
              <w:textAlignment w:val="center"/>
              <w:rPr>
                <w:rStyle w:val="105"/>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FC0BF7">
            <w:pPr>
              <w:jc w:val="center"/>
              <w:textAlignment w:val="center"/>
              <w:rPr>
                <w:rStyle w:val="105"/>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63B827">
            <w:pPr>
              <w:jc w:val="center"/>
              <w:textAlignment w:val="center"/>
              <w:rPr>
                <w:rStyle w:val="105"/>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9C9D90">
            <w:pPr>
              <w:jc w:val="center"/>
              <w:textAlignment w:val="center"/>
              <w:rPr>
                <w:rStyle w:val="105"/>
                <w:rFonts w:hint="default" w:ascii="仿宋" w:hAnsi="仿宋" w:eastAsia="仿宋" w:cs="仿宋"/>
                <w:color w:val="auto"/>
                <w:sz w:val="21"/>
                <w:szCs w:val="21"/>
                <w:highlight w:val="none"/>
                <w:lang w:bidi="ar"/>
              </w:rPr>
            </w:pPr>
          </w:p>
        </w:tc>
      </w:tr>
      <w:tr w14:paraId="27C8855A">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E857E9">
            <w:pPr>
              <w:jc w:val="center"/>
              <w:textAlignment w:val="center"/>
              <w:rPr>
                <w:rStyle w:val="105"/>
                <w:rFonts w:hint="default" w:ascii="仿宋" w:hAnsi="仿宋" w:eastAsia="仿宋" w:cs="仿宋"/>
                <w:color w:val="auto"/>
                <w:sz w:val="21"/>
                <w:szCs w:val="21"/>
                <w:highlight w:val="none"/>
                <w:lang w:bidi="ar"/>
              </w:rPr>
            </w:pPr>
            <w:r>
              <w:rPr>
                <w:rStyle w:val="105"/>
                <w:rFonts w:ascii="仿宋" w:hAnsi="仿宋" w:eastAsia="仿宋" w:cs="仿宋"/>
                <w:color w:val="auto"/>
                <w:sz w:val="21"/>
                <w:szCs w:val="21"/>
                <w:highlight w:val="none"/>
                <w:lang w:bidi="ar"/>
              </w:rPr>
              <w:t>5</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814291">
            <w:pPr>
              <w:jc w:val="center"/>
              <w:textAlignment w:val="center"/>
              <w:rPr>
                <w:rStyle w:val="105"/>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E35BA4">
            <w:pPr>
              <w:textAlignment w:val="center"/>
              <w:rPr>
                <w:rStyle w:val="105"/>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3F6771">
            <w:pPr>
              <w:jc w:val="center"/>
              <w:textAlignment w:val="center"/>
              <w:rPr>
                <w:rStyle w:val="105"/>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7021C1">
            <w:pPr>
              <w:jc w:val="center"/>
              <w:textAlignment w:val="center"/>
              <w:rPr>
                <w:rStyle w:val="105"/>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CBE2CD">
            <w:pPr>
              <w:jc w:val="center"/>
              <w:textAlignment w:val="center"/>
              <w:rPr>
                <w:rStyle w:val="105"/>
                <w:rFonts w:hint="default" w:ascii="仿宋" w:hAnsi="仿宋" w:eastAsia="仿宋" w:cs="仿宋"/>
                <w:color w:val="auto"/>
                <w:sz w:val="21"/>
                <w:szCs w:val="21"/>
                <w:highlight w:val="none"/>
                <w:lang w:bidi="ar"/>
              </w:rPr>
            </w:pPr>
          </w:p>
        </w:tc>
      </w:tr>
      <w:tr w14:paraId="790229D8">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B08DFC">
            <w:pPr>
              <w:jc w:val="center"/>
              <w:textAlignment w:val="center"/>
              <w:rPr>
                <w:rStyle w:val="105"/>
                <w:rFonts w:hint="default" w:ascii="仿宋" w:hAnsi="仿宋" w:eastAsia="仿宋" w:cs="仿宋"/>
                <w:color w:val="auto"/>
                <w:sz w:val="21"/>
                <w:szCs w:val="21"/>
                <w:highlight w:val="none"/>
                <w:lang w:eastAsia="zh-CN" w:bidi="ar"/>
              </w:rPr>
            </w:pPr>
            <w:r>
              <w:rPr>
                <w:rStyle w:val="105"/>
                <w:rFonts w:ascii="仿宋" w:hAnsi="仿宋" w:eastAsia="仿宋" w:cs="仿宋"/>
                <w:color w:val="auto"/>
                <w:sz w:val="21"/>
                <w:szCs w:val="21"/>
                <w:highlight w:val="none"/>
                <w:lang w:eastAsia="zh-CN" w:bidi="ar"/>
              </w:rPr>
              <w:t>6</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43D08A">
            <w:pPr>
              <w:jc w:val="center"/>
              <w:textAlignment w:val="center"/>
              <w:rPr>
                <w:rStyle w:val="105"/>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A42FB9">
            <w:pPr>
              <w:textAlignment w:val="center"/>
              <w:rPr>
                <w:rStyle w:val="105"/>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7B423">
            <w:pPr>
              <w:jc w:val="center"/>
              <w:textAlignment w:val="center"/>
              <w:rPr>
                <w:rStyle w:val="105"/>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5653CA">
            <w:pPr>
              <w:jc w:val="center"/>
              <w:textAlignment w:val="center"/>
              <w:rPr>
                <w:rStyle w:val="105"/>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D96B9C">
            <w:pPr>
              <w:jc w:val="center"/>
              <w:textAlignment w:val="center"/>
              <w:rPr>
                <w:rStyle w:val="105"/>
                <w:rFonts w:hint="default" w:ascii="仿宋" w:hAnsi="仿宋" w:eastAsia="仿宋" w:cs="仿宋"/>
                <w:color w:val="auto"/>
                <w:sz w:val="21"/>
                <w:szCs w:val="21"/>
                <w:highlight w:val="none"/>
                <w:lang w:bidi="ar"/>
              </w:rPr>
            </w:pPr>
          </w:p>
        </w:tc>
      </w:tr>
      <w:tr w14:paraId="14D4F364">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0C2C11">
            <w:pPr>
              <w:jc w:val="center"/>
              <w:textAlignment w:val="center"/>
              <w:rPr>
                <w:rStyle w:val="105"/>
                <w:rFonts w:hint="default" w:ascii="仿宋" w:hAnsi="仿宋" w:eastAsia="仿宋" w:cs="仿宋"/>
                <w:color w:val="auto"/>
                <w:sz w:val="21"/>
                <w:szCs w:val="21"/>
                <w:highlight w:val="none"/>
                <w:lang w:eastAsia="zh-CN" w:bidi="ar"/>
              </w:rPr>
            </w:pPr>
            <w:r>
              <w:rPr>
                <w:rStyle w:val="105"/>
                <w:rFonts w:ascii="仿宋" w:hAnsi="仿宋" w:eastAsia="仿宋" w:cs="仿宋"/>
                <w:color w:val="auto"/>
                <w:sz w:val="21"/>
                <w:szCs w:val="21"/>
                <w:highlight w:val="none"/>
                <w:lang w:eastAsia="zh-CN" w:bidi="ar"/>
              </w:rPr>
              <w:t>7</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0377E4">
            <w:pPr>
              <w:jc w:val="center"/>
              <w:textAlignment w:val="center"/>
              <w:rPr>
                <w:rStyle w:val="105"/>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1B5F5C">
            <w:pPr>
              <w:textAlignment w:val="center"/>
              <w:rPr>
                <w:rStyle w:val="105"/>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263E17">
            <w:pPr>
              <w:jc w:val="center"/>
              <w:textAlignment w:val="center"/>
              <w:rPr>
                <w:rStyle w:val="105"/>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28C0E3">
            <w:pPr>
              <w:jc w:val="center"/>
              <w:textAlignment w:val="center"/>
              <w:rPr>
                <w:rStyle w:val="105"/>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7C97B6">
            <w:pPr>
              <w:jc w:val="center"/>
              <w:textAlignment w:val="center"/>
              <w:rPr>
                <w:rStyle w:val="105"/>
                <w:rFonts w:hint="default" w:ascii="仿宋" w:hAnsi="仿宋" w:eastAsia="仿宋" w:cs="仿宋"/>
                <w:color w:val="auto"/>
                <w:sz w:val="21"/>
                <w:szCs w:val="21"/>
                <w:highlight w:val="none"/>
                <w:lang w:bidi="ar"/>
              </w:rPr>
            </w:pPr>
          </w:p>
        </w:tc>
      </w:tr>
      <w:tr w14:paraId="66777579">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8A07BD">
            <w:pPr>
              <w:jc w:val="center"/>
              <w:textAlignment w:val="center"/>
              <w:rPr>
                <w:rStyle w:val="105"/>
                <w:rFonts w:hint="default" w:ascii="仿宋" w:hAnsi="仿宋" w:eastAsia="仿宋" w:cs="仿宋"/>
                <w:color w:val="auto"/>
                <w:sz w:val="21"/>
                <w:szCs w:val="21"/>
                <w:highlight w:val="none"/>
                <w:lang w:eastAsia="zh-CN" w:bidi="ar"/>
              </w:rPr>
            </w:pPr>
            <w:r>
              <w:rPr>
                <w:rStyle w:val="105"/>
                <w:rFonts w:ascii="仿宋" w:hAnsi="仿宋" w:eastAsia="仿宋" w:cs="仿宋"/>
                <w:color w:val="auto"/>
                <w:sz w:val="21"/>
                <w:szCs w:val="21"/>
                <w:highlight w:val="none"/>
                <w:lang w:eastAsia="zh-CN" w:bidi="ar"/>
              </w:rPr>
              <w:t>8</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57B147">
            <w:pPr>
              <w:jc w:val="center"/>
              <w:textAlignment w:val="center"/>
              <w:rPr>
                <w:rStyle w:val="105"/>
                <w:rFonts w:hint="default" w:ascii="仿宋" w:hAnsi="仿宋" w:eastAsia="仿宋" w:cs="仿宋"/>
                <w:color w:val="auto"/>
                <w:sz w:val="21"/>
                <w:szCs w:val="21"/>
                <w:highlight w:val="none"/>
                <w:lang w:eastAsia="zh-CN"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38E5E8">
            <w:pPr>
              <w:textAlignment w:val="center"/>
              <w:rPr>
                <w:rStyle w:val="105"/>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D8CB87">
            <w:pPr>
              <w:jc w:val="center"/>
              <w:textAlignment w:val="center"/>
              <w:rPr>
                <w:rStyle w:val="105"/>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04B024">
            <w:pPr>
              <w:jc w:val="center"/>
              <w:textAlignment w:val="center"/>
              <w:rPr>
                <w:rStyle w:val="105"/>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E63476">
            <w:pPr>
              <w:jc w:val="center"/>
              <w:textAlignment w:val="center"/>
              <w:rPr>
                <w:rStyle w:val="105"/>
                <w:rFonts w:hint="default" w:ascii="仿宋" w:hAnsi="仿宋" w:eastAsia="仿宋" w:cs="仿宋"/>
                <w:color w:val="auto"/>
                <w:sz w:val="21"/>
                <w:szCs w:val="21"/>
                <w:highlight w:val="none"/>
                <w:lang w:bidi="ar"/>
              </w:rPr>
            </w:pPr>
          </w:p>
        </w:tc>
      </w:tr>
      <w:tr w14:paraId="453E4B76">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E27E4C">
            <w:pPr>
              <w:jc w:val="center"/>
              <w:textAlignment w:val="center"/>
              <w:rPr>
                <w:rStyle w:val="105"/>
                <w:rFonts w:hint="default" w:ascii="仿宋" w:hAnsi="仿宋" w:eastAsia="仿宋" w:cs="仿宋"/>
                <w:color w:val="auto"/>
                <w:sz w:val="21"/>
                <w:szCs w:val="21"/>
                <w:highlight w:val="none"/>
                <w:lang w:eastAsia="zh-CN" w:bidi="ar"/>
              </w:rPr>
            </w:pPr>
            <w:r>
              <w:rPr>
                <w:rStyle w:val="105"/>
                <w:rFonts w:ascii="仿宋" w:hAnsi="仿宋" w:eastAsia="仿宋" w:cs="仿宋"/>
                <w:color w:val="auto"/>
                <w:sz w:val="21"/>
                <w:szCs w:val="21"/>
                <w:highlight w:val="none"/>
                <w:lang w:eastAsia="zh-CN" w:bidi="ar"/>
              </w:rPr>
              <w:t>9</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13ED31">
            <w:pPr>
              <w:jc w:val="center"/>
              <w:textAlignment w:val="center"/>
              <w:rPr>
                <w:rStyle w:val="105"/>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7F6ADC">
            <w:pPr>
              <w:textAlignment w:val="center"/>
              <w:rPr>
                <w:rStyle w:val="105"/>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334FB7">
            <w:pPr>
              <w:jc w:val="center"/>
              <w:textAlignment w:val="center"/>
              <w:rPr>
                <w:rStyle w:val="105"/>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85F87E">
            <w:pPr>
              <w:jc w:val="center"/>
              <w:textAlignment w:val="center"/>
              <w:rPr>
                <w:rStyle w:val="105"/>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9AF1E3">
            <w:pPr>
              <w:jc w:val="center"/>
              <w:textAlignment w:val="center"/>
              <w:rPr>
                <w:rStyle w:val="105"/>
                <w:rFonts w:hint="default" w:ascii="仿宋" w:hAnsi="仿宋" w:eastAsia="仿宋" w:cs="仿宋"/>
                <w:color w:val="auto"/>
                <w:sz w:val="21"/>
                <w:szCs w:val="21"/>
                <w:highlight w:val="none"/>
                <w:lang w:bidi="ar"/>
              </w:rPr>
            </w:pPr>
          </w:p>
        </w:tc>
      </w:tr>
    </w:tbl>
    <w:p w14:paraId="01E1B7FA">
      <w:pPr>
        <w:rPr>
          <w:rFonts w:ascii="仿宋" w:hAnsi="仿宋" w:eastAsia="仿宋" w:cs="仿宋"/>
          <w:b/>
          <w:color w:val="auto"/>
          <w:sz w:val="24"/>
          <w:szCs w:val="24"/>
          <w:highlight w:val="none"/>
        </w:rPr>
      </w:pPr>
    </w:p>
    <w:p w14:paraId="4B5B9795">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1.投标人必须对应采购文件《第四章》内容逐条响应。如有缺漏，缺漏项视同响应招标要求。</w:t>
      </w:r>
    </w:p>
    <w:p w14:paraId="13D31DF4">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 采购文件《第四章》要求提供证明文件或承诺的，投标人需在本表后附相关证明文件或承诺，否则视为不响应采购文件要求。</w:t>
      </w:r>
    </w:p>
    <w:p w14:paraId="2530D68F">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3.投标人响应采购需求应具体、明确，含糊不清、不确切或伪造、变造证明材料的，按照不完全响应或者完全不响应处理。构成提供虚假材料的，移送监管部门查处。</w:t>
      </w:r>
    </w:p>
    <w:p w14:paraId="5DA3F946">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4.本表表头内容不得擅自修改。</w:t>
      </w:r>
    </w:p>
    <w:p w14:paraId="769EDDA6">
      <w:pPr>
        <w:spacing w:line="360" w:lineRule="auto"/>
        <w:rPr>
          <w:rFonts w:ascii="仿宋" w:hAnsi="仿宋" w:eastAsia="仿宋" w:cs="仿宋"/>
          <w:color w:val="auto"/>
          <w:sz w:val="24"/>
          <w:szCs w:val="24"/>
          <w:highlight w:val="none"/>
          <w:lang w:eastAsia="zh-CN"/>
        </w:rPr>
      </w:pPr>
    </w:p>
    <w:p w14:paraId="47AA26BC">
      <w:pPr>
        <w:spacing w:line="360" w:lineRule="auto"/>
        <w:rPr>
          <w:rFonts w:ascii="仿宋" w:hAnsi="仿宋" w:eastAsia="仿宋" w:cs="仿宋"/>
          <w:color w:val="auto"/>
          <w:sz w:val="24"/>
          <w:szCs w:val="24"/>
          <w:highlight w:val="none"/>
          <w:lang w:eastAsia="zh-CN"/>
        </w:rPr>
      </w:pPr>
    </w:p>
    <w:p w14:paraId="659CD6AE">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4CE4CFFD">
      <w:pPr>
        <w:shd w:val="clear" w:color="auto" w:fill="FFFFFF"/>
        <w:spacing w:line="384" w:lineRule="auto"/>
        <w:rPr>
          <w:rFonts w:ascii="仿宋" w:hAnsi="仿宋" w:eastAsia="仿宋" w:cs="仿宋"/>
          <w:color w:val="auto"/>
          <w:sz w:val="24"/>
          <w:szCs w:val="24"/>
          <w:highlight w:val="none"/>
          <w:lang w:eastAsia="zh-CN"/>
        </w:rPr>
      </w:pPr>
    </w:p>
    <w:p w14:paraId="010C03A4">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44F45F2E">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6DF42ED1">
      <w:pPr>
        <w:rPr>
          <w:rFonts w:ascii="仿宋" w:hAnsi="仿宋" w:eastAsia="仿宋" w:cs="仿宋"/>
          <w:color w:val="auto"/>
          <w:sz w:val="24"/>
          <w:szCs w:val="24"/>
          <w:highlight w:val="none"/>
          <w:lang w:eastAsia="zh-CN"/>
        </w:rPr>
      </w:pPr>
      <w:r>
        <w:rPr>
          <w:rFonts w:hint="eastAsia" w:ascii="仿宋" w:hAnsi="仿宋" w:eastAsia="仿宋" w:cs="仿宋"/>
          <w:b/>
          <w:bCs/>
          <w:color w:val="auto"/>
          <w:kern w:val="36"/>
          <w:sz w:val="24"/>
          <w:szCs w:val="24"/>
          <w:highlight w:val="none"/>
          <w:lang w:eastAsia="zh-CN"/>
        </w:rPr>
        <w:br w:type="page"/>
      </w:r>
    </w:p>
    <w:p w14:paraId="4BB4FBB1">
      <w:pPr>
        <w:rPr>
          <w:rFonts w:ascii="仿宋" w:hAnsi="仿宋" w:eastAsia="仿宋" w:cs="仿宋"/>
          <w:color w:val="auto"/>
          <w:sz w:val="24"/>
          <w:szCs w:val="24"/>
          <w:highlight w:val="none"/>
          <w:lang w:eastAsia="zh-CN"/>
        </w:rPr>
      </w:pPr>
    </w:p>
    <w:p w14:paraId="79288133">
      <w:pPr>
        <w:tabs>
          <w:tab w:val="center" w:pos="4832"/>
          <w:tab w:val="left" w:pos="7140"/>
        </w:tabs>
        <w:jc w:val="center"/>
        <w:outlineLvl w:val="1"/>
        <w:rPr>
          <w:rFonts w:ascii="仿宋" w:hAnsi="仿宋" w:eastAsia="仿宋" w:cs="仿宋"/>
          <w:b/>
          <w:color w:val="auto"/>
          <w:sz w:val="24"/>
          <w:szCs w:val="24"/>
          <w:highlight w:val="none"/>
          <w:lang w:eastAsia="zh-CN"/>
        </w:rPr>
      </w:pPr>
      <w:bookmarkStart w:id="145" w:name="_Toc20318"/>
      <w:bookmarkStart w:id="146" w:name="_Toc109921160"/>
      <w:bookmarkStart w:id="147" w:name="_Toc109941767"/>
      <w:bookmarkStart w:id="148" w:name="_Toc110707967"/>
      <w:bookmarkStart w:id="149" w:name="_Toc130252617"/>
      <w:r>
        <w:rPr>
          <w:rFonts w:hint="eastAsia" w:ascii="仿宋" w:hAnsi="仿宋" w:eastAsia="仿宋" w:cs="仿宋"/>
          <w:b/>
          <w:color w:val="auto"/>
          <w:sz w:val="24"/>
          <w:szCs w:val="24"/>
          <w:highlight w:val="none"/>
          <w:lang w:eastAsia="zh-CN"/>
        </w:rPr>
        <w:t>三、技术条款偏离表</w:t>
      </w:r>
      <w:bookmarkEnd w:id="145"/>
      <w:bookmarkEnd w:id="146"/>
      <w:bookmarkEnd w:id="147"/>
      <w:bookmarkEnd w:id="148"/>
      <w:bookmarkEnd w:id="149"/>
    </w:p>
    <w:tbl>
      <w:tblPr>
        <w:tblStyle w:val="26"/>
        <w:tblW w:w="4996" w:type="pct"/>
        <w:tblInd w:w="0" w:type="dxa"/>
        <w:tblLayout w:type="autofit"/>
        <w:tblCellMar>
          <w:top w:w="0" w:type="dxa"/>
          <w:left w:w="108" w:type="dxa"/>
          <w:bottom w:w="0" w:type="dxa"/>
          <w:right w:w="108" w:type="dxa"/>
        </w:tblCellMar>
      </w:tblPr>
      <w:tblGrid>
        <w:gridCol w:w="568"/>
        <w:gridCol w:w="4836"/>
        <w:gridCol w:w="786"/>
        <w:gridCol w:w="1281"/>
        <w:gridCol w:w="1340"/>
        <w:gridCol w:w="1037"/>
      </w:tblGrid>
      <w:tr w14:paraId="455833AB">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21F181CF">
            <w:pPr>
              <w:jc w:val="center"/>
              <w:textAlignment w:val="center"/>
              <w:rPr>
                <w:rStyle w:val="105"/>
                <w:rFonts w:hint="default" w:ascii="仿宋" w:hAnsi="仿宋" w:eastAsia="仿宋" w:cs="仿宋"/>
                <w:color w:val="auto"/>
                <w:sz w:val="18"/>
                <w:szCs w:val="18"/>
                <w:highlight w:val="none"/>
                <w:lang w:bidi="ar"/>
              </w:rPr>
            </w:pPr>
            <w:r>
              <w:rPr>
                <w:rStyle w:val="105"/>
                <w:rFonts w:ascii="仿宋" w:hAnsi="仿宋" w:eastAsia="仿宋" w:cs="仿宋"/>
                <w:color w:val="auto"/>
                <w:sz w:val="18"/>
                <w:szCs w:val="18"/>
                <w:highlight w:val="none"/>
                <w:lang w:bidi="ar"/>
              </w:rPr>
              <w:t>序号</w:t>
            </w:r>
          </w:p>
        </w:tc>
        <w:tc>
          <w:tcPr>
            <w:tcW w:w="2454" w:type="pct"/>
            <w:tcBorders>
              <w:top w:val="single" w:color="000000" w:sz="4" w:space="0"/>
              <w:left w:val="single" w:color="000000" w:sz="4" w:space="0"/>
              <w:bottom w:val="single" w:color="000000" w:sz="4" w:space="0"/>
              <w:right w:val="single" w:color="000000" w:sz="4" w:space="0"/>
            </w:tcBorders>
            <w:vAlign w:val="center"/>
          </w:tcPr>
          <w:p w14:paraId="490D947A">
            <w:pPr>
              <w:jc w:val="center"/>
              <w:textAlignment w:val="center"/>
              <w:rPr>
                <w:rStyle w:val="105"/>
                <w:rFonts w:hint="default" w:ascii="仿宋" w:hAnsi="仿宋" w:eastAsia="仿宋" w:cs="仿宋"/>
                <w:color w:val="auto"/>
                <w:sz w:val="18"/>
                <w:szCs w:val="18"/>
                <w:highlight w:val="none"/>
                <w:lang w:bidi="ar"/>
              </w:rPr>
            </w:pPr>
            <w:r>
              <w:rPr>
                <w:rStyle w:val="105"/>
                <w:rFonts w:ascii="仿宋" w:hAnsi="仿宋" w:eastAsia="仿宋" w:cs="仿宋"/>
                <w:color w:val="auto"/>
                <w:sz w:val="18"/>
                <w:szCs w:val="18"/>
                <w:highlight w:val="none"/>
                <w:lang w:bidi="ar"/>
              </w:rPr>
              <w:t>技术指标要求</w:t>
            </w:r>
          </w:p>
        </w:tc>
        <w:tc>
          <w:tcPr>
            <w:tcW w:w="399" w:type="pct"/>
            <w:tcBorders>
              <w:top w:val="single" w:color="000000" w:sz="4" w:space="0"/>
              <w:left w:val="single" w:color="000000" w:sz="4" w:space="0"/>
              <w:bottom w:val="single" w:color="000000" w:sz="4" w:space="0"/>
              <w:right w:val="single" w:color="000000" w:sz="4" w:space="0"/>
            </w:tcBorders>
            <w:vAlign w:val="center"/>
          </w:tcPr>
          <w:p w14:paraId="2905E197">
            <w:pPr>
              <w:jc w:val="center"/>
              <w:textAlignment w:val="center"/>
              <w:rPr>
                <w:rStyle w:val="105"/>
                <w:rFonts w:hint="default" w:ascii="仿宋" w:hAnsi="仿宋" w:eastAsia="仿宋" w:cs="仿宋"/>
                <w:color w:val="auto"/>
                <w:sz w:val="18"/>
                <w:szCs w:val="18"/>
                <w:highlight w:val="none"/>
                <w:lang w:bidi="ar"/>
              </w:rPr>
            </w:pPr>
            <w:r>
              <w:rPr>
                <w:rStyle w:val="105"/>
                <w:rFonts w:ascii="仿宋" w:hAnsi="仿宋" w:eastAsia="仿宋" w:cs="仿宋"/>
                <w:color w:val="auto"/>
                <w:sz w:val="18"/>
                <w:szCs w:val="18"/>
                <w:highlight w:val="none"/>
                <w:lang w:bidi="ar"/>
              </w:rPr>
              <w:t>证明材料要求</w:t>
            </w:r>
          </w:p>
        </w:tc>
        <w:tc>
          <w:tcPr>
            <w:tcW w:w="650" w:type="pct"/>
            <w:tcBorders>
              <w:top w:val="single" w:color="000000" w:sz="4" w:space="0"/>
              <w:left w:val="single" w:color="000000" w:sz="4" w:space="0"/>
              <w:bottom w:val="single" w:color="000000" w:sz="4" w:space="0"/>
              <w:right w:val="single" w:color="000000" w:sz="4" w:space="0"/>
            </w:tcBorders>
            <w:vAlign w:val="center"/>
          </w:tcPr>
          <w:p w14:paraId="61AC2C74">
            <w:pPr>
              <w:jc w:val="center"/>
              <w:textAlignment w:val="center"/>
              <w:rPr>
                <w:rStyle w:val="105"/>
                <w:rFonts w:hint="default" w:ascii="仿宋" w:hAnsi="仿宋" w:eastAsia="仿宋" w:cs="仿宋"/>
                <w:color w:val="auto"/>
                <w:sz w:val="18"/>
                <w:szCs w:val="18"/>
                <w:highlight w:val="none"/>
                <w:lang w:eastAsia="zh-CN" w:bidi="ar"/>
              </w:rPr>
            </w:pPr>
            <w:r>
              <w:rPr>
                <w:rStyle w:val="105"/>
                <w:rFonts w:ascii="仿宋" w:hAnsi="仿宋" w:eastAsia="仿宋" w:cs="仿宋"/>
                <w:color w:val="auto"/>
                <w:sz w:val="18"/>
                <w:szCs w:val="18"/>
                <w:highlight w:val="none"/>
                <w:lang w:eastAsia="zh-CN" w:bidi="ar"/>
              </w:rPr>
              <w:t>提供证明材料在投标文件中页码</w:t>
            </w:r>
          </w:p>
        </w:tc>
        <w:tc>
          <w:tcPr>
            <w:tcW w:w="680" w:type="pct"/>
            <w:tcBorders>
              <w:top w:val="single" w:color="000000" w:sz="4" w:space="0"/>
              <w:left w:val="single" w:color="000000" w:sz="4" w:space="0"/>
              <w:bottom w:val="single" w:color="000000" w:sz="4" w:space="0"/>
              <w:right w:val="single" w:color="000000" w:sz="4" w:space="0"/>
            </w:tcBorders>
            <w:vAlign w:val="center"/>
          </w:tcPr>
          <w:p w14:paraId="25324CBD">
            <w:pPr>
              <w:jc w:val="center"/>
              <w:textAlignment w:val="center"/>
              <w:rPr>
                <w:rStyle w:val="105"/>
                <w:rFonts w:hint="default" w:ascii="仿宋" w:hAnsi="仿宋" w:eastAsia="仿宋" w:cs="仿宋"/>
                <w:color w:val="auto"/>
                <w:sz w:val="18"/>
                <w:szCs w:val="18"/>
                <w:highlight w:val="none"/>
                <w:lang w:eastAsia="zh-CN" w:bidi="ar"/>
              </w:rPr>
            </w:pPr>
            <w:r>
              <w:rPr>
                <w:rStyle w:val="105"/>
                <w:rFonts w:ascii="仿宋" w:hAnsi="仿宋" w:eastAsia="仿宋" w:cs="仿宋"/>
                <w:color w:val="auto"/>
                <w:sz w:val="18"/>
                <w:szCs w:val="18"/>
                <w:highlight w:val="none"/>
                <w:lang w:eastAsia="zh-CN" w:bidi="ar"/>
              </w:rPr>
              <w:t>偏离情况</w:t>
            </w:r>
          </w:p>
          <w:p w14:paraId="15B6A609">
            <w:pPr>
              <w:jc w:val="center"/>
              <w:textAlignment w:val="center"/>
              <w:rPr>
                <w:rStyle w:val="105"/>
                <w:rFonts w:hint="default" w:ascii="仿宋" w:hAnsi="仿宋" w:eastAsia="仿宋" w:cs="仿宋"/>
                <w:color w:val="auto"/>
                <w:sz w:val="18"/>
                <w:szCs w:val="18"/>
                <w:highlight w:val="none"/>
                <w:lang w:eastAsia="zh-CN" w:bidi="ar"/>
              </w:rPr>
            </w:pPr>
            <w:r>
              <w:rPr>
                <w:rStyle w:val="105"/>
                <w:rFonts w:ascii="仿宋" w:hAnsi="仿宋" w:eastAsia="仿宋" w:cs="仿宋"/>
                <w:color w:val="auto"/>
                <w:sz w:val="18"/>
                <w:szCs w:val="18"/>
                <w:highlight w:val="none"/>
                <w:lang w:eastAsia="zh-CN" w:bidi="ar"/>
              </w:rPr>
              <w:t>（正偏离/负偏离/无偏离）</w:t>
            </w:r>
          </w:p>
        </w:tc>
        <w:tc>
          <w:tcPr>
            <w:tcW w:w="526" w:type="pct"/>
            <w:tcBorders>
              <w:top w:val="single" w:color="000000" w:sz="4" w:space="0"/>
              <w:left w:val="single" w:color="000000" w:sz="4" w:space="0"/>
              <w:bottom w:val="single" w:color="000000" w:sz="4" w:space="0"/>
              <w:right w:val="single" w:color="000000" w:sz="4" w:space="0"/>
            </w:tcBorders>
            <w:vAlign w:val="center"/>
          </w:tcPr>
          <w:p w14:paraId="1B0C63AA">
            <w:pPr>
              <w:jc w:val="center"/>
              <w:textAlignment w:val="center"/>
              <w:rPr>
                <w:rStyle w:val="105"/>
                <w:rFonts w:hint="default" w:ascii="仿宋" w:hAnsi="仿宋" w:eastAsia="仿宋" w:cs="仿宋"/>
                <w:color w:val="auto"/>
                <w:sz w:val="18"/>
                <w:szCs w:val="18"/>
                <w:highlight w:val="none"/>
                <w:lang w:bidi="ar"/>
              </w:rPr>
            </w:pPr>
            <w:r>
              <w:rPr>
                <w:rStyle w:val="105"/>
                <w:rFonts w:ascii="仿宋" w:hAnsi="仿宋" w:eastAsia="仿宋" w:cs="仿宋"/>
                <w:color w:val="auto"/>
                <w:sz w:val="18"/>
                <w:szCs w:val="18"/>
                <w:highlight w:val="none"/>
                <w:lang w:bidi="ar"/>
              </w:rPr>
              <w:t>供应商的承诺或说明</w:t>
            </w:r>
          </w:p>
        </w:tc>
      </w:tr>
      <w:tr w14:paraId="5DF6D07C">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63C308D3">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1</w:t>
            </w:r>
          </w:p>
        </w:tc>
        <w:tc>
          <w:tcPr>
            <w:tcW w:w="2454" w:type="pct"/>
            <w:tcBorders>
              <w:top w:val="single" w:color="000000" w:sz="4" w:space="0"/>
              <w:left w:val="single" w:color="000000" w:sz="4" w:space="0"/>
              <w:bottom w:val="single" w:color="000000" w:sz="4" w:space="0"/>
              <w:right w:val="single" w:color="000000" w:sz="4" w:space="0"/>
            </w:tcBorders>
            <w:vAlign w:val="center"/>
          </w:tcPr>
          <w:p w14:paraId="4C368176">
            <w:pPr>
              <w:textAlignment w:val="center"/>
              <w:rPr>
                <w:rFonts w:ascii="仿宋" w:hAnsi="仿宋" w:eastAsia="仿宋" w:cs="仿宋"/>
                <w:color w:val="auto"/>
                <w:sz w:val="20"/>
                <w:szCs w:val="20"/>
                <w:highlight w:val="none"/>
                <w:lang w:bidi="ar"/>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2115A8A">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ECB55B2">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69A36747">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3CBDF1EC">
            <w:pPr>
              <w:jc w:val="center"/>
              <w:rPr>
                <w:rFonts w:ascii="仿宋" w:hAnsi="仿宋" w:eastAsia="仿宋" w:cs="仿宋"/>
                <w:b/>
                <w:bCs/>
                <w:color w:val="auto"/>
                <w:sz w:val="20"/>
                <w:szCs w:val="20"/>
                <w:highlight w:val="none"/>
                <w:lang w:bidi="ar"/>
              </w:rPr>
            </w:pPr>
          </w:p>
        </w:tc>
      </w:tr>
      <w:tr w14:paraId="2914113D">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60A91882">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2</w:t>
            </w:r>
          </w:p>
        </w:tc>
        <w:tc>
          <w:tcPr>
            <w:tcW w:w="2454" w:type="pct"/>
            <w:tcBorders>
              <w:top w:val="single" w:color="000000" w:sz="4" w:space="0"/>
              <w:left w:val="single" w:color="000000" w:sz="4" w:space="0"/>
              <w:bottom w:val="single" w:color="000000" w:sz="4" w:space="0"/>
              <w:right w:val="single" w:color="000000" w:sz="4" w:space="0"/>
            </w:tcBorders>
            <w:vAlign w:val="center"/>
          </w:tcPr>
          <w:p w14:paraId="521E2FE8">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B20BAB5">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1A7B361">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79997337">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0EE6032A">
            <w:pPr>
              <w:jc w:val="center"/>
              <w:rPr>
                <w:rFonts w:ascii="仿宋" w:hAnsi="仿宋" w:eastAsia="仿宋" w:cs="仿宋"/>
                <w:b/>
                <w:bCs/>
                <w:color w:val="auto"/>
                <w:sz w:val="20"/>
                <w:szCs w:val="20"/>
                <w:highlight w:val="none"/>
                <w:lang w:bidi="ar"/>
              </w:rPr>
            </w:pPr>
          </w:p>
        </w:tc>
      </w:tr>
      <w:tr w14:paraId="3ED6507D">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1E626BB">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3</w:t>
            </w:r>
          </w:p>
        </w:tc>
        <w:tc>
          <w:tcPr>
            <w:tcW w:w="2454" w:type="pct"/>
            <w:tcBorders>
              <w:top w:val="single" w:color="000000" w:sz="4" w:space="0"/>
              <w:left w:val="single" w:color="000000" w:sz="4" w:space="0"/>
              <w:bottom w:val="single" w:color="000000" w:sz="4" w:space="0"/>
              <w:right w:val="single" w:color="000000" w:sz="4" w:space="0"/>
            </w:tcBorders>
            <w:vAlign w:val="center"/>
          </w:tcPr>
          <w:p w14:paraId="7568980A">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89DBC1C">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6464DF8">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322A0E18">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126B70E2">
            <w:pPr>
              <w:jc w:val="center"/>
              <w:rPr>
                <w:rFonts w:ascii="仿宋" w:hAnsi="仿宋" w:eastAsia="仿宋" w:cs="仿宋"/>
                <w:b/>
                <w:bCs/>
                <w:color w:val="auto"/>
                <w:sz w:val="20"/>
                <w:szCs w:val="20"/>
                <w:highlight w:val="none"/>
                <w:lang w:bidi="ar"/>
              </w:rPr>
            </w:pPr>
          </w:p>
        </w:tc>
      </w:tr>
      <w:tr w14:paraId="78A8E26D">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3EDAA2B4">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4</w:t>
            </w:r>
          </w:p>
        </w:tc>
        <w:tc>
          <w:tcPr>
            <w:tcW w:w="2454" w:type="pct"/>
            <w:tcBorders>
              <w:top w:val="single" w:color="000000" w:sz="4" w:space="0"/>
              <w:left w:val="single" w:color="000000" w:sz="4" w:space="0"/>
              <w:bottom w:val="single" w:color="000000" w:sz="4" w:space="0"/>
              <w:right w:val="single" w:color="000000" w:sz="4" w:space="0"/>
            </w:tcBorders>
            <w:vAlign w:val="center"/>
          </w:tcPr>
          <w:p w14:paraId="64A09E51">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00E67BD8">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529CEF5">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4FF55D67">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130D19F1">
            <w:pPr>
              <w:jc w:val="center"/>
              <w:rPr>
                <w:rFonts w:ascii="仿宋" w:hAnsi="仿宋" w:eastAsia="仿宋" w:cs="仿宋"/>
                <w:b/>
                <w:bCs/>
                <w:color w:val="auto"/>
                <w:sz w:val="20"/>
                <w:szCs w:val="20"/>
                <w:highlight w:val="none"/>
                <w:lang w:bidi="ar"/>
              </w:rPr>
            </w:pPr>
          </w:p>
        </w:tc>
      </w:tr>
      <w:tr w14:paraId="62DAF6EB">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203726D">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5</w:t>
            </w:r>
          </w:p>
        </w:tc>
        <w:tc>
          <w:tcPr>
            <w:tcW w:w="2454" w:type="pct"/>
            <w:tcBorders>
              <w:top w:val="single" w:color="000000" w:sz="4" w:space="0"/>
              <w:left w:val="single" w:color="000000" w:sz="4" w:space="0"/>
              <w:bottom w:val="single" w:color="000000" w:sz="4" w:space="0"/>
              <w:right w:val="single" w:color="000000" w:sz="4" w:space="0"/>
            </w:tcBorders>
            <w:vAlign w:val="center"/>
          </w:tcPr>
          <w:p w14:paraId="5949789E">
            <w:pPr>
              <w:numPr>
                <w:ilvl w:val="255"/>
                <w:numId w:val="0"/>
              </w:numPr>
              <w:rPr>
                <w:rFonts w:ascii="仿宋" w:hAnsi="仿宋" w:eastAsia="仿宋" w:cs="仿宋"/>
                <w:color w:val="auto"/>
                <w:highlight w:val="none"/>
                <w:lang w:eastAsia="zh-CN"/>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72A52801">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4FCA0B4">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2AADFA46">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6F6723F2">
            <w:pPr>
              <w:jc w:val="center"/>
              <w:rPr>
                <w:rFonts w:ascii="仿宋" w:hAnsi="仿宋" w:eastAsia="仿宋" w:cs="仿宋"/>
                <w:b/>
                <w:bCs/>
                <w:color w:val="auto"/>
                <w:sz w:val="20"/>
                <w:szCs w:val="20"/>
                <w:highlight w:val="none"/>
                <w:lang w:bidi="ar"/>
              </w:rPr>
            </w:pPr>
          </w:p>
        </w:tc>
      </w:tr>
      <w:tr w14:paraId="679EAF6B">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53F86E4">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6</w:t>
            </w:r>
          </w:p>
        </w:tc>
        <w:tc>
          <w:tcPr>
            <w:tcW w:w="2454" w:type="pct"/>
            <w:tcBorders>
              <w:top w:val="single" w:color="000000" w:sz="4" w:space="0"/>
              <w:left w:val="single" w:color="000000" w:sz="4" w:space="0"/>
              <w:bottom w:val="single" w:color="000000" w:sz="4" w:space="0"/>
              <w:right w:val="single" w:color="000000" w:sz="4" w:space="0"/>
            </w:tcBorders>
            <w:vAlign w:val="center"/>
          </w:tcPr>
          <w:p w14:paraId="7126936B">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FF271B8">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30197CE">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2F298C55">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67F97231">
            <w:pPr>
              <w:jc w:val="center"/>
              <w:rPr>
                <w:rFonts w:ascii="仿宋" w:hAnsi="仿宋" w:eastAsia="仿宋" w:cs="仿宋"/>
                <w:b/>
                <w:bCs/>
                <w:color w:val="auto"/>
                <w:sz w:val="20"/>
                <w:szCs w:val="20"/>
                <w:highlight w:val="none"/>
                <w:lang w:bidi="ar"/>
              </w:rPr>
            </w:pPr>
          </w:p>
        </w:tc>
      </w:tr>
      <w:tr w14:paraId="4A24E18F">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4DBC921C">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7</w:t>
            </w:r>
          </w:p>
        </w:tc>
        <w:tc>
          <w:tcPr>
            <w:tcW w:w="2454" w:type="pct"/>
            <w:tcBorders>
              <w:top w:val="single" w:color="000000" w:sz="4" w:space="0"/>
              <w:left w:val="single" w:color="000000" w:sz="4" w:space="0"/>
              <w:bottom w:val="single" w:color="000000" w:sz="4" w:space="0"/>
              <w:right w:val="single" w:color="000000" w:sz="4" w:space="0"/>
            </w:tcBorders>
            <w:vAlign w:val="center"/>
          </w:tcPr>
          <w:p w14:paraId="563E07C6">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4BD1B56">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05CE7502">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5C6B7B22">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225FA40A">
            <w:pPr>
              <w:jc w:val="center"/>
              <w:rPr>
                <w:rFonts w:ascii="仿宋" w:hAnsi="仿宋" w:eastAsia="仿宋" w:cs="仿宋"/>
                <w:b/>
                <w:bCs/>
                <w:color w:val="auto"/>
                <w:sz w:val="20"/>
                <w:szCs w:val="20"/>
                <w:highlight w:val="none"/>
                <w:lang w:bidi="ar"/>
              </w:rPr>
            </w:pPr>
          </w:p>
        </w:tc>
      </w:tr>
      <w:tr w14:paraId="5303988F">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3EE0132">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8</w:t>
            </w:r>
          </w:p>
        </w:tc>
        <w:tc>
          <w:tcPr>
            <w:tcW w:w="2454" w:type="pct"/>
            <w:tcBorders>
              <w:top w:val="single" w:color="000000" w:sz="4" w:space="0"/>
              <w:left w:val="single" w:color="000000" w:sz="4" w:space="0"/>
              <w:bottom w:val="single" w:color="000000" w:sz="4" w:space="0"/>
              <w:right w:val="single" w:color="000000" w:sz="4" w:space="0"/>
            </w:tcBorders>
            <w:vAlign w:val="center"/>
          </w:tcPr>
          <w:p w14:paraId="5CB09143">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7CC196B8">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9C019D0">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49AB1BE6">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445A3081">
            <w:pPr>
              <w:jc w:val="center"/>
              <w:rPr>
                <w:rFonts w:ascii="仿宋" w:hAnsi="仿宋" w:eastAsia="仿宋" w:cs="仿宋"/>
                <w:b/>
                <w:bCs/>
                <w:color w:val="auto"/>
                <w:sz w:val="20"/>
                <w:szCs w:val="20"/>
                <w:highlight w:val="none"/>
                <w:lang w:bidi="ar"/>
              </w:rPr>
            </w:pPr>
          </w:p>
        </w:tc>
      </w:tr>
    </w:tbl>
    <w:p w14:paraId="4C007BAB">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1.投标人必须对应采购文件《第四章》内容逐条响应。如有缺漏，缺漏项视同响应招标要求。</w:t>
      </w:r>
    </w:p>
    <w:p w14:paraId="4995212B">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 采购文件《第四章》要求提供证明文件或承诺的，投标人需在本表后附相关证明文件或承诺，否则视为不响应采购文件要求。</w:t>
      </w:r>
    </w:p>
    <w:p w14:paraId="7926447C">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3.投标人响应采购需求应具体、明确，含糊不清、不确切或伪造、变造证明材料的，按照不完全响应或者完全不响应处理。构成提供虚假材料的，移送监管部门查处。</w:t>
      </w:r>
    </w:p>
    <w:p w14:paraId="4C1E4F65">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4.本表表头内容不得擅自修改。</w:t>
      </w:r>
    </w:p>
    <w:p w14:paraId="41D8A364">
      <w:pPr>
        <w:spacing w:line="360" w:lineRule="auto"/>
        <w:ind w:firstLine="475" w:firstLineChars="198"/>
        <w:rPr>
          <w:rFonts w:ascii="仿宋" w:hAnsi="仿宋" w:eastAsia="仿宋" w:cs="仿宋"/>
          <w:color w:val="auto"/>
          <w:sz w:val="24"/>
          <w:szCs w:val="24"/>
          <w:highlight w:val="none"/>
          <w:lang w:eastAsia="zh-CN"/>
        </w:rPr>
      </w:pPr>
    </w:p>
    <w:p w14:paraId="2F011B08">
      <w:pPr>
        <w:shd w:val="clear" w:color="auto" w:fill="FFFFFF"/>
        <w:spacing w:line="384" w:lineRule="auto"/>
        <w:rPr>
          <w:rFonts w:ascii="仿宋" w:hAnsi="仿宋" w:eastAsia="仿宋" w:cs="仿宋"/>
          <w:color w:val="auto"/>
          <w:sz w:val="24"/>
          <w:szCs w:val="24"/>
          <w:highlight w:val="none"/>
          <w:lang w:eastAsia="zh-CN"/>
        </w:rPr>
      </w:pPr>
    </w:p>
    <w:p w14:paraId="5876C45E">
      <w:pPr>
        <w:shd w:val="clear" w:color="auto" w:fill="FFFFFF"/>
        <w:spacing w:line="384" w:lineRule="auto"/>
        <w:rPr>
          <w:rFonts w:ascii="仿宋" w:hAnsi="仿宋" w:eastAsia="仿宋" w:cs="仿宋"/>
          <w:color w:val="auto"/>
          <w:sz w:val="24"/>
          <w:szCs w:val="24"/>
          <w:highlight w:val="none"/>
          <w:lang w:eastAsia="zh-CN"/>
        </w:rPr>
      </w:pPr>
    </w:p>
    <w:p w14:paraId="5F582868">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4130AF3">
      <w:pPr>
        <w:shd w:val="clear" w:color="auto" w:fill="FFFFFF"/>
        <w:spacing w:line="384" w:lineRule="auto"/>
        <w:rPr>
          <w:rFonts w:ascii="仿宋" w:hAnsi="仿宋" w:eastAsia="仿宋" w:cs="仿宋"/>
          <w:color w:val="auto"/>
          <w:sz w:val="24"/>
          <w:szCs w:val="24"/>
          <w:highlight w:val="none"/>
          <w:lang w:eastAsia="zh-CN"/>
        </w:rPr>
      </w:pPr>
    </w:p>
    <w:p w14:paraId="7997FF10">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7211381">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2AF61E19">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bCs/>
          <w:color w:val="auto"/>
          <w:kern w:val="36"/>
          <w:sz w:val="24"/>
          <w:szCs w:val="24"/>
          <w:highlight w:val="none"/>
          <w:lang w:eastAsia="zh-CN"/>
        </w:rPr>
        <w:br w:type="page"/>
      </w:r>
      <w:bookmarkStart w:id="150" w:name="_Toc109921162"/>
      <w:bookmarkStart w:id="151" w:name="_Toc109941769"/>
      <w:bookmarkStart w:id="152" w:name="_Toc130252619"/>
      <w:bookmarkStart w:id="153" w:name="_Toc110707969"/>
      <w:bookmarkStart w:id="154" w:name="_Toc14448"/>
      <w:r>
        <w:rPr>
          <w:rFonts w:hint="eastAsia" w:ascii="仿宋" w:hAnsi="仿宋" w:eastAsia="仿宋" w:cs="仿宋"/>
          <w:b/>
          <w:color w:val="auto"/>
          <w:sz w:val="24"/>
          <w:szCs w:val="24"/>
          <w:highlight w:val="none"/>
          <w:lang w:eastAsia="zh-CN"/>
        </w:rPr>
        <w:t>四、法定代表人身份证明书</w:t>
      </w:r>
      <w:bookmarkEnd w:id="150"/>
      <w:bookmarkEnd w:id="151"/>
      <w:bookmarkEnd w:id="152"/>
      <w:bookmarkEnd w:id="153"/>
      <w:bookmarkEnd w:id="154"/>
    </w:p>
    <w:p w14:paraId="3EED5D94">
      <w:pPr>
        <w:shd w:val="clear" w:color="auto" w:fill="FFFFFF"/>
        <w:spacing w:line="384" w:lineRule="auto"/>
        <w:rPr>
          <w:rFonts w:ascii="仿宋" w:hAnsi="仿宋" w:eastAsia="仿宋" w:cs="仿宋"/>
          <w:color w:val="auto"/>
          <w:sz w:val="24"/>
          <w:szCs w:val="24"/>
          <w:highlight w:val="none"/>
          <w:lang w:eastAsia="zh-CN"/>
        </w:rPr>
      </w:pPr>
    </w:p>
    <w:p w14:paraId="332BCEF5">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 标 人：</w:t>
      </w:r>
      <w:r>
        <w:rPr>
          <w:rFonts w:hint="eastAsia" w:ascii="仿宋" w:hAnsi="仿宋" w:eastAsia="仿宋" w:cs="仿宋"/>
          <w:color w:val="auto"/>
          <w:sz w:val="24"/>
          <w:szCs w:val="24"/>
          <w:highlight w:val="none"/>
          <w:u w:val="single"/>
          <w:lang w:eastAsia="zh-CN"/>
        </w:rPr>
        <w:t xml:space="preserve">                              </w:t>
      </w:r>
    </w:p>
    <w:p w14:paraId="32AF5ED4">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单位性质：</w:t>
      </w:r>
      <w:r>
        <w:rPr>
          <w:rFonts w:hint="eastAsia" w:ascii="仿宋" w:hAnsi="仿宋" w:eastAsia="仿宋" w:cs="仿宋"/>
          <w:color w:val="auto"/>
          <w:sz w:val="24"/>
          <w:szCs w:val="24"/>
          <w:highlight w:val="none"/>
          <w:u w:val="single"/>
          <w:lang w:eastAsia="zh-CN"/>
        </w:rPr>
        <w:t xml:space="preserve">                              </w:t>
      </w:r>
    </w:p>
    <w:p w14:paraId="0CD5ABFB">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single"/>
          <w:lang w:eastAsia="zh-CN"/>
        </w:rPr>
        <w:t xml:space="preserve">                              </w:t>
      </w:r>
    </w:p>
    <w:p w14:paraId="7C33822A">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成立时间：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5F15781F">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经营期限：</w:t>
      </w:r>
      <w:r>
        <w:rPr>
          <w:rFonts w:hint="eastAsia" w:ascii="仿宋" w:hAnsi="仿宋" w:eastAsia="仿宋" w:cs="仿宋"/>
          <w:color w:val="auto"/>
          <w:sz w:val="24"/>
          <w:szCs w:val="24"/>
          <w:highlight w:val="none"/>
          <w:u w:val="single"/>
          <w:lang w:eastAsia="zh-CN"/>
        </w:rPr>
        <w:t xml:space="preserve">                              </w:t>
      </w:r>
    </w:p>
    <w:p w14:paraId="55AE28A2">
      <w:pPr>
        <w:shd w:val="clear" w:color="auto" w:fill="FFFFFF"/>
        <w:spacing w:line="384" w:lineRule="auto"/>
        <w:rPr>
          <w:rFonts w:ascii="仿宋" w:hAnsi="仿宋" w:eastAsia="仿宋" w:cs="仿宋"/>
          <w:color w:val="auto"/>
          <w:sz w:val="24"/>
          <w:szCs w:val="24"/>
          <w:highlight w:val="none"/>
          <w:lang w:eastAsia="zh-CN"/>
        </w:rPr>
      </w:pPr>
    </w:p>
    <w:p w14:paraId="1559B3DC">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姓名：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性别：</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年龄：</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职务：</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系</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（供应商名称）的法定代表人。</w:t>
      </w:r>
    </w:p>
    <w:p w14:paraId="2D55ACB4">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特此证明。</w:t>
      </w:r>
    </w:p>
    <w:p w14:paraId="4ACF4E8E">
      <w:pPr>
        <w:shd w:val="clear" w:color="auto" w:fill="FFFFFF"/>
        <w:spacing w:line="384" w:lineRule="auto"/>
        <w:rPr>
          <w:rFonts w:ascii="仿宋" w:hAnsi="仿宋" w:eastAsia="仿宋" w:cs="仿宋"/>
          <w:color w:val="auto"/>
          <w:sz w:val="24"/>
          <w:szCs w:val="24"/>
          <w:highlight w:val="none"/>
          <w:lang w:eastAsia="zh-CN"/>
        </w:rPr>
      </w:pPr>
    </w:p>
    <w:p w14:paraId="0E057D46">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附：法定代表人身份证明</w:t>
      </w:r>
    </w:p>
    <w:p w14:paraId="03A39830">
      <w:pPr>
        <w:shd w:val="clear" w:color="auto" w:fill="FFFFFF"/>
        <w:spacing w:line="384" w:lineRule="auto"/>
        <w:rPr>
          <w:rFonts w:ascii="仿宋" w:hAnsi="仿宋" w:eastAsia="仿宋" w:cs="仿宋"/>
          <w:color w:val="auto"/>
          <w:sz w:val="24"/>
          <w:szCs w:val="24"/>
          <w:highlight w:val="none"/>
          <w:lang w:eastAsia="zh-CN"/>
        </w:rPr>
      </w:pP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DAD2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6120DEE">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法定代表人身份证复印件（正面）</w:t>
            </w:r>
          </w:p>
        </w:tc>
      </w:tr>
    </w:tbl>
    <w:p w14:paraId="26F94878">
      <w:pPr>
        <w:rPr>
          <w:rFonts w:ascii="仿宋" w:hAnsi="仿宋" w:eastAsia="仿宋" w:cs="仿宋"/>
          <w:vanish/>
          <w:color w:val="auto"/>
          <w:highlight w:val="none"/>
          <w:lang w:eastAsia="zh-CN"/>
        </w:rPr>
      </w:pPr>
    </w:p>
    <w:tbl>
      <w:tblPr>
        <w:tblStyle w:val="26"/>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35A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45DF3B1">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法定代表人身份证复印件（反面）</w:t>
            </w:r>
          </w:p>
        </w:tc>
      </w:tr>
    </w:tbl>
    <w:p w14:paraId="28CAB63E">
      <w:pPr>
        <w:shd w:val="clear" w:color="auto" w:fill="FFFFFF"/>
        <w:spacing w:line="384" w:lineRule="auto"/>
        <w:rPr>
          <w:rFonts w:ascii="仿宋" w:hAnsi="仿宋" w:eastAsia="仿宋" w:cs="仿宋"/>
          <w:color w:val="auto"/>
          <w:sz w:val="24"/>
          <w:szCs w:val="24"/>
          <w:highlight w:val="none"/>
          <w:lang w:eastAsia="zh-CN"/>
        </w:rPr>
      </w:pPr>
    </w:p>
    <w:p w14:paraId="03BE2C6A">
      <w:pPr>
        <w:shd w:val="clear" w:color="auto" w:fill="FFFFFF"/>
        <w:spacing w:line="384" w:lineRule="auto"/>
        <w:rPr>
          <w:rFonts w:ascii="仿宋" w:hAnsi="仿宋" w:eastAsia="仿宋" w:cs="仿宋"/>
          <w:color w:val="auto"/>
          <w:sz w:val="24"/>
          <w:szCs w:val="24"/>
          <w:highlight w:val="none"/>
          <w:lang w:eastAsia="zh-CN"/>
        </w:rPr>
      </w:pPr>
    </w:p>
    <w:p w14:paraId="31BA815A">
      <w:pPr>
        <w:shd w:val="clear" w:color="auto" w:fill="FFFFFF"/>
        <w:spacing w:line="384" w:lineRule="auto"/>
        <w:rPr>
          <w:rFonts w:ascii="仿宋" w:hAnsi="仿宋" w:eastAsia="仿宋" w:cs="仿宋"/>
          <w:color w:val="auto"/>
          <w:sz w:val="24"/>
          <w:szCs w:val="24"/>
          <w:highlight w:val="none"/>
          <w:lang w:eastAsia="zh-CN"/>
        </w:rPr>
      </w:pPr>
    </w:p>
    <w:p w14:paraId="5B011EED">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50C6401">
      <w:pPr>
        <w:shd w:val="clear" w:color="auto" w:fill="FFFFFF"/>
        <w:wordWrap w:val="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日 </w:t>
      </w:r>
    </w:p>
    <w:p w14:paraId="57656882">
      <w:pPr>
        <w:shd w:val="clear" w:color="auto" w:fill="FFFFFF"/>
        <w:jc w:val="right"/>
        <w:rPr>
          <w:rFonts w:ascii="仿宋" w:hAnsi="仿宋" w:eastAsia="仿宋" w:cs="仿宋"/>
          <w:color w:val="auto"/>
          <w:sz w:val="24"/>
          <w:szCs w:val="24"/>
          <w:highlight w:val="none"/>
          <w:lang w:eastAsia="zh-CN"/>
        </w:rPr>
      </w:pPr>
    </w:p>
    <w:p w14:paraId="68671D83">
      <w:pPr>
        <w:shd w:val="clear" w:color="auto" w:fill="FFFFFF"/>
        <w:jc w:val="right"/>
        <w:rPr>
          <w:rFonts w:ascii="仿宋" w:hAnsi="仿宋" w:eastAsia="仿宋" w:cs="仿宋"/>
          <w:color w:val="auto"/>
          <w:sz w:val="24"/>
          <w:szCs w:val="24"/>
          <w:highlight w:val="none"/>
          <w:lang w:eastAsia="zh-CN"/>
        </w:rPr>
      </w:pPr>
    </w:p>
    <w:p w14:paraId="56E42612">
      <w:pPr>
        <w:shd w:val="clear" w:color="auto" w:fill="FFFFFF"/>
        <w:jc w:val="right"/>
        <w:rPr>
          <w:rFonts w:ascii="仿宋" w:hAnsi="仿宋" w:eastAsia="仿宋" w:cs="仿宋"/>
          <w:color w:val="auto"/>
          <w:sz w:val="24"/>
          <w:szCs w:val="24"/>
          <w:highlight w:val="none"/>
          <w:lang w:eastAsia="zh-CN"/>
        </w:rPr>
      </w:pPr>
    </w:p>
    <w:p w14:paraId="09956792">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bookmarkStart w:id="155" w:name="_Toc109941770"/>
      <w:bookmarkStart w:id="156" w:name="_Toc110707970"/>
      <w:bookmarkStart w:id="157" w:name="_Toc16013"/>
      <w:bookmarkStart w:id="158" w:name="_Toc109921163"/>
      <w:bookmarkStart w:id="159" w:name="_Toc130252620"/>
      <w:r>
        <w:rPr>
          <w:rFonts w:hint="eastAsia" w:ascii="仿宋" w:hAnsi="仿宋" w:eastAsia="仿宋" w:cs="仿宋"/>
          <w:b/>
          <w:color w:val="auto"/>
          <w:sz w:val="24"/>
          <w:szCs w:val="24"/>
          <w:highlight w:val="none"/>
          <w:lang w:eastAsia="zh-CN"/>
        </w:rPr>
        <w:t>五、法定代表人授权委托书</w:t>
      </w:r>
      <w:bookmarkEnd w:id="155"/>
      <w:bookmarkEnd w:id="156"/>
      <w:bookmarkEnd w:id="157"/>
      <w:bookmarkEnd w:id="158"/>
      <w:bookmarkEnd w:id="159"/>
    </w:p>
    <w:p w14:paraId="43B2F626">
      <w:pPr>
        <w:shd w:val="clear" w:color="auto" w:fill="FFFFFF"/>
        <w:spacing w:line="384" w:lineRule="auto"/>
        <w:rPr>
          <w:rFonts w:ascii="仿宋" w:hAnsi="仿宋" w:eastAsia="仿宋" w:cs="仿宋"/>
          <w:color w:val="auto"/>
          <w:sz w:val="24"/>
          <w:szCs w:val="24"/>
          <w:highlight w:val="none"/>
          <w:lang w:eastAsia="zh-CN"/>
        </w:rPr>
      </w:pPr>
    </w:p>
    <w:p w14:paraId="4399ECCA">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（姓名）系</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（供应商名称）的法定代表人，现拟派我单位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（姓名）为我方委托代理人。委托代理人根据授权，就</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lang w:eastAsia="zh-CN"/>
        </w:rPr>
        <w:t>）的投标，以本公司名义处理一切与之有关的事务，其法律后果由我方承担。</w:t>
      </w:r>
    </w:p>
    <w:p w14:paraId="031DEB30">
      <w:pPr>
        <w:shd w:val="clear" w:color="auto" w:fill="FFFFFF"/>
        <w:spacing w:line="384" w:lineRule="auto"/>
        <w:ind w:firstLine="480" w:firstLine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代理人：</w:t>
      </w:r>
      <w:r>
        <w:rPr>
          <w:rFonts w:hint="eastAsia" w:ascii="仿宋" w:hAnsi="仿宋" w:eastAsia="仿宋" w:cs="仿宋"/>
          <w:i/>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性别：</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年龄：</w:t>
      </w:r>
      <w:r>
        <w:rPr>
          <w:rFonts w:hint="eastAsia" w:ascii="仿宋" w:hAnsi="仿宋" w:eastAsia="仿宋" w:cs="仿宋"/>
          <w:color w:val="auto"/>
          <w:sz w:val="24"/>
          <w:szCs w:val="24"/>
          <w:highlight w:val="none"/>
          <w:u w:val="single"/>
          <w:lang w:eastAsia="zh-CN"/>
        </w:rPr>
        <w:t xml:space="preserve">                    </w:t>
      </w:r>
    </w:p>
    <w:p w14:paraId="2DD42FD5">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  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部门：</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职务：</w:t>
      </w:r>
      <w:r>
        <w:rPr>
          <w:rFonts w:hint="eastAsia" w:ascii="仿宋" w:hAnsi="仿宋" w:eastAsia="仿宋" w:cs="仿宋"/>
          <w:color w:val="auto"/>
          <w:sz w:val="24"/>
          <w:szCs w:val="24"/>
          <w:highlight w:val="none"/>
          <w:u w:val="single"/>
          <w:lang w:eastAsia="zh-CN"/>
        </w:rPr>
        <w:t xml:space="preserve">                    </w:t>
      </w:r>
    </w:p>
    <w:p w14:paraId="403BDC57">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代理人无转委权，特此申明。</w:t>
      </w:r>
    </w:p>
    <w:p w14:paraId="5380DDE8">
      <w:pPr>
        <w:shd w:val="clear" w:color="auto" w:fill="FFFFFF"/>
        <w:spacing w:line="384" w:lineRule="auto"/>
        <w:ind w:firstLine="480" w:firstLineChars="200"/>
        <w:rPr>
          <w:rFonts w:ascii="仿宋" w:hAnsi="仿宋" w:eastAsia="仿宋" w:cs="仿宋"/>
          <w:color w:val="auto"/>
          <w:sz w:val="24"/>
          <w:szCs w:val="24"/>
          <w:highlight w:val="none"/>
          <w:lang w:eastAsia="zh-CN"/>
        </w:rPr>
      </w:pPr>
    </w:p>
    <w:p w14:paraId="11CDE121">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附：授权委托人身份证明。</w:t>
      </w:r>
    </w:p>
    <w:tbl>
      <w:tblPr>
        <w:tblStyle w:val="26"/>
        <w:tblW w:w="0" w:type="auto"/>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940C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2426C48">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代理人身份证复印件（正面）</w:t>
            </w:r>
          </w:p>
        </w:tc>
      </w:tr>
    </w:tbl>
    <w:p w14:paraId="7676E6FB">
      <w:pPr>
        <w:rPr>
          <w:rFonts w:ascii="仿宋" w:hAnsi="仿宋" w:eastAsia="仿宋" w:cs="仿宋"/>
          <w:vanish/>
          <w:color w:val="auto"/>
          <w:highlight w:val="none"/>
          <w:lang w:eastAsia="zh-CN"/>
        </w:rPr>
      </w:pPr>
    </w:p>
    <w:tbl>
      <w:tblPr>
        <w:tblStyle w:val="26"/>
        <w:tblpPr w:leftFromText="180" w:rightFromText="180" w:vertAnchor="text" w:horzAnchor="margin" w:tblpXSpec="right" w:tblpY="-24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4D2C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A882A7D">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代理人身份证复印件（反面）</w:t>
            </w:r>
          </w:p>
        </w:tc>
      </w:tr>
    </w:tbl>
    <w:p w14:paraId="05599DCA">
      <w:pPr>
        <w:shd w:val="clear" w:color="auto" w:fill="FFFFFF"/>
        <w:spacing w:line="384" w:lineRule="auto"/>
        <w:rPr>
          <w:rFonts w:ascii="仿宋" w:hAnsi="仿宋" w:eastAsia="仿宋" w:cs="仿宋"/>
          <w:color w:val="auto"/>
          <w:sz w:val="24"/>
          <w:szCs w:val="24"/>
          <w:highlight w:val="none"/>
          <w:lang w:eastAsia="zh-CN"/>
        </w:rPr>
      </w:pPr>
    </w:p>
    <w:p w14:paraId="5A0713FD">
      <w:pPr>
        <w:shd w:val="clear" w:color="auto" w:fill="FFFFFF"/>
        <w:spacing w:line="384" w:lineRule="auto"/>
        <w:rPr>
          <w:rFonts w:ascii="仿宋" w:hAnsi="仿宋" w:eastAsia="仿宋" w:cs="仿宋"/>
          <w:color w:val="auto"/>
          <w:sz w:val="24"/>
          <w:szCs w:val="24"/>
          <w:highlight w:val="none"/>
          <w:lang w:eastAsia="zh-CN"/>
        </w:rPr>
      </w:pPr>
    </w:p>
    <w:p w14:paraId="5C96C74C">
      <w:pPr>
        <w:shd w:val="clear" w:color="auto" w:fill="FFFFFF"/>
        <w:spacing w:line="384" w:lineRule="auto"/>
        <w:rPr>
          <w:rFonts w:ascii="仿宋" w:hAnsi="仿宋" w:eastAsia="仿宋" w:cs="仿宋"/>
          <w:color w:val="auto"/>
          <w:sz w:val="24"/>
          <w:szCs w:val="24"/>
          <w:highlight w:val="none"/>
          <w:lang w:eastAsia="zh-CN"/>
        </w:rPr>
      </w:pPr>
    </w:p>
    <w:p w14:paraId="1F688827">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083BF5F8">
      <w:pPr>
        <w:shd w:val="clear" w:color="auto" w:fill="FFFFFF"/>
        <w:spacing w:line="384" w:lineRule="auto"/>
        <w:rPr>
          <w:rFonts w:ascii="仿宋" w:hAnsi="仿宋" w:eastAsia="仿宋" w:cs="仿宋"/>
          <w:color w:val="auto"/>
          <w:sz w:val="24"/>
          <w:szCs w:val="24"/>
          <w:highlight w:val="none"/>
          <w:lang w:eastAsia="zh-CN"/>
        </w:rPr>
      </w:pPr>
    </w:p>
    <w:p w14:paraId="7F57EE9A">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6B697D08">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48EE9C1C">
      <w:pPr>
        <w:shd w:val="clear" w:color="auto" w:fill="FFFFFF"/>
        <w:spacing w:line="384" w:lineRule="auto"/>
        <w:rPr>
          <w:rFonts w:ascii="仿宋" w:hAnsi="仿宋" w:eastAsia="仿宋" w:cs="仿宋"/>
          <w:color w:val="auto"/>
          <w:sz w:val="24"/>
          <w:szCs w:val="24"/>
          <w:highlight w:val="none"/>
          <w:lang w:eastAsia="zh-CN"/>
        </w:rPr>
      </w:pPr>
    </w:p>
    <w:p w14:paraId="04E7AFEC">
      <w:pPr>
        <w:shd w:val="clear" w:color="auto" w:fill="FFFFFF"/>
        <w:spacing w:line="384" w:lineRule="auto"/>
        <w:rPr>
          <w:rFonts w:ascii="仿宋" w:hAnsi="仿宋" w:eastAsia="仿宋" w:cs="仿宋"/>
          <w:color w:val="auto"/>
          <w:sz w:val="24"/>
          <w:szCs w:val="24"/>
          <w:highlight w:val="none"/>
          <w:lang w:eastAsia="zh-CN"/>
        </w:rPr>
      </w:pPr>
    </w:p>
    <w:p w14:paraId="4754AABB">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160" w:name="_Toc109921164"/>
      <w:bookmarkStart w:id="161" w:name="_Toc109941771"/>
      <w:bookmarkStart w:id="162" w:name="_Toc110707971"/>
      <w:bookmarkStart w:id="163" w:name="_Toc130252621"/>
      <w:bookmarkStart w:id="164" w:name="_Toc8364"/>
      <w:r>
        <w:rPr>
          <w:rFonts w:hint="eastAsia" w:ascii="仿宋" w:hAnsi="仿宋" w:eastAsia="仿宋" w:cs="仿宋"/>
          <w:b/>
          <w:color w:val="auto"/>
          <w:sz w:val="24"/>
          <w:szCs w:val="24"/>
          <w:highlight w:val="none"/>
          <w:lang w:eastAsia="zh-CN"/>
        </w:rPr>
        <w:t>六、</w:t>
      </w:r>
      <w:bookmarkEnd w:id="160"/>
      <w:bookmarkEnd w:id="161"/>
      <w:bookmarkEnd w:id="162"/>
      <w:r>
        <w:rPr>
          <w:rFonts w:hint="eastAsia" w:ascii="仿宋" w:hAnsi="仿宋" w:eastAsia="仿宋" w:cs="仿宋"/>
          <w:b/>
          <w:bCs/>
          <w:color w:val="auto"/>
          <w:sz w:val="24"/>
          <w:szCs w:val="24"/>
          <w:highlight w:val="none"/>
          <w:lang w:eastAsia="zh-CN"/>
        </w:rPr>
        <w:t>供应商资格条件证明材料</w:t>
      </w:r>
      <w:bookmarkEnd w:id="163"/>
      <w:bookmarkEnd w:id="164"/>
    </w:p>
    <w:p w14:paraId="1626920A">
      <w:pPr>
        <w:rPr>
          <w:rFonts w:ascii="仿宋" w:hAnsi="仿宋" w:eastAsia="仿宋" w:cs="仿宋"/>
          <w:color w:val="auto"/>
          <w:highlight w:val="none"/>
          <w:lang w:eastAsia="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5CE9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60BD55C2">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300" w:type="dxa"/>
            <w:gridSpan w:val="3"/>
            <w:vAlign w:val="center"/>
          </w:tcPr>
          <w:p w14:paraId="5A8FE24B">
            <w:pPr>
              <w:spacing w:line="520" w:lineRule="exact"/>
              <w:jc w:val="center"/>
              <w:rPr>
                <w:rFonts w:ascii="仿宋" w:hAnsi="仿宋" w:eastAsia="仿宋" w:cs="仿宋"/>
                <w:color w:val="auto"/>
                <w:sz w:val="24"/>
                <w:szCs w:val="24"/>
                <w:highlight w:val="none"/>
              </w:rPr>
            </w:pPr>
          </w:p>
        </w:tc>
      </w:tr>
      <w:tr w14:paraId="3077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7CC45FDB">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165" w:type="dxa"/>
            <w:vAlign w:val="center"/>
          </w:tcPr>
          <w:p w14:paraId="149E3EF6">
            <w:pPr>
              <w:spacing w:line="520" w:lineRule="exact"/>
              <w:jc w:val="center"/>
              <w:rPr>
                <w:rFonts w:ascii="仿宋" w:hAnsi="仿宋" w:eastAsia="仿宋" w:cs="仿宋"/>
                <w:color w:val="auto"/>
                <w:sz w:val="24"/>
                <w:szCs w:val="24"/>
                <w:highlight w:val="none"/>
              </w:rPr>
            </w:pPr>
          </w:p>
        </w:tc>
        <w:tc>
          <w:tcPr>
            <w:tcW w:w="1995" w:type="dxa"/>
            <w:vAlign w:val="center"/>
          </w:tcPr>
          <w:p w14:paraId="15E21426">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140" w:type="dxa"/>
            <w:vAlign w:val="center"/>
          </w:tcPr>
          <w:p w14:paraId="1D2BB2CC">
            <w:pPr>
              <w:spacing w:line="520" w:lineRule="exact"/>
              <w:jc w:val="center"/>
              <w:rPr>
                <w:rFonts w:ascii="仿宋" w:hAnsi="仿宋" w:eastAsia="仿宋" w:cs="仿宋"/>
                <w:color w:val="auto"/>
                <w:sz w:val="24"/>
                <w:szCs w:val="24"/>
                <w:highlight w:val="none"/>
              </w:rPr>
            </w:pPr>
          </w:p>
        </w:tc>
      </w:tr>
      <w:tr w14:paraId="6054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62BD2684">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3165" w:type="dxa"/>
            <w:vAlign w:val="center"/>
          </w:tcPr>
          <w:p w14:paraId="0D7B93C3">
            <w:pPr>
              <w:spacing w:line="520" w:lineRule="exact"/>
              <w:jc w:val="center"/>
              <w:rPr>
                <w:rFonts w:ascii="仿宋" w:hAnsi="仿宋" w:eastAsia="仿宋" w:cs="仿宋"/>
                <w:color w:val="auto"/>
                <w:sz w:val="24"/>
                <w:szCs w:val="24"/>
                <w:highlight w:val="none"/>
              </w:rPr>
            </w:pPr>
          </w:p>
        </w:tc>
        <w:tc>
          <w:tcPr>
            <w:tcW w:w="1995" w:type="dxa"/>
            <w:vAlign w:val="center"/>
          </w:tcPr>
          <w:p w14:paraId="58E05257">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w:t>
            </w:r>
          </w:p>
        </w:tc>
        <w:tc>
          <w:tcPr>
            <w:tcW w:w="2140" w:type="dxa"/>
            <w:vAlign w:val="center"/>
          </w:tcPr>
          <w:p w14:paraId="30C3BDC8">
            <w:pPr>
              <w:spacing w:line="520" w:lineRule="exact"/>
              <w:jc w:val="center"/>
              <w:rPr>
                <w:rFonts w:ascii="仿宋" w:hAnsi="仿宋" w:eastAsia="仿宋" w:cs="仿宋"/>
                <w:color w:val="auto"/>
                <w:sz w:val="24"/>
                <w:szCs w:val="24"/>
                <w:highlight w:val="none"/>
              </w:rPr>
            </w:pPr>
          </w:p>
        </w:tc>
      </w:tr>
      <w:tr w14:paraId="2FC1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2089118C">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3165" w:type="dxa"/>
            <w:vAlign w:val="center"/>
          </w:tcPr>
          <w:p w14:paraId="4572FB08">
            <w:pPr>
              <w:spacing w:line="520" w:lineRule="exact"/>
              <w:jc w:val="center"/>
              <w:rPr>
                <w:rFonts w:ascii="仿宋" w:hAnsi="仿宋" w:eastAsia="仿宋" w:cs="仿宋"/>
                <w:color w:val="auto"/>
                <w:sz w:val="24"/>
                <w:szCs w:val="24"/>
                <w:highlight w:val="none"/>
              </w:rPr>
            </w:pPr>
          </w:p>
        </w:tc>
        <w:tc>
          <w:tcPr>
            <w:tcW w:w="1995" w:type="dxa"/>
            <w:vAlign w:val="center"/>
          </w:tcPr>
          <w:p w14:paraId="67152D35">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140" w:type="dxa"/>
            <w:vAlign w:val="center"/>
          </w:tcPr>
          <w:p w14:paraId="32743926">
            <w:pPr>
              <w:spacing w:line="520" w:lineRule="exact"/>
              <w:jc w:val="center"/>
              <w:rPr>
                <w:rFonts w:ascii="仿宋" w:hAnsi="仿宋" w:eastAsia="仿宋" w:cs="仿宋"/>
                <w:color w:val="auto"/>
                <w:sz w:val="24"/>
                <w:szCs w:val="24"/>
                <w:highlight w:val="none"/>
              </w:rPr>
            </w:pPr>
          </w:p>
        </w:tc>
      </w:tr>
      <w:tr w14:paraId="70BC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22DCD6FF">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165" w:type="dxa"/>
            <w:vAlign w:val="center"/>
          </w:tcPr>
          <w:p w14:paraId="0D30B90D">
            <w:pPr>
              <w:spacing w:line="520" w:lineRule="exact"/>
              <w:jc w:val="center"/>
              <w:rPr>
                <w:rFonts w:ascii="仿宋" w:hAnsi="仿宋" w:eastAsia="仿宋" w:cs="仿宋"/>
                <w:color w:val="auto"/>
                <w:sz w:val="24"/>
                <w:szCs w:val="24"/>
                <w:highlight w:val="none"/>
              </w:rPr>
            </w:pPr>
          </w:p>
        </w:tc>
        <w:tc>
          <w:tcPr>
            <w:tcW w:w="1995" w:type="dxa"/>
            <w:vAlign w:val="center"/>
          </w:tcPr>
          <w:p w14:paraId="2137D4FB">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140" w:type="dxa"/>
            <w:vAlign w:val="center"/>
          </w:tcPr>
          <w:p w14:paraId="75F26FEE">
            <w:pPr>
              <w:spacing w:line="520" w:lineRule="exact"/>
              <w:jc w:val="center"/>
              <w:rPr>
                <w:rFonts w:ascii="仿宋" w:hAnsi="仿宋" w:eastAsia="仿宋" w:cs="仿宋"/>
                <w:color w:val="auto"/>
                <w:sz w:val="24"/>
                <w:szCs w:val="24"/>
                <w:highlight w:val="none"/>
              </w:rPr>
            </w:pPr>
          </w:p>
        </w:tc>
      </w:tr>
      <w:tr w14:paraId="41E1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1CCF5AC5">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3165" w:type="dxa"/>
            <w:vAlign w:val="center"/>
          </w:tcPr>
          <w:p w14:paraId="59D9F4C8">
            <w:pPr>
              <w:spacing w:line="520" w:lineRule="exact"/>
              <w:rPr>
                <w:rFonts w:ascii="仿宋" w:hAnsi="仿宋" w:eastAsia="仿宋" w:cs="仿宋"/>
                <w:color w:val="auto"/>
                <w:sz w:val="24"/>
                <w:szCs w:val="24"/>
                <w:highlight w:val="none"/>
              </w:rPr>
            </w:pPr>
          </w:p>
        </w:tc>
        <w:tc>
          <w:tcPr>
            <w:tcW w:w="1995" w:type="dxa"/>
            <w:vAlign w:val="center"/>
          </w:tcPr>
          <w:p w14:paraId="199085DC">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140" w:type="dxa"/>
            <w:vAlign w:val="center"/>
          </w:tcPr>
          <w:p w14:paraId="586BFD4C">
            <w:pPr>
              <w:spacing w:line="520" w:lineRule="exact"/>
              <w:jc w:val="center"/>
              <w:rPr>
                <w:rFonts w:ascii="仿宋" w:hAnsi="仿宋" w:eastAsia="仿宋" w:cs="仿宋"/>
                <w:color w:val="auto"/>
                <w:sz w:val="24"/>
                <w:szCs w:val="24"/>
                <w:highlight w:val="none"/>
              </w:rPr>
            </w:pPr>
          </w:p>
        </w:tc>
      </w:tr>
      <w:tr w14:paraId="3968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755BFDA5">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3165" w:type="dxa"/>
            <w:vAlign w:val="center"/>
          </w:tcPr>
          <w:p w14:paraId="651E9C06">
            <w:pPr>
              <w:spacing w:line="520" w:lineRule="exact"/>
              <w:jc w:val="center"/>
              <w:rPr>
                <w:rFonts w:ascii="仿宋" w:hAnsi="仿宋" w:eastAsia="仿宋" w:cs="仿宋"/>
                <w:color w:val="auto"/>
                <w:sz w:val="24"/>
                <w:szCs w:val="24"/>
                <w:highlight w:val="none"/>
              </w:rPr>
            </w:pPr>
          </w:p>
        </w:tc>
        <w:tc>
          <w:tcPr>
            <w:tcW w:w="1995" w:type="dxa"/>
            <w:vAlign w:val="center"/>
          </w:tcPr>
          <w:p w14:paraId="62548066">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银行帐号</w:t>
            </w:r>
          </w:p>
        </w:tc>
        <w:tc>
          <w:tcPr>
            <w:tcW w:w="2140" w:type="dxa"/>
            <w:vAlign w:val="center"/>
          </w:tcPr>
          <w:p w14:paraId="5ECEAA4F">
            <w:pPr>
              <w:spacing w:line="520" w:lineRule="exact"/>
              <w:jc w:val="center"/>
              <w:rPr>
                <w:rFonts w:ascii="仿宋" w:hAnsi="仿宋" w:eastAsia="仿宋" w:cs="仿宋"/>
                <w:color w:val="auto"/>
                <w:sz w:val="24"/>
                <w:szCs w:val="24"/>
                <w:highlight w:val="none"/>
              </w:rPr>
            </w:pPr>
          </w:p>
        </w:tc>
      </w:tr>
      <w:tr w14:paraId="01E4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665" w:type="dxa"/>
            <w:vAlign w:val="center"/>
          </w:tcPr>
          <w:p w14:paraId="7B6B76D9">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职工概况</w:t>
            </w:r>
          </w:p>
        </w:tc>
        <w:tc>
          <w:tcPr>
            <w:tcW w:w="7300" w:type="dxa"/>
            <w:gridSpan w:val="3"/>
            <w:vAlign w:val="center"/>
          </w:tcPr>
          <w:p w14:paraId="64BB5625">
            <w:pPr>
              <w:spacing w:line="520" w:lineRule="exact"/>
              <w:jc w:val="center"/>
              <w:rPr>
                <w:rFonts w:ascii="仿宋" w:hAnsi="仿宋" w:eastAsia="仿宋" w:cs="仿宋"/>
                <w:color w:val="auto"/>
                <w:sz w:val="24"/>
                <w:szCs w:val="24"/>
                <w:highlight w:val="none"/>
              </w:rPr>
            </w:pPr>
          </w:p>
        </w:tc>
      </w:tr>
      <w:tr w14:paraId="0F04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665" w:type="dxa"/>
            <w:vAlign w:val="center"/>
          </w:tcPr>
          <w:p w14:paraId="3E7DAE9E">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300" w:type="dxa"/>
            <w:gridSpan w:val="3"/>
            <w:vAlign w:val="center"/>
          </w:tcPr>
          <w:p w14:paraId="76A0B9CA">
            <w:pPr>
              <w:spacing w:line="520" w:lineRule="exact"/>
              <w:jc w:val="center"/>
              <w:rPr>
                <w:rFonts w:ascii="仿宋" w:hAnsi="仿宋" w:eastAsia="仿宋" w:cs="仿宋"/>
                <w:color w:val="auto"/>
                <w:sz w:val="24"/>
                <w:szCs w:val="24"/>
                <w:highlight w:val="none"/>
              </w:rPr>
            </w:pPr>
          </w:p>
        </w:tc>
      </w:tr>
    </w:tbl>
    <w:p w14:paraId="3A0D9C2C">
      <w:pPr>
        <w:spacing w:line="360" w:lineRule="auto"/>
        <w:rPr>
          <w:rFonts w:ascii="仿宋" w:hAnsi="仿宋" w:eastAsia="仿宋" w:cs="仿宋"/>
          <w:color w:val="auto"/>
          <w:sz w:val="24"/>
          <w:szCs w:val="24"/>
          <w:highlight w:val="none"/>
        </w:rPr>
      </w:pPr>
    </w:p>
    <w:p w14:paraId="372D08C5">
      <w:pPr>
        <w:spacing w:line="360" w:lineRule="auto"/>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165" w:name="_Toc26222"/>
      <w:bookmarkStart w:id="166" w:name="_Toc128476878"/>
      <w:bookmarkStart w:id="167" w:name="_Toc29597"/>
      <w:bookmarkStart w:id="168" w:name="_Toc130252622"/>
      <w:bookmarkStart w:id="169" w:name="_Toc7909"/>
      <w:bookmarkStart w:id="170" w:name="_Toc8286"/>
      <w:bookmarkStart w:id="171" w:name="_Toc27784"/>
      <w:bookmarkStart w:id="172" w:name="_Toc56"/>
      <w:bookmarkStart w:id="173" w:name="_Toc31890"/>
      <w:bookmarkStart w:id="174" w:name="_Toc113901849"/>
      <w:bookmarkStart w:id="175" w:name="_Toc13213"/>
      <w:bookmarkStart w:id="176" w:name="_Toc141050515"/>
      <w:bookmarkStart w:id="177" w:name="_Toc14445"/>
      <w:bookmarkStart w:id="178" w:name="_Toc26160"/>
      <w:r>
        <w:rPr>
          <w:rFonts w:hint="eastAsia" w:ascii="仿宋" w:hAnsi="仿宋" w:eastAsia="仿宋" w:cs="仿宋"/>
          <w:b/>
          <w:color w:val="auto"/>
          <w:sz w:val="24"/>
          <w:szCs w:val="24"/>
          <w:highlight w:val="none"/>
          <w:lang w:eastAsia="zh-CN"/>
        </w:rPr>
        <w:t>6.1、法人或者其他组织的营业执照等证明文件，自然人的身份证明</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5B63DAA">
      <w:pPr>
        <w:spacing w:line="360" w:lineRule="auto"/>
        <w:rPr>
          <w:rFonts w:ascii="仿宋" w:hAnsi="仿宋" w:eastAsia="仿宋" w:cs="仿宋"/>
          <w:color w:val="auto"/>
          <w:sz w:val="24"/>
          <w:szCs w:val="24"/>
          <w:highlight w:val="none"/>
          <w:lang w:eastAsia="zh-CN"/>
        </w:rPr>
      </w:pPr>
    </w:p>
    <w:p w14:paraId="4B68834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一、如供应商是企业（包括合伙企业），应提供在工商部门注册的有效“企业法人营业执照”或“营业执照”；</w:t>
      </w:r>
    </w:p>
    <w:p w14:paraId="03809FBF">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二、如供应商是事业单位，应提供有效的“事业单位法人证书”；</w:t>
      </w:r>
    </w:p>
    <w:p w14:paraId="787D2645">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三、供应商是非企业专业服务机构的，应提供执业许可证等证明文件；</w:t>
      </w:r>
    </w:p>
    <w:p w14:paraId="743214A2">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四、如供应商是个体工商户，应提供有效的“个体工商户营业执照”；</w:t>
      </w:r>
    </w:p>
    <w:p w14:paraId="404E7686">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五、如供应商是自然人，应提供有效的自然人身份证明。</w:t>
      </w:r>
    </w:p>
    <w:p w14:paraId="1D25CD45">
      <w:pPr>
        <w:spacing w:line="360" w:lineRule="auto"/>
        <w:rPr>
          <w:rFonts w:ascii="仿宋" w:hAnsi="仿宋" w:eastAsia="仿宋" w:cs="仿宋"/>
          <w:color w:val="auto"/>
          <w:sz w:val="24"/>
          <w:szCs w:val="24"/>
          <w:highlight w:val="none"/>
          <w:lang w:eastAsia="zh-CN"/>
        </w:rPr>
      </w:pPr>
    </w:p>
    <w:p w14:paraId="4E409AB2">
      <w:pPr>
        <w:spacing w:line="360" w:lineRule="auto"/>
        <w:rPr>
          <w:rFonts w:ascii="仿宋" w:hAnsi="仿宋" w:eastAsia="仿宋" w:cs="仿宋"/>
          <w:color w:val="auto"/>
          <w:sz w:val="24"/>
          <w:szCs w:val="24"/>
          <w:highlight w:val="none"/>
          <w:lang w:eastAsia="zh-CN"/>
        </w:rPr>
      </w:pPr>
    </w:p>
    <w:p w14:paraId="1F7B7535">
      <w:pPr>
        <w:spacing w:line="360" w:lineRule="auto"/>
        <w:rPr>
          <w:rFonts w:ascii="仿宋" w:hAnsi="仿宋" w:eastAsia="仿宋" w:cs="仿宋"/>
          <w:color w:val="auto"/>
          <w:highlight w:val="none"/>
          <w:lang w:eastAsia="zh-CN"/>
        </w:rPr>
      </w:pPr>
      <w:r>
        <w:rPr>
          <w:rFonts w:hint="eastAsia" w:ascii="仿宋" w:hAnsi="仿宋" w:eastAsia="仿宋" w:cs="仿宋"/>
          <w:b/>
          <w:color w:val="auto"/>
          <w:sz w:val="24"/>
          <w:szCs w:val="24"/>
          <w:highlight w:val="none"/>
          <w:lang w:eastAsia="zh-CN"/>
        </w:rPr>
        <w:br w:type="page"/>
      </w:r>
    </w:p>
    <w:p w14:paraId="5E4C4439">
      <w:pPr>
        <w:spacing w:line="360" w:lineRule="auto"/>
        <w:jc w:val="center"/>
        <w:outlineLvl w:val="1"/>
        <w:rPr>
          <w:rFonts w:ascii="仿宋" w:hAnsi="仿宋" w:eastAsia="仿宋" w:cs="仿宋"/>
          <w:b/>
          <w:color w:val="auto"/>
          <w:sz w:val="24"/>
          <w:szCs w:val="24"/>
          <w:highlight w:val="none"/>
          <w:lang w:eastAsia="zh-CN"/>
        </w:rPr>
      </w:pPr>
      <w:bookmarkStart w:id="179" w:name="_Toc5489"/>
      <w:bookmarkStart w:id="180" w:name="_Toc141050516"/>
      <w:bookmarkStart w:id="181" w:name="_Toc30664"/>
      <w:bookmarkStart w:id="182" w:name="_Toc643"/>
      <w:bookmarkStart w:id="183" w:name="_Toc13628"/>
      <w:bookmarkStart w:id="184" w:name="_Toc19961"/>
      <w:bookmarkStart w:id="185" w:name="_Toc19152"/>
      <w:bookmarkStart w:id="186" w:name="_Toc113901850"/>
      <w:bookmarkStart w:id="187" w:name="_Toc130252623"/>
      <w:bookmarkStart w:id="188" w:name="_Toc128476879"/>
      <w:bookmarkStart w:id="189" w:name="_Toc14695"/>
      <w:bookmarkStart w:id="190" w:name="_Toc24317"/>
      <w:bookmarkStart w:id="191" w:name="_Toc31943"/>
      <w:bookmarkStart w:id="192" w:name="_Toc7702"/>
      <w:r>
        <w:rPr>
          <w:rFonts w:hint="eastAsia" w:ascii="仿宋" w:hAnsi="仿宋" w:eastAsia="仿宋" w:cs="仿宋"/>
          <w:b/>
          <w:color w:val="auto"/>
          <w:sz w:val="24"/>
          <w:szCs w:val="24"/>
          <w:highlight w:val="none"/>
          <w:lang w:eastAsia="zh-CN"/>
        </w:rPr>
        <w:t>6.2、财务状况报告，依法缴纳税收和社会保障资金的相关材料</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EE233F9">
      <w:pPr>
        <w:spacing w:after="120" w:line="360" w:lineRule="auto"/>
        <w:rPr>
          <w:rFonts w:ascii="仿宋" w:hAnsi="仿宋" w:eastAsia="仿宋" w:cs="仿宋"/>
          <w:color w:val="auto"/>
          <w:spacing w:val="10"/>
          <w:sz w:val="24"/>
          <w:szCs w:val="24"/>
          <w:highlight w:val="none"/>
          <w:lang w:eastAsia="zh-CN"/>
        </w:rPr>
      </w:pPr>
    </w:p>
    <w:p w14:paraId="36F09533">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一、财务状况报告（</w:t>
      </w:r>
      <w:r>
        <w:rPr>
          <w:rFonts w:hint="eastAsia" w:ascii="仿宋" w:hAnsi="仿宋" w:eastAsia="仿宋" w:cs="仿宋"/>
          <w:color w:val="auto"/>
          <w:sz w:val="24"/>
          <w:szCs w:val="24"/>
          <w:highlight w:val="none"/>
          <w:lang w:eastAsia="zh-CN"/>
        </w:rPr>
        <w:t>满足下述一条要求即可</w:t>
      </w:r>
      <w:r>
        <w:rPr>
          <w:rFonts w:hint="eastAsia" w:ascii="仿宋" w:hAnsi="仿宋" w:eastAsia="仿宋" w:cs="仿宋"/>
          <w:color w:val="auto"/>
          <w:spacing w:val="10"/>
          <w:sz w:val="24"/>
          <w:szCs w:val="24"/>
          <w:highlight w:val="none"/>
          <w:lang w:eastAsia="zh-CN"/>
        </w:rPr>
        <w:t>）：</w:t>
      </w:r>
    </w:p>
    <w:p w14:paraId="469892C7">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应提供本单位2024年度或2025年度经会计师事务所出具的审计报告复印件（报告中须包括资产负债表、利润表、现金流量表及财务报表附注）。如供应商注册不满1年提供具有良好的商业信誉和健全的财务会计制度承诺函；二、依法缴纳税收和社会保障资金的相关材料</w:t>
      </w:r>
    </w:p>
    <w:p w14:paraId="6643C08C">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2.1、依法缴纳税收的证明材料：</w:t>
      </w:r>
    </w:p>
    <w:p w14:paraId="503E960C">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本项目开标前6个月内（至少提供1个月）缴纳税收的凭据（完税证、缴款书、印花税票、银行代扣（代缴）转账凭证等均可）</w:t>
      </w:r>
    </w:p>
    <w:p w14:paraId="0C0F2660">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2.2、依法缴纳社会保障资金的证明材料：</w:t>
      </w:r>
    </w:p>
    <w:p w14:paraId="3C3FE673">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 xml:space="preserve">本项目开标前 6个月内（至少提供1个月）缴纳社会保险的凭据（专用收据或社会保险交纳清单）； </w:t>
      </w:r>
    </w:p>
    <w:p w14:paraId="7A789EBE">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14:paraId="006EDE7B">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2.3、依法免税或不需要缴纳社会保障资金的供应商，应提供相应文件证明其依法免税或不需要缴纳社会保障资金。</w:t>
      </w:r>
    </w:p>
    <w:p w14:paraId="3859C71C">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三、注：</w:t>
      </w:r>
    </w:p>
    <w:p w14:paraId="67386060">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3.1、如因有关主管部门政策调整，部分证明材料有所增减，以最新政策要求为准；</w:t>
      </w:r>
    </w:p>
    <w:p w14:paraId="78D63B0F">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3.2、如供应商所在地有关主管部门反馈的证明材料与本文中要求不一致时，以当地要求为准，但须供应商提供文字说明。</w:t>
      </w:r>
    </w:p>
    <w:p w14:paraId="4DA495C6">
      <w:pPr>
        <w:tabs>
          <w:tab w:val="center" w:pos="4832"/>
          <w:tab w:val="left" w:pos="7140"/>
        </w:tabs>
        <w:spacing w:line="360" w:lineRule="auto"/>
        <w:jc w:val="center"/>
        <w:outlineLvl w:val="1"/>
        <w:rPr>
          <w:rFonts w:ascii="仿宋" w:hAnsi="仿宋" w:eastAsia="仿宋" w:cs="仿宋"/>
          <w:b/>
          <w:color w:val="auto"/>
          <w:sz w:val="24"/>
          <w:szCs w:val="24"/>
          <w:highlight w:val="none"/>
          <w:lang w:eastAsia="zh-CN"/>
        </w:rPr>
      </w:pPr>
      <w:bookmarkStart w:id="193" w:name="_Toc113901851"/>
      <w:bookmarkStart w:id="194" w:name="_Toc128476880"/>
      <w:bookmarkStart w:id="195" w:name="_Toc111556488"/>
      <w:r>
        <w:rPr>
          <w:rFonts w:hint="eastAsia" w:ascii="仿宋" w:hAnsi="仿宋" w:eastAsia="仿宋" w:cs="仿宋"/>
          <w:b/>
          <w:color w:val="auto"/>
          <w:sz w:val="24"/>
          <w:szCs w:val="24"/>
          <w:highlight w:val="none"/>
          <w:lang w:eastAsia="zh-CN"/>
        </w:rPr>
        <w:br w:type="page"/>
      </w:r>
      <w:bookmarkStart w:id="196" w:name="_Toc22195"/>
      <w:bookmarkStart w:id="197" w:name="_Toc141050517"/>
      <w:bookmarkStart w:id="198" w:name="_Toc29582"/>
      <w:bookmarkStart w:id="199" w:name="_Toc3038"/>
      <w:bookmarkStart w:id="200" w:name="_Toc130252624"/>
      <w:bookmarkStart w:id="201" w:name="_Toc24919"/>
      <w:bookmarkStart w:id="202" w:name="_Toc28397"/>
      <w:bookmarkStart w:id="203" w:name="_Toc8262"/>
      <w:bookmarkStart w:id="204" w:name="_Toc20521"/>
      <w:bookmarkStart w:id="205" w:name="_Toc28756"/>
      <w:bookmarkStart w:id="206" w:name="_Toc23711"/>
      <w:bookmarkStart w:id="207" w:name="_Toc24817"/>
      <w:r>
        <w:rPr>
          <w:rFonts w:hint="eastAsia" w:ascii="仿宋" w:hAnsi="仿宋" w:eastAsia="仿宋" w:cs="仿宋"/>
          <w:b/>
          <w:color w:val="auto"/>
          <w:sz w:val="24"/>
          <w:szCs w:val="24"/>
          <w:highlight w:val="none"/>
          <w:lang w:eastAsia="zh-CN"/>
        </w:rPr>
        <w:t>6.3、具备履行合同所必需的设备和专业技术能力的证明材料</w:t>
      </w:r>
      <w:bookmarkEnd w:id="193"/>
      <w:bookmarkEnd w:id="194"/>
      <w:bookmarkEnd w:id="196"/>
      <w:bookmarkEnd w:id="197"/>
      <w:bookmarkEnd w:id="198"/>
      <w:bookmarkEnd w:id="199"/>
      <w:bookmarkEnd w:id="200"/>
      <w:bookmarkEnd w:id="201"/>
      <w:bookmarkEnd w:id="202"/>
      <w:bookmarkEnd w:id="203"/>
      <w:bookmarkEnd w:id="204"/>
      <w:bookmarkEnd w:id="205"/>
      <w:bookmarkEnd w:id="206"/>
      <w:bookmarkEnd w:id="207"/>
    </w:p>
    <w:p w14:paraId="3E12B95A">
      <w:pPr>
        <w:spacing w:line="360" w:lineRule="auto"/>
        <w:jc w:val="center"/>
        <w:rPr>
          <w:rFonts w:ascii="仿宋" w:hAnsi="仿宋" w:eastAsia="仿宋" w:cs="仿宋"/>
          <w:b/>
          <w:color w:val="auto"/>
          <w:sz w:val="24"/>
          <w:szCs w:val="24"/>
          <w:highlight w:val="none"/>
          <w:lang w:eastAsia="zh-CN"/>
        </w:rPr>
      </w:pPr>
    </w:p>
    <w:p w14:paraId="6F5D852A">
      <w:pPr>
        <w:spacing w:line="360" w:lineRule="auto"/>
        <w:jc w:val="center"/>
        <w:rPr>
          <w:rFonts w:ascii="仿宋" w:hAnsi="仿宋" w:eastAsia="仿宋" w:cs="仿宋"/>
          <w:b/>
          <w:color w:val="auto"/>
          <w:sz w:val="24"/>
          <w:szCs w:val="24"/>
          <w:highlight w:val="none"/>
          <w:lang w:eastAsia="zh-CN"/>
        </w:rPr>
      </w:pPr>
    </w:p>
    <w:p w14:paraId="71CA836E">
      <w:pPr>
        <w:spacing w:line="360" w:lineRule="auto"/>
        <w:jc w:val="center"/>
        <w:rPr>
          <w:rFonts w:ascii="仿宋" w:hAnsi="仿宋" w:eastAsia="仿宋" w:cs="仿宋"/>
          <w:b/>
          <w:color w:val="auto"/>
          <w:sz w:val="24"/>
          <w:szCs w:val="24"/>
          <w:highlight w:val="none"/>
          <w:lang w:eastAsia="zh-CN"/>
        </w:rPr>
      </w:pPr>
    </w:p>
    <w:p w14:paraId="012117D0">
      <w:pPr>
        <w:spacing w:line="360" w:lineRule="auto"/>
        <w:jc w:val="cente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具有履行合同所必需的设备和专业技术能力的承诺</w:t>
      </w:r>
      <w:bookmarkEnd w:id="195"/>
      <w:r>
        <w:rPr>
          <w:rFonts w:hint="eastAsia" w:ascii="仿宋" w:hAnsi="仿宋" w:eastAsia="仿宋" w:cs="仿宋"/>
          <w:b/>
          <w:color w:val="auto"/>
          <w:sz w:val="24"/>
          <w:szCs w:val="24"/>
          <w:highlight w:val="none"/>
          <w:lang w:eastAsia="zh-CN"/>
        </w:rPr>
        <w:t>函</w:t>
      </w:r>
    </w:p>
    <w:p w14:paraId="6D9B3BFC">
      <w:pPr>
        <w:spacing w:line="360" w:lineRule="auto"/>
        <w:ind w:firstLine="480" w:firstLineChars="200"/>
        <w:jc w:val="center"/>
        <w:rPr>
          <w:rFonts w:ascii="仿宋" w:hAnsi="仿宋" w:eastAsia="仿宋" w:cs="仿宋"/>
          <w:color w:val="auto"/>
          <w:sz w:val="24"/>
          <w:szCs w:val="24"/>
          <w:highlight w:val="none"/>
          <w:lang w:eastAsia="zh-CN"/>
        </w:rPr>
      </w:pPr>
    </w:p>
    <w:p w14:paraId="77591FF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312B4D6C">
      <w:pPr>
        <w:spacing w:line="360" w:lineRule="auto"/>
        <w:ind w:firstLine="480" w:firstLineChars="200"/>
        <w:rPr>
          <w:rFonts w:ascii="仿宋" w:hAnsi="仿宋" w:eastAsia="仿宋" w:cs="仿宋"/>
          <w:color w:val="auto"/>
          <w:sz w:val="24"/>
          <w:szCs w:val="24"/>
          <w:highlight w:val="none"/>
          <w:lang w:eastAsia="zh-CN"/>
        </w:rPr>
      </w:pPr>
    </w:p>
    <w:p w14:paraId="6545FF39">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我单位郑重承诺： </w:t>
      </w:r>
    </w:p>
    <w:p w14:paraId="495D297D">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我单位具备履行</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lang w:eastAsia="zh-CN"/>
        </w:rPr>
        <w:t>）合同所必需的设备和专业技术能力；</w:t>
      </w:r>
    </w:p>
    <w:p w14:paraId="160D7CF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特此承诺。 </w:t>
      </w:r>
    </w:p>
    <w:p w14:paraId="1E7F3645">
      <w:pPr>
        <w:spacing w:line="360" w:lineRule="auto"/>
        <w:rPr>
          <w:rFonts w:ascii="仿宋" w:hAnsi="仿宋" w:eastAsia="仿宋" w:cs="仿宋"/>
          <w:color w:val="auto"/>
          <w:sz w:val="24"/>
          <w:szCs w:val="24"/>
          <w:highlight w:val="none"/>
          <w:lang w:eastAsia="zh-CN"/>
        </w:rPr>
      </w:pPr>
    </w:p>
    <w:p w14:paraId="1151AD31">
      <w:pPr>
        <w:spacing w:line="360" w:lineRule="auto"/>
        <w:rPr>
          <w:rFonts w:ascii="仿宋" w:hAnsi="仿宋" w:eastAsia="仿宋" w:cs="仿宋"/>
          <w:color w:val="auto"/>
          <w:sz w:val="24"/>
          <w:szCs w:val="24"/>
          <w:highlight w:val="none"/>
          <w:lang w:eastAsia="zh-CN"/>
        </w:rPr>
      </w:pPr>
    </w:p>
    <w:p w14:paraId="056DE627">
      <w:pPr>
        <w:spacing w:line="360" w:lineRule="auto"/>
        <w:rPr>
          <w:rFonts w:ascii="仿宋" w:hAnsi="仿宋" w:eastAsia="仿宋" w:cs="仿宋"/>
          <w:color w:val="auto"/>
          <w:sz w:val="24"/>
          <w:szCs w:val="24"/>
          <w:highlight w:val="none"/>
          <w:lang w:eastAsia="zh-CN"/>
        </w:rPr>
      </w:pPr>
    </w:p>
    <w:p w14:paraId="6423263B">
      <w:pPr>
        <w:spacing w:line="360" w:lineRule="auto"/>
        <w:rPr>
          <w:rFonts w:ascii="仿宋" w:hAnsi="仿宋" w:eastAsia="仿宋" w:cs="仿宋"/>
          <w:color w:val="auto"/>
          <w:sz w:val="24"/>
          <w:szCs w:val="24"/>
          <w:highlight w:val="none"/>
          <w:lang w:eastAsia="zh-CN"/>
        </w:rPr>
      </w:pPr>
    </w:p>
    <w:p w14:paraId="337E8AE3">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18A2FE0F">
      <w:pPr>
        <w:shd w:val="clear" w:color="auto" w:fill="FFFFFF"/>
        <w:spacing w:line="360" w:lineRule="auto"/>
        <w:rPr>
          <w:rFonts w:ascii="仿宋" w:hAnsi="仿宋" w:eastAsia="仿宋" w:cs="仿宋"/>
          <w:color w:val="auto"/>
          <w:sz w:val="24"/>
          <w:szCs w:val="24"/>
          <w:highlight w:val="none"/>
          <w:lang w:eastAsia="zh-CN"/>
        </w:rPr>
      </w:pPr>
    </w:p>
    <w:p w14:paraId="3FF945E3">
      <w:pPr>
        <w:shd w:val="clear" w:color="auto" w:fill="FFFFFF"/>
        <w:spacing w:line="360" w:lineRule="auto"/>
        <w:rPr>
          <w:rFonts w:ascii="仿宋" w:hAnsi="仿宋" w:eastAsia="仿宋" w:cs="仿宋"/>
          <w:color w:val="auto"/>
          <w:sz w:val="24"/>
          <w:szCs w:val="24"/>
          <w:highlight w:val="none"/>
          <w:lang w:eastAsia="zh-CN"/>
        </w:rPr>
      </w:pPr>
    </w:p>
    <w:p w14:paraId="58FAF765">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2EF1C70B">
      <w:pPr>
        <w:spacing w:line="360" w:lineRule="auto"/>
        <w:rPr>
          <w:rFonts w:ascii="仿宋" w:hAnsi="仿宋" w:eastAsia="仿宋" w:cs="仿宋"/>
          <w:bCs/>
          <w:color w:val="auto"/>
          <w:sz w:val="24"/>
          <w:szCs w:val="24"/>
          <w:highlight w:val="none"/>
          <w:lang w:eastAsia="zh-CN"/>
        </w:rPr>
      </w:pPr>
    </w:p>
    <w:p w14:paraId="0C6DB350">
      <w:pPr>
        <w:spacing w:line="360" w:lineRule="auto"/>
        <w:rPr>
          <w:rFonts w:ascii="仿宋" w:hAnsi="仿宋" w:eastAsia="仿宋" w:cs="仿宋"/>
          <w:color w:val="auto"/>
          <w:sz w:val="24"/>
          <w:szCs w:val="24"/>
          <w:highlight w:val="none"/>
          <w:lang w:eastAsia="zh-CN"/>
        </w:rPr>
      </w:pPr>
    </w:p>
    <w:p w14:paraId="6784AE05">
      <w:pPr>
        <w:spacing w:line="360" w:lineRule="auto"/>
        <w:rPr>
          <w:rFonts w:ascii="仿宋" w:hAnsi="仿宋" w:eastAsia="仿宋" w:cs="仿宋"/>
          <w:color w:val="auto"/>
          <w:sz w:val="24"/>
          <w:szCs w:val="24"/>
          <w:highlight w:val="none"/>
          <w:lang w:eastAsia="zh-CN"/>
        </w:rPr>
      </w:pPr>
    </w:p>
    <w:p w14:paraId="6814EB3A">
      <w:pPr>
        <w:spacing w:line="360" w:lineRule="auto"/>
        <w:rPr>
          <w:rFonts w:ascii="仿宋" w:hAnsi="仿宋" w:eastAsia="仿宋" w:cs="仿宋"/>
          <w:color w:val="auto"/>
          <w:sz w:val="24"/>
          <w:szCs w:val="24"/>
          <w:highlight w:val="none"/>
          <w:lang w:eastAsia="zh-CN"/>
        </w:rPr>
      </w:pPr>
    </w:p>
    <w:p w14:paraId="0591021D">
      <w:pPr>
        <w:spacing w:line="360" w:lineRule="auto"/>
        <w:rPr>
          <w:rFonts w:ascii="仿宋" w:hAnsi="仿宋" w:eastAsia="仿宋" w:cs="仿宋"/>
          <w:color w:val="auto"/>
          <w:sz w:val="24"/>
          <w:szCs w:val="24"/>
          <w:highlight w:val="none"/>
          <w:lang w:eastAsia="zh-CN"/>
        </w:rPr>
      </w:pPr>
    </w:p>
    <w:p w14:paraId="270AD78C">
      <w:pPr>
        <w:spacing w:line="360" w:lineRule="auto"/>
        <w:rPr>
          <w:rFonts w:ascii="仿宋" w:hAnsi="仿宋" w:eastAsia="仿宋" w:cs="仿宋"/>
          <w:color w:val="auto"/>
          <w:sz w:val="24"/>
          <w:szCs w:val="24"/>
          <w:highlight w:val="none"/>
          <w:lang w:eastAsia="zh-CN"/>
        </w:rPr>
      </w:pPr>
    </w:p>
    <w:p w14:paraId="65FBD47F">
      <w:pPr>
        <w:spacing w:line="360" w:lineRule="auto"/>
        <w:rPr>
          <w:rFonts w:ascii="仿宋" w:hAnsi="仿宋" w:eastAsia="仿宋" w:cs="仿宋"/>
          <w:color w:val="auto"/>
          <w:sz w:val="24"/>
          <w:szCs w:val="24"/>
          <w:highlight w:val="none"/>
          <w:lang w:eastAsia="zh-CN"/>
        </w:rPr>
      </w:pPr>
    </w:p>
    <w:p w14:paraId="091406A6">
      <w:pPr>
        <w:tabs>
          <w:tab w:val="center" w:pos="4832"/>
          <w:tab w:val="left" w:pos="7140"/>
        </w:tabs>
        <w:spacing w:line="360" w:lineRule="auto"/>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208" w:name="_Toc130252625"/>
      <w:bookmarkStart w:id="209" w:name="_Toc154"/>
      <w:bookmarkStart w:id="210" w:name="_Toc128476881"/>
      <w:bookmarkStart w:id="211" w:name="_Toc5472"/>
      <w:bookmarkStart w:id="212" w:name="_Toc141050518"/>
      <w:bookmarkStart w:id="213" w:name="_Toc16035"/>
      <w:bookmarkStart w:id="214" w:name="_Toc27933"/>
      <w:bookmarkStart w:id="215" w:name="_Toc12742"/>
      <w:bookmarkStart w:id="216" w:name="_Toc9901"/>
      <w:bookmarkStart w:id="217" w:name="_Toc19260"/>
      <w:bookmarkStart w:id="218" w:name="_Toc23217"/>
      <w:bookmarkStart w:id="219" w:name="_Toc113901852"/>
      <w:bookmarkStart w:id="220" w:name="_Toc25809"/>
      <w:bookmarkStart w:id="221" w:name="_Toc29127"/>
      <w:bookmarkStart w:id="222" w:name="_Toc111556490"/>
      <w:r>
        <w:rPr>
          <w:rFonts w:hint="eastAsia" w:ascii="仿宋" w:hAnsi="仿宋" w:eastAsia="仿宋" w:cs="仿宋"/>
          <w:b/>
          <w:color w:val="auto"/>
          <w:sz w:val="24"/>
          <w:szCs w:val="24"/>
          <w:highlight w:val="none"/>
          <w:lang w:eastAsia="zh-CN"/>
        </w:rPr>
        <w:t>6.4、参加政府采购活动前3年内在经营活动中没有重大违法记录的书面声明</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bookmarkEnd w:id="222"/>
    <w:p w14:paraId="604FC11B">
      <w:pPr>
        <w:spacing w:line="360" w:lineRule="auto"/>
        <w:rPr>
          <w:rFonts w:ascii="仿宋" w:hAnsi="仿宋" w:eastAsia="仿宋" w:cs="仿宋"/>
          <w:color w:val="auto"/>
          <w:sz w:val="24"/>
          <w:szCs w:val="24"/>
          <w:highlight w:val="none"/>
          <w:lang w:eastAsia="zh-CN"/>
        </w:rPr>
      </w:pPr>
    </w:p>
    <w:p w14:paraId="6EB0087D">
      <w:pPr>
        <w:spacing w:line="360" w:lineRule="auto"/>
        <w:rPr>
          <w:rFonts w:ascii="仿宋" w:hAnsi="仿宋" w:eastAsia="仿宋" w:cs="仿宋"/>
          <w:color w:val="auto"/>
          <w:sz w:val="24"/>
          <w:szCs w:val="24"/>
          <w:highlight w:val="none"/>
          <w:lang w:eastAsia="zh-CN"/>
        </w:rPr>
      </w:pPr>
    </w:p>
    <w:p w14:paraId="7242A1E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014972B0">
      <w:pPr>
        <w:spacing w:line="360" w:lineRule="auto"/>
        <w:ind w:firstLine="480" w:firstLineChars="200"/>
        <w:rPr>
          <w:rFonts w:ascii="仿宋" w:hAnsi="仿宋" w:eastAsia="仿宋" w:cs="仿宋"/>
          <w:color w:val="auto"/>
          <w:sz w:val="24"/>
          <w:szCs w:val="24"/>
          <w:highlight w:val="none"/>
          <w:lang w:eastAsia="zh-CN"/>
        </w:rPr>
      </w:pPr>
    </w:p>
    <w:p w14:paraId="79C168B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我单位在参与</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lang w:eastAsia="zh-CN"/>
        </w:rPr>
        <w:t>）前三年内（以投标文件递交截止之日为期限）在经营活动中没有重大违法记录。</w:t>
      </w:r>
    </w:p>
    <w:p w14:paraId="0BDBC0E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若贵方在本项目采购过程中发现我方参加政府采购活动前三年内有重大违法记录；我单位将无条件退出本项目的投标，并承担因此引起的一切后果。我方对此声明负全部法律责任。</w:t>
      </w:r>
    </w:p>
    <w:p w14:paraId="088328D2">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特此声明！</w:t>
      </w:r>
    </w:p>
    <w:p w14:paraId="2AC1B2CB">
      <w:pPr>
        <w:spacing w:line="360" w:lineRule="auto"/>
        <w:ind w:firstLine="480" w:firstLineChars="200"/>
        <w:rPr>
          <w:rFonts w:ascii="仿宋" w:hAnsi="仿宋" w:eastAsia="仿宋" w:cs="仿宋"/>
          <w:color w:val="auto"/>
          <w:sz w:val="24"/>
          <w:szCs w:val="24"/>
          <w:highlight w:val="none"/>
          <w:lang w:eastAsia="zh-CN"/>
        </w:rPr>
      </w:pPr>
    </w:p>
    <w:p w14:paraId="63F4D98E">
      <w:pPr>
        <w:spacing w:line="360" w:lineRule="auto"/>
        <w:ind w:firstLine="480" w:firstLineChars="200"/>
        <w:rPr>
          <w:rFonts w:ascii="仿宋" w:hAnsi="仿宋" w:eastAsia="仿宋" w:cs="仿宋"/>
          <w:color w:val="auto"/>
          <w:sz w:val="24"/>
          <w:szCs w:val="24"/>
          <w:highlight w:val="none"/>
          <w:lang w:eastAsia="zh-CN"/>
        </w:rPr>
      </w:pPr>
    </w:p>
    <w:p w14:paraId="434B0530">
      <w:pPr>
        <w:spacing w:line="360" w:lineRule="auto"/>
        <w:ind w:firstLine="420"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w:t>
      </w:r>
    </w:p>
    <w:p w14:paraId="3012CBCB">
      <w:pPr>
        <w:spacing w:line="360" w:lineRule="auto"/>
        <w:ind w:firstLine="420" w:firstLineChars="200"/>
        <w:rPr>
          <w:rFonts w:ascii="仿宋" w:hAnsi="仿宋" w:eastAsia="仿宋" w:cs="仿宋"/>
          <w:color w:val="auto"/>
          <w:sz w:val="24"/>
          <w:szCs w:val="24"/>
          <w:highlight w:val="none"/>
          <w:lang w:eastAsia="zh-CN"/>
        </w:rPr>
      </w:pPr>
      <w:r>
        <w:rPr>
          <w:rFonts w:hint="eastAsia" w:ascii="仿宋" w:hAnsi="仿宋" w:eastAsia="仿宋" w:cs="仿宋"/>
          <w:color w:val="auto"/>
          <w:szCs w:val="24"/>
          <w:highlight w:val="none"/>
          <w:lang w:eastAsia="zh-CN"/>
        </w:rPr>
        <w:t>若供应商在投标文件递交截止之日成立时间不足三年，以自成立以来的时间计取。</w:t>
      </w:r>
    </w:p>
    <w:p w14:paraId="5C20FDEA">
      <w:pPr>
        <w:spacing w:line="360" w:lineRule="auto"/>
        <w:ind w:firstLine="480" w:firstLineChars="200"/>
        <w:rPr>
          <w:rFonts w:ascii="仿宋" w:hAnsi="仿宋" w:eastAsia="仿宋" w:cs="仿宋"/>
          <w:color w:val="auto"/>
          <w:sz w:val="24"/>
          <w:szCs w:val="24"/>
          <w:highlight w:val="none"/>
          <w:lang w:eastAsia="zh-CN"/>
        </w:rPr>
      </w:pPr>
    </w:p>
    <w:p w14:paraId="78B9EBAC">
      <w:pPr>
        <w:spacing w:line="360" w:lineRule="auto"/>
        <w:ind w:firstLine="3112" w:firstLineChars="1297"/>
        <w:rPr>
          <w:rFonts w:ascii="仿宋" w:hAnsi="仿宋" w:eastAsia="仿宋" w:cs="仿宋"/>
          <w:color w:val="auto"/>
          <w:sz w:val="24"/>
          <w:szCs w:val="24"/>
          <w:highlight w:val="none"/>
          <w:lang w:eastAsia="zh-CN"/>
        </w:rPr>
      </w:pPr>
    </w:p>
    <w:p w14:paraId="0F931462">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1881A07D">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3FF68752">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6FB21932">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1E7D8D26">
      <w:pPr>
        <w:shd w:val="clear" w:color="auto" w:fill="FFFFFF"/>
        <w:spacing w:line="360" w:lineRule="auto"/>
        <w:ind w:firstLine="420"/>
        <w:rPr>
          <w:rFonts w:ascii="仿宋" w:hAnsi="仿宋" w:eastAsia="仿宋" w:cs="仿宋"/>
          <w:color w:val="auto"/>
          <w:sz w:val="24"/>
          <w:szCs w:val="24"/>
          <w:highlight w:val="none"/>
          <w:lang w:eastAsia="zh-CN"/>
        </w:rPr>
      </w:pPr>
    </w:p>
    <w:p w14:paraId="519CB98E">
      <w:pPr>
        <w:tabs>
          <w:tab w:val="center" w:pos="4832"/>
          <w:tab w:val="left" w:pos="7140"/>
        </w:tabs>
        <w:spacing w:line="360" w:lineRule="auto"/>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223" w:name="_Toc25108"/>
      <w:bookmarkStart w:id="224" w:name="_Toc30930"/>
      <w:bookmarkStart w:id="225" w:name="_Toc8192"/>
      <w:bookmarkStart w:id="226" w:name="_Toc31144"/>
      <w:bookmarkStart w:id="227" w:name="_Toc13028"/>
      <w:bookmarkStart w:id="228" w:name="_Toc14380"/>
      <w:bookmarkStart w:id="229" w:name="_Toc130252626"/>
      <w:bookmarkStart w:id="230" w:name="_Toc4675"/>
      <w:bookmarkStart w:id="231" w:name="_Toc9134"/>
      <w:bookmarkStart w:id="232" w:name="_Toc141050519"/>
      <w:bookmarkStart w:id="233" w:name="_Toc9385"/>
      <w:bookmarkStart w:id="234" w:name="_Toc113901853"/>
      <w:bookmarkStart w:id="235" w:name="_Toc128476882"/>
      <w:bookmarkStart w:id="236" w:name="_Toc11867"/>
      <w:r>
        <w:rPr>
          <w:rFonts w:hint="eastAsia" w:ascii="仿宋" w:hAnsi="仿宋" w:eastAsia="仿宋" w:cs="仿宋"/>
          <w:b/>
          <w:color w:val="auto"/>
          <w:sz w:val="24"/>
          <w:szCs w:val="24"/>
          <w:highlight w:val="none"/>
          <w:lang w:eastAsia="zh-CN"/>
        </w:rPr>
        <w:t>6.5、具备法律、行政法规规定的其他条件的证明材料</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48752C2">
      <w:pPr>
        <w:spacing w:line="360" w:lineRule="auto"/>
        <w:rPr>
          <w:rFonts w:ascii="仿宋" w:hAnsi="仿宋" w:eastAsia="仿宋" w:cs="仿宋"/>
          <w:color w:val="auto"/>
          <w:sz w:val="24"/>
          <w:szCs w:val="24"/>
          <w:highlight w:val="none"/>
          <w:lang w:eastAsia="zh-CN"/>
        </w:rPr>
      </w:pPr>
    </w:p>
    <w:p w14:paraId="567E8B9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1、国家有关主管部门的行政许可（如有时）。</w:t>
      </w:r>
    </w:p>
    <w:p w14:paraId="4FBE9CD0">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2、中小企业声明函/残疾人福利性单位声明函/监狱企业证明文件（如有时）。</w:t>
      </w:r>
    </w:p>
    <w:p w14:paraId="5E92B9CB">
      <w:pP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3DEE7F9B">
      <w:pPr>
        <w:spacing w:line="360" w:lineRule="auto"/>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 xml:space="preserve">附件一、                  </w:t>
      </w:r>
    </w:p>
    <w:p w14:paraId="01A23581">
      <w:pPr>
        <w:spacing w:line="255" w:lineRule="auto"/>
        <w:jc w:val="center"/>
        <w:rPr>
          <w:rFonts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sz w:val="24"/>
          <w:szCs w:val="24"/>
          <w:highlight w:val="none"/>
          <w:lang w:eastAsia="zh-CN"/>
        </w:rPr>
        <w:t>中小企业声明函（货物）</w:t>
      </w:r>
      <w:r>
        <w:rPr>
          <w:rFonts w:hint="eastAsia" w:ascii="仿宋_GB2312" w:hAnsi="仿宋_GB2312" w:eastAsia="仿宋_GB2312" w:cs="仿宋_GB2312"/>
          <w:b/>
          <w:bCs/>
          <w:color w:val="auto"/>
          <w:highlight w:val="none"/>
          <w:lang w:eastAsia="zh-CN"/>
        </w:rPr>
        <w:t>（实质性格式）</w:t>
      </w:r>
    </w:p>
    <w:p w14:paraId="46EB4152">
      <w:pPr>
        <w:spacing w:line="440" w:lineRule="exact"/>
        <w:ind w:firstLine="480" w:firstLineChars="200"/>
        <w:jc w:val="center"/>
        <w:rPr>
          <w:rFonts w:ascii="仿宋_GB2312" w:hAnsi="仿宋_GB2312" w:eastAsia="仿宋_GB2312" w:cs="仿宋_GB2312"/>
          <w:color w:val="auto"/>
          <w:sz w:val="24"/>
          <w:szCs w:val="24"/>
          <w:highlight w:val="none"/>
          <w:lang w:eastAsia="zh-CN"/>
        </w:rPr>
      </w:pPr>
    </w:p>
    <w:p w14:paraId="4A35CE1E">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本公司（联合体） 郑重声明，根据《政府采购促进中小企业发展管理办法》（财库﹝ 2020﹞ 46 号）的规定，本公司（联合体）参加</w:t>
      </w:r>
      <w:r>
        <w:rPr>
          <w:rFonts w:hint="eastAsia" w:ascii="仿宋_GB2312" w:hAnsi="仿宋_GB2312" w:eastAsia="仿宋_GB2312" w:cs="仿宋_GB2312"/>
          <w:color w:val="auto"/>
          <w:sz w:val="24"/>
          <w:szCs w:val="24"/>
          <w:highlight w:val="none"/>
          <w:u w:val="single"/>
          <w:lang w:eastAsia="zh-CN"/>
        </w:rPr>
        <w:t>（单位名称）</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u w:val="single"/>
          <w:lang w:eastAsia="zh-CN"/>
        </w:rPr>
        <w:t>（</w:t>
      </w:r>
      <w:r>
        <w:rPr>
          <w:rFonts w:hint="eastAsia" w:ascii="仿宋" w:hAnsi="仿宋" w:eastAsia="仿宋" w:cs="仿宋"/>
          <w:bCs/>
          <w:color w:val="auto"/>
          <w:sz w:val="24"/>
          <w:szCs w:val="24"/>
          <w:highlight w:val="none"/>
          <w:lang w:eastAsia="zh-CN"/>
        </w:rPr>
        <w:t>标项名称</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lang w:eastAsia="zh-CN"/>
        </w:rPr>
        <w:t>采购活动， 提供的货物全部由符合政策要求的中小企业制造。 相关企业（含联合体中的中小企业、 签订分包意向协议的中小企业）的具体情况如下：</w:t>
      </w:r>
    </w:p>
    <w:p w14:paraId="0D312659">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1. </w:t>
      </w:r>
      <w:r>
        <w:rPr>
          <w:rFonts w:hint="eastAsia" w:ascii="仿宋_GB2312" w:hAnsi="仿宋_GB2312" w:eastAsia="仿宋_GB2312" w:cs="仿宋_GB2312"/>
          <w:color w:val="auto"/>
          <w:sz w:val="24"/>
          <w:szCs w:val="24"/>
          <w:highlight w:val="none"/>
          <w:u w:val="single"/>
          <w:lang w:eastAsia="zh-CN"/>
        </w:rPr>
        <w:t>（标的名称）</w:t>
      </w:r>
      <w:r>
        <w:rPr>
          <w:rFonts w:hint="eastAsia" w:ascii="仿宋_GB2312" w:hAnsi="仿宋_GB2312" w:eastAsia="仿宋_GB2312" w:cs="仿宋_GB2312"/>
          <w:color w:val="auto"/>
          <w:sz w:val="24"/>
          <w:szCs w:val="24"/>
          <w:highlight w:val="none"/>
          <w:lang w:eastAsia="zh-CN"/>
        </w:rPr>
        <w:t xml:space="preserve"> ， 属于</w:t>
      </w:r>
      <w:r>
        <w:rPr>
          <w:rFonts w:hint="eastAsia" w:ascii="仿宋_GB2312" w:hAnsi="仿宋_GB2312" w:eastAsia="仿宋_GB2312" w:cs="仿宋_GB2312"/>
          <w:color w:val="auto"/>
          <w:sz w:val="24"/>
          <w:szCs w:val="24"/>
          <w:highlight w:val="none"/>
          <w:u w:val="single"/>
          <w:lang w:eastAsia="zh-CN"/>
        </w:rPr>
        <w:t>（采购文件中明确的所属行业）行业</w:t>
      </w:r>
      <w:r>
        <w:rPr>
          <w:rFonts w:hint="eastAsia" w:ascii="仿宋_GB2312" w:hAnsi="仿宋_GB2312" w:eastAsia="仿宋_GB2312" w:cs="仿宋_GB2312"/>
          <w:color w:val="auto"/>
          <w:sz w:val="24"/>
          <w:szCs w:val="24"/>
          <w:highlight w:val="none"/>
          <w:lang w:eastAsia="zh-CN"/>
        </w:rPr>
        <w:t>； 制造商为</w:t>
      </w:r>
      <w:r>
        <w:rPr>
          <w:rFonts w:hint="eastAsia" w:ascii="仿宋_GB2312" w:hAnsi="仿宋_GB2312" w:eastAsia="仿宋_GB2312" w:cs="仿宋_GB2312"/>
          <w:color w:val="auto"/>
          <w:sz w:val="24"/>
          <w:szCs w:val="24"/>
          <w:highlight w:val="none"/>
          <w:u w:val="single"/>
          <w:lang w:eastAsia="zh-CN"/>
        </w:rPr>
        <w:t>（ 企业名称）</w:t>
      </w:r>
      <w:r>
        <w:rPr>
          <w:rFonts w:hint="eastAsia" w:ascii="仿宋_GB2312" w:hAnsi="仿宋_GB2312" w:eastAsia="仿宋_GB2312" w:cs="仿宋_GB2312"/>
          <w:color w:val="auto"/>
          <w:sz w:val="24"/>
          <w:szCs w:val="24"/>
          <w:highlight w:val="none"/>
          <w:lang w:eastAsia="zh-CN"/>
        </w:rPr>
        <w:t>， 从业人员</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人， 营业收入为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 资产总额为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w:t>
      </w:r>
      <w:r>
        <w:rPr>
          <w:rFonts w:hint="eastAsia" w:ascii="仿宋_GB2312" w:hAnsi="仿宋_GB2312" w:eastAsia="仿宋_GB2312" w:cs="仿宋_GB2312"/>
          <w:color w:val="auto"/>
          <w:sz w:val="24"/>
          <w:szCs w:val="24"/>
          <w:highlight w:val="none"/>
          <w:vertAlign w:val="superscript"/>
          <w:lang w:eastAsia="zh-CN"/>
        </w:rPr>
        <w:t>1</w:t>
      </w:r>
      <w:r>
        <w:rPr>
          <w:rFonts w:hint="eastAsia" w:ascii="仿宋_GB2312" w:hAnsi="仿宋_GB2312" w:eastAsia="仿宋_GB2312" w:cs="仿宋_GB2312"/>
          <w:color w:val="auto"/>
          <w:sz w:val="24"/>
          <w:szCs w:val="24"/>
          <w:highlight w:val="none"/>
          <w:lang w:eastAsia="zh-CN"/>
        </w:rPr>
        <w:t>， 属于（</w:t>
      </w:r>
      <w:r>
        <w:rPr>
          <w:rFonts w:hint="eastAsia" w:ascii="仿宋_GB2312" w:hAnsi="仿宋_GB2312" w:eastAsia="仿宋_GB2312" w:cs="仿宋_GB2312"/>
          <w:color w:val="auto"/>
          <w:sz w:val="24"/>
          <w:szCs w:val="24"/>
          <w:highlight w:val="none"/>
          <w:u w:val="single"/>
          <w:lang w:eastAsia="zh-CN"/>
        </w:rPr>
        <w:t>中型企业、 小型企业、 微型企业</w:t>
      </w:r>
      <w:r>
        <w:rPr>
          <w:rFonts w:hint="eastAsia" w:ascii="仿宋_GB2312" w:hAnsi="仿宋_GB2312" w:eastAsia="仿宋_GB2312" w:cs="仿宋_GB2312"/>
          <w:color w:val="auto"/>
          <w:sz w:val="24"/>
          <w:szCs w:val="24"/>
          <w:highlight w:val="none"/>
          <w:lang w:eastAsia="zh-CN"/>
        </w:rPr>
        <w:t>）；</w:t>
      </w:r>
    </w:p>
    <w:p w14:paraId="3198E8D1">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2. </w:t>
      </w:r>
      <w:r>
        <w:rPr>
          <w:rFonts w:hint="eastAsia" w:ascii="仿宋_GB2312" w:hAnsi="仿宋_GB2312" w:eastAsia="仿宋_GB2312" w:cs="仿宋_GB2312"/>
          <w:color w:val="auto"/>
          <w:sz w:val="24"/>
          <w:szCs w:val="24"/>
          <w:highlight w:val="none"/>
          <w:u w:val="single"/>
          <w:lang w:eastAsia="zh-CN"/>
        </w:rPr>
        <w:t>（标的名称）</w:t>
      </w:r>
      <w:r>
        <w:rPr>
          <w:rFonts w:hint="eastAsia" w:ascii="仿宋_GB2312" w:hAnsi="仿宋_GB2312" w:eastAsia="仿宋_GB2312" w:cs="仿宋_GB2312"/>
          <w:color w:val="auto"/>
          <w:sz w:val="24"/>
          <w:szCs w:val="24"/>
          <w:highlight w:val="none"/>
          <w:lang w:eastAsia="zh-CN"/>
        </w:rPr>
        <w:t xml:space="preserve"> ， 属于</w:t>
      </w:r>
      <w:r>
        <w:rPr>
          <w:rFonts w:hint="eastAsia" w:ascii="仿宋_GB2312" w:hAnsi="仿宋_GB2312" w:eastAsia="仿宋_GB2312" w:cs="仿宋_GB2312"/>
          <w:color w:val="auto"/>
          <w:sz w:val="24"/>
          <w:szCs w:val="24"/>
          <w:highlight w:val="none"/>
          <w:u w:val="single"/>
          <w:lang w:eastAsia="zh-CN"/>
        </w:rPr>
        <w:t>（采购文件中明确的所属行业）</w:t>
      </w:r>
      <w:r>
        <w:rPr>
          <w:rFonts w:hint="eastAsia" w:ascii="仿宋_GB2312" w:hAnsi="仿宋_GB2312" w:eastAsia="仿宋_GB2312" w:cs="仿宋_GB2312"/>
          <w:color w:val="auto"/>
          <w:sz w:val="24"/>
          <w:szCs w:val="24"/>
          <w:highlight w:val="none"/>
          <w:lang w:eastAsia="zh-CN"/>
        </w:rPr>
        <w:t>行业； 制造商为</w:t>
      </w:r>
      <w:r>
        <w:rPr>
          <w:rFonts w:hint="eastAsia" w:ascii="仿宋_GB2312" w:hAnsi="仿宋_GB2312" w:eastAsia="仿宋_GB2312" w:cs="仿宋_GB2312"/>
          <w:color w:val="auto"/>
          <w:sz w:val="24"/>
          <w:szCs w:val="24"/>
          <w:highlight w:val="none"/>
          <w:u w:val="single"/>
          <w:lang w:eastAsia="zh-CN"/>
        </w:rPr>
        <w:t>（ 企业名称）</w:t>
      </w:r>
      <w:r>
        <w:rPr>
          <w:rFonts w:hint="eastAsia" w:ascii="仿宋_GB2312" w:hAnsi="仿宋_GB2312" w:eastAsia="仿宋_GB2312" w:cs="仿宋_GB2312"/>
          <w:color w:val="auto"/>
          <w:sz w:val="24"/>
          <w:szCs w:val="24"/>
          <w:highlight w:val="none"/>
          <w:lang w:eastAsia="zh-CN"/>
        </w:rPr>
        <w:t>， 从业人员</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人， 营业收为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 资产总额为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 属于</w:t>
      </w:r>
      <w:r>
        <w:rPr>
          <w:rFonts w:hint="eastAsia" w:ascii="仿宋_GB2312" w:hAnsi="仿宋_GB2312" w:eastAsia="仿宋_GB2312" w:cs="仿宋_GB2312"/>
          <w:color w:val="auto"/>
          <w:sz w:val="24"/>
          <w:szCs w:val="24"/>
          <w:highlight w:val="none"/>
          <w:u w:val="single"/>
          <w:lang w:eastAsia="zh-CN"/>
        </w:rPr>
        <w:t>（中型企业、 小型企业、 微型企业）</w:t>
      </w:r>
      <w:r>
        <w:rPr>
          <w:rFonts w:hint="eastAsia" w:ascii="仿宋_GB2312" w:hAnsi="仿宋_GB2312" w:eastAsia="仿宋_GB2312" w:cs="仿宋_GB2312"/>
          <w:color w:val="auto"/>
          <w:sz w:val="24"/>
          <w:szCs w:val="24"/>
          <w:highlight w:val="none"/>
          <w:lang w:eastAsia="zh-CN"/>
        </w:rPr>
        <w:t>；</w:t>
      </w:r>
    </w:p>
    <w:p w14:paraId="52287483">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p w14:paraId="750AB694">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以上企业， 不属于大企业的分支机构， 不存在控股股东为大企业的情形， 也不存在与大企业的负责人为同一人的情形。</w:t>
      </w:r>
    </w:p>
    <w:p w14:paraId="370B48AC">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本企业对上述声明内容的真实性负责。 如有虚假， 将依法承担相应责任。</w:t>
      </w:r>
    </w:p>
    <w:p w14:paraId="46EFC088">
      <w:pPr>
        <w:spacing w:line="440" w:lineRule="exact"/>
        <w:ind w:firstLine="480" w:firstLineChars="200"/>
        <w:jc w:val="right"/>
        <w:rPr>
          <w:rFonts w:ascii="仿宋_GB2312" w:hAnsi="仿宋_GB2312" w:eastAsia="仿宋_GB2312" w:cs="仿宋_GB2312"/>
          <w:color w:val="auto"/>
          <w:sz w:val="24"/>
          <w:szCs w:val="24"/>
          <w:highlight w:val="none"/>
          <w:lang w:eastAsia="zh-CN"/>
        </w:rPr>
      </w:pPr>
    </w:p>
    <w:p w14:paraId="76B9F745">
      <w:pPr>
        <w:spacing w:line="440" w:lineRule="exact"/>
        <w:ind w:firstLine="480" w:firstLineChars="200"/>
        <w:jc w:val="righ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企业名称（盖章）：        </w:t>
      </w:r>
    </w:p>
    <w:p w14:paraId="57501869">
      <w:pPr>
        <w:pStyle w:val="10"/>
        <w:spacing w:before="75" w:line="236" w:lineRule="auto"/>
        <w:ind w:left="17" w:right="159" w:firstLine="485"/>
        <w:jc w:val="center"/>
        <w:rPr>
          <w:rFonts w:ascii="仿宋_GB2312" w:hAnsi="仿宋_GB2312" w:eastAsia="仿宋_GB2312" w:cs="仿宋_GB2312"/>
          <w:color w:val="auto"/>
          <w:spacing w:val="9"/>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日 期：  </w:t>
      </w:r>
    </w:p>
    <w:p w14:paraId="36C56836">
      <w:pPr>
        <w:pStyle w:val="10"/>
        <w:spacing w:before="75" w:line="236" w:lineRule="auto"/>
        <w:ind w:left="17" w:right="159" w:firstLine="485"/>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9"/>
          <w:sz w:val="23"/>
          <w:szCs w:val="23"/>
          <w:highlight w:val="none"/>
          <w:lang w:eastAsia="zh-CN"/>
        </w:rPr>
        <w:t xml:space="preserve">注：1、从业人员、营业收入、资产总额填报上一年度数据，无上一年度数据的新成立 </w:t>
      </w:r>
      <w:r>
        <w:rPr>
          <w:rFonts w:hint="eastAsia" w:ascii="仿宋_GB2312" w:hAnsi="仿宋_GB2312" w:eastAsia="仿宋_GB2312" w:cs="仿宋_GB2312"/>
          <w:color w:val="auto"/>
          <w:spacing w:val="2"/>
          <w:sz w:val="23"/>
          <w:szCs w:val="23"/>
          <w:highlight w:val="none"/>
          <w:lang w:eastAsia="zh-CN"/>
        </w:rPr>
        <w:t>企业可不填报。</w:t>
      </w:r>
    </w:p>
    <w:p w14:paraId="4E3BA0F4">
      <w:pPr>
        <w:pStyle w:val="10"/>
        <w:spacing w:before="12" w:line="238" w:lineRule="auto"/>
        <w:ind w:left="15" w:right="39" w:firstLine="476"/>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9"/>
          <w:sz w:val="23"/>
          <w:szCs w:val="23"/>
          <w:highlight w:val="none"/>
          <w:lang w:eastAsia="zh-CN"/>
        </w:rPr>
        <w:t>2、所有潜在投标供应商在做出以上声明前，需根据《关于印发中小企业划型标准规定</w:t>
      </w:r>
      <w:r>
        <w:rPr>
          <w:rFonts w:hint="eastAsia" w:ascii="仿宋_GB2312" w:hAnsi="仿宋_GB2312" w:eastAsia="仿宋_GB2312" w:cs="仿宋_GB2312"/>
          <w:color w:val="auto"/>
          <w:spacing w:val="1"/>
          <w:sz w:val="23"/>
          <w:szCs w:val="23"/>
          <w:highlight w:val="none"/>
          <w:lang w:eastAsia="zh-CN"/>
        </w:rPr>
        <w:t xml:space="preserve">  </w:t>
      </w:r>
      <w:r>
        <w:rPr>
          <w:rFonts w:hint="eastAsia" w:ascii="仿宋_GB2312" w:hAnsi="仿宋_GB2312" w:eastAsia="仿宋_GB2312" w:cs="仿宋_GB2312"/>
          <w:color w:val="auto"/>
          <w:spacing w:val="10"/>
          <w:sz w:val="23"/>
          <w:szCs w:val="23"/>
          <w:highlight w:val="none"/>
          <w:lang w:eastAsia="zh-CN"/>
        </w:rPr>
        <w:t>的通知》、《政府采购促进中小企业发展管理办法》</w:t>
      </w:r>
      <w:r>
        <w:rPr>
          <w:rFonts w:hint="eastAsia" w:ascii="仿宋_GB2312" w:hAnsi="仿宋_GB2312" w:eastAsia="仿宋_GB2312" w:cs="仿宋_GB2312"/>
          <w:color w:val="auto"/>
          <w:spacing w:val="9"/>
          <w:sz w:val="23"/>
          <w:szCs w:val="23"/>
          <w:highlight w:val="none"/>
          <w:lang w:eastAsia="zh-CN"/>
        </w:rPr>
        <w:t>的相应内容，确定自身是否可以享受中</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10"/>
          <w:sz w:val="23"/>
          <w:szCs w:val="23"/>
          <w:highlight w:val="none"/>
          <w:lang w:eastAsia="zh-CN"/>
        </w:rPr>
        <w:t>小企业政策。如可以享受中小企业政策的供应商，按</w:t>
      </w:r>
      <w:r>
        <w:rPr>
          <w:rFonts w:hint="eastAsia" w:ascii="仿宋_GB2312" w:hAnsi="仿宋_GB2312" w:eastAsia="仿宋_GB2312" w:cs="仿宋_GB2312"/>
          <w:color w:val="auto"/>
          <w:spacing w:val="9"/>
          <w:sz w:val="23"/>
          <w:szCs w:val="23"/>
          <w:highlight w:val="none"/>
          <w:lang w:eastAsia="zh-CN"/>
        </w:rPr>
        <w:t>照如上声明函的内容如实填写，若不满</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足中小企业政策的供应商，请不要填写。</w:t>
      </w:r>
    </w:p>
    <w:p w14:paraId="609A9977">
      <w:pPr>
        <w:pStyle w:val="10"/>
        <w:spacing w:before="17" w:line="237" w:lineRule="auto"/>
        <w:ind w:left="19" w:right="39" w:firstLine="474"/>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8"/>
          <w:sz w:val="23"/>
          <w:szCs w:val="23"/>
          <w:highlight w:val="none"/>
          <w:lang w:eastAsia="zh-CN"/>
        </w:rPr>
        <w:t>3、如供应商属于监狱企业，需按照《财政部司法部关于政府采购支持监狱企业发展有</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关问题的通知》规定， 提供由省级以上监</w:t>
      </w:r>
      <w:r>
        <w:rPr>
          <w:rFonts w:hint="eastAsia" w:ascii="仿宋_GB2312" w:hAnsi="仿宋_GB2312" w:eastAsia="仿宋_GB2312" w:cs="仿宋_GB2312"/>
          <w:color w:val="auto"/>
          <w:spacing w:val="6"/>
          <w:sz w:val="23"/>
          <w:szCs w:val="23"/>
          <w:highlight w:val="none"/>
          <w:lang w:eastAsia="zh-CN"/>
        </w:rPr>
        <w:t>狱管理局、戒毒管理局（含新疆生产建设兵团）出</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具的属于监狱企业证明文件的，视同为小型和微型企业。</w:t>
      </w:r>
    </w:p>
    <w:p w14:paraId="25FE487E">
      <w:pPr>
        <w:pStyle w:val="10"/>
        <w:spacing w:before="11" w:line="235" w:lineRule="auto"/>
        <w:ind w:left="18" w:right="177" w:firstLine="469"/>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9"/>
          <w:sz w:val="23"/>
          <w:szCs w:val="23"/>
          <w:highlight w:val="none"/>
          <w:lang w:eastAsia="zh-CN"/>
        </w:rPr>
        <w:t>4、如供应商属于残疾人福利性单位，需按照《关于促进残疾人就业政府采购政策的通</w:t>
      </w:r>
      <w:r>
        <w:rPr>
          <w:rFonts w:hint="eastAsia" w:ascii="仿宋_GB2312" w:hAnsi="仿宋_GB2312" w:eastAsia="仿宋_GB2312" w:cs="仿宋_GB2312"/>
          <w:color w:val="auto"/>
          <w:spacing w:val="5"/>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知》（财库〔2017〕141</w:t>
      </w:r>
      <w:r>
        <w:rPr>
          <w:rFonts w:hint="eastAsia" w:ascii="仿宋_GB2312" w:hAnsi="仿宋_GB2312" w:eastAsia="仿宋_GB2312" w:cs="仿宋_GB2312"/>
          <w:color w:val="auto"/>
          <w:spacing w:val="-31"/>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号）内容的要求，提供《残疾人福利性单位声明函》。</w:t>
      </w:r>
    </w:p>
    <w:p w14:paraId="272FD095">
      <w:pPr>
        <w:pStyle w:val="10"/>
        <w:spacing w:before="12" w:line="238" w:lineRule="auto"/>
        <w:ind w:left="15" w:right="39" w:firstLine="476"/>
        <w:rPr>
          <w:rFonts w:ascii="仿宋_GB2312" w:hAnsi="仿宋_GB2312" w:eastAsia="仿宋_GB2312" w:cs="仿宋_GB2312"/>
          <w:color w:val="auto"/>
          <w:spacing w:val="7"/>
          <w:sz w:val="23"/>
          <w:szCs w:val="23"/>
          <w:highlight w:val="none"/>
          <w:lang w:eastAsia="zh-CN"/>
        </w:rPr>
      </w:pPr>
      <w:r>
        <w:rPr>
          <w:rFonts w:hint="eastAsia" w:ascii="仿宋_GB2312" w:hAnsi="仿宋_GB2312" w:eastAsia="仿宋_GB2312" w:cs="仿宋_GB2312"/>
          <w:b/>
          <w:bCs/>
          <w:color w:val="auto"/>
          <w:spacing w:val="7"/>
          <w:sz w:val="23"/>
          <w:szCs w:val="23"/>
          <w:highlight w:val="none"/>
          <w:lang w:eastAsia="zh-CN"/>
        </w:rPr>
        <w:t>5、</w:t>
      </w:r>
      <w:r>
        <w:rPr>
          <w:rFonts w:hint="eastAsia" w:ascii="仿宋_GB2312" w:hAnsi="仿宋_GB2312" w:eastAsia="仿宋_GB2312" w:cs="仿宋_GB2312"/>
          <w:color w:val="auto"/>
          <w:spacing w:val="-60"/>
          <w:sz w:val="23"/>
          <w:szCs w:val="23"/>
          <w:highlight w:val="none"/>
          <w:lang w:eastAsia="zh-CN"/>
        </w:rPr>
        <w:t xml:space="preserve"> </w:t>
      </w:r>
      <w:r>
        <w:rPr>
          <w:rFonts w:hint="eastAsia" w:ascii="仿宋_GB2312" w:hAnsi="仿宋_GB2312" w:eastAsia="仿宋_GB2312" w:cs="仿宋_GB2312"/>
          <w:b/>
          <w:bCs/>
          <w:color w:val="auto"/>
          <w:spacing w:val="7"/>
          <w:sz w:val="23"/>
          <w:szCs w:val="23"/>
          <w:highlight w:val="none"/>
          <w:lang w:eastAsia="zh-CN"/>
        </w:rPr>
        <w:t>中小企业声明函务必按照采购文件给定格式</w:t>
      </w:r>
      <w:r>
        <w:rPr>
          <w:rFonts w:hint="eastAsia" w:ascii="仿宋_GB2312" w:hAnsi="仿宋_GB2312" w:eastAsia="仿宋_GB2312" w:cs="仿宋_GB2312"/>
          <w:b/>
          <w:bCs/>
          <w:color w:val="auto"/>
          <w:spacing w:val="6"/>
          <w:sz w:val="23"/>
          <w:szCs w:val="23"/>
          <w:highlight w:val="none"/>
          <w:lang w:eastAsia="zh-CN"/>
        </w:rPr>
        <w:t>提供，根据中小企业划型标准规定（工</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b/>
          <w:bCs/>
          <w:color w:val="auto"/>
          <w:spacing w:val="6"/>
          <w:sz w:val="23"/>
          <w:szCs w:val="23"/>
          <w:highlight w:val="none"/>
          <w:lang w:eastAsia="zh-CN"/>
        </w:rPr>
        <w:t>信部联企业【2011】300</w:t>
      </w:r>
      <w:r>
        <w:rPr>
          <w:rFonts w:hint="eastAsia" w:ascii="仿宋_GB2312" w:hAnsi="仿宋_GB2312" w:eastAsia="仿宋_GB2312" w:cs="仿宋_GB2312"/>
          <w:color w:val="auto"/>
          <w:spacing w:val="-30"/>
          <w:sz w:val="23"/>
          <w:szCs w:val="23"/>
          <w:highlight w:val="none"/>
          <w:lang w:eastAsia="zh-CN"/>
        </w:rPr>
        <w:t xml:space="preserve"> </w:t>
      </w:r>
      <w:r>
        <w:rPr>
          <w:rFonts w:hint="eastAsia" w:ascii="仿宋_GB2312" w:hAnsi="仿宋_GB2312" w:eastAsia="仿宋_GB2312" w:cs="仿宋_GB2312"/>
          <w:b/>
          <w:bCs/>
          <w:color w:val="auto"/>
          <w:spacing w:val="6"/>
          <w:sz w:val="23"/>
          <w:szCs w:val="23"/>
          <w:highlight w:val="none"/>
          <w:lang w:eastAsia="zh-CN"/>
        </w:rPr>
        <w:t>号</w:t>
      </w:r>
      <w:r>
        <w:rPr>
          <w:rFonts w:hint="eastAsia" w:ascii="仿宋_GB2312" w:hAnsi="仿宋_GB2312" w:eastAsia="仿宋_GB2312" w:cs="仿宋_GB2312"/>
          <w:b/>
          <w:bCs/>
          <w:color w:val="auto"/>
          <w:spacing w:val="-9"/>
          <w:sz w:val="23"/>
          <w:szCs w:val="23"/>
          <w:highlight w:val="none"/>
          <w:lang w:eastAsia="zh-CN"/>
        </w:rPr>
        <w:t>），</w:t>
      </w:r>
      <w:r>
        <w:rPr>
          <w:rFonts w:hint="eastAsia" w:ascii="仿宋_GB2312" w:hAnsi="仿宋_GB2312" w:eastAsia="仿宋_GB2312" w:cs="仿宋_GB2312"/>
          <w:b/>
          <w:bCs/>
          <w:color w:val="auto"/>
          <w:spacing w:val="6"/>
          <w:sz w:val="23"/>
          <w:szCs w:val="23"/>
          <w:highlight w:val="none"/>
          <w:lang w:eastAsia="zh-CN"/>
        </w:rPr>
        <w:t>自行勾选企业类</w:t>
      </w:r>
      <w:r>
        <w:rPr>
          <w:rFonts w:hint="eastAsia" w:ascii="仿宋_GB2312" w:hAnsi="仿宋_GB2312" w:eastAsia="仿宋_GB2312" w:cs="仿宋_GB2312"/>
          <w:b/>
          <w:bCs/>
          <w:color w:val="auto"/>
          <w:spacing w:val="5"/>
          <w:sz w:val="23"/>
          <w:szCs w:val="23"/>
          <w:highlight w:val="none"/>
          <w:lang w:eastAsia="zh-CN"/>
        </w:rPr>
        <w:t>型。</w:t>
      </w:r>
      <w:r>
        <w:rPr>
          <w:rFonts w:hint="eastAsia" w:ascii="仿宋_GB2312" w:hAnsi="仿宋_GB2312" w:eastAsia="仿宋_GB2312" w:cs="仿宋_GB2312"/>
          <w:color w:val="auto"/>
          <w:spacing w:val="-65"/>
          <w:sz w:val="23"/>
          <w:szCs w:val="23"/>
          <w:highlight w:val="none"/>
          <w:lang w:eastAsia="zh-CN"/>
        </w:rPr>
        <w:t xml:space="preserve"> </w:t>
      </w:r>
      <w:r>
        <w:rPr>
          <w:rFonts w:hint="eastAsia" w:ascii="仿宋_GB2312" w:hAnsi="仿宋_GB2312" w:eastAsia="仿宋_GB2312" w:cs="仿宋_GB2312"/>
          <w:color w:val="auto"/>
          <w:spacing w:val="5"/>
          <w:sz w:val="23"/>
          <w:szCs w:val="23"/>
          <w:highlight w:val="none"/>
          <w:lang w:eastAsia="zh-CN"/>
        </w:rPr>
        <w:t>如存在虚假声明或未按实际内容填写，</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供应商需承担由此产生的一切后果及相应的法律责任。</w:t>
      </w:r>
    </w:p>
    <w:p w14:paraId="7061B08E">
      <w:pPr>
        <w:pStyle w:val="10"/>
        <w:spacing w:before="12" w:line="238" w:lineRule="auto"/>
        <w:ind w:left="15" w:right="39" w:firstLine="476"/>
        <w:rPr>
          <w:rFonts w:ascii="仿宋_GB2312" w:hAnsi="仿宋_GB2312" w:eastAsia="仿宋_GB2312" w:cs="仿宋_GB2312"/>
          <w:color w:val="auto"/>
          <w:spacing w:val="7"/>
          <w:sz w:val="23"/>
          <w:szCs w:val="23"/>
          <w:highlight w:val="none"/>
          <w:lang w:eastAsia="zh-CN"/>
        </w:rPr>
      </w:pPr>
      <w:r>
        <w:rPr>
          <w:rFonts w:hint="eastAsia" w:ascii="仿宋_GB2312" w:hAnsi="仿宋_GB2312" w:eastAsia="仿宋_GB2312" w:cs="仿宋_GB2312"/>
          <w:color w:val="auto"/>
          <w:spacing w:val="7"/>
          <w:sz w:val="23"/>
          <w:szCs w:val="23"/>
          <w:highlight w:val="none"/>
          <w:lang w:eastAsia="zh-CN"/>
        </w:rPr>
        <w:t>6、后附中小企业划型标准的部分内容。</w:t>
      </w:r>
    </w:p>
    <w:p w14:paraId="6EBF1BEA">
      <w:pPr>
        <w:rPr>
          <w:rFonts w:ascii="仿宋" w:hAnsi="仿宋" w:eastAsia="仿宋" w:cs="仿宋"/>
          <w:b/>
          <w:color w:val="auto"/>
          <w:spacing w:val="6"/>
          <w:sz w:val="24"/>
          <w:szCs w:val="24"/>
          <w:highlight w:val="none"/>
          <w:shd w:val="clear" w:color="auto" w:fill="FFFFFF" w:themeFill="background1"/>
          <w:lang w:eastAsia="zh-CN"/>
        </w:rPr>
      </w:pPr>
      <w:r>
        <w:rPr>
          <w:rFonts w:hint="eastAsia" w:ascii="仿宋" w:hAnsi="仿宋" w:eastAsia="仿宋" w:cs="仿宋"/>
          <w:b/>
          <w:color w:val="auto"/>
          <w:spacing w:val="6"/>
          <w:sz w:val="24"/>
          <w:szCs w:val="24"/>
          <w:highlight w:val="none"/>
          <w:shd w:val="clear" w:color="auto" w:fill="FFFFFF" w:themeFill="background1"/>
          <w:lang w:eastAsia="zh-CN"/>
        </w:rPr>
        <w:br w:type="page"/>
      </w:r>
    </w:p>
    <w:p w14:paraId="349EC23D">
      <w:pPr>
        <w:spacing w:line="588" w:lineRule="exact"/>
        <w:rPr>
          <w:rFonts w:ascii="仿宋" w:hAnsi="仿宋" w:eastAsia="仿宋" w:cs="仿宋"/>
          <w:color w:val="auto"/>
          <w:spacing w:val="6"/>
          <w:sz w:val="24"/>
          <w:szCs w:val="24"/>
          <w:highlight w:val="none"/>
          <w:lang w:eastAsia="zh-CN"/>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b/>
          <w:color w:val="auto"/>
          <w:sz w:val="24"/>
          <w:szCs w:val="24"/>
          <w:highlight w:val="none"/>
          <w:lang w:eastAsia="zh-CN"/>
        </w:rPr>
        <w:t>附件二、</w:t>
      </w:r>
    </w:p>
    <w:p w14:paraId="498E7D18">
      <w:pPr>
        <w:spacing w:line="360" w:lineRule="auto"/>
        <w:jc w:val="center"/>
        <w:rPr>
          <w:rFonts w:ascii="仿宋" w:hAnsi="仿宋" w:eastAsia="仿宋" w:cs="仿宋"/>
          <w:b/>
          <w:color w:val="auto"/>
          <w:spacing w:val="6"/>
          <w:sz w:val="24"/>
          <w:szCs w:val="24"/>
          <w:highlight w:val="none"/>
          <w:lang w:eastAsia="zh-CN"/>
        </w:rPr>
      </w:pPr>
      <w:r>
        <w:rPr>
          <w:rFonts w:hint="eastAsia" w:ascii="仿宋" w:hAnsi="仿宋" w:eastAsia="仿宋" w:cs="仿宋"/>
          <w:b/>
          <w:color w:val="auto"/>
          <w:spacing w:val="6"/>
          <w:sz w:val="24"/>
          <w:szCs w:val="24"/>
          <w:highlight w:val="none"/>
          <w:lang w:eastAsia="zh-CN"/>
        </w:rPr>
        <w:t>残疾人福利性单位声明函</w:t>
      </w:r>
    </w:p>
    <w:p w14:paraId="7A61E0E0">
      <w:pPr>
        <w:spacing w:line="360" w:lineRule="auto"/>
        <w:rPr>
          <w:rFonts w:ascii="仿宋" w:hAnsi="仿宋" w:eastAsia="仿宋" w:cs="仿宋"/>
          <w:b/>
          <w:color w:val="auto"/>
          <w:spacing w:val="6"/>
          <w:sz w:val="24"/>
          <w:szCs w:val="24"/>
          <w:highlight w:val="none"/>
          <w:lang w:eastAsia="zh-CN"/>
        </w:rPr>
      </w:pPr>
    </w:p>
    <w:p w14:paraId="17FCE571">
      <w:pPr>
        <w:spacing w:line="360" w:lineRule="auto"/>
        <w:ind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lang w:eastAsia="zh-CN"/>
        </w:rPr>
        <w:t>〔2017〕 141</w:t>
      </w:r>
      <w:r>
        <w:rPr>
          <w:rFonts w:hint="eastAsia" w:ascii="仿宋" w:hAnsi="仿宋" w:eastAsia="仿宋" w:cs="仿宋"/>
          <w:color w:val="auto"/>
          <w:spacing w:val="6"/>
          <w:sz w:val="24"/>
          <w:szCs w:val="24"/>
          <w:highlight w:val="none"/>
          <w:lang w:eastAsia="zh-CN"/>
        </w:rPr>
        <w:t>号）的规定，本单位为符合条件的残疾人福利性单位，且本单位参加</w:t>
      </w:r>
      <w:r>
        <w:rPr>
          <w:rFonts w:hint="eastAsia" w:ascii="仿宋" w:hAnsi="仿宋" w:eastAsia="仿宋" w:cs="仿宋"/>
          <w:color w:val="auto"/>
          <w:sz w:val="24"/>
          <w:szCs w:val="24"/>
          <w:highlight w:val="none"/>
          <w:u w:val="single"/>
          <w:lang w:eastAsia="zh-CN"/>
        </w:rPr>
        <w:t xml:space="preserve">  /  </w:t>
      </w:r>
      <w:r>
        <w:rPr>
          <w:rFonts w:hint="eastAsia" w:ascii="仿宋" w:hAnsi="仿宋" w:eastAsia="仿宋" w:cs="仿宋"/>
          <w:color w:val="auto"/>
          <w:spacing w:val="6"/>
          <w:sz w:val="24"/>
          <w:szCs w:val="24"/>
          <w:highlight w:val="none"/>
          <w:lang w:eastAsia="zh-CN"/>
        </w:rPr>
        <w:t>单位的</w:t>
      </w:r>
      <w:r>
        <w:rPr>
          <w:rFonts w:hint="eastAsia" w:ascii="仿宋" w:hAnsi="仿宋" w:eastAsia="仿宋" w:cs="仿宋"/>
          <w:color w:val="auto"/>
          <w:sz w:val="24"/>
          <w:szCs w:val="24"/>
          <w:highlight w:val="none"/>
          <w:u w:val="single"/>
          <w:lang w:eastAsia="zh-CN"/>
        </w:rPr>
        <w:t xml:space="preserve">  /  </w:t>
      </w:r>
      <w:r>
        <w:rPr>
          <w:rFonts w:hint="eastAsia" w:ascii="仿宋" w:hAnsi="仿宋" w:eastAsia="仿宋" w:cs="仿宋"/>
          <w:color w:val="auto"/>
          <w:spacing w:val="6"/>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5BFAE176">
      <w:pPr>
        <w:spacing w:line="360" w:lineRule="auto"/>
        <w:ind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本单位对上述声明的真实性负责。如有虚假，将依法承担相应责任。</w:t>
      </w:r>
    </w:p>
    <w:p w14:paraId="42A85BA9">
      <w:pPr>
        <w:spacing w:line="360" w:lineRule="auto"/>
        <w:ind w:firstLine="504" w:firstLineChars="200"/>
        <w:rPr>
          <w:rFonts w:ascii="仿宋" w:hAnsi="仿宋" w:eastAsia="仿宋" w:cs="仿宋"/>
          <w:color w:val="auto"/>
          <w:spacing w:val="6"/>
          <w:sz w:val="24"/>
          <w:szCs w:val="24"/>
          <w:highlight w:val="none"/>
          <w:lang w:eastAsia="zh-CN"/>
        </w:rPr>
      </w:pPr>
    </w:p>
    <w:p w14:paraId="4FD13C88">
      <w:pPr>
        <w:spacing w:line="360" w:lineRule="auto"/>
        <w:ind w:firstLine="504" w:firstLineChars="200"/>
        <w:rPr>
          <w:rFonts w:ascii="仿宋" w:hAnsi="仿宋" w:eastAsia="仿宋" w:cs="仿宋"/>
          <w:color w:val="auto"/>
          <w:spacing w:val="6"/>
          <w:sz w:val="24"/>
          <w:szCs w:val="24"/>
          <w:highlight w:val="none"/>
          <w:lang w:eastAsia="zh-CN"/>
        </w:rPr>
      </w:pPr>
    </w:p>
    <w:p w14:paraId="290C1AF4">
      <w:pPr>
        <w:tabs>
          <w:tab w:val="left" w:pos="4860"/>
        </w:tabs>
        <w:spacing w:line="360" w:lineRule="auto"/>
        <w:ind w:right="1560"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单位名称（盖章）：</w:t>
      </w:r>
    </w:p>
    <w:p w14:paraId="5072CB8C">
      <w:pPr>
        <w:tabs>
          <w:tab w:val="left" w:pos="4860"/>
        </w:tabs>
        <w:spacing w:line="360" w:lineRule="auto"/>
        <w:ind w:right="1560" w:firstLine="504" w:firstLineChars="200"/>
        <w:jc w:val="center"/>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 xml:space="preserve">                                           日  期：</w:t>
      </w:r>
    </w:p>
    <w:p w14:paraId="5EF78995">
      <w:pPr>
        <w:spacing w:line="360" w:lineRule="auto"/>
        <w:rPr>
          <w:rFonts w:ascii="仿宋" w:hAnsi="仿宋" w:eastAsia="仿宋" w:cs="仿宋"/>
          <w:color w:val="auto"/>
          <w:sz w:val="24"/>
          <w:szCs w:val="24"/>
          <w:highlight w:val="none"/>
          <w:lang w:eastAsia="zh-CN"/>
        </w:rPr>
      </w:pPr>
    </w:p>
    <w:p w14:paraId="5965FD28">
      <w:pPr>
        <w:spacing w:line="360" w:lineRule="auto"/>
        <w:rPr>
          <w:rFonts w:ascii="仿宋" w:hAnsi="仿宋" w:eastAsia="仿宋" w:cs="仿宋"/>
          <w:color w:val="auto"/>
          <w:sz w:val="24"/>
          <w:szCs w:val="24"/>
          <w:highlight w:val="none"/>
          <w:lang w:eastAsia="zh-CN"/>
        </w:rPr>
      </w:pPr>
    </w:p>
    <w:p w14:paraId="38ADD42E">
      <w:pPr>
        <w:spacing w:line="360" w:lineRule="auto"/>
        <w:rPr>
          <w:rFonts w:ascii="仿宋" w:hAnsi="仿宋" w:eastAsia="仿宋" w:cs="仿宋"/>
          <w:color w:val="auto"/>
          <w:sz w:val="24"/>
          <w:szCs w:val="24"/>
          <w:highlight w:val="none"/>
          <w:lang w:eastAsia="zh-CN"/>
        </w:rPr>
      </w:pPr>
    </w:p>
    <w:p w14:paraId="7FB1AAB8">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b/>
          <w:color w:val="auto"/>
          <w:sz w:val="24"/>
          <w:szCs w:val="24"/>
          <w:highlight w:val="none"/>
          <w:lang w:eastAsia="zh-CN"/>
        </w:rPr>
        <w:t>附件三、</w:t>
      </w:r>
    </w:p>
    <w:p w14:paraId="5DEF5605">
      <w:pPr>
        <w:spacing w:line="360" w:lineRule="auto"/>
        <w:jc w:val="center"/>
        <w:rPr>
          <w:rFonts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lang w:eastAsia="zh-CN"/>
        </w:rPr>
        <w:t>监狱企业证明文件</w:t>
      </w:r>
    </w:p>
    <w:p w14:paraId="41C3DD5A">
      <w:pPr>
        <w:spacing w:line="360" w:lineRule="auto"/>
        <w:ind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监狱企业参加政府采购活动时，应当提供由省级以上监狱管理局、戒毒管理局（含新疆生产建设兵团）出具的属于监狱企业的证明文件。</w:t>
      </w:r>
    </w:p>
    <w:p w14:paraId="120F8FE1">
      <w:pPr>
        <w:spacing w:line="360" w:lineRule="auto"/>
        <w:rPr>
          <w:rFonts w:ascii="仿宋" w:hAnsi="仿宋" w:eastAsia="仿宋" w:cs="仿宋"/>
          <w:color w:val="auto"/>
          <w:sz w:val="24"/>
          <w:szCs w:val="24"/>
          <w:highlight w:val="none"/>
          <w:lang w:eastAsia="zh-CN"/>
        </w:rPr>
      </w:pPr>
    </w:p>
    <w:p w14:paraId="7A0F5778">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399B814B">
      <w:pPr>
        <w:tabs>
          <w:tab w:val="left" w:pos="0"/>
        </w:tabs>
        <w:spacing w:line="360" w:lineRule="auto"/>
        <w:ind w:firstLine="480"/>
        <w:rPr>
          <w:rFonts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附：中小微企业划型标准</w:t>
      </w:r>
    </w:p>
    <w:tbl>
      <w:tblPr>
        <w:tblStyle w:val="26"/>
        <w:tblW w:w="9438" w:type="dxa"/>
        <w:tblInd w:w="250" w:type="dxa"/>
        <w:tblLayout w:type="fixed"/>
        <w:tblCellMar>
          <w:top w:w="0" w:type="dxa"/>
          <w:left w:w="108" w:type="dxa"/>
          <w:bottom w:w="0" w:type="dxa"/>
          <w:right w:w="108" w:type="dxa"/>
        </w:tblCellMar>
      </w:tblPr>
      <w:tblGrid>
        <w:gridCol w:w="1833"/>
        <w:gridCol w:w="1680"/>
        <w:gridCol w:w="794"/>
        <w:gridCol w:w="1744"/>
        <w:gridCol w:w="2013"/>
        <w:gridCol w:w="1374"/>
      </w:tblGrid>
      <w:tr w14:paraId="02A9A337">
        <w:tblPrEx>
          <w:tblCellMar>
            <w:top w:w="0" w:type="dxa"/>
            <w:left w:w="108" w:type="dxa"/>
            <w:bottom w:w="0" w:type="dxa"/>
            <w:right w:w="108" w:type="dxa"/>
          </w:tblCellMar>
        </w:tblPrEx>
        <w:trPr>
          <w:trHeight w:val="607" w:hRule="atLeast"/>
        </w:trPr>
        <w:tc>
          <w:tcPr>
            <w:tcW w:w="1833" w:type="dxa"/>
            <w:tcBorders>
              <w:top w:val="single" w:color="auto" w:sz="4" w:space="0"/>
              <w:left w:val="single" w:color="auto" w:sz="4" w:space="0"/>
              <w:bottom w:val="single" w:color="auto" w:sz="4" w:space="0"/>
              <w:right w:val="single" w:color="auto" w:sz="4" w:space="0"/>
            </w:tcBorders>
            <w:vAlign w:val="center"/>
          </w:tcPr>
          <w:p w14:paraId="1DBBE6E6">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行业名称</w:t>
            </w:r>
          </w:p>
        </w:tc>
        <w:tc>
          <w:tcPr>
            <w:tcW w:w="1680" w:type="dxa"/>
            <w:tcBorders>
              <w:top w:val="single" w:color="auto" w:sz="4" w:space="0"/>
              <w:left w:val="nil"/>
              <w:bottom w:val="single" w:color="auto" w:sz="4" w:space="0"/>
              <w:right w:val="single" w:color="auto" w:sz="4" w:space="0"/>
            </w:tcBorders>
            <w:vAlign w:val="center"/>
          </w:tcPr>
          <w:p w14:paraId="4C95D86D">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指标名称</w:t>
            </w:r>
          </w:p>
        </w:tc>
        <w:tc>
          <w:tcPr>
            <w:tcW w:w="794" w:type="dxa"/>
            <w:tcBorders>
              <w:top w:val="single" w:color="auto" w:sz="4" w:space="0"/>
              <w:left w:val="nil"/>
              <w:bottom w:val="single" w:color="auto" w:sz="4" w:space="0"/>
              <w:right w:val="single" w:color="auto" w:sz="4" w:space="0"/>
            </w:tcBorders>
            <w:vAlign w:val="center"/>
          </w:tcPr>
          <w:p w14:paraId="2B9CA364">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计量单位</w:t>
            </w:r>
          </w:p>
        </w:tc>
        <w:tc>
          <w:tcPr>
            <w:tcW w:w="1744" w:type="dxa"/>
            <w:tcBorders>
              <w:top w:val="single" w:color="auto" w:sz="4" w:space="0"/>
              <w:left w:val="nil"/>
              <w:bottom w:val="single" w:color="auto" w:sz="4" w:space="0"/>
              <w:right w:val="single" w:color="auto" w:sz="4" w:space="0"/>
            </w:tcBorders>
            <w:vAlign w:val="center"/>
          </w:tcPr>
          <w:p w14:paraId="33350C58">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中型</w:t>
            </w:r>
          </w:p>
        </w:tc>
        <w:tc>
          <w:tcPr>
            <w:tcW w:w="2013" w:type="dxa"/>
            <w:tcBorders>
              <w:top w:val="single" w:color="auto" w:sz="4" w:space="0"/>
              <w:left w:val="nil"/>
              <w:bottom w:val="single" w:color="auto" w:sz="4" w:space="0"/>
              <w:right w:val="single" w:color="auto" w:sz="4" w:space="0"/>
            </w:tcBorders>
            <w:vAlign w:val="center"/>
          </w:tcPr>
          <w:p w14:paraId="15275DB8">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小型</w:t>
            </w:r>
          </w:p>
        </w:tc>
        <w:tc>
          <w:tcPr>
            <w:tcW w:w="1374" w:type="dxa"/>
            <w:tcBorders>
              <w:top w:val="single" w:color="auto" w:sz="4" w:space="0"/>
              <w:left w:val="nil"/>
              <w:bottom w:val="single" w:color="auto" w:sz="4" w:space="0"/>
              <w:right w:val="single" w:color="auto" w:sz="4" w:space="0"/>
            </w:tcBorders>
            <w:vAlign w:val="center"/>
          </w:tcPr>
          <w:p w14:paraId="224315D7">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微型</w:t>
            </w:r>
          </w:p>
        </w:tc>
      </w:tr>
      <w:tr w14:paraId="0E6745E5">
        <w:tblPrEx>
          <w:tblCellMar>
            <w:top w:w="0" w:type="dxa"/>
            <w:left w:w="108" w:type="dxa"/>
            <w:bottom w:w="0" w:type="dxa"/>
            <w:right w:w="108" w:type="dxa"/>
          </w:tblCellMar>
        </w:tblPrEx>
        <w:trPr>
          <w:trHeight w:val="308" w:hRule="atLeast"/>
        </w:trPr>
        <w:tc>
          <w:tcPr>
            <w:tcW w:w="1833" w:type="dxa"/>
            <w:tcBorders>
              <w:top w:val="nil"/>
              <w:left w:val="single" w:color="auto" w:sz="4" w:space="0"/>
              <w:bottom w:val="single" w:color="auto" w:sz="4" w:space="0"/>
              <w:right w:val="single" w:color="auto" w:sz="4" w:space="0"/>
            </w:tcBorders>
            <w:vAlign w:val="bottom"/>
          </w:tcPr>
          <w:p w14:paraId="40E71ABF">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农、林、牧、渔</w:t>
            </w:r>
          </w:p>
        </w:tc>
        <w:tc>
          <w:tcPr>
            <w:tcW w:w="1680" w:type="dxa"/>
            <w:tcBorders>
              <w:top w:val="nil"/>
              <w:left w:val="nil"/>
              <w:bottom w:val="single" w:color="auto" w:sz="4" w:space="0"/>
              <w:right w:val="single" w:color="auto" w:sz="4" w:space="0"/>
            </w:tcBorders>
            <w:vAlign w:val="center"/>
          </w:tcPr>
          <w:p w14:paraId="7CF9D9D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82716C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2EA0912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500≤Y＜20000</w:t>
            </w:r>
          </w:p>
        </w:tc>
        <w:tc>
          <w:tcPr>
            <w:tcW w:w="2013" w:type="dxa"/>
            <w:tcBorders>
              <w:top w:val="nil"/>
              <w:left w:val="nil"/>
              <w:bottom w:val="single" w:color="auto" w:sz="4" w:space="0"/>
              <w:right w:val="single" w:color="auto" w:sz="4" w:space="0"/>
            </w:tcBorders>
            <w:vAlign w:val="center"/>
          </w:tcPr>
          <w:p w14:paraId="60ED50F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50≤Y＜500</w:t>
            </w:r>
          </w:p>
        </w:tc>
        <w:tc>
          <w:tcPr>
            <w:tcW w:w="1374" w:type="dxa"/>
            <w:tcBorders>
              <w:top w:val="nil"/>
              <w:left w:val="nil"/>
              <w:bottom w:val="single" w:color="auto" w:sz="4" w:space="0"/>
              <w:right w:val="single" w:color="auto" w:sz="4" w:space="0"/>
            </w:tcBorders>
            <w:vAlign w:val="center"/>
          </w:tcPr>
          <w:p w14:paraId="0B49199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Y＜50</w:t>
            </w:r>
          </w:p>
        </w:tc>
      </w:tr>
      <w:tr w14:paraId="0CC2DBF5">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AF110B9">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工业</w:t>
            </w:r>
          </w:p>
        </w:tc>
        <w:tc>
          <w:tcPr>
            <w:tcW w:w="1680" w:type="dxa"/>
            <w:tcBorders>
              <w:top w:val="nil"/>
              <w:left w:val="nil"/>
              <w:bottom w:val="single" w:color="auto" w:sz="4" w:space="0"/>
              <w:right w:val="single" w:color="auto" w:sz="4" w:space="0"/>
            </w:tcBorders>
            <w:vAlign w:val="center"/>
          </w:tcPr>
          <w:p w14:paraId="7D1B5B5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D8B825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C1492A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0C4A25D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20≤X＜300</w:t>
            </w:r>
          </w:p>
        </w:tc>
        <w:tc>
          <w:tcPr>
            <w:tcW w:w="1374" w:type="dxa"/>
            <w:tcBorders>
              <w:top w:val="nil"/>
              <w:left w:val="nil"/>
              <w:bottom w:val="single" w:color="auto" w:sz="4" w:space="0"/>
              <w:right w:val="single" w:color="auto" w:sz="4" w:space="0"/>
            </w:tcBorders>
            <w:vAlign w:val="center"/>
          </w:tcPr>
          <w:p w14:paraId="1399C26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603A5A33">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2A7CFBE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7D7B13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48B679F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B71397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2000≤Y＜40000</w:t>
            </w:r>
          </w:p>
        </w:tc>
        <w:tc>
          <w:tcPr>
            <w:tcW w:w="2013" w:type="dxa"/>
            <w:tcBorders>
              <w:top w:val="nil"/>
              <w:left w:val="nil"/>
              <w:bottom w:val="single" w:color="auto" w:sz="4" w:space="0"/>
              <w:right w:val="single" w:color="auto" w:sz="4" w:space="0"/>
            </w:tcBorders>
            <w:vAlign w:val="center"/>
          </w:tcPr>
          <w:p w14:paraId="61B764E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300≤Y＜2000</w:t>
            </w:r>
          </w:p>
        </w:tc>
        <w:tc>
          <w:tcPr>
            <w:tcW w:w="1374" w:type="dxa"/>
            <w:tcBorders>
              <w:top w:val="nil"/>
              <w:left w:val="nil"/>
              <w:bottom w:val="single" w:color="auto" w:sz="4" w:space="0"/>
              <w:right w:val="single" w:color="auto" w:sz="4" w:space="0"/>
            </w:tcBorders>
            <w:vAlign w:val="center"/>
          </w:tcPr>
          <w:p w14:paraId="53A79CE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Y＜300</w:t>
            </w:r>
          </w:p>
        </w:tc>
      </w:tr>
      <w:tr w14:paraId="371BEF2C">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9A33709">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建筑业</w:t>
            </w:r>
          </w:p>
        </w:tc>
        <w:tc>
          <w:tcPr>
            <w:tcW w:w="1680" w:type="dxa"/>
            <w:tcBorders>
              <w:top w:val="nil"/>
              <w:left w:val="nil"/>
              <w:bottom w:val="single" w:color="auto" w:sz="4" w:space="0"/>
              <w:right w:val="single" w:color="auto" w:sz="4" w:space="0"/>
            </w:tcBorders>
            <w:vAlign w:val="center"/>
          </w:tcPr>
          <w:p w14:paraId="45832C4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5447BCF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5F287F7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6000≤Y＜80000</w:t>
            </w:r>
          </w:p>
        </w:tc>
        <w:tc>
          <w:tcPr>
            <w:tcW w:w="2013" w:type="dxa"/>
            <w:tcBorders>
              <w:top w:val="nil"/>
              <w:left w:val="nil"/>
              <w:bottom w:val="single" w:color="auto" w:sz="4" w:space="0"/>
              <w:right w:val="single" w:color="auto" w:sz="4" w:space="0"/>
            </w:tcBorders>
            <w:vAlign w:val="center"/>
          </w:tcPr>
          <w:p w14:paraId="2FAF7D4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300≤Y＜6000</w:t>
            </w:r>
          </w:p>
        </w:tc>
        <w:tc>
          <w:tcPr>
            <w:tcW w:w="1374" w:type="dxa"/>
            <w:tcBorders>
              <w:top w:val="nil"/>
              <w:left w:val="nil"/>
              <w:bottom w:val="single" w:color="auto" w:sz="4" w:space="0"/>
              <w:right w:val="single" w:color="auto" w:sz="4" w:space="0"/>
            </w:tcBorders>
            <w:vAlign w:val="center"/>
          </w:tcPr>
          <w:p w14:paraId="7A6606B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Y＜300</w:t>
            </w:r>
          </w:p>
        </w:tc>
      </w:tr>
      <w:tr w14:paraId="6A5E91A5">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45B34546">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0975638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资产总额（Z）</w:t>
            </w:r>
          </w:p>
        </w:tc>
        <w:tc>
          <w:tcPr>
            <w:tcW w:w="794" w:type="dxa"/>
            <w:tcBorders>
              <w:top w:val="nil"/>
              <w:left w:val="nil"/>
              <w:bottom w:val="single" w:color="auto" w:sz="4" w:space="0"/>
              <w:right w:val="single" w:color="auto" w:sz="4" w:space="0"/>
            </w:tcBorders>
            <w:vAlign w:val="center"/>
          </w:tcPr>
          <w:p w14:paraId="7778D8E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72254CE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5000≤Z＜80000</w:t>
            </w:r>
          </w:p>
        </w:tc>
        <w:tc>
          <w:tcPr>
            <w:tcW w:w="2013" w:type="dxa"/>
            <w:tcBorders>
              <w:top w:val="nil"/>
              <w:left w:val="nil"/>
              <w:bottom w:val="single" w:color="auto" w:sz="4" w:space="0"/>
              <w:right w:val="single" w:color="auto" w:sz="4" w:space="0"/>
            </w:tcBorders>
            <w:vAlign w:val="center"/>
          </w:tcPr>
          <w:p w14:paraId="1C05702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300≤Z＜5000</w:t>
            </w:r>
          </w:p>
        </w:tc>
        <w:tc>
          <w:tcPr>
            <w:tcW w:w="1374" w:type="dxa"/>
            <w:tcBorders>
              <w:top w:val="nil"/>
              <w:left w:val="nil"/>
              <w:bottom w:val="single" w:color="auto" w:sz="4" w:space="0"/>
              <w:right w:val="single" w:color="auto" w:sz="4" w:space="0"/>
            </w:tcBorders>
            <w:vAlign w:val="center"/>
          </w:tcPr>
          <w:p w14:paraId="17AD31D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Z＜300</w:t>
            </w:r>
          </w:p>
        </w:tc>
      </w:tr>
      <w:tr w14:paraId="137A2ADD">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49066725">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批发业</w:t>
            </w:r>
          </w:p>
        </w:tc>
        <w:tc>
          <w:tcPr>
            <w:tcW w:w="1680" w:type="dxa"/>
            <w:tcBorders>
              <w:top w:val="nil"/>
              <w:left w:val="nil"/>
              <w:bottom w:val="single" w:color="auto" w:sz="4" w:space="0"/>
              <w:right w:val="single" w:color="auto" w:sz="4" w:space="0"/>
            </w:tcBorders>
            <w:vAlign w:val="center"/>
          </w:tcPr>
          <w:p w14:paraId="15AFC81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39CD9E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361275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20≤X＜200</w:t>
            </w:r>
          </w:p>
        </w:tc>
        <w:tc>
          <w:tcPr>
            <w:tcW w:w="2013" w:type="dxa"/>
            <w:tcBorders>
              <w:top w:val="nil"/>
              <w:left w:val="nil"/>
              <w:bottom w:val="single" w:color="auto" w:sz="4" w:space="0"/>
              <w:right w:val="single" w:color="auto" w:sz="4" w:space="0"/>
            </w:tcBorders>
            <w:vAlign w:val="center"/>
          </w:tcPr>
          <w:p w14:paraId="412E66E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5≤X＜20</w:t>
            </w:r>
          </w:p>
        </w:tc>
        <w:tc>
          <w:tcPr>
            <w:tcW w:w="1374" w:type="dxa"/>
            <w:tcBorders>
              <w:top w:val="nil"/>
              <w:left w:val="nil"/>
              <w:bottom w:val="single" w:color="auto" w:sz="4" w:space="0"/>
              <w:right w:val="single" w:color="auto" w:sz="4" w:space="0"/>
            </w:tcBorders>
            <w:vAlign w:val="center"/>
          </w:tcPr>
          <w:p w14:paraId="2C2E9E4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X＜5</w:t>
            </w:r>
          </w:p>
        </w:tc>
      </w:tr>
      <w:tr w14:paraId="15441B53">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50CB0E7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8F5DAB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2AD3A9B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523B80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5000≤Y＜40000</w:t>
            </w:r>
          </w:p>
        </w:tc>
        <w:tc>
          <w:tcPr>
            <w:tcW w:w="2013" w:type="dxa"/>
            <w:tcBorders>
              <w:top w:val="nil"/>
              <w:left w:val="nil"/>
              <w:bottom w:val="single" w:color="auto" w:sz="4" w:space="0"/>
              <w:right w:val="single" w:color="auto" w:sz="4" w:space="0"/>
            </w:tcBorders>
            <w:vAlign w:val="center"/>
          </w:tcPr>
          <w:p w14:paraId="16572AB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1000≤Y＜5000</w:t>
            </w:r>
          </w:p>
        </w:tc>
        <w:tc>
          <w:tcPr>
            <w:tcW w:w="1374" w:type="dxa"/>
            <w:tcBorders>
              <w:top w:val="nil"/>
              <w:left w:val="nil"/>
              <w:bottom w:val="single" w:color="auto" w:sz="4" w:space="0"/>
              <w:right w:val="single" w:color="auto" w:sz="4" w:space="0"/>
            </w:tcBorders>
            <w:vAlign w:val="center"/>
          </w:tcPr>
          <w:p w14:paraId="290DE62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Y＜1000</w:t>
            </w:r>
          </w:p>
        </w:tc>
      </w:tr>
      <w:tr w14:paraId="646F2D7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70D903D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零售业</w:t>
            </w:r>
          </w:p>
        </w:tc>
        <w:tc>
          <w:tcPr>
            <w:tcW w:w="1680" w:type="dxa"/>
            <w:tcBorders>
              <w:top w:val="nil"/>
              <w:left w:val="nil"/>
              <w:bottom w:val="single" w:color="auto" w:sz="4" w:space="0"/>
              <w:right w:val="single" w:color="auto" w:sz="4" w:space="0"/>
            </w:tcBorders>
            <w:vAlign w:val="center"/>
          </w:tcPr>
          <w:p w14:paraId="5075FE6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59AE0D2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53ACF6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50≤X＜300</w:t>
            </w:r>
          </w:p>
        </w:tc>
        <w:tc>
          <w:tcPr>
            <w:tcW w:w="2013" w:type="dxa"/>
            <w:tcBorders>
              <w:top w:val="nil"/>
              <w:left w:val="nil"/>
              <w:bottom w:val="single" w:color="auto" w:sz="4" w:space="0"/>
              <w:right w:val="single" w:color="auto" w:sz="4" w:space="0"/>
            </w:tcBorders>
            <w:vAlign w:val="center"/>
          </w:tcPr>
          <w:p w14:paraId="3C32AA0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10≤X＜50</w:t>
            </w:r>
          </w:p>
        </w:tc>
        <w:tc>
          <w:tcPr>
            <w:tcW w:w="1374" w:type="dxa"/>
            <w:tcBorders>
              <w:top w:val="nil"/>
              <w:left w:val="nil"/>
              <w:bottom w:val="single" w:color="auto" w:sz="4" w:space="0"/>
              <w:right w:val="single" w:color="auto" w:sz="4" w:space="0"/>
            </w:tcBorders>
            <w:vAlign w:val="center"/>
          </w:tcPr>
          <w:p w14:paraId="7EB0EC8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4F4392ED">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831200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2FA5890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C87848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75F3E97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500≤Y＜20000</w:t>
            </w:r>
          </w:p>
        </w:tc>
        <w:tc>
          <w:tcPr>
            <w:tcW w:w="2013" w:type="dxa"/>
            <w:tcBorders>
              <w:top w:val="nil"/>
              <w:left w:val="nil"/>
              <w:bottom w:val="single" w:color="auto" w:sz="4" w:space="0"/>
              <w:right w:val="single" w:color="auto" w:sz="4" w:space="0"/>
            </w:tcBorders>
            <w:vAlign w:val="center"/>
          </w:tcPr>
          <w:p w14:paraId="29512DF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100≤Y＜500</w:t>
            </w:r>
          </w:p>
        </w:tc>
        <w:tc>
          <w:tcPr>
            <w:tcW w:w="1374" w:type="dxa"/>
            <w:tcBorders>
              <w:top w:val="nil"/>
              <w:left w:val="nil"/>
              <w:bottom w:val="single" w:color="auto" w:sz="4" w:space="0"/>
              <w:right w:val="single" w:color="auto" w:sz="4" w:space="0"/>
            </w:tcBorders>
            <w:vAlign w:val="center"/>
          </w:tcPr>
          <w:p w14:paraId="2A5D103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25ABADC2">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6E68677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交通运输业</w:t>
            </w:r>
          </w:p>
        </w:tc>
        <w:tc>
          <w:tcPr>
            <w:tcW w:w="1680" w:type="dxa"/>
            <w:tcBorders>
              <w:top w:val="nil"/>
              <w:left w:val="nil"/>
              <w:bottom w:val="single" w:color="auto" w:sz="4" w:space="0"/>
              <w:right w:val="single" w:color="auto" w:sz="4" w:space="0"/>
            </w:tcBorders>
            <w:vAlign w:val="center"/>
          </w:tcPr>
          <w:p w14:paraId="3656F4A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0F3DCF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6670E21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139DAD6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20≤X＜300</w:t>
            </w:r>
          </w:p>
        </w:tc>
        <w:tc>
          <w:tcPr>
            <w:tcW w:w="1374" w:type="dxa"/>
            <w:tcBorders>
              <w:top w:val="nil"/>
              <w:left w:val="nil"/>
              <w:bottom w:val="single" w:color="auto" w:sz="4" w:space="0"/>
              <w:right w:val="single" w:color="auto" w:sz="4" w:space="0"/>
            </w:tcBorders>
            <w:vAlign w:val="center"/>
          </w:tcPr>
          <w:p w14:paraId="2312DCC1">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0F823EBB">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4635B68E">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5A93F9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8F8CA0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B6AA63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3000≤Y＜30000</w:t>
            </w:r>
          </w:p>
        </w:tc>
        <w:tc>
          <w:tcPr>
            <w:tcW w:w="2013" w:type="dxa"/>
            <w:tcBorders>
              <w:top w:val="nil"/>
              <w:left w:val="nil"/>
              <w:bottom w:val="single" w:color="auto" w:sz="4" w:space="0"/>
              <w:right w:val="single" w:color="auto" w:sz="4" w:space="0"/>
            </w:tcBorders>
            <w:vAlign w:val="center"/>
          </w:tcPr>
          <w:p w14:paraId="6578412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200≤Y＜3000</w:t>
            </w:r>
          </w:p>
        </w:tc>
        <w:tc>
          <w:tcPr>
            <w:tcW w:w="1374" w:type="dxa"/>
            <w:tcBorders>
              <w:top w:val="nil"/>
              <w:left w:val="nil"/>
              <w:bottom w:val="single" w:color="auto" w:sz="4" w:space="0"/>
              <w:right w:val="single" w:color="auto" w:sz="4" w:space="0"/>
            </w:tcBorders>
            <w:vAlign w:val="center"/>
          </w:tcPr>
          <w:p w14:paraId="5167A06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Y＜200</w:t>
            </w:r>
          </w:p>
        </w:tc>
      </w:tr>
      <w:tr w14:paraId="1B7C9FB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2AD4A34">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仓储业</w:t>
            </w:r>
          </w:p>
        </w:tc>
        <w:tc>
          <w:tcPr>
            <w:tcW w:w="1680" w:type="dxa"/>
            <w:tcBorders>
              <w:top w:val="nil"/>
              <w:left w:val="nil"/>
              <w:bottom w:val="single" w:color="auto" w:sz="4" w:space="0"/>
              <w:right w:val="single" w:color="auto" w:sz="4" w:space="0"/>
            </w:tcBorders>
            <w:vAlign w:val="center"/>
          </w:tcPr>
          <w:p w14:paraId="1D045E3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B9E6B9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17919DD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100≤X＜200</w:t>
            </w:r>
          </w:p>
        </w:tc>
        <w:tc>
          <w:tcPr>
            <w:tcW w:w="2013" w:type="dxa"/>
            <w:tcBorders>
              <w:top w:val="nil"/>
              <w:left w:val="nil"/>
              <w:bottom w:val="single" w:color="auto" w:sz="4" w:space="0"/>
              <w:right w:val="single" w:color="auto" w:sz="4" w:space="0"/>
            </w:tcBorders>
            <w:vAlign w:val="center"/>
          </w:tcPr>
          <w:p w14:paraId="4861778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20≤X＜100</w:t>
            </w:r>
          </w:p>
        </w:tc>
        <w:tc>
          <w:tcPr>
            <w:tcW w:w="1374" w:type="dxa"/>
            <w:tcBorders>
              <w:top w:val="nil"/>
              <w:left w:val="nil"/>
              <w:bottom w:val="single" w:color="auto" w:sz="4" w:space="0"/>
              <w:right w:val="single" w:color="auto" w:sz="4" w:space="0"/>
            </w:tcBorders>
            <w:vAlign w:val="center"/>
          </w:tcPr>
          <w:p w14:paraId="5E3467B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7CEBD256">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7090CF3">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5142805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F42A76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3B1D08C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1000≤Y＜30000</w:t>
            </w:r>
          </w:p>
        </w:tc>
        <w:tc>
          <w:tcPr>
            <w:tcW w:w="2013" w:type="dxa"/>
            <w:tcBorders>
              <w:top w:val="nil"/>
              <w:left w:val="nil"/>
              <w:bottom w:val="single" w:color="auto" w:sz="4" w:space="0"/>
              <w:right w:val="single" w:color="auto" w:sz="4" w:space="0"/>
            </w:tcBorders>
            <w:vAlign w:val="center"/>
          </w:tcPr>
          <w:p w14:paraId="63E6F6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100≤Y＜1000</w:t>
            </w:r>
          </w:p>
        </w:tc>
        <w:tc>
          <w:tcPr>
            <w:tcW w:w="1374" w:type="dxa"/>
            <w:tcBorders>
              <w:top w:val="nil"/>
              <w:left w:val="nil"/>
              <w:bottom w:val="single" w:color="auto" w:sz="4" w:space="0"/>
              <w:right w:val="single" w:color="auto" w:sz="4" w:space="0"/>
            </w:tcBorders>
            <w:vAlign w:val="center"/>
          </w:tcPr>
          <w:p w14:paraId="2E83449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6C00076F">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7DF119E2">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邮政业</w:t>
            </w:r>
          </w:p>
        </w:tc>
        <w:tc>
          <w:tcPr>
            <w:tcW w:w="1680" w:type="dxa"/>
            <w:tcBorders>
              <w:top w:val="nil"/>
              <w:left w:val="nil"/>
              <w:bottom w:val="single" w:color="auto" w:sz="4" w:space="0"/>
              <w:right w:val="single" w:color="auto" w:sz="4" w:space="0"/>
            </w:tcBorders>
            <w:vAlign w:val="center"/>
          </w:tcPr>
          <w:p w14:paraId="257B01D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7B026FF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278F49C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3F0E1D5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20≤X＜300</w:t>
            </w:r>
          </w:p>
        </w:tc>
        <w:tc>
          <w:tcPr>
            <w:tcW w:w="1374" w:type="dxa"/>
            <w:tcBorders>
              <w:top w:val="nil"/>
              <w:left w:val="nil"/>
              <w:bottom w:val="single" w:color="auto" w:sz="4" w:space="0"/>
              <w:right w:val="single" w:color="auto" w:sz="4" w:space="0"/>
            </w:tcBorders>
            <w:vAlign w:val="center"/>
          </w:tcPr>
          <w:p w14:paraId="1B88D92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7283A4C5">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582A0BBC">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6011000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073B6A2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0D654BC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2000≤Y＜30000</w:t>
            </w:r>
          </w:p>
        </w:tc>
        <w:tc>
          <w:tcPr>
            <w:tcW w:w="2013" w:type="dxa"/>
            <w:tcBorders>
              <w:top w:val="nil"/>
              <w:left w:val="nil"/>
              <w:bottom w:val="single" w:color="auto" w:sz="4" w:space="0"/>
              <w:right w:val="single" w:color="auto" w:sz="4" w:space="0"/>
            </w:tcBorders>
            <w:vAlign w:val="center"/>
          </w:tcPr>
          <w:p w14:paraId="02195F8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100≤Y＜2000</w:t>
            </w:r>
          </w:p>
        </w:tc>
        <w:tc>
          <w:tcPr>
            <w:tcW w:w="1374" w:type="dxa"/>
            <w:tcBorders>
              <w:top w:val="nil"/>
              <w:left w:val="nil"/>
              <w:bottom w:val="single" w:color="auto" w:sz="4" w:space="0"/>
              <w:right w:val="single" w:color="auto" w:sz="4" w:space="0"/>
            </w:tcBorders>
            <w:vAlign w:val="center"/>
          </w:tcPr>
          <w:p w14:paraId="2271602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29DBDE18">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F55052A">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住宿业</w:t>
            </w:r>
          </w:p>
        </w:tc>
        <w:tc>
          <w:tcPr>
            <w:tcW w:w="1680" w:type="dxa"/>
            <w:tcBorders>
              <w:top w:val="nil"/>
              <w:left w:val="nil"/>
              <w:bottom w:val="single" w:color="auto" w:sz="4" w:space="0"/>
              <w:right w:val="single" w:color="auto" w:sz="4" w:space="0"/>
            </w:tcBorders>
            <w:vAlign w:val="center"/>
          </w:tcPr>
          <w:p w14:paraId="3BB3EFC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0103799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7D5D7CA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0685411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411DA8A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773779C1">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72E406DF">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30E8962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65D4C9F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2F547E8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2000≤Y＜10000</w:t>
            </w:r>
          </w:p>
        </w:tc>
        <w:tc>
          <w:tcPr>
            <w:tcW w:w="2013" w:type="dxa"/>
            <w:tcBorders>
              <w:top w:val="nil"/>
              <w:left w:val="nil"/>
              <w:bottom w:val="single" w:color="auto" w:sz="4" w:space="0"/>
              <w:right w:val="single" w:color="auto" w:sz="4" w:space="0"/>
            </w:tcBorders>
            <w:vAlign w:val="center"/>
          </w:tcPr>
          <w:p w14:paraId="5787595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100≤Y＜2000</w:t>
            </w:r>
          </w:p>
        </w:tc>
        <w:tc>
          <w:tcPr>
            <w:tcW w:w="1374" w:type="dxa"/>
            <w:tcBorders>
              <w:top w:val="nil"/>
              <w:left w:val="nil"/>
              <w:bottom w:val="single" w:color="auto" w:sz="4" w:space="0"/>
              <w:right w:val="single" w:color="auto" w:sz="4" w:space="0"/>
            </w:tcBorders>
            <w:vAlign w:val="center"/>
          </w:tcPr>
          <w:p w14:paraId="7E7C077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14EAAA96">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646E85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餐饮业</w:t>
            </w:r>
          </w:p>
        </w:tc>
        <w:tc>
          <w:tcPr>
            <w:tcW w:w="1680" w:type="dxa"/>
            <w:tcBorders>
              <w:top w:val="nil"/>
              <w:left w:val="nil"/>
              <w:bottom w:val="single" w:color="auto" w:sz="4" w:space="0"/>
              <w:right w:val="single" w:color="auto" w:sz="4" w:space="0"/>
            </w:tcBorders>
            <w:vAlign w:val="center"/>
          </w:tcPr>
          <w:p w14:paraId="094CE60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6621041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1BA5C72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41D53DB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2CAD719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596FE4EE">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99EE6FB">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300FDE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6BCF6BB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0F64131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2000≤Y＜10000</w:t>
            </w:r>
          </w:p>
        </w:tc>
        <w:tc>
          <w:tcPr>
            <w:tcW w:w="2013" w:type="dxa"/>
            <w:tcBorders>
              <w:top w:val="nil"/>
              <w:left w:val="nil"/>
              <w:bottom w:val="single" w:color="auto" w:sz="4" w:space="0"/>
              <w:right w:val="single" w:color="auto" w:sz="4" w:space="0"/>
            </w:tcBorders>
            <w:vAlign w:val="center"/>
          </w:tcPr>
          <w:p w14:paraId="0D3E0BE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100≤Y＜2000</w:t>
            </w:r>
          </w:p>
        </w:tc>
        <w:tc>
          <w:tcPr>
            <w:tcW w:w="1374" w:type="dxa"/>
            <w:tcBorders>
              <w:top w:val="nil"/>
              <w:left w:val="nil"/>
              <w:bottom w:val="single" w:color="auto" w:sz="4" w:space="0"/>
              <w:right w:val="single" w:color="auto" w:sz="4" w:space="0"/>
            </w:tcBorders>
            <w:vAlign w:val="center"/>
          </w:tcPr>
          <w:p w14:paraId="205AE0D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3B5C5CD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4AE55FA">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信息传输业</w:t>
            </w:r>
          </w:p>
        </w:tc>
        <w:tc>
          <w:tcPr>
            <w:tcW w:w="1680" w:type="dxa"/>
            <w:tcBorders>
              <w:top w:val="nil"/>
              <w:left w:val="nil"/>
              <w:bottom w:val="single" w:color="auto" w:sz="4" w:space="0"/>
              <w:right w:val="single" w:color="auto" w:sz="4" w:space="0"/>
            </w:tcBorders>
            <w:vAlign w:val="center"/>
          </w:tcPr>
          <w:p w14:paraId="1F2537A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71D4E7B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FCA66D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100≤X＜2000</w:t>
            </w:r>
          </w:p>
        </w:tc>
        <w:tc>
          <w:tcPr>
            <w:tcW w:w="2013" w:type="dxa"/>
            <w:tcBorders>
              <w:top w:val="nil"/>
              <w:left w:val="nil"/>
              <w:bottom w:val="single" w:color="auto" w:sz="4" w:space="0"/>
              <w:right w:val="single" w:color="auto" w:sz="4" w:space="0"/>
            </w:tcBorders>
            <w:vAlign w:val="center"/>
          </w:tcPr>
          <w:p w14:paraId="62D74C3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7893060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1E39267D">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61638E62">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435A285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4CB145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2DD7E29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1000≤Y＜100000</w:t>
            </w:r>
          </w:p>
        </w:tc>
        <w:tc>
          <w:tcPr>
            <w:tcW w:w="2013" w:type="dxa"/>
            <w:tcBorders>
              <w:top w:val="nil"/>
              <w:left w:val="nil"/>
              <w:bottom w:val="single" w:color="auto" w:sz="4" w:space="0"/>
              <w:right w:val="single" w:color="auto" w:sz="4" w:space="0"/>
            </w:tcBorders>
            <w:vAlign w:val="center"/>
          </w:tcPr>
          <w:p w14:paraId="4E1C68F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100≤Y＜1000</w:t>
            </w:r>
          </w:p>
        </w:tc>
        <w:tc>
          <w:tcPr>
            <w:tcW w:w="1374" w:type="dxa"/>
            <w:tcBorders>
              <w:top w:val="nil"/>
              <w:left w:val="nil"/>
              <w:bottom w:val="single" w:color="auto" w:sz="4" w:space="0"/>
              <w:right w:val="single" w:color="auto" w:sz="4" w:space="0"/>
            </w:tcBorders>
            <w:vAlign w:val="center"/>
          </w:tcPr>
          <w:p w14:paraId="32F28DD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081829F4">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1863CAA">
            <w:pPr>
              <w:jc w:val="center"/>
              <w:rPr>
                <w:rFonts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软件和信息技术服务业</w:t>
            </w:r>
          </w:p>
        </w:tc>
        <w:tc>
          <w:tcPr>
            <w:tcW w:w="1680" w:type="dxa"/>
            <w:tcBorders>
              <w:top w:val="nil"/>
              <w:left w:val="nil"/>
              <w:bottom w:val="single" w:color="auto" w:sz="4" w:space="0"/>
              <w:right w:val="single" w:color="auto" w:sz="4" w:space="0"/>
            </w:tcBorders>
            <w:vAlign w:val="center"/>
          </w:tcPr>
          <w:p w14:paraId="65D2028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4B7B46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5691D36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3368D2E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57703E7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6D19DEE3">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220E3243">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5AAE5C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583E721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6EABB1E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1000≤Y＜10000</w:t>
            </w:r>
          </w:p>
        </w:tc>
        <w:tc>
          <w:tcPr>
            <w:tcW w:w="2013" w:type="dxa"/>
            <w:tcBorders>
              <w:top w:val="nil"/>
              <w:left w:val="nil"/>
              <w:bottom w:val="single" w:color="auto" w:sz="4" w:space="0"/>
              <w:right w:val="single" w:color="auto" w:sz="4" w:space="0"/>
            </w:tcBorders>
            <w:vAlign w:val="center"/>
          </w:tcPr>
          <w:p w14:paraId="4BD5953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50≤Y＜1000</w:t>
            </w:r>
          </w:p>
        </w:tc>
        <w:tc>
          <w:tcPr>
            <w:tcW w:w="1374" w:type="dxa"/>
            <w:tcBorders>
              <w:top w:val="nil"/>
              <w:left w:val="nil"/>
              <w:bottom w:val="single" w:color="auto" w:sz="4" w:space="0"/>
              <w:right w:val="single" w:color="auto" w:sz="4" w:space="0"/>
            </w:tcBorders>
            <w:vAlign w:val="center"/>
          </w:tcPr>
          <w:p w14:paraId="5BC9F07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Y＜50</w:t>
            </w:r>
          </w:p>
        </w:tc>
      </w:tr>
      <w:tr w14:paraId="5106D2B3">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488A161">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房地产开发经营</w:t>
            </w:r>
          </w:p>
        </w:tc>
        <w:tc>
          <w:tcPr>
            <w:tcW w:w="1680" w:type="dxa"/>
            <w:tcBorders>
              <w:top w:val="nil"/>
              <w:left w:val="nil"/>
              <w:bottom w:val="single" w:color="auto" w:sz="4" w:space="0"/>
              <w:right w:val="single" w:color="auto" w:sz="4" w:space="0"/>
            </w:tcBorders>
            <w:vAlign w:val="center"/>
          </w:tcPr>
          <w:p w14:paraId="58A3C3E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D9F6191">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066EB9B1">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1000≤Y＜200000</w:t>
            </w:r>
          </w:p>
        </w:tc>
        <w:tc>
          <w:tcPr>
            <w:tcW w:w="2013" w:type="dxa"/>
            <w:tcBorders>
              <w:top w:val="nil"/>
              <w:left w:val="nil"/>
              <w:bottom w:val="single" w:color="auto" w:sz="4" w:space="0"/>
              <w:right w:val="single" w:color="auto" w:sz="4" w:space="0"/>
            </w:tcBorders>
            <w:vAlign w:val="center"/>
          </w:tcPr>
          <w:p w14:paraId="60D66FC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100≤X＜1000</w:t>
            </w:r>
          </w:p>
        </w:tc>
        <w:tc>
          <w:tcPr>
            <w:tcW w:w="1374" w:type="dxa"/>
            <w:tcBorders>
              <w:top w:val="nil"/>
              <w:left w:val="nil"/>
              <w:bottom w:val="single" w:color="auto" w:sz="4" w:space="0"/>
              <w:right w:val="single" w:color="auto" w:sz="4" w:space="0"/>
            </w:tcBorders>
            <w:vAlign w:val="center"/>
          </w:tcPr>
          <w:p w14:paraId="1D89F8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X＜100</w:t>
            </w:r>
          </w:p>
        </w:tc>
      </w:tr>
      <w:tr w14:paraId="418EF606">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DCDF020">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3081BFF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资产总额（Z）</w:t>
            </w:r>
          </w:p>
        </w:tc>
        <w:tc>
          <w:tcPr>
            <w:tcW w:w="794" w:type="dxa"/>
            <w:tcBorders>
              <w:top w:val="nil"/>
              <w:left w:val="nil"/>
              <w:bottom w:val="single" w:color="auto" w:sz="4" w:space="0"/>
              <w:right w:val="single" w:color="auto" w:sz="4" w:space="0"/>
            </w:tcBorders>
            <w:vAlign w:val="center"/>
          </w:tcPr>
          <w:p w14:paraId="7CAE0D0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3C364BB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5000≤Z＜10000</w:t>
            </w:r>
          </w:p>
        </w:tc>
        <w:tc>
          <w:tcPr>
            <w:tcW w:w="2013" w:type="dxa"/>
            <w:tcBorders>
              <w:top w:val="nil"/>
              <w:left w:val="nil"/>
              <w:bottom w:val="single" w:color="auto" w:sz="4" w:space="0"/>
              <w:right w:val="single" w:color="auto" w:sz="4" w:space="0"/>
            </w:tcBorders>
            <w:vAlign w:val="center"/>
          </w:tcPr>
          <w:p w14:paraId="0A0274B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2000≤Y＜5000</w:t>
            </w:r>
          </w:p>
        </w:tc>
        <w:tc>
          <w:tcPr>
            <w:tcW w:w="1374" w:type="dxa"/>
            <w:tcBorders>
              <w:top w:val="nil"/>
              <w:left w:val="nil"/>
              <w:bottom w:val="single" w:color="auto" w:sz="4" w:space="0"/>
              <w:right w:val="single" w:color="auto" w:sz="4" w:space="0"/>
            </w:tcBorders>
            <w:vAlign w:val="center"/>
          </w:tcPr>
          <w:p w14:paraId="1B4502F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Y＜2000</w:t>
            </w:r>
          </w:p>
        </w:tc>
      </w:tr>
      <w:tr w14:paraId="0D79542D">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481248A">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物业管理</w:t>
            </w:r>
          </w:p>
        </w:tc>
        <w:tc>
          <w:tcPr>
            <w:tcW w:w="1680" w:type="dxa"/>
            <w:tcBorders>
              <w:top w:val="nil"/>
              <w:left w:val="nil"/>
              <w:bottom w:val="single" w:color="auto" w:sz="4" w:space="0"/>
              <w:right w:val="single" w:color="auto" w:sz="4" w:space="0"/>
            </w:tcBorders>
            <w:vAlign w:val="center"/>
          </w:tcPr>
          <w:p w14:paraId="09638C3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B07CC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534FB5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5C9B04E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1374" w:type="dxa"/>
            <w:tcBorders>
              <w:top w:val="nil"/>
              <w:left w:val="nil"/>
              <w:bottom w:val="single" w:color="auto" w:sz="4" w:space="0"/>
              <w:right w:val="single" w:color="auto" w:sz="4" w:space="0"/>
            </w:tcBorders>
            <w:vAlign w:val="center"/>
          </w:tcPr>
          <w:p w14:paraId="4217287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X＜100</w:t>
            </w:r>
          </w:p>
        </w:tc>
      </w:tr>
      <w:tr w14:paraId="154CA28B">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29EF32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26E1F5F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45A6727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D82B06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1000≤Y＜5000</w:t>
            </w:r>
          </w:p>
        </w:tc>
        <w:tc>
          <w:tcPr>
            <w:tcW w:w="2013" w:type="dxa"/>
            <w:tcBorders>
              <w:top w:val="nil"/>
              <w:left w:val="nil"/>
              <w:bottom w:val="single" w:color="auto" w:sz="4" w:space="0"/>
              <w:right w:val="single" w:color="auto" w:sz="4" w:space="0"/>
            </w:tcBorders>
            <w:vAlign w:val="center"/>
          </w:tcPr>
          <w:p w14:paraId="39B713F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500≤Y＜1000</w:t>
            </w:r>
          </w:p>
        </w:tc>
        <w:tc>
          <w:tcPr>
            <w:tcW w:w="1374" w:type="dxa"/>
            <w:tcBorders>
              <w:top w:val="nil"/>
              <w:left w:val="nil"/>
              <w:bottom w:val="single" w:color="auto" w:sz="4" w:space="0"/>
              <w:right w:val="single" w:color="auto" w:sz="4" w:space="0"/>
            </w:tcBorders>
            <w:vAlign w:val="center"/>
          </w:tcPr>
          <w:p w14:paraId="3F86112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Y＜500</w:t>
            </w:r>
          </w:p>
        </w:tc>
      </w:tr>
      <w:tr w14:paraId="06A5F9A1">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80469C4">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租赁和商务服务业</w:t>
            </w:r>
          </w:p>
        </w:tc>
        <w:tc>
          <w:tcPr>
            <w:tcW w:w="1680" w:type="dxa"/>
            <w:tcBorders>
              <w:top w:val="nil"/>
              <w:left w:val="nil"/>
              <w:bottom w:val="single" w:color="auto" w:sz="4" w:space="0"/>
              <w:right w:val="single" w:color="auto" w:sz="4" w:space="0"/>
            </w:tcBorders>
            <w:vAlign w:val="center"/>
          </w:tcPr>
          <w:p w14:paraId="1C5A51A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FFC530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1E09428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644AF85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2B26B2C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35B0A268">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28664DD6">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77C4D4F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资产总额（Z）</w:t>
            </w:r>
          </w:p>
        </w:tc>
        <w:tc>
          <w:tcPr>
            <w:tcW w:w="794" w:type="dxa"/>
            <w:tcBorders>
              <w:top w:val="nil"/>
              <w:left w:val="nil"/>
              <w:bottom w:val="single" w:color="auto" w:sz="4" w:space="0"/>
              <w:right w:val="single" w:color="auto" w:sz="4" w:space="0"/>
            </w:tcBorders>
            <w:vAlign w:val="center"/>
          </w:tcPr>
          <w:p w14:paraId="552C14B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722FD9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8000≤Z＜120000</w:t>
            </w:r>
          </w:p>
        </w:tc>
        <w:tc>
          <w:tcPr>
            <w:tcW w:w="2013" w:type="dxa"/>
            <w:tcBorders>
              <w:top w:val="nil"/>
              <w:left w:val="nil"/>
              <w:bottom w:val="single" w:color="auto" w:sz="4" w:space="0"/>
              <w:right w:val="single" w:color="auto" w:sz="4" w:space="0"/>
            </w:tcBorders>
            <w:vAlign w:val="center"/>
          </w:tcPr>
          <w:p w14:paraId="3467F05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100≤Z＜8000</w:t>
            </w:r>
          </w:p>
        </w:tc>
        <w:tc>
          <w:tcPr>
            <w:tcW w:w="1374" w:type="dxa"/>
            <w:tcBorders>
              <w:top w:val="nil"/>
              <w:left w:val="nil"/>
              <w:bottom w:val="single" w:color="auto" w:sz="4" w:space="0"/>
              <w:right w:val="single" w:color="auto" w:sz="4" w:space="0"/>
            </w:tcBorders>
            <w:vAlign w:val="center"/>
          </w:tcPr>
          <w:p w14:paraId="127BE29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4283EAEF">
        <w:tblPrEx>
          <w:tblCellMar>
            <w:top w:w="0" w:type="dxa"/>
            <w:left w:w="108" w:type="dxa"/>
            <w:bottom w:w="0" w:type="dxa"/>
            <w:right w:w="108" w:type="dxa"/>
          </w:tblCellMar>
        </w:tblPrEx>
        <w:trPr>
          <w:trHeight w:val="317" w:hRule="atLeast"/>
        </w:trPr>
        <w:tc>
          <w:tcPr>
            <w:tcW w:w="1833" w:type="dxa"/>
            <w:tcBorders>
              <w:top w:val="nil"/>
              <w:left w:val="single" w:color="auto" w:sz="4" w:space="0"/>
              <w:bottom w:val="single" w:color="auto" w:sz="4" w:space="0"/>
              <w:right w:val="single" w:color="auto" w:sz="4" w:space="0"/>
            </w:tcBorders>
            <w:vAlign w:val="bottom"/>
          </w:tcPr>
          <w:p w14:paraId="54534AAB">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其他未列明行业</w:t>
            </w:r>
          </w:p>
        </w:tc>
        <w:tc>
          <w:tcPr>
            <w:tcW w:w="1680" w:type="dxa"/>
            <w:tcBorders>
              <w:top w:val="nil"/>
              <w:left w:val="nil"/>
              <w:bottom w:val="single" w:color="auto" w:sz="4" w:space="0"/>
              <w:right w:val="single" w:color="auto" w:sz="4" w:space="0"/>
            </w:tcBorders>
            <w:vAlign w:val="center"/>
          </w:tcPr>
          <w:p w14:paraId="1A6468A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90E883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5D8B468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431E29A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773189E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bl>
    <w:p w14:paraId="59D8BD72">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6AE8AA75">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08D918D">
      <w:pPr>
        <w:pStyle w:val="10"/>
        <w:spacing w:line="460" w:lineRule="exact"/>
        <w:jc w:val="center"/>
        <w:rPr>
          <w:b/>
          <w:color w:val="auto"/>
          <w:sz w:val="24"/>
          <w:szCs w:val="24"/>
          <w:highlight w:val="none"/>
          <w:lang w:eastAsia="zh-CN"/>
        </w:rPr>
      </w:pPr>
      <w:bookmarkStart w:id="237" w:name="_Toc130252627"/>
      <w:bookmarkStart w:id="238" w:name="_Toc110707972"/>
      <w:bookmarkStart w:id="239" w:name="_Toc109941772"/>
      <w:bookmarkStart w:id="240" w:name="_Toc109921165"/>
      <w:r>
        <w:rPr>
          <w:rFonts w:hint="eastAsia"/>
          <w:b/>
          <w:color w:val="auto"/>
          <w:sz w:val="24"/>
          <w:szCs w:val="24"/>
          <w:highlight w:val="none"/>
          <w:lang w:eastAsia="zh-CN"/>
        </w:rPr>
        <w:t>6.6无利害关系声明函</w:t>
      </w:r>
    </w:p>
    <w:p w14:paraId="72159002">
      <w:pPr>
        <w:pStyle w:val="10"/>
        <w:spacing w:line="460" w:lineRule="exact"/>
        <w:rPr>
          <w:color w:val="auto"/>
          <w:szCs w:val="24"/>
          <w:highlight w:val="none"/>
          <w:lang w:eastAsia="zh-CN"/>
        </w:rPr>
      </w:pPr>
    </w:p>
    <w:p w14:paraId="40428900">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我单位：（供应商名称） 在此承诺：</w:t>
      </w:r>
    </w:p>
    <w:p w14:paraId="538E8A9C">
      <w:pPr>
        <w:spacing w:line="360" w:lineRule="auto"/>
        <w:ind w:firstLine="480" w:firstLineChars="200"/>
        <w:rPr>
          <w:rFonts w:ascii="仿宋" w:hAnsi="仿宋" w:eastAsia="仿宋" w:cs="仿宋"/>
          <w:color w:val="auto"/>
          <w:sz w:val="24"/>
          <w:szCs w:val="24"/>
          <w:highlight w:val="none"/>
          <w:lang w:eastAsia="zh-CN"/>
        </w:rPr>
      </w:pPr>
    </w:p>
    <w:p w14:paraId="1E6852B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与采购人存在利害关系可能影响招标公正性的法人、其他组织或者个人，不得参加投标： </w:t>
      </w:r>
    </w:p>
    <w:p w14:paraId="23395035">
      <w:pPr>
        <w:spacing w:line="360" w:lineRule="auto"/>
        <w:ind w:firstLine="3112" w:firstLineChars="1297"/>
        <w:rPr>
          <w:rFonts w:ascii="仿宋" w:hAnsi="仿宋" w:eastAsia="仿宋" w:cs="仿宋"/>
          <w:color w:val="auto"/>
          <w:sz w:val="24"/>
          <w:szCs w:val="24"/>
          <w:highlight w:val="none"/>
          <w:lang w:eastAsia="zh-CN"/>
        </w:rPr>
      </w:pPr>
    </w:p>
    <w:p w14:paraId="68C6B70D">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2A695799">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2652554F">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3F9F918A">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679F2CCD">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6086B439">
      <w:pPr>
        <w:pStyle w:val="19"/>
        <w:rPr>
          <w:rFonts w:ascii="仿宋" w:hAnsi="仿宋" w:eastAsia="仿宋" w:cs="仿宋"/>
          <w:color w:val="auto"/>
          <w:highlight w:val="none"/>
          <w:lang w:eastAsia="zh-CN"/>
        </w:rPr>
      </w:pPr>
    </w:p>
    <w:p w14:paraId="2ABCE34C">
      <w:pPr>
        <w:spacing w:line="360" w:lineRule="auto"/>
        <w:ind w:firstLine="482" w:firstLineChars="200"/>
        <w:rPr>
          <w:rFonts w:ascii="仿宋" w:hAnsi="仿宋" w:eastAsia="仿宋" w:cs="仿宋"/>
          <w:b/>
          <w:bCs/>
          <w:color w:val="auto"/>
          <w:sz w:val="24"/>
          <w:szCs w:val="24"/>
          <w:highlight w:val="none"/>
          <w:lang w:eastAsia="zh-CN"/>
        </w:rPr>
      </w:pPr>
      <w:r>
        <w:rPr>
          <w:rFonts w:hint="eastAsia" w:ascii="仿宋" w:hAnsi="仿宋" w:eastAsia="仿宋" w:cs="仿宋"/>
          <w:b/>
          <w:color w:val="auto"/>
          <w:sz w:val="24"/>
          <w:szCs w:val="24"/>
          <w:highlight w:val="none"/>
          <w:lang w:eastAsia="zh-CN"/>
        </w:rPr>
        <w:t>6.7单位负责人为同一人或者存在直接控股、管理关系的不同供应商， 未同时参加本项目投标的声明、主要股东及出资人信息</w:t>
      </w:r>
    </w:p>
    <w:p w14:paraId="2B68A65D">
      <w:pPr>
        <w:spacing w:line="360" w:lineRule="auto"/>
        <w:ind w:firstLine="480" w:firstLineChars="20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声  明  函</w:t>
      </w:r>
    </w:p>
    <w:p w14:paraId="68C309C3">
      <w:pPr>
        <w:spacing w:line="360" w:lineRule="auto"/>
        <w:ind w:firstLine="480" w:firstLineChars="200"/>
        <w:rPr>
          <w:rFonts w:ascii="仿宋" w:hAnsi="仿宋" w:eastAsia="仿宋" w:cs="仿宋"/>
          <w:color w:val="auto"/>
          <w:sz w:val="24"/>
          <w:szCs w:val="24"/>
          <w:highlight w:val="none"/>
          <w:lang w:eastAsia="zh-CN"/>
        </w:rPr>
      </w:pPr>
    </w:p>
    <w:p w14:paraId="1D5A5EB9">
      <w:pPr>
        <w:spacing w:line="360" w:lineRule="auto"/>
        <w:ind w:firstLine="480" w:firstLineChars="200"/>
        <w:rPr>
          <w:rFonts w:ascii="仿宋" w:hAnsi="仿宋" w:eastAsia="仿宋" w:cs="仿宋"/>
          <w:color w:val="auto"/>
          <w:sz w:val="24"/>
          <w:szCs w:val="24"/>
          <w:highlight w:val="none"/>
          <w:lang w:eastAsia="zh-CN"/>
        </w:rPr>
      </w:pPr>
    </w:p>
    <w:p w14:paraId="2EF0B3BA">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本单位在参与</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项目采购过程中特作以下承诺：</w:t>
      </w:r>
    </w:p>
    <w:p w14:paraId="632BBC36">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我单位负责人为同一人或者存在直接控股、管理关系的不同供应商，未同时参加本项目投标，具体信息如下：</w:t>
      </w:r>
    </w:p>
    <w:p w14:paraId="1FE05510">
      <w:pPr>
        <w:spacing w:line="360" w:lineRule="auto"/>
        <w:ind w:firstLine="480" w:firstLineChars="200"/>
        <w:rPr>
          <w:rFonts w:ascii="仿宋" w:hAnsi="仿宋" w:eastAsia="仿宋" w:cs="仿宋"/>
          <w:color w:val="auto"/>
          <w:sz w:val="24"/>
          <w:szCs w:val="24"/>
          <w:highlight w:val="none"/>
          <w:lang w:eastAsia="zh-CN"/>
        </w:rPr>
      </w:pPr>
    </w:p>
    <w:tbl>
      <w:tblPr>
        <w:tblStyle w:val="3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5"/>
        <w:gridCol w:w="4323"/>
      </w:tblGrid>
      <w:tr w14:paraId="57E78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tcPr>
          <w:p w14:paraId="7C2BFA6F">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与本单位单位负责人为同一人的其他单位名单</w:t>
            </w:r>
          </w:p>
        </w:tc>
        <w:tc>
          <w:tcPr>
            <w:tcW w:w="4323" w:type="dxa"/>
          </w:tcPr>
          <w:p w14:paraId="3E337A4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请如实填写，没有请在本栏填写“无”</w:t>
            </w:r>
          </w:p>
        </w:tc>
      </w:tr>
      <w:tr w14:paraId="16F9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tcPr>
          <w:p w14:paraId="68298F7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与本单位存在直接控股、管理关系的其他单位名单</w:t>
            </w:r>
          </w:p>
        </w:tc>
        <w:tc>
          <w:tcPr>
            <w:tcW w:w="4323" w:type="dxa"/>
          </w:tcPr>
          <w:p w14:paraId="1D7119DA">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请如实填写，没有请在本栏填写“无”</w:t>
            </w:r>
          </w:p>
        </w:tc>
      </w:tr>
    </w:tbl>
    <w:p w14:paraId="7E1619C7">
      <w:pPr>
        <w:spacing w:line="360" w:lineRule="auto"/>
        <w:ind w:firstLine="480" w:firstLineChars="200"/>
        <w:rPr>
          <w:rFonts w:ascii="仿宋" w:hAnsi="仿宋" w:eastAsia="仿宋" w:cs="仿宋"/>
          <w:color w:val="auto"/>
          <w:sz w:val="24"/>
          <w:szCs w:val="24"/>
          <w:highlight w:val="none"/>
          <w:lang w:eastAsia="zh-CN"/>
        </w:rPr>
      </w:pPr>
    </w:p>
    <w:p w14:paraId="30E7E553">
      <w:pPr>
        <w:spacing w:line="360" w:lineRule="auto"/>
        <w:ind w:firstLine="480" w:firstLineChars="200"/>
        <w:rPr>
          <w:rFonts w:ascii="仿宋" w:hAnsi="仿宋" w:eastAsia="仿宋" w:cs="仿宋"/>
          <w:color w:val="auto"/>
          <w:sz w:val="24"/>
          <w:szCs w:val="24"/>
          <w:highlight w:val="none"/>
          <w:lang w:eastAsia="zh-CN"/>
        </w:rPr>
      </w:pPr>
    </w:p>
    <w:p w14:paraId="4B55688F">
      <w:pPr>
        <w:spacing w:line="360" w:lineRule="auto"/>
        <w:ind w:firstLine="480" w:firstLineChars="200"/>
        <w:rPr>
          <w:rFonts w:ascii="仿宋" w:hAnsi="仿宋" w:eastAsia="仿宋" w:cs="仿宋"/>
          <w:color w:val="auto"/>
          <w:sz w:val="24"/>
          <w:szCs w:val="24"/>
          <w:highlight w:val="none"/>
          <w:lang w:eastAsia="zh-CN"/>
        </w:rPr>
      </w:pPr>
    </w:p>
    <w:p w14:paraId="269913C3">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997E333">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32F400AF">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55CAF54B">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66310F2B">
      <w:pPr>
        <w:rPr>
          <w:rFonts w:ascii="仿宋" w:hAnsi="仿宋" w:eastAsia="仿宋" w:cs="仿宋"/>
          <w:color w:val="auto"/>
          <w:highlight w:val="none"/>
          <w:lang w:eastAsia="zh-CN"/>
        </w:rPr>
      </w:pPr>
    </w:p>
    <w:p w14:paraId="031FC50F">
      <w:pPr>
        <w:rPr>
          <w:rFonts w:ascii="仿宋" w:hAnsi="仿宋" w:eastAsia="仿宋" w:cs="仿宋"/>
          <w:color w:val="auto"/>
          <w:highlight w:val="none"/>
          <w:lang w:eastAsia="zh-CN"/>
        </w:rPr>
      </w:pPr>
    </w:p>
    <w:p w14:paraId="74D77B28">
      <w:pPr>
        <w:rPr>
          <w:rFonts w:ascii="仿宋" w:hAnsi="仿宋" w:eastAsia="仿宋" w:cs="仿宋"/>
          <w:b/>
          <w:color w:val="auto"/>
          <w:sz w:val="24"/>
          <w:szCs w:val="24"/>
          <w:highlight w:val="none"/>
          <w:lang w:eastAsia="zh-CN"/>
        </w:rPr>
      </w:pPr>
    </w:p>
    <w:p w14:paraId="099C9BE8">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5815CCC0">
      <w:pPr>
        <w:pStyle w:val="10"/>
        <w:spacing w:line="480" w:lineRule="exact"/>
        <w:jc w:val="center"/>
        <w:rPr>
          <w:b/>
          <w:bCs/>
          <w:color w:val="auto"/>
          <w:szCs w:val="24"/>
          <w:highlight w:val="none"/>
        </w:rPr>
      </w:pPr>
      <w:r>
        <w:rPr>
          <w:rFonts w:hint="eastAsia"/>
          <w:b/>
          <w:bCs/>
          <w:color w:val="auto"/>
          <w:szCs w:val="24"/>
          <w:highlight w:val="none"/>
        </w:rPr>
        <w:t>主要股东及出资人信息</w:t>
      </w:r>
    </w:p>
    <w:p w14:paraId="575CC7CD">
      <w:pPr>
        <w:rPr>
          <w:rFonts w:ascii="仿宋" w:hAnsi="仿宋" w:eastAsia="仿宋" w:cs="仿宋"/>
          <w:color w:val="auto"/>
          <w:sz w:val="24"/>
          <w:szCs w:val="24"/>
          <w:highlight w:val="none"/>
        </w:rPr>
      </w:pPr>
    </w:p>
    <w:p w14:paraId="1D69EC73">
      <w:pPr>
        <w:pStyle w:val="10"/>
        <w:rPr>
          <w:color w:val="auto"/>
          <w:szCs w:val="24"/>
          <w:highlight w:val="none"/>
        </w:rPr>
      </w:pPr>
    </w:p>
    <w:tbl>
      <w:tblPr>
        <w:tblStyle w:val="26"/>
        <w:tblW w:w="905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0"/>
        <w:gridCol w:w="2284"/>
        <w:gridCol w:w="1228"/>
        <w:gridCol w:w="1453"/>
        <w:gridCol w:w="1365"/>
        <w:gridCol w:w="727"/>
      </w:tblGrid>
      <w:tr w14:paraId="0016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75" w:type="dxa"/>
            <w:vAlign w:val="center"/>
          </w:tcPr>
          <w:p w14:paraId="03A0BD9D">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20" w:type="dxa"/>
            <w:vAlign w:val="center"/>
          </w:tcPr>
          <w:p w14:paraId="4896EE9A">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p w14:paraId="614C571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284" w:type="dxa"/>
            <w:vAlign w:val="center"/>
          </w:tcPr>
          <w:p w14:paraId="48B71D8C">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统一社会信用代码（身份证号）</w:t>
            </w:r>
          </w:p>
        </w:tc>
        <w:tc>
          <w:tcPr>
            <w:tcW w:w="1228" w:type="dxa"/>
            <w:vAlign w:val="center"/>
          </w:tcPr>
          <w:p w14:paraId="33F5632B">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出资方式</w:t>
            </w:r>
          </w:p>
        </w:tc>
        <w:tc>
          <w:tcPr>
            <w:tcW w:w="1453" w:type="dxa"/>
            <w:vAlign w:val="center"/>
          </w:tcPr>
          <w:p w14:paraId="67EA444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出资金额（万元）</w:t>
            </w:r>
          </w:p>
        </w:tc>
        <w:tc>
          <w:tcPr>
            <w:tcW w:w="1365" w:type="dxa"/>
            <w:vAlign w:val="center"/>
          </w:tcPr>
          <w:p w14:paraId="21497770">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占全部股份比列</w:t>
            </w:r>
          </w:p>
        </w:tc>
        <w:tc>
          <w:tcPr>
            <w:tcW w:w="727" w:type="dxa"/>
            <w:vAlign w:val="center"/>
          </w:tcPr>
          <w:p w14:paraId="1A77C6E7">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AA3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70263BE3">
            <w:pPr>
              <w:spacing w:line="360" w:lineRule="auto"/>
              <w:ind w:firstLine="645"/>
              <w:rPr>
                <w:rFonts w:ascii="仿宋" w:hAnsi="仿宋" w:eastAsia="仿宋" w:cs="仿宋"/>
                <w:color w:val="auto"/>
                <w:sz w:val="24"/>
                <w:szCs w:val="24"/>
                <w:highlight w:val="none"/>
              </w:rPr>
            </w:pPr>
          </w:p>
        </w:tc>
        <w:tc>
          <w:tcPr>
            <w:tcW w:w="1320" w:type="dxa"/>
          </w:tcPr>
          <w:p w14:paraId="05D46A02">
            <w:pPr>
              <w:spacing w:line="360" w:lineRule="auto"/>
              <w:ind w:firstLine="645"/>
              <w:rPr>
                <w:rFonts w:ascii="仿宋" w:hAnsi="仿宋" w:eastAsia="仿宋" w:cs="仿宋"/>
                <w:color w:val="auto"/>
                <w:sz w:val="24"/>
                <w:szCs w:val="24"/>
                <w:highlight w:val="none"/>
              </w:rPr>
            </w:pPr>
          </w:p>
        </w:tc>
        <w:tc>
          <w:tcPr>
            <w:tcW w:w="2284" w:type="dxa"/>
          </w:tcPr>
          <w:p w14:paraId="40F3771D">
            <w:pPr>
              <w:spacing w:line="360" w:lineRule="auto"/>
              <w:ind w:firstLine="645"/>
              <w:rPr>
                <w:rFonts w:ascii="仿宋" w:hAnsi="仿宋" w:eastAsia="仿宋" w:cs="仿宋"/>
                <w:color w:val="auto"/>
                <w:sz w:val="24"/>
                <w:szCs w:val="24"/>
                <w:highlight w:val="none"/>
              </w:rPr>
            </w:pPr>
          </w:p>
        </w:tc>
        <w:tc>
          <w:tcPr>
            <w:tcW w:w="1228" w:type="dxa"/>
          </w:tcPr>
          <w:p w14:paraId="572D69B4">
            <w:pPr>
              <w:spacing w:line="360" w:lineRule="auto"/>
              <w:ind w:firstLine="645"/>
              <w:rPr>
                <w:rFonts w:ascii="仿宋" w:hAnsi="仿宋" w:eastAsia="仿宋" w:cs="仿宋"/>
                <w:color w:val="auto"/>
                <w:sz w:val="24"/>
                <w:szCs w:val="24"/>
                <w:highlight w:val="none"/>
              </w:rPr>
            </w:pPr>
          </w:p>
        </w:tc>
        <w:tc>
          <w:tcPr>
            <w:tcW w:w="1453" w:type="dxa"/>
          </w:tcPr>
          <w:p w14:paraId="043CF3E3">
            <w:pPr>
              <w:spacing w:line="360" w:lineRule="auto"/>
              <w:ind w:firstLine="645"/>
              <w:rPr>
                <w:rFonts w:ascii="仿宋" w:hAnsi="仿宋" w:eastAsia="仿宋" w:cs="仿宋"/>
                <w:color w:val="auto"/>
                <w:sz w:val="24"/>
                <w:szCs w:val="24"/>
                <w:highlight w:val="none"/>
              </w:rPr>
            </w:pPr>
          </w:p>
        </w:tc>
        <w:tc>
          <w:tcPr>
            <w:tcW w:w="1365" w:type="dxa"/>
          </w:tcPr>
          <w:p w14:paraId="3165089C">
            <w:pPr>
              <w:spacing w:line="360" w:lineRule="auto"/>
              <w:ind w:firstLine="645"/>
              <w:rPr>
                <w:rFonts w:ascii="仿宋" w:hAnsi="仿宋" w:eastAsia="仿宋" w:cs="仿宋"/>
                <w:color w:val="auto"/>
                <w:sz w:val="24"/>
                <w:szCs w:val="24"/>
                <w:highlight w:val="none"/>
              </w:rPr>
            </w:pPr>
          </w:p>
        </w:tc>
        <w:tc>
          <w:tcPr>
            <w:tcW w:w="727" w:type="dxa"/>
          </w:tcPr>
          <w:p w14:paraId="0C08048B">
            <w:pPr>
              <w:spacing w:line="360" w:lineRule="auto"/>
              <w:ind w:firstLine="645"/>
              <w:rPr>
                <w:rFonts w:ascii="仿宋" w:hAnsi="仿宋" w:eastAsia="仿宋" w:cs="仿宋"/>
                <w:color w:val="auto"/>
                <w:sz w:val="24"/>
                <w:szCs w:val="24"/>
                <w:highlight w:val="none"/>
              </w:rPr>
            </w:pPr>
          </w:p>
        </w:tc>
      </w:tr>
      <w:tr w14:paraId="6406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4A69E877">
            <w:pPr>
              <w:spacing w:line="360" w:lineRule="auto"/>
              <w:ind w:firstLine="645"/>
              <w:rPr>
                <w:rFonts w:ascii="仿宋" w:hAnsi="仿宋" w:eastAsia="仿宋" w:cs="仿宋"/>
                <w:color w:val="auto"/>
                <w:sz w:val="24"/>
                <w:szCs w:val="24"/>
                <w:highlight w:val="none"/>
              </w:rPr>
            </w:pPr>
          </w:p>
        </w:tc>
        <w:tc>
          <w:tcPr>
            <w:tcW w:w="1320" w:type="dxa"/>
          </w:tcPr>
          <w:p w14:paraId="5C07EF0D">
            <w:pPr>
              <w:spacing w:line="360" w:lineRule="auto"/>
              <w:ind w:firstLine="645"/>
              <w:rPr>
                <w:rFonts w:ascii="仿宋" w:hAnsi="仿宋" w:eastAsia="仿宋" w:cs="仿宋"/>
                <w:color w:val="auto"/>
                <w:sz w:val="24"/>
                <w:szCs w:val="24"/>
                <w:highlight w:val="none"/>
              </w:rPr>
            </w:pPr>
          </w:p>
        </w:tc>
        <w:tc>
          <w:tcPr>
            <w:tcW w:w="2284" w:type="dxa"/>
          </w:tcPr>
          <w:p w14:paraId="376AAD0D">
            <w:pPr>
              <w:spacing w:line="360" w:lineRule="auto"/>
              <w:ind w:firstLine="645"/>
              <w:rPr>
                <w:rFonts w:ascii="仿宋" w:hAnsi="仿宋" w:eastAsia="仿宋" w:cs="仿宋"/>
                <w:color w:val="auto"/>
                <w:sz w:val="24"/>
                <w:szCs w:val="24"/>
                <w:highlight w:val="none"/>
              </w:rPr>
            </w:pPr>
          </w:p>
        </w:tc>
        <w:tc>
          <w:tcPr>
            <w:tcW w:w="1228" w:type="dxa"/>
          </w:tcPr>
          <w:p w14:paraId="127D91B5">
            <w:pPr>
              <w:spacing w:line="360" w:lineRule="auto"/>
              <w:ind w:firstLine="645"/>
              <w:rPr>
                <w:rFonts w:ascii="仿宋" w:hAnsi="仿宋" w:eastAsia="仿宋" w:cs="仿宋"/>
                <w:color w:val="auto"/>
                <w:sz w:val="24"/>
                <w:szCs w:val="24"/>
                <w:highlight w:val="none"/>
              </w:rPr>
            </w:pPr>
          </w:p>
        </w:tc>
        <w:tc>
          <w:tcPr>
            <w:tcW w:w="1453" w:type="dxa"/>
          </w:tcPr>
          <w:p w14:paraId="764B9941">
            <w:pPr>
              <w:spacing w:line="360" w:lineRule="auto"/>
              <w:ind w:firstLine="645"/>
              <w:rPr>
                <w:rFonts w:ascii="仿宋" w:hAnsi="仿宋" w:eastAsia="仿宋" w:cs="仿宋"/>
                <w:color w:val="auto"/>
                <w:sz w:val="24"/>
                <w:szCs w:val="24"/>
                <w:highlight w:val="none"/>
              </w:rPr>
            </w:pPr>
          </w:p>
        </w:tc>
        <w:tc>
          <w:tcPr>
            <w:tcW w:w="1365" w:type="dxa"/>
          </w:tcPr>
          <w:p w14:paraId="4D433DE9">
            <w:pPr>
              <w:spacing w:line="360" w:lineRule="auto"/>
              <w:ind w:firstLine="645"/>
              <w:rPr>
                <w:rFonts w:ascii="仿宋" w:hAnsi="仿宋" w:eastAsia="仿宋" w:cs="仿宋"/>
                <w:color w:val="auto"/>
                <w:sz w:val="24"/>
                <w:szCs w:val="24"/>
                <w:highlight w:val="none"/>
              </w:rPr>
            </w:pPr>
          </w:p>
        </w:tc>
        <w:tc>
          <w:tcPr>
            <w:tcW w:w="727" w:type="dxa"/>
          </w:tcPr>
          <w:p w14:paraId="27AAF1AE">
            <w:pPr>
              <w:spacing w:line="360" w:lineRule="auto"/>
              <w:ind w:firstLine="645"/>
              <w:rPr>
                <w:rFonts w:ascii="仿宋" w:hAnsi="仿宋" w:eastAsia="仿宋" w:cs="仿宋"/>
                <w:color w:val="auto"/>
                <w:sz w:val="24"/>
                <w:szCs w:val="24"/>
                <w:highlight w:val="none"/>
              </w:rPr>
            </w:pPr>
          </w:p>
        </w:tc>
      </w:tr>
      <w:tr w14:paraId="559F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6748B91C">
            <w:pPr>
              <w:spacing w:line="360" w:lineRule="auto"/>
              <w:ind w:firstLine="645"/>
              <w:rPr>
                <w:rFonts w:ascii="仿宋" w:hAnsi="仿宋" w:eastAsia="仿宋" w:cs="仿宋"/>
                <w:color w:val="auto"/>
                <w:sz w:val="24"/>
                <w:szCs w:val="24"/>
                <w:highlight w:val="none"/>
              </w:rPr>
            </w:pPr>
          </w:p>
        </w:tc>
        <w:tc>
          <w:tcPr>
            <w:tcW w:w="1320" w:type="dxa"/>
          </w:tcPr>
          <w:p w14:paraId="6BF24A60">
            <w:pPr>
              <w:spacing w:line="360" w:lineRule="auto"/>
              <w:ind w:firstLine="645"/>
              <w:rPr>
                <w:rFonts w:ascii="仿宋" w:hAnsi="仿宋" w:eastAsia="仿宋" w:cs="仿宋"/>
                <w:color w:val="auto"/>
                <w:sz w:val="24"/>
                <w:szCs w:val="24"/>
                <w:highlight w:val="none"/>
              </w:rPr>
            </w:pPr>
          </w:p>
        </w:tc>
        <w:tc>
          <w:tcPr>
            <w:tcW w:w="2284" w:type="dxa"/>
          </w:tcPr>
          <w:p w14:paraId="491C3199">
            <w:pPr>
              <w:spacing w:line="360" w:lineRule="auto"/>
              <w:ind w:firstLine="645"/>
              <w:rPr>
                <w:rFonts w:ascii="仿宋" w:hAnsi="仿宋" w:eastAsia="仿宋" w:cs="仿宋"/>
                <w:color w:val="auto"/>
                <w:sz w:val="24"/>
                <w:szCs w:val="24"/>
                <w:highlight w:val="none"/>
              </w:rPr>
            </w:pPr>
          </w:p>
        </w:tc>
        <w:tc>
          <w:tcPr>
            <w:tcW w:w="1228" w:type="dxa"/>
          </w:tcPr>
          <w:p w14:paraId="59A783A3">
            <w:pPr>
              <w:spacing w:line="360" w:lineRule="auto"/>
              <w:ind w:firstLine="645"/>
              <w:rPr>
                <w:rFonts w:ascii="仿宋" w:hAnsi="仿宋" w:eastAsia="仿宋" w:cs="仿宋"/>
                <w:color w:val="auto"/>
                <w:sz w:val="24"/>
                <w:szCs w:val="24"/>
                <w:highlight w:val="none"/>
              </w:rPr>
            </w:pPr>
          </w:p>
        </w:tc>
        <w:tc>
          <w:tcPr>
            <w:tcW w:w="1453" w:type="dxa"/>
          </w:tcPr>
          <w:p w14:paraId="0A71E1E1">
            <w:pPr>
              <w:spacing w:line="360" w:lineRule="auto"/>
              <w:ind w:firstLine="645"/>
              <w:rPr>
                <w:rFonts w:ascii="仿宋" w:hAnsi="仿宋" w:eastAsia="仿宋" w:cs="仿宋"/>
                <w:color w:val="auto"/>
                <w:sz w:val="24"/>
                <w:szCs w:val="24"/>
                <w:highlight w:val="none"/>
              </w:rPr>
            </w:pPr>
          </w:p>
        </w:tc>
        <w:tc>
          <w:tcPr>
            <w:tcW w:w="1365" w:type="dxa"/>
          </w:tcPr>
          <w:p w14:paraId="4DF32A29">
            <w:pPr>
              <w:spacing w:line="360" w:lineRule="auto"/>
              <w:ind w:firstLine="645"/>
              <w:rPr>
                <w:rFonts w:ascii="仿宋" w:hAnsi="仿宋" w:eastAsia="仿宋" w:cs="仿宋"/>
                <w:color w:val="auto"/>
                <w:sz w:val="24"/>
                <w:szCs w:val="24"/>
                <w:highlight w:val="none"/>
              </w:rPr>
            </w:pPr>
          </w:p>
        </w:tc>
        <w:tc>
          <w:tcPr>
            <w:tcW w:w="727" w:type="dxa"/>
          </w:tcPr>
          <w:p w14:paraId="04A5544B">
            <w:pPr>
              <w:spacing w:line="360" w:lineRule="auto"/>
              <w:ind w:firstLine="645"/>
              <w:rPr>
                <w:rFonts w:ascii="仿宋" w:hAnsi="仿宋" w:eastAsia="仿宋" w:cs="仿宋"/>
                <w:color w:val="auto"/>
                <w:sz w:val="24"/>
                <w:szCs w:val="24"/>
                <w:highlight w:val="none"/>
              </w:rPr>
            </w:pPr>
          </w:p>
        </w:tc>
      </w:tr>
      <w:tr w14:paraId="516A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626D21F2">
            <w:pPr>
              <w:spacing w:line="360" w:lineRule="auto"/>
              <w:ind w:firstLine="645"/>
              <w:rPr>
                <w:rFonts w:ascii="仿宋" w:hAnsi="仿宋" w:eastAsia="仿宋" w:cs="仿宋"/>
                <w:color w:val="auto"/>
                <w:sz w:val="24"/>
                <w:szCs w:val="24"/>
                <w:highlight w:val="none"/>
              </w:rPr>
            </w:pPr>
          </w:p>
        </w:tc>
        <w:tc>
          <w:tcPr>
            <w:tcW w:w="1320" w:type="dxa"/>
          </w:tcPr>
          <w:p w14:paraId="0FBC2433">
            <w:pPr>
              <w:spacing w:line="360" w:lineRule="auto"/>
              <w:ind w:firstLine="645"/>
              <w:rPr>
                <w:rFonts w:ascii="仿宋" w:hAnsi="仿宋" w:eastAsia="仿宋" w:cs="仿宋"/>
                <w:color w:val="auto"/>
                <w:sz w:val="24"/>
                <w:szCs w:val="24"/>
                <w:highlight w:val="none"/>
              </w:rPr>
            </w:pPr>
          </w:p>
        </w:tc>
        <w:tc>
          <w:tcPr>
            <w:tcW w:w="2284" w:type="dxa"/>
          </w:tcPr>
          <w:p w14:paraId="3FC55F7E">
            <w:pPr>
              <w:spacing w:line="360" w:lineRule="auto"/>
              <w:ind w:firstLine="645"/>
              <w:rPr>
                <w:rFonts w:ascii="仿宋" w:hAnsi="仿宋" w:eastAsia="仿宋" w:cs="仿宋"/>
                <w:color w:val="auto"/>
                <w:sz w:val="24"/>
                <w:szCs w:val="24"/>
                <w:highlight w:val="none"/>
              </w:rPr>
            </w:pPr>
          </w:p>
        </w:tc>
        <w:tc>
          <w:tcPr>
            <w:tcW w:w="1228" w:type="dxa"/>
          </w:tcPr>
          <w:p w14:paraId="11ED29A3">
            <w:pPr>
              <w:spacing w:line="360" w:lineRule="auto"/>
              <w:ind w:firstLine="645"/>
              <w:rPr>
                <w:rFonts w:ascii="仿宋" w:hAnsi="仿宋" w:eastAsia="仿宋" w:cs="仿宋"/>
                <w:color w:val="auto"/>
                <w:sz w:val="24"/>
                <w:szCs w:val="24"/>
                <w:highlight w:val="none"/>
              </w:rPr>
            </w:pPr>
          </w:p>
        </w:tc>
        <w:tc>
          <w:tcPr>
            <w:tcW w:w="1453" w:type="dxa"/>
          </w:tcPr>
          <w:p w14:paraId="526302EB">
            <w:pPr>
              <w:spacing w:line="360" w:lineRule="auto"/>
              <w:ind w:firstLine="645"/>
              <w:rPr>
                <w:rFonts w:ascii="仿宋" w:hAnsi="仿宋" w:eastAsia="仿宋" w:cs="仿宋"/>
                <w:color w:val="auto"/>
                <w:sz w:val="24"/>
                <w:szCs w:val="24"/>
                <w:highlight w:val="none"/>
              </w:rPr>
            </w:pPr>
          </w:p>
        </w:tc>
        <w:tc>
          <w:tcPr>
            <w:tcW w:w="1365" w:type="dxa"/>
          </w:tcPr>
          <w:p w14:paraId="3B73CDC2">
            <w:pPr>
              <w:spacing w:line="360" w:lineRule="auto"/>
              <w:ind w:firstLine="645"/>
              <w:rPr>
                <w:rFonts w:ascii="仿宋" w:hAnsi="仿宋" w:eastAsia="仿宋" w:cs="仿宋"/>
                <w:color w:val="auto"/>
                <w:sz w:val="24"/>
                <w:szCs w:val="24"/>
                <w:highlight w:val="none"/>
              </w:rPr>
            </w:pPr>
          </w:p>
        </w:tc>
        <w:tc>
          <w:tcPr>
            <w:tcW w:w="727" w:type="dxa"/>
          </w:tcPr>
          <w:p w14:paraId="64A963E4">
            <w:pPr>
              <w:spacing w:line="360" w:lineRule="auto"/>
              <w:ind w:firstLine="645"/>
              <w:rPr>
                <w:rFonts w:ascii="仿宋" w:hAnsi="仿宋" w:eastAsia="仿宋" w:cs="仿宋"/>
                <w:color w:val="auto"/>
                <w:sz w:val="24"/>
                <w:szCs w:val="24"/>
                <w:highlight w:val="none"/>
              </w:rPr>
            </w:pPr>
          </w:p>
        </w:tc>
      </w:tr>
      <w:tr w14:paraId="6BC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6BD70A8C">
            <w:pPr>
              <w:spacing w:line="360" w:lineRule="auto"/>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20" w:type="dxa"/>
          </w:tcPr>
          <w:p w14:paraId="33BC8A55">
            <w:pPr>
              <w:spacing w:line="360" w:lineRule="auto"/>
              <w:ind w:firstLine="645"/>
              <w:rPr>
                <w:rFonts w:ascii="仿宋" w:hAnsi="仿宋" w:eastAsia="仿宋" w:cs="仿宋"/>
                <w:color w:val="auto"/>
                <w:sz w:val="24"/>
                <w:szCs w:val="24"/>
                <w:highlight w:val="none"/>
              </w:rPr>
            </w:pPr>
          </w:p>
        </w:tc>
        <w:tc>
          <w:tcPr>
            <w:tcW w:w="2284" w:type="dxa"/>
          </w:tcPr>
          <w:p w14:paraId="6313A0E4">
            <w:pPr>
              <w:spacing w:line="360" w:lineRule="auto"/>
              <w:ind w:firstLine="645"/>
              <w:rPr>
                <w:rFonts w:ascii="仿宋" w:hAnsi="仿宋" w:eastAsia="仿宋" w:cs="仿宋"/>
                <w:color w:val="auto"/>
                <w:sz w:val="24"/>
                <w:szCs w:val="24"/>
                <w:highlight w:val="none"/>
              </w:rPr>
            </w:pPr>
          </w:p>
        </w:tc>
        <w:tc>
          <w:tcPr>
            <w:tcW w:w="1228" w:type="dxa"/>
          </w:tcPr>
          <w:p w14:paraId="031025A5">
            <w:pPr>
              <w:spacing w:line="360" w:lineRule="auto"/>
              <w:ind w:firstLine="645"/>
              <w:rPr>
                <w:rFonts w:ascii="仿宋" w:hAnsi="仿宋" w:eastAsia="仿宋" w:cs="仿宋"/>
                <w:color w:val="auto"/>
                <w:sz w:val="24"/>
                <w:szCs w:val="24"/>
                <w:highlight w:val="none"/>
              </w:rPr>
            </w:pPr>
          </w:p>
        </w:tc>
        <w:tc>
          <w:tcPr>
            <w:tcW w:w="1453" w:type="dxa"/>
          </w:tcPr>
          <w:p w14:paraId="1D80E41D">
            <w:pPr>
              <w:spacing w:line="360" w:lineRule="auto"/>
              <w:ind w:firstLine="645"/>
              <w:rPr>
                <w:rFonts w:ascii="仿宋" w:hAnsi="仿宋" w:eastAsia="仿宋" w:cs="仿宋"/>
                <w:color w:val="auto"/>
                <w:sz w:val="24"/>
                <w:szCs w:val="24"/>
                <w:highlight w:val="none"/>
              </w:rPr>
            </w:pPr>
          </w:p>
        </w:tc>
        <w:tc>
          <w:tcPr>
            <w:tcW w:w="1365" w:type="dxa"/>
          </w:tcPr>
          <w:p w14:paraId="74BBF6B7">
            <w:pPr>
              <w:spacing w:line="360" w:lineRule="auto"/>
              <w:ind w:firstLine="645"/>
              <w:rPr>
                <w:rFonts w:ascii="仿宋" w:hAnsi="仿宋" w:eastAsia="仿宋" w:cs="仿宋"/>
                <w:color w:val="auto"/>
                <w:sz w:val="24"/>
                <w:szCs w:val="24"/>
                <w:highlight w:val="none"/>
              </w:rPr>
            </w:pPr>
          </w:p>
        </w:tc>
        <w:tc>
          <w:tcPr>
            <w:tcW w:w="727" w:type="dxa"/>
          </w:tcPr>
          <w:p w14:paraId="69F4B494">
            <w:pPr>
              <w:spacing w:line="360" w:lineRule="auto"/>
              <w:ind w:firstLine="645"/>
              <w:rPr>
                <w:rFonts w:ascii="仿宋" w:hAnsi="仿宋" w:eastAsia="仿宋" w:cs="仿宋"/>
                <w:color w:val="auto"/>
                <w:sz w:val="24"/>
                <w:szCs w:val="24"/>
                <w:highlight w:val="none"/>
              </w:rPr>
            </w:pPr>
          </w:p>
        </w:tc>
      </w:tr>
    </w:tbl>
    <w:p w14:paraId="5117DD88">
      <w:pPr>
        <w:spacing w:line="360" w:lineRule="auto"/>
        <w:ind w:firstLine="645"/>
        <w:rPr>
          <w:rFonts w:ascii="仿宋" w:hAnsi="仿宋" w:eastAsia="仿宋" w:cs="仿宋"/>
          <w:color w:val="auto"/>
          <w:sz w:val="24"/>
          <w:szCs w:val="24"/>
          <w:highlight w:val="none"/>
        </w:rPr>
      </w:pPr>
    </w:p>
    <w:p w14:paraId="1B9A7D34">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我方承诺，以上信息真实可靠，如填报的股东出资额、出资比例等与实际不符，视为放弃中标资格。</w:t>
      </w:r>
    </w:p>
    <w:p w14:paraId="10C202B8">
      <w:pPr>
        <w:spacing w:line="360" w:lineRule="auto"/>
        <w:ind w:firstLine="645"/>
        <w:rPr>
          <w:rFonts w:ascii="仿宋" w:hAnsi="仿宋" w:eastAsia="仿宋" w:cs="仿宋"/>
          <w:color w:val="auto"/>
          <w:sz w:val="24"/>
          <w:szCs w:val="24"/>
          <w:highlight w:val="none"/>
          <w:lang w:eastAsia="zh-CN"/>
        </w:rPr>
      </w:pPr>
    </w:p>
    <w:p w14:paraId="7DEF039D">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p w14:paraId="556A95C5">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1.主要股东或出资人为法人的，填写法人全称及统一社会信用代码（尚未办理三证合一的填写组织机构代码）；为自然人的，填写自然人姓名和身份证号。</w:t>
      </w:r>
    </w:p>
    <w:p w14:paraId="75008A71">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2.出资方式填写货币、实物、工艺产权和非专利技术、土地使用权等。</w:t>
      </w:r>
    </w:p>
    <w:p w14:paraId="30CC1620">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3.投标供应商应按照占全部股份比例从大到小依次逐个股东填写，股东数量多于10个的，填写前10名，不足10个的全部填写。</w:t>
      </w:r>
    </w:p>
    <w:p w14:paraId="207993E2">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732AF8CD">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5297B70C">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21563AD3">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041B86F9">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2F15BB86">
      <w:pPr>
        <w:spacing w:line="360" w:lineRule="auto"/>
        <w:ind w:firstLine="482" w:firstLineChars="200"/>
        <w:jc w:val="center"/>
        <w:rPr>
          <w:rFonts w:ascii="仿宋" w:hAnsi="仿宋" w:eastAsia="仿宋" w:cs="仿宋"/>
          <w:b/>
          <w:color w:val="auto"/>
          <w:sz w:val="24"/>
          <w:szCs w:val="24"/>
          <w:highlight w:val="none"/>
          <w:lang w:eastAsia="zh-CN"/>
        </w:rPr>
      </w:pPr>
      <w:bookmarkStart w:id="241" w:name="_Toc30231"/>
      <w:r>
        <w:rPr>
          <w:rFonts w:hint="eastAsia" w:ascii="仿宋" w:hAnsi="仿宋" w:eastAsia="仿宋" w:cs="仿宋"/>
          <w:b/>
          <w:color w:val="auto"/>
          <w:sz w:val="24"/>
          <w:szCs w:val="24"/>
          <w:highlight w:val="none"/>
          <w:lang w:eastAsia="zh-CN"/>
        </w:rPr>
        <w:t>七、供应商近年类似项目情况表</w:t>
      </w:r>
      <w:bookmarkEnd w:id="237"/>
      <w:bookmarkEnd w:id="238"/>
      <w:bookmarkEnd w:id="239"/>
      <w:bookmarkEnd w:id="240"/>
      <w:bookmarkEnd w:id="241"/>
    </w:p>
    <w:p w14:paraId="6FC7DEF1">
      <w:pPr>
        <w:spacing w:line="360" w:lineRule="auto"/>
        <w:rPr>
          <w:rFonts w:ascii="仿宋" w:hAnsi="仿宋" w:eastAsia="仿宋" w:cs="仿宋"/>
          <w:color w:val="auto"/>
          <w:sz w:val="24"/>
          <w:szCs w:val="24"/>
          <w:highlight w:val="none"/>
          <w:lang w:eastAsia="zh-CN"/>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1233"/>
        <w:gridCol w:w="963"/>
        <w:gridCol w:w="1922"/>
        <w:gridCol w:w="1212"/>
        <w:gridCol w:w="1232"/>
        <w:gridCol w:w="1232"/>
        <w:gridCol w:w="795"/>
      </w:tblGrid>
      <w:tr w14:paraId="28135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61C0A688">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33" w:type="dxa"/>
          </w:tcPr>
          <w:p w14:paraId="36C1874C">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963" w:type="dxa"/>
          </w:tcPr>
          <w:p w14:paraId="39704AEC">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1922" w:type="dxa"/>
          </w:tcPr>
          <w:p w14:paraId="23F7112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采购人联系方式</w:t>
            </w:r>
          </w:p>
        </w:tc>
        <w:tc>
          <w:tcPr>
            <w:tcW w:w="1212" w:type="dxa"/>
          </w:tcPr>
          <w:p w14:paraId="585AFC8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合同内容</w:t>
            </w:r>
          </w:p>
        </w:tc>
        <w:tc>
          <w:tcPr>
            <w:tcW w:w="1232" w:type="dxa"/>
          </w:tcPr>
          <w:p w14:paraId="3597D48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1232" w:type="dxa"/>
          </w:tcPr>
          <w:p w14:paraId="1CC17CC4">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w:t>
            </w:r>
          </w:p>
        </w:tc>
        <w:tc>
          <w:tcPr>
            <w:tcW w:w="795" w:type="dxa"/>
          </w:tcPr>
          <w:p w14:paraId="45DC1B62">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187B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806E64E">
            <w:pPr>
              <w:rPr>
                <w:rFonts w:ascii="仿宋" w:hAnsi="仿宋" w:eastAsia="仿宋" w:cs="仿宋"/>
                <w:color w:val="auto"/>
                <w:sz w:val="24"/>
                <w:szCs w:val="24"/>
                <w:highlight w:val="none"/>
              </w:rPr>
            </w:pPr>
          </w:p>
        </w:tc>
        <w:tc>
          <w:tcPr>
            <w:tcW w:w="1233" w:type="dxa"/>
          </w:tcPr>
          <w:p w14:paraId="0BBDFC15">
            <w:pPr>
              <w:rPr>
                <w:rFonts w:ascii="仿宋" w:hAnsi="仿宋" w:eastAsia="仿宋" w:cs="仿宋"/>
                <w:color w:val="auto"/>
                <w:sz w:val="24"/>
                <w:szCs w:val="24"/>
                <w:highlight w:val="none"/>
              </w:rPr>
            </w:pPr>
          </w:p>
        </w:tc>
        <w:tc>
          <w:tcPr>
            <w:tcW w:w="963" w:type="dxa"/>
          </w:tcPr>
          <w:p w14:paraId="127C5885">
            <w:pPr>
              <w:rPr>
                <w:rFonts w:ascii="仿宋" w:hAnsi="仿宋" w:eastAsia="仿宋" w:cs="仿宋"/>
                <w:color w:val="auto"/>
                <w:sz w:val="24"/>
                <w:szCs w:val="24"/>
                <w:highlight w:val="none"/>
              </w:rPr>
            </w:pPr>
          </w:p>
        </w:tc>
        <w:tc>
          <w:tcPr>
            <w:tcW w:w="1922" w:type="dxa"/>
          </w:tcPr>
          <w:p w14:paraId="475CA435">
            <w:pPr>
              <w:rPr>
                <w:rFonts w:ascii="仿宋" w:hAnsi="仿宋" w:eastAsia="仿宋" w:cs="仿宋"/>
                <w:color w:val="auto"/>
                <w:sz w:val="24"/>
                <w:szCs w:val="24"/>
                <w:highlight w:val="none"/>
              </w:rPr>
            </w:pPr>
          </w:p>
        </w:tc>
        <w:tc>
          <w:tcPr>
            <w:tcW w:w="1212" w:type="dxa"/>
          </w:tcPr>
          <w:p w14:paraId="48146071">
            <w:pPr>
              <w:rPr>
                <w:rFonts w:ascii="仿宋" w:hAnsi="仿宋" w:eastAsia="仿宋" w:cs="仿宋"/>
                <w:color w:val="auto"/>
                <w:sz w:val="24"/>
                <w:szCs w:val="24"/>
                <w:highlight w:val="none"/>
              </w:rPr>
            </w:pPr>
          </w:p>
        </w:tc>
        <w:tc>
          <w:tcPr>
            <w:tcW w:w="1232" w:type="dxa"/>
          </w:tcPr>
          <w:p w14:paraId="50C4AB10">
            <w:pPr>
              <w:rPr>
                <w:rFonts w:ascii="仿宋" w:hAnsi="仿宋" w:eastAsia="仿宋" w:cs="仿宋"/>
                <w:color w:val="auto"/>
                <w:sz w:val="24"/>
                <w:szCs w:val="24"/>
                <w:highlight w:val="none"/>
              </w:rPr>
            </w:pPr>
          </w:p>
        </w:tc>
        <w:tc>
          <w:tcPr>
            <w:tcW w:w="1232" w:type="dxa"/>
          </w:tcPr>
          <w:p w14:paraId="23E360C0">
            <w:pPr>
              <w:rPr>
                <w:rFonts w:ascii="仿宋" w:hAnsi="仿宋" w:eastAsia="仿宋" w:cs="仿宋"/>
                <w:color w:val="auto"/>
                <w:sz w:val="24"/>
                <w:szCs w:val="24"/>
                <w:highlight w:val="none"/>
              </w:rPr>
            </w:pPr>
          </w:p>
        </w:tc>
        <w:tc>
          <w:tcPr>
            <w:tcW w:w="795" w:type="dxa"/>
          </w:tcPr>
          <w:p w14:paraId="65037AB7">
            <w:pPr>
              <w:rPr>
                <w:rFonts w:ascii="仿宋" w:hAnsi="仿宋" w:eastAsia="仿宋" w:cs="仿宋"/>
                <w:color w:val="auto"/>
                <w:sz w:val="24"/>
                <w:szCs w:val="24"/>
                <w:highlight w:val="none"/>
              </w:rPr>
            </w:pPr>
          </w:p>
        </w:tc>
      </w:tr>
      <w:tr w14:paraId="5BCD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5F8E528A">
            <w:pPr>
              <w:rPr>
                <w:rFonts w:ascii="仿宋" w:hAnsi="仿宋" w:eastAsia="仿宋" w:cs="仿宋"/>
                <w:color w:val="auto"/>
                <w:sz w:val="24"/>
                <w:szCs w:val="24"/>
                <w:highlight w:val="none"/>
              </w:rPr>
            </w:pPr>
          </w:p>
        </w:tc>
        <w:tc>
          <w:tcPr>
            <w:tcW w:w="1233" w:type="dxa"/>
          </w:tcPr>
          <w:p w14:paraId="7201545E">
            <w:pPr>
              <w:rPr>
                <w:rFonts w:ascii="仿宋" w:hAnsi="仿宋" w:eastAsia="仿宋" w:cs="仿宋"/>
                <w:color w:val="auto"/>
                <w:sz w:val="24"/>
                <w:szCs w:val="24"/>
                <w:highlight w:val="none"/>
              </w:rPr>
            </w:pPr>
          </w:p>
        </w:tc>
        <w:tc>
          <w:tcPr>
            <w:tcW w:w="963" w:type="dxa"/>
          </w:tcPr>
          <w:p w14:paraId="380E8AFE">
            <w:pPr>
              <w:rPr>
                <w:rFonts w:ascii="仿宋" w:hAnsi="仿宋" w:eastAsia="仿宋" w:cs="仿宋"/>
                <w:color w:val="auto"/>
                <w:sz w:val="24"/>
                <w:szCs w:val="24"/>
                <w:highlight w:val="none"/>
              </w:rPr>
            </w:pPr>
          </w:p>
        </w:tc>
        <w:tc>
          <w:tcPr>
            <w:tcW w:w="1922" w:type="dxa"/>
          </w:tcPr>
          <w:p w14:paraId="20F6FAE2">
            <w:pPr>
              <w:rPr>
                <w:rFonts w:ascii="仿宋" w:hAnsi="仿宋" w:eastAsia="仿宋" w:cs="仿宋"/>
                <w:color w:val="auto"/>
                <w:sz w:val="24"/>
                <w:szCs w:val="24"/>
                <w:highlight w:val="none"/>
              </w:rPr>
            </w:pPr>
          </w:p>
        </w:tc>
        <w:tc>
          <w:tcPr>
            <w:tcW w:w="1212" w:type="dxa"/>
          </w:tcPr>
          <w:p w14:paraId="3E0363F4">
            <w:pPr>
              <w:rPr>
                <w:rFonts w:ascii="仿宋" w:hAnsi="仿宋" w:eastAsia="仿宋" w:cs="仿宋"/>
                <w:color w:val="auto"/>
                <w:sz w:val="24"/>
                <w:szCs w:val="24"/>
                <w:highlight w:val="none"/>
              </w:rPr>
            </w:pPr>
          </w:p>
        </w:tc>
        <w:tc>
          <w:tcPr>
            <w:tcW w:w="1232" w:type="dxa"/>
          </w:tcPr>
          <w:p w14:paraId="231E55CB">
            <w:pPr>
              <w:rPr>
                <w:rFonts w:ascii="仿宋" w:hAnsi="仿宋" w:eastAsia="仿宋" w:cs="仿宋"/>
                <w:color w:val="auto"/>
                <w:sz w:val="24"/>
                <w:szCs w:val="24"/>
                <w:highlight w:val="none"/>
              </w:rPr>
            </w:pPr>
          </w:p>
        </w:tc>
        <w:tc>
          <w:tcPr>
            <w:tcW w:w="1232" w:type="dxa"/>
          </w:tcPr>
          <w:p w14:paraId="5DCE1187">
            <w:pPr>
              <w:rPr>
                <w:rFonts w:ascii="仿宋" w:hAnsi="仿宋" w:eastAsia="仿宋" w:cs="仿宋"/>
                <w:color w:val="auto"/>
                <w:sz w:val="24"/>
                <w:szCs w:val="24"/>
                <w:highlight w:val="none"/>
              </w:rPr>
            </w:pPr>
          </w:p>
        </w:tc>
        <w:tc>
          <w:tcPr>
            <w:tcW w:w="795" w:type="dxa"/>
          </w:tcPr>
          <w:p w14:paraId="45835E81">
            <w:pPr>
              <w:rPr>
                <w:rFonts w:ascii="仿宋" w:hAnsi="仿宋" w:eastAsia="仿宋" w:cs="仿宋"/>
                <w:color w:val="auto"/>
                <w:sz w:val="24"/>
                <w:szCs w:val="24"/>
                <w:highlight w:val="none"/>
              </w:rPr>
            </w:pPr>
          </w:p>
        </w:tc>
      </w:tr>
      <w:tr w14:paraId="21D1A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7037238D">
            <w:pPr>
              <w:rPr>
                <w:rFonts w:ascii="仿宋" w:hAnsi="仿宋" w:eastAsia="仿宋" w:cs="仿宋"/>
                <w:color w:val="auto"/>
                <w:sz w:val="24"/>
                <w:szCs w:val="24"/>
                <w:highlight w:val="none"/>
              </w:rPr>
            </w:pPr>
          </w:p>
        </w:tc>
        <w:tc>
          <w:tcPr>
            <w:tcW w:w="1233" w:type="dxa"/>
          </w:tcPr>
          <w:p w14:paraId="0E5BC279">
            <w:pPr>
              <w:rPr>
                <w:rFonts w:ascii="仿宋" w:hAnsi="仿宋" w:eastAsia="仿宋" w:cs="仿宋"/>
                <w:color w:val="auto"/>
                <w:sz w:val="24"/>
                <w:szCs w:val="24"/>
                <w:highlight w:val="none"/>
              </w:rPr>
            </w:pPr>
          </w:p>
        </w:tc>
        <w:tc>
          <w:tcPr>
            <w:tcW w:w="963" w:type="dxa"/>
          </w:tcPr>
          <w:p w14:paraId="71406529">
            <w:pPr>
              <w:rPr>
                <w:rFonts w:ascii="仿宋" w:hAnsi="仿宋" w:eastAsia="仿宋" w:cs="仿宋"/>
                <w:color w:val="auto"/>
                <w:sz w:val="24"/>
                <w:szCs w:val="24"/>
                <w:highlight w:val="none"/>
              </w:rPr>
            </w:pPr>
          </w:p>
        </w:tc>
        <w:tc>
          <w:tcPr>
            <w:tcW w:w="1922" w:type="dxa"/>
          </w:tcPr>
          <w:p w14:paraId="4E75C17E">
            <w:pPr>
              <w:rPr>
                <w:rFonts w:ascii="仿宋" w:hAnsi="仿宋" w:eastAsia="仿宋" w:cs="仿宋"/>
                <w:color w:val="auto"/>
                <w:sz w:val="24"/>
                <w:szCs w:val="24"/>
                <w:highlight w:val="none"/>
              </w:rPr>
            </w:pPr>
          </w:p>
        </w:tc>
        <w:tc>
          <w:tcPr>
            <w:tcW w:w="1212" w:type="dxa"/>
          </w:tcPr>
          <w:p w14:paraId="168CD252">
            <w:pPr>
              <w:rPr>
                <w:rFonts w:ascii="仿宋" w:hAnsi="仿宋" w:eastAsia="仿宋" w:cs="仿宋"/>
                <w:color w:val="auto"/>
                <w:sz w:val="24"/>
                <w:szCs w:val="24"/>
                <w:highlight w:val="none"/>
              </w:rPr>
            </w:pPr>
          </w:p>
        </w:tc>
        <w:tc>
          <w:tcPr>
            <w:tcW w:w="1232" w:type="dxa"/>
          </w:tcPr>
          <w:p w14:paraId="336D5B92">
            <w:pPr>
              <w:rPr>
                <w:rFonts w:ascii="仿宋" w:hAnsi="仿宋" w:eastAsia="仿宋" w:cs="仿宋"/>
                <w:color w:val="auto"/>
                <w:sz w:val="24"/>
                <w:szCs w:val="24"/>
                <w:highlight w:val="none"/>
              </w:rPr>
            </w:pPr>
          </w:p>
        </w:tc>
        <w:tc>
          <w:tcPr>
            <w:tcW w:w="1232" w:type="dxa"/>
          </w:tcPr>
          <w:p w14:paraId="055ECA55">
            <w:pPr>
              <w:rPr>
                <w:rFonts w:ascii="仿宋" w:hAnsi="仿宋" w:eastAsia="仿宋" w:cs="仿宋"/>
                <w:color w:val="auto"/>
                <w:sz w:val="24"/>
                <w:szCs w:val="24"/>
                <w:highlight w:val="none"/>
              </w:rPr>
            </w:pPr>
          </w:p>
        </w:tc>
        <w:tc>
          <w:tcPr>
            <w:tcW w:w="795" w:type="dxa"/>
          </w:tcPr>
          <w:p w14:paraId="2084CDA3">
            <w:pPr>
              <w:rPr>
                <w:rFonts w:ascii="仿宋" w:hAnsi="仿宋" w:eastAsia="仿宋" w:cs="仿宋"/>
                <w:color w:val="auto"/>
                <w:sz w:val="24"/>
                <w:szCs w:val="24"/>
                <w:highlight w:val="none"/>
              </w:rPr>
            </w:pPr>
          </w:p>
        </w:tc>
      </w:tr>
      <w:tr w14:paraId="66D1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2FBD637">
            <w:pPr>
              <w:rPr>
                <w:rFonts w:ascii="仿宋" w:hAnsi="仿宋" w:eastAsia="仿宋" w:cs="仿宋"/>
                <w:color w:val="auto"/>
                <w:sz w:val="24"/>
                <w:szCs w:val="24"/>
                <w:highlight w:val="none"/>
              </w:rPr>
            </w:pPr>
          </w:p>
        </w:tc>
        <w:tc>
          <w:tcPr>
            <w:tcW w:w="1233" w:type="dxa"/>
          </w:tcPr>
          <w:p w14:paraId="1255B29B">
            <w:pPr>
              <w:rPr>
                <w:rFonts w:ascii="仿宋" w:hAnsi="仿宋" w:eastAsia="仿宋" w:cs="仿宋"/>
                <w:color w:val="auto"/>
                <w:sz w:val="24"/>
                <w:szCs w:val="24"/>
                <w:highlight w:val="none"/>
              </w:rPr>
            </w:pPr>
          </w:p>
        </w:tc>
        <w:tc>
          <w:tcPr>
            <w:tcW w:w="963" w:type="dxa"/>
          </w:tcPr>
          <w:p w14:paraId="7CB1A7BE">
            <w:pPr>
              <w:rPr>
                <w:rFonts w:ascii="仿宋" w:hAnsi="仿宋" w:eastAsia="仿宋" w:cs="仿宋"/>
                <w:color w:val="auto"/>
                <w:sz w:val="24"/>
                <w:szCs w:val="24"/>
                <w:highlight w:val="none"/>
              </w:rPr>
            </w:pPr>
          </w:p>
        </w:tc>
        <w:tc>
          <w:tcPr>
            <w:tcW w:w="1922" w:type="dxa"/>
          </w:tcPr>
          <w:p w14:paraId="467D2726">
            <w:pPr>
              <w:rPr>
                <w:rFonts w:ascii="仿宋" w:hAnsi="仿宋" w:eastAsia="仿宋" w:cs="仿宋"/>
                <w:color w:val="auto"/>
                <w:sz w:val="24"/>
                <w:szCs w:val="24"/>
                <w:highlight w:val="none"/>
              </w:rPr>
            </w:pPr>
          </w:p>
        </w:tc>
        <w:tc>
          <w:tcPr>
            <w:tcW w:w="1212" w:type="dxa"/>
          </w:tcPr>
          <w:p w14:paraId="4A53B1B3">
            <w:pPr>
              <w:rPr>
                <w:rFonts w:ascii="仿宋" w:hAnsi="仿宋" w:eastAsia="仿宋" w:cs="仿宋"/>
                <w:color w:val="auto"/>
                <w:sz w:val="24"/>
                <w:szCs w:val="24"/>
                <w:highlight w:val="none"/>
              </w:rPr>
            </w:pPr>
          </w:p>
        </w:tc>
        <w:tc>
          <w:tcPr>
            <w:tcW w:w="1232" w:type="dxa"/>
          </w:tcPr>
          <w:p w14:paraId="07D4F227">
            <w:pPr>
              <w:rPr>
                <w:rFonts w:ascii="仿宋" w:hAnsi="仿宋" w:eastAsia="仿宋" w:cs="仿宋"/>
                <w:color w:val="auto"/>
                <w:sz w:val="24"/>
                <w:szCs w:val="24"/>
                <w:highlight w:val="none"/>
              </w:rPr>
            </w:pPr>
          </w:p>
        </w:tc>
        <w:tc>
          <w:tcPr>
            <w:tcW w:w="1232" w:type="dxa"/>
          </w:tcPr>
          <w:p w14:paraId="0F5A78A5">
            <w:pPr>
              <w:rPr>
                <w:rFonts w:ascii="仿宋" w:hAnsi="仿宋" w:eastAsia="仿宋" w:cs="仿宋"/>
                <w:color w:val="auto"/>
                <w:sz w:val="24"/>
                <w:szCs w:val="24"/>
                <w:highlight w:val="none"/>
              </w:rPr>
            </w:pPr>
          </w:p>
        </w:tc>
        <w:tc>
          <w:tcPr>
            <w:tcW w:w="795" w:type="dxa"/>
          </w:tcPr>
          <w:p w14:paraId="1CD30771">
            <w:pPr>
              <w:rPr>
                <w:rFonts w:ascii="仿宋" w:hAnsi="仿宋" w:eastAsia="仿宋" w:cs="仿宋"/>
                <w:color w:val="auto"/>
                <w:sz w:val="24"/>
                <w:szCs w:val="24"/>
                <w:highlight w:val="none"/>
              </w:rPr>
            </w:pPr>
          </w:p>
        </w:tc>
      </w:tr>
      <w:tr w14:paraId="700D7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5C5F7F0">
            <w:pPr>
              <w:rPr>
                <w:rFonts w:ascii="仿宋" w:hAnsi="仿宋" w:eastAsia="仿宋" w:cs="仿宋"/>
                <w:color w:val="auto"/>
                <w:sz w:val="24"/>
                <w:szCs w:val="24"/>
                <w:highlight w:val="none"/>
              </w:rPr>
            </w:pPr>
          </w:p>
        </w:tc>
        <w:tc>
          <w:tcPr>
            <w:tcW w:w="1233" w:type="dxa"/>
          </w:tcPr>
          <w:p w14:paraId="16C5642B">
            <w:pPr>
              <w:rPr>
                <w:rFonts w:ascii="仿宋" w:hAnsi="仿宋" w:eastAsia="仿宋" w:cs="仿宋"/>
                <w:color w:val="auto"/>
                <w:sz w:val="24"/>
                <w:szCs w:val="24"/>
                <w:highlight w:val="none"/>
              </w:rPr>
            </w:pPr>
          </w:p>
        </w:tc>
        <w:tc>
          <w:tcPr>
            <w:tcW w:w="963" w:type="dxa"/>
          </w:tcPr>
          <w:p w14:paraId="2DA07F05">
            <w:pPr>
              <w:rPr>
                <w:rFonts w:ascii="仿宋" w:hAnsi="仿宋" w:eastAsia="仿宋" w:cs="仿宋"/>
                <w:color w:val="auto"/>
                <w:sz w:val="24"/>
                <w:szCs w:val="24"/>
                <w:highlight w:val="none"/>
              </w:rPr>
            </w:pPr>
          </w:p>
        </w:tc>
        <w:tc>
          <w:tcPr>
            <w:tcW w:w="1922" w:type="dxa"/>
          </w:tcPr>
          <w:p w14:paraId="01359B8B">
            <w:pPr>
              <w:rPr>
                <w:rFonts w:ascii="仿宋" w:hAnsi="仿宋" w:eastAsia="仿宋" w:cs="仿宋"/>
                <w:color w:val="auto"/>
                <w:sz w:val="24"/>
                <w:szCs w:val="24"/>
                <w:highlight w:val="none"/>
              </w:rPr>
            </w:pPr>
          </w:p>
        </w:tc>
        <w:tc>
          <w:tcPr>
            <w:tcW w:w="1212" w:type="dxa"/>
          </w:tcPr>
          <w:p w14:paraId="009CC3DF">
            <w:pPr>
              <w:rPr>
                <w:rFonts w:ascii="仿宋" w:hAnsi="仿宋" w:eastAsia="仿宋" w:cs="仿宋"/>
                <w:color w:val="auto"/>
                <w:sz w:val="24"/>
                <w:szCs w:val="24"/>
                <w:highlight w:val="none"/>
              </w:rPr>
            </w:pPr>
          </w:p>
        </w:tc>
        <w:tc>
          <w:tcPr>
            <w:tcW w:w="1232" w:type="dxa"/>
          </w:tcPr>
          <w:p w14:paraId="1912E11C">
            <w:pPr>
              <w:rPr>
                <w:rFonts w:ascii="仿宋" w:hAnsi="仿宋" w:eastAsia="仿宋" w:cs="仿宋"/>
                <w:color w:val="auto"/>
                <w:sz w:val="24"/>
                <w:szCs w:val="24"/>
                <w:highlight w:val="none"/>
              </w:rPr>
            </w:pPr>
          </w:p>
        </w:tc>
        <w:tc>
          <w:tcPr>
            <w:tcW w:w="1232" w:type="dxa"/>
          </w:tcPr>
          <w:p w14:paraId="0452BCC3">
            <w:pPr>
              <w:rPr>
                <w:rFonts w:ascii="仿宋" w:hAnsi="仿宋" w:eastAsia="仿宋" w:cs="仿宋"/>
                <w:color w:val="auto"/>
                <w:sz w:val="24"/>
                <w:szCs w:val="24"/>
                <w:highlight w:val="none"/>
              </w:rPr>
            </w:pPr>
          </w:p>
        </w:tc>
        <w:tc>
          <w:tcPr>
            <w:tcW w:w="795" w:type="dxa"/>
          </w:tcPr>
          <w:p w14:paraId="752037E7">
            <w:pPr>
              <w:rPr>
                <w:rFonts w:ascii="仿宋" w:hAnsi="仿宋" w:eastAsia="仿宋" w:cs="仿宋"/>
                <w:color w:val="auto"/>
                <w:sz w:val="24"/>
                <w:szCs w:val="24"/>
                <w:highlight w:val="none"/>
              </w:rPr>
            </w:pPr>
          </w:p>
        </w:tc>
      </w:tr>
    </w:tbl>
    <w:p w14:paraId="50A04B0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附相关证明材料；</w:t>
      </w:r>
      <w:r>
        <w:rPr>
          <w:rFonts w:hint="eastAsia" w:ascii="仿宋" w:hAnsi="仿宋" w:eastAsia="仿宋" w:cs="仿宋"/>
          <w:color w:val="auto"/>
          <w:sz w:val="24"/>
          <w:szCs w:val="24"/>
          <w:highlight w:val="none"/>
        </w:rPr>
        <w:br w:type="page"/>
      </w:r>
    </w:p>
    <w:p w14:paraId="306B7435">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242" w:name="_Toc38446480"/>
      <w:bookmarkStart w:id="243" w:name="_Toc533503191"/>
      <w:bookmarkStart w:id="244" w:name="_Toc16232"/>
      <w:bookmarkStart w:id="245" w:name="_Toc17668"/>
      <w:bookmarkStart w:id="246" w:name="_Toc27045"/>
      <w:bookmarkStart w:id="247" w:name="_Toc507586175"/>
      <w:r>
        <w:rPr>
          <w:rFonts w:hint="eastAsia" w:ascii="仿宋" w:hAnsi="仿宋" w:eastAsia="仿宋" w:cs="仿宋"/>
          <w:b/>
          <w:color w:val="auto"/>
          <w:sz w:val="24"/>
          <w:szCs w:val="24"/>
          <w:highlight w:val="none"/>
          <w:shd w:val="clear" w:color="auto" w:fill="FFFFFF" w:themeFill="background1"/>
        </w:rPr>
        <w:t>八、</w:t>
      </w:r>
      <w:r>
        <w:rPr>
          <w:rFonts w:hint="eastAsia" w:ascii="仿宋" w:hAnsi="仿宋" w:eastAsia="仿宋" w:cs="仿宋"/>
          <w:b/>
          <w:bCs/>
          <w:color w:val="auto"/>
          <w:sz w:val="24"/>
          <w:szCs w:val="24"/>
          <w:highlight w:val="none"/>
          <w:shd w:val="clear" w:color="auto" w:fill="FFFFFF" w:themeFill="background1"/>
        </w:rPr>
        <w:t>项目负责人简历表</w:t>
      </w:r>
      <w:bookmarkEnd w:id="242"/>
      <w:bookmarkEnd w:id="243"/>
      <w:bookmarkEnd w:id="244"/>
      <w:bookmarkEnd w:id="245"/>
      <w:bookmarkEnd w:id="246"/>
      <w:bookmarkEnd w:id="247"/>
    </w:p>
    <w:p w14:paraId="2555EA39">
      <w:pPr>
        <w:spacing w:line="360" w:lineRule="auto"/>
        <w:rPr>
          <w:rFonts w:ascii="仿宋" w:hAnsi="仿宋" w:eastAsia="仿宋" w:cs="仿宋"/>
          <w:color w:val="auto"/>
          <w:sz w:val="24"/>
          <w:szCs w:val="24"/>
          <w:highlight w:val="none"/>
          <w:shd w:val="clear" w:color="auto" w:fill="FFFFFF" w:themeFill="background1"/>
        </w:rPr>
      </w:pPr>
    </w:p>
    <w:tbl>
      <w:tblPr>
        <w:tblStyle w:val="2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1DB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C0765CB">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姓名</w:t>
            </w:r>
          </w:p>
        </w:tc>
        <w:tc>
          <w:tcPr>
            <w:tcW w:w="2602" w:type="dxa"/>
            <w:gridSpan w:val="2"/>
            <w:vAlign w:val="center"/>
          </w:tcPr>
          <w:p w14:paraId="72D91BD2">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0E0D49E4">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性别</w:t>
            </w:r>
          </w:p>
        </w:tc>
        <w:tc>
          <w:tcPr>
            <w:tcW w:w="2639" w:type="dxa"/>
            <w:gridSpan w:val="2"/>
            <w:vAlign w:val="center"/>
          </w:tcPr>
          <w:p w14:paraId="2ED87A62">
            <w:pPr>
              <w:spacing w:line="360" w:lineRule="auto"/>
              <w:jc w:val="center"/>
              <w:rPr>
                <w:rFonts w:ascii="仿宋" w:hAnsi="仿宋" w:eastAsia="仿宋" w:cs="仿宋"/>
                <w:color w:val="auto"/>
                <w:highlight w:val="none"/>
                <w:shd w:val="clear" w:color="auto" w:fill="FFFFFF" w:themeFill="background1"/>
              </w:rPr>
            </w:pPr>
          </w:p>
        </w:tc>
      </w:tr>
      <w:tr w14:paraId="6421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8F48171">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身份证号码</w:t>
            </w:r>
          </w:p>
        </w:tc>
        <w:tc>
          <w:tcPr>
            <w:tcW w:w="2602" w:type="dxa"/>
            <w:gridSpan w:val="2"/>
            <w:vAlign w:val="center"/>
          </w:tcPr>
          <w:p w14:paraId="47169A93">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4934E107">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学历</w:t>
            </w:r>
          </w:p>
        </w:tc>
        <w:tc>
          <w:tcPr>
            <w:tcW w:w="2639" w:type="dxa"/>
            <w:gridSpan w:val="2"/>
            <w:vAlign w:val="center"/>
          </w:tcPr>
          <w:p w14:paraId="0CA9AB67">
            <w:pPr>
              <w:spacing w:line="360" w:lineRule="auto"/>
              <w:jc w:val="center"/>
              <w:rPr>
                <w:rFonts w:ascii="仿宋" w:hAnsi="仿宋" w:eastAsia="仿宋" w:cs="仿宋"/>
                <w:color w:val="auto"/>
                <w:highlight w:val="none"/>
                <w:shd w:val="clear" w:color="auto" w:fill="FFFFFF" w:themeFill="background1"/>
              </w:rPr>
            </w:pPr>
          </w:p>
        </w:tc>
      </w:tr>
      <w:tr w14:paraId="1700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C31711E">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毕业学校</w:t>
            </w:r>
          </w:p>
        </w:tc>
        <w:tc>
          <w:tcPr>
            <w:tcW w:w="2602" w:type="dxa"/>
            <w:gridSpan w:val="2"/>
            <w:vAlign w:val="center"/>
          </w:tcPr>
          <w:p w14:paraId="3FCD8236">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4A092443">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专业</w:t>
            </w:r>
          </w:p>
        </w:tc>
        <w:tc>
          <w:tcPr>
            <w:tcW w:w="2639" w:type="dxa"/>
            <w:gridSpan w:val="2"/>
            <w:vAlign w:val="center"/>
          </w:tcPr>
          <w:p w14:paraId="5BC10597">
            <w:pPr>
              <w:spacing w:line="360" w:lineRule="auto"/>
              <w:jc w:val="center"/>
              <w:rPr>
                <w:rFonts w:ascii="仿宋" w:hAnsi="仿宋" w:eastAsia="仿宋" w:cs="仿宋"/>
                <w:color w:val="auto"/>
                <w:highlight w:val="none"/>
                <w:shd w:val="clear" w:color="auto" w:fill="FFFFFF" w:themeFill="background1"/>
              </w:rPr>
            </w:pPr>
          </w:p>
        </w:tc>
      </w:tr>
      <w:tr w14:paraId="162B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31F696C">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参加工作时间</w:t>
            </w:r>
          </w:p>
        </w:tc>
        <w:tc>
          <w:tcPr>
            <w:tcW w:w="2602" w:type="dxa"/>
            <w:gridSpan w:val="2"/>
            <w:vAlign w:val="center"/>
          </w:tcPr>
          <w:p w14:paraId="671C18CB">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3BF0054E">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从事相关职业年限</w:t>
            </w:r>
          </w:p>
        </w:tc>
        <w:tc>
          <w:tcPr>
            <w:tcW w:w="2639" w:type="dxa"/>
            <w:gridSpan w:val="2"/>
            <w:vAlign w:val="center"/>
          </w:tcPr>
          <w:p w14:paraId="02085EDA">
            <w:pPr>
              <w:spacing w:line="360" w:lineRule="auto"/>
              <w:jc w:val="center"/>
              <w:rPr>
                <w:rFonts w:ascii="仿宋" w:hAnsi="仿宋" w:eastAsia="仿宋" w:cs="仿宋"/>
                <w:color w:val="auto"/>
                <w:highlight w:val="none"/>
                <w:shd w:val="clear" w:color="auto" w:fill="FFFFFF" w:themeFill="background1"/>
              </w:rPr>
            </w:pPr>
          </w:p>
        </w:tc>
      </w:tr>
      <w:tr w14:paraId="6696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C1A0DA">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在公司担任职务</w:t>
            </w:r>
          </w:p>
        </w:tc>
        <w:tc>
          <w:tcPr>
            <w:tcW w:w="2602" w:type="dxa"/>
            <w:gridSpan w:val="2"/>
            <w:vAlign w:val="center"/>
          </w:tcPr>
          <w:p w14:paraId="4B449C6B">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22318AD1">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联系方式</w:t>
            </w:r>
          </w:p>
        </w:tc>
        <w:tc>
          <w:tcPr>
            <w:tcW w:w="2639" w:type="dxa"/>
            <w:gridSpan w:val="2"/>
            <w:vAlign w:val="center"/>
          </w:tcPr>
          <w:p w14:paraId="61A73483">
            <w:pPr>
              <w:spacing w:line="360" w:lineRule="auto"/>
              <w:jc w:val="center"/>
              <w:rPr>
                <w:rFonts w:ascii="仿宋" w:hAnsi="仿宋" w:eastAsia="仿宋" w:cs="仿宋"/>
                <w:color w:val="auto"/>
                <w:highlight w:val="none"/>
                <w:shd w:val="clear" w:color="auto" w:fill="FFFFFF" w:themeFill="background1"/>
              </w:rPr>
            </w:pPr>
          </w:p>
        </w:tc>
      </w:tr>
      <w:tr w14:paraId="2302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3524EA9D">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近三年类似业绩</w:t>
            </w:r>
          </w:p>
        </w:tc>
        <w:tc>
          <w:tcPr>
            <w:tcW w:w="1372" w:type="dxa"/>
            <w:vAlign w:val="center"/>
          </w:tcPr>
          <w:p w14:paraId="64494C18">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项目名称</w:t>
            </w:r>
          </w:p>
        </w:tc>
        <w:tc>
          <w:tcPr>
            <w:tcW w:w="1463" w:type="dxa"/>
            <w:gridSpan w:val="2"/>
            <w:vAlign w:val="center"/>
          </w:tcPr>
          <w:p w14:paraId="6AF9245C">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采购人</w:t>
            </w:r>
          </w:p>
        </w:tc>
        <w:tc>
          <w:tcPr>
            <w:tcW w:w="1702" w:type="dxa"/>
            <w:vAlign w:val="center"/>
          </w:tcPr>
          <w:p w14:paraId="72F4CFFC">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合同内容</w:t>
            </w:r>
          </w:p>
        </w:tc>
        <w:tc>
          <w:tcPr>
            <w:tcW w:w="1275" w:type="dxa"/>
            <w:vAlign w:val="center"/>
          </w:tcPr>
          <w:p w14:paraId="34DBEC69">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合同价格</w:t>
            </w:r>
          </w:p>
        </w:tc>
        <w:tc>
          <w:tcPr>
            <w:tcW w:w="1364" w:type="dxa"/>
            <w:vAlign w:val="center"/>
          </w:tcPr>
          <w:p w14:paraId="74094757">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签约日期</w:t>
            </w:r>
          </w:p>
        </w:tc>
      </w:tr>
      <w:tr w14:paraId="4974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EA23B42">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70C838BA">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4C352B09">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2EC0CEAA">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35C513CB">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649529E3">
            <w:pPr>
              <w:spacing w:line="360" w:lineRule="auto"/>
              <w:jc w:val="center"/>
              <w:rPr>
                <w:rFonts w:ascii="仿宋" w:hAnsi="仿宋" w:eastAsia="仿宋" w:cs="仿宋"/>
                <w:color w:val="auto"/>
                <w:highlight w:val="none"/>
                <w:shd w:val="clear" w:color="auto" w:fill="FFFFFF" w:themeFill="background1"/>
              </w:rPr>
            </w:pPr>
          </w:p>
        </w:tc>
      </w:tr>
      <w:tr w14:paraId="4A90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0E26896">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28D3033B">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422FC5E0">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3DC6FB3E">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15A13D56">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65BACE7A">
            <w:pPr>
              <w:spacing w:line="360" w:lineRule="auto"/>
              <w:jc w:val="center"/>
              <w:rPr>
                <w:rFonts w:ascii="仿宋" w:hAnsi="仿宋" w:eastAsia="仿宋" w:cs="仿宋"/>
                <w:color w:val="auto"/>
                <w:highlight w:val="none"/>
                <w:shd w:val="clear" w:color="auto" w:fill="FFFFFF" w:themeFill="background1"/>
              </w:rPr>
            </w:pPr>
          </w:p>
        </w:tc>
      </w:tr>
      <w:tr w14:paraId="16FE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37768CE">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66FC7223">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7DB3979B">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6DCC0EEA">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48651FB8">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6A7EA14B">
            <w:pPr>
              <w:spacing w:line="360" w:lineRule="auto"/>
              <w:jc w:val="center"/>
              <w:rPr>
                <w:rFonts w:ascii="仿宋" w:hAnsi="仿宋" w:eastAsia="仿宋" w:cs="仿宋"/>
                <w:color w:val="auto"/>
                <w:highlight w:val="none"/>
                <w:shd w:val="clear" w:color="auto" w:fill="FFFFFF" w:themeFill="background1"/>
              </w:rPr>
            </w:pPr>
          </w:p>
        </w:tc>
      </w:tr>
      <w:tr w14:paraId="4E69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4C24545">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6BE83B16">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472F9EB9">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08E8F00F">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6B4E228C">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2F90506B">
            <w:pPr>
              <w:spacing w:line="360" w:lineRule="auto"/>
              <w:jc w:val="center"/>
              <w:rPr>
                <w:rFonts w:ascii="仿宋" w:hAnsi="仿宋" w:eastAsia="仿宋" w:cs="仿宋"/>
                <w:color w:val="auto"/>
                <w:highlight w:val="none"/>
                <w:shd w:val="clear" w:color="auto" w:fill="FFFFFF" w:themeFill="background1"/>
              </w:rPr>
            </w:pPr>
          </w:p>
        </w:tc>
      </w:tr>
      <w:tr w14:paraId="06B5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ED96116">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046E623C">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19BB5817">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432F17FD">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00B81024">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304FF6A4">
            <w:pPr>
              <w:spacing w:line="360" w:lineRule="auto"/>
              <w:jc w:val="center"/>
              <w:rPr>
                <w:rFonts w:ascii="仿宋" w:hAnsi="仿宋" w:eastAsia="仿宋" w:cs="仿宋"/>
                <w:color w:val="auto"/>
                <w:highlight w:val="none"/>
                <w:shd w:val="clear" w:color="auto" w:fill="FFFFFF" w:themeFill="background1"/>
              </w:rPr>
            </w:pPr>
          </w:p>
        </w:tc>
      </w:tr>
    </w:tbl>
    <w:p w14:paraId="06EAC951">
      <w:pPr>
        <w:spacing w:line="360" w:lineRule="auto"/>
        <w:ind w:firstLine="480" w:firstLineChars="200"/>
        <w:rPr>
          <w:rFonts w:ascii="仿宋" w:hAnsi="仿宋" w:eastAsia="仿宋" w:cs="仿宋"/>
          <w:color w:val="auto"/>
          <w:sz w:val="22"/>
          <w:highlight w:val="none"/>
          <w:shd w:val="clear" w:color="auto" w:fill="FFFFFF" w:themeFill="background1"/>
        </w:rPr>
      </w:pPr>
      <w:r>
        <w:rPr>
          <w:rFonts w:hint="eastAsia" w:ascii="仿宋" w:hAnsi="仿宋" w:eastAsia="仿宋" w:cs="仿宋"/>
          <w:color w:val="auto"/>
          <w:sz w:val="24"/>
          <w:szCs w:val="24"/>
          <w:highlight w:val="none"/>
          <w:lang w:eastAsia="zh-CN"/>
        </w:rPr>
        <w:t>附相关证明材料；</w:t>
      </w:r>
    </w:p>
    <w:p w14:paraId="7839D8A4">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E38F437">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lang w:eastAsia="zh-CN"/>
        </w:rPr>
      </w:pPr>
      <w:bookmarkStart w:id="248" w:name="_Toc6442"/>
      <w:r>
        <w:rPr>
          <w:rFonts w:hint="eastAsia" w:ascii="仿宋" w:hAnsi="仿宋" w:eastAsia="仿宋" w:cs="仿宋"/>
          <w:b/>
          <w:color w:val="auto"/>
          <w:sz w:val="24"/>
          <w:szCs w:val="24"/>
          <w:highlight w:val="none"/>
          <w:shd w:val="clear" w:color="auto" w:fill="FFFFFF" w:themeFill="background1"/>
          <w:lang w:eastAsia="zh-CN"/>
        </w:rPr>
        <w:t>九、拟派主要服务人员情况表</w:t>
      </w:r>
      <w:bookmarkEnd w:id="24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1014"/>
        <w:gridCol w:w="1483"/>
        <w:gridCol w:w="2313"/>
        <w:gridCol w:w="1406"/>
      </w:tblGrid>
      <w:tr w14:paraId="66F4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9FDC1F7">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167" w:type="dxa"/>
            <w:vAlign w:val="center"/>
          </w:tcPr>
          <w:p w14:paraId="2706EE5C">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姓名</w:t>
            </w:r>
          </w:p>
        </w:tc>
        <w:tc>
          <w:tcPr>
            <w:tcW w:w="1014" w:type="dxa"/>
            <w:vAlign w:val="center"/>
          </w:tcPr>
          <w:p w14:paraId="4FF2F9CA">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性别</w:t>
            </w:r>
          </w:p>
        </w:tc>
        <w:tc>
          <w:tcPr>
            <w:tcW w:w="1483" w:type="dxa"/>
            <w:vAlign w:val="center"/>
          </w:tcPr>
          <w:p w14:paraId="3765A754">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拟担任岗位</w:t>
            </w:r>
          </w:p>
        </w:tc>
        <w:tc>
          <w:tcPr>
            <w:tcW w:w="2313" w:type="dxa"/>
            <w:vAlign w:val="center"/>
          </w:tcPr>
          <w:p w14:paraId="51D11F66">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从事相关工作年限</w:t>
            </w:r>
          </w:p>
        </w:tc>
        <w:tc>
          <w:tcPr>
            <w:tcW w:w="1406" w:type="dxa"/>
            <w:vAlign w:val="center"/>
          </w:tcPr>
          <w:p w14:paraId="5EAE7CBF">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14:paraId="4DFC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EBBC754">
            <w:pPr>
              <w:spacing w:line="440" w:lineRule="exact"/>
              <w:jc w:val="center"/>
              <w:rPr>
                <w:rFonts w:ascii="仿宋" w:hAnsi="仿宋" w:eastAsia="仿宋" w:cs="仿宋"/>
                <w:color w:val="auto"/>
                <w:highlight w:val="none"/>
              </w:rPr>
            </w:pPr>
          </w:p>
        </w:tc>
        <w:tc>
          <w:tcPr>
            <w:tcW w:w="1167" w:type="dxa"/>
            <w:vAlign w:val="center"/>
          </w:tcPr>
          <w:p w14:paraId="14DAAEEB">
            <w:pPr>
              <w:spacing w:line="360" w:lineRule="auto"/>
              <w:jc w:val="center"/>
              <w:rPr>
                <w:rFonts w:ascii="仿宋" w:hAnsi="仿宋" w:eastAsia="仿宋" w:cs="仿宋"/>
                <w:color w:val="auto"/>
                <w:highlight w:val="none"/>
              </w:rPr>
            </w:pPr>
          </w:p>
        </w:tc>
        <w:tc>
          <w:tcPr>
            <w:tcW w:w="1014" w:type="dxa"/>
            <w:vAlign w:val="center"/>
          </w:tcPr>
          <w:p w14:paraId="24753933">
            <w:pPr>
              <w:spacing w:line="360" w:lineRule="auto"/>
              <w:jc w:val="center"/>
              <w:rPr>
                <w:rFonts w:ascii="仿宋" w:hAnsi="仿宋" w:eastAsia="仿宋" w:cs="仿宋"/>
                <w:color w:val="auto"/>
                <w:highlight w:val="none"/>
              </w:rPr>
            </w:pPr>
          </w:p>
        </w:tc>
        <w:tc>
          <w:tcPr>
            <w:tcW w:w="1483" w:type="dxa"/>
            <w:vAlign w:val="center"/>
          </w:tcPr>
          <w:p w14:paraId="40202C79">
            <w:pPr>
              <w:spacing w:line="360" w:lineRule="auto"/>
              <w:jc w:val="center"/>
              <w:rPr>
                <w:rFonts w:ascii="仿宋" w:hAnsi="仿宋" w:eastAsia="仿宋" w:cs="仿宋"/>
                <w:color w:val="auto"/>
                <w:highlight w:val="none"/>
              </w:rPr>
            </w:pPr>
          </w:p>
        </w:tc>
        <w:tc>
          <w:tcPr>
            <w:tcW w:w="2313" w:type="dxa"/>
            <w:vAlign w:val="center"/>
          </w:tcPr>
          <w:p w14:paraId="2D56FAB8">
            <w:pPr>
              <w:spacing w:line="360" w:lineRule="auto"/>
              <w:jc w:val="center"/>
              <w:rPr>
                <w:rFonts w:ascii="仿宋" w:hAnsi="仿宋" w:eastAsia="仿宋" w:cs="仿宋"/>
                <w:color w:val="auto"/>
                <w:highlight w:val="none"/>
              </w:rPr>
            </w:pPr>
          </w:p>
        </w:tc>
        <w:tc>
          <w:tcPr>
            <w:tcW w:w="1406" w:type="dxa"/>
            <w:vAlign w:val="center"/>
          </w:tcPr>
          <w:p w14:paraId="7CDD39BC">
            <w:pPr>
              <w:spacing w:line="360" w:lineRule="auto"/>
              <w:jc w:val="center"/>
              <w:rPr>
                <w:rFonts w:ascii="仿宋" w:hAnsi="仿宋" w:eastAsia="仿宋" w:cs="仿宋"/>
                <w:color w:val="auto"/>
                <w:highlight w:val="none"/>
              </w:rPr>
            </w:pPr>
          </w:p>
        </w:tc>
      </w:tr>
      <w:tr w14:paraId="55F6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83BAA7D">
            <w:pPr>
              <w:spacing w:line="440" w:lineRule="exact"/>
              <w:jc w:val="center"/>
              <w:rPr>
                <w:rFonts w:ascii="仿宋" w:hAnsi="仿宋" w:eastAsia="仿宋" w:cs="仿宋"/>
                <w:color w:val="auto"/>
                <w:highlight w:val="none"/>
              </w:rPr>
            </w:pPr>
          </w:p>
        </w:tc>
        <w:tc>
          <w:tcPr>
            <w:tcW w:w="1167" w:type="dxa"/>
            <w:vAlign w:val="center"/>
          </w:tcPr>
          <w:p w14:paraId="24087FA3">
            <w:pPr>
              <w:spacing w:line="360" w:lineRule="auto"/>
              <w:jc w:val="center"/>
              <w:rPr>
                <w:rFonts w:ascii="仿宋" w:hAnsi="仿宋" w:eastAsia="仿宋" w:cs="仿宋"/>
                <w:color w:val="auto"/>
                <w:highlight w:val="none"/>
              </w:rPr>
            </w:pPr>
          </w:p>
        </w:tc>
        <w:tc>
          <w:tcPr>
            <w:tcW w:w="1014" w:type="dxa"/>
            <w:vAlign w:val="center"/>
          </w:tcPr>
          <w:p w14:paraId="75155E36">
            <w:pPr>
              <w:spacing w:line="360" w:lineRule="auto"/>
              <w:jc w:val="center"/>
              <w:rPr>
                <w:rFonts w:ascii="仿宋" w:hAnsi="仿宋" w:eastAsia="仿宋" w:cs="仿宋"/>
                <w:color w:val="auto"/>
                <w:highlight w:val="none"/>
              </w:rPr>
            </w:pPr>
          </w:p>
        </w:tc>
        <w:tc>
          <w:tcPr>
            <w:tcW w:w="1483" w:type="dxa"/>
            <w:vAlign w:val="center"/>
          </w:tcPr>
          <w:p w14:paraId="4FCC4131">
            <w:pPr>
              <w:spacing w:line="360" w:lineRule="auto"/>
              <w:jc w:val="center"/>
              <w:rPr>
                <w:rFonts w:ascii="仿宋" w:hAnsi="仿宋" w:eastAsia="仿宋" w:cs="仿宋"/>
                <w:color w:val="auto"/>
                <w:highlight w:val="none"/>
              </w:rPr>
            </w:pPr>
          </w:p>
        </w:tc>
        <w:tc>
          <w:tcPr>
            <w:tcW w:w="2313" w:type="dxa"/>
            <w:vAlign w:val="center"/>
          </w:tcPr>
          <w:p w14:paraId="69EDCD24">
            <w:pPr>
              <w:spacing w:line="360" w:lineRule="auto"/>
              <w:jc w:val="center"/>
              <w:rPr>
                <w:rFonts w:ascii="仿宋" w:hAnsi="仿宋" w:eastAsia="仿宋" w:cs="仿宋"/>
                <w:color w:val="auto"/>
                <w:highlight w:val="none"/>
              </w:rPr>
            </w:pPr>
          </w:p>
        </w:tc>
        <w:tc>
          <w:tcPr>
            <w:tcW w:w="1406" w:type="dxa"/>
            <w:vAlign w:val="center"/>
          </w:tcPr>
          <w:p w14:paraId="62E3BDD6">
            <w:pPr>
              <w:spacing w:line="360" w:lineRule="auto"/>
              <w:jc w:val="center"/>
              <w:rPr>
                <w:rFonts w:ascii="仿宋" w:hAnsi="仿宋" w:eastAsia="仿宋" w:cs="仿宋"/>
                <w:color w:val="auto"/>
                <w:highlight w:val="none"/>
              </w:rPr>
            </w:pPr>
          </w:p>
        </w:tc>
      </w:tr>
      <w:tr w14:paraId="36E0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07820BF">
            <w:pPr>
              <w:spacing w:line="440" w:lineRule="exact"/>
              <w:jc w:val="center"/>
              <w:rPr>
                <w:rFonts w:ascii="仿宋" w:hAnsi="仿宋" w:eastAsia="仿宋" w:cs="仿宋"/>
                <w:color w:val="auto"/>
                <w:highlight w:val="none"/>
              </w:rPr>
            </w:pPr>
          </w:p>
        </w:tc>
        <w:tc>
          <w:tcPr>
            <w:tcW w:w="1167" w:type="dxa"/>
            <w:vAlign w:val="center"/>
          </w:tcPr>
          <w:p w14:paraId="4B8D2B35">
            <w:pPr>
              <w:spacing w:line="360" w:lineRule="auto"/>
              <w:jc w:val="center"/>
              <w:rPr>
                <w:rFonts w:ascii="仿宋" w:hAnsi="仿宋" w:eastAsia="仿宋" w:cs="仿宋"/>
                <w:color w:val="auto"/>
                <w:highlight w:val="none"/>
              </w:rPr>
            </w:pPr>
          </w:p>
        </w:tc>
        <w:tc>
          <w:tcPr>
            <w:tcW w:w="1014" w:type="dxa"/>
            <w:vAlign w:val="center"/>
          </w:tcPr>
          <w:p w14:paraId="01BF78C8">
            <w:pPr>
              <w:spacing w:line="360" w:lineRule="auto"/>
              <w:jc w:val="center"/>
              <w:rPr>
                <w:rFonts w:ascii="仿宋" w:hAnsi="仿宋" w:eastAsia="仿宋" w:cs="仿宋"/>
                <w:color w:val="auto"/>
                <w:highlight w:val="none"/>
              </w:rPr>
            </w:pPr>
          </w:p>
        </w:tc>
        <w:tc>
          <w:tcPr>
            <w:tcW w:w="1483" w:type="dxa"/>
            <w:vAlign w:val="center"/>
          </w:tcPr>
          <w:p w14:paraId="2989530B">
            <w:pPr>
              <w:spacing w:line="360" w:lineRule="auto"/>
              <w:jc w:val="center"/>
              <w:rPr>
                <w:rFonts w:ascii="仿宋" w:hAnsi="仿宋" w:eastAsia="仿宋" w:cs="仿宋"/>
                <w:color w:val="auto"/>
                <w:highlight w:val="none"/>
              </w:rPr>
            </w:pPr>
          </w:p>
        </w:tc>
        <w:tc>
          <w:tcPr>
            <w:tcW w:w="2313" w:type="dxa"/>
            <w:vAlign w:val="center"/>
          </w:tcPr>
          <w:p w14:paraId="1443A44B">
            <w:pPr>
              <w:spacing w:line="360" w:lineRule="auto"/>
              <w:jc w:val="center"/>
              <w:rPr>
                <w:rFonts w:ascii="仿宋" w:hAnsi="仿宋" w:eastAsia="仿宋" w:cs="仿宋"/>
                <w:color w:val="auto"/>
                <w:highlight w:val="none"/>
              </w:rPr>
            </w:pPr>
          </w:p>
        </w:tc>
        <w:tc>
          <w:tcPr>
            <w:tcW w:w="1406" w:type="dxa"/>
            <w:vAlign w:val="center"/>
          </w:tcPr>
          <w:p w14:paraId="02028CD1">
            <w:pPr>
              <w:spacing w:line="360" w:lineRule="auto"/>
              <w:jc w:val="center"/>
              <w:rPr>
                <w:rFonts w:ascii="仿宋" w:hAnsi="仿宋" w:eastAsia="仿宋" w:cs="仿宋"/>
                <w:color w:val="auto"/>
                <w:highlight w:val="none"/>
              </w:rPr>
            </w:pPr>
          </w:p>
        </w:tc>
      </w:tr>
      <w:tr w14:paraId="7D61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E870352">
            <w:pPr>
              <w:spacing w:line="440" w:lineRule="exact"/>
              <w:jc w:val="center"/>
              <w:rPr>
                <w:rFonts w:ascii="仿宋" w:hAnsi="仿宋" w:eastAsia="仿宋" w:cs="仿宋"/>
                <w:color w:val="auto"/>
                <w:highlight w:val="none"/>
              </w:rPr>
            </w:pPr>
          </w:p>
        </w:tc>
        <w:tc>
          <w:tcPr>
            <w:tcW w:w="1167" w:type="dxa"/>
            <w:vAlign w:val="center"/>
          </w:tcPr>
          <w:p w14:paraId="4C97481D">
            <w:pPr>
              <w:spacing w:line="360" w:lineRule="auto"/>
              <w:jc w:val="center"/>
              <w:rPr>
                <w:rFonts w:ascii="仿宋" w:hAnsi="仿宋" w:eastAsia="仿宋" w:cs="仿宋"/>
                <w:color w:val="auto"/>
                <w:highlight w:val="none"/>
              </w:rPr>
            </w:pPr>
          </w:p>
        </w:tc>
        <w:tc>
          <w:tcPr>
            <w:tcW w:w="1014" w:type="dxa"/>
            <w:vAlign w:val="center"/>
          </w:tcPr>
          <w:p w14:paraId="62B66CF4">
            <w:pPr>
              <w:spacing w:line="360" w:lineRule="auto"/>
              <w:jc w:val="center"/>
              <w:rPr>
                <w:rFonts w:ascii="仿宋" w:hAnsi="仿宋" w:eastAsia="仿宋" w:cs="仿宋"/>
                <w:color w:val="auto"/>
                <w:highlight w:val="none"/>
              </w:rPr>
            </w:pPr>
          </w:p>
        </w:tc>
        <w:tc>
          <w:tcPr>
            <w:tcW w:w="1483" w:type="dxa"/>
            <w:vAlign w:val="center"/>
          </w:tcPr>
          <w:p w14:paraId="0B7EC67A">
            <w:pPr>
              <w:spacing w:line="360" w:lineRule="auto"/>
              <w:jc w:val="center"/>
              <w:rPr>
                <w:rFonts w:ascii="仿宋" w:hAnsi="仿宋" w:eastAsia="仿宋" w:cs="仿宋"/>
                <w:color w:val="auto"/>
                <w:highlight w:val="none"/>
              </w:rPr>
            </w:pPr>
          </w:p>
        </w:tc>
        <w:tc>
          <w:tcPr>
            <w:tcW w:w="2313" w:type="dxa"/>
            <w:vAlign w:val="center"/>
          </w:tcPr>
          <w:p w14:paraId="1990F723">
            <w:pPr>
              <w:spacing w:line="360" w:lineRule="auto"/>
              <w:jc w:val="center"/>
              <w:rPr>
                <w:rFonts w:ascii="仿宋" w:hAnsi="仿宋" w:eastAsia="仿宋" w:cs="仿宋"/>
                <w:color w:val="auto"/>
                <w:highlight w:val="none"/>
              </w:rPr>
            </w:pPr>
          </w:p>
        </w:tc>
        <w:tc>
          <w:tcPr>
            <w:tcW w:w="1406" w:type="dxa"/>
            <w:vAlign w:val="center"/>
          </w:tcPr>
          <w:p w14:paraId="6965B1C2">
            <w:pPr>
              <w:spacing w:line="360" w:lineRule="auto"/>
              <w:jc w:val="center"/>
              <w:rPr>
                <w:rFonts w:ascii="仿宋" w:hAnsi="仿宋" w:eastAsia="仿宋" w:cs="仿宋"/>
                <w:color w:val="auto"/>
                <w:highlight w:val="none"/>
              </w:rPr>
            </w:pPr>
          </w:p>
        </w:tc>
      </w:tr>
      <w:tr w14:paraId="6290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1ADCF0AE">
            <w:pPr>
              <w:spacing w:line="440" w:lineRule="exact"/>
              <w:jc w:val="center"/>
              <w:rPr>
                <w:rFonts w:ascii="仿宋" w:hAnsi="仿宋" w:eastAsia="仿宋" w:cs="仿宋"/>
                <w:color w:val="auto"/>
                <w:highlight w:val="none"/>
              </w:rPr>
            </w:pPr>
          </w:p>
        </w:tc>
        <w:tc>
          <w:tcPr>
            <w:tcW w:w="1167" w:type="dxa"/>
            <w:vAlign w:val="center"/>
          </w:tcPr>
          <w:p w14:paraId="290A01ED">
            <w:pPr>
              <w:spacing w:line="360" w:lineRule="auto"/>
              <w:jc w:val="center"/>
              <w:rPr>
                <w:rFonts w:ascii="仿宋" w:hAnsi="仿宋" w:eastAsia="仿宋" w:cs="仿宋"/>
                <w:color w:val="auto"/>
                <w:highlight w:val="none"/>
              </w:rPr>
            </w:pPr>
          </w:p>
        </w:tc>
        <w:tc>
          <w:tcPr>
            <w:tcW w:w="1014" w:type="dxa"/>
            <w:vAlign w:val="center"/>
          </w:tcPr>
          <w:p w14:paraId="7FF8BC35">
            <w:pPr>
              <w:spacing w:line="360" w:lineRule="auto"/>
              <w:jc w:val="center"/>
              <w:rPr>
                <w:rFonts w:ascii="仿宋" w:hAnsi="仿宋" w:eastAsia="仿宋" w:cs="仿宋"/>
                <w:color w:val="auto"/>
                <w:highlight w:val="none"/>
              </w:rPr>
            </w:pPr>
          </w:p>
        </w:tc>
        <w:tc>
          <w:tcPr>
            <w:tcW w:w="1483" w:type="dxa"/>
            <w:vAlign w:val="center"/>
          </w:tcPr>
          <w:p w14:paraId="045938AA">
            <w:pPr>
              <w:spacing w:line="360" w:lineRule="auto"/>
              <w:jc w:val="center"/>
              <w:rPr>
                <w:rFonts w:ascii="仿宋" w:hAnsi="仿宋" w:eastAsia="仿宋" w:cs="仿宋"/>
                <w:color w:val="auto"/>
                <w:highlight w:val="none"/>
              </w:rPr>
            </w:pPr>
          </w:p>
        </w:tc>
        <w:tc>
          <w:tcPr>
            <w:tcW w:w="2313" w:type="dxa"/>
            <w:vAlign w:val="center"/>
          </w:tcPr>
          <w:p w14:paraId="6DDF8B86">
            <w:pPr>
              <w:spacing w:line="360" w:lineRule="auto"/>
              <w:jc w:val="center"/>
              <w:rPr>
                <w:rFonts w:ascii="仿宋" w:hAnsi="仿宋" w:eastAsia="仿宋" w:cs="仿宋"/>
                <w:color w:val="auto"/>
                <w:highlight w:val="none"/>
              </w:rPr>
            </w:pPr>
          </w:p>
        </w:tc>
        <w:tc>
          <w:tcPr>
            <w:tcW w:w="1406" w:type="dxa"/>
            <w:vAlign w:val="center"/>
          </w:tcPr>
          <w:p w14:paraId="33F8959B">
            <w:pPr>
              <w:spacing w:line="360" w:lineRule="auto"/>
              <w:jc w:val="center"/>
              <w:rPr>
                <w:rFonts w:ascii="仿宋" w:hAnsi="仿宋" w:eastAsia="仿宋" w:cs="仿宋"/>
                <w:color w:val="auto"/>
                <w:highlight w:val="none"/>
              </w:rPr>
            </w:pPr>
          </w:p>
        </w:tc>
      </w:tr>
    </w:tbl>
    <w:p w14:paraId="512006CE">
      <w:pP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t>附相关证明材料；</w:t>
      </w:r>
      <w:r>
        <w:rPr>
          <w:rFonts w:hint="eastAsia" w:ascii="仿宋" w:hAnsi="仿宋" w:eastAsia="仿宋" w:cs="仿宋"/>
          <w:color w:val="auto"/>
          <w:sz w:val="24"/>
          <w:szCs w:val="24"/>
          <w:highlight w:val="none"/>
          <w:lang w:eastAsia="zh-CN"/>
        </w:rPr>
        <w:br w:type="page"/>
      </w:r>
      <w:bookmarkStart w:id="249" w:name="_Toc109941774"/>
      <w:bookmarkStart w:id="250" w:name="_Toc110707974"/>
      <w:bookmarkStart w:id="251" w:name="_Toc130252629"/>
      <w:bookmarkStart w:id="252" w:name="_Toc109921167"/>
      <w:bookmarkStart w:id="253" w:name="_Toc24436"/>
      <w:r>
        <w:rPr>
          <w:rFonts w:hint="eastAsia" w:ascii="仿宋" w:hAnsi="仿宋" w:eastAsia="仿宋" w:cs="仿宋"/>
          <w:b/>
          <w:color w:val="auto"/>
          <w:sz w:val="24"/>
          <w:szCs w:val="24"/>
          <w:highlight w:val="none"/>
          <w:lang w:eastAsia="zh-CN"/>
        </w:rPr>
        <w:t>十、</w:t>
      </w:r>
      <w:bookmarkEnd w:id="249"/>
      <w:bookmarkEnd w:id="250"/>
      <w:bookmarkEnd w:id="251"/>
      <w:bookmarkEnd w:id="252"/>
      <w:r>
        <w:rPr>
          <w:rFonts w:hint="eastAsia" w:ascii="仿宋" w:hAnsi="仿宋" w:eastAsia="仿宋" w:cs="仿宋"/>
          <w:b/>
          <w:color w:val="auto"/>
          <w:sz w:val="24"/>
          <w:szCs w:val="24"/>
          <w:highlight w:val="none"/>
          <w:lang w:eastAsia="zh-CN"/>
        </w:rPr>
        <w:t>服务方案</w:t>
      </w:r>
      <w:bookmarkEnd w:id="253"/>
    </w:p>
    <w:p w14:paraId="54B1E3AD">
      <w:pPr>
        <w:spacing w:line="360" w:lineRule="auto"/>
        <w:ind w:firstLine="480" w:firstLineChars="200"/>
        <w:rPr>
          <w:rFonts w:ascii="仿宋" w:hAnsi="仿宋" w:eastAsia="仿宋" w:cs="仿宋"/>
          <w:bCs/>
          <w:color w:val="auto"/>
          <w:sz w:val="24"/>
          <w:szCs w:val="24"/>
          <w:highlight w:val="none"/>
          <w:lang w:eastAsia="zh-CN"/>
        </w:rPr>
      </w:pPr>
      <w:bookmarkStart w:id="254" w:name="_Toc375218897"/>
    </w:p>
    <w:p w14:paraId="477851B1">
      <w:pPr>
        <w:spacing w:line="360" w:lineRule="auto"/>
        <w:jc w:val="center"/>
        <w:rPr>
          <w:rFonts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格式和内容</w:t>
      </w:r>
      <w:r>
        <w:rPr>
          <w:rFonts w:hint="eastAsia" w:ascii="仿宋" w:hAnsi="仿宋" w:eastAsia="仿宋" w:cs="仿宋"/>
          <w:color w:val="auto"/>
          <w:sz w:val="24"/>
          <w:szCs w:val="24"/>
          <w:highlight w:val="none"/>
          <w:lang w:eastAsia="zh-CN"/>
        </w:rPr>
        <w:t>自行拟定</w:t>
      </w:r>
      <w:bookmarkStart w:id="255" w:name="_Toc375218899"/>
    </w:p>
    <w:p w14:paraId="6DE2D814">
      <w:pPr>
        <w:spacing w:line="360" w:lineRule="auto"/>
        <w:ind w:firstLine="480" w:firstLineChars="200"/>
        <w:rPr>
          <w:rFonts w:ascii="仿宋" w:hAnsi="仿宋" w:eastAsia="仿宋" w:cs="仿宋"/>
          <w:color w:val="auto"/>
          <w:sz w:val="24"/>
          <w:szCs w:val="24"/>
          <w:highlight w:val="none"/>
          <w:lang w:eastAsia="zh-CN"/>
        </w:rPr>
      </w:pPr>
    </w:p>
    <w:bookmarkEnd w:id="254"/>
    <w:bookmarkEnd w:id="255"/>
    <w:p w14:paraId="32885CDF">
      <w:pPr>
        <w:spacing w:line="360" w:lineRule="auto"/>
        <w:ind w:firstLine="480" w:firstLineChars="200"/>
        <w:rPr>
          <w:rFonts w:ascii="仿宋" w:hAnsi="仿宋" w:eastAsia="仿宋" w:cs="仿宋"/>
          <w:color w:val="auto"/>
          <w:sz w:val="24"/>
          <w:szCs w:val="24"/>
          <w:highlight w:val="none"/>
          <w:lang w:eastAsia="zh-CN"/>
        </w:rPr>
      </w:pPr>
    </w:p>
    <w:p w14:paraId="345F962D">
      <w:pPr>
        <w:spacing w:line="360" w:lineRule="auto"/>
        <w:ind w:firstLine="480" w:firstLineChars="200"/>
        <w:rPr>
          <w:rFonts w:ascii="仿宋" w:hAnsi="仿宋" w:eastAsia="仿宋" w:cs="仿宋"/>
          <w:color w:val="auto"/>
          <w:sz w:val="24"/>
          <w:szCs w:val="24"/>
          <w:highlight w:val="none"/>
          <w:lang w:eastAsia="zh-CN"/>
        </w:rPr>
      </w:pPr>
    </w:p>
    <w:p w14:paraId="52111AE8">
      <w:pPr>
        <w:spacing w:line="360" w:lineRule="auto"/>
        <w:ind w:firstLine="480" w:firstLineChars="200"/>
        <w:rPr>
          <w:rFonts w:ascii="仿宋" w:hAnsi="仿宋" w:eastAsia="仿宋" w:cs="仿宋"/>
          <w:color w:val="auto"/>
          <w:sz w:val="24"/>
          <w:szCs w:val="24"/>
          <w:highlight w:val="none"/>
          <w:lang w:eastAsia="zh-CN"/>
        </w:rPr>
      </w:pPr>
    </w:p>
    <w:p w14:paraId="754218F5">
      <w:pPr>
        <w:tabs>
          <w:tab w:val="center" w:pos="4832"/>
          <w:tab w:val="left" w:pos="7140"/>
        </w:tabs>
        <w:jc w:val="center"/>
        <w:outlineLvl w:val="1"/>
        <w:rPr>
          <w:rFonts w:ascii="仿宋" w:hAnsi="仿宋" w:eastAsia="仿宋" w:cs="仿宋"/>
          <w:b/>
          <w:color w:val="auto"/>
          <w:sz w:val="24"/>
          <w:szCs w:val="24"/>
          <w:highlight w:val="none"/>
          <w:lang w:eastAsia="zh-CN"/>
        </w:rPr>
      </w:pPr>
      <w:bookmarkStart w:id="256" w:name="_Toc130252630"/>
      <w:bookmarkStart w:id="257" w:name="_Toc110707975"/>
      <w:bookmarkStart w:id="258" w:name="_Toc109921168"/>
      <w:bookmarkStart w:id="259" w:name="_Toc109941775"/>
      <w:bookmarkStart w:id="260" w:name="_Toc29654"/>
      <w:r>
        <w:rPr>
          <w:rFonts w:hint="eastAsia" w:ascii="仿宋" w:hAnsi="仿宋" w:eastAsia="仿宋" w:cs="仿宋"/>
          <w:b/>
          <w:color w:val="auto"/>
          <w:sz w:val="24"/>
          <w:szCs w:val="24"/>
          <w:highlight w:val="none"/>
          <w:lang w:eastAsia="zh-CN"/>
        </w:rPr>
        <w:t>十一、其它需要提交的资料</w:t>
      </w:r>
      <w:bookmarkEnd w:id="256"/>
      <w:bookmarkEnd w:id="257"/>
      <w:bookmarkEnd w:id="258"/>
      <w:bookmarkEnd w:id="259"/>
      <w:bookmarkEnd w:id="260"/>
    </w:p>
    <w:p w14:paraId="03C477AD">
      <w:pPr>
        <w:spacing w:line="360" w:lineRule="auto"/>
        <w:ind w:firstLine="480" w:firstLineChars="200"/>
        <w:rPr>
          <w:rFonts w:ascii="仿宋" w:hAnsi="仿宋" w:eastAsia="仿宋" w:cs="仿宋"/>
          <w:color w:val="auto"/>
          <w:sz w:val="24"/>
          <w:szCs w:val="24"/>
          <w:highlight w:val="none"/>
          <w:lang w:eastAsia="zh-CN"/>
        </w:rPr>
      </w:pPr>
    </w:p>
    <w:p w14:paraId="232FE750">
      <w:pPr>
        <w:spacing w:line="360" w:lineRule="auto"/>
        <w:ind w:firstLine="480" w:firstLineChars="20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根据采购文件的要求和供应商认为需要提供的资料。</w:t>
      </w:r>
    </w:p>
    <w:p w14:paraId="7FC9BC21">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color w:val="auto"/>
          <w:highlight w:val="none"/>
          <w:lang w:eastAsia="zh-CN"/>
        </w:rPr>
        <w:t xml:space="preserve"> </w:t>
      </w:r>
    </w:p>
    <w:p w14:paraId="7943368B">
      <w:pPr>
        <w:pStyle w:val="2"/>
        <w:rPr>
          <w:rFonts w:ascii="仿宋" w:hAnsi="仿宋" w:eastAsia="仿宋" w:cs="仿宋"/>
          <w:b/>
          <w:color w:val="auto"/>
          <w:szCs w:val="24"/>
          <w:highlight w:val="none"/>
          <w:lang w:eastAsia="zh-CN"/>
        </w:rPr>
      </w:pPr>
      <w:bookmarkStart w:id="261" w:name="_Toc5648"/>
      <w:bookmarkStart w:id="262" w:name="_Toc60925660"/>
      <w:bookmarkStart w:id="263" w:name="_Toc130252631"/>
      <w:bookmarkStart w:id="264" w:name="_Toc6942"/>
      <w:r>
        <w:rPr>
          <w:rFonts w:hint="eastAsia"/>
          <w:b/>
          <w:bCs/>
          <w:color w:val="auto"/>
          <w:highlight w:val="none"/>
          <w:lang w:eastAsia="zh-CN"/>
        </w:rPr>
        <w:t>第六章 补充条款</w:t>
      </w:r>
      <w:bookmarkEnd w:id="261"/>
      <w:bookmarkEnd w:id="262"/>
      <w:bookmarkEnd w:id="263"/>
      <w:bookmarkEnd w:id="264"/>
    </w:p>
    <w:p w14:paraId="22907CBE">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1C0E3D72">
      <w:pPr>
        <w:ind w:left="420" w:leftChars="200"/>
        <w:jc w:val="center"/>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质疑函范本（投标文件中无需提供）</w:t>
      </w:r>
    </w:p>
    <w:p w14:paraId="69580FA2">
      <w:pPr>
        <w:spacing w:before="240" w:beforeLines="100"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一、质疑供应商基本信息</w:t>
      </w:r>
    </w:p>
    <w:p w14:paraId="725CB628">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质疑供应商：</w:t>
      </w:r>
      <w:r>
        <w:rPr>
          <w:rFonts w:hint="eastAsia" w:ascii="仿宋" w:hAnsi="仿宋" w:eastAsia="仿宋" w:cs="仿宋"/>
          <w:color w:val="auto"/>
          <w:sz w:val="24"/>
          <w:szCs w:val="24"/>
          <w:highlight w:val="none"/>
          <w:u w:val="dotted"/>
          <w:lang w:eastAsia="zh-CN"/>
        </w:rPr>
        <w:t xml:space="preserve">                                        </w:t>
      </w:r>
    </w:p>
    <w:p w14:paraId="69C5037B">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p>
    <w:p w14:paraId="4623758D">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p>
    <w:p w14:paraId="59618354">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授权代表：</w:t>
      </w:r>
      <w:r>
        <w:rPr>
          <w:rFonts w:hint="eastAsia" w:ascii="仿宋" w:hAnsi="仿宋" w:eastAsia="仿宋" w:cs="仿宋"/>
          <w:color w:val="auto"/>
          <w:sz w:val="24"/>
          <w:szCs w:val="24"/>
          <w:highlight w:val="none"/>
          <w:u w:val="dotted"/>
          <w:lang w:eastAsia="zh-CN"/>
        </w:rPr>
        <w:t xml:space="preserve">                                          </w:t>
      </w:r>
    </w:p>
    <w:p w14:paraId="0CF816F1">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2494E4D5">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地址： </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p>
    <w:p w14:paraId="7F1B8B94">
      <w:pPr>
        <w:spacing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二、质疑项目基本情况</w:t>
      </w:r>
    </w:p>
    <w:p w14:paraId="5EC6A28D">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质疑项目的名称：</w:t>
      </w:r>
      <w:r>
        <w:rPr>
          <w:rFonts w:hint="eastAsia" w:ascii="仿宋" w:hAnsi="仿宋" w:eastAsia="仿宋" w:cs="仿宋"/>
          <w:color w:val="auto"/>
          <w:sz w:val="24"/>
          <w:szCs w:val="24"/>
          <w:highlight w:val="none"/>
          <w:u w:val="dotted"/>
          <w:lang w:eastAsia="zh-CN"/>
        </w:rPr>
        <w:t xml:space="preserve">                                      </w:t>
      </w:r>
    </w:p>
    <w:p w14:paraId="0556E9BF">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质疑项目的编号：</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u w:val="dotted"/>
          <w:lang w:eastAsia="zh-CN"/>
        </w:rPr>
        <w:t xml:space="preserve">                 </w:t>
      </w:r>
    </w:p>
    <w:p w14:paraId="7251F4CA">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采购人名称：</w:t>
      </w:r>
      <w:r>
        <w:rPr>
          <w:rFonts w:hint="eastAsia" w:ascii="仿宋" w:hAnsi="仿宋" w:eastAsia="仿宋" w:cs="仿宋"/>
          <w:color w:val="auto"/>
          <w:sz w:val="24"/>
          <w:szCs w:val="24"/>
          <w:highlight w:val="none"/>
          <w:u w:val="dotted"/>
          <w:lang w:eastAsia="zh-CN"/>
        </w:rPr>
        <w:t xml:space="preserve">                                         </w:t>
      </w:r>
    </w:p>
    <w:p w14:paraId="4D28D042">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采购文件获取日期：</w:t>
      </w:r>
      <w:r>
        <w:rPr>
          <w:rFonts w:hint="eastAsia" w:ascii="仿宋" w:hAnsi="仿宋" w:eastAsia="仿宋" w:cs="仿宋"/>
          <w:color w:val="auto"/>
          <w:sz w:val="24"/>
          <w:szCs w:val="24"/>
          <w:highlight w:val="none"/>
          <w:u w:val="dotted"/>
          <w:lang w:eastAsia="zh-CN"/>
        </w:rPr>
        <w:t xml:space="preserve">                                           </w:t>
      </w:r>
    </w:p>
    <w:p w14:paraId="31CA5CF4">
      <w:pPr>
        <w:spacing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三、质疑事项具体内容</w:t>
      </w:r>
    </w:p>
    <w:p w14:paraId="3B5CC279">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质疑事项1：</w:t>
      </w:r>
      <w:r>
        <w:rPr>
          <w:rFonts w:hint="eastAsia" w:ascii="仿宋" w:hAnsi="仿宋" w:eastAsia="仿宋" w:cs="仿宋"/>
          <w:color w:val="auto"/>
          <w:sz w:val="24"/>
          <w:szCs w:val="24"/>
          <w:highlight w:val="none"/>
          <w:u w:val="dotted"/>
          <w:lang w:eastAsia="zh-CN"/>
        </w:rPr>
        <w:t xml:space="preserve">                                         </w:t>
      </w:r>
    </w:p>
    <w:p w14:paraId="709D80E2">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事实依据：</w:t>
      </w:r>
      <w:r>
        <w:rPr>
          <w:rFonts w:hint="eastAsia" w:ascii="仿宋" w:hAnsi="仿宋" w:eastAsia="仿宋" w:cs="仿宋"/>
          <w:color w:val="auto"/>
          <w:sz w:val="24"/>
          <w:szCs w:val="24"/>
          <w:highlight w:val="none"/>
          <w:u w:val="dotted"/>
          <w:lang w:eastAsia="zh-CN"/>
        </w:rPr>
        <w:t xml:space="preserve">                                          </w:t>
      </w:r>
    </w:p>
    <w:p w14:paraId="656651A4">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dotted"/>
          <w:lang w:eastAsia="zh-CN"/>
        </w:rPr>
        <w:t xml:space="preserve">                                                       </w:t>
      </w:r>
    </w:p>
    <w:p w14:paraId="2156DDDE">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法律依据：</w:t>
      </w:r>
      <w:r>
        <w:rPr>
          <w:rFonts w:hint="eastAsia" w:ascii="仿宋" w:hAnsi="仿宋" w:eastAsia="仿宋" w:cs="仿宋"/>
          <w:color w:val="auto"/>
          <w:sz w:val="24"/>
          <w:szCs w:val="24"/>
          <w:highlight w:val="none"/>
          <w:u w:val="dotted"/>
          <w:lang w:eastAsia="zh-CN"/>
        </w:rPr>
        <w:t xml:space="preserve">                                          </w:t>
      </w:r>
    </w:p>
    <w:p w14:paraId="1C8A4699">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p>
    <w:p w14:paraId="7FC310DA">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质疑事项2</w:t>
      </w:r>
    </w:p>
    <w:p w14:paraId="796A8104">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p w14:paraId="05E46008">
      <w:pPr>
        <w:spacing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四、与质疑事项相关的质疑请求</w:t>
      </w:r>
    </w:p>
    <w:p w14:paraId="2544C3D6">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请求：</w:t>
      </w:r>
      <w:r>
        <w:rPr>
          <w:rFonts w:hint="eastAsia" w:ascii="仿宋" w:hAnsi="仿宋" w:eastAsia="仿宋" w:cs="仿宋"/>
          <w:color w:val="auto"/>
          <w:sz w:val="24"/>
          <w:szCs w:val="24"/>
          <w:highlight w:val="none"/>
          <w:u w:val="dotted"/>
          <w:lang w:eastAsia="zh-CN"/>
        </w:rPr>
        <w:t xml:space="preserve">                                               </w:t>
      </w:r>
    </w:p>
    <w:p w14:paraId="5A19B3A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签字（签章）：                   公章：                      </w:t>
      </w:r>
    </w:p>
    <w:p w14:paraId="270E998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日期：    </w:t>
      </w:r>
    </w:p>
    <w:p w14:paraId="7625049E">
      <w:pPr>
        <w:spacing w:line="360" w:lineRule="auto"/>
        <w:ind w:left="420" w:leftChars="200"/>
        <w:rPr>
          <w:rFonts w:ascii="仿宋" w:hAnsi="仿宋" w:eastAsia="仿宋" w:cs="仿宋"/>
          <w:color w:val="auto"/>
          <w:sz w:val="24"/>
          <w:szCs w:val="24"/>
          <w:highlight w:val="none"/>
          <w:lang w:eastAsia="zh-CN"/>
        </w:rPr>
      </w:pPr>
    </w:p>
    <w:p w14:paraId="052F182A">
      <w:pPr>
        <w:spacing w:line="360" w:lineRule="auto"/>
        <w:ind w:left="420" w:leftChars="200"/>
        <w:rPr>
          <w:rFonts w:ascii="仿宋" w:hAnsi="仿宋" w:eastAsia="仿宋" w:cs="仿宋"/>
          <w:color w:val="auto"/>
          <w:sz w:val="24"/>
          <w:szCs w:val="24"/>
          <w:highlight w:val="none"/>
          <w:lang w:eastAsia="zh-CN"/>
        </w:rPr>
      </w:pPr>
    </w:p>
    <w:p w14:paraId="7ABEB2FC">
      <w:pPr>
        <w:ind w:left="420" w:leftChars="200"/>
        <w:jc w:val="center"/>
        <w:rPr>
          <w:rFonts w:ascii="仿宋" w:hAnsi="仿宋" w:eastAsia="仿宋" w:cs="仿宋"/>
          <w:b/>
          <w:bCs/>
          <w:color w:val="auto"/>
          <w:sz w:val="24"/>
          <w:szCs w:val="24"/>
          <w:highlight w:val="none"/>
          <w:lang w:eastAsia="zh-CN"/>
        </w:rPr>
      </w:pPr>
    </w:p>
    <w:p w14:paraId="00E56270">
      <w:pPr>
        <w:ind w:left="420" w:leftChars="200"/>
        <w:jc w:val="center"/>
        <w:rPr>
          <w:rFonts w:ascii="仿宋" w:hAnsi="仿宋" w:eastAsia="仿宋" w:cs="仿宋"/>
          <w:b/>
          <w:bCs/>
          <w:color w:val="auto"/>
          <w:sz w:val="24"/>
          <w:szCs w:val="24"/>
          <w:highlight w:val="none"/>
          <w:lang w:eastAsia="zh-CN"/>
        </w:rPr>
      </w:pPr>
    </w:p>
    <w:p w14:paraId="7AFE23F2">
      <w:pPr>
        <w:ind w:left="420" w:leftChars="200"/>
        <w:rPr>
          <w:rFonts w:ascii="仿宋" w:hAnsi="仿宋" w:eastAsia="仿宋" w:cs="仿宋"/>
          <w:b/>
          <w:color w:val="auto"/>
          <w:sz w:val="24"/>
          <w:szCs w:val="24"/>
          <w:highlight w:val="none"/>
          <w:lang w:eastAsia="zh-CN"/>
        </w:rPr>
      </w:pPr>
    </w:p>
    <w:p w14:paraId="02B60324">
      <w:pPr>
        <w:ind w:left="420" w:leftChars="200"/>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1BA31D46">
      <w:pPr>
        <w:ind w:left="420" w:leftChars="200"/>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质疑函制作说明：</w:t>
      </w:r>
    </w:p>
    <w:p w14:paraId="5BA6CBD0">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1.供应商提出质疑时，应提交质疑函和必要的证明材料。</w:t>
      </w:r>
    </w:p>
    <w:p w14:paraId="28E5E30D">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442033">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3.质疑供应商若对项目的某一分包进行质疑，质疑函中应列明具体分包号。</w:t>
      </w:r>
    </w:p>
    <w:p w14:paraId="4E93FA0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4.质疑函的质疑事项应具体、明确，并有必要的事实依据和法律依据。</w:t>
      </w:r>
    </w:p>
    <w:p w14:paraId="1DEBAC8C">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5.质疑函的质疑请求应与质疑事项相关。</w:t>
      </w:r>
    </w:p>
    <w:p w14:paraId="75472DB4">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6.质疑供应商为自然人的，质疑函应由本人签字；质疑供应商为法人或者其他组织的，质疑函应由法定代表人、主要负责人，或者其授权代表签字或者盖章，并加盖公章。</w:t>
      </w:r>
    </w:p>
    <w:p w14:paraId="46B15118">
      <w:pPr>
        <w:ind w:left="420" w:leftChars="200"/>
        <w:jc w:val="center"/>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r>
        <w:rPr>
          <w:rFonts w:hint="eastAsia" w:ascii="仿宋" w:hAnsi="仿宋" w:eastAsia="仿宋" w:cs="仿宋"/>
          <w:b/>
          <w:color w:val="auto"/>
          <w:sz w:val="24"/>
          <w:szCs w:val="24"/>
          <w:highlight w:val="none"/>
          <w:lang w:eastAsia="zh-CN"/>
        </w:rPr>
        <w:t>投诉书范本</w:t>
      </w:r>
      <w:r>
        <w:rPr>
          <w:rFonts w:hint="eastAsia" w:ascii="仿宋" w:hAnsi="仿宋" w:eastAsia="仿宋" w:cs="仿宋"/>
          <w:b/>
          <w:bCs/>
          <w:color w:val="auto"/>
          <w:sz w:val="24"/>
          <w:szCs w:val="24"/>
          <w:highlight w:val="none"/>
          <w:lang w:eastAsia="zh-CN"/>
        </w:rPr>
        <w:t>（投标文件中无需提供）</w:t>
      </w:r>
    </w:p>
    <w:p w14:paraId="1B80E58E">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一、投诉相关主体基本情况</w:t>
      </w:r>
    </w:p>
    <w:p w14:paraId="3AF33847">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投诉人：</w:t>
      </w:r>
      <w:r>
        <w:rPr>
          <w:rFonts w:hint="eastAsia" w:ascii="仿宋" w:hAnsi="仿宋" w:eastAsia="仿宋" w:cs="仿宋"/>
          <w:color w:val="auto"/>
          <w:sz w:val="24"/>
          <w:szCs w:val="24"/>
          <w:highlight w:val="none"/>
          <w:u w:val="dotted"/>
          <w:lang w:eastAsia="zh-CN"/>
        </w:rPr>
        <w:t xml:space="preserve">                                               </w:t>
      </w:r>
    </w:p>
    <w:p w14:paraId="1FC2BE68">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0D0F619E">
      <w:pPr>
        <w:tabs>
          <w:tab w:val="left" w:pos="6510"/>
        </w:tabs>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法定代表人/主要负责人：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2220A8F7">
      <w:pPr>
        <w:tabs>
          <w:tab w:val="left" w:pos="6510"/>
        </w:tabs>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p>
    <w:p w14:paraId="59FED8E8">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授权代表：</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p>
    <w:p w14:paraId="20D41992">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dotted"/>
          <w:lang w:eastAsia="zh-CN"/>
        </w:rPr>
        <w:t xml:space="preserve">                   </w:t>
      </w:r>
    </w:p>
    <w:p w14:paraId="03E5AEFD">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被投诉人1：</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1D76D530">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72DD4B88">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2EA789F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被投诉人2</w:t>
      </w:r>
    </w:p>
    <w:p w14:paraId="6C653979">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w:t>
      </w:r>
    </w:p>
    <w:p w14:paraId="025AC841">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相关供应商：</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6FC10B4D">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5BDB70D3">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0C8435F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二、投诉项目基本情况</w:t>
      </w:r>
    </w:p>
    <w:p w14:paraId="4717A42B">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采购项目名称：</w:t>
      </w:r>
      <w:r>
        <w:rPr>
          <w:rFonts w:hint="eastAsia" w:ascii="仿宋" w:hAnsi="仿宋" w:eastAsia="仿宋" w:cs="仿宋"/>
          <w:color w:val="auto"/>
          <w:sz w:val="24"/>
          <w:szCs w:val="24"/>
          <w:highlight w:val="none"/>
          <w:u w:val="dotted"/>
          <w:lang w:eastAsia="zh-CN"/>
        </w:rPr>
        <w:t xml:space="preserve">                                        </w:t>
      </w:r>
    </w:p>
    <w:p w14:paraId="7101D21F">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采购项目编号：</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u w:val="dotted"/>
          <w:lang w:eastAsia="zh-CN"/>
        </w:rPr>
        <w:t xml:space="preserve">              </w:t>
      </w:r>
    </w:p>
    <w:p w14:paraId="6DE6DA8E">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采购人名称：</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4C5B7DFC">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代理机构名称：</w:t>
      </w:r>
      <w:r>
        <w:rPr>
          <w:rFonts w:hint="eastAsia" w:ascii="仿宋" w:hAnsi="仿宋" w:eastAsia="仿宋" w:cs="仿宋"/>
          <w:color w:val="auto"/>
          <w:sz w:val="24"/>
          <w:szCs w:val="24"/>
          <w:highlight w:val="none"/>
          <w:u w:val="dotted"/>
          <w:lang w:eastAsia="zh-CN"/>
        </w:rPr>
        <w:t xml:space="preserve">                                         </w:t>
      </w:r>
    </w:p>
    <w:p w14:paraId="6CFD04E3">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采购文件公告：</w:t>
      </w:r>
      <w:r>
        <w:rPr>
          <w:rFonts w:hint="eastAsia" w:ascii="仿宋" w:hAnsi="仿宋" w:eastAsia="仿宋" w:cs="仿宋"/>
          <w:color w:val="auto"/>
          <w:sz w:val="24"/>
          <w:szCs w:val="24"/>
          <w:highlight w:val="none"/>
          <w:u w:val="dotted"/>
          <w:lang w:eastAsia="zh-CN"/>
        </w:rPr>
        <w:t xml:space="preserve">是/否 </w:t>
      </w:r>
      <w:r>
        <w:rPr>
          <w:rFonts w:hint="eastAsia" w:ascii="仿宋" w:hAnsi="仿宋" w:eastAsia="仿宋" w:cs="仿宋"/>
          <w:color w:val="auto"/>
          <w:sz w:val="24"/>
          <w:szCs w:val="24"/>
          <w:highlight w:val="none"/>
          <w:lang w:eastAsia="zh-CN"/>
        </w:rPr>
        <w:t>公告期限：</w:t>
      </w:r>
      <w:r>
        <w:rPr>
          <w:rFonts w:hint="eastAsia" w:ascii="仿宋" w:hAnsi="仿宋" w:eastAsia="仿宋" w:cs="仿宋"/>
          <w:color w:val="auto"/>
          <w:sz w:val="24"/>
          <w:szCs w:val="24"/>
          <w:highlight w:val="none"/>
          <w:u w:val="dotted"/>
          <w:lang w:eastAsia="zh-CN"/>
        </w:rPr>
        <w:t xml:space="preserve">                                 </w:t>
      </w:r>
    </w:p>
    <w:p w14:paraId="41B15839">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采购结果公告：</w:t>
      </w:r>
      <w:r>
        <w:rPr>
          <w:rFonts w:hint="eastAsia" w:ascii="仿宋" w:hAnsi="仿宋" w:eastAsia="仿宋" w:cs="仿宋"/>
          <w:color w:val="auto"/>
          <w:sz w:val="24"/>
          <w:szCs w:val="24"/>
          <w:highlight w:val="none"/>
          <w:u w:val="dotted"/>
          <w:lang w:eastAsia="zh-CN"/>
        </w:rPr>
        <w:t xml:space="preserve">是/否 </w:t>
      </w:r>
      <w:r>
        <w:rPr>
          <w:rFonts w:hint="eastAsia" w:ascii="仿宋" w:hAnsi="仿宋" w:eastAsia="仿宋" w:cs="仿宋"/>
          <w:color w:val="auto"/>
          <w:sz w:val="24"/>
          <w:szCs w:val="24"/>
          <w:highlight w:val="none"/>
          <w:lang w:eastAsia="zh-CN"/>
        </w:rPr>
        <w:t>公告期限：</w:t>
      </w:r>
      <w:r>
        <w:rPr>
          <w:rFonts w:hint="eastAsia" w:ascii="仿宋" w:hAnsi="仿宋" w:eastAsia="仿宋" w:cs="仿宋"/>
          <w:color w:val="auto"/>
          <w:sz w:val="24"/>
          <w:szCs w:val="24"/>
          <w:highlight w:val="none"/>
          <w:u w:val="dotted"/>
          <w:lang w:eastAsia="zh-CN"/>
        </w:rPr>
        <w:t xml:space="preserve">                        </w:t>
      </w:r>
    </w:p>
    <w:p w14:paraId="4B9261C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三、质疑基本情况</w:t>
      </w:r>
    </w:p>
    <w:p w14:paraId="49BE6F7A">
      <w:pPr>
        <w:ind w:left="420" w:leftChars="200" w:firstLine="480" w:firstLine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投诉人于</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日,向</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提出质疑，质疑事项为：</w:t>
      </w:r>
      <w:r>
        <w:rPr>
          <w:rFonts w:hint="eastAsia" w:ascii="仿宋" w:hAnsi="仿宋" w:eastAsia="仿宋" w:cs="仿宋"/>
          <w:color w:val="auto"/>
          <w:sz w:val="24"/>
          <w:szCs w:val="24"/>
          <w:highlight w:val="none"/>
          <w:u w:val="dotted"/>
          <w:lang w:eastAsia="zh-CN"/>
        </w:rPr>
        <w:t xml:space="preserve">                                </w:t>
      </w:r>
    </w:p>
    <w:p w14:paraId="29C78725">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66985887">
      <w:pPr>
        <w:ind w:left="420" w:leftChars="200" w:firstLine="360" w:firstLineChars="15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dotted"/>
          <w:lang w:eastAsia="zh-CN"/>
        </w:rPr>
        <w:t>采购人/代理机构</w:t>
      </w:r>
      <w:r>
        <w:rPr>
          <w:rFonts w:hint="eastAsia" w:ascii="仿宋" w:hAnsi="仿宋" w:eastAsia="仿宋" w:cs="仿宋"/>
          <w:color w:val="auto"/>
          <w:sz w:val="24"/>
          <w:szCs w:val="24"/>
          <w:highlight w:val="none"/>
          <w:lang w:eastAsia="zh-CN"/>
        </w:rPr>
        <w:t>于</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日,就质疑事项作出了答复/没有在法定期限内作出答复。</w:t>
      </w:r>
    </w:p>
    <w:p w14:paraId="7D8914D2">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四、投诉事项具体内容</w:t>
      </w:r>
    </w:p>
    <w:p w14:paraId="0EF0BE11">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投诉事项 1：</w:t>
      </w:r>
      <w:r>
        <w:rPr>
          <w:rFonts w:hint="eastAsia" w:ascii="仿宋" w:hAnsi="仿宋" w:eastAsia="仿宋" w:cs="仿宋"/>
          <w:color w:val="auto"/>
          <w:sz w:val="24"/>
          <w:szCs w:val="24"/>
          <w:highlight w:val="none"/>
          <w:u w:val="dotted"/>
          <w:lang w:eastAsia="zh-CN"/>
        </w:rPr>
        <w:t xml:space="preserve">                                       </w:t>
      </w:r>
    </w:p>
    <w:p w14:paraId="44B85CB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事实依据：</w:t>
      </w:r>
      <w:r>
        <w:rPr>
          <w:rFonts w:hint="eastAsia" w:ascii="仿宋" w:hAnsi="仿宋" w:eastAsia="仿宋" w:cs="仿宋"/>
          <w:color w:val="auto"/>
          <w:sz w:val="24"/>
          <w:szCs w:val="24"/>
          <w:highlight w:val="none"/>
          <w:u w:val="dotted"/>
          <w:lang w:eastAsia="zh-CN"/>
        </w:rPr>
        <w:t xml:space="preserve">                                         </w:t>
      </w:r>
    </w:p>
    <w:p w14:paraId="6FCA4181">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p>
    <w:p w14:paraId="3D3FEE52">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法律依据：</w:t>
      </w:r>
      <w:r>
        <w:rPr>
          <w:rFonts w:hint="eastAsia" w:ascii="仿宋" w:hAnsi="仿宋" w:eastAsia="仿宋" w:cs="仿宋"/>
          <w:color w:val="auto"/>
          <w:sz w:val="24"/>
          <w:szCs w:val="24"/>
          <w:highlight w:val="none"/>
          <w:u w:val="dotted"/>
          <w:lang w:eastAsia="zh-CN"/>
        </w:rPr>
        <w:t xml:space="preserve">                                          </w:t>
      </w:r>
    </w:p>
    <w:p w14:paraId="58A68E63">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p>
    <w:p w14:paraId="08B15A90">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投诉事项2</w:t>
      </w:r>
    </w:p>
    <w:p w14:paraId="16EBFDB0">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w:t>
      </w:r>
    </w:p>
    <w:p w14:paraId="76700554">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五、与投诉事项相关的投诉请求</w:t>
      </w:r>
    </w:p>
    <w:p w14:paraId="428950C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请求：</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28ED372A">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 xml:space="preserve">                                                                                                    </w:t>
      </w:r>
    </w:p>
    <w:p w14:paraId="2F6A21AC">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签字（签章）：                   公章：                      </w:t>
      </w:r>
    </w:p>
    <w:p w14:paraId="159A8E0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日期：    </w:t>
      </w:r>
    </w:p>
    <w:p w14:paraId="6547E534">
      <w:pPr>
        <w:ind w:left="420" w:leftChars="200"/>
        <w:rPr>
          <w:rFonts w:ascii="仿宋" w:hAnsi="仿宋" w:eastAsia="仿宋" w:cs="仿宋"/>
          <w:b/>
          <w:color w:val="auto"/>
          <w:sz w:val="24"/>
          <w:szCs w:val="24"/>
          <w:highlight w:val="none"/>
          <w:lang w:eastAsia="zh-CN"/>
        </w:rPr>
      </w:pPr>
    </w:p>
    <w:p w14:paraId="1230F85A">
      <w:pPr>
        <w:ind w:left="420" w:leftChars="200"/>
        <w:rPr>
          <w:rFonts w:ascii="仿宋" w:hAnsi="仿宋" w:eastAsia="仿宋" w:cs="仿宋"/>
          <w:b/>
          <w:color w:val="auto"/>
          <w:sz w:val="24"/>
          <w:szCs w:val="24"/>
          <w:highlight w:val="none"/>
          <w:lang w:eastAsia="zh-CN"/>
        </w:rPr>
      </w:pPr>
    </w:p>
    <w:p w14:paraId="4C8F852F">
      <w:pPr>
        <w:ind w:left="420" w:leftChars="200"/>
        <w:rPr>
          <w:rFonts w:ascii="仿宋" w:hAnsi="仿宋" w:eastAsia="仿宋" w:cs="仿宋"/>
          <w:b/>
          <w:color w:val="auto"/>
          <w:sz w:val="24"/>
          <w:szCs w:val="24"/>
          <w:highlight w:val="none"/>
          <w:lang w:eastAsia="zh-CN"/>
        </w:rPr>
      </w:pPr>
    </w:p>
    <w:p w14:paraId="5C35FF46">
      <w:pP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38F53E02">
      <w:pPr>
        <w:ind w:left="420" w:leftChars="200"/>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投诉书制作说明：</w:t>
      </w:r>
    </w:p>
    <w:p w14:paraId="335895B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1.投诉人提起投诉时，应当提交投诉书和必要的证明材料，并按照被投诉人和与投诉事项有关的供应商数量提供投诉书副本。</w:t>
      </w:r>
    </w:p>
    <w:p w14:paraId="68744FCA">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125EF12">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3.投诉人若对项目的某一分包进行投诉，投诉书应列明具体分包号。</w:t>
      </w:r>
    </w:p>
    <w:p w14:paraId="3751549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4.投诉书应简要列明质疑事项，质疑函、质疑答复等作为附件材料提供。</w:t>
      </w:r>
    </w:p>
    <w:p w14:paraId="4626F088">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5.投诉书的投诉事项应具体、明确，并有必要的事实依据和法律依据。</w:t>
      </w:r>
    </w:p>
    <w:p w14:paraId="5EE67CC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6.投诉书的投诉请求应与投诉事项相关。</w:t>
      </w:r>
    </w:p>
    <w:p w14:paraId="4B4DC34C">
      <w:pPr>
        <w:ind w:left="420" w:leftChars="200"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7.投诉人为自然人的，投诉书应当由本人签字；投诉人为法人或者其他组织的，投诉书应当由法定代表人、主要负责人，或者其授权代表签字或者盖章，并加盖公章。</w:t>
      </w:r>
    </w:p>
    <w:p w14:paraId="014A0EC2">
      <w:pPr>
        <w:ind w:left="420" w:leftChars="200"/>
        <w:rPr>
          <w:rFonts w:ascii="仿宋" w:hAnsi="仿宋" w:eastAsia="仿宋" w:cs="仿宋"/>
          <w:color w:val="auto"/>
          <w:highlight w:val="none"/>
          <w:lang w:eastAsia="zh-CN"/>
        </w:rPr>
      </w:pPr>
    </w:p>
    <w:p w14:paraId="1124DB48">
      <w:pPr>
        <w:rPr>
          <w:rFonts w:ascii="仿宋" w:hAnsi="仿宋" w:eastAsia="仿宋" w:cs="仿宋"/>
          <w:color w:val="auto"/>
          <w:highlight w:val="none"/>
          <w:lang w:eastAsia="zh-CN"/>
        </w:rPr>
      </w:pPr>
    </w:p>
    <w:p w14:paraId="4DFD127A">
      <w:pPr>
        <w:rPr>
          <w:rFonts w:ascii="仿宋" w:hAnsi="仿宋" w:eastAsia="仿宋" w:cs="仿宋"/>
          <w:color w:val="auto"/>
          <w:highlight w:val="none"/>
          <w:lang w:eastAsia="zh-CN"/>
        </w:rPr>
      </w:pPr>
    </w:p>
    <w:p w14:paraId="00BAB5F1">
      <w:pPr>
        <w:rPr>
          <w:rFonts w:ascii="仿宋" w:hAnsi="仿宋" w:eastAsia="仿宋" w:cs="仿宋"/>
          <w:color w:val="auto"/>
          <w:highlight w:val="none"/>
          <w:lang w:eastAsia="zh-CN"/>
        </w:rPr>
      </w:pPr>
    </w:p>
    <w:p w14:paraId="15E291BB">
      <w:pPr>
        <w:rPr>
          <w:color w:val="auto"/>
          <w:highlight w:val="none"/>
          <w:lang w:eastAsia="zh-CN"/>
        </w:rPr>
      </w:pPr>
    </w:p>
    <w:p w14:paraId="2FFD68BC">
      <w:pPr>
        <w:pStyle w:val="10"/>
        <w:rPr>
          <w:color w:val="auto"/>
          <w:highlight w:val="none"/>
          <w:lang w:eastAsia="zh-CN"/>
        </w:rPr>
      </w:pPr>
    </w:p>
    <w:p w14:paraId="27A7C350">
      <w:pPr>
        <w:rPr>
          <w:rFonts w:ascii="仿宋" w:hAnsi="仿宋" w:eastAsia="仿宋" w:cs="仿宋"/>
          <w:color w:val="auto"/>
          <w:sz w:val="24"/>
          <w:szCs w:val="24"/>
          <w:highlight w:val="none"/>
          <w:lang w:eastAsia="zh-CN"/>
        </w:rPr>
      </w:pPr>
    </w:p>
    <w:p w14:paraId="69FC8912">
      <w:pPr>
        <w:pStyle w:val="10"/>
        <w:rPr>
          <w:color w:val="auto"/>
          <w:highlight w:val="none"/>
          <w:lang w:eastAsia="zh-CN"/>
        </w:rPr>
      </w:pPr>
    </w:p>
    <w:p w14:paraId="18237828">
      <w:pPr>
        <w:rPr>
          <w:rFonts w:ascii="仿宋_GB2312" w:hAnsi="仿宋_GB2312" w:eastAsia="仿宋_GB2312" w:cs="仿宋_GB2312"/>
          <w:color w:val="auto"/>
          <w:sz w:val="28"/>
          <w:szCs w:val="28"/>
          <w:highlight w:val="none"/>
          <w:lang w:eastAsia="zh-CN"/>
        </w:rPr>
      </w:pPr>
    </w:p>
    <w:bookmarkEnd w:id="265"/>
    <w:sectPr>
      <w:headerReference r:id="rId20" w:type="default"/>
      <w:footerReference r:id="rId21" w:type="default"/>
      <w:pgSz w:w="11906" w:h="16838"/>
      <w:pgMar w:top="1013" w:right="1133" w:bottom="1135" w:left="1133" w:header="712" w:footer="85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auto"/>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仿宋_GB2312">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0"/>
    <w:family w:val="decorative"/>
    <w:pitch w:val="default"/>
    <w:sig w:usb0="00000000" w:usb1="00000000" w:usb2="00000000" w:usb3="00000000" w:csb0="80000001"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1F84">
    <w:pPr>
      <w:spacing w:after="62" w:line="57" w:lineRule="exact"/>
      <w:ind w:firstLine="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C4EBB">
    <w:pPr>
      <w:spacing w:after="62" w:line="57"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72EFC">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2472EFC">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EBA4">
    <w:pPr>
      <w:spacing w:after="62" w:line="57"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6EEA7">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316EEA7">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C0A4">
    <w:pPr>
      <w:spacing w:after="62" w:line="57" w:lineRule="exact"/>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202A">
                          <w:pPr>
                            <w:pStyle w:val="16"/>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4C8202A">
                    <w:pPr>
                      <w:pStyle w:val="16"/>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D8B9E">
    <w:pPr>
      <w:spacing w:after="62" w:line="57" w:lineRule="exact"/>
      <w:ind w:firstLine="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E5105">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CFE5105">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3D0B">
    <w:pPr>
      <w:spacing w:after="62" w:line="57"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24682">
                          <w:pPr>
                            <w:pStyle w:val="1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3424682">
                    <w:pPr>
                      <w:pStyle w:val="1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9FA9">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B923E">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EEB923E">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5DD">
    <w:pPr>
      <w:spacing w:after="62" w:line="57"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AB5C">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F11AB5C">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2C07">
    <w:pPr>
      <w:spacing w:after="62" w:line="57" w:lineRule="exact"/>
      <w:ind w:firstLine="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2A08F">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962A08F">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682E">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E4C34">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D9E4C34">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0EBB">
    <w:pPr>
      <w:spacing w:after="62" w:line="57"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204D0">
                          <w:pPr>
                            <w:pStyle w:val="1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EB204D0">
                    <w:pPr>
                      <w:pStyle w:val="16"/>
                    </w:pPr>
                    <w:r>
                      <w:fldChar w:fldCharType="begin"/>
                    </w:r>
                    <w:r>
                      <w:instrText xml:space="preserve"> PAGE  \* MERGEFORMAT </w:instrText>
                    </w:r>
                    <w:r>
                      <w:fldChar w:fldCharType="separate"/>
                    </w:r>
                    <w:r>
                      <w:t>15</w:t>
                    </w:r>
                    <w:r>
                      <w:fldChar w:fldCharType="end"/>
                    </w:r>
                  </w:p>
                </w:txbxContent>
              </v:textbox>
            </v:shape>
          </w:pict>
        </mc:Fallback>
      </mc:AlternateContent>
    </w:r>
  </w:p>
  <w:p w14:paraId="15860848">
    <w:pPr>
      <w:spacing w:line="184" w:lineRule="auto"/>
      <w:ind w:left="4628"/>
      <w:rPr>
        <w:rFonts w:ascii="Times New Roman" w:hAnsi="Times New Roman" w:eastAsia="Times New Roman" w:cs="Times New Roman"/>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DE54">
    <w:pPr>
      <w:spacing w:line="184" w:lineRule="auto"/>
      <w:ind w:left="46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8E34">
                          <w:pPr>
                            <w:pStyle w:val="1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6408E34">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EECE">
    <w:pPr>
      <w:spacing w:before="10" w:line="48"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5052">
    <w:pPr>
      <w:spacing w:before="10" w:line="48"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D4E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251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46B7D">
    <w:pPr>
      <w:spacing w:before="10" w:line="48"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1E02">
    <w:pPr>
      <w:spacing w:before="11" w:line="47"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6BA0">
    <w:pPr>
      <w:pStyle w:val="10"/>
      <w:spacing w:before="16" w:line="222"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81F5E"/>
    <w:multiLevelType w:val="singleLevel"/>
    <w:tmpl w:val="92581F5E"/>
    <w:lvl w:ilvl="0" w:tentative="0">
      <w:start w:val="1"/>
      <w:numFmt w:val="chineseCounting"/>
      <w:suff w:val="nothing"/>
      <w:lvlText w:val="%1、"/>
      <w:lvlJc w:val="left"/>
      <w:rPr>
        <w:rFonts w:hint="eastAsia"/>
      </w:rPr>
    </w:lvl>
  </w:abstractNum>
  <w:abstractNum w:abstractNumId="1">
    <w:nsid w:val="F41A7291"/>
    <w:multiLevelType w:val="singleLevel"/>
    <w:tmpl w:val="F41A7291"/>
    <w:lvl w:ilvl="0" w:tentative="0">
      <w:start w:val="2"/>
      <w:numFmt w:val="decimal"/>
      <w:suff w:val="nothing"/>
      <w:lvlText w:val="%1、"/>
      <w:lvlJc w:val="left"/>
    </w:lvl>
  </w:abstractNum>
  <w:abstractNum w:abstractNumId="2">
    <w:nsid w:val="2EC57EE3"/>
    <w:multiLevelType w:val="singleLevel"/>
    <w:tmpl w:val="2EC57EE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wOTMxZjVhODA4NzhjOWRlMjBiZWU3NzNjZTQ2MzUifQ=="/>
  </w:docVars>
  <w:rsids>
    <w:rsidRoot w:val="006672AA"/>
    <w:rsid w:val="00086A8D"/>
    <w:rsid w:val="000E3FC3"/>
    <w:rsid w:val="001A4716"/>
    <w:rsid w:val="001F3ADA"/>
    <w:rsid w:val="00217801"/>
    <w:rsid w:val="0026130D"/>
    <w:rsid w:val="00297D50"/>
    <w:rsid w:val="002E01C1"/>
    <w:rsid w:val="00366BA1"/>
    <w:rsid w:val="00377076"/>
    <w:rsid w:val="00522102"/>
    <w:rsid w:val="00535E7A"/>
    <w:rsid w:val="00537C28"/>
    <w:rsid w:val="005A7208"/>
    <w:rsid w:val="006672AA"/>
    <w:rsid w:val="007402CA"/>
    <w:rsid w:val="0075194C"/>
    <w:rsid w:val="007740C3"/>
    <w:rsid w:val="008102F1"/>
    <w:rsid w:val="008517DF"/>
    <w:rsid w:val="008C2306"/>
    <w:rsid w:val="009718CA"/>
    <w:rsid w:val="009D788A"/>
    <w:rsid w:val="00A255E7"/>
    <w:rsid w:val="00A364B9"/>
    <w:rsid w:val="00AB7A64"/>
    <w:rsid w:val="00B22BA0"/>
    <w:rsid w:val="00B70AAF"/>
    <w:rsid w:val="00B71F65"/>
    <w:rsid w:val="00B87A8B"/>
    <w:rsid w:val="00BA1A55"/>
    <w:rsid w:val="00C31D35"/>
    <w:rsid w:val="00C34DAD"/>
    <w:rsid w:val="00CA613C"/>
    <w:rsid w:val="00CF3752"/>
    <w:rsid w:val="00D168D6"/>
    <w:rsid w:val="00D42B17"/>
    <w:rsid w:val="00DA3EA5"/>
    <w:rsid w:val="00F50CDF"/>
    <w:rsid w:val="00FC09F3"/>
    <w:rsid w:val="010D7DD7"/>
    <w:rsid w:val="01154EDD"/>
    <w:rsid w:val="0115564E"/>
    <w:rsid w:val="011949CD"/>
    <w:rsid w:val="011965FB"/>
    <w:rsid w:val="011B6D03"/>
    <w:rsid w:val="01311D17"/>
    <w:rsid w:val="0145585D"/>
    <w:rsid w:val="014F1036"/>
    <w:rsid w:val="014F6641"/>
    <w:rsid w:val="01565C22"/>
    <w:rsid w:val="016607E5"/>
    <w:rsid w:val="01671BDD"/>
    <w:rsid w:val="017052C2"/>
    <w:rsid w:val="0176597C"/>
    <w:rsid w:val="017716F4"/>
    <w:rsid w:val="01791910"/>
    <w:rsid w:val="017936BE"/>
    <w:rsid w:val="01A249C3"/>
    <w:rsid w:val="01A324E9"/>
    <w:rsid w:val="01C04E49"/>
    <w:rsid w:val="01C40DDD"/>
    <w:rsid w:val="01CE57B8"/>
    <w:rsid w:val="01D37272"/>
    <w:rsid w:val="01DA23AF"/>
    <w:rsid w:val="01EE19B6"/>
    <w:rsid w:val="01F82835"/>
    <w:rsid w:val="01F9035B"/>
    <w:rsid w:val="02056D00"/>
    <w:rsid w:val="020E02AA"/>
    <w:rsid w:val="0224187C"/>
    <w:rsid w:val="023C4E17"/>
    <w:rsid w:val="023D318D"/>
    <w:rsid w:val="02445A7A"/>
    <w:rsid w:val="024C492F"/>
    <w:rsid w:val="02510197"/>
    <w:rsid w:val="026305F6"/>
    <w:rsid w:val="02785724"/>
    <w:rsid w:val="028D7421"/>
    <w:rsid w:val="02936A01"/>
    <w:rsid w:val="029C3B08"/>
    <w:rsid w:val="02A91D81"/>
    <w:rsid w:val="02AD1871"/>
    <w:rsid w:val="02BA3F8E"/>
    <w:rsid w:val="02D037B2"/>
    <w:rsid w:val="02D05560"/>
    <w:rsid w:val="02D212D8"/>
    <w:rsid w:val="02D768EE"/>
    <w:rsid w:val="02DD1A2B"/>
    <w:rsid w:val="02FC45A7"/>
    <w:rsid w:val="03181993"/>
    <w:rsid w:val="031A67DB"/>
    <w:rsid w:val="03247659"/>
    <w:rsid w:val="03253AFD"/>
    <w:rsid w:val="03345AEF"/>
    <w:rsid w:val="033F060E"/>
    <w:rsid w:val="034877EC"/>
    <w:rsid w:val="03541CED"/>
    <w:rsid w:val="03555A65"/>
    <w:rsid w:val="036363D4"/>
    <w:rsid w:val="036A1510"/>
    <w:rsid w:val="036A7762"/>
    <w:rsid w:val="036B7036"/>
    <w:rsid w:val="037979A5"/>
    <w:rsid w:val="0385634A"/>
    <w:rsid w:val="0388408C"/>
    <w:rsid w:val="038A3960"/>
    <w:rsid w:val="039C5442"/>
    <w:rsid w:val="03A001B3"/>
    <w:rsid w:val="03AC7D7B"/>
    <w:rsid w:val="03AF1619"/>
    <w:rsid w:val="03B86720"/>
    <w:rsid w:val="03BB1D6C"/>
    <w:rsid w:val="03C50E3C"/>
    <w:rsid w:val="03C5675D"/>
    <w:rsid w:val="03CC5D27"/>
    <w:rsid w:val="03CE5F43"/>
    <w:rsid w:val="03CF3A69"/>
    <w:rsid w:val="03D1158F"/>
    <w:rsid w:val="03D746CC"/>
    <w:rsid w:val="03DA48E8"/>
    <w:rsid w:val="03DB240E"/>
    <w:rsid w:val="03E2379C"/>
    <w:rsid w:val="03EA43FF"/>
    <w:rsid w:val="03EE2141"/>
    <w:rsid w:val="03F139E0"/>
    <w:rsid w:val="03F4527E"/>
    <w:rsid w:val="03F45E22"/>
    <w:rsid w:val="03FE1B92"/>
    <w:rsid w:val="04090D29"/>
    <w:rsid w:val="040E4592"/>
    <w:rsid w:val="0410030A"/>
    <w:rsid w:val="04133956"/>
    <w:rsid w:val="041476CE"/>
    <w:rsid w:val="0422003D"/>
    <w:rsid w:val="042D106A"/>
    <w:rsid w:val="044401EF"/>
    <w:rsid w:val="04471852"/>
    <w:rsid w:val="044C50BA"/>
    <w:rsid w:val="04581CB1"/>
    <w:rsid w:val="045D2E23"/>
    <w:rsid w:val="046046C1"/>
    <w:rsid w:val="04640655"/>
    <w:rsid w:val="04754611"/>
    <w:rsid w:val="04A70542"/>
    <w:rsid w:val="04AA3A81"/>
    <w:rsid w:val="04AC7907"/>
    <w:rsid w:val="04B213C1"/>
    <w:rsid w:val="04B74C29"/>
    <w:rsid w:val="04B862AB"/>
    <w:rsid w:val="04C11604"/>
    <w:rsid w:val="04C17856"/>
    <w:rsid w:val="04CE5ACF"/>
    <w:rsid w:val="04D07A99"/>
    <w:rsid w:val="04D70E27"/>
    <w:rsid w:val="04E11CA6"/>
    <w:rsid w:val="04E470A0"/>
    <w:rsid w:val="04F01EE9"/>
    <w:rsid w:val="04FC43EA"/>
    <w:rsid w:val="050049F9"/>
    <w:rsid w:val="05017C52"/>
    <w:rsid w:val="05065269"/>
    <w:rsid w:val="05094D59"/>
    <w:rsid w:val="05243941"/>
    <w:rsid w:val="053C6EDC"/>
    <w:rsid w:val="05412F05"/>
    <w:rsid w:val="0550686D"/>
    <w:rsid w:val="056326BB"/>
    <w:rsid w:val="056B77C2"/>
    <w:rsid w:val="057743B8"/>
    <w:rsid w:val="05900FD6"/>
    <w:rsid w:val="05AC22B4"/>
    <w:rsid w:val="05B41169"/>
    <w:rsid w:val="05CC64B2"/>
    <w:rsid w:val="05D2339D"/>
    <w:rsid w:val="05D45367"/>
    <w:rsid w:val="05D73BBB"/>
    <w:rsid w:val="05D84E57"/>
    <w:rsid w:val="05E05ABA"/>
    <w:rsid w:val="05F72E03"/>
    <w:rsid w:val="05FB0B46"/>
    <w:rsid w:val="05FD0DA1"/>
    <w:rsid w:val="05FE23E4"/>
    <w:rsid w:val="06043E9E"/>
    <w:rsid w:val="060D2627"/>
    <w:rsid w:val="06127C3D"/>
    <w:rsid w:val="061E08AD"/>
    <w:rsid w:val="06255BC2"/>
    <w:rsid w:val="0633208D"/>
    <w:rsid w:val="0639341C"/>
    <w:rsid w:val="06451DC1"/>
    <w:rsid w:val="06471FDD"/>
    <w:rsid w:val="06472F43"/>
    <w:rsid w:val="06605DFA"/>
    <w:rsid w:val="06695AAF"/>
    <w:rsid w:val="06786A61"/>
    <w:rsid w:val="067D6E2C"/>
    <w:rsid w:val="068E3768"/>
    <w:rsid w:val="06915006"/>
    <w:rsid w:val="06982838"/>
    <w:rsid w:val="069B1162"/>
    <w:rsid w:val="06A967F3"/>
    <w:rsid w:val="06B42EA7"/>
    <w:rsid w:val="06C4362D"/>
    <w:rsid w:val="06F061D0"/>
    <w:rsid w:val="06F2019A"/>
    <w:rsid w:val="06F3462A"/>
    <w:rsid w:val="0710268B"/>
    <w:rsid w:val="07156C9E"/>
    <w:rsid w:val="071671FE"/>
    <w:rsid w:val="07181283"/>
    <w:rsid w:val="073A38EF"/>
    <w:rsid w:val="074F1149"/>
    <w:rsid w:val="075449B1"/>
    <w:rsid w:val="07591FC8"/>
    <w:rsid w:val="076369A2"/>
    <w:rsid w:val="076B1CFB"/>
    <w:rsid w:val="076D5A73"/>
    <w:rsid w:val="07702E6D"/>
    <w:rsid w:val="077E558A"/>
    <w:rsid w:val="0788465B"/>
    <w:rsid w:val="079528D4"/>
    <w:rsid w:val="07A02487"/>
    <w:rsid w:val="07A64AE1"/>
    <w:rsid w:val="07A70F85"/>
    <w:rsid w:val="07B2792A"/>
    <w:rsid w:val="07B436A2"/>
    <w:rsid w:val="07C1191B"/>
    <w:rsid w:val="07C338E5"/>
    <w:rsid w:val="07F7358F"/>
    <w:rsid w:val="07F95495"/>
    <w:rsid w:val="08000695"/>
    <w:rsid w:val="080F2686"/>
    <w:rsid w:val="081163FE"/>
    <w:rsid w:val="08204893"/>
    <w:rsid w:val="084C5688"/>
    <w:rsid w:val="085D7896"/>
    <w:rsid w:val="085E2185"/>
    <w:rsid w:val="0869623A"/>
    <w:rsid w:val="087E4839"/>
    <w:rsid w:val="08805332"/>
    <w:rsid w:val="08806963"/>
    <w:rsid w:val="08A30098"/>
    <w:rsid w:val="08A54D99"/>
    <w:rsid w:val="08B03E69"/>
    <w:rsid w:val="08BF5E5A"/>
    <w:rsid w:val="08EB4EA1"/>
    <w:rsid w:val="08EE4992"/>
    <w:rsid w:val="08F5187C"/>
    <w:rsid w:val="09000221"/>
    <w:rsid w:val="091066B6"/>
    <w:rsid w:val="09216B15"/>
    <w:rsid w:val="09246605"/>
    <w:rsid w:val="09304FAA"/>
    <w:rsid w:val="093E17E9"/>
    <w:rsid w:val="0955056D"/>
    <w:rsid w:val="096B0E63"/>
    <w:rsid w:val="097525CD"/>
    <w:rsid w:val="098552F6"/>
    <w:rsid w:val="09A069EC"/>
    <w:rsid w:val="09B01C47"/>
    <w:rsid w:val="09B039F5"/>
    <w:rsid w:val="09B07E99"/>
    <w:rsid w:val="09B259BF"/>
    <w:rsid w:val="09B434E5"/>
    <w:rsid w:val="09B63701"/>
    <w:rsid w:val="09C474A0"/>
    <w:rsid w:val="09EF451D"/>
    <w:rsid w:val="09F204B1"/>
    <w:rsid w:val="09F2225F"/>
    <w:rsid w:val="09F47D86"/>
    <w:rsid w:val="0A037FC9"/>
    <w:rsid w:val="0A0501E5"/>
    <w:rsid w:val="0A0A75A9"/>
    <w:rsid w:val="0A0F4BBF"/>
    <w:rsid w:val="0A2D14EA"/>
    <w:rsid w:val="0A4462F3"/>
    <w:rsid w:val="0A6F1B02"/>
    <w:rsid w:val="0A717628"/>
    <w:rsid w:val="0A764C3F"/>
    <w:rsid w:val="0A8729A8"/>
    <w:rsid w:val="0AA07F0D"/>
    <w:rsid w:val="0AA51080"/>
    <w:rsid w:val="0AB15C77"/>
    <w:rsid w:val="0AB67731"/>
    <w:rsid w:val="0AB87005"/>
    <w:rsid w:val="0ABB08A3"/>
    <w:rsid w:val="0ABD286D"/>
    <w:rsid w:val="0ADA341F"/>
    <w:rsid w:val="0AE0655C"/>
    <w:rsid w:val="0AE75B3C"/>
    <w:rsid w:val="0AFB5144"/>
    <w:rsid w:val="0AFD2C6A"/>
    <w:rsid w:val="0AFF4C34"/>
    <w:rsid w:val="0B0937A4"/>
    <w:rsid w:val="0B097861"/>
    <w:rsid w:val="0B1B7594"/>
    <w:rsid w:val="0B257DC5"/>
    <w:rsid w:val="0B275F39"/>
    <w:rsid w:val="0B3519ED"/>
    <w:rsid w:val="0B3A33C7"/>
    <w:rsid w:val="0B6E1DBA"/>
    <w:rsid w:val="0B751EFD"/>
    <w:rsid w:val="0B7A250D"/>
    <w:rsid w:val="0B901D30"/>
    <w:rsid w:val="0B91295B"/>
    <w:rsid w:val="0B9C6927"/>
    <w:rsid w:val="0BB7550F"/>
    <w:rsid w:val="0BB93035"/>
    <w:rsid w:val="0BC33EB3"/>
    <w:rsid w:val="0BD06D4B"/>
    <w:rsid w:val="0BD47E6F"/>
    <w:rsid w:val="0BDB744F"/>
    <w:rsid w:val="0BDE0CED"/>
    <w:rsid w:val="0BE36304"/>
    <w:rsid w:val="0BE45BD8"/>
    <w:rsid w:val="0BF11A4E"/>
    <w:rsid w:val="0BF978D5"/>
    <w:rsid w:val="0BFA53FB"/>
    <w:rsid w:val="0BFF2A12"/>
    <w:rsid w:val="0C032502"/>
    <w:rsid w:val="0C0F70F9"/>
    <w:rsid w:val="0C252478"/>
    <w:rsid w:val="0C254916"/>
    <w:rsid w:val="0C25691C"/>
    <w:rsid w:val="0C2F1549"/>
    <w:rsid w:val="0C4603CA"/>
    <w:rsid w:val="0C4A0131"/>
    <w:rsid w:val="0C5C7E64"/>
    <w:rsid w:val="0C62191E"/>
    <w:rsid w:val="0C6B3AAF"/>
    <w:rsid w:val="0C7358DA"/>
    <w:rsid w:val="0C801DA5"/>
    <w:rsid w:val="0CA43CE5"/>
    <w:rsid w:val="0CA830A9"/>
    <w:rsid w:val="0CAA0BCF"/>
    <w:rsid w:val="0CB90FF5"/>
    <w:rsid w:val="0CB952B6"/>
    <w:rsid w:val="0CC51EAD"/>
    <w:rsid w:val="0CC872A8"/>
    <w:rsid w:val="0CCE0D62"/>
    <w:rsid w:val="0CD8398F"/>
    <w:rsid w:val="0CE560AB"/>
    <w:rsid w:val="0CEC568C"/>
    <w:rsid w:val="0CFF0F1B"/>
    <w:rsid w:val="0D020A0B"/>
    <w:rsid w:val="0D0904F0"/>
    <w:rsid w:val="0D132C19"/>
    <w:rsid w:val="0D197576"/>
    <w:rsid w:val="0D214E05"/>
    <w:rsid w:val="0D244E26"/>
    <w:rsid w:val="0D2564A8"/>
    <w:rsid w:val="0D2B56A9"/>
    <w:rsid w:val="0D38267F"/>
    <w:rsid w:val="0D3C216F"/>
    <w:rsid w:val="0D3D37F2"/>
    <w:rsid w:val="0D3D7C96"/>
    <w:rsid w:val="0D444B80"/>
    <w:rsid w:val="0D470B14"/>
    <w:rsid w:val="0D4903E8"/>
    <w:rsid w:val="0D523741"/>
    <w:rsid w:val="0D531267"/>
    <w:rsid w:val="0D584ACF"/>
    <w:rsid w:val="0D607DC0"/>
    <w:rsid w:val="0D674D12"/>
    <w:rsid w:val="0D735465"/>
    <w:rsid w:val="0D786F20"/>
    <w:rsid w:val="0D7A2C98"/>
    <w:rsid w:val="0D907DC5"/>
    <w:rsid w:val="0D927FE1"/>
    <w:rsid w:val="0D9F44AC"/>
    <w:rsid w:val="0DAB2E51"/>
    <w:rsid w:val="0DDE3227"/>
    <w:rsid w:val="0DEB5944"/>
    <w:rsid w:val="0DF73A01"/>
    <w:rsid w:val="0DF742E8"/>
    <w:rsid w:val="0DFC6C5A"/>
    <w:rsid w:val="0E06452B"/>
    <w:rsid w:val="0E0F2697"/>
    <w:rsid w:val="0E1409F6"/>
    <w:rsid w:val="0E1924B1"/>
    <w:rsid w:val="0E1E7AC7"/>
    <w:rsid w:val="0E2449B2"/>
    <w:rsid w:val="0E2A2F63"/>
    <w:rsid w:val="0E356BBF"/>
    <w:rsid w:val="0E3966AF"/>
    <w:rsid w:val="0E3A41D5"/>
    <w:rsid w:val="0E4A266A"/>
    <w:rsid w:val="0E547045"/>
    <w:rsid w:val="0E651252"/>
    <w:rsid w:val="0E67321C"/>
    <w:rsid w:val="0E72571D"/>
    <w:rsid w:val="0E8042DE"/>
    <w:rsid w:val="0E884F40"/>
    <w:rsid w:val="0E8872EF"/>
    <w:rsid w:val="0E892634"/>
    <w:rsid w:val="0E8D07A9"/>
    <w:rsid w:val="0E8F4521"/>
    <w:rsid w:val="0E9D4E90"/>
    <w:rsid w:val="0EB2020F"/>
    <w:rsid w:val="0EBD2E3C"/>
    <w:rsid w:val="0EC56195"/>
    <w:rsid w:val="0ECE5049"/>
    <w:rsid w:val="0EE06B2A"/>
    <w:rsid w:val="0EF02A4C"/>
    <w:rsid w:val="0EF56503"/>
    <w:rsid w:val="0F0071CD"/>
    <w:rsid w:val="0F113188"/>
    <w:rsid w:val="0F1467D4"/>
    <w:rsid w:val="0F20786F"/>
    <w:rsid w:val="0F2B249C"/>
    <w:rsid w:val="0F3D3F7D"/>
    <w:rsid w:val="0F41676A"/>
    <w:rsid w:val="0F4F5A5E"/>
    <w:rsid w:val="0F5A45F7"/>
    <w:rsid w:val="0F5C08A7"/>
    <w:rsid w:val="0F621C35"/>
    <w:rsid w:val="0F87169C"/>
    <w:rsid w:val="0F8971C2"/>
    <w:rsid w:val="0F8A31B1"/>
    <w:rsid w:val="0F8B4CE8"/>
    <w:rsid w:val="0F8C0A60"/>
    <w:rsid w:val="0F96368D"/>
    <w:rsid w:val="0F9F2542"/>
    <w:rsid w:val="0FA61B22"/>
    <w:rsid w:val="0FAE09D7"/>
    <w:rsid w:val="0FB81855"/>
    <w:rsid w:val="0FC87CEA"/>
    <w:rsid w:val="0FD50659"/>
    <w:rsid w:val="0FD85A54"/>
    <w:rsid w:val="0FDA5C70"/>
    <w:rsid w:val="0FDA7A1E"/>
    <w:rsid w:val="0FE8213B"/>
    <w:rsid w:val="0FEE5277"/>
    <w:rsid w:val="0FFC1742"/>
    <w:rsid w:val="100D394F"/>
    <w:rsid w:val="101442E9"/>
    <w:rsid w:val="102004D6"/>
    <w:rsid w:val="10264A11"/>
    <w:rsid w:val="104B091B"/>
    <w:rsid w:val="10555467"/>
    <w:rsid w:val="10613D9B"/>
    <w:rsid w:val="106519DD"/>
    <w:rsid w:val="106D43EE"/>
    <w:rsid w:val="10727C56"/>
    <w:rsid w:val="107734BE"/>
    <w:rsid w:val="10790550"/>
    <w:rsid w:val="107E2A9F"/>
    <w:rsid w:val="107F4121"/>
    <w:rsid w:val="108C51BC"/>
    <w:rsid w:val="109220A6"/>
    <w:rsid w:val="10A73DA4"/>
    <w:rsid w:val="10A818CA"/>
    <w:rsid w:val="10B262A5"/>
    <w:rsid w:val="10B4201D"/>
    <w:rsid w:val="10B62239"/>
    <w:rsid w:val="10B95885"/>
    <w:rsid w:val="10C04E65"/>
    <w:rsid w:val="10C06C14"/>
    <w:rsid w:val="10C5247C"/>
    <w:rsid w:val="10D206F5"/>
    <w:rsid w:val="10E24D48"/>
    <w:rsid w:val="110805BA"/>
    <w:rsid w:val="110E246D"/>
    <w:rsid w:val="110E3C53"/>
    <w:rsid w:val="111331E7"/>
    <w:rsid w:val="11140D0D"/>
    <w:rsid w:val="111807FE"/>
    <w:rsid w:val="11205904"/>
    <w:rsid w:val="112F3D99"/>
    <w:rsid w:val="113373E5"/>
    <w:rsid w:val="113B44EC"/>
    <w:rsid w:val="11513D10"/>
    <w:rsid w:val="11531836"/>
    <w:rsid w:val="115B06EA"/>
    <w:rsid w:val="115D26B4"/>
    <w:rsid w:val="116C6D9B"/>
    <w:rsid w:val="116E6670"/>
    <w:rsid w:val="117B2B3A"/>
    <w:rsid w:val="117F6ACF"/>
    <w:rsid w:val="118045F5"/>
    <w:rsid w:val="1182036D"/>
    <w:rsid w:val="11895257"/>
    <w:rsid w:val="11916802"/>
    <w:rsid w:val="11930964"/>
    <w:rsid w:val="11951E4E"/>
    <w:rsid w:val="119D51A7"/>
    <w:rsid w:val="119E00E6"/>
    <w:rsid w:val="11A16A45"/>
    <w:rsid w:val="11A55E09"/>
    <w:rsid w:val="11B16A8E"/>
    <w:rsid w:val="11BC387F"/>
    <w:rsid w:val="11C81293"/>
    <w:rsid w:val="11D17A09"/>
    <w:rsid w:val="11D72467"/>
    <w:rsid w:val="11EC3A38"/>
    <w:rsid w:val="11FC3C7B"/>
    <w:rsid w:val="12045226"/>
    <w:rsid w:val="120B3EBE"/>
    <w:rsid w:val="12103BCB"/>
    <w:rsid w:val="121216F1"/>
    <w:rsid w:val="12174F59"/>
    <w:rsid w:val="121C50FF"/>
    <w:rsid w:val="121E62E8"/>
    <w:rsid w:val="121F6DD8"/>
    <w:rsid w:val="1222745A"/>
    <w:rsid w:val="122B4561"/>
    <w:rsid w:val="122D02D9"/>
    <w:rsid w:val="122F6D00"/>
    <w:rsid w:val="12301B77"/>
    <w:rsid w:val="12307DC9"/>
    <w:rsid w:val="12390D77"/>
    <w:rsid w:val="123E4294"/>
    <w:rsid w:val="123F000C"/>
    <w:rsid w:val="12490E8B"/>
    <w:rsid w:val="12505D75"/>
    <w:rsid w:val="125735A8"/>
    <w:rsid w:val="127C300E"/>
    <w:rsid w:val="12922832"/>
    <w:rsid w:val="12BE7183"/>
    <w:rsid w:val="12D076DB"/>
    <w:rsid w:val="12D8381A"/>
    <w:rsid w:val="12D9220E"/>
    <w:rsid w:val="12DE7825"/>
    <w:rsid w:val="12E070F9"/>
    <w:rsid w:val="12E3430D"/>
    <w:rsid w:val="12E34F1A"/>
    <w:rsid w:val="12E82452"/>
    <w:rsid w:val="12F03C64"/>
    <w:rsid w:val="12F31522"/>
    <w:rsid w:val="12FE1C75"/>
    <w:rsid w:val="13201BEB"/>
    <w:rsid w:val="13250FB0"/>
    <w:rsid w:val="132A2CAA"/>
    <w:rsid w:val="132F0080"/>
    <w:rsid w:val="132F1E2E"/>
    <w:rsid w:val="134A0A16"/>
    <w:rsid w:val="136005D9"/>
    <w:rsid w:val="13631AD8"/>
    <w:rsid w:val="138C102F"/>
    <w:rsid w:val="13946135"/>
    <w:rsid w:val="13A740BB"/>
    <w:rsid w:val="13A9398F"/>
    <w:rsid w:val="13AA5959"/>
    <w:rsid w:val="13B10A95"/>
    <w:rsid w:val="13BA3DEE"/>
    <w:rsid w:val="13C85754"/>
    <w:rsid w:val="13DC1FB6"/>
    <w:rsid w:val="13E9022F"/>
    <w:rsid w:val="13F24420"/>
    <w:rsid w:val="13F82B68"/>
    <w:rsid w:val="140B3756"/>
    <w:rsid w:val="14107EB2"/>
    <w:rsid w:val="14164D9C"/>
    <w:rsid w:val="141D612B"/>
    <w:rsid w:val="141E21E0"/>
    <w:rsid w:val="14231B23"/>
    <w:rsid w:val="14264FE0"/>
    <w:rsid w:val="142951C9"/>
    <w:rsid w:val="14333BA0"/>
    <w:rsid w:val="144638D4"/>
    <w:rsid w:val="144B713C"/>
    <w:rsid w:val="1457163D"/>
    <w:rsid w:val="145A737F"/>
    <w:rsid w:val="1461426A"/>
    <w:rsid w:val="14755F67"/>
    <w:rsid w:val="147A357D"/>
    <w:rsid w:val="147D6BCA"/>
    <w:rsid w:val="14926B19"/>
    <w:rsid w:val="14AD5701"/>
    <w:rsid w:val="14C12F5A"/>
    <w:rsid w:val="14C64A14"/>
    <w:rsid w:val="14E37374"/>
    <w:rsid w:val="14E8498B"/>
    <w:rsid w:val="14F50E56"/>
    <w:rsid w:val="14F926F4"/>
    <w:rsid w:val="14F94B3F"/>
    <w:rsid w:val="14FD244F"/>
    <w:rsid w:val="15023C9F"/>
    <w:rsid w:val="15086DDB"/>
    <w:rsid w:val="150B2427"/>
    <w:rsid w:val="1514752E"/>
    <w:rsid w:val="151A266A"/>
    <w:rsid w:val="152139F9"/>
    <w:rsid w:val="15221674"/>
    <w:rsid w:val="15237771"/>
    <w:rsid w:val="15272EB1"/>
    <w:rsid w:val="15347BD0"/>
    <w:rsid w:val="154020D1"/>
    <w:rsid w:val="15566370"/>
    <w:rsid w:val="15567B46"/>
    <w:rsid w:val="155B515D"/>
    <w:rsid w:val="156404B5"/>
    <w:rsid w:val="15787ABD"/>
    <w:rsid w:val="158A5A42"/>
    <w:rsid w:val="159468C1"/>
    <w:rsid w:val="15A9236C"/>
    <w:rsid w:val="15AE1730"/>
    <w:rsid w:val="15B12FCF"/>
    <w:rsid w:val="15C34AB0"/>
    <w:rsid w:val="15C471A6"/>
    <w:rsid w:val="15C54CCC"/>
    <w:rsid w:val="15C9656A"/>
    <w:rsid w:val="15D13671"/>
    <w:rsid w:val="15E96C0C"/>
    <w:rsid w:val="15EB4733"/>
    <w:rsid w:val="15EF58A5"/>
    <w:rsid w:val="15F829AC"/>
    <w:rsid w:val="15FA6724"/>
    <w:rsid w:val="16242F2C"/>
    <w:rsid w:val="162E2FC0"/>
    <w:rsid w:val="16302145"/>
    <w:rsid w:val="16322361"/>
    <w:rsid w:val="16377978"/>
    <w:rsid w:val="163F05DA"/>
    <w:rsid w:val="166149F5"/>
    <w:rsid w:val="1662251B"/>
    <w:rsid w:val="1663076D"/>
    <w:rsid w:val="1666200B"/>
    <w:rsid w:val="166E7112"/>
    <w:rsid w:val="16A62408"/>
    <w:rsid w:val="16B0772A"/>
    <w:rsid w:val="16B234A2"/>
    <w:rsid w:val="16B25250"/>
    <w:rsid w:val="16B8213B"/>
    <w:rsid w:val="16B965DF"/>
    <w:rsid w:val="16C3120C"/>
    <w:rsid w:val="16D01B7A"/>
    <w:rsid w:val="16D36F75"/>
    <w:rsid w:val="16D451C7"/>
    <w:rsid w:val="16D52CED"/>
    <w:rsid w:val="16F21AF1"/>
    <w:rsid w:val="16F70EB5"/>
    <w:rsid w:val="16FB06C3"/>
    <w:rsid w:val="170B2BB3"/>
    <w:rsid w:val="171B1048"/>
    <w:rsid w:val="171E6442"/>
    <w:rsid w:val="172872C1"/>
    <w:rsid w:val="173B5246"/>
    <w:rsid w:val="174F2A9F"/>
    <w:rsid w:val="17514A69"/>
    <w:rsid w:val="17546308"/>
    <w:rsid w:val="1755689D"/>
    <w:rsid w:val="17681DB3"/>
    <w:rsid w:val="1780534F"/>
    <w:rsid w:val="17824C23"/>
    <w:rsid w:val="178D5376"/>
    <w:rsid w:val="178E254E"/>
    <w:rsid w:val="179901BE"/>
    <w:rsid w:val="17AF1790"/>
    <w:rsid w:val="17B374D2"/>
    <w:rsid w:val="17BE2920"/>
    <w:rsid w:val="17D66D1D"/>
    <w:rsid w:val="17D9680D"/>
    <w:rsid w:val="17DB2585"/>
    <w:rsid w:val="17DF02C7"/>
    <w:rsid w:val="17E458DD"/>
    <w:rsid w:val="17EE2AE9"/>
    <w:rsid w:val="18047D2E"/>
    <w:rsid w:val="181F6915"/>
    <w:rsid w:val="18243F2C"/>
    <w:rsid w:val="182A7068"/>
    <w:rsid w:val="1833416F"/>
    <w:rsid w:val="18335F1D"/>
    <w:rsid w:val="18475AAE"/>
    <w:rsid w:val="184A3267"/>
    <w:rsid w:val="184B14B9"/>
    <w:rsid w:val="18504D21"/>
    <w:rsid w:val="185540E5"/>
    <w:rsid w:val="18574301"/>
    <w:rsid w:val="185F1942"/>
    <w:rsid w:val="18710E80"/>
    <w:rsid w:val="187177B1"/>
    <w:rsid w:val="18736C61"/>
    <w:rsid w:val="188C387F"/>
    <w:rsid w:val="188E3A9B"/>
    <w:rsid w:val="18910E95"/>
    <w:rsid w:val="18952734"/>
    <w:rsid w:val="18A46E1B"/>
    <w:rsid w:val="18A60DE5"/>
    <w:rsid w:val="18A961DF"/>
    <w:rsid w:val="18B74DA0"/>
    <w:rsid w:val="18D45952"/>
    <w:rsid w:val="18D92F68"/>
    <w:rsid w:val="18E11E1D"/>
    <w:rsid w:val="18E216F1"/>
    <w:rsid w:val="18E64B29"/>
    <w:rsid w:val="18EB4A4A"/>
    <w:rsid w:val="18F71D4D"/>
    <w:rsid w:val="190F698A"/>
    <w:rsid w:val="19137AFC"/>
    <w:rsid w:val="19267830"/>
    <w:rsid w:val="192B3098"/>
    <w:rsid w:val="193070E1"/>
    <w:rsid w:val="194A5C14"/>
    <w:rsid w:val="194B373A"/>
    <w:rsid w:val="195E6FCA"/>
    <w:rsid w:val="19632832"/>
    <w:rsid w:val="19650358"/>
    <w:rsid w:val="196C0534"/>
    <w:rsid w:val="19742C91"/>
    <w:rsid w:val="197902A7"/>
    <w:rsid w:val="19793E03"/>
    <w:rsid w:val="197F26BA"/>
    <w:rsid w:val="19834C82"/>
    <w:rsid w:val="19996254"/>
    <w:rsid w:val="19A52E4A"/>
    <w:rsid w:val="19AF7825"/>
    <w:rsid w:val="19BD0194"/>
    <w:rsid w:val="19D454DE"/>
    <w:rsid w:val="19D74805"/>
    <w:rsid w:val="19DB686C"/>
    <w:rsid w:val="19E5593D"/>
    <w:rsid w:val="19E971DB"/>
    <w:rsid w:val="19F31E08"/>
    <w:rsid w:val="19F85670"/>
    <w:rsid w:val="19FE255B"/>
    <w:rsid w:val="19FF69FF"/>
    <w:rsid w:val="1A002777"/>
    <w:rsid w:val="1A0B4477"/>
    <w:rsid w:val="1A0F70F3"/>
    <w:rsid w:val="1A182DF0"/>
    <w:rsid w:val="1A22449B"/>
    <w:rsid w:val="1A3B37AF"/>
    <w:rsid w:val="1A412BC2"/>
    <w:rsid w:val="1A4408B5"/>
    <w:rsid w:val="1A5959E3"/>
    <w:rsid w:val="1A5A1E87"/>
    <w:rsid w:val="1A5D3725"/>
    <w:rsid w:val="1A613215"/>
    <w:rsid w:val="1A676352"/>
    <w:rsid w:val="1A693E78"/>
    <w:rsid w:val="1A6C5716"/>
    <w:rsid w:val="1A7240E2"/>
    <w:rsid w:val="1A7C004F"/>
    <w:rsid w:val="1A840CB2"/>
    <w:rsid w:val="1A862C7C"/>
    <w:rsid w:val="1A911621"/>
    <w:rsid w:val="1AA2382E"/>
    <w:rsid w:val="1AAC0209"/>
    <w:rsid w:val="1AAC7FEB"/>
    <w:rsid w:val="1AB07CF9"/>
    <w:rsid w:val="1AC217DA"/>
    <w:rsid w:val="1AE027CB"/>
    <w:rsid w:val="1AE16104"/>
    <w:rsid w:val="1AE94FB9"/>
    <w:rsid w:val="1AEE7456"/>
    <w:rsid w:val="1AF43863"/>
    <w:rsid w:val="1AF57E02"/>
    <w:rsid w:val="1AF75928"/>
    <w:rsid w:val="1AFE6CB6"/>
    <w:rsid w:val="1B040045"/>
    <w:rsid w:val="1B041DF3"/>
    <w:rsid w:val="1B0D0CA7"/>
    <w:rsid w:val="1B0E2C71"/>
    <w:rsid w:val="1B0F4108"/>
    <w:rsid w:val="1B100797"/>
    <w:rsid w:val="1B210BF7"/>
    <w:rsid w:val="1B222279"/>
    <w:rsid w:val="1B244243"/>
    <w:rsid w:val="1B26620D"/>
    <w:rsid w:val="1B2B0976"/>
    <w:rsid w:val="1B2D759B"/>
    <w:rsid w:val="1B391A9C"/>
    <w:rsid w:val="1B3C79A3"/>
    <w:rsid w:val="1B486183"/>
    <w:rsid w:val="1B5A110C"/>
    <w:rsid w:val="1B654F02"/>
    <w:rsid w:val="1B6D5BEA"/>
    <w:rsid w:val="1B724FAE"/>
    <w:rsid w:val="1B727505"/>
    <w:rsid w:val="1B79458F"/>
    <w:rsid w:val="1B8403EA"/>
    <w:rsid w:val="1B852F33"/>
    <w:rsid w:val="1B8B6070"/>
    <w:rsid w:val="1B8D3B96"/>
    <w:rsid w:val="1B9413C8"/>
    <w:rsid w:val="1B950C9D"/>
    <w:rsid w:val="1B970EB9"/>
    <w:rsid w:val="1B9C202B"/>
    <w:rsid w:val="1BB9498B"/>
    <w:rsid w:val="1BBB0703"/>
    <w:rsid w:val="1BC83448"/>
    <w:rsid w:val="1BCA6B98"/>
    <w:rsid w:val="1BDB0DA5"/>
    <w:rsid w:val="1BFB1448"/>
    <w:rsid w:val="1C02258E"/>
    <w:rsid w:val="1C071B9A"/>
    <w:rsid w:val="1C091814"/>
    <w:rsid w:val="1C1B5646"/>
    <w:rsid w:val="1C2269D4"/>
    <w:rsid w:val="1C2D03F4"/>
    <w:rsid w:val="1C2F4C4D"/>
    <w:rsid w:val="1C346708"/>
    <w:rsid w:val="1C365FDC"/>
    <w:rsid w:val="1C493F61"/>
    <w:rsid w:val="1C5F19D6"/>
    <w:rsid w:val="1C694603"/>
    <w:rsid w:val="1C76287C"/>
    <w:rsid w:val="1C9176B6"/>
    <w:rsid w:val="1C9A47BD"/>
    <w:rsid w:val="1C9F1DD3"/>
    <w:rsid w:val="1CA13D9D"/>
    <w:rsid w:val="1CAA0778"/>
    <w:rsid w:val="1CBD3913"/>
    <w:rsid w:val="1CCE26B8"/>
    <w:rsid w:val="1CD6156D"/>
    <w:rsid w:val="1CDD28FB"/>
    <w:rsid w:val="1CDF0421"/>
    <w:rsid w:val="1CF00880"/>
    <w:rsid w:val="1CF87735"/>
    <w:rsid w:val="1D0165EA"/>
    <w:rsid w:val="1D083E1C"/>
    <w:rsid w:val="1D110334"/>
    <w:rsid w:val="1D1912A7"/>
    <w:rsid w:val="1D1C78C7"/>
    <w:rsid w:val="1D1F509E"/>
    <w:rsid w:val="1D230C56"/>
    <w:rsid w:val="1D306ECF"/>
    <w:rsid w:val="1D344C11"/>
    <w:rsid w:val="1D444728"/>
    <w:rsid w:val="1D4E37F9"/>
    <w:rsid w:val="1D552F82"/>
    <w:rsid w:val="1D562D94"/>
    <w:rsid w:val="1D970CFC"/>
    <w:rsid w:val="1D9A259A"/>
    <w:rsid w:val="1DA17DCD"/>
    <w:rsid w:val="1DA376A1"/>
    <w:rsid w:val="1DA8115B"/>
    <w:rsid w:val="1DAF24EA"/>
    <w:rsid w:val="1DC15D79"/>
    <w:rsid w:val="1DC31AF1"/>
    <w:rsid w:val="1DC6338F"/>
    <w:rsid w:val="1DCD471E"/>
    <w:rsid w:val="1DCF5582"/>
    <w:rsid w:val="1DED4DC0"/>
    <w:rsid w:val="1DEE03A0"/>
    <w:rsid w:val="1DF423BD"/>
    <w:rsid w:val="1E026ABD"/>
    <w:rsid w:val="1E193E07"/>
    <w:rsid w:val="1E1C6DB5"/>
    <w:rsid w:val="1E1E766F"/>
    <w:rsid w:val="1E276524"/>
    <w:rsid w:val="1E28404A"/>
    <w:rsid w:val="1E2D1660"/>
    <w:rsid w:val="1E2D5037"/>
    <w:rsid w:val="1E326E83"/>
    <w:rsid w:val="1E334EC9"/>
    <w:rsid w:val="1E37603B"/>
    <w:rsid w:val="1E5E7A6C"/>
    <w:rsid w:val="1E636E30"/>
    <w:rsid w:val="1E733517"/>
    <w:rsid w:val="1E78639B"/>
    <w:rsid w:val="1E8219AC"/>
    <w:rsid w:val="1EAE454F"/>
    <w:rsid w:val="1EAF02C7"/>
    <w:rsid w:val="1EBC3110"/>
    <w:rsid w:val="1EBD30C4"/>
    <w:rsid w:val="1EC024D4"/>
    <w:rsid w:val="1EC45B21"/>
    <w:rsid w:val="1ECA6EAF"/>
    <w:rsid w:val="1ED33FB6"/>
    <w:rsid w:val="1EDB2E6A"/>
    <w:rsid w:val="1EE17534"/>
    <w:rsid w:val="1EF25E98"/>
    <w:rsid w:val="1EF26B32"/>
    <w:rsid w:val="1EF503D0"/>
    <w:rsid w:val="1EFA3C38"/>
    <w:rsid w:val="1F240CB5"/>
    <w:rsid w:val="1F2E5690"/>
    <w:rsid w:val="1F301408"/>
    <w:rsid w:val="1F460C2C"/>
    <w:rsid w:val="1F4849A4"/>
    <w:rsid w:val="1F503858"/>
    <w:rsid w:val="1F69491A"/>
    <w:rsid w:val="1F6A2B6C"/>
    <w:rsid w:val="1F6A463B"/>
    <w:rsid w:val="1F884DA0"/>
    <w:rsid w:val="1F8B2AE2"/>
    <w:rsid w:val="1F996FAD"/>
    <w:rsid w:val="1FA15E62"/>
    <w:rsid w:val="1FEB3581"/>
    <w:rsid w:val="1FED72F9"/>
    <w:rsid w:val="1FFC12EA"/>
    <w:rsid w:val="20136B06"/>
    <w:rsid w:val="201605FE"/>
    <w:rsid w:val="201725C8"/>
    <w:rsid w:val="2020147D"/>
    <w:rsid w:val="20210D51"/>
    <w:rsid w:val="202602EC"/>
    <w:rsid w:val="202645B9"/>
    <w:rsid w:val="202A40A9"/>
    <w:rsid w:val="202D5948"/>
    <w:rsid w:val="20322F5E"/>
    <w:rsid w:val="20384A18"/>
    <w:rsid w:val="20457F00"/>
    <w:rsid w:val="20592BE1"/>
    <w:rsid w:val="205B0707"/>
    <w:rsid w:val="20607ACB"/>
    <w:rsid w:val="20751144"/>
    <w:rsid w:val="208E288A"/>
    <w:rsid w:val="20967991"/>
    <w:rsid w:val="209854B7"/>
    <w:rsid w:val="20985CD6"/>
    <w:rsid w:val="20A0611A"/>
    <w:rsid w:val="20B708CF"/>
    <w:rsid w:val="20C04A0E"/>
    <w:rsid w:val="20D9162C"/>
    <w:rsid w:val="20DB35F6"/>
    <w:rsid w:val="20E06E5E"/>
    <w:rsid w:val="20EB1A8B"/>
    <w:rsid w:val="20EE50D7"/>
    <w:rsid w:val="20F05529"/>
    <w:rsid w:val="21051455"/>
    <w:rsid w:val="210764DB"/>
    <w:rsid w:val="2110697B"/>
    <w:rsid w:val="21154D5A"/>
    <w:rsid w:val="2116462E"/>
    <w:rsid w:val="211D776A"/>
    <w:rsid w:val="212154AC"/>
    <w:rsid w:val="213C22E6"/>
    <w:rsid w:val="214473ED"/>
    <w:rsid w:val="214A3AD7"/>
    <w:rsid w:val="214B42D7"/>
    <w:rsid w:val="214E201A"/>
    <w:rsid w:val="21627873"/>
    <w:rsid w:val="216B2BCB"/>
    <w:rsid w:val="218477E9"/>
    <w:rsid w:val="21921F06"/>
    <w:rsid w:val="21A659B2"/>
    <w:rsid w:val="21A67760"/>
    <w:rsid w:val="21B46321"/>
    <w:rsid w:val="21C916A0"/>
    <w:rsid w:val="21DD6EFA"/>
    <w:rsid w:val="21F26E49"/>
    <w:rsid w:val="21F52495"/>
    <w:rsid w:val="21FF50C2"/>
    <w:rsid w:val="22001566"/>
    <w:rsid w:val="220152DE"/>
    <w:rsid w:val="2208666C"/>
    <w:rsid w:val="220B1CB9"/>
    <w:rsid w:val="2217141C"/>
    <w:rsid w:val="221A1EFC"/>
    <w:rsid w:val="22250FCC"/>
    <w:rsid w:val="22405E06"/>
    <w:rsid w:val="224B72E2"/>
    <w:rsid w:val="22600256"/>
    <w:rsid w:val="22680EB9"/>
    <w:rsid w:val="226C09A9"/>
    <w:rsid w:val="226D64CF"/>
    <w:rsid w:val="22715FC0"/>
    <w:rsid w:val="2277734E"/>
    <w:rsid w:val="22794E74"/>
    <w:rsid w:val="228D6133"/>
    <w:rsid w:val="228F4698"/>
    <w:rsid w:val="22A2261D"/>
    <w:rsid w:val="22A53EBB"/>
    <w:rsid w:val="22C740A2"/>
    <w:rsid w:val="22C95DFC"/>
    <w:rsid w:val="22D650DF"/>
    <w:rsid w:val="22F64717"/>
    <w:rsid w:val="22FE5379"/>
    <w:rsid w:val="230E380E"/>
    <w:rsid w:val="231057D9"/>
    <w:rsid w:val="23144B9D"/>
    <w:rsid w:val="23264FFC"/>
    <w:rsid w:val="232F19D7"/>
    <w:rsid w:val="23353491"/>
    <w:rsid w:val="23356FED"/>
    <w:rsid w:val="233A2855"/>
    <w:rsid w:val="23430063"/>
    <w:rsid w:val="234C07DB"/>
    <w:rsid w:val="234C4337"/>
    <w:rsid w:val="234E6301"/>
    <w:rsid w:val="23503E27"/>
    <w:rsid w:val="23515DF1"/>
    <w:rsid w:val="235D4796"/>
    <w:rsid w:val="235D6544"/>
    <w:rsid w:val="235F67EA"/>
    <w:rsid w:val="23694EE9"/>
    <w:rsid w:val="23700025"/>
    <w:rsid w:val="23757D31"/>
    <w:rsid w:val="237C10C0"/>
    <w:rsid w:val="23854DD4"/>
    <w:rsid w:val="239006C7"/>
    <w:rsid w:val="23AC3027"/>
    <w:rsid w:val="23B02B18"/>
    <w:rsid w:val="23C83794"/>
    <w:rsid w:val="23D36806"/>
    <w:rsid w:val="23D902C0"/>
    <w:rsid w:val="23DC56BB"/>
    <w:rsid w:val="23FC5D5D"/>
    <w:rsid w:val="240370EB"/>
    <w:rsid w:val="240C1F4D"/>
    <w:rsid w:val="24141F2D"/>
    <w:rsid w:val="24155071"/>
    <w:rsid w:val="24170DE9"/>
    <w:rsid w:val="241E5CD3"/>
    <w:rsid w:val="243E0123"/>
    <w:rsid w:val="2443398C"/>
    <w:rsid w:val="24482D50"/>
    <w:rsid w:val="245410FD"/>
    <w:rsid w:val="245A2A83"/>
    <w:rsid w:val="245B6F27"/>
    <w:rsid w:val="245C4A4D"/>
    <w:rsid w:val="245E07C6"/>
    <w:rsid w:val="246456B0"/>
    <w:rsid w:val="246F7CD8"/>
    <w:rsid w:val="24793396"/>
    <w:rsid w:val="248762B2"/>
    <w:rsid w:val="2492046F"/>
    <w:rsid w:val="249661B1"/>
    <w:rsid w:val="24A26904"/>
    <w:rsid w:val="24CF521F"/>
    <w:rsid w:val="24F353B2"/>
    <w:rsid w:val="25007ACF"/>
    <w:rsid w:val="25056E93"/>
    <w:rsid w:val="251470D6"/>
    <w:rsid w:val="25164BFC"/>
    <w:rsid w:val="253120B6"/>
    <w:rsid w:val="2540611D"/>
    <w:rsid w:val="254A0D4A"/>
    <w:rsid w:val="255B2F57"/>
    <w:rsid w:val="255E0351"/>
    <w:rsid w:val="256F7E4E"/>
    <w:rsid w:val="2580651A"/>
    <w:rsid w:val="258129BE"/>
    <w:rsid w:val="25897AC4"/>
    <w:rsid w:val="258C3110"/>
    <w:rsid w:val="25956469"/>
    <w:rsid w:val="25973F8F"/>
    <w:rsid w:val="25987D07"/>
    <w:rsid w:val="259A3A7F"/>
    <w:rsid w:val="25AE12D9"/>
    <w:rsid w:val="25B172AF"/>
    <w:rsid w:val="25BC1C48"/>
    <w:rsid w:val="25C24D84"/>
    <w:rsid w:val="25C44658"/>
    <w:rsid w:val="25C7239A"/>
    <w:rsid w:val="25C81540"/>
    <w:rsid w:val="25C96113"/>
    <w:rsid w:val="25C97EC1"/>
    <w:rsid w:val="25CE122A"/>
    <w:rsid w:val="25D37CE1"/>
    <w:rsid w:val="25F3318F"/>
    <w:rsid w:val="26031925"/>
    <w:rsid w:val="26040EF9"/>
    <w:rsid w:val="26064C71"/>
    <w:rsid w:val="26190E48"/>
    <w:rsid w:val="261C66C5"/>
    <w:rsid w:val="26263565"/>
    <w:rsid w:val="26445799"/>
    <w:rsid w:val="2657371E"/>
    <w:rsid w:val="265C29D1"/>
    <w:rsid w:val="265E7A62"/>
    <w:rsid w:val="2666570F"/>
    <w:rsid w:val="266876DA"/>
    <w:rsid w:val="266B0F78"/>
    <w:rsid w:val="26887D7C"/>
    <w:rsid w:val="269E73A8"/>
    <w:rsid w:val="26A1499A"/>
    <w:rsid w:val="26AB5818"/>
    <w:rsid w:val="26B24DF9"/>
    <w:rsid w:val="26B91CE3"/>
    <w:rsid w:val="26C50688"/>
    <w:rsid w:val="26DE5BEE"/>
    <w:rsid w:val="26E10E4C"/>
    <w:rsid w:val="26EA4592"/>
    <w:rsid w:val="26EC20B9"/>
    <w:rsid w:val="26EE4083"/>
    <w:rsid w:val="26EF3957"/>
    <w:rsid w:val="26F70A5D"/>
    <w:rsid w:val="26FF6BCF"/>
    <w:rsid w:val="270F3FF9"/>
    <w:rsid w:val="2714160F"/>
    <w:rsid w:val="271433BD"/>
    <w:rsid w:val="271E423C"/>
    <w:rsid w:val="27322E79"/>
    <w:rsid w:val="27335F39"/>
    <w:rsid w:val="2734580E"/>
    <w:rsid w:val="273870AC"/>
    <w:rsid w:val="273B4DEE"/>
    <w:rsid w:val="273D46C2"/>
    <w:rsid w:val="27433CA3"/>
    <w:rsid w:val="275639D6"/>
    <w:rsid w:val="27790495"/>
    <w:rsid w:val="27930786"/>
    <w:rsid w:val="27992E92"/>
    <w:rsid w:val="279B763B"/>
    <w:rsid w:val="27B60C96"/>
    <w:rsid w:val="27B8643F"/>
    <w:rsid w:val="27BB1A8B"/>
    <w:rsid w:val="27BD3079"/>
    <w:rsid w:val="27BF157B"/>
    <w:rsid w:val="27D36DD5"/>
    <w:rsid w:val="27DD5EA5"/>
    <w:rsid w:val="27E40FE2"/>
    <w:rsid w:val="27E62FAC"/>
    <w:rsid w:val="27EB05C2"/>
    <w:rsid w:val="280D0539"/>
    <w:rsid w:val="282835C4"/>
    <w:rsid w:val="282E409A"/>
    <w:rsid w:val="282E6701"/>
    <w:rsid w:val="28335AC5"/>
    <w:rsid w:val="283F090E"/>
    <w:rsid w:val="28472493"/>
    <w:rsid w:val="28577A06"/>
    <w:rsid w:val="2859377E"/>
    <w:rsid w:val="286345E6"/>
    <w:rsid w:val="286E6AFD"/>
    <w:rsid w:val="28814A83"/>
    <w:rsid w:val="28844573"/>
    <w:rsid w:val="28862099"/>
    <w:rsid w:val="288B3B53"/>
    <w:rsid w:val="288E0F4E"/>
    <w:rsid w:val="28AB1AFF"/>
    <w:rsid w:val="28B210E0"/>
    <w:rsid w:val="28C80903"/>
    <w:rsid w:val="28CC797B"/>
    <w:rsid w:val="28D23530"/>
    <w:rsid w:val="28DA4193"/>
    <w:rsid w:val="28E545E3"/>
    <w:rsid w:val="28F17E5A"/>
    <w:rsid w:val="28F2772E"/>
    <w:rsid w:val="28F72F97"/>
    <w:rsid w:val="292162DD"/>
    <w:rsid w:val="29231FDE"/>
    <w:rsid w:val="292813A2"/>
    <w:rsid w:val="29325D7D"/>
    <w:rsid w:val="29363ABF"/>
    <w:rsid w:val="294176B3"/>
    <w:rsid w:val="29634188"/>
    <w:rsid w:val="296E3259"/>
    <w:rsid w:val="297939AC"/>
    <w:rsid w:val="297E7214"/>
    <w:rsid w:val="29891E41"/>
    <w:rsid w:val="2996455E"/>
    <w:rsid w:val="29A21154"/>
    <w:rsid w:val="29AF73CD"/>
    <w:rsid w:val="29B175E9"/>
    <w:rsid w:val="29B77948"/>
    <w:rsid w:val="29CA2459"/>
    <w:rsid w:val="29CC61D1"/>
    <w:rsid w:val="29CF6BA5"/>
    <w:rsid w:val="29DF5F05"/>
    <w:rsid w:val="29E320D0"/>
    <w:rsid w:val="29EF3C6E"/>
    <w:rsid w:val="29F6324E"/>
    <w:rsid w:val="29F766E0"/>
    <w:rsid w:val="2A0873C7"/>
    <w:rsid w:val="2A2B2EF8"/>
    <w:rsid w:val="2A2D4EC2"/>
    <w:rsid w:val="2A331DAD"/>
    <w:rsid w:val="2A337FFE"/>
    <w:rsid w:val="2A3A138D"/>
    <w:rsid w:val="2A3C5105"/>
    <w:rsid w:val="2A481CFC"/>
    <w:rsid w:val="2A495A74"/>
    <w:rsid w:val="2A4E4E38"/>
    <w:rsid w:val="2A5412FB"/>
    <w:rsid w:val="2A64640A"/>
    <w:rsid w:val="2A697EC4"/>
    <w:rsid w:val="2A781EB5"/>
    <w:rsid w:val="2A7F4FF2"/>
    <w:rsid w:val="2A8D770F"/>
    <w:rsid w:val="2A9C3DF6"/>
    <w:rsid w:val="2A9E191C"/>
    <w:rsid w:val="2AA809EC"/>
    <w:rsid w:val="2AA9206F"/>
    <w:rsid w:val="2AAA6513"/>
    <w:rsid w:val="2AAF6204"/>
    <w:rsid w:val="2AB7478C"/>
    <w:rsid w:val="2ABC1DA2"/>
    <w:rsid w:val="2ABE5B1A"/>
    <w:rsid w:val="2ACF5F79"/>
    <w:rsid w:val="2AD215C5"/>
    <w:rsid w:val="2ADB491E"/>
    <w:rsid w:val="2ADC2444"/>
    <w:rsid w:val="2AE00186"/>
    <w:rsid w:val="2AE11467"/>
    <w:rsid w:val="2AE632C3"/>
    <w:rsid w:val="2AF07C9E"/>
    <w:rsid w:val="2AF21C68"/>
    <w:rsid w:val="2B011EAB"/>
    <w:rsid w:val="2B271F0F"/>
    <w:rsid w:val="2B277B63"/>
    <w:rsid w:val="2B2D4A4E"/>
    <w:rsid w:val="2B3109E2"/>
    <w:rsid w:val="2B6A3EF4"/>
    <w:rsid w:val="2B7B3A0B"/>
    <w:rsid w:val="2B7E174D"/>
    <w:rsid w:val="2B7F799F"/>
    <w:rsid w:val="2B807273"/>
    <w:rsid w:val="2B905A9E"/>
    <w:rsid w:val="2B9176D3"/>
    <w:rsid w:val="2BA2368E"/>
    <w:rsid w:val="2BA74800"/>
    <w:rsid w:val="2BAA609E"/>
    <w:rsid w:val="2BB86A0D"/>
    <w:rsid w:val="2BBB64FD"/>
    <w:rsid w:val="2BD61589"/>
    <w:rsid w:val="2BD75FF1"/>
    <w:rsid w:val="2BF37B8F"/>
    <w:rsid w:val="2BF6776E"/>
    <w:rsid w:val="2C025EDA"/>
    <w:rsid w:val="2C0C4FAB"/>
    <w:rsid w:val="2C1125C1"/>
    <w:rsid w:val="2C3020B1"/>
    <w:rsid w:val="2C464019"/>
    <w:rsid w:val="2C484235"/>
    <w:rsid w:val="2C4E0175"/>
    <w:rsid w:val="2C5C1A8E"/>
    <w:rsid w:val="2C626979"/>
    <w:rsid w:val="2C640943"/>
    <w:rsid w:val="2C6C77F8"/>
    <w:rsid w:val="2C6E17C2"/>
    <w:rsid w:val="2C7F3CAD"/>
    <w:rsid w:val="2C82701B"/>
    <w:rsid w:val="2C840FE5"/>
    <w:rsid w:val="2C866B0B"/>
    <w:rsid w:val="2C9D5C03"/>
    <w:rsid w:val="2CAE7E10"/>
    <w:rsid w:val="2CB859EB"/>
    <w:rsid w:val="2CC82C80"/>
    <w:rsid w:val="2CD108CC"/>
    <w:rsid w:val="2CDA4BA0"/>
    <w:rsid w:val="2CDC2BCF"/>
    <w:rsid w:val="2CDC672B"/>
    <w:rsid w:val="2CDF7FCA"/>
    <w:rsid w:val="2CE35D0C"/>
    <w:rsid w:val="2CE81574"/>
    <w:rsid w:val="2CE83322"/>
    <w:rsid w:val="2CE850D0"/>
    <w:rsid w:val="2CE90E48"/>
    <w:rsid w:val="2CF00429"/>
    <w:rsid w:val="2CF77A09"/>
    <w:rsid w:val="2CF9108B"/>
    <w:rsid w:val="2D145EC5"/>
    <w:rsid w:val="2D1660E1"/>
    <w:rsid w:val="2D177764"/>
    <w:rsid w:val="2D1E6D44"/>
    <w:rsid w:val="2D320A41"/>
    <w:rsid w:val="2D3718E1"/>
    <w:rsid w:val="2D5664DE"/>
    <w:rsid w:val="2D5B7F98"/>
    <w:rsid w:val="2D6230D5"/>
    <w:rsid w:val="2D67693D"/>
    <w:rsid w:val="2D691DE4"/>
    <w:rsid w:val="2D6C0765"/>
    <w:rsid w:val="2D7B7CF2"/>
    <w:rsid w:val="2D8868B3"/>
    <w:rsid w:val="2D8B034F"/>
    <w:rsid w:val="2D8D3ECA"/>
    <w:rsid w:val="2D8D7A26"/>
    <w:rsid w:val="2D9E7E85"/>
    <w:rsid w:val="2DA21723"/>
    <w:rsid w:val="2DA37249"/>
    <w:rsid w:val="2DA60AE7"/>
    <w:rsid w:val="2DAF3E40"/>
    <w:rsid w:val="2DB04579"/>
    <w:rsid w:val="2DB43204"/>
    <w:rsid w:val="2DB63420"/>
    <w:rsid w:val="2DB80F46"/>
    <w:rsid w:val="2DB87198"/>
    <w:rsid w:val="2DC0604D"/>
    <w:rsid w:val="2DD65871"/>
    <w:rsid w:val="2DFD2DFD"/>
    <w:rsid w:val="2DFF6B75"/>
    <w:rsid w:val="2E0917A2"/>
    <w:rsid w:val="2E3B56D4"/>
    <w:rsid w:val="2E40064D"/>
    <w:rsid w:val="2E4356E4"/>
    <w:rsid w:val="2E456552"/>
    <w:rsid w:val="2E47051C"/>
    <w:rsid w:val="2E4A3583"/>
    <w:rsid w:val="2E4C1BC5"/>
    <w:rsid w:val="2E4E18AB"/>
    <w:rsid w:val="2E505623"/>
    <w:rsid w:val="2E5D564A"/>
    <w:rsid w:val="2E6B1B30"/>
    <w:rsid w:val="2E6F6D21"/>
    <w:rsid w:val="2E7110F5"/>
    <w:rsid w:val="2E76495E"/>
    <w:rsid w:val="2E887018"/>
    <w:rsid w:val="2E8A6368"/>
    <w:rsid w:val="2EA80FBB"/>
    <w:rsid w:val="2EBD433B"/>
    <w:rsid w:val="2EC60DB5"/>
    <w:rsid w:val="2ECC0E2A"/>
    <w:rsid w:val="2ED00512"/>
    <w:rsid w:val="2EEF6BEA"/>
    <w:rsid w:val="2EFD389E"/>
    <w:rsid w:val="2F032695"/>
    <w:rsid w:val="2F123E49"/>
    <w:rsid w:val="2F126434"/>
    <w:rsid w:val="2F1C5505"/>
    <w:rsid w:val="2F236894"/>
    <w:rsid w:val="2F25260C"/>
    <w:rsid w:val="2F261EE0"/>
    <w:rsid w:val="2F324D29"/>
    <w:rsid w:val="2F3A39D1"/>
    <w:rsid w:val="2F567F0F"/>
    <w:rsid w:val="2F6649D2"/>
    <w:rsid w:val="2F6824F8"/>
    <w:rsid w:val="2F6C023B"/>
    <w:rsid w:val="2F805A94"/>
    <w:rsid w:val="2F94153F"/>
    <w:rsid w:val="2FAB0637"/>
    <w:rsid w:val="2FBD689C"/>
    <w:rsid w:val="2FBE65BC"/>
    <w:rsid w:val="2FC71915"/>
    <w:rsid w:val="2FEB3D38"/>
    <w:rsid w:val="301B3A0F"/>
    <w:rsid w:val="3027082A"/>
    <w:rsid w:val="30330D58"/>
    <w:rsid w:val="303A20E7"/>
    <w:rsid w:val="304545E8"/>
    <w:rsid w:val="304D4ED5"/>
    <w:rsid w:val="305331A8"/>
    <w:rsid w:val="305B02AF"/>
    <w:rsid w:val="30661B74"/>
    <w:rsid w:val="30676C54"/>
    <w:rsid w:val="307B625B"/>
    <w:rsid w:val="308C2216"/>
    <w:rsid w:val="308E5F8F"/>
    <w:rsid w:val="3091782D"/>
    <w:rsid w:val="30946CE0"/>
    <w:rsid w:val="309A2B85"/>
    <w:rsid w:val="309F019C"/>
    <w:rsid w:val="30A05CC2"/>
    <w:rsid w:val="30A752A2"/>
    <w:rsid w:val="30C10112"/>
    <w:rsid w:val="30C419B0"/>
    <w:rsid w:val="30C85944"/>
    <w:rsid w:val="30D81900"/>
    <w:rsid w:val="30E20088"/>
    <w:rsid w:val="30F86A51"/>
    <w:rsid w:val="31083F93"/>
    <w:rsid w:val="31101099"/>
    <w:rsid w:val="31126BC0"/>
    <w:rsid w:val="311B5125"/>
    <w:rsid w:val="31295CB7"/>
    <w:rsid w:val="312B1A2F"/>
    <w:rsid w:val="31321010"/>
    <w:rsid w:val="313A6116"/>
    <w:rsid w:val="314825E1"/>
    <w:rsid w:val="31674A29"/>
    <w:rsid w:val="316B201F"/>
    <w:rsid w:val="316E4D0F"/>
    <w:rsid w:val="317B29B7"/>
    <w:rsid w:val="31810994"/>
    <w:rsid w:val="318A0E4C"/>
    <w:rsid w:val="319F5F79"/>
    <w:rsid w:val="31A65588"/>
    <w:rsid w:val="31AB491E"/>
    <w:rsid w:val="31B00506"/>
    <w:rsid w:val="31B613E7"/>
    <w:rsid w:val="31BB1005"/>
    <w:rsid w:val="31BC6B2B"/>
    <w:rsid w:val="31BD2FCF"/>
    <w:rsid w:val="31C854D0"/>
    <w:rsid w:val="31D10829"/>
    <w:rsid w:val="31D2634F"/>
    <w:rsid w:val="31E0281A"/>
    <w:rsid w:val="31E542D4"/>
    <w:rsid w:val="31E87920"/>
    <w:rsid w:val="31EE13DB"/>
    <w:rsid w:val="31F2079F"/>
    <w:rsid w:val="31F84007"/>
    <w:rsid w:val="320A5AE9"/>
    <w:rsid w:val="320D55D9"/>
    <w:rsid w:val="32160223"/>
    <w:rsid w:val="32171FB4"/>
    <w:rsid w:val="3240775C"/>
    <w:rsid w:val="32494863"/>
    <w:rsid w:val="324A4137"/>
    <w:rsid w:val="324C1127"/>
    <w:rsid w:val="324E1E79"/>
    <w:rsid w:val="325E7BE3"/>
    <w:rsid w:val="32601BAD"/>
    <w:rsid w:val="327B2543"/>
    <w:rsid w:val="32807B59"/>
    <w:rsid w:val="3281224F"/>
    <w:rsid w:val="328E2276"/>
    <w:rsid w:val="3291620A"/>
    <w:rsid w:val="32A221C5"/>
    <w:rsid w:val="32A7158A"/>
    <w:rsid w:val="32EB591A"/>
    <w:rsid w:val="32F347CF"/>
    <w:rsid w:val="32F3657D"/>
    <w:rsid w:val="32F50547"/>
    <w:rsid w:val="32F95B01"/>
    <w:rsid w:val="32FA790B"/>
    <w:rsid w:val="33030EB6"/>
    <w:rsid w:val="330469DC"/>
    <w:rsid w:val="332826CA"/>
    <w:rsid w:val="332E5807"/>
    <w:rsid w:val="33437504"/>
    <w:rsid w:val="3350577D"/>
    <w:rsid w:val="33633703"/>
    <w:rsid w:val="33680D19"/>
    <w:rsid w:val="337F6063"/>
    <w:rsid w:val="339C09C3"/>
    <w:rsid w:val="339C4E66"/>
    <w:rsid w:val="339F04B3"/>
    <w:rsid w:val="33A15FD9"/>
    <w:rsid w:val="33A227F5"/>
    <w:rsid w:val="33A830F7"/>
    <w:rsid w:val="33AD2BD0"/>
    <w:rsid w:val="33B026C0"/>
    <w:rsid w:val="33B65F28"/>
    <w:rsid w:val="33C00B55"/>
    <w:rsid w:val="33CD6DCE"/>
    <w:rsid w:val="33E02FA5"/>
    <w:rsid w:val="33E10ACB"/>
    <w:rsid w:val="33E24F83"/>
    <w:rsid w:val="33F8661C"/>
    <w:rsid w:val="340824FC"/>
    <w:rsid w:val="341E1D1F"/>
    <w:rsid w:val="341E587B"/>
    <w:rsid w:val="342804A8"/>
    <w:rsid w:val="34313801"/>
    <w:rsid w:val="344A68E6"/>
    <w:rsid w:val="34565015"/>
    <w:rsid w:val="34586FDF"/>
    <w:rsid w:val="3474193F"/>
    <w:rsid w:val="348A2F11"/>
    <w:rsid w:val="348C0A37"/>
    <w:rsid w:val="34A02734"/>
    <w:rsid w:val="34BB131C"/>
    <w:rsid w:val="34C2454F"/>
    <w:rsid w:val="34CA2545"/>
    <w:rsid w:val="34DC053B"/>
    <w:rsid w:val="34E645EB"/>
    <w:rsid w:val="34EE16F2"/>
    <w:rsid w:val="34F34F5A"/>
    <w:rsid w:val="34F36D08"/>
    <w:rsid w:val="34F62354"/>
    <w:rsid w:val="34FA3BF3"/>
    <w:rsid w:val="34FA62E8"/>
    <w:rsid w:val="34FF56AD"/>
    <w:rsid w:val="350D601C"/>
    <w:rsid w:val="351078BA"/>
    <w:rsid w:val="35131158"/>
    <w:rsid w:val="35150A2C"/>
    <w:rsid w:val="351E2AB9"/>
    <w:rsid w:val="351F3659"/>
    <w:rsid w:val="351F5D4F"/>
    <w:rsid w:val="35316DB2"/>
    <w:rsid w:val="35337105"/>
    <w:rsid w:val="3538471B"/>
    <w:rsid w:val="354C01C6"/>
    <w:rsid w:val="35753BC1"/>
    <w:rsid w:val="357716E7"/>
    <w:rsid w:val="357C4298"/>
    <w:rsid w:val="35867B7C"/>
    <w:rsid w:val="35A26646"/>
    <w:rsid w:val="35A95619"/>
    <w:rsid w:val="35BC70FA"/>
    <w:rsid w:val="35BE3BB5"/>
    <w:rsid w:val="35C366DA"/>
    <w:rsid w:val="35DB4D0A"/>
    <w:rsid w:val="35E87EEF"/>
    <w:rsid w:val="35F1149A"/>
    <w:rsid w:val="35F745D6"/>
    <w:rsid w:val="35FC399A"/>
    <w:rsid w:val="360B1E2F"/>
    <w:rsid w:val="361138EA"/>
    <w:rsid w:val="36164462"/>
    <w:rsid w:val="361A2073"/>
    <w:rsid w:val="361E6007"/>
    <w:rsid w:val="362A49AB"/>
    <w:rsid w:val="3638085D"/>
    <w:rsid w:val="363876A2"/>
    <w:rsid w:val="36405F7D"/>
    <w:rsid w:val="3643461A"/>
    <w:rsid w:val="36513CE6"/>
    <w:rsid w:val="36790667"/>
    <w:rsid w:val="367E6AA5"/>
    <w:rsid w:val="36826F26"/>
    <w:rsid w:val="368340BC"/>
    <w:rsid w:val="3699568D"/>
    <w:rsid w:val="36A007CA"/>
    <w:rsid w:val="36BB1AA7"/>
    <w:rsid w:val="36BB3856"/>
    <w:rsid w:val="36BE1E2E"/>
    <w:rsid w:val="36C00E6C"/>
    <w:rsid w:val="36CA1CEB"/>
    <w:rsid w:val="36D246C2"/>
    <w:rsid w:val="36D6068F"/>
    <w:rsid w:val="36DA0180"/>
    <w:rsid w:val="36DA1F2E"/>
    <w:rsid w:val="36E032BC"/>
    <w:rsid w:val="36E44B5A"/>
    <w:rsid w:val="36E7464B"/>
    <w:rsid w:val="36F70744"/>
    <w:rsid w:val="36FD5C1C"/>
    <w:rsid w:val="36FD79CA"/>
    <w:rsid w:val="37111425"/>
    <w:rsid w:val="371B60A2"/>
    <w:rsid w:val="371F5B92"/>
    <w:rsid w:val="372238D5"/>
    <w:rsid w:val="37335AE2"/>
    <w:rsid w:val="373A29CC"/>
    <w:rsid w:val="373B5541"/>
    <w:rsid w:val="37405B09"/>
    <w:rsid w:val="374455F9"/>
    <w:rsid w:val="3757357E"/>
    <w:rsid w:val="37647A49"/>
    <w:rsid w:val="376E08C8"/>
    <w:rsid w:val="376E6B1A"/>
    <w:rsid w:val="377346DB"/>
    <w:rsid w:val="377A726D"/>
    <w:rsid w:val="377C1237"/>
    <w:rsid w:val="378D51F2"/>
    <w:rsid w:val="379876F3"/>
    <w:rsid w:val="379C0E5D"/>
    <w:rsid w:val="37B07132"/>
    <w:rsid w:val="37C329C2"/>
    <w:rsid w:val="37C4673A"/>
    <w:rsid w:val="37CE1367"/>
    <w:rsid w:val="37D5281F"/>
    <w:rsid w:val="37E172EC"/>
    <w:rsid w:val="37E312B6"/>
    <w:rsid w:val="37ED3EE3"/>
    <w:rsid w:val="37F05781"/>
    <w:rsid w:val="37FC4126"/>
    <w:rsid w:val="37FF7772"/>
    <w:rsid w:val="38014DFC"/>
    <w:rsid w:val="3810372D"/>
    <w:rsid w:val="3817622D"/>
    <w:rsid w:val="38213B8C"/>
    <w:rsid w:val="382901CF"/>
    <w:rsid w:val="38327B47"/>
    <w:rsid w:val="38471845"/>
    <w:rsid w:val="384A0187"/>
    <w:rsid w:val="384F7AA2"/>
    <w:rsid w:val="38575800"/>
    <w:rsid w:val="38591578"/>
    <w:rsid w:val="38593326"/>
    <w:rsid w:val="386F2B4A"/>
    <w:rsid w:val="387737AC"/>
    <w:rsid w:val="388F0AF6"/>
    <w:rsid w:val="38912AC0"/>
    <w:rsid w:val="38997BC6"/>
    <w:rsid w:val="389E6F8B"/>
    <w:rsid w:val="38AC5B4C"/>
    <w:rsid w:val="38BF587F"/>
    <w:rsid w:val="38C06F01"/>
    <w:rsid w:val="38C20ECB"/>
    <w:rsid w:val="38CA7D80"/>
    <w:rsid w:val="38CF5396"/>
    <w:rsid w:val="38D07EC9"/>
    <w:rsid w:val="38E057F5"/>
    <w:rsid w:val="38E41DB9"/>
    <w:rsid w:val="38F31085"/>
    <w:rsid w:val="39074B30"/>
    <w:rsid w:val="390A4620"/>
    <w:rsid w:val="39183156"/>
    <w:rsid w:val="39261FCD"/>
    <w:rsid w:val="393022D9"/>
    <w:rsid w:val="39317DFF"/>
    <w:rsid w:val="39365415"/>
    <w:rsid w:val="393E28D8"/>
    <w:rsid w:val="39455658"/>
    <w:rsid w:val="394E275F"/>
    <w:rsid w:val="3951224F"/>
    <w:rsid w:val="395835DE"/>
    <w:rsid w:val="39594D23"/>
    <w:rsid w:val="396226AE"/>
    <w:rsid w:val="396401D4"/>
    <w:rsid w:val="39664DC4"/>
    <w:rsid w:val="396E2E01"/>
    <w:rsid w:val="397C3770"/>
    <w:rsid w:val="39A44A75"/>
    <w:rsid w:val="39A46823"/>
    <w:rsid w:val="39A700C1"/>
    <w:rsid w:val="39B36A66"/>
    <w:rsid w:val="39B645E5"/>
    <w:rsid w:val="39DA2245"/>
    <w:rsid w:val="39E41315"/>
    <w:rsid w:val="39E44E71"/>
    <w:rsid w:val="39E9692C"/>
    <w:rsid w:val="39F71049"/>
    <w:rsid w:val="3A064DE8"/>
    <w:rsid w:val="3A086DB2"/>
    <w:rsid w:val="3A12378C"/>
    <w:rsid w:val="3A175247"/>
    <w:rsid w:val="3A3E27D3"/>
    <w:rsid w:val="3A4818A4"/>
    <w:rsid w:val="3A59760D"/>
    <w:rsid w:val="3A744447"/>
    <w:rsid w:val="3A7601BF"/>
    <w:rsid w:val="3A8D2295"/>
    <w:rsid w:val="3A8D375B"/>
    <w:rsid w:val="3A9647EE"/>
    <w:rsid w:val="3A971EE4"/>
    <w:rsid w:val="3A9B5E78"/>
    <w:rsid w:val="3AAD1707"/>
    <w:rsid w:val="3AC16F61"/>
    <w:rsid w:val="3AEA4709"/>
    <w:rsid w:val="3AEC66D3"/>
    <w:rsid w:val="3AFF6407"/>
    <w:rsid w:val="3B021A53"/>
    <w:rsid w:val="3B070E17"/>
    <w:rsid w:val="3B0A0908"/>
    <w:rsid w:val="3B117EE8"/>
    <w:rsid w:val="3B190B4B"/>
    <w:rsid w:val="3B1925BB"/>
    <w:rsid w:val="3B331C0C"/>
    <w:rsid w:val="3B3836C7"/>
    <w:rsid w:val="3B4B76C6"/>
    <w:rsid w:val="3B53405D"/>
    <w:rsid w:val="3B5A188F"/>
    <w:rsid w:val="3B5B73B5"/>
    <w:rsid w:val="3B637FD8"/>
    <w:rsid w:val="3B675D5A"/>
    <w:rsid w:val="3B6C3370"/>
    <w:rsid w:val="3B7A3CDF"/>
    <w:rsid w:val="3B7C7A57"/>
    <w:rsid w:val="3B7E1D36"/>
    <w:rsid w:val="3B820DE6"/>
    <w:rsid w:val="3BA23B33"/>
    <w:rsid w:val="3BAA5C47"/>
    <w:rsid w:val="3BC136BC"/>
    <w:rsid w:val="3BC74A4B"/>
    <w:rsid w:val="3BD05281"/>
    <w:rsid w:val="3BD056AD"/>
    <w:rsid w:val="3BD74C8E"/>
    <w:rsid w:val="3BDC04F6"/>
    <w:rsid w:val="3BE37E6D"/>
    <w:rsid w:val="3BE473AB"/>
    <w:rsid w:val="3BE61375"/>
    <w:rsid w:val="3BE9676F"/>
    <w:rsid w:val="3BEB6CF7"/>
    <w:rsid w:val="3BED44B1"/>
    <w:rsid w:val="3BF215D8"/>
    <w:rsid w:val="3BFD046C"/>
    <w:rsid w:val="3C065573"/>
    <w:rsid w:val="3C0E61D6"/>
    <w:rsid w:val="3C137C90"/>
    <w:rsid w:val="3C157564"/>
    <w:rsid w:val="3C1F38D9"/>
    <w:rsid w:val="3C30439E"/>
    <w:rsid w:val="3C447E49"/>
    <w:rsid w:val="3C4B567C"/>
    <w:rsid w:val="3C4E0CC8"/>
    <w:rsid w:val="3C5F6A31"/>
    <w:rsid w:val="3C636521"/>
    <w:rsid w:val="3C6978B0"/>
    <w:rsid w:val="3C6F136A"/>
    <w:rsid w:val="3C6F3118"/>
    <w:rsid w:val="3C6F7834"/>
    <w:rsid w:val="3C7544A7"/>
    <w:rsid w:val="3C7626F9"/>
    <w:rsid w:val="3C814BF9"/>
    <w:rsid w:val="3C8A1D00"/>
    <w:rsid w:val="3C97266F"/>
    <w:rsid w:val="3C9C5ED7"/>
    <w:rsid w:val="3C9F32D2"/>
    <w:rsid w:val="3CA56B3A"/>
    <w:rsid w:val="3CB217EF"/>
    <w:rsid w:val="3CBC2A1A"/>
    <w:rsid w:val="3CCA65A0"/>
    <w:rsid w:val="3CDD2778"/>
    <w:rsid w:val="3CE05DC4"/>
    <w:rsid w:val="3CF61143"/>
    <w:rsid w:val="3CFE26EE"/>
    <w:rsid w:val="3D08531B"/>
    <w:rsid w:val="3D0C6BB9"/>
    <w:rsid w:val="3D0D2931"/>
    <w:rsid w:val="3D0E0B83"/>
    <w:rsid w:val="3D0F66A9"/>
    <w:rsid w:val="3D1C4922"/>
    <w:rsid w:val="3D2A703F"/>
    <w:rsid w:val="3D3305EA"/>
    <w:rsid w:val="3D402D06"/>
    <w:rsid w:val="3D5347E8"/>
    <w:rsid w:val="3D5440BC"/>
    <w:rsid w:val="3D5567B2"/>
    <w:rsid w:val="3D7E6571"/>
    <w:rsid w:val="3D912D0A"/>
    <w:rsid w:val="3DA70690"/>
    <w:rsid w:val="3DAB4624"/>
    <w:rsid w:val="3DB42DAD"/>
    <w:rsid w:val="3DBF3C2B"/>
    <w:rsid w:val="3DC01751"/>
    <w:rsid w:val="3DC079A3"/>
    <w:rsid w:val="3DC254CA"/>
    <w:rsid w:val="3DC76F84"/>
    <w:rsid w:val="3DCC55C7"/>
    <w:rsid w:val="3DD2165D"/>
    <w:rsid w:val="3DE17D59"/>
    <w:rsid w:val="3DE6565C"/>
    <w:rsid w:val="3DE9514C"/>
    <w:rsid w:val="3DF5764D"/>
    <w:rsid w:val="3DF80EEB"/>
    <w:rsid w:val="3E0E4BB3"/>
    <w:rsid w:val="3E126451"/>
    <w:rsid w:val="3E261EFC"/>
    <w:rsid w:val="3E2E2B5F"/>
    <w:rsid w:val="3E4864F1"/>
    <w:rsid w:val="3E502AD5"/>
    <w:rsid w:val="3E554590"/>
    <w:rsid w:val="3E564C85"/>
    <w:rsid w:val="3E614CE2"/>
    <w:rsid w:val="3E6734B1"/>
    <w:rsid w:val="3E6842C3"/>
    <w:rsid w:val="3E790445"/>
    <w:rsid w:val="3E7C38CA"/>
    <w:rsid w:val="3E80785E"/>
    <w:rsid w:val="3E815385"/>
    <w:rsid w:val="3E873AB3"/>
    <w:rsid w:val="3E88226F"/>
    <w:rsid w:val="3EA11583"/>
    <w:rsid w:val="3EA12C6C"/>
    <w:rsid w:val="3EA66B99"/>
    <w:rsid w:val="3EAD617A"/>
    <w:rsid w:val="3EBC63BD"/>
    <w:rsid w:val="3EC139D3"/>
    <w:rsid w:val="3ED6747E"/>
    <w:rsid w:val="3ED92ACB"/>
    <w:rsid w:val="3EFC2C5D"/>
    <w:rsid w:val="3F165CF8"/>
    <w:rsid w:val="3F1955BD"/>
    <w:rsid w:val="3F1E0E25"/>
    <w:rsid w:val="3F2F35E8"/>
    <w:rsid w:val="3F3C245E"/>
    <w:rsid w:val="3F3E5024"/>
    <w:rsid w:val="3F4F7231"/>
    <w:rsid w:val="3F6E3B5B"/>
    <w:rsid w:val="3F7722E4"/>
    <w:rsid w:val="3F8334A8"/>
    <w:rsid w:val="3F892743"/>
    <w:rsid w:val="3FA07A8C"/>
    <w:rsid w:val="3FAA26B9"/>
    <w:rsid w:val="3FB86B84"/>
    <w:rsid w:val="3FBF43B6"/>
    <w:rsid w:val="3FC1012F"/>
    <w:rsid w:val="3FC574F3"/>
    <w:rsid w:val="3FD356C5"/>
    <w:rsid w:val="3FD414E4"/>
    <w:rsid w:val="3FD57736"/>
    <w:rsid w:val="3FD6525C"/>
    <w:rsid w:val="3FEE6A4A"/>
    <w:rsid w:val="401B7113"/>
    <w:rsid w:val="402204A1"/>
    <w:rsid w:val="40297A82"/>
    <w:rsid w:val="40381A20"/>
    <w:rsid w:val="40385F17"/>
    <w:rsid w:val="40387CC5"/>
    <w:rsid w:val="403F2E01"/>
    <w:rsid w:val="40490124"/>
    <w:rsid w:val="40512B35"/>
    <w:rsid w:val="405C1C05"/>
    <w:rsid w:val="4064329A"/>
    <w:rsid w:val="407667EF"/>
    <w:rsid w:val="407E7DCE"/>
    <w:rsid w:val="40866C82"/>
    <w:rsid w:val="40870703"/>
    <w:rsid w:val="409C46F8"/>
    <w:rsid w:val="40A1586A"/>
    <w:rsid w:val="40A35A86"/>
    <w:rsid w:val="40B90E06"/>
    <w:rsid w:val="40BC26A4"/>
    <w:rsid w:val="40BE466E"/>
    <w:rsid w:val="40C003E6"/>
    <w:rsid w:val="40CB28E7"/>
    <w:rsid w:val="40D43E92"/>
    <w:rsid w:val="40D75730"/>
    <w:rsid w:val="40E340D5"/>
    <w:rsid w:val="40E51BFB"/>
    <w:rsid w:val="40F20AB6"/>
    <w:rsid w:val="40FE4A6B"/>
    <w:rsid w:val="410F4ECA"/>
    <w:rsid w:val="411B2942"/>
    <w:rsid w:val="412A1D04"/>
    <w:rsid w:val="412F7A54"/>
    <w:rsid w:val="413E755D"/>
    <w:rsid w:val="414A2F2A"/>
    <w:rsid w:val="41594397"/>
    <w:rsid w:val="41597EF3"/>
    <w:rsid w:val="41652D3C"/>
    <w:rsid w:val="416C5E78"/>
    <w:rsid w:val="41720FB5"/>
    <w:rsid w:val="417E7959"/>
    <w:rsid w:val="419453CF"/>
    <w:rsid w:val="41967399"/>
    <w:rsid w:val="41A93350"/>
    <w:rsid w:val="41AA4248"/>
    <w:rsid w:val="41CC2DBB"/>
    <w:rsid w:val="41D41C6F"/>
    <w:rsid w:val="41FD4D22"/>
    <w:rsid w:val="42145E76"/>
    <w:rsid w:val="421502BE"/>
    <w:rsid w:val="42161379"/>
    <w:rsid w:val="421A58D4"/>
    <w:rsid w:val="421B33FA"/>
    <w:rsid w:val="42280E95"/>
    <w:rsid w:val="42293D69"/>
    <w:rsid w:val="422F6EA6"/>
    <w:rsid w:val="423170C2"/>
    <w:rsid w:val="42426BD9"/>
    <w:rsid w:val="424E567E"/>
    <w:rsid w:val="42537038"/>
    <w:rsid w:val="42582C2F"/>
    <w:rsid w:val="425A3F23"/>
    <w:rsid w:val="425F4199"/>
    <w:rsid w:val="426052B1"/>
    <w:rsid w:val="426362FA"/>
    <w:rsid w:val="426A5A1A"/>
    <w:rsid w:val="426C3C56"/>
    <w:rsid w:val="427A59C3"/>
    <w:rsid w:val="428062F5"/>
    <w:rsid w:val="42862F6A"/>
    <w:rsid w:val="42897B88"/>
    <w:rsid w:val="429E4709"/>
    <w:rsid w:val="42B04076"/>
    <w:rsid w:val="42B75819"/>
    <w:rsid w:val="42C341BE"/>
    <w:rsid w:val="42C45840"/>
    <w:rsid w:val="42D40179"/>
    <w:rsid w:val="42D57A4D"/>
    <w:rsid w:val="42DE4B54"/>
    <w:rsid w:val="42EB7271"/>
    <w:rsid w:val="42F26851"/>
    <w:rsid w:val="42F73E67"/>
    <w:rsid w:val="43010842"/>
    <w:rsid w:val="43087E22"/>
    <w:rsid w:val="430B16C1"/>
    <w:rsid w:val="4315253F"/>
    <w:rsid w:val="43236A0A"/>
    <w:rsid w:val="43284021"/>
    <w:rsid w:val="43302ED5"/>
    <w:rsid w:val="43312E32"/>
    <w:rsid w:val="434075BC"/>
    <w:rsid w:val="434F5A51"/>
    <w:rsid w:val="43560B8E"/>
    <w:rsid w:val="43572B58"/>
    <w:rsid w:val="435968D0"/>
    <w:rsid w:val="435B43F6"/>
    <w:rsid w:val="435C54A2"/>
    <w:rsid w:val="43617533"/>
    <w:rsid w:val="436D5ED7"/>
    <w:rsid w:val="436F1C50"/>
    <w:rsid w:val="43741014"/>
    <w:rsid w:val="437E5696"/>
    <w:rsid w:val="438374A9"/>
    <w:rsid w:val="438751EB"/>
    <w:rsid w:val="43912C5C"/>
    <w:rsid w:val="43942ED3"/>
    <w:rsid w:val="43AE4775"/>
    <w:rsid w:val="43BD0C0D"/>
    <w:rsid w:val="43BF2BD7"/>
    <w:rsid w:val="43C55D14"/>
    <w:rsid w:val="43CA2C83"/>
    <w:rsid w:val="43D23F8D"/>
    <w:rsid w:val="43D63A7D"/>
    <w:rsid w:val="43DA2194"/>
    <w:rsid w:val="43DE2931"/>
    <w:rsid w:val="43F3462F"/>
    <w:rsid w:val="43FA3C0F"/>
    <w:rsid w:val="43FB34E3"/>
    <w:rsid w:val="43FF1225"/>
    <w:rsid w:val="44036E00"/>
    <w:rsid w:val="4413082D"/>
    <w:rsid w:val="442C7B41"/>
    <w:rsid w:val="442D3426"/>
    <w:rsid w:val="44382411"/>
    <w:rsid w:val="443A04B0"/>
    <w:rsid w:val="44421112"/>
    <w:rsid w:val="444214F2"/>
    <w:rsid w:val="444430DC"/>
    <w:rsid w:val="44466E54"/>
    <w:rsid w:val="444A6219"/>
    <w:rsid w:val="444C01E3"/>
    <w:rsid w:val="444D5AD5"/>
    <w:rsid w:val="445175A7"/>
    <w:rsid w:val="44580936"/>
    <w:rsid w:val="445A645C"/>
    <w:rsid w:val="445B14BB"/>
    <w:rsid w:val="446A2417"/>
    <w:rsid w:val="447B63D2"/>
    <w:rsid w:val="447D039C"/>
    <w:rsid w:val="447D214A"/>
    <w:rsid w:val="448E4357"/>
    <w:rsid w:val="44957494"/>
    <w:rsid w:val="44A8366B"/>
    <w:rsid w:val="44A920AB"/>
    <w:rsid w:val="44AB315B"/>
    <w:rsid w:val="44B87626"/>
    <w:rsid w:val="44DA6522"/>
    <w:rsid w:val="44E27E91"/>
    <w:rsid w:val="44F22B38"/>
    <w:rsid w:val="44F248E6"/>
    <w:rsid w:val="45053F07"/>
    <w:rsid w:val="451231DA"/>
    <w:rsid w:val="4513485D"/>
    <w:rsid w:val="45240818"/>
    <w:rsid w:val="452B604A"/>
    <w:rsid w:val="45331967"/>
    <w:rsid w:val="4550160D"/>
    <w:rsid w:val="45667082"/>
    <w:rsid w:val="4568104C"/>
    <w:rsid w:val="45713DE8"/>
    <w:rsid w:val="457245D4"/>
    <w:rsid w:val="45725A27"/>
    <w:rsid w:val="4582210E"/>
    <w:rsid w:val="45863281"/>
    <w:rsid w:val="45921C25"/>
    <w:rsid w:val="45961716"/>
    <w:rsid w:val="45AD49F7"/>
    <w:rsid w:val="45AD6A5F"/>
    <w:rsid w:val="45B20519"/>
    <w:rsid w:val="45BC4EF4"/>
    <w:rsid w:val="45C3608F"/>
    <w:rsid w:val="45DC10F2"/>
    <w:rsid w:val="45E05087"/>
    <w:rsid w:val="45E71F71"/>
    <w:rsid w:val="45E87A97"/>
    <w:rsid w:val="45EA1A61"/>
    <w:rsid w:val="45FC3543"/>
    <w:rsid w:val="46054AED"/>
    <w:rsid w:val="460C19D8"/>
    <w:rsid w:val="46160AA8"/>
    <w:rsid w:val="46192D48"/>
    <w:rsid w:val="461F5878"/>
    <w:rsid w:val="4622744D"/>
    <w:rsid w:val="462D194E"/>
    <w:rsid w:val="463D7F75"/>
    <w:rsid w:val="46414BF9"/>
    <w:rsid w:val="464A0752"/>
    <w:rsid w:val="464C1BF9"/>
    <w:rsid w:val="4665558C"/>
    <w:rsid w:val="46712183"/>
    <w:rsid w:val="46733805"/>
    <w:rsid w:val="467A2DE5"/>
    <w:rsid w:val="467E6105"/>
    <w:rsid w:val="468123C6"/>
    <w:rsid w:val="4691012F"/>
    <w:rsid w:val="469814BD"/>
    <w:rsid w:val="469D0882"/>
    <w:rsid w:val="46A77952"/>
    <w:rsid w:val="46B06807"/>
    <w:rsid w:val="46B207D1"/>
    <w:rsid w:val="46BA7686"/>
    <w:rsid w:val="46C93D6D"/>
    <w:rsid w:val="46DC75FC"/>
    <w:rsid w:val="46E11293"/>
    <w:rsid w:val="46E666CD"/>
    <w:rsid w:val="46FD57C4"/>
    <w:rsid w:val="471548BC"/>
    <w:rsid w:val="47176886"/>
    <w:rsid w:val="471C20EE"/>
    <w:rsid w:val="471F398D"/>
    <w:rsid w:val="472C6622"/>
    <w:rsid w:val="472E3BD0"/>
    <w:rsid w:val="47501D98"/>
    <w:rsid w:val="47503B46"/>
    <w:rsid w:val="475C073D"/>
    <w:rsid w:val="476475F1"/>
    <w:rsid w:val="4766336A"/>
    <w:rsid w:val="478D4D9A"/>
    <w:rsid w:val="479B74B7"/>
    <w:rsid w:val="47A63C85"/>
    <w:rsid w:val="47A83982"/>
    <w:rsid w:val="47C84024"/>
    <w:rsid w:val="47D13299"/>
    <w:rsid w:val="47DC0BD3"/>
    <w:rsid w:val="47E250E6"/>
    <w:rsid w:val="47E466D6"/>
    <w:rsid w:val="47F866B8"/>
    <w:rsid w:val="48054931"/>
    <w:rsid w:val="4806133D"/>
    <w:rsid w:val="480706A9"/>
    <w:rsid w:val="480E5EDB"/>
    <w:rsid w:val="480F57AF"/>
    <w:rsid w:val="482412E1"/>
    <w:rsid w:val="482E20D9"/>
    <w:rsid w:val="48345216"/>
    <w:rsid w:val="48547666"/>
    <w:rsid w:val="48592672"/>
    <w:rsid w:val="486E5261"/>
    <w:rsid w:val="48701922"/>
    <w:rsid w:val="487D6BBD"/>
    <w:rsid w:val="4893018E"/>
    <w:rsid w:val="48952158"/>
    <w:rsid w:val="489B5295"/>
    <w:rsid w:val="48A57EC2"/>
    <w:rsid w:val="48B00E0E"/>
    <w:rsid w:val="48B208D2"/>
    <w:rsid w:val="48C60564"/>
    <w:rsid w:val="48D5279B"/>
    <w:rsid w:val="48FA1FBB"/>
    <w:rsid w:val="49080199"/>
    <w:rsid w:val="490C1CEF"/>
    <w:rsid w:val="49107A31"/>
    <w:rsid w:val="491364B1"/>
    <w:rsid w:val="49155047"/>
    <w:rsid w:val="49184B37"/>
    <w:rsid w:val="49211C3E"/>
    <w:rsid w:val="49351245"/>
    <w:rsid w:val="493C2BF3"/>
    <w:rsid w:val="493D00FA"/>
    <w:rsid w:val="493F20C4"/>
    <w:rsid w:val="49431C9B"/>
    <w:rsid w:val="49470F79"/>
    <w:rsid w:val="495F62C2"/>
    <w:rsid w:val="49681BE1"/>
    <w:rsid w:val="496833C9"/>
    <w:rsid w:val="4968786D"/>
    <w:rsid w:val="496B2EB9"/>
    <w:rsid w:val="496D4E83"/>
    <w:rsid w:val="497A30FC"/>
    <w:rsid w:val="497F0713"/>
    <w:rsid w:val="498A7FB7"/>
    <w:rsid w:val="499C3073"/>
    <w:rsid w:val="49A4372E"/>
    <w:rsid w:val="49BA799D"/>
    <w:rsid w:val="49BF6D61"/>
    <w:rsid w:val="49C36851"/>
    <w:rsid w:val="49CD76D0"/>
    <w:rsid w:val="49DE368B"/>
    <w:rsid w:val="49E669E4"/>
    <w:rsid w:val="49EC3FFA"/>
    <w:rsid w:val="49F25388"/>
    <w:rsid w:val="4A11580F"/>
    <w:rsid w:val="4A175E73"/>
    <w:rsid w:val="4A1E1CDA"/>
    <w:rsid w:val="4A431740"/>
    <w:rsid w:val="4A513E5D"/>
    <w:rsid w:val="4A525E27"/>
    <w:rsid w:val="4A600544"/>
    <w:rsid w:val="4A653DAC"/>
    <w:rsid w:val="4A677B24"/>
    <w:rsid w:val="4A6A3171"/>
    <w:rsid w:val="4A6A4F1F"/>
    <w:rsid w:val="4A8835F7"/>
    <w:rsid w:val="4A9B3185"/>
    <w:rsid w:val="4AAA5C63"/>
    <w:rsid w:val="4AAC3789"/>
    <w:rsid w:val="4AB443EC"/>
    <w:rsid w:val="4AB83EDC"/>
    <w:rsid w:val="4AB97C54"/>
    <w:rsid w:val="4ABA40F8"/>
    <w:rsid w:val="4ABF10E5"/>
    <w:rsid w:val="4ACE54AE"/>
    <w:rsid w:val="4AD52CE0"/>
    <w:rsid w:val="4AE747C1"/>
    <w:rsid w:val="4AEC1DD8"/>
    <w:rsid w:val="4AEE5B50"/>
    <w:rsid w:val="4AEE78FE"/>
    <w:rsid w:val="4B0B6702"/>
    <w:rsid w:val="4B11183E"/>
    <w:rsid w:val="4B133808"/>
    <w:rsid w:val="4B157580"/>
    <w:rsid w:val="4B3A2B43"/>
    <w:rsid w:val="4B447E66"/>
    <w:rsid w:val="4B475260"/>
    <w:rsid w:val="4B517E8D"/>
    <w:rsid w:val="4B58746D"/>
    <w:rsid w:val="4B6202EC"/>
    <w:rsid w:val="4B667DDC"/>
    <w:rsid w:val="4B6E0A3F"/>
    <w:rsid w:val="4B7F62CD"/>
    <w:rsid w:val="4B8D7117"/>
    <w:rsid w:val="4B991F60"/>
    <w:rsid w:val="4BA16207"/>
    <w:rsid w:val="4BA91A77"/>
    <w:rsid w:val="4BB723E6"/>
    <w:rsid w:val="4BBF584D"/>
    <w:rsid w:val="4BD42F98"/>
    <w:rsid w:val="4BEB208F"/>
    <w:rsid w:val="4BF278C2"/>
    <w:rsid w:val="4C0513A3"/>
    <w:rsid w:val="4C080E93"/>
    <w:rsid w:val="4C215AB1"/>
    <w:rsid w:val="4C2B14ED"/>
    <w:rsid w:val="4C303F46"/>
    <w:rsid w:val="4C3E6663"/>
    <w:rsid w:val="4C4B0D80"/>
    <w:rsid w:val="4C4D2D4A"/>
    <w:rsid w:val="4C516396"/>
    <w:rsid w:val="4C5639AD"/>
    <w:rsid w:val="4C5B351B"/>
    <w:rsid w:val="4C681932"/>
    <w:rsid w:val="4C714C8A"/>
    <w:rsid w:val="4C72630D"/>
    <w:rsid w:val="4C7515C6"/>
    <w:rsid w:val="4C820C46"/>
    <w:rsid w:val="4C83676C"/>
    <w:rsid w:val="4C853291"/>
    <w:rsid w:val="4C885B30"/>
    <w:rsid w:val="4C934C01"/>
    <w:rsid w:val="4C940979"/>
    <w:rsid w:val="4C9646F1"/>
    <w:rsid w:val="4C96649F"/>
    <w:rsid w:val="4CAA657F"/>
    <w:rsid w:val="4CAE1A3B"/>
    <w:rsid w:val="4CAF130F"/>
    <w:rsid w:val="4CB42DC9"/>
    <w:rsid w:val="4CB66B41"/>
    <w:rsid w:val="4CC90623"/>
    <w:rsid w:val="4CC96874"/>
    <w:rsid w:val="4CD37562"/>
    <w:rsid w:val="4CD46FC7"/>
    <w:rsid w:val="4CDE39A2"/>
    <w:rsid w:val="4CED0E58"/>
    <w:rsid w:val="4CFF4044"/>
    <w:rsid w:val="4D043409"/>
    <w:rsid w:val="4D0A29E9"/>
    <w:rsid w:val="4D1B0752"/>
    <w:rsid w:val="4D1D44CA"/>
    <w:rsid w:val="4D2515D1"/>
    <w:rsid w:val="4D29796A"/>
    <w:rsid w:val="4D375D03"/>
    <w:rsid w:val="4D397B3D"/>
    <w:rsid w:val="4D5325E2"/>
    <w:rsid w:val="4D5940D6"/>
    <w:rsid w:val="4D64659D"/>
    <w:rsid w:val="4D6C7200"/>
    <w:rsid w:val="4D752558"/>
    <w:rsid w:val="4D816D33"/>
    <w:rsid w:val="4D84279B"/>
    <w:rsid w:val="4D870842"/>
    <w:rsid w:val="4D907392"/>
    <w:rsid w:val="4D9549A9"/>
    <w:rsid w:val="4DAB7D28"/>
    <w:rsid w:val="4DBC0187"/>
    <w:rsid w:val="4DBC3CE3"/>
    <w:rsid w:val="4DCF7EBB"/>
    <w:rsid w:val="4DD252B5"/>
    <w:rsid w:val="4DD76070"/>
    <w:rsid w:val="4DDE5715"/>
    <w:rsid w:val="4DF0398D"/>
    <w:rsid w:val="4E05638D"/>
    <w:rsid w:val="4E0F02B7"/>
    <w:rsid w:val="4E0F475B"/>
    <w:rsid w:val="4E217FEA"/>
    <w:rsid w:val="4E2F2707"/>
    <w:rsid w:val="4E434405"/>
    <w:rsid w:val="4E465CA3"/>
    <w:rsid w:val="4E52289A"/>
    <w:rsid w:val="4E573A0C"/>
    <w:rsid w:val="4E604FB7"/>
    <w:rsid w:val="4E606D65"/>
    <w:rsid w:val="4E7C16C5"/>
    <w:rsid w:val="4E7E71EB"/>
    <w:rsid w:val="4E816CDB"/>
    <w:rsid w:val="4E854A1D"/>
    <w:rsid w:val="4E8567CB"/>
    <w:rsid w:val="4E8F31A6"/>
    <w:rsid w:val="4E916F1E"/>
    <w:rsid w:val="4E9E163B"/>
    <w:rsid w:val="4E9E788D"/>
    <w:rsid w:val="4EA36C51"/>
    <w:rsid w:val="4EB33338"/>
    <w:rsid w:val="4EC70B92"/>
    <w:rsid w:val="4ED27537"/>
    <w:rsid w:val="4ED65279"/>
    <w:rsid w:val="4EDB3979"/>
    <w:rsid w:val="4EE51018"/>
    <w:rsid w:val="4EE5726A"/>
    <w:rsid w:val="4EEF1E97"/>
    <w:rsid w:val="4EF13E61"/>
    <w:rsid w:val="4F02606E"/>
    <w:rsid w:val="4F0C2A48"/>
    <w:rsid w:val="4F10078B"/>
    <w:rsid w:val="4F31425D"/>
    <w:rsid w:val="4F330001"/>
    <w:rsid w:val="4F3501F1"/>
    <w:rsid w:val="4F482496"/>
    <w:rsid w:val="4F495A4B"/>
    <w:rsid w:val="4F4F0B87"/>
    <w:rsid w:val="4F846A83"/>
    <w:rsid w:val="4F876573"/>
    <w:rsid w:val="4F8E345D"/>
    <w:rsid w:val="4F960564"/>
    <w:rsid w:val="4F980780"/>
    <w:rsid w:val="4FA03191"/>
    <w:rsid w:val="4FB21842"/>
    <w:rsid w:val="4FB76E58"/>
    <w:rsid w:val="4FD35314"/>
    <w:rsid w:val="4FDE2637"/>
    <w:rsid w:val="4FEE5126"/>
    <w:rsid w:val="4FF27E90"/>
    <w:rsid w:val="4FFA0AF3"/>
    <w:rsid w:val="4FFC2FB6"/>
    <w:rsid w:val="50023E45"/>
    <w:rsid w:val="501871CB"/>
    <w:rsid w:val="50191DB5"/>
    <w:rsid w:val="501A73E7"/>
    <w:rsid w:val="502142D2"/>
    <w:rsid w:val="5023004A"/>
    <w:rsid w:val="502913D8"/>
    <w:rsid w:val="50305133"/>
    <w:rsid w:val="503A275E"/>
    <w:rsid w:val="503B1BA2"/>
    <w:rsid w:val="50406E4E"/>
    <w:rsid w:val="50446212"/>
    <w:rsid w:val="50463D38"/>
    <w:rsid w:val="50476CA4"/>
    <w:rsid w:val="50485D02"/>
    <w:rsid w:val="504D50C7"/>
    <w:rsid w:val="50700DB5"/>
    <w:rsid w:val="507408A5"/>
    <w:rsid w:val="50760AC1"/>
    <w:rsid w:val="507B788B"/>
    <w:rsid w:val="50870B84"/>
    <w:rsid w:val="50895886"/>
    <w:rsid w:val="508A1E77"/>
    <w:rsid w:val="508D1E06"/>
    <w:rsid w:val="509251CF"/>
    <w:rsid w:val="50966A6E"/>
    <w:rsid w:val="509E1DC6"/>
    <w:rsid w:val="50A32F39"/>
    <w:rsid w:val="50A82C45"/>
    <w:rsid w:val="50C3182D"/>
    <w:rsid w:val="50EB7673"/>
    <w:rsid w:val="50ED2406"/>
    <w:rsid w:val="50EF2622"/>
    <w:rsid w:val="50F419E6"/>
    <w:rsid w:val="510734C7"/>
    <w:rsid w:val="51121E6C"/>
    <w:rsid w:val="511D718F"/>
    <w:rsid w:val="5124051D"/>
    <w:rsid w:val="51256043"/>
    <w:rsid w:val="51340035"/>
    <w:rsid w:val="514E559A"/>
    <w:rsid w:val="514F30C0"/>
    <w:rsid w:val="51512B01"/>
    <w:rsid w:val="515661FD"/>
    <w:rsid w:val="515B3813"/>
    <w:rsid w:val="5167040A"/>
    <w:rsid w:val="516923D4"/>
    <w:rsid w:val="518C7E71"/>
    <w:rsid w:val="51AA7C07"/>
    <w:rsid w:val="51B00003"/>
    <w:rsid w:val="51C969CF"/>
    <w:rsid w:val="51DD06CC"/>
    <w:rsid w:val="51EB52DB"/>
    <w:rsid w:val="51FD48CA"/>
    <w:rsid w:val="5209326F"/>
    <w:rsid w:val="521340EE"/>
    <w:rsid w:val="5217598C"/>
    <w:rsid w:val="521C2FA3"/>
    <w:rsid w:val="52384A5B"/>
    <w:rsid w:val="523A5B1F"/>
    <w:rsid w:val="52426781"/>
    <w:rsid w:val="52524C16"/>
    <w:rsid w:val="52592449"/>
    <w:rsid w:val="526A6404"/>
    <w:rsid w:val="527E5A0B"/>
    <w:rsid w:val="52A86F2C"/>
    <w:rsid w:val="52CB6E2F"/>
    <w:rsid w:val="52E00474"/>
    <w:rsid w:val="52EB0BC7"/>
    <w:rsid w:val="52EB366E"/>
    <w:rsid w:val="530C1269"/>
    <w:rsid w:val="532A6688"/>
    <w:rsid w:val="5334431C"/>
    <w:rsid w:val="53424C8B"/>
    <w:rsid w:val="53435031"/>
    <w:rsid w:val="534A1D91"/>
    <w:rsid w:val="536015B5"/>
    <w:rsid w:val="5367649F"/>
    <w:rsid w:val="537868FE"/>
    <w:rsid w:val="537C0582"/>
    <w:rsid w:val="5382777D"/>
    <w:rsid w:val="539725B9"/>
    <w:rsid w:val="53A70F92"/>
    <w:rsid w:val="53AC47FA"/>
    <w:rsid w:val="53B13BBE"/>
    <w:rsid w:val="53BA0CC5"/>
    <w:rsid w:val="53D004E8"/>
    <w:rsid w:val="53E421E6"/>
    <w:rsid w:val="53E53868"/>
    <w:rsid w:val="53EA0E7E"/>
    <w:rsid w:val="53F32429"/>
    <w:rsid w:val="54040192"/>
    <w:rsid w:val="54081BCB"/>
    <w:rsid w:val="54177EC5"/>
    <w:rsid w:val="54180096"/>
    <w:rsid w:val="542425E2"/>
    <w:rsid w:val="542B1BC3"/>
    <w:rsid w:val="54336CC9"/>
    <w:rsid w:val="5435659E"/>
    <w:rsid w:val="543D36A4"/>
    <w:rsid w:val="544D2950"/>
    <w:rsid w:val="545F7ABE"/>
    <w:rsid w:val="5463135D"/>
    <w:rsid w:val="54686973"/>
    <w:rsid w:val="54696247"/>
    <w:rsid w:val="54740489"/>
    <w:rsid w:val="549C486F"/>
    <w:rsid w:val="549E05E7"/>
    <w:rsid w:val="54A159E1"/>
    <w:rsid w:val="54A61249"/>
    <w:rsid w:val="54A6749B"/>
    <w:rsid w:val="54AB6860"/>
    <w:rsid w:val="54BC6CBF"/>
    <w:rsid w:val="54C16083"/>
    <w:rsid w:val="54C85664"/>
    <w:rsid w:val="54C94F38"/>
    <w:rsid w:val="54E57FC4"/>
    <w:rsid w:val="552F56E3"/>
    <w:rsid w:val="55434CEA"/>
    <w:rsid w:val="554A0174"/>
    <w:rsid w:val="554F368F"/>
    <w:rsid w:val="555C7B5A"/>
    <w:rsid w:val="55684751"/>
    <w:rsid w:val="55777DA6"/>
    <w:rsid w:val="557B4484"/>
    <w:rsid w:val="55801A9A"/>
    <w:rsid w:val="5588094F"/>
    <w:rsid w:val="55A03EEB"/>
    <w:rsid w:val="55B224B4"/>
    <w:rsid w:val="55BE25C3"/>
    <w:rsid w:val="55F06C20"/>
    <w:rsid w:val="55F3226C"/>
    <w:rsid w:val="55F34962"/>
    <w:rsid w:val="55F935FB"/>
    <w:rsid w:val="56130B60"/>
    <w:rsid w:val="56150435"/>
    <w:rsid w:val="56260894"/>
    <w:rsid w:val="5641068D"/>
    <w:rsid w:val="56542847"/>
    <w:rsid w:val="56625644"/>
    <w:rsid w:val="566C201F"/>
    <w:rsid w:val="56764C4B"/>
    <w:rsid w:val="56794E67"/>
    <w:rsid w:val="567D5FDA"/>
    <w:rsid w:val="56811F6E"/>
    <w:rsid w:val="5689497F"/>
    <w:rsid w:val="56927CD7"/>
    <w:rsid w:val="569357FD"/>
    <w:rsid w:val="569C3054"/>
    <w:rsid w:val="56A1616C"/>
    <w:rsid w:val="56AA1FF0"/>
    <w:rsid w:val="56AD2D63"/>
    <w:rsid w:val="56B22127"/>
    <w:rsid w:val="56C37E91"/>
    <w:rsid w:val="56C87B9D"/>
    <w:rsid w:val="56D06A51"/>
    <w:rsid w:val="56D241F0"/>
    <w:rsid w:val="56D77DE0"/>
    <w:rsid w:val="56DC0F52"/>
    <w:rsid w:val="572172AD"/>
    <w:rsid w:val="572B3C88"/>
    <w:rsid w:val="57323268"/>
    <w:rsid w:val="573A3ECB"/>
    <w:rsid w:val="574134AB"/>
    <w:rsid w:val="5753390A"/>
    <w:rsid w:val="57601B83"/>
    <w:rsid w:val="57623B4D"/>
    <w:rsid w:val="576378C6"/>
    <w:rsid w:val="57776ECD"/>
    <w:rsid w:val="577E46FF"/>
    <w:rsid w:val="57827D4C"/>
    <w:rsid w:val="57834D7F"/>
    <w:rsid w:val="57911D3D"/>
    <w:rsid w:val="579161E1"/>
    <w:rsid w:val="579B2BBB"/>
    <w:rsid w:val="57A557E8"/>
    <w:rsid w:val="57BD5228"/>
    <w:rsid w:val="57BE68AA"/>
    <w:rsid w:val="57BF2D4E"/>
    <w:rsid w:val="57C2283E"/>
    <w:rsid w:val="57CC63EF"/>
    <w:rsid w:val="57DB4020"/>
    <w:rsid w:val="57DC7774"/>
    <w:rsid w:val="57DF4272"/>
    <w:rsid w:val="57EC78BB"/>
    <w:rsid w:val="57F935C5"/>
    <w:rsid w:val="57FB365A"/>
    <w:rsid w:val="58005114"/>
    <w:rsid w:val="5805272B"/>
    <w:rsid w:val="581A4428"/>
    <w:rsid w:val="581B5AAA"/>
    <w:rsid w:val="58354DBE"/>
    <w:rsid w:val="583B7EFB"/>
    <w:rsid w:val="585D4315"/>
    <w:rsid w:val="5866141B"/>
    <w:rsid w:val="58810003"/>
    <w:rsid w:val="5889510A"/>
    <w:rsid w:val="589917F1"/>
    <w:rsid w:val="58A261CC"/>
    <w:rsid w:val="58A75590"/>
    <w:rsid w:val="58A837E2"/>
    <w:rsid w:val="58B8779D"/>
    <w:rsid w:val="58C223CA"/>
    <w:rsid w:val="58D36385"/>
    <w:rsid w:val="58E10AA2"/>
    <w:rsid w:val="58E30C85"/>
    <w:rsid w:val="58EF1411"/>
    <w:rsid w:val="59091DA7"/>
    <w:rsid w:val="590B5B1F"/>
    <w:rsid w:val="591A3FB4"/>
    <w:rsid w:val="593F5D7F"/>
    <w:rsid w:val="594554D5"/>
    <w:rsid w:val="59594ADC"/>
    <w:rsid w:val="59851D75"/>
    <w:rsid w:val="598633F7"/>
    <w:rsid w:val="59875AED"/>
    <w:rsid w:val="598B6C60"/>
    <w:rsid w:val="59A0270B"/>
    <w:rsid w:val="59C7413C"/>
    <w:rsid w:val="59CC52AE"/>
    <w:rsid w:val="59D423B5"/>
    <w:rsid w:val="59D81EA5"/>
    <w:rsid w:val="59D95C1D"/>
    <w:rsid w:val="59DE4FE1"/>
    <w:rsid w:val="59FE5684"/>
    <w:rsid w:val="59FE7432"/>
    <w:rsid w:val="5A032C9A"/>
    <w:rsid w:val="5A07278A"/>
    <w:rsid w:val="5A137381"/>
    <w:rsid w:val="5A174DC0"/>
    <w:rsid w:val="5A1D1FAE"/>
    <w:rsid w:val="5A2E7D17"/>
    <w:rsid w:val="5A2F1CE1"/>
    <w:rsid w:val="5A3317D1"/>
    <w:rsid w:val="5A366BCB"/>
    <w:rsid w:val="5A405C9C"/>
    <w:rsid w:val="5A4412E8"/>
    <w:rsid w:val="5A462403"/>
    <w:rsid w:val="5A490FF5"/>
    <w:rsid w:val="5A584D94"/>
    <w:rsid w:val="5A5A4FB0"/>
    <w:rsid w:val="5A673229"/>
    <w:rsid w:val="5A696FA1"/>
    <w:rsid w:val="5A871B1D"/>
    <w:rsid w:val="5A8B6F17"/>
    <w:rsid w:val="5A9B1124"/>
    <w:rsid w:val="5AB0697E"/>
    <w:rsid w:val="5ABA5A4E"/>
    <w:rsid w:val="5AC57B92"/>
    <w:rsid w:val="5AD85ED5"/>
    <w:rsid w:val="5AD92379"/>
    <w:rsid w:val="5ADC59C5"/>
    <w:rsid w:val="5ADC7773"/>
    <w:rsid w:val="5AE14D89"/>
    <w:rsid w:val="5AF727FF"/>
    <w:rsid w:val="5AFE3B8D"/>
    <w:rsid w:val="5B022F52"/>
    <w:rsid w:val="5B0647F0"/>
    <w:rsid w:val="5B123195"/>
    <w:rsid w:val="5B242EC8"/>
    <w:rsid w:val="5B305D11"/>
    <w:rsid w:val="5B351579"/>
    <w:rsid w:val="5B392E17"/>
    <w:rsid w:val="5B44356A"/>
    <w:rsid w:val="5B461090"/>
    <w:rsid w:val="5B4B3E18"/>
    <w:rsid w:val="5B4D0671"/>
    <w:rsid w:val="5B593964"/>
    <w:rsid w:val="5B5A2D8E"/>
    <w:rsid w:val="5B5B595C"/>
    <w:rsid w:val="5B5E287E"/>
    <w:rsid w:val="5B6065F6"/>
    <w:rsid w:val="5B61236E"/>
    <w:rsid w:val="5B6F4A8B"/>
    <w:rsid w:val="5B81031A"/>
    <w:rsid w:val="5B8F47E5"/>
    <w:rsid w:val="5B914A01"/>
    <w:rsid w:val="5BA815A4"/>
    <w:rsid w:val="5BB47AA6"/>
    <w:rsid w:val="5BB93F58"/>
    <w:rsid w:val="5BBA3472"/>
    <w:rsid w:val="5BBE59AB"/>
    <w:rsid w:val="5BC621D1"/>
    <w:rsid w:val="5BF605E3"/>
    <w:rsid w:val="5C001B87"/>
    <w:rsid w:val="5C052CF9"/>
    <w:rsid w:val="5C076A71"/>
    <w:rsid w:val="5C090A3C"/>
    <w:rsid w:val="5C0A0310"/>
    <w:rsid w:val="5C0C22DA"/>
    <w:rsid w:val="5C237623"/>
    <w:rsid w:val="5C245875"/>
    <w:rsid w:val="5C2C297C"/>
    <w:rsid w:val="5C3E620B"/>
    <w:rsid w:val="5C447CC6"/>
    <w:rsid w:val="5C476060"/>
    <w:rsid w:val="5C4A2E02"/>
    <w:rsid w:val="5C4F02C9"/>
    <w:rsid w:val="5C537F09"/>
    <w:rsid w:val="5C5F065B"/>
    <w:rsid w:val="5C69772C"/>
    <w:rsid w:val="5C6A7000"/>
    <w:rsid w:val="5C700ABB"/>
    <w:rsid w:val="5C7560D1"/>
    <w:rsid w:val="5C7D4F86"/>
    <w:rsid w:val="5C871960"/>
    <w:rsid w:val="5C896E54"/>
    <w:rsid w:val="5CA16EC6"/>
    <w:rsid w:val="5CB32755"/>
    <w:rsid w:val="5CBC5AAE"/>
    <w:rsid w:val="5CC22998"/>
    <w:rsid w:val="5CDB3A5A"/>
    <w:rsid w:val="5CE62C96"/>
    <w:rsid w:val="5CE70032"/>
    <w:rsid w:val="5CED163F"/>
    <w:rsid w:val="5CF8460C"/>
    <w:rsid w:val="5CFF1E3E"/>
    <w:rsid w:val="5D027239"/>
    <w:rsid w:val="5D09046B"/>
    <w:rsid w:val="5D122BD6"/>
    <w:rsid w:val="5D131446"/>
    <w:rsid w:val="5D18758E"/>
    <w:rsid w:val="5D1A0A26"/>
    <w:rsid w:val="5D1A1118"/>
    <w:rsid w:val="5D2418A5"/>
    <w:rsid w:val="5D243653"/>
    <w:rsid w:val="5D252223"/>
    <w:rsid w:val="5D3E4715"/>
    <w:rsid w:val="5D465377"/>
    <w:rsid w:val="5D537A94"/>
    <w:rsid w:val="5D5A52C7"/>
    <w:rsid w:val="5D5D7784"/>
    <w:rsid w:val="5D6323CD"/>
    <w:rsid w:val="5D740137"/>
    <w:rsid w:val="5D795630"/>
    <w:rsid w:val="5D804CA3"/>
    <w:rsid w:val="5D811ACF"/>
    <w:rsid w:val="5D885990"/>
    <w:rsid w:val="5D9205BD"/>
    <w:rsid w:val="5D942587"/>
    <w:rsid w:val="5D944335"/>
    <w:rsid w:val="5D964551"/>
    <w:rsid w:val="5D9702C9"/>
    <w:rsid w:val="5D972077"/>
    <w:rsid w:val="5DA64068"/>
    <w:rsid w:val="5DA84284"/>
    <w:rsid w:val="5DB70023"/>
    <w:rsid w:val="5DCD5A99"/>
    <w:rsid w:val="5DD60DF1"/>
    <w:rsid w:val="5DD93833"/>
    <w:rsid w:val="5DE0757A"/>
    <w:rsid w:val="5DEA21A7"/>
    <w:rsid w:val="5E08087F"/>
    <w:rsid w:val="5E0D2339"/>
    <w:rsid w:val="5E0E058B"/>
    <w:rsid w:val="5E1E00A2"/>
    <w:rsid w:val="5E282CE5"/>
    <w:rsid w:val="5E331DA0"/>
    <w:rsid w:val="5E377A24"/>
    <w:rsid w:val="5E4A0E97"/>
    <w:rsid w:val="5E7B72A3"/>
    <w:rsid w:val="5E96232F"/>
    <w:rsid w:val="5EA04F5B"/>
    <w:rsid w:val="5EA53FE0"/>
    <w:rsid w:val="5EB01642"/>
    <w:rsid w:val="5EB237E6"/>
    <w:rsid w:val="5EBB5C3E"/>
    <w:rsid w:val="5EBE7352"/>
    <w:rsid w:val="5EC62C14"/>
    <w:rsid w:val="5EC7698C"/>
    <w:rsid w:val="5ED03A93"/>
    <w:rsid w:val="5ED30E8D"/>
    <w:rsid w:val="5ED54C05"/>
    <w:rsid w:val="5ED679F2"/>
    <w:rsid w:val="5EF45F29"/>
    <w:rsid w:val="5F072DE8"/>
    <w:rsid w:val="5F1C6CD8"/>
    <w:rsid w:val="5F1D47FE"/>
    <w:rsid w:val="5F21609C"/>
    <w:rsid w:val="5F217E4A"/>
    <w:rsid w:val="5F36141C"/>
    <w:rsid w:val="5F3F4774"/>
    <w:rsid w:val="5F4104EC"/>
    <w:rsid w:val="5F4A2EEB"/>
    <w:rsid w:val="5F4C175E"/>
    <w:rsid w:val="5F4E6765"/>
    <w:rsid w:val="5F586DE4"/>
    <w:rsid w:val="5F70492E"/>
    <w:rsid w:val="5F73441E"/>
    <w:rsid w:val="5F88611B"/>
    <w:rsid w:val="5FA40A7B"/>
    <w:rsid w:val="5FA6034F"/>
    <w:rsid w:val="5FA665A1"/>
    <w:rsid w:val="5FC37153"/>
    <w:rsid w:val="5FC627A0"/>
    <w:rsid w:val="5FCB425A"/>
    <w:rsid w:val="5FCE38DA"/>
    <w:rsid w:val="5FCF3D4A"/>
    <w:rsid w:val="5FEA46E0"/>
    <w:rsid w:val="5FEC2C62"/>
    <w:rsid w:val="60206354"/>
    <w:rsid w:val="605424A1"/>
    <w:rsid w:val="605B738C"/>
    <w:rsid w:val="6065020A"/>
    <w:rsid w:val="606F72DB"/>
    <w:rsid w:val="60730B79"/>
    <w:rsid w:val="60795A64"/>
    <w:rsid w:val="607B17DC"/>
    <w:rsid w:val="607B7A2E"/>
    <w:rsid w:val="608D150F"/>
    <w:rsid w:val="608E48E7"/>
    <w:rsid w:val="609E54CA"/>
    <w:rsid w:val="60A52CFD"/>
    <w:rsid w:val="60AC408B"/>
    <w:rsid w:val="60C767CF"/>
    <w:rsid w:val="60DB04CD"/>
    <w:rsid w:val="60E73121"/>
    <w:rsid w:val="610417D1"/>
    <w:rsid w:val="61047A23"/>
    <w:rsid w:val="61073070"/>
    <w:rsid w:val="610A7787"/>
    <w:rsid w:val="61151C31"/>
    <w:rsid w:val="6126799A"/>
    <w:rsid w:val="612956DC"/>
    <w:rsid w:val="613C71BD"/>
    <w:rsid w:val="61412A26"/>
    <w:rsid w:val="61442516"/>
    <w:rsid w:val="61475B62"/>
    <w:rsid w:val="61497B2C"/>
    <w:rsid w:val="614B11AE"/>
    <w:rsid w:val="61500EBB"/>
    <w:rsid w:val="615C33BC"/>
    <w:rsid w:val="61750921"/>
    <w:rsid w:val="619A3EE4"/>
    <w:rsid w:val="61A86601"/>
    <w:rsid w:val="61AB60F1"/>
    <w:rsid w:val="61AD1E69"/>
    <w:rsid w:val="61B2122D"/>
    <w:rsid w:val="61BD70DF"/>
    <w:rsid w:val="61CB22EF"/>
    <w:rsid w:val="61EE5FDE"/>
    <w:rsid w:val="61F2259B"/>
    <w:rsid w:val="61F25ACE"/>
    <w:rsid w:val="61F335F4"/>
    <w:rsid w:val="61F47A98"/>
    <w:rsid w:val="61F730E4"/>
    <w:rsid w:val="61F8665C"/>
    <w:rsid w:val="620F48D2"/>
    <w:rsid w:val="622F6D22"/>
    <w:rsid w:val="623205C0"/>
    <w:rsid w:val="623A1223"/>
    <w:rsid w:val="623B56C7"/>
    <w:rsid w:val="623E6F65"/>
    <w:rsid w:val="62414951"/>
    <w:rsid w:val="62436329"/>
    <w:rsid w:val="624502F4"/>
    <w:rsid w:val="624A3B5C"/>
    <w:rsid w:val="625247BE"/>
    <w:rsid w:val="62606EDB"/>
    <w:rsid w:val="62634C1E"/>
    <w:rsid w:val="62774225"/>
    <w:rsid w:val="627D6E20"/>
    <w:rsid w:val="6280757E"/>
    <w:rsid w:val="629D3C8C"/>
    <w:rsid w:val="62A212A2"/>
    <w:rsid w:val="62A56FE4"/>
    <w:rsid w:val="62A96AD4"/>
    <w:rsid w:val="62AC2121"/>
    <w:rsid w:val="62AE48A0"/>
    <w:rsid w:val="62AF7E63"/>
    <w:rsid w:val="62BE3C02"/>
    <w:rsid w:val="62C61FA6"/>
    <w:rsid w:val="62D578C9"/>
    <w:rsid w:val="62DA4EE0"/>
    <w:rsid w:val="62E0001C"/>
    <w:rsid w:val="62EA2C49"/>
    <w:rsid w:val="62EC69C1"/>
    <w:rsid w:val="63051FDB"/>
    <w:rsid w:val="630930CF"/>
    <w:rsid w:val="630E06E5"/>
    <w:rsid w:val="632E0D88"/>
    <w:rsid w:val="634E08C7"/>
    <w:rsid w:val="63604CB9"/>
    <w:rsid w:val="636522D0"/>
    <w:rsid w:val="63A4104A"/>
    <w:rsid w:val="63AB23D8"/>
    <w:rsid w:val="63B3128D"/>
    <w:rsid w:val="63B53257"/>
    <w:rsid w:val="63BE035D"/>
    <w:rsid w:val="63C60FC0"/>
    <w:rsid w:val="63C811DC"/>
    <w:rsid w:val="63CF256B"/>
    <w:rsid w:val="63D96D36"/>
    <w:rsid w:val="63E43B3C"/>
    <w:rsid w:val="63E458EA"/>
    <w:rsid w:val="63FA3360"/>
    <w:rsid w:val="63FF0976"/>
    <w:rsid w:val="643E149E"/>
    <w:rsid w:val="644A1BF1"/>
    <w:rsid w:val="64634A61"/>
    <w:rsid w:val="646F1658"/>
    <w:rsid w:val="64872E45"/>
    <w:rsid w:val="648F1CFA"/>
    <w:rsid w:val="64942E6C"/>
    <w:rsid w:val="649D162B"/>
    <w:rsid w:val="64A01BE6"/>
    <w:rsid w:val="64AF5EF8"/>
    <w:rsid w:val="64BE25DF"/>
    <w:rsid w:val="64C5396E"/>
    <w:rsid w:val="64E262CE"/>
    <w:rsid w:val="652C28D7"/>
    <w:rsid w:val="65493C57"/>
    <w:rsid w:val="65510DF4"/>
    <w:rsid w:val="655B7E2E"/>
    <w:rsid w:val="656C5B97"/>
    <w:rsid w:val="65703BA0"/>
    <w:rsid w:val="657131AE"/>
    <w:rsid w:val="65736F26"/>
    <w:rsid w:val="657B402C"/>
    <w:rsid w:val="659A6BA8"/>
    <w:rsid w:val="65A76BCF"/>
    <w:rsid w:val="65CC4888"/>
    <w:rsid w:val="65D107EA"/>
    <w:rsid w:val="65E47E23"/>
    <w:rsid w:val="65EE2A50"/>
    <w:rsid w:val="660065E3"/>
    <w:rsid w:val="66061B48"/>
    <w:rsid w:val="661324B7"/>
    <w:rsid w:val="66154481"/>
    <w:rsid w:val="661C580F"/>
    <w:rsid w:val="6623094C"/>
    <w:rsid w:val="66344907"/>
    <w:rsid w:val="66372649"/>
    <w:rsid w:val="66391F1D"/>
    <w:rsid w:val="66415276"/>
    <w:rsid w:val="66434B4A"/>
    <w:rsid w:val="66466136"/>
    <w:rsid w:val="66482160"/>
    <w:rsid w:val="665A00E6"/>
    <w:rsid w:val="665C5C0C"/>
    <w:rsid w:val="66664CDC"/>
    <w:rsid w:val="666D1BC7"/>
    <w:rsid w:val="666F593F"/>
    <w:rsid w:val="667E2026"/>
    <w:rsid w:val="66884C53"/>
    <w:rsid w:val="66952ECC"/>
    <w:rsid w:val="669929BC"/>
    <w:rsid w:val="669B4986"/>
    <w:rsid w:val="669B6734"/>
    <w:rsid w:val="66A01F9C"/>
    <w:rsid w:val="66B07D06"/>
    <w:rsid w:val="66B138A8"/>
    <w:rsid w:val="66BB5028"/>
    <w:rsid w:val="66C13CC1"/>
    <w:rsid w:val="66CA7019"/>
    <w:rsid w:val="66D165FA"/>
    <w:rsid w:val="66DC6D4D"/>
    <w:rsid w:val="66EC3434"/>
    <w:rsid w:val="66EF6A80"/>
    <w:rsid w:val="66F0766F"/>
    <w:rsid w:val="66F45E44"/>
    <w:rsid w:val="66F67E0E"/>
    <w:rsid w:val="66F916AD"/>
    <w:rsid w:val="66F9345B"/>
    <w:rsid w:val="67087B42"/>
    <w:rsid w:val="67177D85"/>
    <w:rsid w:val="671D539B"/>
    <w:rsid w:val="67204E8B"/>
    <w:rsid w:val="672C55DE"/>
    <w:rsid w:val="67346B89"/>
    <w:rsid w:val="673D3C8F"/>
    <w:rsid w:val="67430B7A"/>
    <w:rsid w:val="67582877"/>
    <w:rsid w:val="677551D7"/>
    <w:rsid w:val="677E3DFE"/>
    <w:rsid w:val="67966EFB"/>
    <w:rsid w:val="679A34D2"/>
    <w:rsid w:val="67BF46A4"/>
    <w:rsid w:val="67C47F0C"/>
    <w:rsid w:val="67D30150"/>
    <w:rsid w:val="67D5211A"/>
    <w:rsid w:val="67D53EC8"/>
    <w:rsid w:val="67FF7197"/>
    <w:rsid w:val="6804655B"/>
    <w:rsid w:val="680D3662"/>
    <w:rsid w:val="681662CF"/>
    <w:rsid w:val="681A7B2C"/>
    <w:rsid w:val="681F1498"/>
    <w:rsid w:val="682B7F8C"/>
    <w:rsid w:val="683A1F7D"/>
    <w:rsid w:val="683F57E5"/>
    <w:rsid w:val="684828EC"/>
    <w:rsid w:val="684D7F02"/>
    <w:rsid w:val="68636378"/>
    <w:rsid w:val="68646FFA"/>
    <w:rsid w:val="686F7E78"/>
    <w:rsid w:val="68713911"/>
    <w:rsid w:val="687A05CB"/>
    <w:rsid w:val="6894168D"/>
    <w:rsid w:val="689618A9"/>
    <w:rsid w:val="689E250C"/>
    <w:rsid w:val="68A51AEC"/>
    <w:rsid w:val="68A815DC"/>
    <w:rsid w:val="68B00491"/>
    <w:rsid w:val="68B3790B"/>
    <w:rsid w:val="68C301C4"/>
    <w:rsid w:val="68C44BDE"/>
    <w:rsid w:val="68C50152"/>
    <w:rsid w:val="68C67E6E"/>
    <w:rsid w:val="68C83AFF"/>
    <w:rsid w:val="68C8445A"/>
    <w:rsid w:val="68D67EF7"/>
    <w:rsid w:val="68D93544"/>
    <w:rsid w:val="68DC4DE2"/>
    <w:rsid w:val="68EA5751"/>
    <w:rsid w:val="68FC5484"/>
    <w:rsid w:val="690507DD"/>
    <w:rsid w:val="69085BD7"/>
    <w:rsid w:val="691B590A"/>
    <w:rsid w:val="69272501"/>
    <w:rsid w:val="692A3D9F"/>
    <w:rsid w:val="693D709C"/>
    <w:rsid w:val="694110E9"/>
    <w:rsid w:val="69455F80"/>
    <w:rsid w:val="694D7A8E"/>
    <w:rsid w:val="69584DB0"/>
    <w:rsid w:val="69587F90"/>
    <w:rsid w:val="696C260A"/>
    <w:rsid w:val="69782D5D"/>
    <w:rsid w:val="697B04CD"/>
    <w:rsid w:val="697B0A9F"/>
    <w:rsid w:val="698536CB"/>
    <w:rsid w:val="69961435"/>
    <w:rsid w:val="699D03FB"/>
    <w:rsid w:val="699F29DF"/>
    <w:rsid w:val="69A6711C"/>
    <w:rsid w:val="69AE49D0"/>
    <w:rsid w:val="69B30239"/>
    <w:rsid w:val="69BA1237"/>
    <w:rsid w:val="69BB533F"/>
    <w:rsid w:val="69C97A5C"/>
    <w:rsid w:val="69D106BF"/>
    <w:rsid w:val="69F30635"/>
    <w:rsid w:val="69F34AD9"/>
    <w:rsid w:val="69F745C9"/>
    <w:rsid w:val="6A0171F6"/>
    <w:rsid w:val="6A0E36C1"/>
    <w:rsid w:val="6A262C10"/>
    <w:rsid w:val="6A2E5F52"/>
    <w:rsid w:val="6A3C1FDC"/>
    <w:rsid w:val="6A445335"/>
    <w:rsid w:val="6A4E7F61"/>
    <w:rsid w:val="6A4F6E29"/>
    <w:rsid w:val="6A521800"/>
    <w:rsid w:val="6A554E4C"/>
    <w:rsid w:val="6A5E4190"/>
    <w:rsid w:val="6A5F3F1C"/>
    <w:rsid w:val="6A624A2F"/>
    <w:rsid w:val="6A6B0B13"/>
    <w:rsid w:val="6A7E25F5"/>
    <w:rsid w:val="6A845731"/>
    <w:rsid w:val="6A927E4E"/>
    <w:rsid w:val="6A994E17"/>
    <w:rsid w:val="6A9D076F"/>
    <w:rsid w:val="6AAB3FE1"/>
    <w:rsid w:val="6AAE27AE"/>
    <w:rsid w:val="6AB9187F"/>
    <w:rsid w:val="6ABA55F7"/>
    <w:rsid w:val="6AC81AC2"/>
    <w:rsid w:val="6AD2649C"/>
    <w:rsid w:val="6ADA17F5"/>
    <w:rsid w:val="6ADF1441"/>
    <w:rsid w:val="6AE00865"/>
    <w:rsid w:val="6AE13680"/>
    <w:rsid w:val="6AEF704E"/>
    <w:rsid w:val="6AFB3C45"/>
    <w:rsid w:val="6B0625EA"/>
    <w:rsid w:val="6B0B7C00"/>
    <w:rsid w:val="6B15282D"/>
    <w:rsid w:val="6B225676"/>
    <w:rsid w:val="6B2C2051"/>
    <w:rsid w:val="6B4A6F94"/>
    <w:rsid w:val="6B513865"/>
    <w:rsid w:val="6B5B0B88"/>
    <w:rsid w:val="6B5E41D4"/>
    <w:rsid w:val="6B601CFA"/>
    <w:rsid w:val="6B60619E"/>
    <w:rsid w:val="6B6F4633"/>
    <w:rsid w:val="6B735ED1"/>
    <w:rsid w:val="6B945E48"/>
    <w:rsid w:val="6BA53BB1"/>
    <w:rsid w:val="6BA65274"/>
    <w:rsid w:val="6BA75B7B"/>
    <w:rsid w:val="6BA77929"/>
    <w:rsid w:val="6BBB56E5"/>
    <w:rsid w:val="6BC9093E"/>
    <w:rsid w:val="6BD44496"/>
    <w:rsid w:val="6BDB75D3"/>
    <w:rsid w:val="6BE96194"/>
    <w:rsid w:val="6BEC17E0"/>
    <w:rsid w:val="6BF14874"/>
    <w:rsid w:val="6BF568E6"/>
    <w:rsid w:val="6C0E79A8"/>
    <w:rsid w:val="6C136D6D"/>
    <w:rsid w:val="6C1440A9"/>
    <w:rsid w:val="6C1A634D"/>
    <w:rsid w:val="6C1F1BB5"/>
    <w:rsid w:val="6C2947E2"/>
    <w:rsid w:val="6C2F085B"/>
    <w:rsid w:val="6C3118E9"/>
    <w:rsid w:val="6C445178"/>
    <w:rsid w:val="6C4C04D0"/>
    <w:rsid w:val="6C53185F"/>
    <w:rsid w:val="6C6A0C76"/>
    <w:rsid w:val="6C726189"/>
    <w:rsid w:val="6C727F37"/>
    <w:rsid w:val="6C735A5D"/>
    <w:rsid w:val="6C7A3290"/>
    <w:rsid w:val="6C8639E2"/>
    <w:rsid w:val="6C8D2FC3"/>
    <w:rsid w:val="6C9854C4"/>
    <w:rsid w:val="6C9C6D62"/>
    <w:rsid w:val="6CA95923"/>
    <w:rsid w:val="6CAC6597"/>
    <w:rsid w:val="6CBD3914"/>
    <w:rsid w:val="6CBF0CA2"/>
    <w:rsid w:val="6CC462B9"/>
    <w:rsid w:val="6CC87B57"/>
    <w:rsid w:val="6CCA5E4B"/>
    <w:rsid w:val="6CCD7863"/>
    <w:rsid w:val="6CD429A0"/>
    <w:rsid w:val="6CEB5F3B"/>
    <w:rsid w:val="6D116E29"/>
    <w:rsid w:val="6D1F1741"/>
    <w:rsid w:val="6D237483"/>
    <w:rsid w:val="6D2C27DC"/>
    <w:rsid w:val="6D4E1734"/>
    <w:rsid w:val="6D617FAC"/>
    <w:rsid w:val="6D6A3304"/>
    <w:rsid w:val="6D837F22"/>
    <w:rsid w:val="6D8723F0"/>
    <w:rsid w:val="6D8E53ED"/>
    <w:rsid w:val="6D8F2D6B"/>
    <w:rsid w:val="6D9D5488"/>
    <w:rsid w:val="6D9D7236"/>
    <w:rsid w:val="6DA22A9E"/>
    <w:rsid w:val="6DB602F7"/>
    <w:rsid w:val="6DB66549"/>
    <w:rsid w:val="6DC26C9C"/>
    <w:rsid w:val="6DCF3167"/>
    <w:rsid w:val="6DE035C6"/>
    <w:rsid w:val="6DE22E9A"/>
    <w:rsid w:val="6DE85FD7"/>
    <w:rsid w:val="6DF332FA"/>
    <w:rsid w:val="6DF42BCE"/>
    <w:rsid w:val="6DF8052E"/>
    <w:rsid w:val="6DFC5763"/>
    <w:rsid w:val="6E0077C5"/>
    <w:rsid w:val="6E032E11"/>
    <w:rsid w:val="6E056D59"/>
    <w:rsid w:val="6E0C43BB"/>
    <w:rsid w:val="6E2D74A0"/>
    <w:rsid w:val="6E337B9A"/>
    <w:rsid w:val="6E362EDC"/>
    <w:rsid w:val="6E3B6A4F"/>
    <w:rsid w:val="6E421B8B"/>
    <w:rsid w:val="6E8421A4"/>
    <w:rsid w:val="6E8A2F09"/>
    <w:rsid w:val="6E8E4DD0"/>
    <w:rsid w:val="6E9C74ED"/>
    <w:rsid w:val="6EB26D11"/>
    <w:rsid w:val="6EC46A44"/>
    <w:rsid w:val="6EE42C42"/>
    <w:rsid w:val="6EE449F0"/>
    <w:rsid w:val="6EEB2223"/>
    <w:rsid w:val="6EF47329"/>
    <w:rsid w:val="6EF94940"/>
    <w:rsid w:val="6EF966EE"/>
    <w:rsid w:val="6EFF7A7C"/>
    <w:rsid w:val="6F084B83"/>
    <w:rsid w:val="6F1E7F02"/>
    <w:rsid w:val="6F265009"/>
    <w:rsid w:val="6F285225"/>
    <w:rsid w:val="6F291470"/>
    <w:rsid w:val="6F3239AE"/>
    <w:rsid w:val="6F377216"/>
    <w:rsid w:val="6F3C65DA"/>
    <w:rsid w:val="6F481F3A"/>
    <w:rsid w:val="6F484F7F"/>
    <w:rsid w:val="6F4F4560"/>
    <w:rsid w:val="6F534EE9"/>
    <w:rsid w:val="6F573414"/>
    <w:rsid w:val="6F767D3E"/>
    <w:rsid w:val="6F975F07"/>
    <w:rsid w:val="6FAF3250"/>
    <w:rsid w:val="6FB5C77F"/>
    <w:rsid w:val="6FBB1BF5"/>
    <w:rsid w:val="6FBD0161"/>
    <w:rsid w:val="6FD26F3F"/>
    <w:rsid w:val="6FD3541F"/>
    <w:rsid w:val="6FE81251"/>
    <w:rsid w:val="6FEB7F51"/>
    <w:rsid w:val="6FF354DE"/>
    <w:rsid w:val="6FFD045F"/>
    <w:rsid w:val="700F4D60"/>
    <w:rsid w:val="70293003"/>
    <w:rsid w:val="70294DB1"/>
    <w:rsid w:val="705B5186"/>
    <w:rsid w:val="707B407D"/>
    <w:rsid w:val="70860455"/>
    <w:rsid w:val="708E2E66"/>
    <w:rsid w:val="70904E30"/>
    <w:rsid w:val="709A5CAE"/>
    <w:rsid w:val="709B37D5"/>
    <w:rsid w:val="70A1528F"/>
    <w:rsid w:val="70B07280"/>
    <w:rsid w:val="70B76860"/>
    <w:rsid w:val="70C364EC"/>
    <w:rsid w:val="70C40F7D"/>
    <w:rsid w:val="70CC1BE0"/>
    <w:rsid w:val="70CE3BAA"/>
    <w:rsid w:val="70D3496E"/>
    <w:rsid w:val="70DC0075"/>
    <w:rsid w:val="70DC0935"/>
    <w:rsid w:val="70E138DD"/>
    <w:rsid w:val="70E909E4"/>
    <w:rsid w:val="70EC6259"/>
    <w:rsid w:val="71265794"/>
    <w:rsid w:val="71267542"/>
    <w:rsid w:val="712F423E"/>
    <w:rsid w:val="71324139"/>
    <w:rsid w:val="713F0604"/>
    <w:rsid w:val="714300F4"/>
    <w:rsid w:val="714F6A99"/>
    <w:rsid w:val="71502811"/>
    <w:rsid w:val="715220E5"/>
    <w:rsid w:val="71573B9F"/>
    <w:rsid w:val="7157594D"/>
    <w:rsid w:val="715C0F73"/>
    <w:rsid w:val="716167CC"/>
    <w:rsid w:val="71687B5B"/>
    <w:rsid w:val="7177563A"/>
    <w:rsid w:val="71777D9E"/>
    <w:rsid w:val="717B788E"/>
    <w:rsid w:val="717C7162"/>
    <w:rsid w:val="717E737E"/>
    <w:rsid w:val="718235A0"/>
    <w:rsid w:val="718A7AD1"/>
    <w:rsid w:val="71956476"/>
    <w:rsid w:val="71AA3CCF"/>
    <w:rsid w:val="71B33DA4"/>
    <w:rsid w:val="71B72890"/>
    <w:rsid w:val="71C254BD"/>
    <w:rsid w:val="71CA1ADE"/>
    <w:rsid w:val="71D074AE"/>
    <w:rsid w:val="71D21478"/>
    <w:rsid w:val="71D376CA"/>
    <w:rsid w:val="71E13469"/>
    <w:rsid w:val="71EC42E8"/>
    <w:rsid w:val="71ED0060"/>
    <w:rsid w:val="720C498A"/>
    <w:rsid w:val="72127AC6"/>
    <w:rsid w:val="72141A90"/>
    <w:rsid w:val="722872EA"/>
    <w:rsid w:val="722A12B4"/>
    <w:rsid w:val="722C0B88"/>
    <w:rsid w:val="723932A5"/>
    <w:rsid w:val="723B526F"/>
    <w:rsid w:val="724177ED"/>
    <w:rsid w:val="72452140"/>
    <w:rsid w:val="7249173A"/>
    <w:rsid w:val="725F4402"/>
    <w:rsid w:val="7269693D"/>
    <w:rsid w:val="726A5CB0"/>
    <w:rsid w:val="72716128"/>
    <w:rsid w:val="727367B7"/>
    <w:rsid w:val="729606F7"/>
    <w:rsid w:val="72A050D2"/>
    <w:rsid w:val="72A76216"/>
    <w:rsid w:val="72AB5F51"/>
    <w:rsid w:val="72B55050"/>
    <w:rsid w:val="72B94E61"/>
    <w:rsid w:val="72BE4276"/>
    <w:rsid w:val="72E27499"/>
    <w:rsid w:val="72E67114"/>
    <w:rsid w:val="72F0605A"/>
    <w:rsid w:val="72FA0C86"/>
    <w:rsid w:val="73165394"/>
    <w:rsid w:val="73336329"/>
    <w:rsid w:val="73552361"/>
    <w:rsid w:val="7355410F"/>
    <w:rsid w:val="735C36EF"/>
    <w:rsid w:val="7379778A"/>
    <w:rsid w:val="737A1DC7"/>
    <w:rsid w:val="73813156"/>
    <w:rsid w:val="7391153E"/>
    <w:rsid w:val="73927111"/>
    <w:rsid w:val="73966C01"/>
    <w:rsid w:val="739C1D3D"/>
    <w:rsid w:val="73A34E7A"/>
    <w:rsid w:val="73A82490"/>
    <w:rsid w:val="73B01345"/>
    <w:rsid w:val="73C21122"/>
    <w:rsid w:val="73D96AEE"/>
    <w:rsid w:val="73E21E46"/>
    <w:rsid w:val="73F751C6"/>
    <w:rsid w:val="73F92CEC"/>
    <w:rsid w:val="7405403A"/>
    <w:rsid w:val="74081181"/>
    <w:rsid w:val="740F0761"/>
    <w:rsid w:val="741714DE"/>
    <w:rsid w:val="742A559B"/>
    <w:rsid w:val="74343D24"/>
    <w:rsid w:val="74602D6B"/>
    <w:rsid w:val="746960C4"/>
    <w:rsid w:val="746A5998"/>
    <w:rsid w:val="74793E2D"/>
    <w:rsid w:val="74A40EAA"/>
    <w:rsid w:val="74A621C9"/>
    <w:rsid w:val="74BA06CD"/>
    <w:rsid w:val="74C652C4"/>
    <w:rsid w:val="74D72FBD"/>
    <w:rsid w:val="74DD0860"/>
    <w:rsid w:val="74DD616A"/>
    <w:rsid w:val="74EC0AA3"/>
    <w:rsid w:val="74EE481B"/>
    <w:rsid w:val="74F040EF"/>
    <w:rsid w:val="74F636CF"/>
    <w:rsid w:val="74F6547D"/>
    <w:rsid w:val="74FF07D6"/>
    <w:rsid w:val="74FF2584"/>
    <w:rsid w:val="75091655"/>
    <w:rsid w:val="750C6A4F"/>
    <w:rsid w:val="751D2A0A"/>
    <w:rsid w:val="75232716"/>
    <w:rsid w:val="752B50A4"/>
    <w:rsid w:val="752D42B7"/>
    <w:rsid w:val="7533222E"/>
    <w:rsid w:val="75454A9D"/>
    <w:rsid w:val="75610B49"/>
    <w:rsid w:val="75640639"/>
    <w:rsid w:val="757F36C5"/>
    <w:rsid w:val="758E56B6"/>
    <w:rsid w:val="75932CCC"/>
    <w:rsid w:val="75A2558A"/>
    <w:rsid w:val="75A66EA3"/>
    <w:rsid w:val="75B82733"/>
    <w:rsid w:val="75B90985"/>
    <w:rsid w:val="75BA64AB"/>
    <w:rsid w:val="75C615D3"/>
    <w:rsid w:val="75D21A46"/>
    <w:rsid w:val="75DE1617"/>
    <w:rsid w:val="75EB48B6"/>
    <w:rsid w:val="75EF43A6"/>
    <w:rsid w:val="75FE45EA"/>
    <w:rsid w:val="76004A08"/>
    <w:rsid w:val="76085468"/>
    <w:rsid w:val="762322A2"/>
    <w:rsid w:val="763132FC"/>
    <w:rsid w:val="76375D4D"/>
    <w:rsid w:val="763C3364"/>
    <w:rsid w:val="764A3CD3"/>
    <w:rsid w:val="764A782F"/>
    <w:rsid w:val="764F54F5"/>
    <w:rsid w:val="76564426"/>
    <w:rsid w:val="765863F0"/>
    <w:rsid w:val="765B7C8E"/>
    <w:rsid w:val="76640ECB"/>
    <w:rsid w:val="766E26D2"/>
    <w:rsid w:val="7671300D"/>
    <w:rsid w:val="76766876"/>
    <w:rsid w:val="767C19B2"/>
    <w:rsid w:val="767E397C"/>
    <w:rsid w:val="76820AEE"/>
    <w:rsid w:val="76944F4E"/>
    <w:rsid w:val="76984A3E"/>
    <w:rsid w:val="76A83044"/>
    <w:rsid w:val="76AE4262"/>
    <w:rsid w:val="76B70C36"/>
    <w:rsid w:val="76BB24DB"/>
    <w:rsid w:val="76C03F95"/>
    <w:rsid w:val="76C27D0D"/>
    <w:rsid w:val="76E00193"/>
    <w:rsid w:val="76EF03D6"/>
    <w:rsid w:val="76F12BB2"/>
    <w:rsid w:val="76FD0D45"/>
    <w:rsid w:val="76FF686B"/>
    <w:rsid w:val="7706409E"/>
    <w:rsid w:val="771542E1"/>
    <w:rsid w:val="77277B70"/>
    <w:rsid w:val="772A140E"/>
    <w:rsid w:val="772E7150"/>
    <w:rsid w:val="77304C77"/>
    <w:rsid w:val="7731279D"/>
    <w:rsid w:val="773B361B"/>
    <w:rsid w:val="77446974"/>
    <w:rsid w:val="774510F2"/>
    <w:rsid w:val="77530965"/>
    <w:rsid w:val="77560455"/>
    <w:rsid w:val="775F656B"/>
    <w:rsid w:val="77660698"/>
    <w:rsid w:val="776C14F0"/>
    <w:rsid w:val="77701517"/>
    <w:rsid w:val="77764653"/>
    <w:rsid w:val="778154D2"/>
    <w:rsid w:val="7783749C"/>
    <w:rsid w:val="77843214"/>
    <w:rsid w:val="77894387"/>
    <w:rsid w:val="778B00FF"/>
    <w:rsid w:val="77972015"/>
    <w:rsid w:val="779E422C"/>
    <w:rsid w:val="779F1DFC"/>
    <w:rsid w:val="779F3BAA"/>
    <w:rsid w:val="77A411C1"/>
    <w:rsid w:val="77AB07A1"/>
    <w:rsid w:val="77B04009"/>
    <w:rsid w:val="77B32A7B"/>
    <w:rsid w:val="77C74EAF"/>
    <w:rsid w:val="77D870BC"/>
    <w:rsid w:val="77E141C3"/>
    <w:rsid w:val="77E872FF"/>
    <w:rsid w:val="77EF68E0"/>
    <w:rsid w:val="77F43EF6"/>
    <w:rsid w:val="77F8480C"/>
    <w:rsid w:val="78006D3F"/>
    <w:rsid w:val="78041EA1"/>
    <w:rsid w:val="78061E7B"/>
    <w:rsid w:val="780B7492"/>
    <w:rsid w:val="781A5071"/>
    <w:rsid w:val="781C2EF4"/>
    <w:rsid w:val="781E71C5"/>
    <w:rsid w:val="782347DB"/>
    <w:rsid w:val="782C7B34"/>
    <w:rsid w:val="78414C61"/>
    <w:rsid w:val="784309DA"/>
    <w:rsid w:val="784A7FBA"/>
    <w:rsid w:val="784C4C29"/>
    <w:rsid w:val="78746DE5"/>
    <w:rsid w:val="7880578A"/>
    <w:rsid w:val="78866B18"/>
    <w:rsid w:val="7892370F"/>
    <w:rsid w:val="78A3591C"/>
    <w:rsid w:val="78A70F68"/>
    <w:rsid w:val="78AD22F7"/>
    <w:rsid w:val="78B10039"/>
    <w:rsid w:val="78BB4A14"/>
    <w:rsid w:val="78C7785D"/>
    <w:rsid w:val="78C80EDF"/>
    <w:rsid w:val="78CA10FB"/>
    <w:rsid w:val="78CF4963"/>
    <w:rsid w:val="78D14237"/>
    <w:rsid w:val="78D6184E"/>
    <w:rsid w:val="78EA6C59"/>
    <w:rsid w:val="78F41CD4"/>
    <w:rsid w:val="79075EAB"/>
    <w:rsid w:val="790F485A"/>
    <w:rsid w:val="790F4D60"/>
    <w:rsid w:val="79134850"/>
    <w:rsid w:val="7919798C"/>
    <w:rsid w:val="791F1447"/>
    <w:rsid w:val="79200D1B"/>
    <w:rsid w:val="79273E57"/>
    <w:rsid w:val="7927654D"/>
    <w:rsid w:val="79381A3D"/>
    <w:rsid w:val="79393B8B"/>
    <w:rsid w:val="794B3FEA"/>
    <w:rsid w:val="794C1B10"/>
    <w:rsid w:val="795A247F"/>
    <w:rsid w:val="7964030A"/>
    <w:rsid w:val="796E7CD8"/>
    <w:rsid w:val="797057FE"/>
    <w:rsid w:val="79782905"/>
    <w:rsid w:val="797C23F5"/>
    <w:rsid w:val="79870D9A"/>
    <w:rsid w:val="798968C0"/>
    <w:rsid w:val="798E3ED6"/>
    <w:rsid w:val="79984D55"/>
    <w:rsid w:val="799A6D1F"/>
    <w:rsid w:val="79A74F98"/>
    <w:rsid w:val="79B0209F"/>
    <w:rsid w:val="79C1605A"/>
    <w:rsid w:val="79CB0C87"/>
    <w:rsid w:val="79CF4D7C"/>
    <w:rsid w:val="79D55FA9"/>
    <w:rsid w:val="79DF4732"/>
    <w:rsid w:val="79E104AA"/>
    <w:rsid w:val="79E955B1"/>
    <w:rsid w:val="79EE2BC7"/>
    <w:rsid w:val="7A0348C4"/>
    <w:rsid w:val="7A0917AF"/>
    <w:rsid w:val="7A0D5743"/>
    <w:rsid w:val="7A150154"/>
    <w:rsid w:val="7A1F0FD2"/>
    <w:rsid w:val="7A410F49"/>
    <w:rsid w:val="7A432F13"/>
    <w:rsid w:val="7A4901E0"/>
    <w:rsid w:val="7A5830EB"/>
    <w:rsid w:val="7A5F5873"/>
    <w:rsid w:val="7A6D1D3E"/>
    <w:rsid w:val="7A7237F8"/>
    <w:rsid w:val="7A792DD8"/>
    <w:rsid w:val="7A835A05"/>
    <w:rsid w:val="7A97325F"/>
    <w:rsid w:val="7AA716F4"/>
    <w:rsid w:val="7ABB6F4D"/>
    <w:rsid w:val="7AC04563"/>
    <w:rsid w:val="7AC322A6"/>
    <w:rsid w:val="7AC53928"/>
    <w:rsid w:val="7ACE4ED2"/>
    <w:rsid w:val="7AE364A4"/>
    <w:rsid w:val="7AEA338E"/>
    <w:rsid w:val="7AF406B1"/>
    <w:rsid w:val="7AF661D7"/>
    <w:rsid w:val="7AF67F85"/>
    <w:rsid w:val="7AFB559C"/>
    <w:rsid w:val="7B060B3E"/>
    <w:rsid w:val="7B113011"/>
    <w:rsid w:val="7B3F7B7E"/>
    <w:rsid w:val="7B42766E"/>
    <w:rsid w:val="7B4A02D1"/>
    <w:rsid w:val="7B5A6766"/>
    <w:rsid w:val="7B694BFB"/>
    <w:rsid w:val="7B6C6499"/>
    <w:rsid w:val="7B76172D"/>
    <w:rsid w:val="7B8437E3"/>
    <w:rsid w:val="7B86755B"/>
    <w:rsid w:val="7B9559F0"/>
    <w:rsid w:val="7B9A4DB4"/>
    <w:rsid w:val="7BA43E85"/>
    <w:rsid w:val="7BB045D8"/>
    <w:rsid w:val="7BB302F8"/>
    <w:rsid w:val="7BB340C8"/>
    <w:rsid w:val="7BE6624C"/>
    <w:rsid w:val="7BFA3AA5"/>
    <w:rsid w:val="7BFD5343"/>
    <w:rsid w:val="7C232FFC"/>
    <w:rsid w:val="7C374CF9"/>
    <w:rsid w:val="7C3D6ED4"/>
    <w:rsid w:val="7C480CB4"/>
    <w:rsid w:val="7C4F2043"/>
    <w:rsid w:val="7C534DFF"/>
    <w:rsid w:val="7C5C02BC"/>
    <w:rsid w:val="7C5F7DAC"/>
    <w:rsid w:val="7C705B15"/>
    <w:rsid w:val="7C8617DD"/>
    <w:rsid w:val="7C9537CE"/>
    <w:rsid w:val="7C991510"/>
    <w:rsid w:val="7CA26617"/>
    <w:rsid w:val="7CA67789"/>
    <w:rsid w:val="7CAF6B09"/>
    <w:rsid w:val="7CC054FB"/>
    <w:rsid w:val="7CC55E61"/>
    <w:rsid w:val="7CC7607D"/>
    <w:rsid w:val="7CC876FF"/>
    <w:rsid w:val="7CCC3693"/>
    <w:rsid w:val="7CDE5175"/>
    <w:rsid w:val="7CE04A49"/>
    <w:rsid w:val="7CE3278B"/>
    <w:rsid w:val="7CE54755"/>
    <w:rsid w:val="7CF16C56"/>
    <w:rsid w:val="7D0270B5"/>
    <w:rsid w:val="7D0D15B6"/>
    <w:rsid w:val="7D126BCC"/>
    <w:rsid w:val="7D2A12C1"/>
    <w:rsid w:val="7D2D1C58"/>
    <w:rsid w:val="7D2E7EAA"/>
    <w:rsid w:val="7D360B0D"/>
    <w:rsid w:val="7D40373A"/>
    <w:rsid w:val="7D592A4D"/>
    <w:rsid w:val="7D5E24C1"/>
    <w:rsid w:val="7D6733BC"/>
    <w:rsid w:val="7D6E474B"/>
    <w:rsid w:val="7D7D04EA"/>
    <w:rsid w:val="7D7D498E"/>
    <w:rsid w:val="7D9F2B56"/>
    <w:rsid w:val="7DA261A2"/>
    <w:rsid w:val="7DA4409C"/>
    <w:rsid w:val="7DB008BF"/>
    <w:rsid w:val="7DB52379"/>
    <w:rsid w:val="7DC66335"/>
    <w:rsid w:val="7DDD367E"/>
    <w:rsid w:val="7DE4244E"/>
    <w:rsid w:val="7DEB7B49"/>
    <w:rsid w:val="7DF10ED8"/>
    <w:rsid w:val="7DF26E3A"/>
    <w:rsid w:val="7DF369FE"/>
    <w:rsid w:val="7DFA4230"/>
    <w:rsid w:val="7DFC3B04"/>
    <w:rsid w:val="7E0276DF"/>
    <w:rsid w:val="7E0429B9"/>
    <w:rsid w:val="7E0B3D48"/>
    <w:rsid w:val="7E0D5D12"/>
    <w:rsid w:val="7E12157A"/>
    <w:rsid w:val="7E132BFC"/>
    <w:rsid w:val="7E1626EC"/>
    <w:rsid w:val="7E192908"/>
    <w:rsid w:val="7E1C5F55"/>
    <w:rsid w:val="7E2412AD"/>
    <w:rsid w:val="7E260B81"/>
    <w:rsid w:val="7E290672"/>
    <w:rsid w:val="7E3314F0"/>
    <w:rsid w:val="7E38629C"/>
    <w:rsid w:val="7E3E411D"/>
    <w:rsid w:val="7E4159BB"/>
    <w:rsid w:val="7E53749D"/>
    <w:rsid w:val="7E543940"/>
    <w:rsid w:val="7E5576B9"/>
    <w:rsid w:val="7E573431"/>
    <w:rsid w:val="7E576F8D"/>
    <w:rsid w:val="7E5A4CCF"/>
    <w:rsid w:val="7E61605D"/>
    <w:rsid w:val="7E696CC0"/>
    <w:rsid w:val="7E8D6E52"/>
    <w:rsid w:val="7EAB1087"/>
    <w:rsid w:val="7EAD3051"/>
    <w:rsid w:val="7EB10D93"/>
    <w:rsid w:val="7EBB576E"/>
    <w:rsid w:val="7EBC7738"/>
    <w:rsid w:val="7EDC56E4"/>
    <w:rsid w:val="7EE73102"/>
    <w:rsid w:val="7F0F40ED"/>
    <w:rsid w:val="7F141322"/>
    <w:rsid w:val="7F1B445E"/>
    <w:rsid w:val="7F2C666B"/>
    <w:rsid w:val="7F323556"/>
    <w:rsid w:val="7F4A6AF1"/>
    <w:rsid w:val="7F4E0519"/>
    <w:rsid w:val="7F604567"/>
    <w:rsid w:val="7F6106E9"/>
    <w:rsid w:val="7F623E3B"/>
    <w:rsid w:val="7F805B09"/>
    <w:rsid w:val="7F862F7E"/>
    <w:rsid w:val="7F8813C8"/>
    <w:rsid w:val="7F8A3392"/>
    <w:rsid w:val="7F8A5140"/>
    <w:rsid w:val="7F8F6BFA"/>
    <w:rsid w:val="7F967F89"/>
    <w:rsid w:val="7F9E0BEB"/>
    <w:rsid w:val="7FB3085A"/>
    <w:rsid w:val="7FB64187"/>
    <w:rsid w:val="7FBF128D"/>
    <w:rsid w:val="7FC20D7E"/>
    <w:rsid w:val="7FC468A4"/>
    <w:rsid w:val="7FD10FC1"/>
    <w:rsid w:val="7FE505C8"/>
    <w:rsid w:val="7FE9630A"/>
    <w:rsid w:val="7FF52F01"/>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qFormat/>
    <w:uiPriority w:val="1"/>
    <w:pPr>
      <w:ind w:left="9" w:right="122"/>
      <w:jc w:val="center"/>
      <w:outlineLvl w:val="0"/>
    </w:pPr>
    <w:rPr>
      <w:sz w:val="36"/>
      <w:szCs w:val="84"/>
    </w:rPr>
  </w:style>
  <w:style w:type="paragraph" w:styleId="3">
    <w:name w:val="heading 2"/>
    <w:basedOn w:val="1"/>
    <w:next w:val="1"/>
    <w:qFormat/>
    <w:uiPriority w:val="0"/>
    <w:pPr>
      <w:spacing w:before="100" w:beforeAutospacing="1" w:after="100" w:afterAutospacing="1"/>
      <w:outlineLvl w:val="1"/>
    </w:pPr>
    <w:rPr>
      <w:rFonts w:hint="eastAsia" w:ascii="宋体" w:hAnsi="宋体" w:eastAsia="宋体" w:cs="Times New Roman"/>
      <w:b/>
      <w:bCs/>
      <w:sz w:val="36"/>
      <w:szCs w:val="36"/>
      <w:lang w:eastAsia="zh-CN"/>
    </w:rPr>
  </w:style>
  <w:style w:type="paragraph" w:styleId="4">
    <w:name w:val="heading 3"/>
    <w:basedOn w:val="1"/>
    <w:next w:val="1"/>
    <w:qFormat/>
    <w:uiPriority w:val="1"/>
    <w:pPr>
      <w:spacing w:before="113"/>
      <w:ind w:left="8"/>
      <w:jc w:val="center"/>
      <w:outlineLvl w:val="2"/>
    </w:pPr>
    <w:rPr>
      <w:sz w:val="32"/>
      <w:szCs w:val="36"/>
    </w:rPr>
  </w:style>
  <w:style w:type="paragraph" w:styleId="5">
    <w:name w:val="heading 4"/>
    <w:basedOn w:val="1"/>
    <w:next w:val="6"/>
    <w:qFormat/>
    <w:uiPriority w:val="0"/>
    <w:pPr>
      <w:keepNext/>
      <w:keepLines/>
      <w:ind w:firstLine="420" w:firstLineChars="150"/>
      <w:outlineLvl w:val="3"/>
    </w:pPr>
    <w:rPr>
      <w:b/>
      <w:sz w:val="28"/>
      <w:szCs w:val="28"/>
    </w:rPr>
  </w:style>
  <w:style w:type="paragraph" w:styleId="7">
    <w:name w:val="heading 5"/>
    <w:basedOn w:val="1"/>
    <w:next w:val="6"/>
    <w:qFormat/>
    <w:uiPriority w:val="0"/>
    <w:pPr>
      <w:keepNext/>
      <w:outlineLvl w:val="4"/>
    </w:pPr>
    <w:rPr>
      <w:rFonts w:ascii="宋体"/>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8">
    <w:name w:val="toa heading"/>
    <w:basedOn w:val="1"/>
    <w:next w:val="1"/>
    <w:qFormat/>
    <w:uiPriority w:val="0"/>
    <w:pPr>
      <w:spacing w:before="120"/>
    </w:pPr>
    <w:rPr>
      <w:sz w:val="24"/>
    </w:rPr>
  </w:style>
  <w:style w:type="paragraph" w:styleId="9">
    <w:name w:val="annotation text"/>
    <w:basedOn w:val="1"/>
    <w:link w:val="106"/>
    <w:semiHidden/>
    <w:qFormat/>
    <w:uiPriority w:val="0"/>
    <w:rPr>
      <w:rFonts w:ascii="Calibri" w:hAnsi="Calibri" w:eastAsia="宋体"/>
      <w:szCs w:val="24"/>
    </w:rPr>
  </w:style>
  <w:style w:type="paragraph" w:styleId="10">
    <w:name w:val="Body Text"/>
    <w:basedOn w:val="1"/>
    <w:next w:val="11"/>
    <w:semiHidden/>
    <w:qFormat/>
    <w:uiPriority w:val="0"/>
    <w:rPr>
      <w:rFonts w:ascii="仿宋" w:hAnsi="仿宋" w:eastAsia="仿宋" w:cs="仿宋"/>
      <w:sz w:val="35"/>
      <w:szCs w:val="35"/>
    </w:rPr>
  </w:style>
  <w:style w:type="paragraph" w:styleId="11">
    <w:name w:val="Body Text 2"/>
    <w:basedOn w:val="1"/>
    <w:qFormat/>
    <w:uiPriority w:val="0"/>
    <w:pPr>
      <w:spacing w:line="360" w:lineRule="atLeast"/>
      <w:jc w:val="center"/>
    </w:pPr>
    <w:rPr>
      <w:rFonts w:ascii="仿宋_GB2312" w:hAnsi="Dotum" w:eastAsia="仿宋_GB2312" w:cs="Times New Roman"/>
      <w:sz w:val="28"/>
    </w:rPr>
  </w:style>
  <w:style w:type="paragraph" w:styleId="12">
    <w:name w:val="Body Text Indent"/>
    <w:basedOn w:val="1"/>
    <w:next w:val="1"/>
    <w:qFormat/>
    <w:uiPriority w:val="0"/>
    <w:pPr>
      <w:ind w:firstLine="540"/>
    </w:pPr>
    <w:rPr>
      <w:rFonts w:eastAsia="方正仿宋_GB2312"/>
      <w:sz w:val="28"/>
      <w:szCs w:val="28"/>
    </w:rPr>
  </w:style>
  <w:style w:type="paragraph" w:styleId="13">
    <w:name w:val="toc 3"/>
    <w:basedOn w:val="1"/>
    <w:next w:val="1"/>
    <w:qFormat/>
    <w:uiPriority w:val="0"/>
    <w:pPr>
      <w:ind w:left="840" w:leftChars="400"/>
    </w:pPr>
  </w:style>
  <w:style w:type="paragraph" w:styleId="14">
    <w:name w:val="Plain Text"/>
    <w:basedOn w:val="1"/>
    <w:unhideWhenUsed/>
    <w:qFormat/>
    <w:uiPriority w:val="99"/>
    <w:pPr>
      <w:autoSpaceDE/>
      <w:autoSpaceDN/>
      <w:jc w:val="both"/>
    </w:pPr>
    <w:rPr>
      <w:rFonts w:hAnsi="Courier New" w:cs="Times New Roman"/>
      <w:kern w:val="2"/>
      <w:szCs w:val="20"/>
      <w:lang w:eastAsia="zh-CN"/>
    </w:rPr>
  </w:style>
  <w:style w:type="paragraph" w:styleId="15">
    <w:name w:val="Balloon Text"/>
    <w:basedOn w:val="1"/>
    <w:link w:val="89"/>
    <w:qFormat/>
    <w:uiPriority w:val="0"/>
    <w:rPr>
      <w:sz w:val="18"/>
      <w:szCs w:val="18"/>
    </w:rPr>
  </w:style>
  <w:style w:type="paragraph" w:styleId="16">
    <w:name w:val="footer"/>
    <w:basedOn w:val="1"/>
    <w:qFormat/>
    <w:uiPriority w:val="0"/>
    <w:pPr>
      <w:tabs>
        <w:tab w:val="center" w:pos="4153"/>
        <w:tab w:val="right" w:pos="8306"/>
      </w:tabs>
    </w:pPr>
    <w:rPr>
      <w:sz w:val="18"/>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0"/>
  </w:style>
  <w:style w:type="paragraph" w:styleId="19">
    <w:name w:val="footnote text"/>
    <w:basedOn w:val="1"/>
    <w:semiHidden/>
    <w:qFormat/>
    <w:uiPriority w:val="0"/>
    <w:rPr>
      <w:rFonts w:ascii="Times New Roman" w:hAnsi="Times New Roman" w:eastAsia="宋体" w:cs="Times New Roman"/>
      <w:sz w:val="18"/>
      <w:szCs w:val="18"/>
    </w:rPr>
  </w:style>
  <w:style w:type="paragraph" w:styleId="20">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qFormat/>
    <w:uiPriority w:val="0"/>
    <w:pPr>
      <w:ind w:left="420" w:leftChars="200"/>
    </w:pPr>
  </w:style>
  <w:style w:type="paragraph" w:styleId="22">
    <w:name w:val="Normal (Web)"/>
    <w:basedOn w:val="1"/>
    <w:qFormat/>
    <w:uiPriority w:val="0"/>
    <w:pPr>
      <w:spacing w:before="100" w:beforeAutospacing="1" w:after="100" w:afterAutospacing="1"/>
    </w:pPr>
    <w:rPr>
      <w:rFonts w:cs="Times New Roman"/>
      <w:sz w:val="24"/>
      <w:lang w:eastAsia="zh-CN"/>
    </w:rPr>
  </w:style>
  <w:style w:type="paragraph" w:styleId="23">
    <w:name w:val="annotation subject"/>
    <w:basedOn w:val="9"/>
    <w:next w:val="9"/>
    <w:link w:val="107"/>
    <w:qFormat/>
    <w:uiPriority w:val="0"/>
    <w:rPr>
      <w:rFonts w:ascii="Arial" w:hAnsi="Arial" w:eastAsia="Arial"/>
      <w:b/>
      <w:bCs/>
      <w:szCs w:val="21"/>
    </w:rPr>
  </w:style>
  <w:style w:type="paragraph" w:styleId="24">
    <w:name w:val="Body Text First Indent"/>
    <w:basedOn w:val="10"/>
    <w:qFormat/>
    <w:uiPriority w:val="0"/>
    <w:pPr>
      <w:spacing w:line="360" w:lineRule="auto"/>
      <w:ind w:firstLine="200" w:firstLineChars="200"/>
    </w:pPr>
    <w:rPr>
      <w:rFonts w:ascii="仿宋_GB2312" w:eastAsia="仿宋_GB2312"/>
      <w:sz w:val="30"/>
      <w:szCs w:val="30"/>
    </w:rPr>
  </w:style>
  <w:style w:type="paragraph" w:styleId="25">
    <w:name w:val="Body Text First Indent 2"/>
    <w:basedOn w:val="12"/>
    <w:next w:val="24"/>
    <w:qFormat/>
    <w:uiPriority w:val="0"/>
    <w:pPr>
      <w:spacing w:after="120"/>
      <w:ind w:left="420" w:leftChars="200" w:firstLine="420" w:firstLineChars="200"/>
    </w:pPr>
    <w:rPr>
      <w:rFonts w:ascii="Times New Roman"/>
      <w:sz w:val="21"/>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basedOn w:val="28"/>
    <w:qFormat/>
    <w:uiPriority w:val="0"/>
    <w:rPr>
      <w:color w:val="0000FF"/>
      <w:u w:val="single"/>
    </w:rPr>
  </w:style>
  <w:style w:type="character" w:styleId="31">
    <w:name w:val="annotation reference"/>
    <w:basedOn w:val="28"/>
    <w:qFormat/>
    <w:uiPriority w:val="0"/>
    <w:rPr>
      <w:sz w:val="21"/>
      <w:szCs w:val="21"/>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仿宋" w:hAnsi="仿宋" w:eastAsia="仿宋" w:cs="仿宋"/>
      <w:sz w:val="23"/>
      <w:szCs w:val="23"/>
    </w:rPr>
  </w:style>
  <w:style w:type="paragraph" w:styleId="34">
    <w:name w:val="List Paragraph"/>
    <w:basedOn w:val="1"/>
    <w:qFormat/>
    <w:uiPriority w:val="1"/>
    <w:pPr>
      <w:ind w:left="1776" w:hanging="720"/>
    </w:pPr>
  </w:style>
  <w:style w:type="paragraph" w:customStyle="1" w:styleId="35">
    <w:name w:val="Table Paragraph"/>
    <w:basedOn w:val="1"/>
    <w:qFormat/>
    <w:uiPriority w:val="1"/>
  </w:style>
  <w:style w:type="paragraph" w:customStyle="1" w:styleId="36">
    <w:name w:val="样式1"/>
    <w:basedOn w:val="1"/>
    <w:qFormat/>
    <w:uiPriority w:val="99"/>
    <w:pPr>
      <w:tabs>
        <w:tab w:val="left" w:pos="540"/>
        <w:tab w:val="left" w:pos="900"/>
        <w:tab w:val="left" w:pos="2070"/>
        <w:tab w:val="left" w:pos="3150"/>
        <w:tab w:val="center" w:pos="5940"/>
        <w:tab w:val="right" w:pos="8100"/>
      </w:tabs>
      <w:wordWrap w:val="0"/>
      <w:overflowPunct w:val="0"/>
      <w:autoSpaceDE/>
      <w:autoSpaceDN/>
      <w:spacing w:before="120" w:after="120" w:line="360" w:lineRule="auto"/>
      <w:ind w:left="1155"/>
      <w:jc w:val="both"/>
    </w:pPr>
    <w:rPr>
      <w:rFonts w:cs="Times New Roman"/>
      <w:kern w:val="2"/>
      <w:szCs w:val="20"/>
      <w:lang w:eastAsia="zh-CN"/>
    </w:rPr>
  </w:style>
  <w:style w:type="character" w:customStyle="1" w:styleId="37">
    <w:name w:val="NormalCharacter"/>
    <w:link w:val="38"/>
    <w:semiHidden/>
    <w:qFormat/>
    <w:uiPriority w:val="0"/>
    <w:rPr>
      <w:rFonts w:ascii="Verdana" w:hAnsi="Verdana" w:eastAsia="仿宋_GB2312"/>
      <w:kern w:val="0"/>
      <w:sz w:val="24"/>
      <w:szCs w:val="20"/>
      <w:lang w:eastAsia="en-US"/>
    </w:rPr>
  </w:style>
  <w:style w:type="paragraph" w:customStyle="1" w:styleId="38">
    <w:name w:val="UserStyle_5"/>
    <w:basedOn w:val="1"/>
    <w:link w:val="37"/>
    <w:qFormat/>
    <w:uiPriority w:val="0"/>
    <w:pPr>
      <w:widowControl/>
      <w:spacing w:after="160" w:line="240" w:lineRule="exact"/>
      <w:jc w:val="left"/>
      <w:textAlignment w:val="baseline"/>
    </w:pPr>
  </w:style>
  <w:style w:type="paragraph" w:customStyle="1" w:styleId="39">
    <w:name w:val="UserStyle_20"/>
    <w:basedOn w:val="1"/>
    <w:link w:val="37"/>
    <w:qFormat/>
    <w:uiPriority w:val="0"/>
    <w:pPr>
      <w:spacing w:after="160" w:line="240" w:lineRule="exact"/>
      <w:jc w:val="left"/>
    </w:pPr>
    <w:rPr>
      <w:rFonts w:ascii="Verdana" w:hAnsi="Verdana" w:eastAsia="仿宋_GB2312"/>
      <w:kern w:val="0"/>
      <w:sz w:val="24"/>
      <w:szCs w:val="20"/>
      <w:lang w:eastAsia="en-US"/>
    </w:rPr>
  </w:style>
  <w:style w:type="character" w:customStyle="1" w:styleId="40">
    <w:name w:val="font41"/>
    <w:basedOn w:val="28"/>
    <w:qFormat/>
    <w:uiPriority w:val="0"/>
    <w:rPr>
      <w:rFonts w:hint="eastAsia" w:ascii="仿宋_GB2312" w:eastAsia="仿宋_GB2312" w:cs="仿宋_GB2312"/>
      <w:color w:val="305496"/>
      <w:sz w:val="24"/>
      <w:szCs w:val="24"/>
      <w:u w:val="none"/>
    </w:rPr>
  </w:style>
  <w:style w:type="character" w:customStyle="1" w:styleId="41">
    <w:name w:val="font51"/>
    <w:basedOn w:val="28"/>
    <w:qFormat/>
    <w:uiPriority w:val="0"/>
    <w:rPr>
      <w:rFonts w:ascii="Arial" w:hAnsi="Arial" w:cs="Arial"/>
      <w:color w:val="000000"/>
      <w:sz w:val="24"/>
      <w:szCs w:val="24"/>
      <w:u w:val="none"/>
    </w:rPr>
  </w:style>
  <w:style w:type="character" w:customStyle="1" w:styleId="42">
    <w:name w:val="font11"/>
    <w:basedOn w:val="28"/>
    <w:qFormat/>
    <w:uiPriority w:val="0"/>
    <w:rPr>
      <w:rFonts w:hint="eastAsia" w:ascii="仿宋_GB2312" w:eastAsia="仿宋_GB2312" w:cs="仿宋_GB2312"/>
      <w:color w:val="000000"/>
      <w:sz w:val="24"/>
      <w:szCs w:val="24"/>
      <w:u w:val="none"/>
    </w:rPr>
  </w:style>
  <w:style w:type="character" w:customStyle="1" w:styleId="43">
    <w:name w:val="font61"/>
    <w:basedOn w:val="28"/>
    <w:qFormat/>
    <w:uiPriority w:val="0"/>
    <w:rPr>
      <w:rFonts w:hint="eastAsia" w:ascii="宋体" w:hAnsi="宋体" w:eastAsia="宋体" w:cs="宋体"/>
      <w:color w:val="000000"/>
      <w:sz w:val="24"/>
      <w:szCs w:val="24"/>
      <w:u w:val="none"/>
    </w:rPr>
  </w:style>
  <w:style w:type="character" w:customStyle="1" w:styleId="44">
    <w:name w:val="font71"/>
    <w:basedOn w:val="28"/>
    <w:qFormat/>
    <w:uiPriority w:val="0"/>
    <w:rPr>
      <w:rFonts w:hint="default" w:ascii="Times New Roman" w:hAnsi="Times New Roman" w:cs="Times New Roman"/>
      <w:color w:val="000000"/>
      <w:sz w:val="24"/>
      <w:szCs w:val="24"/>
      <w:u w:val="none"/>
    </w:rPr>
  </w:style>
  <w:style w:type="character" w:customStyle="1" w:styleId="45">
    <w:name w:val="font21"/>
    <w:basedOn w:val="28"/>
    <w:qFormat/>
    <w:uiPriority w:val="0"/>
    <w:rPr>
      <w:rFonts w:hint="eastAsia" w:ascii="仿宋_GB2312" w:eastAsia="仿宋_GB2312" w:cs="仿宋_GB2312"/>
      <w:color w:val="000000"/>
      <w:sz w:val="24"/>
      <w:szCs w:val="24"/>
      <w:u w:val="none"/>
    </w:rPr>
  </w:style>
  <w:style w:type="character" w:customStyle="1" w:styleId="46">
    <w:name w:val="font81"/>
    <w:basedOn w:val="28"/>
    <w:qFormat/>
    <w:uiPriority w:val="0"/>
    <w:rPr>
      <w:rFonts w:ascii="Wingdings 2" w:hAnsi="Wingdings 2" w:eastAsia="Wingdings 2" w:cs="Wingdings 2"/>
      <w:color w:val="000000"/>
      <w:sz w:val="24"/>
      <w:szCs w:val="24"/>
      <w:u w:val="none"/>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0">
    <w:name w:val="Body text|1"/>
    <w:basedOn w:val="1"/>
    <w:qFormat/>
    <w:uiPriority w:val="0"/>
    <w:pPr>
      <w:spacing w:line="413" w:lineRule="auto"/>
      <w:ind w:firstLine="400"/>
    </w:pPr>
    <w:rPr>
      <w:rFonts w:ascii="宋体" w:hAnsi="宋体" w:cs="宋体"/>
      <w:sz w:val="20"/>
      <w:szCs w:val="20"/>
      <w:lang w:val="zh-TW" w:eastAsia="zh-TW" w:bidi="zh-TW"/>
    </w:rPr>
  </w:style>
  <w:style w:type="paragraph" w:customStyle="1" w:styleId="51">
    <w:name w:val="Normal Indent1"/>
    <w:basedOn w:val="1"/>
    <w:qFormat/>
    <w:uiPriority w:val="0"/>
    <w:pPr>
      <w:ind w:firstLine="420" w:firstLineChars="200"/>
    </w:pPr>
  </w:style>
  <w:style w:type="table" w:customStyle="1" w:styleId="52">
    <w:name w:val="Table Normal1"/>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5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正文_1_0"/>
    <w:basedOn w:val="55"/>
    <w:next w:val="80"/>
    <w:qFormat/>
    <w:uiPriority w:val="0"/>
  </w:style>
  <w:style w:type="paragraph" w:customStyle="1" w:styleId="55">
    <w:name w:val="正文_2_0_0"/>
    <w:basedOn w:val="56"/>
    <w:next w:val="77"/>
    <w:qFormat/>
    <w:uiPriority w:val="0"/>
    <w:rPr>
      <w:rFonts w:ascii="等线" w:hAnsi="等线"/>
    </w:rPr>
  </w:style>
  <w:style w:type="paragraph" w:customStyle="1" w:styleId="56">
    <w:name w:val="正文_3_1"/>
    <w:basedOn w:val="57"/>
    <w:next w:val="59"/>
    <w:qFormat/>
    <w:uiPriority w:val="0"/>
    <w:pPr>
      <w:widowControl w:val="0"/>
      <w:jc w:val="both"/>
    </w:pPr>
    <w:rPr>
      <w:rFonts w:ascii="Calibri" w:hAnsi="Calibri"/>
      <w:kern w:val="2"/>
      <w:sz w:val="21"/>
      <w:szCs w:val="22"/>
    </w:rPr>
  </w:style>
  <w:style w:type="paragraph" w:customStyle="1" w:styleId="57">
    <w:name w:val="Normal_0_1"/>
    <w:basedOn w:val="58"/>
    <w:qFormat/>
    <w:uiPriority w:val="0"/>
  </w:style>
  <w:style w:type="paragraph" w:customStyle="1" w:styleId="58">
    <w:name w:val="Normal_2"/>
    <w:qFormat/>
    <w:uiPriority w:val="0"/>
    <w:rPr>
      <w:rFonts w:ascii="黑体" w:hAnsi="黑体" w:eastAsia="黑体" w:cs="Times New Roman"/>
      <w:b/>
      <w:sz w:val="32"/>
      <w:szCs w:val="24"/>
      <w:lang w:val="en-US" w:eastAsia="zh-CN" w:bidi="ar-SA"/>
    </w:rPr>
  </w:style>
  <w:style w:type="paragraph" w:customStyle="1" w:styleId="59">
    <w:name w:val="正文缩进_0_0_0"/>
    <w:basedOn w:val="60"/>
    <w:unhideWhenUsed/>
    <w:qFormat/>
    <w:uiPriority w:val="0"/>
    <w:pPr>
      <w:ind w:firstLine="420" w:firstLineChars="200"/>
    </w:pPr>
  </w:style>
  <w:style w:type="paragraph" w:customStyle="1" w:styleId="60">
    <w:name w:val="正文_0_1_0"/>
    <w:basedOn w:val="61"/>
    <w:next w:val="66"/>
    <w:qFormat/>
    <w:uiPriority w:val="0"/>
    <w:rPr>
      <w:rFonts w:ascii="Calibri" w:hAnsi="Calibri" w:eastAsia="等线" w:cs="宋体"/>
      <w:szCs w:val="21"/>
    </w:rPr>
  </w:style>
  <w:style w:type="paragraph" w:customStyle="1" w:styleId="61">
    <w:name w:val="正文_1_1"/>
    <w:basedOn w:val="62"/>
    <w:next w:val="66"/>
    <w:qFormat/>
    <w:uiPriority w:val="0"/>
    <w:rPr>
      <w:szCs w:val="24"/>
    </w:rPr>
  </w:style>
  <w:style w:type="paragraph" w:customStyle="1" w:styleId="62">
    <w:name w:val="正文_0_1"/>
    <w:basedOn w:val="63"/>
    <w:qFormat/>
    <w:uiPriority w:val="0"/>
    <w:rPr>
      <w:szCs w:val="21"/>
    </w:rPr>
  </w:style>
  <w:style w:type="paragraph" w:customStyle="1" w:styleId="63">
    <w:name w:val="正文_3"/>
    <w:basedOn w:val="64"/>
    <w:qFormat/>
    <w:uiPriority w:val="0"/>
    <w:rPr>
      <w:rFonts w:ascii="Times New Roman" w:hAnsi="Times New Roman"/>
      <w:szCs w:val="24"/>
    </w:rPr>
  </w:style>
  <w:style w:type="paragraph" w:customStyle="1" w:styleId="64">
    <w:name w:val="正文_4"/>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首行缩进"/>
    <w:basedOn w:val="64"/>
    <w:qFormat/>
    <w:uiPriority w:val="0"/>
    <w:pPr>
      <w:ind w:firstLine="480" w:firstLineChars="200"/>
    </w:pPr>
    <w:rPr>
      <w:lang w:val="zh-CN"/>
    </w:rPr>
  </w:style>
  <w:style w:type="paragraph" w:customStyle="1" w:styleId="66">
    <w:name w:val="脚注文本_0"/>
    <w:basedOn w:val="67"/>
    <w:next w:val="76"/>
    <w:unhideWhenUsed/>
    <w:qFormat/>
    <w:uiPriority w:val="99"/>
    <w:pPr>
      <w:snapToGrid w:val="0"/>
    </w:pPr>
    <w:rPr>
      <w:rFonts w:ascii="Calibri" w:hAnsi="Calibri" w:eastAsia="Calibri"/>
      <w:sz w:val="18"/>
    </w:rPr>
  </w:style>
  <w:style w:type="paragraph" w:customStyle="1" w:styleId="67">
    <w:name w:val="正文_0_2"/>
    <w:basedOn w:val="68"/>
    <w:next w:val="75"/>
    <w:qFormat/>
    <w:uiPriority w:val="0"/>
    <w:rPr>
      <w:szCs w:val="24"/>
    </w:rPr>
  </w:style>
  <w:style w:type="paragraph" w:customStyle="1" w:styleId="68">
    <w:name w:val="正文_2_1"/>
    <w:basedOn w:val="69"/>
    <w:next w:val="70"/>
    <w:qFormat/>
    <w:uiPriority w:val="0"/>
    <w:rPr>
      <w:rFonts w:ascii="等线" w:hAnsi="等线" w:eastAsia="等线" w:cs="宋体"/>
      <w:szCs w:val="21"/>
    </w:rPr>
  </w:style>
  <w:style w:type="paragraph" w:customStyle="1" w:styleId="69">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No Spacing_0"/>
    <w:basedOn w:val="71"/>
    <w:qFormat/>
    <w:uiPriority w:val="1"/>
  </w:style>
  <w:style w:type="paragraph" w:customStyle="1" w:styleId="71">
    <w:name w:val="正文_5"/>
    <w:basedOn w:val="72"/>
    <w:next w:val="74"/>
    <w:qFormat/>
    <w:uiPriority w:val="0"/>
  </w:style>
  <w:style w:type="paragraph" w:customStyle="1" w:styleId="72">
    <w:name w:val="正文_6"/>
    <w:next w:val="73"/>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列表_1"/>
    <w:basedOn w:val="72"/>
    <w:semiHidden/>
    <w:qFormat/>
    <w:locked/>
    <w:uiPriority w:val="0"/>
    <w:pPr>
      <w:ind w:left="200" w:hanging="200" w:hangingChars="200"/>
    </w:pPr>
  </w:style>
  <w:style w:type="paragraph" w:customStyle="1" w:styleId="74">
    <w:name w:val="段_0"/>
    <w:next w:val="71"/>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5">
    <w:name w:val="页脚_0_0"/>
    <w:basedOn w:val="67"/>
    <w:unhideWhenUsed/>
    <w:qFormat/>
    <w:uiPriority w:val="99"/>
    <w:pPr>
      <w:tabs>
        <w:tab w:val="center" w:pos="4153"/>
        <w:tab w:val="right" w:pos="8306"/>
      </w:tabs>
      <w:snapToGrid w:val="0"/>
    </w:pPr>
    <w:rPr>
      <w:sz w:val="18"/>
      <w:szCs w:val="18"/>
    </w:rPr>
  </w:style>
  <w:style w:type="paragraph" w:customStyle="1" w:styleId="7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文本_0_1"/>
    <w:basedOn w:val="78"/>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78">
    <w:name w:val="正文_2_2"/>
    <w:basedOn w:val="79"/>
    <w:qFormat/>
    <w:uiPriority w:val="0"/>
    <w:rPr>
      <w:rFonts w:ascii="等线" w:hAnsi="等线" w:eastAsia="等线" w:cs="宋体"/>
      <w:szCs w:val="21"/>
    </w:rPr>
  </w:style>
  <w:style w:type="paragraph" w:customStyle="1" w:styleId="79">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首行缩进1"/>
    <w:basedOn w:val="81"/>
    <w:unhideWhenUsed/>
    <w:qFormat/>
    <w:uiPriority w:val="99"/>
    <w:pPr>
      <w:ind w:firstLine="420" w:firstLineChars="100"/>
    </w:pPr>
  </w:style>
  <w:style w:type="paragraph" w:customStyle="1" w:styleId="81">
    <w:name w:val="正文文本_0_0"/>
    <w:basedOn w:val="82"/>
    <w:qFormat/>
    <w:uiPriority w:val="0"/>
    <w:pPr>
      <w:spacing w:after="120"/>
    </w:pPr>
    <w:rPr>
      <w:kern w:val="0"/>
      <w:sz w:val="20"/>
    </w:rPr>
  </w:style>
  <w:style w:type="paragraph" w:customStyle="1" w:styleId="82">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文本缩进_1_0"/>
    <w:basedOn w:val="85"/>
    <w:qFormat/>
    <w:uiPriority w:val="0"/>
    <w:pPr>
      <w:spacing w:line="500" w:lineRule="exact"/>
      <w:ind w:left="1588" w:leftChars="832" w:firstLine="433" w:firstLineChars="196"/>
    </w:pPr>
    <w:rPr>
      <w:kern w:val="0"/>
      <w:sz w:val="24"/>
    </w:rPr>
  </w:style>
  <w:style w:type="paragraph" w:customStyle="1" w:styleId="85">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日期_0"/>
    <w:basedOn w:val="87"/>
    <w:next w:val="87"/>
    <w:qFormat/>
    <w:uiPriority w:val="0"/>
    <w:pPr>
      <w:ind w:left="100" w:leftChars="2500"/>
    </w:pPr>
    <w:rPr>
      <w:kern w:val="0"/>
      <w:sz w:val="20"/>
    </w:rPr>
  </w:style>
  <w:style w:type="paragraph" w:customStyle="1" w:styleId="8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批注框文本 字符"/>
    <w:basedOn w:val="28"/>
    <w:link w:val="15"/>
    <w:qFormat/>
    <w:uiPriority w:val="0"/>
    <w:rPr>
      <w:rFonts w:ascii="Arial" w:hAnsi="Arial" w:eastAsia="Arial" w:cs="Arial"/>
      <w:snapToGrid w:val="0"/>
      <w:color w:val="000000"/>
      <w:sz w:val="18"/>
      <w:szCs w:val="18"/>
      <w:lang w:eastAsia="en-US"/>
    </w:rPr>
  </w:style>
  <w:style w:type="paragraph" w:customStyle="1" w:styleId="90">
    <w:name w:val="正文缩进11"/>
    <w:basedOn w:val="1"/>
    <w:next w:val="1"/>
    <w:qFormat/>
    <w:uiPriority w:val="0"/>
    <w:pPr>
      <w:ind w:firstLine="420"/>
    </w:pPr>
    <w:rPr>
      <w:sz w:val="24"/>
    </w:rPr>
  </w:style>
  <w:style w:type="paragraph" w:customStyle="1" w:styleId="91">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2">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文档正文"/>
    <w:basedOn w:val="1"/>
    <w:qFormat/>
    <w:uiPriority w:val="0"/>
    <w:pPr>
      <w:spacing w:line="480" w:lineRule="atLeast"/>
      <w:ind w:firstLine="567"/>
    </w:pPr>
    <w:rPr>
      <w:sz w:val="24"/>
      <w:szCs w:val="20"/>
    </w:rPr>
  </w:style>
  <w:style w:type="paragraph" w:customStyle="1" w:styleId="9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97">
    <w:name w:val="正文_5_0"/>
    <w:next w:val="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Normal_0_0"/>
    <w:basedOn w:val="99"/>
    <w:qFormat/>
    <w:uiPriority w:val="0"/>
  </w:style>
  <w:style w:type="paragraph" w:customStyle="1" w:styleId="99">
    <w:name w:val="Normal_1"/>
    <w:qFormat/>
    <w:uiPriority w:val="0"/>
    <w:rPr>
      <w:rFonts w:ascii="黑体" w:hAnsi="黑体" w:eastAsia="黑体" w:cs="Times New Roman"/>
      <w:b/>
      <w:sz w:val="32"/>
      <w:szCs w:val="24"/>
      <w:lang w:val="en-US" w:eastAsia="zh-CN" w:bidi="ar-SA"/>
    </w:rPr>
  </w:style>
  <w:style w:type="paragraph" w:customStyle="1" w:styleId="100">
    <w:name w:val="正文文本_1_0"/>
    <w:basedOn w:val="101"/>
    <w:qFormat/>
    <w:uiPriority w:val="0"/>
    <w:pPr>
      <w:adjustRightInd w:val="0"/>
      <w:spacing w:after="60" w:line="360" w:lineRule="atLeast"/>
      <w:ind w:left="72" w:leftChars="30" w:right="30" w:rightChars="30"/>
      <w:jc w:val="center"/>
      <w:textAlignment w:val="baseline"/>
    </w:pPr>
    <w:rPr>
      <w:szCs w:val="21"/>
    </w:rPr>
  </w:style>
  <w:style w:type="paragraph" w:customStyle="1" w:styleId="101">
    <w:name w:val="正文_2_0_0_0"/>
    <w:basedOn w:val="102"/>
    <w:next w:val="100"/>
    <w:qFormat/>
    <w:uiPriority w:val="0"/>
  </w:style>
  <w:style w:type="paragraph" w:customStyle="1" w:styleId="102">
    <w:name w:val="正文_0_1_1"/>
    <w:basedOn w:val="56"/>
    <w:next w:val="103"/>
    <w:qFormat/>
    <w:uiPriority w:val="0"/>
  </w:style>
  <w:style w:type="paragraph" w:customStyle="1" w:styleId="103">
    <w:name w:val="脚注文本1"/>
    <w:basedOn w:val="54"/>
    <w:next w:val="104"/>
    <w:unhideWhenUsed/>
    <w:qFormat/>
    <w:uiPriority w:val="0"/>
    <w:pPr>
      <w:snapToGrid w:val="0"/>
      <w:jc w:val="left"/>
    </w:pPr>
    <w:rPr>
      <w:rFonts w:eastAsia="宋体"/>
      <w:kern w:val="0"/>
      <w:sz w:val="18"/>
      <w:szCs w:val="18"/>
    </w:rPr>
  </w:style>
  <w:style w:type="paragraph" w:customStyle="1" w:styleId="104">
    <w:name w:val="索引 51"/>
    <w:basedOn w:val="54"/>
    <w:next w:val="54"/>
    <w:unhideWhenUsed/>
    <w:qFormat/>
    <w:uiPriority w:val="99"/>
    <w:pPr>
      <w:ind w:left="1680"/>
    </w:pPr>
  </w:style>
  <w:style w:type="character" w:customStyle="1" w:styleId="105">
    <w:name w:val="font01"/>
    <w:qFormat/>
    <w:uiPriority w:val="99"/>
    <w:rPr>
      <w:rFonts w:hint="eastAsia" w:ascii="宋体" w:hAnsi="宋体" w:eastAsia="宋体" w:cs="宋体"/>
      <w:color w:val="000000"/>
      <w:sz w:val="22"/>
      <w:szCs w:val="22"/>
      <w:u w:val="none"/>
    </w:rPr>
  </w:style>
  <w:style w:type="character" w:customStyle="1" w:styleId="106">
    <w:name w:val="批注文字 字符"/>
    <w:basedOn w:val="28"/>
    <w:link w:val="9"/>
    <w:semiHidden/>
    <w:qFormat/>
    <w:uiPriority w:val="0"/>
    <w:rPr>
      <w:rFonts w:ascii="Calibri" w:hAnsi="Calibri" w:cs="Arial"/>
      <w:snapToGrid w:val="0"/>
      <w:color w:val="000000"/>
      <w:sz w:val="21"/>
      <w:szCs w:val="24"/>
      <w:lang w:eastAsia="en-US"/>
    </w:rPr>
  </w:style>
  <w:style w:type="character" w:customStyle="1" w:styleId="107">
    <w:name w:val="批注主题 字符"/>
    <w:basedOn w:val="106"/>
    <w:link w:val="23"/>
    <w:qFormat/>
    <w:uiPriority w:val="0"/>
    <w:rPr>
      <w:rFonts w:ascii="Arial" w:hAnsi="Arial" w:eastAsia="Arial" w:cs="Arial"/>
      <w:b/>
      <w:bCs/>
      <w:snapToGrid w:val="0"/>
      <w:color w:val="000000"/>
      <w:sz w:val="21"/>
      <w:szCs w:val="21"/>
      <w:lang w:eastAsia="en-US"/>
    </w:rPr>
  </w:style>
  <w:style w:type="paragraph" w:customStyle="1" w:styleId="108">
    <w:name w:val="Normal (Web)"/>
    <w:basedOn w:val="1"/>
    <w:qFormat/>
    <w:uiPriority w:val="0"/>
    <w:pPr>
      <w:spacing w:before="0" w:beforeAutospacing="0" w:after="0" w:afterAutospacing="0"/>
      <w:ind w:left="0" w:right="0"/>
      <w:jc w:val="left"/>
    </w:pPr>
    <w:rPr>
      <w:rFonts w:ascii="Times New Roman" w:hAnsi="Times New Roman" w:eastAsia="宋体" w:cs="Times New Roman"/>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37696</Words>
  <Characters>39830</Characters>
  <Lines>455</Lines>
  <Paragraphs>128</Paragraphs>
  <TotalTime>7</TotalTime>
  <ScaleCrop>false</ScaleCrop>
  <LinksUpToDate>false</LinksUpToDate>
  <CharactersWithSpaces>44355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2024-08-16T01:47:00Z</dcterms:created>
  <dc:creator>China</dc:creator>
  <cp:lastModifiedBy>Administrator</cp:lastModifiedBy>
  <dcterms:modified xsi:type="dcterms:W3CDTF">2026-06-17T10:21:32Z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2024-10-30T11:44:35Z</vt:filetime>
  </property>
  <property fmtid="{D5CDD505-2E9C-101B-9397-08002B2CF9AE}" pid="4" name="KSOProductBuildVer">
    <vt:lpwstr>2052-12.1.0.26375</vt:lpwstr>
  </property>
  <property fmtid="{D5CDD505-2E9C-101B-9397-08002B2CF9AE}" pid="5" name="ICV">
    <vt:lpwstr>70C08E86CA0045CF8D45EC896D5C1C83_13</vt:lpwstr>
  </property>
  <property fmtid="{D5CDD505-2E9C-101B-9397-08002B2CF9AE}" pid="6" name="KSOTemplateDocerSaveRecord">
    <vt:lpwstr>eyJoZGlkIjoiYjk5MGQ5YzMwMmQ3OTdmMzkwYjhlZGQ1NmQ3NGI1ZGIiLCJ1c2VySWQiOiIxMjgzNDYyODczIn0=</vt:lpwstr>
  </property>
</Properties>
</file>