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24ADB">
      <w:pPr>
        <w:autoSpaceDE w:val="0"/>
        <w:autoSpaceDN w:val="0"/>
        <w:adjustRightInd w:val="0"/>
        <w:spacing w:line="360" w:lineRule="auto"/>
        <w:jc w:val="right"/>
        <w:rPr>
          <w:rFonts w:ascii="仿宋" w:hAnsi="仿宋" w:eastAsia="仿宋" w:cs="仿宋"/>
          <w:b/>
          <w:sz w:val="24"/>
          <w:szCs w:val="24"/>
        </w:rPr>
      </w:pPr>
      <w:r>
        <w:rPr>
          <w:rFonts w:hint="eastAsia" w:ascii="仿宋" w:hAnsi="仿宋" w:eastAsia="仿宋" w:cs="仿宋"/>
          <w:b/>
          <w:kern w:val="0"/>
          <w:sz w:val="24"/>
          <w:szCs w:val="24"/>
          <w:lang w:bidi="ar"/>
        </w:rPr>
        <w:t xml:space="preserve"> </w:t>
      </w:r>
      <w:r>
        <w:rPr>
          <w:rFonts w:hint="eastAsia" w:ascii="仿宋" w:hAnsi="仿宋" w:eastAsia="仿宋" w:cs="仿宋"/>
          <w:b/>
          <w:sz w:val="24"/>
          <w:szCs w:val="24"/>
        </w:rPr>
        <w:t>项目编码：XJJB-2026-0</w:t>
      </w:r>
      <w:r>
        <w:rPr>
          <w:rFonts w:hint="eastAsia" w:ascii="仿宋" w:hAnsi="仿宋" w:eastAsia="仿宋" w:cs="仿宋"/>
          <w:b/>
          <w:sz w:val="24"/>
          <w:szCs w:val="24"/>
          <w:lang w:val="en-US" w:eastAsia="zh-CN"/>
        </w:rPr>
        <w:t>65</w:t>
      </w:r>
    </w:p>
    <w:p w14:paraId="7F334445">
      <w:pPr>
        <w:autoSpaceDE w:val="0"/>
        <w:autoSpaceDN w:val="0"/>
        <w:adjustRightInd w:val="0"/>
        <w:spacing w:line="360" w:lineRule="auto"/>
        <w:jc w:val="center"/>
        <w:rPr>
          <w:rFonts w:hint="eastAsia" w:ascii="仿宋" w:hAnsi="仿宋" w:eastAsia="仿宋" w:cs="仿宋"/>
          <w:b/>
          <w:sz w:val="24"/>
          <w:szCs w:val="24"/>
        </w:rPr>
      </w:pPr>
    </w:p>
    <w:p w14:paraId="5F4BED33">
      <w:pPr>
        <w:pStyle w:val="72"/>
        <w:spacing w:line="360" w:lineRule="auto"/>
        <w:rPr>
          <w:rFonts w:hint="eastAsia" w:ascii="仿宋" w:hAnsi="仿宋" w:eastAsia="仿宋" w:cs="仿宋"/>
          <w:sz w:val="24"/>
          <w:szCs w:val="24"/>
        </w:rPr>
      </w:pPr>
    </w:p>
    <w:p w14:paraId="2C4B26C2">
      <w:pPr>
        <w:pStyle w:val="72"/>
        <w:spacing w:line="360" w:lineRule="auto"/>
        <w:ind w:firstLine="0" w:firstLineChars="0"/>
        <w:jc w:val="center"/>
        <w:rPr>
          <w:rFonts w:hint="eastAsia" w:ascii="仿宋" w:hAnsi="仿宋" w:eastAsia="仿宋" w:cs="仿宋"/>
          <w:b/>
          <w:sz w:val="24"/>
          <w:szCs w:val="24"/>
          <w:lang w:val="en-US" w:eastAsia="zh-CN"/>
        </w:rPr>
      </w:pPr>
      <w:r>
        <w:rPr>
          <w:rFonts w:hint="eastAsia" w:ascii="仿宋" w:hAnsi="仿宋" w:eastAsia="仿宋" w:cs="宋体"/>
          <w:b/>
          <w:sz w:val="44"/>
          <w:szCs w:val="44"/>
          <w:lang w:val="en-US" w:eastAsia="zh-CN"/>
        </w:rPr>
        <w:t>新疆维吾尔自治区伊宁某某某单位生活物资采购（二标段牛、羊肉类）</w:t>
      </w:r>
    </w:p>
    <w:p w14:paraId="07CF77C7">
      <w:pPr>
        <w:pStyle w:val="72"/>
        <w:spacing w:line="360" w:lineRule="auto"/>
        <w:ind w:firstLine="0" w:firstLineChars="0"/>
        <w:rPr>
          <w:rFonts w:hint="eastAsia" w:ascii="仿宋" w:hAnsi="仿宋" w:eastAsia="仿宋" w:cs="仿宋"/>
          <w:b/>
          <w:sz w:val="24"/>
          <w:szCs w:val="24"/>
          <w:lang w:val="en-US"/>
        </w:rPr>
      </w:pPr>
    </w:p>
    <w:p w14:paraId="2404F6DB">
      <w:pPr>
        <w:pStyle w:val="72"/>
        <w:spacing w:line="360" w:lineRule="auto"/>
        <w:ind w:firstLine="0" w:firstLineChars="0"/>
        <w:rPr>
          <w:rFonts w:hint="eastAsia" w:ascii="仿宋" w:hAnsi="仿宋" w:eastAsia="仿宋" w:cs="仿宋"/>
          <w:b/>
          <w:sz w:val="24"/>
          <w:szCs w:val="24"/>
          <w:lang w:val="en-US"/>
        </w:rPr>
      </w:pPr>
    </w:p>
    <w:p w14:paraId="60195671">
      <w:pPr>
        <w:pStyle w:val="72"/>
        <w:spacing w:line="360" w:lineRule="auto"/>
        <w:ind w:firstLine="0" w:firstLineChars="0"/>
        <w:rPr>
          <w:rFonts w:hint="eastAsia" w:ascii="仿宋" w:hAnsi="仿宋" w:eastAsia="仿宋" w:cs="仿宋"/>
          <w:b/>
          <w:sz w:val="24"/>
          <w:szCs w:val="24"/>
          <w:lang w:val="en-US"/>
        </w:rPr>
      </w:pPr>
    </w:p>
    <w:p w14:paraId="44D8E443">
      <w:pPr>
        <w:pStyle w:val="72"/>
        <w:spacing w:line="360" w:lineRule="auto"/>
        <w:ind w:firstLine="0" w:firstLineChars="0"/>
        <w:rPr>
          <w:rFonts w:hint="eastAsia" w:ascii="仿宋" w:hAnsi="仿宋" w:eastAsia="仿宋" w:cs="仿宋"/>
          <w:b/>
          <w:sz w:val="24"/>
          <w:szCs w:val="24"/>
          <w:lang w:val="en-US"/>
        </w:rPr>
      </w:pPr>
    </w:p>
    <w:p w14:paraId="2CF65972">
      <w:pPr>
        <w:autoSpaceDE w:val="0"/>
        <w:autoSpaceDN w:val="0"/>
        <w:adjustRightInd w:val="0"/>
        <w:spacing w:line="360" w:lineRule="auto"/>
        <w:jc w:val="center"/>
        <w:rPr>
          <w:rFonts w:hint="eastAsia" w:ascii="宋体" w:hAnsi="宋体" w:eastAsia="宋体" w:cs="宋体"/>
          <w:b/>
          <w:sz w:val="84"/>
          <w:szCs w:val="84"/>
          <w:lang w:eastAsia="zh-CN"/>
        </w:rPr>
      </w:pPr>
      <w:r>
        <w:rPr>
          <w:rFonts w:hint="eastAsia" w:ascii="宋体" w:hAnsi="宋体" w:cs="宋体"/>
          <w:b/>
          <w:sz w:val="84"/>
          <w:szCs w:val="84"/>
        </w:rPr>
        <w:t xml:space="preserve"> 招 标 文 件</w:t>
      </w:r>
      <w:r>
        <w:rPr>
          <w:rFonts w:hint="eastAsia" w:ascii="宋体" w:hAnsi="宋体" w:cs="宋体"/>
          <w:b/>
          <w:sz w:val="84"/>
          <w:szCs w:val="84"/>
          <w:lang w:eastAsia="zh-CN"/>
        </w:rPr>
        <w:t>（</w:t>
      </w:r>
      <w:r>
        <w:rPr>
          <w:rFonts w:hint="eastAsia" w:ascii="宋体" w:hAnsi="宋体" w:cs="宋体"/>
          <w:b/>
          <w:sz w:val="84"/>
          <w:szCs w:val="84"/>
          <w:lang w:val="en-US" w:eastAsia="zh-CN"/>
        </w:rPr>
        <w:t>二次</w:t>
      </w:r>
      <w:r>
        <w:rPr>
          <w:rFonts w:hint="eastAsia" w:ascii="宋体" w:hAnsi="宋体" w:cs="宋体"/>
          <w:b/>
          <w:sz w:val="84"/>
          <w:szCs w:val="84"/>
          <w:lang w:eastAsia="zh-CN"/>
        </w:rPr>
        <w:t>）</w:t>
      </w:r>
    </w:p>
    <w:p w14:paraId="29A0BBAA">
      <w:pPr>
        <w:autoSpaceDE w:val="0"/>
        <w:autoSpaceDN w:val="0"/>
        <w:adjustRightInd w:val="0"/>
        <w:spacing w:line="360" w:lineRule="auto"/>
        <w:jc w:val="center"/>
        <w:rPr>
          <w:rFonts w:hint="eastAsia" w:ascii="仿宋" w:hAnsi="仿宋" w:eastAsia="仿宋" w:cs="仿宋"/>
          <w:b/>
          <w:sz w:val="24"/>
          <w:szCs w:val="24"/>
        </w:rPr>
      </w:pPr>
    </w:p>
    <w:p w14:paraId="186C1634">
      <w:pPr>
        <w:pStyle w:val="72"/>
        <w:spacing w:line="360" w:lineRule="auto"/>
        <w:ind w:firstLine="0" w:firstLineChars="0"/>
        <w:rPr>
          <w:rFonts w:hint="eastAsia" w:ascii="仿宋" w:hAnsi="仿宋" w:eastAsia="仿宋" w:cs="仿宋"/>
          <w:b/>
          <w:sz w:val="24"/>
          <w:szCs w:val="24"/>
        </w:rPr>
      </w:pPr>
    </w:p>
    <w:p w14:paraId="2E97BFEB">
      <w:pPr>
        <w:pStyle w:val="72"/>
        <w:spacing w:line="360" w:lineRule="auto"/>
        <w:ind w:firstLine="0" w:firstLineChars="0"/>
        <w:rPr>
          <w:rFonts w:hint="eastAsia" w:ascii="仿宋" w:hAnsi="仿宋" w:eastAsia="仿宋" w:cs="仿宋"/>
          <w:b/>
          <w:sz w:val="24"/>
          <w:szCs w:val="24"/>
        </w:rPr>
      </w:pPr>
    </w:p>
    <w:p w14:paraId="5172FA97">
      <w:pPr>
        <w:pStyle w:val="72"/>
        <w:spacing w:line="360" w:lineRule="auto"/>
        <w:ind w:firstLine="0" w:firstLineChars="0"/>
        <w:rPr>
          <w:rFonts w:hint="eastAsia" w:ascii="仿宋" w:hAnsi="仿宋" w:eastAsia="仿宋" w:cs="仿宋"/>
          <w:b/>
          <w:sz w:val="24"/>
          <w:szCs w:val="24"/>
        </w:rPr>
      </w:pPr>
    </w:p>
    <w:p w14:paraId="56F70699">
      <w:pPr>
        <w:pStyle w:val="72"/>
        <w:spacing w:line="360" w:lineRule="auto"/>
        <w:ind w:firstLine="0" w:firstLineChars="0"/>
        <w:rPr>
          <w:rFonts w:hint="eastAsia" w:ascii="仿宋" w:hAnsi="仿宋" w:eastAsia="仿宋" w:cs="仿宋"/>
          <w:b/>
          <w:sz w:val="24"/>
          <w:szCs w:val="24"/>
        </w:rPr>
      </w:pPr>
    </w:p>
    <w:p w14:paraId="474E92D4">
      <w:pPr>
        <w:autoSpaceDN w:val="0"/>
        <w:spacing w:before="100" w:beforeAutospacing="1" w:after="100" w:afterAutospacing="1" w:line="360" w:lineRule="auto"/>
        <w:rPr>
          <w:rFonts w:hint="eastAsia" w:ascii="仿宋" w:hAnsi="仿宋" w:eastAsia="仿宋" w:cs="仿宋"/>
          <w:b/>
          <w:sz w:val="24"/>
          <w:szCs w:val="24"/>
        </w:rPr>
      </w:pPr>
    </w:p>
    <w:p w14:paraId="43D16AA0">
      <w:pPr>
        <w:autoSpaceDN w:val="0"/>
        <w:spacing w:before="100" w:beforeAutospacing="1" w:after="100" w:afterAutospacing="1" w:line="360" w:lineRule="auto"/>
        <w:ind w:firstLine="643" w:firstLineChars="200"/>
        <w:jc w:val="both"/>
        <w:rPr>
          <w:rFonts w:hint="eastAsia" w:ascii="仿宋" w:hAnsi="仿宋" w:eastAsia="仿宋" w:cs="仿宋"/>
          <w:b/>
          <w:sz w:val="32"/>
          <w:szCs w:val="32"/>
        </w:rPr>
      </w:pPr>
      <w:r>
        <w:rPr>
          <w:rFonts w:hint="eastAsia" w:ascii="仿宋" w:hAnsi="仿宋" w:eastAsia="仿宋" w:cs="仿宋"/>
          <w:b/>
          <w:sz w:val="32"/>
          <w:szCs w:val="32"/>
        </w:rPr>
        <w:t>采购人:</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eastAsia="zh-CN"/>
        </w:rPr>
        <w:t>新疆维吾尔自治区伊宁某某某单位</w:t>
      </w:r>
      <w:r>
        <w:rPr>
          <w:rFonts w:hint="eastAsia" w:ascii="仿宋" w:hAnsi="仿宋" w:eastAsia="仿宋" w:cs="仿宋"/>
          <w:b/>
          <w:sz w:val="32"/>
          <w:szCs w:val="32"/>
          <w:u w:val="single"/>
        </w:rPr>
        <w:t xml:space="preserve">     </w:t>
      </w:r>
      <w:r>
        <w:rPr>
          <w:rFonts w:hint="eastAsia" w:ascii="仿宋" w:hAnsi="仿宋" w:eastAsia="仿宋" w:cs="仿宋"/>
          <w:b/>
          <w:sz w:val="32"/>
          <w:szCs w:val="32"/>
        </w:rPr>
        <w:t>（盖章）</w:t>
      </w:r>
    </w:p>
    <w:p w14:paraId="49A4CCEB">
      <w:pPr>
        <w:autoSpaceDN w:val="0"/>
        <w:spacing w:before="100" w:beforeAutospacing="1" w:after="100" w:afterAutospacing="1" w:line="360" w:lineRule="auto"/>
        <w:jc w:val="both"/>
        <w:rPr>
          <w:rFonts w:hint="eastAsia" w:ascii="仿宋" w:hAnsi="仿宋" w:eastAsia="仿宋" w:cs="仿宋"/>
          <w:b/>
          <w:sz w:val="32"/>
          <w:szCs w:val="32"/>
        </w:rPr>
      </w:pPr>
    </w:p>
    <w:p w14:paraId="2D792825">
      <w:pPr>
        <w:autoSpaceDN w:val="0"/>
        <w:spacing w:before="100" w:beforeAutospacing="1" w:after="100" w:afterAutospacing="1" w:line="360" w:lineRule="auto"/>
        <w:ind w:firstLine="643" w:firstLineChars="200"/>
        <w:rPr>
          <w:rFonts w:hint="eastAsia" w:ascii="仿宋" w:hAnsi="仿宋" w:eastAsia="仿宋" w:cs="仿宋"/>
          <w:b/>
          <w:sz w:val="32"/>
          <w:szCs w:val="32"/>
          <w:u w:val="thick"/>
        </w:rPr>
      </w:pPr>
      <w:r>
        <w:rPr>
          <w:rFonts w:hint="eastAsia" w:ascii="仿宋" w:hAnsi="仿宋" w:eastAsia="仿宋" w:cs="仿宋"/>
          <w:b/>
          <w:sz w:val="32"/>
          <w:szCs w:val="32"/>
        </w:rPr>
        <w:t>采购代理机构:</w:t>
      </w:r>
      <w:r>
        <w:rPr>
          <w:rFonts w:hint="eastAsia" w:ascii="仿宋" w:hAnsi="仿宋" w:eastAsia="仿宋" w:cs="仿宋"/>
          <w:b/>
          <w:sz w:val="32"/>
          <w:szCs w:val="32"/>
          <w:u w:val="single"/>
        </w:rPr>
        <w:t xml:space="preserve"> 新疆金斌工程项目管理有限公司 （</w:t>
      </w:r>
      <w:r>
        <w:rPr>
          <w:rFonts w:hint="eastAsia" w:ascii="仿宋" w:hAnsi="仿宋" w:eastAsia="仿宋" w:cs="仿宋"/>
          <w:b/>
          <w:sz w:val="32"/>
          <w:szCs w:val="32"/>
        </w:rPr>
        <w:t>盖章）</w:t>
      </w:r>
    </w:p>
    <w:p w14:paraId="196FD644">
      <w:pPr>
        <w:pStyle w:val="4"/>
        <w:spacing w:line="360" w:lineRule="auto"/>
        <w:rPr>
          <w:rFonts w:hint="eastAsia" w:ascii="仿宋" w:hAnsi="仿宋" w:eastAsia="仿宋" w:cs="仿宋"/>
          <w:sz w:val="24"/>
          <w:szCs w:val="24"/>
        </w:rPr>
      </w:pPr>
    </w:p>
    <w:p w14:paraId="38E501AC">
      <w:pPr>
        <w:pStyle w:val="15"/>
        <w:spacing w:line="360" w:lineRule="auto"/>
        <w:jc w:val="center"/>
        <w:rPr>
          <w:rFonts w:ascii="仿宋" w:hAnsi="仿宋" w:eastAsia="仿宋" w:cs="仿宋"/>
          <w:bCs/>
          <w:sz w:val="36"/>
          <w:szCs w:val="36"/>
          <w:lang w:val="en-US"/>
        </w:rPr>
        <w:sectPr>
          <w:headerReference r:id="rId3" w:type="default"/>
          <w:footerReference r:id="rId4" w:type="default"/>
          <w:type w:val="continuous"/>
          <w:pgSz w:w="11905" w:h="16838"/>
          <w:pgMar w:top="1531" w:right="1531" w:bottom="1531" w:left="1531" w:header="1134" w:footer="1134" w:gutter="0"/>
          <w:pgNumType w:start="1"/>
          <w:cols w:space="720" w:num="1"/>
          <w:docGrid w:linePitch="462" w:charSpace="0"/>
        </w:sectPr>
      </w:pPr>
      <w:r>
        <w:rPr>
          <w:rFonts w:hint="eastAsia" w:ascii="仿宋" w:hAnsi="仿宋" w:eastAsia="仿宋" w:cs="仿宋"/>
          <w:b/>
          <w:sz w:val="36"/>
          <w:szCs w:val="36"/>
          <w:lang w:val="en-US" w:eastAsia="zh-CN"/>
        </w:rPr>
        <w:t>2026</w:t>
      </w:r>
      <w:r>
        <w:rPr>
          <w:rFonts w:hint="eastAsia" w:ascii="仿宋" w:hAnsi="仿宋" w:eastAsia="仿宋" w:cs="仿宋"/>
          <w:b/>
          <w:sz w:val="36"/>
          <w:szCs w:val="36"/>
          <w:lang w:eastAsia="zh-CN"/>
        </w:rPr>
        <w:t>年</w:t>
      </w:r>
      <w:r>
        <w:rPr>
          <w:rFonts w:hint="eastAsia" w:ascii="仿宋" w:hAnsi="仿宋" w:eastAsia="仿宋" w:cs="仿宋"/>
          <w:b/>
          <w:sz w:val="36"/>
          <w:szCs w:val="36"/>
          <w:lang w:val="en-US" w:eastAsia="zh-CN"/>
        </w:rPr>
        <w:t>06月</w:t>
      </w:r>
    </w:p>
    <w:p w14:paraId="029650A1">
      <w:pPr>
        <w:pStyle w:val="79"/>
        <w:adjustRightInd w:val="0"/>
        <w:snapToGrid w:val="0"/>
        <w:spacing w:line="410" w:lineRule="exact"/>
        <w:jc w:val="center"/>
        <w:rPr>
          <w:rFonts w:hint="eastAsia" w:ascii="仿宋" w:hAnsi="仿宋" w:eastAsia="仿宋" w:cs="仿宋"/>
          <w:b/>
          <w:color w:val="auto"/>
          <w:sz w:val="24"/>
          <w:szCs w:val="24"/>
        </w:rPr>
      </w:pPr>
      <w:r>
        <w:rPr>
          <w:rFonts w:hint="eastAsia" w:ascii="仿宋" w:hAnsi="仿宋" w:eastAsia="仿宋" w:cs="仿宋"/>
          <w:b/>
          <w:color w:val="auto"/>
          <w:szCs w:val="44"/>
          <w:lang w:val="zh-CN"/>
        </w:rPr>
        <w:t>目  录</w:t>
      </w:r>
    </w:p>
    <w:p w14:paraId="59FE8A4E">
      <w:pPr>
        <w:spacing w:line="600" w:lineRule="auto"/>
        <w:ind w:right="17"/>
        <w:jc w:val="left"/>
        <w:rPr>
          <w:rFonts w:hint="eastAsia" w:ascii="仿宋" w:hAnsi="仿宋" w:eastAsia="仿宋" w:cs="仿宋"/>
          <w:sz w:val="28"/>
          <w:szCs w:val="28"/>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_Toc20454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第一章  </w:t>
      </w:r>
      <w:r>
        <w:rPr>
          <w:rFonts w:hint="eastAsia" w:ascii="仿宋" w:hAnsi="仿宋" w:eastAsia="仿宋" w:cs="仿宋"/>
          <w:sz w:val="28"/>
          <w:szCs w:val="28"/>
          <w:lang w:val="zh-CN"/>
        </w:rPr>
        <w:t>新疆维吾尔自治区伊宁某某某单位生活物资采购</w:t>
      </w:r>
      <w:r>
        <w:rPr>
          <w:rFonts w:hint="eastAsia" w:ascii="仿宋" w:hAnsi="仿宋" w:eastAsia="仿宋" w:cs="仿宋"/>
          <w:sz w:val="28"/>
          <w:szCs w:val="28"/>
          <w:lang w:val="en-US" w:eastAsia="zh-CN"/>
        </w:rPr>
        <w:t>（二标段牛、羊肉类）</w:t>
      </w:r>
      <w:r>
        <w:rPr>
          <w:rFonts w:hint="eastAsia" w:ascii="仿宋" w:hAnsi="仿宋" w:eastAsia="仿宋" w:cs="仿宋"/>
          <w:sz w:val="28"/>
          <w:szCs w:val="28"/>
          <w:lang w:val="zh-CN"/>
        </w:rPr>
        <w:t>招标公告（</w:t>
      </w:r>
      <w:r>
        <w:rPr>
          <w:rFonts w:hint="eastAsia" w:ascii="仿宋" w:hAnsi="仿宋" w:eastAsia="仿宋" w:cs="仿宋"/>
          <w:sz w:val="28"/>
          <w:szCs w:val="28"/>
          <w:lang w:val="en-US" w:eastAsia="zh-CN"/>
        </w:rPr>
        <w:t>二次</w:t>
      </w:r>
      <w:r>
        <w:rPr>
          <w:rFonts w:hint="eastAsia" w:ascii="仿宋" w:hAnsi="仿宋" w:eastAsia="仿宋" w:cs="仿宋"/>
          <w:sz w:val="28"/>
          <w:szCs w:val="28"/>
          <w:lang w:val="zh-CN"/>
        </w:rPr>
        <w:t>）</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fldChar w:fldCharType="end"/>
      </w:r>
    </w:p>
    <w:p w14:paraId="64EDC534">
      <w:pPr>
        <w:pStyle w:val="18"/>
        <w:tabs>
          <w:tab w:val="right" w:leader="dot" w:pos="8306"/>
          <w:tab w:val="clear" w:pos="9628"/>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_Toc22786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投标须知前附表</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p>
    <w:p w14:paraId="72EBD4FA">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_Toc3096 </w:instrText>
      </w:r>
      <w:r>
        <w:rPr>
          <w:rFonts w:hint="eastAsia" w:ascii="仿宋" w:hAnsi="仿宋" w:eastAsia="仿宋" w:cs="仿宋"/>
          <w:sz w:val="28"/>
          <w:szCs w:val="28"/>
        </w:rPr>
        <w:fldChar w:fldCharType="separate"/>
      </w:r>
      <w:r>
        <w:rPr>
          <w:rFonts w:hint="eastAsia" w:ascii="仿宋" w:hAnsi="仿宋" w:eastAsia="仿宋" w:cs="仿宋"/>
          <w:kern w:val="44"/>
          <w:sz w:val="28"/>
          <w:szCs w:val="28"/>
        </w:rPr>
        <w:t>第三章　投标人须知</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w:t>
      </w:r>
    </w:p>
    <w:p w14:paraId="76192A81">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_Toc28078 </w:instrText>
      </w:r>
      <w:r>
        <w:rPr>
          <w:rFonts w:hint="eastAsia" w:ascii="仿宋" w:hAnsi="仿宋" w:eastAsia="仿宋" w:cs="仿宋"/>
          <w:sz w:val="28"/>
          <w:szCs w:val="28"/>
        </w:rPr>
        <w:fldChar w:fldCharType="separate"/>
      </w:r>
      <w:r>
        <w:rPr>
          <w:rFonts w:hint="eastAsia" w:ascii="仿宋" w:hAnsi="仿宋" w:eastAsia="仿宋" w:cs="仿宋"/>
          <w:bCs/>
          <w:kern w:val="44"/>
          <w:sz w:val="28"/>
          <w:szCs w:val="28"/>
        </w:rPr>
        <w:t>第四章 合同格式</w:t>
      </w:r>
      <w:r>
        <w:rPr>
          <w:rFonts w:hint="eastAsia" w:ascii="仿宋" w:hAnsi="仿宋" w:eastAsia="仿宋" w:cs="仿宋"/>
          <w:sz w:val="28"/>
          <w:szCs w:val="28"/>
        </w:rPr>
        <w:tab/>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5D9E2927">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_Toc3845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采购项目清单及参数要求</w:t>
      </w:r>
      <w:r>
        <w:rPr>
          <w:rFonts w:hint="eastAsia" w:ascii="仿宋" w:hAnsi="仿宋" w:eastAsia="仿宋" w:cs="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w:t>
      </w:r>
    </w:p>
    <w:p w14:paraId="6712FEAA">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_Toc10572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投标文件部分格式</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797A143C">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_Toc24440 </w:instrText>
      </w:r>
      <w:r>
        <w:rPr>
          <w:rFonts w:hint="eastAsia" w:ascii="仿宋" w:hAnsi="仿宋" w:eastAsia="仿宋" w:cs="仿宋"/>
          <w:sz w:val="28"/>
          <w:szCs w:val="28"/>
        </w:rPr>
        <w:fldChar w:fldCharType="separate"/>
      </w:r>
      <w:r>
        <w:rPr>
          <w:rFonts w:hint="eastAsia" w:ascii="仿宋" w:hAnsi="仿宋" w:eastAsia="仿宋" w:cs="仿宋"/>
          <w:sz w:val="28"/>
          <w:szCs w:val="28"/>
        </w:rPr>
        <w:t>附表1    资格审查标准表</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07</w:t>
      </w:r>
    </w:p>
    <w:p w14:paraId="2C7D1C71">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_Toc9700 </w:instrText>
      </w:r>
      <w:r>
        <w:rPr>
          <w:rFonts w:hint="eastAsia" w:ascii="仿宋" w:hAnsi="仿宋" w:eastAsia="仿宋" w:cs="仿宋"/>
          <w:sz w:val="28"/>
          <w:szCs w:val="28"/>
        </w:rPr>
        <w:fldChar w:fldCharType="separate"/>
      </w:r>
      <w:r>
        <w:rPr>
          <w:rFonts w:hint="eastAsia" w:ascii="仿宋" w:hAnsi="仿宋" w:eastAsia="仿宋" w:cs="仿宋"/>
          <w:sz w:val="28"/>
          <w:szCs w:val="28"/>
        </w:rPr>
        <w:t>附表2    符合性审查标准表</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09</w:t>
      </w:r>
    </w:p>
    <w:p w14:paraId="664471E8">
      <w:pPr>
        <w:pStyle w:val="18"/>
        <w:tabs>
          <w:tab w:val="right" w:leader="dot" w:pos="8306"/>
          <w:tab w:val="clear" w:pos="9628"/>
        </w:tabs>
        <w:spacing w:line="600" w:lineRule="auto"/>
        <w:rPr>
          <w:rFonts w:hint="eastAsia" w:eastAsia="仿宋"/>
          <w:lang w:eastAsia="zh-CN"/>
        </w:rPr>
        <w:sectPr>
          <w:headerReference r:id="rId5" w:type="default"/>
          <w:footerReference r:id="rId6" w:type="default"/>
          <w:type w:val="continuous"/>
          <w:pgSz w:w="11905" w:h="16838"/>
          <w:pgMar w:top="1531" w:right="1531" w:bottom="1531" w:left="1531" w:header="850" w:footer="850" w:gutter="0"/>
          <w:pgNumType w:start="1"/>
          <w:cols w:space="720" w:num="1"/>
          <w:docGrid w:linePitch="462" w:charSpace="0"/>
        </w:sect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_Toc9700 </w:instrText>
      </w:r>
      <w:r>
        <w:rPr>
          <w:rFonts w:hint="eastAsia" w:ascii="仿宋" w:hAnsi="仿宋" w:eastAsia="仿宋" w:cs="仿宋"/>
          <w:sz w:val="28"/>
          <w:szCs w:val="28"/>
        </w:rPr>
        <w:fldChar w:fldCharType="separate"/>
      </w:r>
      <w:r>
        <w:rPr>
          <w:rFonts w:hint="eastAsia" w:ascii="仿宋" w:hAnsi="仿宋" w:eastAsia="仿宋" w:cs="仿宋"/>
          <w:sz w:val="28"/>
          <w:szCs w:val="28"/>
        </w:rPr>
        <w:t>附表3    评 分 细 则</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11</w:t>
      </w:r>
    </w:p>
    <w:p w14:paraId="1A51C6AF">
      <w:pPr>
        <w:spacing w:line="410" w:lineRule="exact"/>
        <w:rPr>
          <w:rFonts w:hint="eastAsia" w:ascii="仿宋" w:hAnsi="仿宋" w:eastAsia="仿宋" w:cs="仿宋"/>
          <w:sz w:val="24"/>
          <w:szCs w:val="24"/>
        </w:rPr>
      </w:pPr>
    </w:p>
    <w:p w14:paraId="5CE425D4">
      <w:pPr>
        <w:pStyle w:val="19"/>
        <w:spacing w:line="360" w:lineRule="auto"/>
        <w:jc w:val="center"/>
        <w:rPr>
          <w:rFonts w:hint="eastAsia" w:ascii="方正小标宋_GBK" w:hAnsi="方正小标宋_GBK" w:eastAsia="方正小标宋_GBK" w:cs="方正小标宋_GBK"/>
          <w:kern w:val="2"/>
          <w:sz w:val="32"/>
          <w:szCs w:val="32"/>
          <w:lang w:val="en-US" w:eastAsia="zh-CN"/>
        </w:rPr>
      </w:pPr>
      <w:r>
        <w:rPr>
          <w:rFonts w:hint="eastAsia" w:ascii="仿宋" w:hAnsi="仿宋" w:eastAsia="仿宋" w:cs="仿宋"/>
          <w:sz w:val="24"/>
          <w:szCs w:val="24"/>
        </w:rPr>
        <w:fldChar w:fldCharType="end"/>
      </w:r>
      <w:bookmarkStart w:id="0" w:name="_Toc20454"/>
      <w:r>
        <w:rPr>
          <w:rFonts w:hint="eastAsia" w:ascii="方正小标宋_GBK" w:hAnsi="方正小标宋_GBK" w:eastAsia="方正小标宋_GBK" w:cs="方正小标宋_GBK"/>
          <w:kern w:val="2"/>
          <w:sz w:val="32"/>
          <w:szCs w:val="32"/>
          <w:lang w:val="en-US" w:eastAsia="zh-CN"/>
        </w:rPr>
        <w:t>第一章   招标公告</w:t>
      </w:r>
    </w:p>
    <w:bookmarkEnd w:id="0"/>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304E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242" w:type="dxa"/>
            <w:noWrap w:val="0"/>
            <w:vAlign w:val="top"/>
          </w:tcPr>
          <w:p w14:paraId="5580B826">
            <w:pPr>
              <w:widowControl/>
              <w:shd w:val="clear" w:color="auto" w:fill="FFFFFF"/>
              <w:spacing w:before="0" w:beforeAutospacing="0" w:after="0" w:afterAutospacing="0" w:line="336" w:lineRule="auto"/>
              <w:jc w:val="left"/>
              <w:rPr>
                <w:rFonts w:hint="eastAsia" w:ascii="仿宋_GB2312" w:hAnsi="仿宋_GB2312" w:eastAsia="仿宋_GB2312" w:cs="仿宋_GB2312"/>
                <w:color w:val="auto"/>
                <w:kern w:val="0"/>
                <w:sz w:val="32"/>
                <w:szCs w:val="32"/>
                <w:shd w:val="clear" w:color="auto" w:fill="FFFFFF"/>
                <w:lang w:val="en-US" w:eastAsia="zh-CN" w:bidi="ar-SA"/>
              </w:rPr>
            </w:pPr>
            <w:bookmarkStart w:id="1" w:name="_Toc22786"/>
            <w:r>
              <w:rPr>
                <w:rFonts w:hint="eastAsia" w:ascii="仿宋_GB2312" w:hAnsi="仿宋_GB2312" w:eastAsia="仿宋_GB2312" w:cs="仿宋_GB2312"/>
                <w:color w:val="auto"/>
                <w:kern w:val="0"/>
                <w:sz w:val="32"/>
                <w:szCs w:val="32"/>
                <w:shd w:val="clear" w:color="auto" w:fill="FFFFFF"/>
                <w:lang w:val="en-US" w:eastAsia="zh-CN" w:bidi="ar-SA"/>
              </w:rPr>
              <w:t>项目概况</w:t>
            </w:r>
          </w:p>
          <w:p w14:paraId="057A85E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新疆维吾尔自治区伊宁某某</w:t>
            </w:r>
            <w:r>
              <w:rPr>
                <w:rFonts w:hint="eastAsia" w:ascii="仿宋" w:hAnsi="仿宋" w:eastAsia="仿宋" w:cs="仿宋"/>
                <w:color w:val="auto"/>
                <w:sz w:val="32"/>
                <w:szCs w:val="32"/>
                <w:lang w:val="zh-CN"/>
              </w:rPr>
              <w:t>某</w:t>
            </w:r>
            <w:r>
              <w:rPr>
                <w:rFonts w:hint="eastAsia" w:ascii="仿宋_GB2312" w:hAnsi="仿宋_GB2312" w:eastAsia="仿宋_GB2312" w:cs="仿宋_GB2312"/>
                <w:color w:val="auto"/>
                <w:kern w:val="0"/>
                <w:sz w:val="32"/>
                <w:szCs w:val="32"/>
                <w:shd w:val="clear" w:color="auto" w:fill="FFFFFF"/>
                <w:lang w:val="en-US" w:eastAsia="zh-CN" w:bidi="ar-SA"/>
              </w:rPr>
              <w:t>单位生活物资采购（二标段牛、羊肉类）二次的潜在投标人应在政采云平台线上获取招标文件，并于2026年06月29日 10:30（北京时间）前递交投标文件。</w:t>
            </w:r>
          </w:p>
        </w:tc>
      </w:tr>
    </w:tbl>
    <w:p w14:paraId="1D9B79EF">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一、项目基本情况</w:t>
      </w:r>
    </w:p>
    <w:p w14:paraId="4FA2EDA7">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项目编号：XJJB-2026-065</w:t>
      </w:r>
    </w:p>
    <w:p w14:paraId="78349928">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项目名称：新疆维吾尔自治区伊宁某某某单位生活物资采购（二标段牛、羊肉类）二次</w:t>
      </w:r>
    </w:p>
    <w:p w14:paraId="5B69772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采购方式：公开招标</w:t>
      </w:r>
    </w:p>
    <w:p w14:paraId="2D46F8FF">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预算金额（元）：2600000</w:t>
      </w:r>
    </w:p>
    <w:p w14:paraId="1439DA7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最高限价（元）：2600000</w:t>
      </w:r>
    </w:p>
    <w:p w14:paraId="7A2EF86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采购需求：</w:t>
      </w:r>
    </w:p>
    <w:p w14:paraId="4752BBE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29EF4A3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w:t>
      </w:r>
      <w:r>
        <w:rPr>
          <w:rFonts w:hint="eastAsia" w:ascii="仿宋_GB2312" w:hAnsi="仿宋_GB2312" w:eastAsia="仿宋_GB2312" w:cs="仿宋_GB2312"/>
          <w:kern w:val="0"/>
          <w:sz w:val="32"/>
          <w:szCs w:val="32"/>
          <w:shd w:val="clear" w:color="auto" w:fill="FFFFFF"/>
          <w:lang w:val="en-US" w:eastAsia="zh-CN" w:bidi="ar-SA"/>
        </w:rPr>
        <w:t>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某单位生活物资采购（二标段牛、羊肉类）</w:t>
      </w:r>
    </w:p>
    <w:p w14:paraId="0993CC8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0B508DE3">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预算金额（元）：2600000</w:t>
      </w:r>
    </w:p>
    <w:p w14:paraId="7215246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16FDB65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简要规格描述：采购牛、羊肉一批。</w:t>
      </w:r>
    </w:p>
    <w:p w14:paraId="01132F0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6A6F2CB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合同履约期限：</w:t>
      </w:r>
      <w:r>
        <w:rPr>
          <w:rFonts w:hint="eastAsia" w:ascii="仿宋_GB2312" w:hAnsi="仿宋_GB2312" w:eastAsia="仿宋_GB2312" w:cs="仿宋_GB2312"/>
          <w:color w:val="auto"/>
          <w:sz w:val="32"/>
          <w:szCs w:val="32"/>
          <w:shd w:val="clear" w:color="auto" w:fill="FFFFFF"/>
          <w:lang w:eastAsia="zh-CN"/>
        </w:rPr>
        <w:t>供货服务期</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lang w:eastAsia="zh-CN"/>
        </w:rPr>
        <w:t>年</w:t>
      </w:r>
      <w:r>
        <w:rPr>
          <w:rFonts w:hint="eastAsia" w:ascii="仿宋_GB2312" w:hAnsi="仿宋_GB2312" w:eastAsia="仿宋_GB2312" w:cs="仿宋_GB2312"/>
          <w:color w:val="auto"/>
          <w:sz w:val="32"/>
          <w:szCs w:val="32"/>
          <w:shd w:val="clear" w:color="auto" w:fill="FFFFFF"/>
        </w:rPr>
        <w:t>。</w:t>
      </w:r>
    </w:p>
    <w:p w14:paraId="5EB9B81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本项目（否）接受联合体投标。</w:t>
      </w:r>
    </w:p>
    <w:p w14:paraId="1F8ECE84">
      <w:pPr>
        <w:widowControl/>
        <w:shd w:val="clear" w:color="auto" w:fill="FFFFFF"/>
        <w:spacing w:before="0" w:beforeAutospacing="0" w:after="0" w:afterAutospacing="0" w:line="336" w:lineRule="auto"/>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二、申请人的资格要求：</w:t>
      </w:r>
    </w:p>
    <w:p w14:paraId="50C6EBC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1.满足《中华人民共和国政府采购法》第二十二条规定；</w:t>
      </w:r>
    </w:p>
    <w:p w14:paraId="69B6EF2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2.需落实政府采购政策：</w:t>
      </w:r>
      <w:r>
        <w:rPr>
          <w:rFonts w:hint="eastAsia" w:ascii="仿宋_GB2312" w:hAnsi="仿宋_GB2312" w:eastAsia="仿宋_GB2312" w:cs="仿宋_GB2312"/>
          <w:color w:val="auto"/>
          <w:kern w:val="0"/>
          <w:sz w:val="32"/>
          <w:szCs w:val="32"/>
          <w:highlight w:val="none"/>
          <w:shd w:val="clear" w:color="auto" w:fill="FFFFFF"/>
          <w:lang w:val="en-US" w:eastAsia="zh-CN" w:bidi="ar-SA"/>
        </w:rPr>
        <w:t>专门面向中小微企业。</w:t>
      </w:r>
    </w:p>
    <w:p w14:paraId="0A04CE43">
      <w:pPr>
        <w:widowControl/>
        <w:shd w:val="clear" w:color="auto" w:fill="FFFFFF"/>
        <w:spacing w:before="0" w:beforeAutospacing="0" w:after="0" w:afterAutospacing="0" w:line="336" w:lineRule="auto"/>
        <w:ind w:firstLine="320" w:firstLineChars="10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3.本项目的特定资格要求：</w:t>
      </w: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 xml:space="preserve"> </w:t>
      </w:r>
    </w:p>
    <w:p w14:paraId="3AC8C150">
      <w:pPr>
        <w:widowControl/>
        <w:shd w:val="clear" w:color="auto" w:fill="FFFFFF"/>
        <w:spacing w:before="0" w:beforeAutospacing="0" w:after="0" w:afterAutospacing="0" w:line="336" w:lineRule="auto"/>
        <w:ind w:firstLine="320" w:firstLineChars="10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（1）法定代表人身份证或法定代表人授权委托书和委托代理人的身份证，法定代表人授权委托书应当与响应文件中所提供的相一致；</w:t>
      </w:r>
    </w:p>
    <w:p w14:paraId="452BC4F2">
      <w:pPr>
        <w:widowControl/>
        <w:shd w:val="clear" w:color="auto" w:fill="FFFFFF"/>
        <w:spacing w:before="0" w:beforeAutospacing="0" w:after="0" w:afterAutospacing="0" w:line="336" w:lineRule="auto"/>
        <w:ind w:firstLine="320" w:firstLineChars="100"/>
        <w:jc w:val="left"/>
        <w:rPr>
          <w:rFonts w:hint="eastAsia" w:ascii="仿宋_GB2312" w:hAnsi="仿宋_GB2312" w:eastAsia="宋体" w:cs="仿宋_GB2312"/>
          <w:color w:val="auto"/>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w:t>
      </w:r>
      <w:bookmarkStart w:id="2" w:name="OLE_LINK3"/>
      <w:bookmarkStart w:id="3" w:name="OLE_LINK4"/>
      <w:bookmarkStart w:id="333" w:name="_GoBack"/>
      <w:bookmarkEnd w:id="333"/>
      <w:r>
        <w:rPr>
          <w:rFonts w:hint="eastAsia" w:ascii="仿宋_GB2312" w:hAnsi="仿宋_GB2312" w:eastAsia="仿宋_GB2312" w:cs="仿宋_GB2312"/>
          <w:kern w:val="0"/>
          <w:sz w:val="32"/>
          <w:szCs w:val="32"/>
          <w:shd w:val="clear" w:color="auto" w:fill="FFFFFF"/>
          <w:lang w:val="en-US" w:eastAsia="zh-CN" w:bidi="ar-SA"/>
        </w:rPr>
        <w:t>①投标人为生产厂家须提供《</w:t>
      </w:r>
      <w:r>
        <w:rPr>
          <w:rFonts w:hint="eastAsia" w:ascii="仿宋_GB2312" w:hAnsi="仿宋_GB2312" w:eastAsia="仿宋_GB2312" w:cs="仿宋_GB2312"/>
          <w:color w:val="auto"/>
          <w:kern w:val="0"/>
          <w:sz w:val="32"/>
          <w:szCs w:val="32"/>
          <w:shd w:val="clear" w:color="auto" w:fill="FFFFFF"/>
          <w:lang w:val="en-US" w:eastAsia="zh-CN" w:bidi="ar-SA"/>
        </w:rPr>
        <w:t>食品生产许可证》、《食品经营许可证》,投标人为经销商则须提供《食品经营许可证》</w:t>
      </w:r>
      <w:bookmarkEnd w:id="2"/>
      <w:bookmarkEnd w:id="3"/>
      <w:r>
        <w:rPr>
          <w:rFonts w:hint="eastAsia" w:ascii="仿宋_GB2312" w:hAnsi="仿宋_GB2312" w:eastAsia="仿宋_GB2312" w:cs="仿宋_GB2312"/>
          <w:color w:val="auto"/>
          <w:kern w:val="0"/>
          <w:sz w:val="32"/>
          <w:szCs w:val="32"/>
          <w:shd w:val="clear" w:color="auto" w:fill="FFFFFF"/>
          <w:lang w:val="en-US" w:eastAsia="zh-CN" w:bidi="ar-SA"/>
        </w:rPr>
        <w:t>。②肉类物资供应商若为生产厂家或屠宰企业，须提供自有的《屠宰许可证》、《动物防疫条件合格证》，非生产厂家或屠宰企业须提供货物源头厂家的《屠宰许可证》、《动物防疫条件合格证》</w:t>
      </w:r>
      <w:r>
        <w:rPr>
          <w:rFonts w:hint="eastAsia" w:ascii="Times New Roman" w:hAnsi="Times New Roman" w:eastAsia="宋体" w:cs="Times New Roman"/>
          <w:color w:val="auto"/>
          <w:lang w:eastAsia="zh-CN"/>
        </w:rPr>
        <w:t>。</w:t>
      </w:r>
    </w:p>
    <w:p w14:paraId="31B12016">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三、获取招标文件</w:t>
      </w:r>
    </w:p>
    <w:p w14:paraId="05CE0CA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时间：2026年06月08日至 2026年06月15日，每天上午10:00至14:00，下午16:00至20:00（法定节假日除外）</w:t>
      </w:r>
    </w:p>
    <w:p w14:paraId="389B862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地点：政采云平台线上获取</w:t>
      </w:r>
    </w:p>
    <w:p w14:paraId="6304FE4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方式：供应商登录政采云平台https://www.zcygov.cn/在线申请获取采购文件（进入“项目采购”应用，在获取采购文件菜单中选择项目，申请获取采购文件）</w:t>
      </w:r>
    </w:p>
    <w:p w14:paraId="5B0D0A8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售价（元）：0</w:t>
      </w:r>
    </w:p>
    <w:p w14:paraId="18D546A5">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四、提交投标文件截止时间、开标时间和地点</w:t>
      </w:r>
    </w:p>
    <w:p w14:paraId="74AF913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提交投标文件截止时间：2026年06月29日10:30（北京时间）</w:t>
      </w:r>
    </w:p>
    <w:p w14:paraId="4B0855A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投标地点：请登录政采云投标客户端投标</w:t>
      </w:r>
    </w:p>
    <w:p w14:paraId="1F05B188">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开标时间：2026年06月29日 10:30</w:t>
      </w:r>
    </w:p>
    <w:p w14:paraId="69D9244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开标地点：政采云平台（http://www.ccgp-xinjiang.gov.cn/home.html） </w:t>
      </w:r>
    </w:p>
    <w:p w14:paraId="2198D66C">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五、公告期限 </w:t>
      </w:r>
    </w:p>
    <w:p w14:paraId="47D5BD8E">
      <w:pPr>
        <w:widowControl/>
        <w:shd w:val="clear" w:color="auto" w:fill="FFFFFF"/>
        <w:spacing w:before="0" w:beforeAutospacing="0" w:after="0" w:afterAutospacing="0" w:line="460" w:lineRule="exact"/>
        <w:ind w:left="315" w:leftChars="15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自本公告发布之日起5个工作日。</w:t>
      </w:r>
    </w:p>
    <w:p w14:paraId="56AACE4E">
      <w:pPr>
        <w:widowControl/>
        <w:shd w:val="clear" w:color="auto" w:fill="FFFFFF"/>
        <w:spacing w:before="0" w:beforeAutospacing="0" w:after="0" w:afterAutospacing="0" w:line="336" w:lineRule="auto"/>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六、其他补充事宜 </w:t>
      </w:r>
    </w:p>
    <w:p w14:paraId="1FDE7C3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14:paraId="14EE867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52115BE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3、供应商应当在投标截止时间前，将“电子招投标供应商客户端”生成的“电子加密投标文件”上传电子交易平台。</w:t>
      </w:r>
    </w:p>
    <w:p w14:paraId="0D30D1B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214D641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特别提示：</w:t>
      </w:r>
    </w:p>
    <w:p w14:paraId="1ADDC7F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14:paraId="591EDCE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3CDEFA2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40249197">
      <w:pPr>
        <w:widowControl/>
        <w:shd w:val="clear" w:color="auto" w:fill="FFFFFF"/>
        <w:spacing w:before="0" w:beforeAutospacing="0" w:after="0" w:afterAutospacing="0" w:line="336" w:lineRule="auto"/>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七、凡对本次招标提出询问，请按以下方式联系</w:t>
      </w:r>
    </w:p>
    <w:p w14:paraId="1EBF5B3D">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1.采购人信息</w:t>
      </w:r>
    </w:p>
    <w:p w14:paraId="3C580A75">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名 称：新疆维吾尔自治区伊宁某某某单位</w:t>
      </w:r>
    </w:p>
    <w:p w14:paraId="6D4561BB">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地    址：伊宁市康复路</w:t>
      </w:r>
    </w:p>
    <w:p w14:paraId="5255F98C">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xml:space="preserve">联系方式：18709962925　　　　　　　 </w:t>
      </w:r>
      <w:bookmarkStart w:id="4" w:name="_Toc28359009"/>
      <w:bookmarkStart w:id="5" w:name="_Toc28359086"/>
    </w:p>
    <w:p w14:paraId="1E20CBCD">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2.采购代理机构信息</w:t>
      </w:r>
      <w:bookmarkEnd w:id="4"/>
      <w:bookmarkEnd w:id="5"/>
    </w:p>
    <w:p w14:paraId="6A71CC34">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名 称：新疆金斌工程项目管理有限公司　　　　　　　　　　　　</w:t>
      </w:r>
    </w:p>
    <w:p w14:paraId="4AB37F6E">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地　址：伊宁市福安国际1号商业楼413室　　　　　　　　　　　　</w:t>
      </w:r>
    </w:p>
    <w:p w14:paraId="441332DB">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联系方式：</w:t>
      </w:r>
      <w:bookmarkStart w:id="6" w:name="_Toc28359010"/>
      <w:bookmarkStart w:id="7" w:name="_Toc28359087"/>
      <w:r>
        <w:rPr>
          <w:rFonts w:hint="eastAsia" w:ascii="仿宋_GB2312" w:hAnsi="仿宋_GB2312" w:eastAsia="仿宋_GB2312" w:cs="仿宋_GB2312"/>
          <w:color w:val="000000"/>
          <w:kern w:val="0"/>
          <w:sz w:val="32"/>
          <w:szCs w:val="32"/>
          <w:shd w:val="clear" w:color="auto" w:fill="FFFFFF"/>
          <w:lang w:val="en-US" w:eastAsia="zh-CN" w:bidi="ar-SA"/>
        </w:rPr>
        <w:t>13201118511　　　　　　　　　　　　</w:t>
      </w:r>
    </w:p>
    <w:p w14:paraId="2E49D45D">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3.项目联系方式</w:t>
      </w:r>
      <w:bookmarkEnd w:id="6"/>
      <w:bookmarkEnd w:id="7"/>
    </w:p>
    <w:p w14:paraId="23C4F054">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项目联系人：黄新新</w:t>
      </w:r>
    </w:p>
    <w:p w14:paraId="06974440">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电　话：13201118511　</w:t>
      </w:r>
    </w:p>
    <w:p w14:paraId="2357FF0A">
      <w:pPr>
        <w:pStyle w:val="24"/>
        <w:spacing w:line="360" w:lineRule="auto"/>
        <w:rPr>
          <w:rFonts w:hint="eastAsia" w:ascii="仿宋" w:hAnsi="仿宋" w:eastAsia="仿宋" w:cs="仿宋"/>
          <w:snapToGrid w:val="0"/>
          <w:kern w:val="2"/>
          <w:sz w:val="44"/>
          <w:szCs w:val="44"/>
          <w:lang w:val="en-US" w:eastAsia="zh-CN"/>
        </w:rPr>
      </w:pPr>
    </w:p>
    <w:p w14:paraId="1D2ADEB7">
      <w:pPr>
        <w:rPr>
          <w:rFonts w:hint="eastAsia" w:ascii="仿宋" w:hAnsi="仿宋" w:eastAsia="仿宋" w:cs="仿宋"/>
          <w:b/>
          <w:snapToGrid w:val="0"/>
          <w:sz w:val="44"/>
          <w:szCs w:val="44"/>
        </w:rPr>
      </w:pPr>
    </w:p>
    <w:p w14:paraId="155B3792">
      <w:pPr>
        <w:rPr>
          <w:rFonts w:hint="eastAsia" w:ascii="仿宋" w:hAnsi="仿宋" w:eastAsia="仿宋" w:cs="仿宋"/>
          <w:b/>
          <w:snapToGrid w:val="0"/>
          <w:sz w:val="44"/>
          <w:szCs w:val="44"/>
        </w:rPr>
      </w:pPr>
    </w:p>
    <w:p w14:paraId="54F71042">
      <w:pPr>
        <w:rPr>
          <w:rFonts w:ascii="仿宋" w:hAnsi="仿宋" w:eastAsia="仿宋" w:cs="仿宋"/>
          <w:b/>
          <w:snapToGrid w:val="0"/>
          <w:sz w:val="44"/>
          <w:szCs w:val="44"/>
        </w:rPr>
      </w:pPr>
    </w:p>
    <w:p w14:paraId="43F7AED1">
      <w:pPr>
        <w:pStyle w:val="24"/>
        <w:spacing w:line="360" w:lineRule="auto"/>
        <w:rPr>
          <w:rFonts w:hint="eastAsia" w:ascii="方正小标宋_GBK" w:hAnsi="方正小标宋_GBK" w:eastAsia="方正小标宋_GBK" w:cs="方正小标宋_GBK"/>
          <w:b w:val="0"/>
          <w:bCs w:val="0"/>
          <w:kern w:val="2"/>
          <w:lang w:val="en-US" w:eastAsia="zh-CN"/>
        </w:rPr>
      </w:pPr>
      <w:r>
        <w:rPr>
          <w:rFonts w:hint="eastAsia" w:ascii="方正小标宋_GBK" w:hAnsi="方正小标宋_GBK" w:eastAsia="方正小标宋_GBK" w:cs="方正小标宋_GBK"/>
          <w:b w:val="0"/>
          <w:bCs w:val="0"/>
          <w:kern w:val="2"/>
          <w:lang w:val="en-US" w:eastAsia="zh-CN"/>
        </w:rPr>
        <w:t xml:space="preserve">第二章 </w:t>
      </w:r>
      <w:bookmarkStart w:id="8" w:name="_Toc5345_WPSOffice_Level1"/>
      <w:r>
        <w:rPr>
          <w:rFonts w:hint="eastAsia" w:ascii="方正小标宋_GBK" w:hAnsi="方正小标宋_GBK" w:eastAsia="方正小标宋_GBK" w:cs="方正小标宋_GBK"/>
          <w:b w:val="0"/>
          <w:bCs w:val="0"/>
          <w:kern w:val="2"/>
          <w:lang w:val="en-US" w:eastAsia="zh-CN"/>
        </w:rPr>
        <w:t>投标须知前附表</w:t>
      </w:r>
      <w:bookmarkEnd w:id="1"/>
      <w:bookmarkEnd w:id="8"/>
    </w:p>
    <w:tbl>
      <w:tblPr>
        <w:tblStyle w:val="27"/>
        <w:tblW w:w="10533" w:type="dxa"/>
        <w:tblInd w:w="-7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937"/>
        <w:gridCol w:w="1281"/>
        <w:gridCol w:w="2183"/>
        <w:gridCol w:w="1889"/>
        <w:gridCol w:w="2497"/>
      </w:tblGrid>
      <w:tr w14:paraId="4CA62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005" w:hRule="atLeast"/>
        </w:trPr>
        <w:tc>
          <w:tcPr>
            <w:tcW w:w="746" w:type="dxa"/>
            <w:noWrap w:val="0"/>
            <w:vAlign w:val="center"/>
          </w:tcPr>
          <w:p w14:paraId="7DEA153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序号</w:t>
            </w:r>
          </w:p>
        </w:tc>
        <w:tc>
          <w:tcPr>
            <w:tcW w:w="1937" w:type="dxa"/>
            <w:noWrap w:val="0"/>
            <w:vAlign w:val="center"/>
          </w:tcPr>
          <w:p w14:paraId="502A893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条款名称</w:t>
            </w:r>
          </w:p>
        </w:tc>
        <w:tc>
          <w:tcPr>
            <w:tcW w:w="7850" w:type="dxa"/>
            <w:gridSpan w:val="4"/>
            <w:tcBorders>
              <w:bottom w:val="single" w:color="auto" w:sz="4" w:space="0"/>
            </w:tcBorders>
            <w:noWrap w:val="0"/>
            <w:vAlign w:val="center"/>
          </w:tcPr>
          <w:p w14:paraId="461A0B7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内容</w:t>
            </w:r>
          </w:p>
        </w:tc>
      </w:tr>
      <w:tr w14:paraId="40F0A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746" w:type="dxa"/>
            <w:vMerge w:val="restart"/>
            <w:noWrap w:val="0"/>
            <w:vAlign w:val="center"/>
          </w:tcPr>
          <w:p w14:paraId="0ACD1A9B">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w:t>
            </w:r>
          </w:p>
        </w:tc>
        <w:tc>
          <w:tcPr>
            <w:tcW w:w="1937" w:type="dxa"/>
            <w:vMerge w:val="restart"/>
            <w:noWrap w:val="0"/>
            <w:vAlign w:val="center"/>
          </w:tcPr>
          <w:p w14:paraId="6CF7B37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项目名称</w:t>
            </w:r>
          </w:p>
        </w:tc>
        <w:tc>
          <w:tcPr>
            <w:tcW w:w="1281" w:type="dxa"/>
            <w:tcBorders>
              <w:top w:val="single" w:color="auto" w:sz="4" w:space="0"/>
              <w:bottom w:val="single" w:color="auto" w:sz="4" w:space="0"/>
              <w:right w:val="single" w:color="auto" w:sz="4" w:space="0"/>
            </w:tcBorders>
            <w:noWrap w:val="0"/>
            <w:vAlign w:val="center"/>
          </w:tcPr>
          <w:p w14:paraId="05BA327E">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top w:val="single" w:color="auto" w:sz="4" w:space="0"/>
              <w:left w:val="single" w:color="auto" w:sz="4" w:space="0"/>
              <w:bottom w:val="single" w:color="auto" w:sz="4" w:space="0"/>
            </w:tcBorders>
            <w:noWrap w:val="0"/>
            <w:vAlign w:val="center"/>
          </w:tcPr>
          <w:p w14:paraId="17CC1EE3">
            <w:pPr>
              <w:widowControl/>
              <w:shd w:val="clear" w:color="auto" w:fill="FFFFFF"/>
              <w:spacing w:before="0" w:beforeAutospacing="0" w:after="0" w:afterAutospacing="0" w:line="336" w:lineRule="auto"/>
              <w:jc w:val="left"/>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color w:val="auto"/>
                <w:sz w:val="32"/>
                <w:szCs w:val="32"/>
                <w:lang w:eastAsia="zh-CN"/>
              </w:rPr>
              <w:t>新疆维吾尔自治区伊宁某某单位生活物资采购</w:t>
            </w:r>
            <w:r>
              <w:rPr>
                <w:rFonts w:hint="eastAsia" w:ascii="仿宋_GB2312" w:hAnsi="仿宋_GB2312" w:eastAsia="仿宋_GB2312" w:cs="仿宋_GB2312"/>
                <w:color w:val="auto"/>
                <w:kern w:val="0"/>
                <w:sz w:val="32"/>
                <w:szCs w:val="32"/>
                <w:shd w:val="clear" w:color="auto" w:fill="FFFFFF"/>
                <w:lang w:val="en-US" w:eastAsia="zh-CN" w:bidi="ar-SA"/>
              </w:rPr>
              <w:t>（二标段牛、羊肉类）</w:t>
            </w:r>
          </w:p>
        </w:tc>
      </w:tr>
      <w:tr w14:paraId="04A7A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noWrap w:val="0"/>
            <w:vAlign w:val="center"/>
          </w:tcPr>
          <w:p w14:paraId="31FD556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068E70B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6DD987BF">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编号</w:t>
            </w:r>
          </w:p>
        </w:tc>
        <w:tc>
          <w:tcPr>
            <w:tcW w:w="6569" w:type="dxa"/>
            <w:gridSpan w:val="3"/>
            <w:tcBorders>
              <w:top w:val="single" w:color="auto" w:sz="4" w:space="0"/>
              <w:left w:val="single" w:color="auto" w:sz="4" w:space="0"/>
            </w:tcBorders>
            <w:noWrap w:val="0"/>
            <w:vAlign w:val="center"/>
          </w:tcPr>
          <w:p w14:paraId="044D7FC6">
            <w:pPr>
              <w:keepNext w:val="0"/>
              <w:keepLines w:val="0"/>
              <w:pageBreakBefore w:val="0"/>
              <w:kinsoku/>
              <w:wordWrap/>
              <w:topLinePunct w:val="0"/>
              <w:autoSpaceDE w:val="0"/>
              <w:autoSpaceDN w:val="0"/>
              <w:bidi w:val="0"/>
              <w:adjustRightInd w:val="0"/>
              <w:spacing w:line="360"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XJJB-2026-0</w:t>
            </w:r>
            <w:r>
              <w:rPr>
                <w:rFonts w:hint="eastAsia" w:ascii="仿宋_GB2312" w:hAnsi="仿宋_GB2312" w:eastAsia="仿宋_GB2312" w:cs="仿宋_GB2312"/>
                <w:color w:val="auto"/>
                <w:sz w:val="32"/>
                <w:szCs w:val="32"/>
                <w:shd w:val="clear" w:color="auto" w:fill="FFFFFF"/>
                <w:lang w:val="en-US" w:eastAsia="zh-CN"/>
              </w:rPr>
              <w:t>65</w:t>
            </w:r>
          </w:p>
        </w:tc>
      </w:tr>
      <w:tr w14:paraId="5FB69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746" w:type="dxa"/>
            <w:vMerge w:val="restart"/>
            <w:noWrap w:val="0"/>
            <w:vAlign w:val="center"/>
          </w:tcPr>
          <w:p w14:paraId="7FCCAC9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w:t>
            </w:r>
          </w:p>
        </w:tc>
        <w:tc>
          <w:tcPr>
            <w:tcW w:w="1937" w:type="dxa"/>
            <w:vMerge w:val="restart"/>
            <w:noWrap w:val="0"/>
            <w:vAlign w:val="center"/>
          </w:tcPr>
          <w:p w14:paraId="5B33CBD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采购人</w:t>
            </w:r>
          </w:p>
        </w:tc>
        <w:tc>
          <w:tcPr>
            <w:tcW w:w="1281" w:type="dxa"/>
            <w:tcBorders>
              <w:bottom w:val="single" w:color="auto" w:sz="4" w:space="0"/>
              <w:right w:val="single" w:color="auto" w:sz="4" w:space="0"/>
            </w:tcBorders>
            <w:noWrap w:val="0"/>
            <w:vAlign w:val="center"/>
          </w:tcPr>
          <w:p w14:paraId="6F96BC7D">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left w:val="single" w:color="auto" w:sz="4" w:space="0"/>
              <w:bottom w:val="single" w:color="auto" w:sz="4" w:space="0"/>
            </w:tcBorders>
            <w:noWrap w:val="0"/>
            <w:vAlign w:val="center"/>
          </w:tcPr>
          <w:p w14:paraId="57C89BE7">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新疆维吾尔自治区伊宁某某某单位</w:t>
            </w:r>
          </w:p>
        </w:tc>
      </w:tr>
      <w:tr w14:paraId="7061C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vMerge w:val="continue"/>
            <w:noWrap w:val="0"/>
            <w:vAlign w:val="center"/>
          </w:tcPr>
          <w:p w14:paraId="4D101B9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7F04501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bottom w:val="single" w:color="auto" w:sz="4" w:space="0"/>
              <w:right w:val="single" w:color="auto" w:sz="4" w:space="0"/>
            </w:tcBorders>
            <w:noWrap w:val="0"/>
            <w:vAlign w:val="center"/>
          </w:tcPr>
          <w:p w14:paraId="44C5AF87">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联系人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B45D3AA">
            <w:pPr>
              <w:keepNext w:val="0"/>
              <w:keepLines w:val="0"/>
              <w:pageBreakBefore w:val="0"/>
              <w:kinsoku/>
              <w:wordWrap/>
              <w:topLinePunct w:val="0"/>
              <w:bidi w:val="0"/>
              <w:spacing w:line="360" w:lineRule="auto"/>
              <w:jc w:val="center"/>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李庆宏</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E50F5A1">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联系电话</w:t>
            </w:r>
          </w:p>
        </w:tc>
        <w:tc>
          <w:tcPr>
            <w:tcW w:w="2497" w:type="dxa"/>
            <w:tcBorders>
              <w:top w:val="single" w:color="auto" w:sz="4" w:space="0"/>
              <w:left w:val="single" w:color="auto" w:sz="4" w:space="0"/>
              <w:bottom w:val="single" w:color="auto" w:sz="4" w:space="0"/>
            </w:tcBorders>
            <w:noWrap w:val="0"/>
            <w:vAlign w:val="center"/>
          </w:tcPr>
          <w:p w14:paraId="0E25C057">
            <w:pPr>
              <w:keepNext w:val="0"/>
              <w:keepLines w:val="0"/>
              <w:pageBreakBefore w:val="0"/>
              <w:kinsoku/>
              <w:wordWrap/>
              <w:topLinePunct w:val="0"/>
              <w:bidi w:val="0"/>
              <w:spacing w:line="360" w:lineRule="auto"/>
              <w:jc w:val="center"/>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 xml:space="preserve"> </w:t>
            </w:r>
            <w:r>
              <w:rPr>
                <w:rFonts w:hint="eastAsia" w:ascii="仿宋_GB2312" w:hAnsi="仿宋_GB2312" w:eastAsia="仿宋_GB2312" w:cs="仿宋_GB2312"/>
                <w:color w:val="auto"/>
                <w:sz w:val="32"/>
                <w:szCs w:val="32"/>
                <w:lang w:val="en-US" w:eastAsia="zh-CN"/>
              </w:rPr>
              <w:t>18709962925</w:t>
            </w:r>
          </w:p>
        </w:tc>
      </w:tr>
      <w:tr w14:paraId="781BD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746" w:type="dxa"/>
            <w:vMerge w:val="continue"/>
            <w:noWrap w:val="0"/>
            <w:vAlign w:val="center"/>
          </w:tcPr>
          <w:p w14:paraId="0E34702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700A731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7B1B9FFC">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地址</w:t>
            </w:r>
          </w:p>
        </w:tc>
        <w:tc>
          <w:tcPr>
            <w:tcW w:w="6569" w:type="dxa"/>
            <w:gridSpan w:val="3"/>
            <w:tcBorders>
              <w:top w:val="single" w:color="auto" w:sz="4" w:space="0"/>
              <w:left w:val="single" w:color="auto" w:sz="4" w:space="0"/>
            </w:tcBorders>
            <w:noWrap w:val="0"/>
            <w:vAlign w:val="center"/>
          </w:tcPr>
          <w:p w14:paraId="365286BF">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eastAsia="zh-CN"/>
              </w:rPr>
              <w:t>伊宁市康复路</w:t>
            </w:r>
          </w:p>
        </w:tc>
      </w:tr>
      <w:tr w14:paraId="3BE00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restart"/>
            <w:noWrap w:val="0"/>
            <w:vAlign w:val="center"/>
          </w:tcPr>
          <w:p w14:paraId="677E98D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w:t>
            </w:r>
          </w:p>
        </w:tc>
        <w:tc>
          <w:tcPr>
            <w:tcW w:w="1937" w:type="dxa"/>
            <w:vMerge w:val="restart"/>
            <w:noWrap w:val="0"/>
            <w:vAlign w:val="center"/>
          </w:tcPr>
          <w:p w14:paraId="2CBD672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采购代理</w:t>
            </w:r>
          </w:p>
          <w:p w14:paraId="33EB236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机构</w:t>
            </w:r>
          </w:p>
        </w:tc>
        <w:tc>
          <w:tcPr>
            <w:tcW w:w="1281" w:type="dxa"/>
            <w:tcBorders>
              <w:bottom w:val="single" w:color="auto" w:sz="4" w:space="0"/>
              <w:right w:val="single" w:color="auto" w:sz="4" w:space="0"/>
            </w:tcBorders>
            <w:noWrap w:val="0"/>
            <w:vAlign w:val="center"/>
          </w:tcPr>
          <w:p w14:paraId="0A66400F">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left w:val="single" w:color="auto" w:sz="4" w:space="0"/>
              <w:bottom w:val="single" w:color="auto" w:sz="4" w:space="0"/>
            </w:tcBorders>
            <w:noWrap w:val="0"/>
            <w:vAlign w:val="center"/>
          </w:tcPr>
          <w:p w14:paraId="18205055">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新疆金斌工程项目管理有限公司</w:t>
            </w:r>
          </w:p>
        </w:tc>
      </w:tr>
      <w:tr w14:paraId="12D56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noWrap w:val="0"/>
            <w:vAlign w:val="center"/>
          </w:tcPr>
          <w:p w14:paraId="03E82C4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380B64F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bottom w:val="single" w:color="auto" w:sz="4" w:space="0"/>
              <w:right w:val="single" w:color="auto" w:sz="4" w:space="0"/>
            </w:tcBorders>
            <w:noWrap w:val="0"/>
            <w:vAlign w:val="center"/>
          </w:tcPr>
          <w:p w14:paraId="645F14DC">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联系人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7A3ED9C">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黄新新</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8049316">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tc>
        <w:tc>
          <w:tcPr>
            <w:tcW w:w="2497" w:type="dxa"/>
            <w:tcBorders>
              <w:top w:val="single" w:color="auto" w:sz="4" w:space="0"/>
              <w:left w:val="single" w:color="auto" w:sz="4" w:space="0"/>
              <w:bottom w:val="single" w:color="auto" w:sz="4" w:space="0"/>
            </w:tcBorders>
            <w:noWrap w:val="0"/>
            <w:vAlign w:val="center"/>
          </w:tcPr>
          <w:p w14:paraId="3FB99E99">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13201118511</w:t>
            </w:r>
          </w:p>
        </w:tc>
      </w:tr>
      <w:tr w14:paraId="6080F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746" w:type="dxa"/>
            <w:vMerge w:val="continue"/>
            <w:noWrap w:val="0"/>
            <w:vAlign w:val="center"/>
          </w:tcPr>
          <w:p w14:paraId="4428D77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4BA9CF1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5EA41E76">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地址</w:t>
            </w:r>
          </w:p>
        </w:tc>
        <w:tc>
          <w:tcPr>
            <w:tcW w:w="6569" w:type="dxa"/>
            <w:gridSpan w:val="3"/>
            <w:tcBorders>
              <w:top w:val="single" w:color="auto" w:sz="4" w:space="0"/>
              <w:left w:val="single" w:color="auto" w:sz="4" w:space="0"/>
            </w:tcBorders>
            <w:noWrap w:val="0"/>
            <w:vAlign w:val="center"/>
          </w:tcPr>
          <w:p w14:paraId="6CBC1483">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伊宁市福安国际1号商业楼413室</w:t>
            </w:r>
          </w:p>
        </w:tc>
      </w:tr>
      <w:tr w14:paraId="48E1E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noWrap w:val="0"/>
            <w:vAlign w:val="center"/>
          </w:tcPr>
          <w:p w14:paraId="0AFBEFB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4</w:t>
            </w:r>
          </w:p>
        </w:tc>
        <w:tc>
          <w:tcPr>
            <w:tcW w:w="1937" w:type="dxa"/>
            <w:noWrap w:val="0"/>
            <w:vAlign w:val="center"/>
          </w:tcPr>
          <w:p w14:paraId="243051D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采购内容</w:t>
            </w:r>
          </w:p>
        </w:tc>
        <w:tc>
          <w:tcPr>
            <w:tcW w:w="7850" w:type="dxa"/>
            <w:gridSpan w:val="4"/>
            <w:noWrap w:val="0"/>
            <w:vAlign w:val="center"/>
          </w:tcPr>
          <w:p w14:paraId="6984DF02">
            <w:pPr>
              <w:keepNext w:val="0"/>
              <w:keepLines w:val="0"/>
              <w:pageBreakBefore w:val="0"/>
              <w:widowControl/>
              <w:shd w:val="clear" w:color="auto" w:fill="FFFFFF"/>
              <w:kinsoku/>
              <w:wordWrap/>
              <w:topLinePunct w:val="0"/>
              <w:bidi w:val="0"/>
              <w:spacing w:before="0" w:beforeAutospacing="0" w:after="0" w:afterAutospacing="0" w:line="400" w:lineRule="exact"/>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采购牛、羊、肉一批。</w:t>
            </w:r>
          </w:p>
        </w:tc>
      </w:tr>
      <w:tr w14:paraId="75D73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noWrap w:val="0"/>
            <w:vAlign w:val="center"/>
          </w:tcPr>
          <w:p w14:paraId="2D540A8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5</w:t>
            </w:r>
          </w:p>
        </w:tc>
        <w:tc>
          <w:tcPr>
            <w:tcW w:w="1937" w:type="dxa"/>
            <w:vMerge w:val="restart"/>
            <w:noWrap w:val="0"/>
            <w:vAlign w:val="center"/>
          </w:tcPr>
          <w:p w14:paraId="6AC41C28">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采购预算</w:t>
            </w:r>
          </w:p>
          <w:p w14:paraId="04E91F4B">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金额</w:t>
            </w:r>
          </w:p>
        </w:tc>
        <w:tc>
          <w:tcPr>
            <w:tcW w:w="7850" w:type="dxa"/>
            <w:gridSpan w:val="4"/>
            <w:tcBorders>
              <w:bottom w:val="single" w:color="auto" w:sz="4" w:space="0"/>
            </w:tcBorders>
            <w:noWrap w:val="0"/>
            <w:vAlign w:val="center"/>
          </w:tcPr>
          <w:p w14:paraId="4AEA87B4">
            <w:pPr>
              <w:pStyle w:val="23"/>
              <w:keepNext w:val="0"/>
              <w:keepLines w:val="0"/>
              <w:pageBreakBefore w:val="0"/>
              <w:shd w:val="clear" w:color="auto" w:fill="FFFFFF"/>
              <w:kinsoku/>
              <w:wordWrap/>
              <w:topLinePunct w:val="0"/>
              <w:bidi w:val="0"/>
              <w:spacing w:before="0" w:beforeAutospacing="0" w:after="0" w:afterAutospacing="0" w:line="360" w:lineRule="auto"/>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rPr>
              <w:t>小写（元）：</w:t>
            </w:r>
            <w:r>
              <w:rPr>
                <w:rFonts w:hint="eastAsia" w:ascii="仿宋_GB2312" w:hAnsi="仿宋_GB2312" w:eastAsia="仿宋_GB2312" w:cs="仿宋_GB2312"/>
                <w:b/>
                <w:bCs/>
                <w:color w:val="auto"/>
                <w:kern w:val="2"/>
                <w:sz w:val="32"/>
                <w:szCs w:val="32"/>
                <w:lang w:val="en-US" w:eastAsia="zh-CN"/>
              </w:rPr>
              <w:t>2600000</w:t>
            </w:r>
            <w:r>
              <w:rPr>
                <w:rFonts w:hint="eastAsia" w:ascii="仿宋_GB2312" w:hAnsi="仿宋_GB2312" w:eastAsia="仿宋_GB2312" w:cs="仿宋_GB2312"/>
                <w:b/>
                <w:bCs/>
                <w:color w:val="auto"/>
                <w:kern w:val="2"/>
                <w:sz w:val="32"/>
                <w:szCs w:val="32"/>
              </w:rPr>
              <w:t xml:space="preserve">.00  </w:t>
            </w:r>
            <w:r>
              <w:rPr>
                <w:rFonts w:hint="eastAsia" w:ascii="仿宋_GB2312" w:hAnsi="仿宋_GB2312" w:eastAsia="仿宋_GB2312" w:cs="仿宋_GB2312"/>
                <w:b/>
                <w:bCs/>
                <w:color w:val="auto"/>
                <w:kern w:val="2"/>
                <w:sz w:val="32"/>
                <w:szCs w:val="32"/>
                <w:lang w:val="en-US" w:eastAsia="zh-CN"/>
              </w:rPr>
              <w:t xml:space="preserve"> </w:t>
            </w:r>
            <w:r>
              <w:rPr>
                <w:rFonts w:hint="eastAsia" w:ascii="仿宋_GB2312" w:hAnsi="仿宋_GB2312" w:eastAsia="仿宋_GB2312" w:cs="仿宋_GB2312"/>
                <w:b/>
                <w:bCs/>
                <w:color w:val="auto"/>
                <w:kern w:val="2"/>
                <w:sz w:val="32"/>
                <w:szCs w:val="32"/>
              </w:rPr>
              <w:t xml:space="preserve"> 大写：</w:t>
            </w:r>
            <w:r>
              <w:rPr>
                <w:rFonts w:hint="eastAsia" w:ascii="仿宋_GB2312" w:hAnsi="仿宋_GB2312" w:eastAsia="仿宋_GB2312" w:cs="仿宋_GB2312"/>
                <w:b/>
                <w:bCs/>
                <w:color w:val="auto"/>
                <w:kern w:val="2"/>
                <w:sz w:val="32"/>
                <w:szCs w:val="32"/>
                <w:lang w:val="en-US" w:eastAsia="zh-CN"/>
              </w:rPr>
              <w:t>贰佰陆拾万元整</w:t>
            </w:r>
          </w:p>
          <w:p w14:paraId="178E2CA9">
            <w:pPr>
              <w:keepNext w:val="0"/>
              <w:keepLines w:val="0"/>
              <w:pageBreakBefore w:val="0"/>
              <w:widowControl/>
              <w:shd w:val="clear" w:color="auto" w:fill="FFFFFF"/>
              <w:kinsoku/>
              <w:wordWrap/>
              <w:topLinePunct w:val="0"/>
              <w:bidi w:val="0"/>
              <w:spacing w:before="0" w:beforeAutospacing="0" w:after="0" w:afterAutospacing="0" w:line="360" w:lineRule="auto"/>
              <w:jc w:val="left"/>
              <w:rPr>
                <w:rFonts w:hint="eastAsia" w:ascii="仿宋_GB2312" w:hAnsi="仿宋_GB2312" w:eastAsia="仿宋_GB2312" w:cs="仿宋_GB2312"/>
                <w:b/>
                <w:bCs/>
                <w:color w:val="auto"/>
                <w:kern w:val="0"/>
                <w:sz w:val="32"/>
                <w:szCs w:val="32"/>
                <w:shd w:val="clear" w:color="auto" w:fill="FFFFFF"/>
                <w:lang w:val="zh-TW" w:eastAsia="zh-CN" w:bidi="ar-SA"/>
              </w:rPr>
            </w:pPr>
            <w:r>
              <w:rPr>
                <w:rFonts w:hint="eastAsia" w:ascii="仿宋_GB2312" w:hAnsi="仿宋_GB2312" w:eastAsia="仿宋_GB2312" w:cs="仿宋_GB2312"/>
                <w:b/>
                <w:bCs/>
                <w:color w:val="auto"/>
                <w:kern w:val="0"/>
                <w:sz w:val="32"/>
                <w:szCs w:val="32"/>
                <w:shd w:val="clear" w:color="auto" w:fill="FFFFFF"/>
                <w:lang w:val="en-US" w:eastAsia="zh-CN" w:bidi="ar-SA"/>
              </w:rPr>
              <w:t>注：①</w:t>
            </w:r>
            <w:r>
              <w:rPr>
                <w:rFonts w:hint="eastAsia" w:ascii="仿宋_GB2312" w:hAnsi="仿宋_GB2312" w:eastAsia="仿宋_GB2312" w:cs="仿宋_GB2312"/>
                <w:b/>
                <w:bCs/>
                <w:color w:val="auto"/>
                <w:kern w:val="0"/>
                <w:sz w:val="32"/>
                <w:szCs w:val="32"/>
                <w:shd w:val="clear" w:color="auto" w:fill="FFFFFF"/>
                <w:lang w:val="zh-TW" w:eastAsia="zh-CN" w:bidi="ar-SA"/>
              </w:rPr>
              <w:t>此次</w:t>
            </w:r>
            <w:r>
              <w:rPr>
                <w:rFonts w:hint="eastAsia" w:ascii="仿宋_GB2312" w:hAnsi="仿宋_GB2312" w:eastAsia="仿宋_GB2312" w:cs="仿宋_GB2312"/>
                <w:b/>
                <w:bCs/>
                <w:color w:val="auto"/>
                <w:kern w:val="0"/>
                <w:sz w:val="32"/>
                <w:szCs w:val="32"/>
                <w:shd w:val="clear" w:color="auto" w:fill="FFFFFF"/>
                <w:lang w:val="en-US" w:eastAsia="zh-CN" w:bidi="ar-SA"/>
              </w:rPr>
              <w:t>投标</w:t>
            </w:r>
            <w:r>
              <w:rPr>
                <w:rFonts w:hint="eastAsia" w:ascii="仿宋_GB2312" w:hAnsi="仿宋_GB2312" w:eastAsia="仿宋_GB2312" w:cs="仿宋_GB2312"/>
                <w:b/>
                <w:bCs/>
                <w:color w:val="auto"/>
                <w:kern w:val="0"/>
                <w:sz w:val="32"/>
                <w:szCs w:val="32"/>
                <w:shd w:val="clear" w:color="auto" w:fill="FFFFFF"/>
                <w:lang w:val="zh-TW" w:eastAsia="zh-CN" w:bidi="ar-SA"/>
              </w:rPr>
              <w:t>报价采用单价</w:t>
            </w:r>
            <w:r>
              <w:rPr>
                <w:rFonts w:hint="eastAsia" w:ascii="仿宋_GB2312" w:hAnsi="仿宋_GB2312" w:eastAsia="仿宋_GB2312" w:cs="仿宋_GB2312"/>
                <w:b/>
                <w:bCs/>
                <w:color w:val="auto"/>
                <w:kern w:val="0"/>
                <w:sz w:val="32"/>
                <w:szCs w:val="32"/>
                <w:shd w:val="clear" w:color="auto" w:fill="FFFFFF"/>
                <w:lang w:val="en-US" w:eastAsia="zh-CN" w:bidi="ar-SA"/>
              </w:rPr>
              <w:t>及分项</w:t>
            </w:r>
            <w:r>
              <w:rPr>
                <w:rFonts w:hint="eastAsia" w:ascii="仿宋_GB2312" w:hAnsi="仿宋_GB2312" w:eastAsia="仿宋_GB2312" w:cs="仿宋_GB2312"/>
                <w:b/>
                <w:bCs/>
                <w:color w:val="auto"/>
                <w:kern w:val="0"/>
                <w:sz w:val="32"/>
                <w:szCs w:val="32"/>
                <w:shd w:val="clear" w:color="auto" w:fill="FFFFFF"/>
                <w:lang w:val="zh-TW" w:eastAsia="zh-CN" w:bidi="ar-SA"/>
              </w:rPr>
              <w:t>下浮</w:t>
            </w:r>
            <w:r>
              <w:rPr>
                <w:rFonts w:hint="eastAsia" w:ascii="仿宋_GB2312" w:hAnsi="仿宋_GB2312" w:eastAsia="仿宋_GB2312" w:cs="仿宋_GB2312"/>
                <w:b/>
                <w:bCs/>
                <w:color w:val="auto"/>
                <w:kern w:val="0"/>
                <w:sz w:val="32"/>
                <w:szCs w:val="32"/>
                <w:shd w:val="clear" w:color="auto" w:fill="FFFFFF"/>
                <w:lang w:val="en-US" w:eastAsia="zh-CN" w:bidi="ar-SA"/>
              </w:rPr>
              <w:t>率进行</w:t>
            </w:r>
            <w:r>
              <w:rPr>
                <w:rFonts w:hint="eastAsia" w:ascii="仿宋_GB2312" w:hAnsi="仿宋_GB2312" w:eastAsia="仿宋_GB2312" w:cs="仿宋_GB2312"/>
                <w:b/>
                <w:bCs/>
                <w:color w:val="auto"/>
                <w:kern w:val="0"/>
                <w:sz w:val="32"/>
                <w:szCs w:val="32"/>
                <w:shd w:val="clear" w:color="auto" w:fill="FFFFFF"/>
                <w:lang w:val="zh-TW" w:eastAsia="zh-CN" w:bidi="ar-SA"/>
              </w:rPr>
              <w:t>报价，</w:t>
            </w:r>
            <w:r>
              <w:rPr>
                <w:rFonts w:hint="eastAsia" w:ascii="仿宋_GB2312" w:hAnsi="仿宋_GB2312" w:eastAsia="仿宋_GB2312" w:cs="仿宋_GB2312"/>
                <w:b/>
                <w:bCs/>
                <w:color w:val="auto"/>
                <w:kern w:val="0"/>
                <w:sz w:val="32"/>
                <w:szCs w:val="32"/>
                <w:shd w:val="clear" w:color="auto" w:fill="FFFFFF"/>
                <w:lang w:val="en-US" w:eastAsia="zh-CN" w:bidi="ar-SA"/>
              </w:rPr>
              <w:t>单价仅做后期结算价格参考，不作为本次价格评审；下浮率作为本次价格评审，以中标分项下浮率下浮的方式进行结算当月货款</w:t>
            </w:r>
            <w:r>
              <w:rPr>
                <w:rFonts w:hint="eastAsia" w:ascii="仿宋_GB2312" w:hAnsi="仿宋_GB2312" w:eastAsia="仿宋_GB2312" w:cs="仿宋_GB2312"/>
                <w:b/>
                <w:bCs/>
                <w:color w:val="auto"/>
                <w:kern w:val="0"/>
                <w:sz w:val="32"/>
                <w:szCs w:val="32"/>
                <w:shd w:val="clear" w:color="auto" w:fill="FFFFFF"/>
                <w:lang w:val="zh-TW" w:eastAsia="zh-CN" w:bidi="ar-SA"/>
              </w:rPr>
              <w:t>。</w:t>
            </w:r>
          </w:p>
          <w:p w14:paraId="078C7A4E">
            <w:pPr>
              <w:pStyle w:val="23"/>
              <w:keepNext w:val="0"/>
              <w:keepLines w:val="0"/>
              <w:pageBreakBefore w:val="0"/>
              <w:shd w:val="clear" w:color="auto" w:fill="FFFFFF"/>
              <w:kinsoku/>
              <w:wordWrap/>
              <w:topLinePunct w:val="0"/>
              <w:bidi w:val="0"/>
              <w:spacing w:before="0" w:beforeAutospacing="0" w:after="0" w:afterAutospacing="0" w:line="360" w:lineRule="auto"/>
              <w:rPr>
                <w:rFonts w:hint="default" w:ascii="仿宋_GB2312" w:hAnsi="仿宋_GB2312" w:eastAsia="仿宋_GB2312" w:cs="仿宋_GB2312"/>
                <w:b/>
                <w:bCs/>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0"/>
                <w:sz w:val="32"/>
                <w:szCs w:val="32"/>
                <w:shd w:val="clear" w:color="auto" w:fill="FFFFFF"/>
                <w:lang w:val="en-US" w:eastAsia="zh-CN" w:bidi="ar-SA"/>
              </w:rPr>
              <w:t>②下浮率</w:t>
            </w:r>
            <w:r>
              <w:rPr>
                <w:rFonts w:hint="eastAsia" w:ascii="仿宋_GB2312" w:hAnsi="仿宋_GB2312" w:eastAsia="仿宋_GB2312" w:cs="仿宋_GB2312"/>
                <w:b/>
                <w:bCs/>
                <w:color w:val="auto"/>
                <w:kern w:val="0"/>
                <w:sz w:val="32"/>
                <w:szCs w:val="32"/>
                <w:shd w:val="clear" w:color="auto" w:fill="FFFFFF"/>
                <w:lang w:val="zh-TW" w:eastAsia="zh-CN" w:bidi="ar-SA"/>
              </w:rPr>
              <w:t>报价浮动</w:t>
            </w:r>
            <w:r>
              <w:rPr>
                <w:rFonts w:hint="eastAsia" w:ascii="仿宋_GB2312" w:hAnsi="仿宋_GB2312" w:eastAsia="仿宋_GB2312" w:cs="仿宋_GB2312"/>
                <w:b/>
                <w:bCs/>
                <w:color w:val="auto"/>
                <w:sz w:val="32"/>
                <w:szCs w:val="32"/>
                <w:shd w:val="clear" w:color="auto" w:fill="FFFFFF"/>
                <w:lang w:val="en-US" w:eastAsia="zh-CN"/>
              </w:rPr>
              <w:t>100</w:t>
            </w:r>
            <w:r>
              <w:rPr>
                <w:rFonts w:hint="eastAsia" w:ascii="仿宋_GB2312" w:hAnsi="仿宋_GB2312" w:eastAsia="仿宋_GB2312" w:cs="仿宋_GB2312"/>
                <w:b/>
                <w:bCs/>
                <w:color w:val="auto"/>
                <w:sz w:val="32"/>
                <w:szCs w:val="32"/>
                <w:shd w:val="clear" w:color="auto" w:fill="FFFFFF"/>
                <w:lang w:val="zh-TW" w:eastAsia="zh-CN"/>
              </w:rPr>
              <w:t>%</w:t>
            </w:r>
            <w:r>
              <w:rPr>
                <w:rFonts w:hint="eastAsia" w:ascii="仿宋_GB2312" w:hAnsi="仿宋_GB2312" w:eastAsia="仿宋_GB2312" w:cs="仿宋_GB2312"/>
                <w:b/>
                <w:bCs/>
                <w:color w:val="auto"/>
                <w:sz w:val="32"/>
                <w:szCs w:val="32"/>
                <w:shd w:val="clear" w:color="auto" w:fill="FFFFFF"/>
                <w:lang w:val="en-US" w:eastAsia="zh-CN"/>
              </w:rPr>
              <w:t>≥x≥1%</w:t>
            </w:r>
            <w:r>
              <w:rPr>
                <w:rFonts w:hint="eastAsia" w:ascii="仿宋_GB2312" w:hAnsi="仿宋_GB2312" w:eastAsia="仿宋_GB2312" w:cs="仿宋_GB2312"/>
                <w:b/>
                <w:bCs/>
                <w:color w:val="auto"/>
                <w:kern w:val="0"/>
                <w:sz w:val="32"/>
                <w:szCs w:val="32"/>
                <w:shd w:val="clear" w:color="auto" w:fill="FFFFFF"/>
                <w:lang w:val="zh-TW" w:eastAsia="zh-CN" w:bidi="ar-SA"/>
              </w:rPr>
              <w:t>，</w:t>
            </w:r>
            <w:r>
              <w:rPr>
                <w:rFonts w:hint="eastAsia" w:ascii="仿宋_GB2312" w:hAnsi="仿宋_GB2312" w:eastAsia="仿宋_GB2312" w:cs="仿宋_GB2312"/>
                <w:b/>
                <w:bCs/>
                <w:color w:val="auto"/>
                <w:kern w:val="0"/>
                <w:sz w:val="32"/>
                <w:szCs w:val="32"/>
                <w:shd w:val="clear" w:color="auto" w:fill="FFFFFF"/>
                <w:lang w:val="en-US" w:eastAsia="zh-CN" w:bidi="ar-SA"/>
              </w:rPr>
              <w:t>X值为本次报价下浮率（例如:X值报价10%，为打9折计算），本项目</w:t>
            </w:r>
            <w:r>
              <w:rPr>
                <w:rFonts w:hint="eastAsia" w:ascii="仿宋_GB2312" w:hAnsi="仿宋_GB2312" w:eastAsia="仿宋_GB2312" w:cs="仿宋_GB2312"/>
                <w:b/>
                <w:bCs/>
                <w:color w:val="auto"/>
                <w:kern w:val="0"/>
                <w:sz w:val="32"/>
                <w:szCs w:val="32"/>
                <w:shd w:val="clear" w:color="auto" w:fill="FFFFFF"/>
                <w:lang w:val="zh-TW" w:eastAsia="zh-CN" w:bidi="ar-SA"/>
              </w:rPr>
              <w:t>价格全部按照市场调价的方式，（</w:t>
            </w:r>
            <w:r>
              <w:rPr>
                <w:rFonts w:hint="eastAsia" w:ascii="仿宋_GB2312" w:hAnsi="仿宋_GB2312" w:eastAsia="仿宋_GB2312" w:cs="仿宋_GB2312"/>
                <w:b/>
                <w:bCs/>
                <w:color w:val="auto"/>
                <w:kern w:val="0"/>
                <w:sz w:val="32"/>
                <w:szCs w:val="32"/>
                <w:shd w:val="clear" w:color="auto" w:fill="FFFFFF"/>
                <w:lang w:val="en-US" w:eastAsia="zh-CN" w:bidi="ar-SA"/>
              </w:rPr>
              <w:t>以伊宁市九鼎市场批发价为参照，结算价格不低于批发价，不得高于市场零售价</w:t>
            </w:r>
            <w:r>
              <w:rPr>
                <w:rFonts w:hint="eastAsia" w:ascii="仿宋_GB2312" w:hAnsi="仿宋_GB2312" w:eastAsia="仿宋_GB2312" w:cs="仿宋_GB2312"/>
                <w:b/>
                <w:bCs/>
                <w:color w:val="auto"/>
                <w:kern w:val="0"/>
                <w:sz w:val="32"/>
                <w:szCs w:val="32"/>
                <w:shd w:val="clear" w:color="auto" w:fill="FFFFFF"/>
                <w:lang w:val="zh-TW" w:eastAsia="zh-CN" w:bidi="ar-SA"/>
              </w:rPr>
              <w:t>）以</w:t>
            </w:r>
            <w:r>
              <w:rPr>
                <w:rFonts w:hint="eastAsia" w:ascii="仿宋_GB2312" w:hAnsi="仿宋_GB2312" w:eastAsia="仿宋_GB2312" w:cs="仿宋_GB2312"/>
                <w:b/>
                <w:bCs/>
                <w:color w:val="auto"/>
                <w:kern w:val="0"/>
                <w:sz w:val="32"/>
                <w:szCs w:val="32"/>
                <w:shd w:val="clear" w:color="auto" w:fill="FFFFFF"/>
                <w:lang w:val="en-US" w:eastAsia="zh-CN" w:bidi="ar-SA"/>
              </w:rPr>
              <w:t>甲方</w:t>
            </w:r>
            <w:r>
              <w:rPr>
                <w:rFonts w:hint="eastAsia" w:ascii="仿宋_GB2312" w:hAnsi="仿宋_GB2312" w:eastAsia="仿宋_GB2312" w:cs="仿宋_GB2312"/>
                <w:b/>
                <w:bCs/>
                <w:color w:val="auto"/>
                <w:kern w:val="0"/>
                <w:sz w:val="32"/>
                <w:szCs w:val="32"/>
                <w:shd w:val="clear" w:color="auto" w:fill="FFFFFF"/>
                <w:lang w:val="zh-TW" w:eastAsia="zh-CN" w:bidi="ar-SA"/>
              </w:rPr>
              <w:t>每月中旬</w:t>
            </w:r>
            <w:r>
              <w:rPr>
                <w:rFonts w:hint="eastAsia" w:ascii="仿宋_GB2312" w:hAnsi="仿宋_GB2312" w:eastAsia="仿宋_GB2312" w:cs="仿宋_GB2312"/>
                <w:b/>
                <w:bCs/>
                <w:color w:val="auto"/>
                <w:kern w:val="0"/>
                <w:sz w:val="32"/>
                <w:szCs w:val="32"/>
                <w:shd w:val="clear" w:color="auto" w:fill="FFFFFF"/>
                <w:lang w:val="en-US" w:eastAsia="zh-CN" w:bidi="ar-SA"/>
              </w:rPr>
              <w:t>在</w:t>
            </w:r>
            <w:r>
              <w:rPr>
                <w:rFonts w:hint="eastAsia" w:ascii="仿宋_GB2312" w:hAnsi="仿宋_GB2312" w:eastAsia="仿宋_GB2312" w:cs="仿宋_GB2312"/>
                <w:b/>
                <w:bCs/>
                <w:color w:val="auto"/>
                <w:kern w:val="0"/>
                <w:sz w:val="32"/>
                <w:szCs w:val="32"/>
                <w:shd w:val="clear" w:color="auto" w:fill="FFFFFF"/>
                <w:lang w:val="zh-TW" w:eastAsia="zh-CN" w:bidi="ar-SA"/>
              </w:rPr>
              <w:t>伊宁市黄河路菜市场、北京路菜市场询价价格为基准价，以中标分项下浮率下浮</w:t>
            </w:r>
            <w:r>
              <w:rPr>
                <w:rFonts w:hint="eastAsia" w:ascii="仿宋_GB2312" w:hAnsi="仿宋_GB2312" w:eastAsia="仿宋_GB2312" w:cs="仿宋_GB2312"/>
                <w:b/>
                <w:bCs/>
                <w:color w:val="auto"/>
                <w:kern w:val="0"/>
                <w:sz w:val="32"/>
                <w:szCs w:val="32"/>
                <w:shd w:val="clear" w:color="auto" w:fill="FFFFFF"/>
                <w:lang w:val="en-US" w:eastAsia="zh-CN" w:bidi="ar-SA"/>
              </w:rPr>
              <w:t>后的单价</w:t>
            </w:r>
            <w:r>
              <w:rPr>
                <w:rFonts w:hint="eastAsia" w:ascii="仿宋_GB2312" w:hAnsi="仿宋_GB2312" w:eastAsia="仿宋_GB2312" w:cs="仿宋_GB2312"/>
                <w:b/>
                <w:bCs/>
                <w:color w:val="auto"/>
                <w:kern w:val="0"/>
                <w:sz w:val="32"/>
                <w:szCs w:val="32"/>
                <w:shd w:val="clear" w:color="auto" w:fill="FFFFFF"/>
                <w:lang w:val="zh-TW" w:eastAsia="zh-CN" w:bidi="ar-SA"/>
              </w:rPr>
              <w:t>进行结算当月货款。</w:t>
            </w:r>
          </w:p>
        </w:tc>
      </w:tr>
      <w:tr w14:paraId="0764D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continue"/>
            <w:noWrap w:val="0"/>
            <w:vAlign w:val="center"/>
          </w:tcPr>
          <w:p w14:paraId="6D7B827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20219CB2">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tcBorders>
            <w:noWrap w:val="0"/>
            <w:vAlign w:val="center"/>
          </w:tcPr>
          <w:p w14:paraId="3139E897">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lang w:val="zh-TW"/>
              </w:rPr>
            </w:pPr>
            <w:r>
              <w:rPr>
                <w:rFonts w:hint="eastAsia" w:ascii="仿宋_GB2312" w:hAnsi="仿宋_GB2312" w:eastAsia="仿宋_GB2312" w:cs="仿宋_GB2312"/>
                <w:color w:val="auto"/>
                <w:sz w:val="32"/>
                <w:szCs w:val="32"/>
                <w:shd w:val="clear" w:color="auto" w:fill="FFFFFF"/>
                <w:lang w:val="zh-TW"/>
              </w:rPr>
              <w:t>1、各投标人的投标报价不得高于采购预算</w:t>
            </w:r>
            <w:r>
              <w:rPr>
                <w:rFonts w:hint="eastAsia" w:ascii="仿宋_GB2312" w:hAnsi="仿宋_GB2312" w:eastAsia="仿宋_GB2312" w:cs="仿宋_GB2312"/>
                <w:color w:val="auto"/>
                <w:sz w:val="32"/>
                <w:szCs w:val="32"/>
                <w:shd w:val="clear" w:color="auto" w:fill="FFFFFF"/>
                <w:lang w:val="en-US" w:eastAsia="zh-CN"/>
              </w:rPr>
              <w:t>分项的单价</w:t>
            </w:r>
            <w:r>
              <w:rPr>
                <w:rFonts w:hint="eastAsia" w:ascii="仿宋_GB2312" w:hAnsi="仿宋_GB2312" w:eastAsia="仿宋_GB2312" w:cs="仿宋_GB2312"/>
                <w:color w:val="auto"/>
                <w:sz w:val="32"/>
                <w:szCs w:val="32"/>
                <w:shd w:val="clear" w:color="auto" w:fill="FFFFFF"/>
                <w:lang w:val="zh-TW"/>
              </w:rPr>
              <w:t>，</w:t>
            </w:r>
            <w:r>
              <w:rPr>
                <w:rFonts w:hint="eastAsia" w:ascii="仿宋_GB2312" w:hAnsi="仿宋_GB2312" w:eastAsia="仿宋_GB2312" w:cs="仿宋_GB2312"/>
                <w:color w:val="auto"/>
                <w:sz w:val="32"/>
                <w:szCs w:val="32"/>
                <w:shd w:val="clear" w:color="auto" w:fill="FFFFFF"/>
                <w:lang w:val="en-US" w:eastAsia="zh-CN"/>
              </w:rPr>
              <w:t>也不得超过或低于区间值的下浮率，</w:t>
            </w:r>
            <w:r>
              <w:rPr>
                <w:rFonts w:hint="eastAsia" w:ascii="仿宋_GB2312" w:hAnsi="仿宋_GB2312" w:eastAsia="仿宋_GB2312" w:cs="仿宋_GB2312"/>
                <w:color w:val="auto"/>
                <w:sz w:val="32"/>
                <w:szCs w:val="32"/>
                <w:shd w:val="clear" w:color="auto" w:fill="FFFFFF"/>
                <w:lang w:val="zh-TW"/>
              </w:rPr>
              <w:t>否则将否决其投标。</w:t>
            </w:r>
          </w:p>
          <w:p w14:paraId="54A62697">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lang w:val="zh-TW"/>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zh-TW"/>
              </w:rPr>
              <w:t xml:space="preserve">投标报价为“招标范围”内的总报价。 </w:t>
            </w:r>
          </w:p>
          <w:p w14:paraId="4BDC5EA6">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val="zh-TW"/>
              </w:rPr>
              <w:t>投标人的报价应为所确定的招标范围内的全部工作内容的价格体现，所有费用，且在合同执行过程中，不因任何因素予以调整。</w:t>
            </w:r>
          </w:p>
        </w:tc>
      </w:tr>
      <w:tr w14:paraId="261FF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7" w:hRule="atLeast"/>
        </w:trPr>
        <w:tc>
          <w:tcPr>
            <w:tcW w:w="746" w:type="dxa"/>
            <w:noWrap w:val="0"/>
            <w:vAlign w:val="center"/>
          </w:tcPr>
          <w:p w14:paraId="3BDA785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6</w:t>
            </w:r>
          </w:p>
        </w:tc>
        <w:tc>
          <w:tcPr>
            <w:tcW w:w="1937" w:type="dxa"/>
            <w:noWrap w:val="0"/>
            <w:vAlign w:val="center"/>
          </w:tcPr>
          <w:p w14:paraId="4BE16D47">
            <w:pPr>
              <w:keepNext w:val="0"/>
              <w:keepLines w:val="0"/>
              <w:pageBreakBefore w:val="0"/>
              <w:kinsoku/>
              <w:wordWrap/>
              <w:topLinePunct w:val="0"/>
              <w:autoSpaceDE w:val="0"/>
              <w:autoSpaceDN w:val="0"/>
              <w:bidi w:val="0"/>
              <w:adjustRightInd w:val="0"/>
              <w:snapToGrid w:val="0"/>
              <w:spacing w:line="360" w:lineRule="auto"/>
              <w:jc w:val="center"/>
              <w:rPr>
                <w:rFonts w:hint="default" w:ascii="仿宋_GB2312" w:hAnsi="仿宋_GB2312" w:eastAsia="仿宋_GB2312" w:cs="仿宋_GB2312"/>
                <w:b/>
                <w:color w:val="auto"/>
                <w:kern w:val="0"/>
                <w:sz w:val="32"/>
                <w:szCs w:val="32"/>
                <w:shd w:val="clear" w:color="auto" w:fill="FFFFFF"/>
                <w:lang w:val="en-US" w:eastAsia="zh-CN"/>
              </w:rPr>
            </w:pPr>
            <w:r>
              <w:rPr>
                <w:rFonts w:hint="eastAsia" w:ascii="仿宋_GB2312" w:hAnsi="仿宋_GB2312" w:eastAsia="仿宋_GB2312" w:cs="仿宋_GB2312"/>
                <w:b/>
                <w:color w:val="auto"/>
                <w:kern w:val="0"/>
                <w:sz w:val="32"/>
                <w:szCs w:val="32"/>
                <w:shd w:val="clear" w:color="auto" w:fill="FFFFFF"/>
                <w:lang w:val="en-US" w:eastAsia="zh-CN"/>
              </w:rPr>
              <w:t>报价范围</w:t>
            </w:r>
          </w:p>
        </w:tc>
        <w:tc>
          <w:tcPr>
            <w:tcW w:w="7850" w:type="dxa"/>
            <w:gridSpan w:val="4"/>
            <w:noWrap w:val="0"/>
            <w:vAlign w:val="center"/>
          </w:tcPr>
          <w:p w14:paraId="1C788157">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以上报价包含</w:t>
            </w:r>
            <w:r>
              <w:rPr>
                <w:rFonts w:hint="eastAsia" w:ascii="仿宋_GB2312" w:hAnsi="仿宋_GB2312" w:eastAsia="仿宋_GB2312" w:cs="仿宋_GB2312"/>
                <w:color w:val="auto"/>
                <w:sz w:val="32"/>
                <w:szCs w:val="32"/>
                <w:shd w:val="clear" w:color="auto" w:fill="FFFFFF"/>
                <w:lang w:val="zh-TW" w:eastAsia="zh-CN"/>
              </w:rPr>
              <w:t>全部货品、税费、包装费、运输费、装卸以及最终将货物卸载、运送、搬货交付到</w:t>
            </w:r>
            <w:r>
              <w:rPr>
                <w:rFonts w:hint="eastAsia" w:ascii="仿宋_GB2312" w:hAnsi="仿宋_GB2312" w:eastAsia="仿宋_GB2312" w:cs="仿宋_GB2312"/>
                <w:color w:val="auto"/>
                <w:sz w:val="32"/>
                <w:szCs w:val="32"/>
                <w:shd w:val="clear" w:color="auto" w:fill="FFFFFF"/>
                <w:lang w:val="en-US" w:eastAsia="zh-CN"/>
              </w:rPr>
              <w:t>采购人</w:t>
            </w:r>
            <w:r>
              <w:rPr>
                <w:rFonts w:hint="eastAsia" w:ascii="仿宋_GB2312" w:hAnsi="仿宋_GB2312" w:eastAsia="仿宋_GB2312" w:cs="仿宋_GB2312"/>
                <w:color w:val="auto"/>
                <w:sz w:val="32"/>
                <w:szCs w:val="32"/>
                <w:shd w:val="clear" w:color="auto" w:fill="FFFFFF"/>
                <w:lang w:val="zh-TW" w:eastAsia="zh-CN"/>
              </w:rPr>
              <w:t>指定区域待</w:t>
            </w:r>
            <w:r>
              <w:rPr>
                <w:rFonts w:hint="eastAsia" w:ascii="仿宋_GB2312" w:hAnsi="仿宋_GB2312" w:eastAsia="仿宋_GB2312" w:cs="仿宋_GB2312"/>
                <w:color w:val="auto"/>
                <w:sz w:val="32"/>
                <w:szCs w:val="32"/>
                <w:shd w:val="clear" w:color="auto" w:fill="FFFFFF"/>
                <w:lang w:val="en-US" w:eastAsia="zh-CN"/>
              </w:rPr>
              <w:t>采购人</w:t>
            </w:r>
            <w:r>
              <w:rPr>
                <w:rFonts w:hint="eastAsia" w:ascii="仿宋_GB2312" w:hAnsi="仿宋_GB2312" w:eastAsia="仿宋_GB2312" w:cs="仿宋_GB2312"/>
                <w:color w:val="auto"/>
                <w:sz w:val="32"/>
                <w:szCs w:val="32"/>
                <w:shd w:val="clear" w:color="auto" w:fill="FFFFFF"/>
                <w:lang w:val="zh-TW" w:eastAsia="zh-CN"/>
              </w:rPr>
              <w:t>验收的全部费用,其他存在或可能存在的各类税、费、成本等亦由</w:t>
            </w:r>
            <w:r>
              <w:rPr>
                <w:rFonts w:hint="eastAsia" w:ascii="仿宋_GB2312" w:hAnsi="仿宋_GB2312" w:eastAsia="仿宋_GB2312" w:cs="仿宋_GB2312"/>
                <w:color w:val="auto"/>
                <w:sz w:val="32"/>
                <w:szCs w:val="32"/>
                <w:shd w:val="clear" w:color="auto" w:fill="FFFFFF"/>
                <w:lang w:val="en-US" w:eastAsia="zh-CN"/>
              </w:rPr>
              <w:t>成交供应商</w:t>
            </w:r>
            <w:r>
              <w:rPr>
                <w:rFonts w:hint="eastAsia" w:ascii="仿宋_GB2312" w:hAnsi="仿宋_GB2312" w:eastAsia="仿宋_GB2312" w:cs="仿宋_GB2312"/>
                <w:color w:val="auto"/>
                <w:sz w:val="32"/>
                <w:szCs w:val="32"/>
                <w:shd w:val="clear" w:color="auto" w:fill="FFFFFF"/>
                <w:lang w:val="zh-TW" w:eastAsia="zh-CN"/>
              </w:rPr>
              <w:t>承担。</w:t>
            </w:r>
          </w:p>
        </w:tc>
      </w:tr>
      <w:tr w14:paraId="06631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0107854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7</w:t>
            </w:r>
          </w:p>
        </w:tc>
        <w:tc>
          <w:tcPr>
            <w:tcW w:w="1937" w:type="dxa"/>
            <w:noWrap w:val="0"/>
            <w:vAlign w:val="center"/>
          </w:tcPr>
          <w:p w14:paraId="448F994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shd w:val="clear" w:color="auto" w:fill="FFFFFF"/>
              </w:rPr>
            </w:pPr>
            <w:r>
              <w:rPr>
                <w:rFonts w:hint="eastAsia" w:ascii="仿宋_GB2312" w:hAnsi="仿宋_GB2312" w:eastAsia="仿宋_GB2312" w:cs="仿宋_GB2312"/>
                <w:b/>
                <w:color w:val="auto"/>
                <w:kern w:val="0"/>
                <w:sz w:val="32"/>
                <w:szCs w:val="32"/>
                <w:shd w:val="clear" w:color="auto" w:fill="FFFFFF"/>
              </w:rPr>
              <w:t>采购方式</w:t>
            </w:r>
          </w:p>
        </w:tc>
        <w:tc>
          <w:tcPr>
            <w:tcW w:w="7850" w:type="dxa"/>
            <w:gridSpan w:val="4"/>
            <w:noWrap w:val="0"/>
            <w:vAlign w:val="center"/>
          </w:tcPr>
          <w:p w14:paraId="7E356D3C">
            <w:pPr>
              <w:keepNext w:val="0"/>
              <w:keepLines w:val="0"/>
              <w:pageBreakBefore w:val="0"/>
              <w:tabs>
                <w:tab w:val="left" w:pos="4980"/>
                <w:tab w:val="right" w:pos="9000"/>
              </w:tabs>
              <w:kinsoku/>
              <w:wordWrap/>
              <w:topLinePunct w:val="0"/>
              <w:bidi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公开招标</w:t>
            </w:r>
          </w:p>
        </w:tc>
      </w:tr>
      <w:tr w14:paraId="5B852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731E816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8</w:t>
            </w:r>
          </w:p>
        </w:tc>
        <w:tc>
          <w:tcPr>
            <w:tcW w:w="1937" w:type="dxa"/>
            <w:noWrap w:val="0"/>
            <w:vAlign w:val="center"/>
          </w:tcPr>
          <w:p w14:paraId="12B9EB4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供货期</w:t>
            </w:r>
          </w:p>
        </w:tc>
        <w:tc>
          <w:tcPr>
            <w:tcW w:w="7850" w:type="dxa"/>
            <w:gridSpan w:val="4"/>
            <w:noWrap w:val="0"/>
            <w:vAlign w:val="center"/>
          </w:tcPr>
          <w:p w14:paraId="26374D36">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供货服务期</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lang w:eastAsia="zh-CN"/>
              </w:rPr>
              <w:t>年</w:t>
            </w:r>
            <w:r>
              <w:rPr>
                <w:rFonts w:hint="eastAsia" w:ascii="仿宋_GB2312" w:hAnsi="仿宋_GB2312" w:eastAsia="仿宋_GB2312" w:cs="仿宋_GB2312"/>
                <w:color w:val="auto"/>
                <w:sz w:val="32"/>
                <w:szCs w:val="32"/>
                <w:shd w:val="clear" w:color="auto" w:fill="FFFFFF"/>
              </w:rPr>
              <w:t>。</w:t>
            </w:r>
          </w:p>
        </w:tc>
      </w:tr>
      <w:tr w14:paraId="41F7C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2E10BC7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9</w:t>
            </w:r>
          </w:p>
        </w:tc>
        <w:tc>
          <w:tcPr>
            <w:tcW w:w="1937" w:type="dxa"/>
            <w:noWrap w:val="0"/>
            <w:vAlign w:val="center"/>
          </w:tcPr>
          <w:p w14:paraId="194EB49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供货地点</w:t>
            </w:r>
          </w:p>
        </w:tc>
        <w:tc>
          <w:tcPr>
            <w:tcW w:w="7850" w:type="dxa"/>
            <w:gridSpan w:val="4"/>
            <w:noWrap w:val="0"/>
            <w:vAlign w:val="center"/>
          </w:tcPr>
          <w:p w14:paraId="3A68559C">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2"/>
                <w:sz w:val="32"/>
                <w:szCs w:val="32"/>
                <w:shd w:val="clear" w:color="auto" w:fill="FFFFFF"/>
                <w:lang w:val="zh-TW" w:eastAsia="zh-CN" w:bidi="ar-SA"/>
              </w:rPr>
              <w:t>新疆维吾尔自治区伊宁某某某单位（采购人指定地点）</w:t>
            </w:r>
          </w:p>
        </w:tc>
      </w:tr>
      <w:tr w14:paraId="71C3B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2" w:hRule="atLeast"/>
        </w:trPr>
        <w:tc>
          <w:tcPr>
            <w:tcW w:w="746" w:type="dxa"/>
            <w:noWrap w:val="0"/>
            <w:vAlign w:val="center"/>
          </w:tcPr>
          <w:p w14:paraId="01B045E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10</w:t>
            </w:r>
          </w:p>
        </w:tc>
        <w:tc>
          <w:tcPr>
            <w:tcW w:w="1937" w:type="dxa"/>
            <w:noWrap w:val="0"/>
            <w:vAlign w:val="center"/>
          </w:tcPr>
          <w:p w14:paraId="2B4564A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付款方式</w:t>
            </w:r>
          </w:p>
        </w:tc>
        <w:tc>
          <w:tcPr>
            <w:tcW w:w="7850" w:type="dxa"/>
            <w:gridSpan w:val="4"/>
            <w:noWrap w:val="0"/>
            <w:vAlign w:val="center"/>
          </w:tcPr>
          <w:p w14:paraId="1259DC87">
            <w:pPr>
              <w:pStyle w:val="10"/>
              <w:keepNext w:val="0"/>
              <w:keepLines w:val="0"/>
              <w:pageBreakBefore w:val="0"/>
              <w:kinsoku/>
              <w:wordWrap/>
              <w:topLinePunct w:val="0"/>
              <w:bidi w:val="0"/>
              <w:spacing w:line="360" w:lineRule="auto"/>
              <w:rPr>
                <w:rFonts w:hint="default"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甲乙双方应在当月月底完成当月供货数量核对工作，乙方接到甲方通知后，向甲方提供上月货款的正规发票及相关材料，甲方核实无异议后，在财政资金到位后15个工作日内将货款通过银行转账的方式支付给乙方。</w:t>
            </w:r>
          </w:p>
        </w:tc>
      </w:tr>
      <w:tr w14:paraId="5BF02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46" w:type="dxa"/>
            <w:noWrap w:val="0"/>
            <w:vAlign w:val="center"/>
          </w:tcPr>
          <w:p w14:paraId="220ACD9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 xml:space="preserve"> 11</w:t>
            </w:r>
          </w:p>
        </w:tc>
        <w:tc>
          <w:tcPr>
            <w:tcW w:w="1937" w:type="dxa"/>
            <w:noWrap w:val="0"/>
            <w:vAlign w:val="center"/>
          </w:tcPr>
          <w:p w14:paraId="24AB53F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质量要求</w:t>
            </w:r>
          </w:p>
        </w:tc>
        <w:tc>
          <w:tcPr>
            <w:tcW w:w="7850" w:type="dxa"/>
            <w:gridSpan w:val="4"/>
            <w:noWrap w:val="0"/>
            <w:vAlign w:val="center"/>
          </w:tcPr>
          <w:p w14:paraId="77AD4B5C">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zh-TW"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w:t>
            </w:r>
            <w:r>
              <w:rPr>
                <w:rFonts w:hint="eastAsia" w:ascii="仿宋_GB2312" w:hAnsi="仿宋_GB2312" w:eastAsia="仿宋_GB2312" w:cs="仿宋_GB2312"/>
                <w:color w:val="auto"/>
                <w:kern w:val="2"/>
                <w:sz w:val="32"/>
                <w:szCs w:val="32"/>
                <w:shd w:val="clear" w:color="auto" w:fill="FFFFFF"/>
                <w:lang w:val="zh-TW" w:eastAsia="zh-CN" w:bidi="ar-SA"/>
              </w:rPr>
              <w:t>质量要求：</w:t>
            </w:r>
            <w:r>
              <w:rPr>
                <w:rFonts w:hint="eastAsia" w:ascii="仿宋_GB2312" w:hAnsi="仿宋_GB2312" w:eastAsia="仿宋_GB2312" w:cs="仿宋_GB2312"/>
                <w:color w:val="auto"/>
                <w:kern w:val="2"/>
                <w:sz w:val="32"/>
                <w:szCs w:val="32"/>
                <w:shd w:val="clear" w:color="auto" w:fill="FFFFFF"/>
                <w:lang w:val="zh-CN" w:eastAsia="zh-CN" w:bidi="ar-SA"/>
              </w:rPr>
              <w:t>须符合国家、行业标准及</w:t>
            </w:r>
            <w:r>
              <w:rPr>
                <w:rFonts w:hint="eastAsia" w:ascii="仿宋_GB2312" w:hAnsi="仿宋_GB2312" w:eastAsia="仿宋_GB2312" w:cs="仿宋_GB2312"/>
                <w:color w:val="auto"/>
                <w:kern w:val="2"/>
                <w:sz w:val="32"/>
                <w:szCs w:val="32"/>
                <w:shd w:val="clear" w:color="auto" w:fill="FFFFFF"/>
                <w:lang w:val="zh-TW" w:eastAsia="zh-CN" w:bidi="ar-SA"/>
              </w:rPr>
              <w:t>相关法律法规的要求；</w:t>
            </w:r>
          </w:p>
          <w:p w14:paraId="226FA766">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2"/>
                <w:sz w:val="32"/>
                <w:szCs w:val="32"/>
                <w:shd w:val="clear" w:color="auto" w:fill="FFFFFF"/>
                <w:lang w:val="en-US" w:eastAsia="zh-CN" w:bidi="ar-SA"/>
              </w:rPr>
              <w:t>2、</w:t>
            </w:r>
            <w:r>
              <w:rPr>
                <w:rFonts w:hint="eastAsia" w:ascii="仿宋_GB2312" w:hAnsi="仿宋_GB2312" w:eastAsia="仿宋_GB2312" w:cs="仿宋_GB2312"/>
                <w:color w:val="auto"/>
                <w:kern w:val="2"/>
                <w:sz w:val="32"/>
                <w:szCs w:val="32"/>
                <w:shd w:val="clear" w:color="auto" w:fill="FFFFFF"/>
                <w:lang w:val="zh-TW" w:eastAsia="zh-CN" w:bidi="ar-SA"/>
              </w:rPr>
              <w:t>执行标准：</w:t>
            </w:r>
            <w:r>
              <w:rPr>
                <w:rFonts w:hint="eastAsia" w:ascii="仿宋_GB2312" w:hAnsi="仿宋_GB2312" w:eastAsia="仿宋_GB2312" w:cs="仿宋_GB2312"/>
                <w:color w:val="auto"/>
                <w:kern w:val="2"/>
                <w:sz w:val="32"/>
                <w:szCs w:val="32"/>
                <w:shd w:val="clear" w:color="auto" w:fill="FFFFFF"/>
                <w:lang w:val="zh-CN" w:eastAsia="zh-CN" w:bidi="ar-SA"/>
              </w:rPr>
              <w:t>须符合</w:t>
            </w:r>
            <w:r>
              <w:rPr>
                <w:rFonts w:hint="eastAsia" w:ascii="仿宋_GB2312" w:hAnsi="仿宋_GB2312" w:eastAsia="仿宋_GB2312" w:cs="仿宋_GB2312"/>
                <w:color w:val="auto"/>
                <w:kern w:val="2"/>
                <w:sz w:val="32"/>
                <w:szCs w:val="32"/>
                <w:shd w:val="clear" w:color="auto" w:fill="FFFFFF"/>
                <w:lang w:val="zh-TW" w:eastAsia="zh-CN" w:bidi="ar-SA"/>
              </w:rPr>
              <w:t>第五章采购</w:t>
            </w:r>
            <w:r>
              <w:rPr>
                <w:rFonts w:hint="eastAsia" w:ascii="仿宋_GB2312" w:hAnsi="仿宋_GB2312" w:eastAsia="仿宋_GB2312" w:cs="仿宋_GB2312"/>
                <w:color w:val="auto"/>
                <w:kern w:val="2"/>
                <w:sz w:val="32"/>
                <w:szCs w:val="32"/>
                <w:shd w:val="clear" w:color="auto" w:fill="FFFFFF"/>
                <w:lang w:val="en-US" w:eastAsia="zh-CN" w:bidi="ar-SA"/>
              </w:rPr>
              <w:t>项目清单及参数要求与</w:t>
            </w:r>
            <w:r>
              <w:rPr>
                <w:rFonts w:hint="eastAsia" w:ascii="仿宋_GB2312" w:hAnsi="仿宋_GB2312" w:eastAsia="仿宋_GB2312" w:cs="仿宋_GB2312"/>
                <w:color w:val="auto"/>
                <w:kern w:val="2"/>
                <w:sz w:val="32"/>
                <w:szCs w:val="32"/>
                <w:shd w:val="clear" w:color="auto" w:fill="FFFFFF"/>
                <w:lang w:val="zh-TW" w:eastAsia="zh-CN" w:bidi="ar-SA"/>
              </w:rPr>
              <w:t>第六章合同条款的规定；</w:t>
            </w:r>
          </w:p>
        </w:tc>
      </w:tr>
      <w:tr w14:paraId="4D601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5BF0DBB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12</w:t>
            </w:r>
          </w:p>
        </w:tc>
        <w:tc>
          <w:tcPr>
            <w:tcW w:w="1937" w:type="dxa"/>
            <w:noWrap w:val="0"/>
            <w:vAlign w:val="center"/>
          </w:tcPr>
          <w:p w14:paraId="6518CBF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履约保证金</w:t>
            </w:r>
          </w:p>
        </w:tc>
        <w:tc>
          <w:tcPr>
            <w:tcW w:w="7850" w:type="dxa"/>
            <w:gridSpan w:val="4"/>
            <w:noWrap w:val="0"/>
            <w:vAlign w:val="center"/>
          </w:tcPr>
          <w:p w14:paraId="477B0F86">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zh-CN"/>
              </w:rPr>
              <w:t>履约保证金的金额：</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=预算金额*（1-中标下浮率）</w:t>
            </w:r>
            <w:r>
              <w:rPr>
                <w:rFonts w:hint="eastAsia" w:ascii="仿宋_GB2312" w:hAnsi="仿宋_GB2312" w:eastAsia="仿宋_GB2312" w:cs="仿宋_GB2312"/>
                <w:color w:val="auto"/>
                <w:sz w:val="32"/>
                <w:szCs w:val="32"/>
                <w:shd w:val="clear" w:color="auto" w:fill="FFFFFF"/>
                <w:lang w:eastAsia="zh-CN"/>
              </w:rPr>
              <w:t>）</w:t>
            </w:r>
          </w:p>
          <w:p w14:paraId="2C1C69C8">
            <w:pPr>
              <w:pStyle w:val="23"/>
              <w:keepNext w:val="0"/>
              <w:keepLines w:val="0"/>
              <w:pageBreakBefore w:val="0"/>
              <w:kinsoku/>
              <w:wordWrap/>
              <w:topLinePunct w:val="0"/>
              <w:bidi w:val="0"/>
              <w:spacing w:before="0" w:beforeAutospacing="0" w:after="0" w:afterAutospacing="0" w:line="360" w:lineRule="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shd w:val="clear" w:color="auto" w:fill="FFFFFF"/>
                <w:lang w:val="zh-CN"/>
              </w:rPr>
              <w:t>履约保证金的形式：</w:t>
            </w:r>
            <w:r>
              <w:rPr>
                <w:rFonts w:hint="eastAsia" w:ascii="仿宋_GB2312" w:hAnsi="仿宋_GB2312" w:eastAsia="仿宋_GB2312" w:cs="仿宋_GB2312"/>
                <w:color w:val="auto"/>
                <w:sz w:val="32"/>
                <w:szCs w:val="32"/>
                <w:shd w:val="clear" w:color="auto" w:fill="FFFFFF"/>
              </w:rPr>
              <w:t>中标供应商在收到成交通知书后，需向采购人</w:t>
            </w:r>
            <w:r>
              <w:rPr>
                <w:rFonts w:hint="eastAsia" w:ascii="仿宋_GB2312" w:hAnsi="仿宋_GB2312" w:eastAsia="仿宋_GB2312" w:cs="仿宋_GB2312"/>
                <w:color w:val="auto"/>
                <w:sz w:val="32"/>
                <w:szCs w:val="32"/>
                <w:shd w:val="clear" w:color="auto" w:fill="FFFFFF"/>
                <w:lang w:val="en-US" w:eastAsia="zh-CN"/>
              </w:rPr>
              <w:t>缴纳</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%的履约保证金,在中标供应商与采购人签订合同</w:t>
            </w:r>
            <w:r>
              <w:rPr>
                <w:rFonts w:hint="eastAsia" w:ascii="仿宋_GB2312" w:hAnsi="仿宋_GB2312" w:eastAsia="仿宋_GB2312" w:cs="仿宋_GB2312"/>
                <w:color w:val="auto"/>
                <w:sz w:val="32"/>
                <w:szCs w:val="32"/>
                <w:shd w:val="clear" w:color="auto" w:fill="FFFFFF"/>
                <w:lang w:val="en-US" w:eastAsia="zh-CN"/>
              </w:rPr>
              <w:t>前</w:t>
            </w:r>
            <w:r>
              <w:rPr>
                <w:rFonts w:hint="eastAsia" w:ascii="仿宋_GB2312" w:hAnsi="仿宋_GB2312" w:eastAsia="仿宋_GB2312" w:cs="仿宋_GB2312"/>
                <w:color w:val="auto"/>
                <w:sz w:val="32"/>
                <w:szCs w:val="32"/>
                <w:shd w:val="clear" w:color="auto" w:fill="FFFFFF"/>
              </w:rPr>
              <w:t>一天缴纳完毕。</w:t>
            </w:r>
            <w:r>
              <w:rPr>
                <w:rFonts w:hint="eastAsia" w:ascii="仿宋_GB2312" w:hAnsi="仿宋_GB2312" w:eastAsia="仿宋_GB2312" w:cs="仿宋_GB2312"/>
                <w:color w:val="auto"/>
                <w:sz w:val="32"/>
                <w:szCs w:val="32"/>
                <w:highlight w:val="none"/>
                <w:shd w:val="clear" w:color="auto" w:fill="FFFFFF"/>
                <w:lang w:val="en-US" w:eastAsia="zh-CN"/>
              </w:rPr>
              <w:t>若不能按时缴纳，采购人将有充分的理由解除中标人的中标资格并扣除投标保证金。</w:t>
            </w:r>
          </w:p>
          <w:p w14:paraId="6323C2EB">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中标供应商以支票、汇票、本票或金融机构、担保机构出具的保函等非现金形式提交。</w:t>
            </w:r>
          </w:p>
          <w:p w14:paraId="51A9BE46">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履约保证金的退还：履约保证金按合同约定的方式、时间退还。</w:t>
            </w:r>
          </w:p>
        </w:tc>
      </w:tr>
      <w:tr w14:paraId="187E3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746" w:type="dxa"/>
            <w:noWrap w:val="0"/>
            <w:vAlign w:val="center"/>
          </w:tcPr>
          <w:p w14:paraId="05C1546B">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13</w:t>
            </w:r>
          </w:p>
        </w:tc>
        <w:tc>
          <w:tcPr>
            <w:tcW w:w="1937" w:type="dxa"/>
            <w:noWrap w:val="0"/>
            <w:vAlign w:val="center"/>
          </w:tcPr>
          <w:p w14:paraId="61462E8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投标人资格</w:t>
            </w:r>
          </w:p>
        </w:tc>
        <w:tc>
          <w:tcPr>
            <w:tcW w:w="7850" w:type="dxa"/>
            <w:gridSpan w:val="4"/>
            <w:noWrap w:val="0"/>
            <w:vAlign w:val="center"/>
          </w:tcPr>
          <w:p w14:paraId="2E05318B">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1.满足《中华人民共和国政府采购法》第二十二条规定；</w:t>
            </w:r>
          </w:p>
          <w:p w14:paraId="354C6F56">
            <w:pPr>
              <w:widowControl/>
              <w:shd w:val="clear" w:color="auto" w:fill="FFFFFF"/>
              <w:spacing w:before="0" w:beforeAutospacing="0" w:after="0" w:afterAutospacing="0" w:line="336" w:lineRule="auto"/>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2.需落实政府采购政策：</w:t>
            </w:r>
            <w:r>
              <w:rPr>
                <w:rFonts w:hint="eastAsia" w:ascii="仿宋_GB2312" w:hAnsi="仿宋_GB2312" w:eastAsia="仿宋_GB2312" w:cs="仿宋_GB2312"/>
                <w:color w:val="auto"/>
                <w:kern w:val="0"/>
                <w:sz w:val="32"/>
                <w:szCs w:val="32"/>
                <w:highlight w:val="none"/>
                <w:shd w:val="clear" w:color="auto" w:fill="FFFFFF"/>
                <w:lang w:val="en-US" w:eastAsia="zh-CN" w:bidi="ar-SA"/>
              </w:rPr>
              <w:t>专门面向中小微企业。</w:t>
            </w:r>
          </w:p>
          <w:p w14:paraId="225742A6">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 xml:space="preserve">3.本项目的特定资格要求： </w:t>
            </w:r>
          </w:p>
          <w:p w14:paraId="68D168D5">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shd w:val="clear" w:color="auto" w:fill="FFFFFF"/>
                <w:lang w:val="en-US" w:eastAsia="zh-CN" w:bidi="ar-SA"/>
              </w:rPr>
              <w:t>（1）法定代表人身份证或法定代表人授权委托书和委托代理人的身份证，法定代表人授权委托书应当与响应文件中所提供的相一致；</w:t>
            </w:r>
            <w:r>
              <w:rPr>
                <w:rFonts w:hint="eastAsia" w:ascii="仿宋_GB2312" w:hAnsi="仿宋_GB2312" w:eastAsia="仿宋_GB2312" w:cs="仿宋_GB2312"/>
                <w:color w:val="auto"/>
                <w:kern w:val="0"/>
                <w:sz w:val="32"/>
                <w:szCs w:val="32"/>
                <w:shd w:val="clear" w:color="auto" w:fill="FFFFFF"/>
                <w:lang w:val="en-US" w:eastAsia="zh-CN" w:bidi="ar-SA"/>
              </w:rPr>
              <w:t>（2）①投标人为生产厂家须提供《食品生产许可证》、《食品经营许可证》,投标人为经销商则须提供《食品经营许可证》。②肉类物资供应商若为生产厂家或屠宰企业，须提供自有的《屠宰许可证》、《动物防疫条件合格证》，非生产厂家或屠宰企业须提供货物源头厂家的《屠宰许可证》、《动物防疫条件合格证》。</w:t>
            </w:r>
          </w:p>
        </w:tc>
      </w:tr>
      <w:tr w14:paraId="56296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restart"/>
            <w:noWrap w:val="0"/>
            <w:vAlign w:val="center"/>
          </w:tcPr>
          <w:p w14:paraId="1F333D0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14</w:t>
            </w:r>
          </w:p>
        </w:tc>
        <w:tc>
          <w:tcPr>
            <w:tcW w:w="1937" w:type="dxa"/>
            <w:vMerge w:val="restart"/>
            <w:noWrap w:val="0"/>
            <w:vAlign w:val="center"/>
          </w:tcPr>
          <w:p w14:paraId="0D16D3F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缴纳投标</w:t>
            </w:r>
          </w:p>
          <w:p w14:paraId="7F6908D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保证金</w:t>
            </w:r>
          </w:p>
        </w:tc>
        <w:tc>
          <w:tcPr>
            <w:tcW w:w="7850" w:type="dxa"/>
            <w:gridSpan w:val="4"/>
            <w:tcBorders>
              <w:bottom w:val="single" w:color="auto" w:sz="4" w:space="0"/>
            </w:tcBorders>
            <w:noWrap w:val="0"/>
            <w:vAlign w:val="center"/>
          </w:tcPr>
          <w:p w14:paraId="333E0C45">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投标保证金的缴纳形式：投标人必须以支票、汇票、本票或者金融机构、担保机构出具的保函等非现金形式提交（不得为个人账户）。投标保证金必须以投标人名义缴纳。</w:t>
            </w:r>
          </w:p>
          <w:p w14:paraId="594F4D56">
            <w:pPr>
              <w:keepNext w:val="0"/>
              <w:keepLines w:val="0"/>
              <w:pageBreakBefore w:val="0"/>
              <w:kinsoku/>
              <w:wordWrap/>
              <w:topLinePunct w:val="0"/>
              <w:bidi w:val="0"/>
              <w:snapToGrid w:val="0"/>
              <w:spacing w:line="4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投标保证金的金额：</w:t>
            </w:r>
            <w:r>
              <w:rPr>
                <w:rFonts w:hint="eastAsia" w:ascii="仿宋_GB2312" w:hAnsi="仿宋_GB2312" w:eastAsia="仿宋_GB2312" w:cs="仿宋_GB2312"/>
                <w:b/>
                <w:color w:val="auto"/>
                <w:sz w:val="32"/>
                <w:szCs w:val="32"/>
                <w:u w:val="single"/>
                <w:lang w:val="en-US" w:eastAsia="zh-CN"/>
              </w:rPr>
              <w:t>35000</w:t>
            </w:r>
            <w:r>
              <w:rPr>
                <w:rFonts w:hint="eastAsia" w:ascii="仿宋_GB2312" w:hAnsi="仿宋_GB2312" w:eastAsia="仿宋_GB2312" w:cs="仿宋_GB2312"/>
                <w:b/>
                <w:color w:val="auto"/>
                <w:sz w:val="32"/>
                <w:szCs w:val="32"/>
                <w:u w:val="single"/>
              </w:rPr>
              <w:t>.00</w:t>
            </w:r>
            <w:r>
              <w:rPr>
                <w:rFonts w:hint="eastAsia" w:ascii="仿宋_GB2312" w:hAnsi="仿宋_GB2312" w:eastAsia="仿宋_GB2312" w:cs="仿宋_GB2312"/>
                <w:color w:val="auto"/>
                <w:sz w:val="32"/>
                <w:szCs w:val="32"/>
              </w:rPr>
              <w:t>元人民币 （</w:t>
            </w:r>
            <w:r>
              <w:rPr>
                <w:rFonts w:hint="eastAsia" w:ascii="仿宋_GB2312" w:hAnsi="仿宋_GB2312" w:eastAsia="仿宋_GB2312" w:cs="仿宋_GB2312"/>
                <w:color w:val="auto"/>
                <w:sz w:val="32"/>
                <w:szCs w:val="32"/>
                <w:lang w:val="en-US" w:eastAsia="zh-CN"/>
              </w:rPr>
              <w:t>叁万伍仟元整</w:t>
            </w:r>
            <w:r>
              <w:rPr>
                <w:rFonts w:hint="eastAsia" w:ascii="仿宋_GB2312" w:hAnsi="仿宋_GB2312" w:eastAsia="仿宋_GB2312" w:cs="仿宋_GB2312"/>
                <w:color w:val="auto"/>
                <w:sz w:val="32"/>
                <w:szCs w:val="32"/>
              </w:rPr>
              <w:t>）</w:t>
            </w:r>
          </w:p>
        </w:tc>
      </w:tr>
      <w:tr w14:paraId="35948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46" w:type="dxa"/>
            <w:vMerge w:val="continue"/>
            <w:noWrap w:val="0"/>
            <w:vAlign w:val="center"/>
          </w:tcPr>
          <w:p w14:paraId="5F1A64D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2054894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tcBorders>
            <w:noWrap w:val="0"/>
            <w:vAlign w:val="center"/>
          </w:tcPr>
          <w:p w14:paraId="51FDC5A9">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缴纳方式：以支票、汇票、本票或者金融机构、担保机构出具的保函等非现金形式提交。</w:t>
            </w:r>
          </w:p>
          <w:p w14:paraId="31A630F6">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账户名称：新疆金斌工程项目管理有限公司</w:t>
            </w:r>
          </w:p>
          <w:p w14:paraId="5B805670">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开户行：交通银行伊犁州分行营业部</w:t>
            </w:r>
          </w:p>
          <w:p w14:paraId="710799AA">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账号：6556 5510 1013 0000 76094</w:t>
            </w:r>
          </w:p>
          <w:p w14:paraId="633C7A3C">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行号：3018 9800 1011 </w:t>
            </w:r>
          </w:p>
          <w:p w14:paraId="582F084A">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14:paraId="7CFF9ECF">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友情提示：1、新疆政府采购电子保函操作流程：登录新疆政府采购网,进入“政采贷/电子保函”模块，即可在线完成电子保函的申请。若有任何问题，可以联系政采云金融服务专属客服，电话：400-903-9583。</w:t>
            </w:r>
          </w:p>
          <w:p w14:paraId="38C9B4A5">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2、潜在供应商可以自主选择以上任一种递交方式提交投标保证金。</w:t>
            </w:r>
          </w:p>
          <w:p w14:paraId="04462F1C">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3、银行法定节假日不办理公对公账户电汇业务，请提前办理。投标保证金是否在规定截止时间前到户的风险由投标单位承担，投标保证金在银行的划转需要一定时间，望投标单位尽早缴纳！</w:t>
            </w:r>
          </w:p>
          <w:p w14:paraId="463ABA4F">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4、若投标人未按照上述规定缴纳投标保证金,响应性文件将被拒绝评审。</w:t>
            </w:r>
          </w:p>
        </w:tc>
      </w:tr>
      <w:tr w14:paraId="74908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746" w:type="dxa"/>
            <w:noWrap w:val="0"/>
            <w:vAlign w:val="center"/>
          </w:tcPr>
          <w:p w14:paraId="3ABC089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15</w:t>
            </w:r>
          </w:p>
        </w:tc>
        <w:tc>
          <w:tcPr>
            <w:tcW w:w="1937" w:type="dxa"/>
            <w:noWrap w:val="0"/>
            <w:vAlign w:val="center"/>
          </w:tcPr>
          <w:p w14:paraId="4747E87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投标保证金</w:t>
            </w:r>
          </w:p>
          <w:p w14:paraId="270BD36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退付</w:t>
            </w:r>
          </w:p>
        </w:tc>
        <w:tc>
          <w:tcPr>
            <w:tcW w:w="7850" w:type="dxa"/>
            <w:gridSpan w:val="4"/>
            <w:tcBorders>
              <w:top w:val="single" w:color="auto" w:sz="4" w:space="0"/>
            </w:tcBorders>
            <w:noWrap w:val="0"/>
            <w:vAlign w:val="center"/>
          </w:tcPr>
          <w:p w14:paraId="0F06B993">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1.未中标投标人在中标（成交）通知书发出后5个工作日退还；</w:t>
            </w:r>
          </w:p>
          <w:p w14:paraId="1F107DEA">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2.中标投标人在合同签订后5个工作日退还；</w:t>
            </w:r>
          </w:p>
          <w:p w14:paraId="074A4587">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3.投标人须向代理机构提供投标保证金退款收据1份，邮寄至伊宁市福安国际1号商业楼413室，黄新新（收），联系电话：13201118511。</w:t>
            </w:r>
          </w:p>
          <w:p w14:paraId="65C209C9">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收据格式要求：(正规横线条收据)</w:t>
            </w:r>
          </w:p>
          <w:p w14:paraId="41994143">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付款方：新疆金斌工程项目管理有限公司</w:t>
            </w:r>
          </w:p>
          <w:p w14:paraId="05F915D6">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付款方式：转账</w:t>
            </w:r>
          </w:p>
          <w:p w14:paraId="2C5CD5DB">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日期：填写收据当日即可</w:t>
            </w:r>
          </w:p>
          <w:p w14:paraId="16727919">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事由：退××××××××××××项目投标保证金</w:t>
            </w:r>
          </w:p>
          <w:p w14:paraId="4ACBAEAE">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要求字迹清晰，工整，不能涂改。</w:t>
            </w:r>
          </w:p>
        </w:tc>
      </w:tr>
      <w:tr w14:paraId="3D6B4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49EE1E0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16</w:t>
            </w:r>
          </w:p>
        </w:tc>
        <w:tc>
          <w:tcPr>
            <w:tcW w:w="1937" w:type="dxa"/>
            <w:noWrap w:val="0"/>
            <w:vAlign w:val="center"/>
          </w:tcPr>
          <w:p w14:paraId="1FB3DA0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投标有</w:t>
            </w:r>
          </w:p>
          <w:p w14:paraId="55CF478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效期</w:t>
            </w:r>
          </w:p>
        </w:tc>
        <w:tc>
          <w:tcPr>
            <w:tcW w:w="7850" w:type="dxa"/>
            <w:gridSpan w:val="4"/>
            <w:noWrap w:val="0"/>
            <w:vAlign w:val="center"/>
          </w:tcPr>
          <w:p w14:paraId="36FE66E9">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90日历日（自投标截止时间起开始计算）</w:t>
            </w:r>
          </w:p>
        </w:tc>
      </w:tr>
      <w:tr w14:paraId="40508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noWrap w:val="0"/>
            <w:vAlign w:val="center"/>
          </w:tcPr>
          <w:p w14:paraId="410ED75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17</w:t>
            </w:r>
          </w:p>
        </w:tc>
        <w:tc>
          <w:tcPr>
            <w:tcW w:w="1937" w:type="dxa"/>
            <w:noWrap w:val="0"/>
            <w:vAlign w:val="center"/>
          </w:tcPr>
          <w:p w14:paraId="3490929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评标办法</w:t>
            </w:r>
          </w:p>
        </w:tc>
        <w:tc>
          <w:tcPr>
            <w:tcW w:w="7850" w:type="dxa"/>
            <w:gridSpan w:val="4"/>
            <w:noWrap w:val="0"/>
            <w:vAlign w:val="center"/>
          </w:tcPr>
          <w:p w14:paraId="38B0F6E9">
            <w:pPr>
              <w:keepNext w:val="0"/>
              <w:keepLines w:val="0"/>
              <w:pageBreakBefore w:val="0"/>
              <w:kinsoku/>
              <w:wordWrap/>
              <w:topLinePunct w:val="0"/>
              <w:autoSpaceDE w:val="0"/>
              <w:autoSpaceDN w:val="0"/>
              <w:bidi w:val="0"/>
              <w:adjustRightInd w:val="0"/>
              <w:snapToGrid w:val="0"/>
              <w:spacing w:line="36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综合评分法</w:t>
            </w:r>
          </w:p>
        </w:tc>
      </w:tr>
      <w:tr w14:paraId="31EF4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746" w:type="dxa"/>
            <w:noWrap w:val="0"/>
            <w:vAlign w:val="center"/>
          </w:tcPr>
          <w:p w14:paraId="511477F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18</w:t>
            </w:r>
          </w:p>
        </w:tc>
        <w:tc>
          <w:tcPr>
            <w:tcW w:w="1937" w:type="dxa"/>
            <w:noWrap w:val="0"/>
            <w:vAlign w:val="center"/>
          </w:tcPr>
          <w:p w14:paraId="0A79B5E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响应文件份数</w:t>
            </w:r>
          </w:p>
        </w:tc>
        <w:tc>
          <w:tcPr>
            <w:tcW w:w="7850" w:type="dxa"/>
            <w:gridSpan w:val="4"/>
            <w:noWrap w:val="0"/>
            <w:vAlign w:val="center"/>
          </w:tcPr>
          <w:p w14:paraId="77E2517C">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加密的电子投标文件壹份(.jmbs格式)在新疆政府采购网指定位置上传。</w:t>
            </w:r>
          </w:p>
        </w:tc>
      </w:tr>
      <w:tr w14:paraId="70982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746" w:type="dxa"/>
            <w:noWrap w:val="0"/>
            <w:vAlign w:val="center"/>
          </w:tcPr>
          <w:p w14:paraId="0E3F86A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19</w:t>
            </w:r>
          </w:p>
        </w:tc>
        <w:tc>
          <w:tcPr>
            <w:tcW w:w="1937" w:type="dxa"/>
            <w:noWrap w:val="0"/>
            <w:vAlign w:val="center"/>
          </w:tcPr>
          <w:p w14:paraId="1D6D5D9F">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政府采购政策</w:t>
            </w:r>
          </w:p>
        </w:tc>
        <w:tc>
          <w:tcPr>
            <w:tcW w:w="7850" w:type="dxa"/>
            <w:gridSpan w:val="4"/>
            <w:noWrap w:val="0"/>
            <w:vAlign w:val="center"/>
          </w:tcPr>
          <w:p w14:paraId="729B6E97">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1、执行促进中小型（监狱、残疾人福利）企业发展相关政策（</w:t>
            </w:r>
            <w:r>
              <w:rPr>
                <w:rFonts w:hint="eastAsia" w:ascii="仿宋_GB2312" w:hAnsi="仿宋_GB2312" w:eastAsia="仿宋_GB2312" w:cs="仿宋_GB2312"/>
                <w:color w:val="auto"/>
                <w:sz w:val="32"/>
                <w:szCs w:val="32"/>
              </w:rPr>
              <w:sym w:font="Wingdings" w:char="00FE"/>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rPr>
              <w:sym w:font="Wingdings" w:char="00A8"/>
            </w:r>
            <w:r>
              <w:rPr>
                <w:rFonts w:hint="eastAsia" w:ascii="仿宋_GB2312" w:hAnsi="仿宋_GB2312" w:eastAsia="仿宋_GB2312" w:cs="仿宋_GB2312"/>
                <w:color w:val="auto"/>
                <w:sz w:val="32"/>
                <w:szCs w:val="32"/>
              </w:rPr>
              <w:t>否），投标价格给予10%的折扣；</w:t>
            </w:r>
          </w:p>
          <w:p w14:paraId="412F3C5F">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2、《国务院办公厅关于建立政府强制采购节能产品制度的通知》（国办发〔2007〕51号）；</w:t>
            </w:r>
          </w:p>
          <w:p w14:paraId="15ECBDC6">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3、《财政部、国家环保总局关于环境标志产品政府采购实施的意见》（财库[2006]90号）。</w:t>
            </w:r>
          </w:p>
          <w:p w14:paraId="183B24EA">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rPr>
              <w:t>4、采购标的对应的中小微企业划分标准所属行业为：</w:t>
            </w:r>
            <w:r>
              <w:rPr>
                <w:rFonts w:hint="eastAsia" w:ascii="仿宋_GB2312" w:hAnsi="仿宋_GB2312" w:eastAsia="仿宋_GB2312" w:cs="仿宋_GB2312"/>
                <w:b/>
                <w:bCs/>
                <w:color w:val="auto"/>
                <w:sz w:val="32"/>
                <w:szCs w:val="32"/>
                <w:highlight w:val="none"/>
              </w:rPr>
              <w:t>工业</w:t>
            </w:r>
          </w:p>
          <w:p w14:paraId="18692249">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12394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3B5A9FF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20</w:t>
            </w:r>
          </w:p>
        </w:tc>
        <w:tc>
          <w:tcPr>
            <w:tcW w:w="1937" w:type="dxa"/>
            <w:noWrap w:val="0"/>
            <w:vAlign w:val="center"/>
          </w:tcPr>
          <w:p w14:paraId="7009E9F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评标小组</w:t>
            </w:r>
          </w:p>
          <w:p w14:paraId="632FE7F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组成</w:t>
            </w:r>
          </w:p>
        </w:tc>
        <w:tc>
          <w:tcPr>
            <w:tcW w:w="7850" w:type="dxa"/>
            <w:gridSpan w:val="4"/>
            <w:noWrap w:val="0"/>
            <w:vAlign w:val="center"/>
          </w:tcPr>
          <w:p w14:paraId="0F6E1F02">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小组成员由</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b/>
                <w:color w:val="auto"/>
                <w:kern w:val="0"/>
                <w:sz w:val="32"/>
                <w:szCs w:val="32"/>
                <w:u w:val="single"/>
                <w:lang w:val="en-US" w:eastAsia="zh-CN"/>
              </w:rPr>
              <w:t>5</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color w:val="auto"/>
                <w:kern w:val="0"/>
                <w:sz w:val="32"/>
                <w:szCs w:val="32"/>
              </w:rPr>
              <w:t>人组成，其中采购方代表</w:t>
            </w:r>
            <w:r>
              <w:rPr>
                <w:rFonts w:hint="eastAsia" w:ascii="仿宋_GB2312" w:hAnsi="仿宋_GB2312" w:eastAsia="仿宋_GB2312" w:cs="仿宋_GB2312"/>
                <w:b/>
                <w:color w:val="auto"/>
                <w:kern w:val="0"/>
                <w:sz w:val="32"/>
                <w:szCs w:val="32"/>
                <w:u w:val="single"/>
              </w:rPr>
              <w:t xml:space="preserve">  1 </w:t>
            </w:r>
            <w:r>
              <w:rPr>
                <w:rFonts w:hint="eastAsia" w:ascii="仿宋_GB2312" w:hAnsi="仿宋_GB2312" w:eastAsia="仿宋_GB2312" w:cs="仿宋_GB2312"/>
                <w:color w:val="auto"/>
                <w:kern w:val="0"/>
                <w:sz w:val="32"/>
                <w:szCs w:val="32"/>
              </w:rPr>
              <w:t>人，从新疆政采云专家库中随机抽取的方式确定</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b/>
                <w:color w:val="auto"/>
                <w:kern w:val="0"/>
                <w:sz w:val="32"/>
                <w:szCs w:val="32"/>
                <w:u w:val="single"/>
                <w:lang w:val="en-US" w:eastAsia="zh-CN"/>
              </w:rPr>
              <w:t>4</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color w:val="auto"/>
                <w:kern w:val="0"/>
                <w:sz w:val="32"/>
                <w:szCs w:val="32"/>
              </w:rPr>
              <w:t>人</w:t>
            </w:r>
          </w:p>
        </w:tc>
      </w:tr>
      <w:tr w14:paraId="0B111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noWrap w:val="0"/>
            <w:vAlign w:val="center"/>
          </w:tcPr>
          <w:p w14:paraId="7E15508B">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21</w:t>
            </w:r>
          </w:p>
        </w:tc>
        <w:tc>
          <w:tcPr>
            <w:tcW w:w="1937" w:type="dxa"/>
            <w:vMerge w:val="restart"/>
            <w:tcBorders>
              <w:right w:val="single" w:color="auto" w:sz="4" w:space="0"/>
            </w:tcBorders>
            <w:noWrap w:val="0"/>
            <w:vAlign w:val="center"/>
          </w:tcPr>
          <w:p w14:paraId="2F07DC6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投标截止（开标）时间及地点</w:t>
            </w:r>
          </w:p>
        </w:tc>
        <w:tc>
          <w:tcPr>
            <w:tcW w:w="7850" w:type="dxa"/>
            <w:gridSpan w:val="4"/>
            <w:tcBorders>
              <w:left w:val="single" w:color="auto" w:sz="4" w:space="0"/>
              <w:bottom w:val="single" w:color="auto" w:sz="4" w:space="0"/>
            </w:tcBorders>
            <w:noWrap w:val="0"/>
            <w:vAlign w:val="center"/>
          </w:tcPr>
          <w:p w14:paraId="4DD8A448">
            <w:pPr>
              <w:keepNext w:val="0"/>
              <w:keepLines w:val="0"/>
              <w:pageBreakBefore w:val="0"/>
              <w:kinsoku/>
              <w:wordWrap/>
              <w:topLinePunct w:val="0"/>
              <w:autoSpaceDE w:val="0"/>
              <w:autoSpaceDN w:val="0"/>
              <w:bidi w:val="0"/>
              <w:adjustRightInd w:val="0"/>
              <w:snapToGrid w:val="0"/>
              <w:spacing w:line="360" w:lineRule="auto"/>
              <w:jc w:val="left"/>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Cs/>
                <w:color w:val="auto"/>
                <w:kern w:val="0"/>
                <w:sz w:val="32"/>
                <w:szCs w:val="32"/>
              </w:rPr>
              <w:t>投标截止（开标）时间：2026年0</w:t>
            </w:r>
            <w:r>
              <w:rPr>
                <w:rFonts w:hint="eastAsia" w:ascii="仿宋_GB2312" w:hAnsi="仿宋_GB2312" w:eastAsia="仿宋_GB2312" w:cs="仿宋_GB2312"/>
                <w:bCs/>
                <w:color w:val="auto"/>
                <w:kern w:val="0"/>
                <w:sz w:val="32"/>
                <w:szCs w:val="32"/>
                <w:lang w:val="en-US" w:eastAsia="zh-CN"/>
              </w:rPr>
              <w:t>6</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29</w:t>
            </w:r>
            <w:r>
              <w:rPr>
                <w:rFonts w:hint="eastAsia" w:ascii="仿宋_GB2312" w:hAnsi="仿宋_GB2312" w:eastAsia="仿宋_GB2312" w:cs="仿宋_GB2312"/>
                <w:bCs/>
                <w:color w:val="auto"/>
                <w:kern w:val="0"/>
                <w:sz w:val="32"/>
                <w:szCs w:val="32"/>
              </w:rPr>
              <w:t>日1</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30</w:t>
            </w:r>
          </w:p>
        </w:tc>
      </w:tr>
      <w:tr w14:paraId="766EB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continue"/>
            <w:noWrap w:val="0"/>
            <w:vAlign w:val="center"/>
          </w:tcPr>
          <w:p w14:paraId="1E7A515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tcBorders>
              <w:right w:val="single" w:color="auto" w:sz="4" w:space="0"/>
            </w:tcBorders>
            <w:noWrap w:val="0"/>
            <w:vAlign w:val="center"/>
          </w:tcPr>
          <w:p w14:paraId="402F7F2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left w:val="single" w:color="auto" w:sz="4" w:space="0"/>
            </w:tcBorders>
            <w:noWrap w:val="0"/>
            <w:vAlign w:val="center"/>
          </w:tcPr>
          <w:p w14:paraId="7A9B917C">
            <w:pPr>
              <w:keepNext w:val="0"/>
              <w:keepLines w:val="0"/>
              <w:pageBreakBefore w:val="0"/>
              <w:kinsoku/>
              <w:wordWrap/>
              <w:topLinePunct w:val="0"/>
              <w:bidi w:val="0"/>
              <w:spacing w:line="360" w:lineRule="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地点: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请登录政采云投标客户端，在截止时间前将加密的电子响应文件（.jmbs）上传到新疆政府采购网对应的位置（逾期上传或者未上传指定地点的响应文件，采购人不予受理）</w:t>
            </w:r>
          </w:p>
        </w:tc>
      </w:tr>
      <w:tr w14:paraId="45786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746" w:type="dxa"/>
            <w:noWrap w:val="0"/>
            <w:vAlign w:val="center"/>
          </w:tcPr>
          <w:p w14:paraId="45F584B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22</w:t>
            </w:r>
          </w:p>
        </w:tc>
        <w:tc>
          <w:tcPr>
            <w:tcW w:w="1937" w:type="dxa"/>
            <w:tcBorders>
              <w:right w:val="single" w:color="auto" w:sz="4" w:space="0"/>
            </w:tcBorders>
            <w:noWrap w:val="0"/>
            <w:vAlign w:val="center"/>
          </w:tcPr>
          <w:p w14:paraId="30F1F9CE">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成交原则</w:t>
            </w:r>
          </w:p>
        </w:tc>
        <w:tc>
          <w:tcPr>
            <w:tcW w:w="7850" w:type="dxa"/>
            <w:gridSpan w:val="4"/>
            <w:tcBorders>
              <w:left w:val="single" w:color="auto" w:sz="4" w:space="0"/>
            </w:tcBorders>
            <w:noWrap w:val="0"/>
            <w:vAlign w:val="center"/>
          </w:tcPr>
          <w:p w14:paraId="1C723114">
            <w:pPr>
              <w:keepNext w:val="0"/>
              <w:keepLines w:val="0"/>
              <w:pageBreakBefore w:val="0"/>
              <w:kinsoku/>
              <w:wordWrap/>
              <w:topLinePunct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最大程度满足招标文件规定的各项综合评价标准即综合得分最高为成交候选投标人。</w:t>
            </w:r>
          </w:p>
        </w:tc>
      </w:tr>
      <w:tr w14:paraId="2D282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restart"/>
            <w:noWrap w:val="0"/>
            <w:vAlign w:val="center"/>
          </w:tcPr>
          <w:p w14:paraId="7A23D45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23</w:t>
            </w:r>
          </w:p>
        </w:tc>
        <w:tc>
          <w:tcPr>
            <w:tcW w:w="1937" w:type="dxa"/>
            <w:vMerge w:val="restart"/>
            <w:tcBorders>
              <w:right w:val="single" w:color="auto" w:sz="4" w:space="0"/>
            </w:tcBorders>
            <w:noWrap w:val="0"/>
            <w:vAlign w:val="center"/>
          </w:tcPr>
          <w:p w14:paraId="425617C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公告及成交公示发布媒介</w:t>
            </w:r>
          </w:p>
        </w:tc>
        <w:tc>
          <w:tcPr>
            <w:tcW w:w="7850" w:type="dxa"/>
            <w:gridSpan w:val="4"/>
            <w:tcBorders>
              <w:left w:val="single" w:color="auto" w:sz="4" w:space="0"/>
              <w:bottom w:val="single" w:color="auto" w:sz="4" w:space="0"/>
            </w:tcBorders>
            <w:noWrap w:val="0"/>
            <w:vAlign w:val="center"/>
          </w:tcPr>
          <w:p w14:paraId="129C7C16">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新疆政府采购网http://www.ccgp-xinjiang.gov.cn/</w:t>
            </w:r>
          </w:p>
        </w:tc>
      </w:tr>
      <w:tr w14:paraId="0096C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continue"/>
            <w:noWrap w:val="0"/>
            <w:vAlign w:val="center"/>
          </w:tcPr>
          <w:p w14:paraId="753BF24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tcBorders>
              <w:right w:val="single" w:color="auto" w:sz="4" w:space="0"/>
            </w:tcBorders>
            <w:noWrap w:val="0"/>
            <w:vAlign w:val="center"/>
          </w:tcPr>
          <w:p w14:paraId="619E669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left w:val="single" w:color="auto" w:sz="4" w:space="0"/>
            </w:tcBorders>
            <w:noWrap w:val="0"/>
            <w:vAlign w:val="center"/>
          </w:tcPr>
          <w:p w14:paraId="48047275">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公示期不少于1工作日，公示期内无异议将向第一中标候选人发出成交通知书。</w:t>
            </w:r>
          </w:p>
        </w:tc>
      </w:tr>
      <w:tr w14:paraId="52E74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46" w:type="dxa"/>
            <w:noWrap w:val="0"/>
            <w:vAlign w:val="center"/>
          </w:tcPr>
          <w:p w14:paraId="609D07F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24</w:t>
            </w:r>
          </w:p>
        </w:tc>
        <w:tc>
          <w:tcPr>
            <w:tcW w:w="1937" w:type="dxa"/>
            <w:noWrap w:val="0"/>
            <w:vAlign w:val="center"/>
          </w:tcPr>
          <w:p w14:paraId="448AE5A8">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中标</w:t>
            </w:r>
          </w:p>
          <w:p w14:paraId="704DE3CA">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通知书</w:t>
            </w:r>
          </w:p>
        </w:tc>
        <w:tc>
          <w:tcPr>
            <w:tcW w:w="7850" w:type="dxa"/>
            <w:gridSpan w:val="4"/>
            <w:noWrap w:val="0"/>
            <w:vAlign w:val="center"/>
          </w:tcPr>
          <w:p w14:paraId="53CDD6A1">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中标公示</w:t>
            </w: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color w:val="auto"/>
                <w:sz w:val="32"/>
                <w:szCs w:val="32"/>
              </w:rPr>
              <w:t>工作日无异议后发放</w:t>
            </w:r>
          </w:p>
        </w:tc>
      </w:tr>
      <w:tr w14:paraId="6229B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noWrap w:val="0"/>
            <w:vAlign w:val="center"/>
          </w:tcPr>
          <w:p w14:paraId="27731CA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25</w:t>
            </w:r>
          </w:p>
        </w:tc>
        <w:tc>
          <w:tcPr>
            <w:tcW w:w="1937" w:type="dxa"/>
            <w:noWrap w:val="0"/>
            <w:vAlign w:val="center"/>
          </w:tcPr>
          <w:p w14:paraId="6C91D56F">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合同签订有效期</w:t>
            </w:r>
          </w:p>
        </w:tc>
        <w:tc>
          <w:tcPr>
            <w:tcW w:w="7850" w:type="dxa"/>
            <w:gridSpan w:val="4"/>
            <w:noWrap w:val="0"/>
            <w:vAlign w:val="center"/>
          </w:tcPr>
          <w:p w14:paraId="2C96B33C">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自成交通知书发出之日起30日内与采购人签订采购合</w:t>
            </w:r>
          </w:p>
          <w:p w14:paraId="3B8CF9FD">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w:t>
            </w:r>
          </w:p>
        </w:tc>
      </w:tr>
      <w:tr w14:paraId="6ABCE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noWrap w:val="0"/>
            <w:vAlign w:val="center"/>
          </w:tcPr>
          <w:p w14:paraId="2DEBAEE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26</w:t>
            </w:r>
          </w:p>
        </w:tc>
        <w:tc>
          <w:tcPr>
            <w:tcW w:w="1937" w:type="dxa"/>
            <w:noWrap w:val="0"/>
            <w:vAlign w:val="center"/>
          </w:tcPr>
          <w:p w14:paraId="22315C64">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代理服务费</w:t>
            </w:r>
          </w:p>
        </w:tc>
        <w:tc>
          <w:tcPr>
            <w:tcW w:w="7850" w:type="dxa"/>
            <w:gridSpan w:val="4"/>
            <w:noWrap w:val="0"/>
            <w:vAlign w:val="center"/>
          </w:tcPr>
          <w:p w14:paraId="75870B84">
            <w:pPr>
              <w:keepNext w:val="0"/>
              <w:keepLines w:val="0"/>
              <w:pageBreakBefore w:val="0"/>
              <w:kinsoku/>
              <w:wordWrap/>
              <w:topLinePunct w:val="0"/>
              <w:bidi w:val="0"/>
              <w:spacing w:before="24" w:line="360" w:lineRule="auto"/>
              <w:ind w:left="3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招标代理服务费：中标人应按本招标文件的规定，在《成交通知书》核发时至核发后 3 天内，向采购代理机构支付中标服务费。其计算标准和方法按照下列表格差额定率累进法计算后下浮30%。代理服务费为</w:t>
            </w:r>
            <w:r>
              <w:rPr>
                <w:rFonts w:hint="eastAsia" w:ascii="仿宋_GB2312" w:hAnsi="仿宋_GB2312" w:eastAsia="仿宋_GB2312" w:cs="仿宋_GB2312"/>
                <w:color w:val="auto"/>
                <w:sz w:val="32"/>
                <w:szCs w:val="32"/>
                <w:lang w:val="en-US" w:eastAsia="zh-CN"/>
              </w:rPr>
              <w:t>22820</w:t>
            </w:r>
            <w:r>
              <w:rPr>
                <w:rFonts w:hint="eastAsia" w:ascii="仿宋_GB2312" w:hAnsi="仿宋_GB2312" w:eastAsia="仿宋_GB2312" w:cs="仿宋_GB2312"/>
                <w:color w:val="auto"/>
                <w:sz w:val="32"/>
                <w:szCs w:val="32"/>
              </w:rPr>
              <w:t>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3790"/>
            </w:tblGrid>
            <w:tr w14:paraId="6199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3790" w:type="dxa"/>
                  <w:noWrap w:val="0"/>
                  <w:vAlign w:val="top"/>
                </w:tcPr>
                <w:p w14:paraId="7CE86AE1">
                  <w:pPr>
                    <w:keepNext w:val="0"/>
                    <w:keepLines w:val="0"/>
                    <w:pageBreakBefore w:val="0"/>
                    <w:kinsoku/>
                    <w:wordWrap/>
                    <w:topLinePunct w:val="0"/>
                    <w:bidi w:val="0"/>
                    <w:spacing w:before="24" w:line="360" w:lineRule="auto"/>
                    <w:ind w:firstLine="2240" w:firstLineChars="7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9525</wp:posOffset>
                            </wp:positionV>
                            <wp:extent cx="2359025" cy="1024255"/>
                            <wp:effectExtent l="1905" t="4445" r="13970" b="12700"/>
                            <wp:wrapNone/>
                            <wp:docPr id="2" name="直接连接符 2"/>
                            <wp:cNvGraphicFramePr/>
                            <a:graphic xmlns:a="http://schemas.openxmlformats.org/drawingml/2006/main">
                              <a:graphicData uri="http://schemas.microsoft.com/office/word/2010/wordprocessingShape">
                                <wps:wsp>
                                  <wps:cNvCnPr/>
                                  <wps:spPr>
                                    <a:xfrm>
                                      <a:off x="0" y="0"/>
                                      <a:ext cx="2359025" cy="1024255"/>
                                    </a:xfrm>
                                    <a:prstGeom prst="straightConnector1">
                                      <a:avLst/>
                                    </a:prstGeom>
                                    <a:ln w="0" cap="flat" cmpd="sng">
                                      <a:solidFill>
                                        <a:srgbClr val="000000"/>
                                      </a:solidFill>
                                      <a:prstDash val="solid"/>
                                      <a:headEnd type="none" w="med" len="med"/>
                                      <a:tailEnd type="none" w="med" len="med"/>
                                    </a:ln>
                                  </wps:spPr>
                                  <wps:bodyPr/>
                                </wps:wsp>
                              </a:graphicData>
                            </a:graphic>
                          </wp:anchor>
                        </w:drawing>
                      </mc:Choice>
                      <mc:Fallback>
                        <w:pict>
                          <v:shape id="直接连接符 2" o:spid="_x0000_s1026" o:spt="32" type="#_x0000_t32" style="position:absolute;left:0pt;margin-left:-4.2pt;margin-top:0.75pt;height:80.65pt;width:185.75pt;z-index:251661312;mso-width-relative:page;mso-height-relative:page;" filled="f" stroked="t" coordsize="21600,21600" o:gfxdata="UEsDBAoAAAAAAIdO4kAAAAAAAAAAAAAAAAAEAAAAZHJzL1BLAwQUAAAACACHTuJAvPiuw9YAAAAI&#10;AQAADwAAAGRycy9kb3ducmV2LnhtbE2PzU7DMBCE70i8g7VI3FrnB9IoxKkQEggJLgRUrtvYJFHt&#10;dRS7aXl7lhMcZ2f07Uy9PTsrFjOH0ZOCdJ2AMNR5PVKv4OP9cVWCCBFJo/VkFHybANvm8qLGSvsT&#10;vZmljb1gCIUKFQwxTpWUoRuMw7D2kyH2vvzsMLKce6lnPDHcWZklSSEdjsQfBpzMw2C6Q3t0TOk+&#10;M5ye20Uf7p+sfck35e51Vur6Kk3uQERzjn9h+K3P1aHhTnt/JB2EVbAqbzjJ91sQbOdFnoLYsy6y&#10;EmRTy/8Dmh9QSwMEFAAAAAgAh07iQKim1OT1AQAA6QMAAA4AAABkcnMvZTJvRG9jLnhtbK1TTa7T&#10;MBDeI3EHy3uaNFAEUdO3aHlsEFQCDjB1nMSS/+Txa9pLcAEkdrBiyZ7b8DgGY6f0wWPTBVk4Y8/M&#10;N/N9Hi+vDkazvQyonG34fFZyJq1wrbJ9w9+/u370jDOMYFvQzsqGHyXyq9XDB8vR17Jyg9OtDIxA&#10;LNajb/gQo6+LAsUgDeDMeWnJ2blgINI29EUbYCR0o4uqLJ8WowutD05IRDrdTE5+QgyXALquU0Ju&#10;nLgx0sYJNUgNkSjhoDzyVe6266SIb7oOZWS64cQ05pWKkL1La7FaQt0H8IMSpxbgkhbucTKgLBU9&#10;Q20gArsJ6h8oo0Rw6Lo4E84UE5GsCLGYl/e0eTuAl5kLSY3+LDr+P1jxer8NTLUNrzizYOjCbz9+&#10;+/Hh88/vn2i9/fqFVUmk0WNNsWu7Dacd+m1IjA9dMOlPXNghC3s8CysPkQk6rB4vnpfVgjNBvnlZ&#10;PakWi4Ra3KX7gPGldIYlo+EYA6h+iGtnLV2iC/MsL+xfYZwSfyek2tqyMZcWQBPZ0SRQKeOJFdo+&#10;J6LTqr1WWqdwDP1urQPbQ5qK/J26+SssVdgADlNcdqUwqAcJ7Qvbsnj0pJelZ8JTfSNbzrSkV5Ws&#10;HBlB6UsiSQhtSY8k8yRssnauPWa98zlNQFbsNK1pxP7c5+y7F7r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z4rsPWAAAACAEAAA8AAAAAAAAAAQAgAAAAIgAAAGRycy9kb3ducmV2LnhtbFBLAQIU&#10;ABQAAAAIAIdO4kCoptTk9QEAAOkDAAAOAAAAAAAAAAEAIAAAACUBAABkcnMvZTJvRG9jLnhtbFBL&#10;BQYAAAAABgAGAFkBAACMBQAAAAA=&#10;">
                            <v:fill on="f" focussize="0,0"/>
                            <v:stroke weight="0pt" color="#000000" joinstyle="round"/>
                            <v:imagedata o:title=""/>
                            <o:lock v:ext="edit" aspectratio="f"/>
                          </v:shape>
                        </w:pict>
                      </mc:Fallback>
                    </mc:AlternateContent>
                  </w:r>
                  <w:r>
                    <w:rPr>
                      <w:rFonts w:hint="eastAsia" w:ascii="仿宋_GB2312" w:hAnsi="仿宋_GB2312" w:eastAsia="仿宋_GB2312" w:cs="仿宋_GB2312"/>
                      <w:color w:val="auto"/>
                      <w:sz w:val="32"/>
                      <w:szCs w:val="32"/>
                    </w:rPr>
                    <w:t>费用类别</w:t>
                  </w:r>
                </w:p>
                <w:p w14:paraId="15390304">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p>
                <w:p w14:paraId="03EC429F">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p>
                <w:p w14:paraId="4A5E7A34">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中标金额万元（人民币）</w:t>
                  </w:r>
                </w:p>
              </w:tc>
              <w:tc>
                <w:tcPr>
                  <w:tcW w:w="3790" w:type="dxa"/>
                  <w:noWrap w:val="0"/>
                  <w:vAlign w:val="center"/>
                </w:tcPr>
                <w:p w14:paraId="17A2B600">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货物招标费率</w:t>
                  </w:r>
                </w:p>
              </w:tc>
            </w:tr>
            <w:tr w14:paraId="059E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7A7DABE9">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100以下</w:t>
                  </w:r>
                </w:p>
              </w:tc>
              <w:tc>
                <w:tcPr>
                  <w:tcW w:w="3790" w:type="dxa"/>
                  <w:noWrap w:val="0"/>
                  <w:vAlign w:val="center"/>
                </w:tcPr>
                <w:p w14:paraId="167BD99B">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p>
              </w:tc>
            </w:tr>
            <w:tr w14:paraId="2A3A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4F579CFD">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highlight w:val="magenta"/>
                    </w:rPr>
                  </w:pPr>
                  <w:r>
                    <w:rPr>
                      <w:rFonts w:hint="eastAsia" w:ascii="仿宋_GB2312" w:hAnsi="仿宋_GB2312" w:eastAsia="仿宋_GB2312" w:cs="仿宋_GB2312"/>
                      <w:color w:val="auto"/>
                      <w:sz w:val="32"/>
                      <w:szCs w:val="32"/>
                      <w:lang w:val="en-US" w:eastAsia="zh-CN"/>
                    </w:rPr>
                    <w:t>100～500</w:t>
                  </w:r>
                </w:p>
              </w:tc>
              <w:tc>
                <w:tcPr>
                  <w:tcW w:w="3790" w:type="dxa"/>
                  <w:noWrap w:val="0"/>
                  <w:vAlign w:val="center"/>
                </w:tcPr>
                <w:p w14:paraId="431874B7">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highlight w:val="magenta"/>
                    </w:rPr>
                  </w:pPr>
                  <w:r>
                    <w:rPr>
                      <w:rFonts w:hint="eastAsia" w:ascii="仿宋_GB2312" w:hAnsi="仿宋_GB2312" w:eastAsia="仿宋_GB2312" w:cs="仿宋_GB2312"/>
                      <w:color w:val="auto"/>
                      <w:sz w:val="32"/>
                      <w:szCs w:val="32"/>
                      <w:lang w:val="en-US" w:eastAsia="zh-CN"/>
                    </w:rPr>
                    <w:t>1.1%</w:t>
                  </w:r>
                </w:p>
              </w:tc>
            </w:tr>
            <w:tr w14:paraId="6140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4968B1F4">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500～1000</w:t>
                  </w:r>
                </w:p>
              </w:tc>
              <w:tc>
                <w:tcPr>
                  <w:tcW w:w="3790" w:type="dxa"/>
                  <w:noWrap w:val="0"/>
                  <w:vAlign w:val="center"/>
                </w:tcPr>
                <w:p w14:paraId="3EB01CB4">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0.8%</w:t>
                  </w:r>
                </w:p>
              </w:tc>
            </w:tr>
            <w:tr w14:paraId="058B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5130BA00">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1000～5000</w:t>
                  </w:r>
                </w:p>
              </w:tc>
              <w:tc>
                <w:tcPr>
                  <w:tcW w:w="3790" w:type="dxa"/>
                  <w:noWrap w:val="0"/>
                  <w:vAlign w:val="center"/>
                </w:tcPr>
                <w:p w14:paraId="3F258144">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0.5%</w:t>
                  </w:r>
                </w:p>
              </w:tc>
            </w:tr>
            <w:tr w14:paraId="54A5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1A84E139">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5000～10000</w:t>
                  </w:r>
                </w:p>
              </w:tc>
              <w:tc>
                <w:tcPr>
                  <w:tcW w:w="3790" w:type="dxa"/>
                  <w:noWrap w:val="0"/>
                  <w:vAlign w:val="center"/>
                </w:tcPr>
                <w:p w14:paraId="61CD8BBF">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0.25%</w:t>
                  </w:r>
                </w:p>
              </w:tc>
            </w:tr>
            <w:tr w14:paraId="653C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6B04A56D">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10000～100000</w:t>
                  </w:r>
                </w:p>
              </w:tc>
              <w:tc>
                <w:tcPr>
                  <w:tcW w:w="3790" w:type="dxa"/>
                  <w:noWrap w:val="0"/>
                  <w:vAlign w:val="center"/>
                </w:tcPr>
                <w:p w14:paraId="75CB2C2B">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0.05%</w:t>
                  </w:r>
                </w:p>
              </w:tc>
            </w:tr>
            <w:tr w14:paraId="53F0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790" w:type="dxa"/>
                  <w:noWrap w:val="0"/>
                  <w:vAlign w:val="center"/>
                </w:tcPr>
                <w:p w14:paraId="67B12755">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1000000以上</w:t>
                  </w:r>
                </w:p>
              </w:tc>
              <w:tc>
                <w:tcPr>
                  <w:tcW w:w="3790" w:type="dxa"/>
                  <w:noWrap w:val="0"/>
                  <w:vAlign w:val="center"/>
                </w:tcPr>
                <w:p w14:paraId="76DFE997">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0.01%</w:t>
                  </w:r>
                </w:p>
              </w:tc>
            </w:tr>
          </w:tbl>
          <w:p w14:paraId="74303FEE">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支付形式：对公转账</w:t>
            </w:r>
          </w:p>
          <w:p w14:paraId="5BC4E04F">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支付时</w:t>
            </w:r>
            <w:r>
              <w:rPr>
                <w:rFonts w:hint="eastAsia" w:ascii="仿宋_GB2312" w:hAnsi="仿宋_GB2312" w:eastAsia="仿宋_GB2312" w:cs="仿宋_GB2312"/>
                <w:color w:val="auto"/>
                <w:spacing w:val="8"/>
                <w:sz w:val="32"/>
                <w:szCs w:val="32"/>
                <w:highlight w:val="none"/>
              </w:rPr>
              <w:t>间：领取成交通知书</w:t>
            </w:r>
            <w:r>
              <w:rPr>
                <w:rFonts w:hint="eastAsia" w:ascii="仿宋_GB2312" w:hAnsi="仿宋_GB2312" w:eastAsia="仿宋_GB2312" w:cs="仿宋_GB2312"/>
                <w:color w:val="auto"/>
                <w:spacing w:val="8"/>
                <w:sz w:val="32"/>
                <w:szCs w:val="32"/>
                <w:highlight w:val="none"/>
                <w:lang w:val="en-US" w:eastAsia="zh-CN"/>
              </w:rPr>
              <w:t>后3日</w:t>
            </w:r>
            <w:r>
              <w:rPr>
                <w:rFonts w:hint="eastAsia" w:ascii="仿宋_GB2312" w:hAnsi="仿宋_GB2312" w:eastAsia="仿宋_GB2312" w:cs="仿宋_GB2312"/>
                <w:color w:val="auto"/>
                <w:spacing w:val="8"/>
                <w:sz w:val="32"/>
                <w:szCs w:val="32"/>
                <w:highlight w:val="none"/>
              </w:rPr>
              <w:t>由中标方一次性支付</w:t>
            </w:r>
          </w:p>
        </w:tc>
      </w:tr>
      <w:tr w14:paraId="0381F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noWrap w:val="0"/>
            <w:vAlign w:val="center"/>
          </w:tcPr>
          <w:p w14:paraId="7D2356C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27</w:t>
            </w:r>
          </w:p>
        </w:tc>
        <w:tc>
          <w:tcPr>
            <w:tcW w:w="1937" w:type="dxa"/>
            <w:noWrap w:val="0"/>
            <w:vAlign w:val="center"/>
          </w:tcPr>
          <w:p w14:paraId="74077709">
            <w:pPr>
              <w:pStyle w:val="15"/>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kern w:val="2"/>
                <w:sz w:val="32"/>
                <w:szCs w:val="32"/>
                <w:lang w:val="en-US" w:eastAsia="zh-CN"/>
              </w:rPr>
            </w:pPr>
            <w:r>
              <w:rPr>
                <w:rFonts w:hint="eastAsia" w:ascii="仿宋_GB2312" w:hAnsi="仿宋_GB2312" w:eastAsia="仿宋_GB2312" w:cs="仿宋_GB2312"/>
                <w:b/>
                <w:color w:val="auto"/>
                <w:kern w:val="2"/>
                <w:sz w:val="32"/>
                <w:szCs w:val="32"/>
                <w:lang w:val="en-US" w:eastAsia="zh-CN"/>
              </w:rPr>
              <w:t>招标文件的澄清或修改</w:t>
            </w:r>
          </w:p>
        </w:tc>
        <w:tc>
          <w:tcPr>
            <w:tcW w:w="7850" w:type="dxa"/>
            <w:gridSpan w:val="4"/>
            <w:noWrap w:val="0"/>
            <w:vAlign w:val="center"/>
          </w:tcPr>
          <w:p w14:paraId="2320A033">
            <w:pPr>
              <w:pStyle w:val="15"/>
              <w:keepNext w:val="0"/>
              <w:keepLines w:val="0"/>
              <w:pageBreakBefore w:val="0"/>
              <w:kinsoku/>
              <w:wordWrap/>
              <w:topLinePunct w:val="0"/>
              <w:bidi w:val="0"/>
              <w:spacing w:line="360" w:lineRule="auto"/>
              <w:jc w:val="lef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供应商应当在知道或应当知道（即收到采购文件之日或者采购文件公告期限届满之日）其权益受到损害之日起七个工作日内书面提出。</w:t>
            </w:r>
          </w:p>
        </w:tc>
      </w:tr>
      <w:tr w14:paraId="63C39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746" w:type="dxa"/>
            <w:noWrap w:val="0"/>
            <w:vAlign w:val="center"/>
          </w:tcPr>
          <w:p w14:paraId="2983C77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28</w:t>
            </w:r>
          </w:p>
        </w:tc>
        <w:tc>
          <w:tcPr>
            <w:tcW w:w="1937" w:type="dxa"/>
            <w:noWrap w:val="0"/>
            <w:vAlign w:val="center"/>
          </w:tcPr>
          <w:p w14:paraId="4F545C63">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文件解释权</w:t>
            </w:r>
          </w:p>
        </w:tc>
        <w:tc>
          <w:tcPr>
            <w:tcW w:w="7850" w:type="dxa"/>
            <w:gridSpan w:val="4"/>
            <w:noWrap w:val="0"/>
            <w:vAlign w:val="center"/>
          </w:tcPr>
          <w:p w14:paraId="00496275">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本招标文件的解释权归</w:t>
            </w:r>
            <w:r>
              <w:rPr>
                <w:rFonts w:hint="eastAsia" w:ascii="仿宋_GB2312" w:hAnsi="仿宋_GB2312" w:eastAsia="仿宋_GB2312" w:cs="仿宋_GB2312"/>
                <w:b/>
                <w:bCs/>
                <w:color w:val="auto"/>
                <w:sz w:val="32"/>
                <w:szCs w:val="32"/>
                <w:lang w:val="zh-CN"/>
              </w:rPr>
              <w:t>新疆维吾尔自治区伊宁某某某单位</w:t>
            </w:r>
          </w:p>
        </w:tc>
      </w:tr>
      <w:tr w14:paraId="0399F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noWrap w:val="0"/>
            <w:vAlign w:val="center"/>
          </w:tcPr>
          <w:p w14:paraId="7DA7FE3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29</w:t>
            </w:r>
          </w:p>
        </w:tc>
        <w:tc>
          <w:tcPr>
            <w:tcW w:w="1937" w:type="dxa"/>
            <w:noWrap w:val="0"/>
            <w:vAlign w:val="center"/>
          </w:tcPr>
          <w:p w14:paraId="2700EB51">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补充说明</w:t>
            </w:r>
          </w:p>
        </w:tc>
        <w:tc>
          <w:tcPr>
            <w:tcW w:w="7850" w:type="dxa"/>
            <w:gridSpan w:val="4"/>
            <w:noWrap w:val="0"/>
            <w:vAlign w:val="center"/>
          </w:tcPr>
          <w:p w14:paraId="5CBBBF7D">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电子招标投标：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39DEF95A">
            <w:pPr>
              <w:keepNext w:val="0"/>
              <w:keepLines w:val="0"/>
              <w:pageBreakBefore w:val="0"/>
              <w:numPr>
                <w:ilvl w:val="0"/>
                <w:numId w:val="1"/>
              </w:numPr>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供应商报价CA签字确认：报价文件开启后将开启签字时段，供应商须在30分钟内用CA证书对报价进行签字确认。</w:t>
            </w:r>
          </w:p>
          <w:p w14:paraId="6669310F">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14:paraId="18D0458F">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0800866D">
            <w:pPr>
              <w:pStyle w:val="23"/>
              <w:keepNext w:val="0"/>
              <w:keepLines w:val="0"/>
              <w:pageBreakBefore w:val="0"/>
              <w:shd w:val="clear" w:color="auto" w:fill="FFFFFF"/>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kern w:val="2"/>
                <w:sz w:val="32"/>
                <w:szCs w:val="32"/>
              </w:rPr>
              <w:t>各供应商对不见面开评标系统的技术操作咨询，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78ABF10B">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5、按评标办法提供材料。</w:t>
            </w:r>
          </w:p>
          <w:p w14:paraId="62CBE4CD">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6、须知前附表与正文描述不一致时，以须知前附表中为主。</w:t>
            </w:r>
          </w:p>
        </w:tc>
      </w:tr>
      <w:tr w14:paraId="0DFB8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noWrap w:val="0"/>
            <w:vAlign w:val="center"/>
          </w:tcPr>
          <w:p w14:paraId="5BBD00D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30</w:t>
            </w:r>
          </w:p>
        </w:tc>
        <w:tc>
          <w:tcPr>
            <w:tcW w:w="1937" w:type="dxa"/>
            <w:noWrap w:val="0"/>
            <w:vAlign w:val="center"/>
          </w:tcPr>
          <w:p w14:paraId="68F01D04">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其他说明</w:t>
            </w:r>
          </w:p>
        </w:tc>
        <w:tc>
          <w:tcPr>
            <w:tcW w:w="7850" w:type="dxa"/>
            <w:gridSpan w:val="4"/>
            <w:noWrap w:val="0"/>
            <w:vAlign w:val="center"/>
          </w:tcPr>
          <w:p w14:paraId="2E5B79D9">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部87号令第三十一条第一款：采用最低评标价法的采购项目，提供相同品牌产品的不同投标人参加同一合同项下投标的，以其中通过资格审查、符合性审查且报价最低的参加投标；报价相同的，由采购人或采购人委托评标委员会按照招标文件规定的方式确定一个参加评标的投标人，招标文件未规定的采取随机抽取方式确定，其他投标无效。</w:t>
            </w:r>
          </w:p>
          <w:p w14:paraId="753E253E">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财政部87号令第三十一条第二款：使用综合评分法的采购项目，提供相同品牌产品且通过资格审查、符合性审查的不同投标人参加同一合同项下投标的，按一家投标人计算，评审得分最高的同品牌投标人获得中标人推荐资格；评审得分相同的，由采购人或采购人委托评标委员会，按照招标文件规定的方式确定一个投标人获得中标人推荐资格。招标文件未规定的采取随机抽取方式确定，其他同品牌投标人不作为中标候选人。</w:t>
            </w:r>
          </w:p>
          <w:p w14:paraId="524A013E">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政部87号令三十一条第三款：非单一产品采购项目，采购人应当根据采购项目技术构成、产品价格比重等因素，合理确定关键产品，并在招标文件中载明。多家投标人提供的关键产品品牌相同的，按前两款规定处理。</w:t>
            </w:r>
          </w:p>
          <w:p w14:paraId="4B8A08B8">
            <w:pPr>
              <w:widowControl/>
              <w:shd w:val="clear" w:color="auto" w:fill="FFFFFF"/>
              <w:spacing w:before="0" w:beforeAutospacing="0" w:after="0" w:afterAutospacing="0" w:line="336"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（1）本项目一至</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标段不得兼中兼得，一标段中标人不在推荐为二标段中标人，一、二标段中标人不在推荐为三标段中标人，以此类推；</w:t>
            </w:r>
          </w:p>
          <w:p w14:paraId="2892DFBA">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（2）甲方定期对供应物资进行检测，如检测不合格，退换当批物资，三次检测不合格，甲方有权终止合同，并由乙方赔偿甲方相应损失。检测不合格的检测费用由乙方承担。</w:t>
            </w:r>
          </w:p>
          <w:p w14:paraId="72C057EE">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（3）为确保投标人充分了解采购需求，投标人须认真阅读第五章采购项目清单及参数要求；</w:t>
            </w:r>
          </w:p>
          <w:p w14:paraId="366D7C76">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投标文件中描述的投标货物参数与投标人提供的产品实物必须完全吻合，严禁弄虚作假以次充好骗取评标加分；如投标人违反上述规定，评标委员会将否决其投标，招标人将没收其投标保证金并提请行业监管部门将该投标人列入“严重违法失信行为记录名单”中，三年内禁止参加政府采购活动。</w:t>
            </w:r>
          </w:p>
        </w:tc>
      </w:tr>
      <w:tr w14:paraId="3275E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10533" w:type="dxa"/>
            <w:gridSpan w:val="6"/>
            <w:noWrap w:val="0"/>
            <w:vAlign w:val="center"/>
          </w:tcPr>
          <w:p w14:paraId="704B1F70">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特别说明：</w:t>
            </w:r>
          </w:p>
          <w:p w14:paraId="6CD5B0D0">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color w:val="auto"/>
                <w:sz w:val="32"/>
                <w:szCs w:val="32"/>
              </w:rPr>
              <w:t>招标人若发现成交候选人在竞标过程中提供虚假证明文件，故意隐瞒公司不良信誉和财务状况，以及存在可能对合同圆满履行造成风险的其他因素等，则按规定取消其成交资格，监管部门依法进行处理。</w:t>
            </w:r>
          </w:p>
          <w:p w14:paraId="21E72CE7">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2、招标文件中部分加“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加粗、加下划线、废标、无效标、投标被拒绝字样的条款，为招标的实质性要求和条件，着重提醒各投标人注意，并认真查看招标文件中的每一个条款及要求，因误读招标文件而造成的后果，招标人及代理机构概不负责！</w:t>
            </w:r>
          </w:p>
        </w:tc>
      </w:tr>
    </w:tbl>
    <w:p w14:paraId="751FD3B4">
      <w:pPr>
        <w:pStyle w:val="24"/>
        <w:spacing w:line="360" w:lineRule="auto"/>
        <w:jc w:val="both"/>
        <w:rPr>
          <w:rFonts w:hint="eastAsia" w:ascii="方正小标宋_GBK" w:hAnsi="方正小标宋_GBK" w:eastAsia="方正小标宋_GBK" w:cs="方正小标宋_GBK"/>
          <w:b w:val="0"/>
          <w:bCs w:val="0"/>
          <w:kern w:val="2"/>
          <w:lang w:val="en-US" w:eastAsia="zh-CN"/>
        </w:rPr>
      </w:pPr>
      <w:bookmarkStart w:id="9" w:name="_Toc3096"/>
    </w:p>
    <w:p w14:paraId="2530419A">
      <w:pPr>
        <w:rPr>
          <w:rFonts w:hint="eastAsia" w:ascii="方正小标宋_GBK" w:hAnsi="方正小标宋_GBK" w:eastAsia="方正小标宋_GBK" w:cs="方正小标宋_GBK"/>
          <w:b/>
          <w:bCs/>
          <w:kern w:val="2"/>
          <w:lang w:val="en-US" w:eastAsia="zh-CN"/>
        </w:rPr>
      </w:pPr>
    </w:p>
    <w:p w14:paraId="6F3D2AFF">
      <w:pPr>
        <w:rPr>
          <w:rFonts w:hint="eastAsia" w:ascii="方正小标宋_GBK" w:hAnsi="方正小标宋_GBK" w:eastAsia="方正小标宋_GBK" w:cs="方正小标宋_GBK"/>
          <w:b/>
          <w:bCs/>
          <w:kern w:val="2"/>
          <w:lang w:val="en-US" w:eastAsia="zh-CN"/>
        </w:rPr>
      </w:pPr>
    </w:p>
    <w:p w14:paraId="5A9A3147">
      <w:pPr>
        <w:pStyle w:val="24"/>
        <w:spacing w:line="360" w:lineRule="auto"/>
        <w:rPr>
          <w:rFonts w:hint="eastAsia" w:ascii="方正小标宋_GBK" w:hAnsi="方正小标宋_GBK" w:eastAsia="方正小标宋_GBK" w:cs="方正小标宋_GBK"/>
          <w:b w:val="0"/>
          <w:bCs w:val="0"/>
          <w:kern w:val="2"/>
          <w:lang w:val="en-US" w:eastAsia="zh-CN"/>
        </w:rPr>
      </w:pPr>
      <w:r>
        <w:rPr>
          <w:rFonts w:hint="eastAsia" w:ascii="方正小标宋_GBK" w:hAnsi="方正小标宋_GBK" w:eastAsia="方正小标宋_GBK" w:cs="方正小标宋_GBK"/>
          <w:b w:val="0"/>
          <w:bCs w:val="0"/>
          <w:kern w:val="2"/>
          <w:lang w:val="en-US" w:eastAsia="zh-CN"/>
        </w:rPr>
        <w:t>第三章　投标人须知</w:t>
      </w:r>
      <w:bookmarkEnd w:id="9"/>
    </w:p>
    <w:p w14:paraId="6579920B">
      <w:pPr>
        <w:pStyle w:val="3"/>
        <w:spacing w:before="60" w:after="60" w:line="700" w:lineRule="exact"/>
        <w:ind w:left="420" w:hanging="420"/>
        <w:jc w:val="center"/>
        <w:rPr>
          <w:rFonts w:hint="eastAsia" w:ascii="Times New Roman" w:hAnsi="Times New Roman"/>
          <w:b w:val="0"/>
          <w:bCs w:val="0"/>
          <w:lang w:val="zh-CN"/>
        </w:rPr>
      </w:pPr>
      <w:bookmarkStart w:id="10" w:name="_Toc737"/>
      <w:bookmarkStart w:id="11" w:name="_Toc26890"/>
      <w:bookmarkStart w:id="12" w:name="_Toc18475"/>
      <w:r>
        <w:rPr>
          <w:rFonts w:hint="eastAsia" w:ascii="Times New Roman" w:hAnsi="Times New Roman"/>
          <w:b w:val="0"/>
          <w:bCs w:val="0"/>
          <w:lang w:val="zh-CN"/>
        </w:rPr>
        <w:t>一、说明</w:t>
      </w:r>
      <w:bookmarkEnd w:id="10"/>
      <w:bookmarkEnd w:id="11"/>
      <w:bookmarkEnd w:id="12"/>
    </w:p>
    <w:p w14:paraId="5A3B3534">
      <w:pPr>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13" w:name="_Toc2890"/>
      <w:bookmarkStart w:id="14" w:name="_Toc28947"/>
      <w:bookmarkStart w:id="15" w:name="_Toc11143"/>
      <w:bookmarkStart w:id="16" w:name="_Toc32718"/>
      <w:bookmarkStart w:id="17" w:name="_Toc19092"/>
      <w:r>
        <w:rPr>
          <w:rFonts w:hint="eastAsia" w:ascii="仿宋_GB2312" w:hAnsi="仿宋_GB2312" w:eastAsia="仿宋_GB2312" w:cs="仿宋_GB2312"/>
          <w:b/>
          <w:bCs/>
          <w:kern w:val="44"/>
          <w:sz w:val="32"/>
          <w:szCs w:val="32"/>
        </w:rPr>
        <w:t>说明：本招标文件使用的词语有如下定义</w:t>
      </w:r>
      <w:bookmarkEnd w:id="13"/>
      <w:bookmarkEnd w:id="14"/>
      <w:bookmarkEnd w:id="15"/>
      <w:bookmarkEnd w:id="16"/>
      <w:bookmarkEnd w:id="17"/>
    </w:p>
    <w:p w14:paraId="35E9043F">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“采购人”系指依法进行政府采购的国家机关、事业单位、团体组织。系指：</w:t>
      </w:r>
      <w:r>
        <w:rPr>
          <w:rFonts w:hint="eastAsia" w:ascii="仿宋_GB2312" w:hAnsi="仿宋_GB2312" w:eastAsia="仿宋_GB2312" w:cs="仿宋_GB2312"/>
          <w:sz w:val="32"/>
          <w:szCs w:val="32"/>
          <w:u w:val="single"/>
          <w:lang w:val="zh-CN"/>
        </w:rPr>
        <w:t xml:space="preserve"> 新疆维吾尔自治区伊宁某某某单位 。</w:t>
      </w:r>
    </w:p>
    <w:p w14:paraId="563E943A">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“采购代理机构”系指： </w:t>
      </w:r>
      <w:r>
        <w:rPr>
          <w:rFonts w:hint="eastAsia" w:ascii="仿宋_GB2312" w:hAnsi="仿宋_GB2312" w:eastAsia="仿宋_GB2312" w:cs="仿宋_GB2312"/>
          <w:sz w:val="32"/>
          <w:szCs w:val="32"/>
          <w:u w:val="single"/>
          <w:lang w:val="zh-CN"/>
        </w:rPr>
        <w:t>新疆金斌工程项目管理有限公司</w:t>
      </w:r>
      <w:r>
        <w:rPr>
          <w:rFonts w:hint="eastAsia" w:ascii="仿宋_GB2312" w:hAnsi="仿宋_GB2312" w:eastAsia="仿宋_GB2312" w:cs="仿宋_GB2312"/>
          <w:sz w:val="32"/>
          <w:szCs w:val="32"/>
          <w:lang w:val="zh-CN"/>
        </w:rPr>
        <w:t>。</w:t>
      </w:r>
    </w:p>
    <w:p w14:paraId="5BEBD443">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“投标人”系指响应采购、参加投标竞争的当事人。</w:t>
      </w:r>
    </w:p>
    <w:p w14:paraId="2921B39D">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“成交人”系指由评标小组评审推荐，经法定程序确定获得本项目中标资格的投标人。</w:t>
      </w:r>
    </w:p>
    <w:p w14:paraId="03549A16">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“评标小组” 系指依法组建，负责本次采购的评标工作机构。</w:t>
      </w:r>
    </w:p>
    <w:p w14:paraId="33A11467">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“甲方”系指在合同条款中指明的采购人。</w:t>
      </w:r>
    </w:p>
    <w:p w14:paraId="6AB239A8">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“乙方”系指在合同条款中指明的本合同项下提供</w:t>
      </w:r>
      <w:r>
        <w:rPr>
          <w:rFonts w:hint="eastAsia" w:ascii="仿宋_GB2312" w:hAnsi="仿宋_GB2312" w:eastAsia="仿宋_GB2312" w:cs="仿宋_GB2312"/>
          <w:sz w:val="32"/>
          <w:szCs w:val="32"/>
        </w:rPr>
        <w:t>货物</w:t>
      </w:r>
      <w:r>
        <w:rPr>
          <w:rFonts w:hint="eastAsia" w:ascii="仿宋_GB2312" w:hAnsi="仿宋_GB2312" w:eastAsia="仿宋_GB2312" w:cs="仿宋_GB2312"/>
          <w:sz w:val="32"/>
          <w:szCs w:val="32"/>
          <w:lang w:val="zh-CN"/>
        </w:rPr>
        <w:t>的公司或实体。</w:t>
      </w:r>
    </w:p>
    <w:p w14:paraId="602BCA9C">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“招标文件”系指由采购代理机构发出的本招标文件，包括全部章节和附件。</w:t>
      </w:r>
    </w:p>
    <w:p w14:paraId="7695F25C">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“投标文件”系指投标人根据本招标文件向采购代理机构提交的全部文件。</w:t>
      </w:r>
    </w:p>
    <w:p w14:paraId="10BB5120">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“书面函件” 系指手写、打字或印刷的函件，包括电传、电报和传真。</w:t>
      </w:r>
    </w:p>
    <w:p w14:paraId="7413B91E">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“合同” 系指由本次采购所产生的合同或合约文件。</w:t>
      </w:r>
    </w:p>
    <w:p w14:paraId="1B6DAE50">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“日期”系指公历日。</w:t>
      </w:r>
    </w:p>
    <w:p w14:paraId="0B3B4663">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“时间”系指北京时间。</w:t>
      </w:r>
    </w:p>
    <w:p w14:paraId="116B4EB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“货物”系指投标人须向采购人提供的符合招标文件要求的货。</w:t>
      </w:r>
    </w:p>
    <w:p w14:paraId="301642D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“服务”系指投标人须向采购人提供的符合招标文件要求的服务。</w:t>
      </w:r>
    </w:p>
    <w:p w14:paraId="2025962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“实质性响应”系指符合招标文件的所有要求、条款、条件和规定，且没有不利于项目实施质量效果和服务保障的重大偏离或保留。</w:t>
      </w:r>
    </w:p>
    <w:p w14:paraId="7B8B1AAC">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“重大偏离或保留”系指影响到招标文件规定的范围、质量和性能或限制了采购人的权力和投标人义务的规定，而纠正这些偏离将影响到其它投标人的公平竞争地位。</w:t>
      </w:r>
    </w:p>
    <w:p w14:paraId="7F0B78E6">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盖章：一般情况指盖投标人的法定</w:t>
      </w:r>
      <w:r>
        <w:rPr>
          <w:rFonts w:hint="eastAsia" w:ascii="仿宋_GB2312" w:hAnsi="仿宋_GB2312" w:eastAsia="仿宋_GB2312" w:cs="仿宋_GB2312"/>
          <w:sz w:val="32"/>
          <w:szCs w:val="32"/>
        </w:rPr>
        <w:t>电子</w:t>
      </w:r>
      <w:r>
        <w:rPr>
          <w:rFonts w:hint="eastAsia" w:ascii="仿宋_GB2312" w:hAnsi="仿宋_GB2312" w:eastAsia="仿宋_GB2312" w:cs="仿宋_GB2312"/>
          <w:sz w:val="32"/>
          <w:szCs w:val="32"/>
          <w:lang w:val="zh-CN"/>
        </w:rPr>
        <w:t>公章，除招标文件特别说明外，使用财务专用章、合同章、投标专用章等非公章的盖章，均作无效盖章处理。</w:t>
      </w:r>
    </w:p>
    <w:p w14:paraId="4F411297">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签署：一般情况指亲笔签字或使用盖</w:t>
      </w:r>
      <w:r>
        <w:rPr>
          <w:rFonts w:hint="eastAsia" w:ascii="仿宋_GB2312" w:hAnsi="仿宋_GB2312" w:eastAsia="仿宋_GB2312" w:cs="仿宋_GB2312"/>
          <w:sz w:val="32"/>
          <w:szCs w:val="32"/>
        </w:rPr>
        <w:t>电子</w:t>
      </w:r>
      <w:r>
        <w:rPr>
          <w:rFonts w:hint="eastAsia" w:ascii="仿宋_GB2312" w:hAnsi="仿宋_GB2312" w:eastAsia="仿宋_GB2312" w:cs="仿宋_GB2312"/>
          <w:sz w:val="32"/>
          <w:szCs w:val="32"/>
          <w:lang w:val="zh-CN"/>
        </w:rPr>
        <w:t>私章方式，除招标文件特别说明外，其他方式均作无效签署处理。</w:t>
      </w:r>
    </w:p>
    <w:p w14:paraId="36AF374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 w:name="_Toc55778675"/>
      <w:r>
        <w:rPr>
          <w:rFonts w:hint="eastAsia" w:ascii="仿宋_GB2312" w:hAnsi="仿宋_GB2312" w:eastAsia="仿宋_GB2312" w:cs="仿宋_GB2312"/>
          <w:b/>
          <w:bCs/>
          <w:kern w:val="44"/>
          <w:sz w:val="32"/>
          <w:szCs w:val="32"/>
        </w:rPr>
        <w:t xml:space="preserve">    </w:t>
      </w:r>
      <w:bookmarkStart w:id="19" w:name="_Toc2235"/>
      <w:bookmarkStart w:id="20" w:name="_Toc30404"/>
      <w:bookmarkStart w:id="21" w:name="_Toc10541"/>
      <w:bookmarkStart w:id="22" w:name="_Toc26165"/>
      <w:bookmarkStart w:id="23" w:name="_Toc19223"/>
      <w:r>
        <w:rPr>
          <w:rFonts w:hint="eastAsia" w:ascii="仿宋_GB2312" w:hAnsi="仿宋_GB2312" w:eastAsia="仿宋_GB2312" w:cs="仿宋_GB2312"/>
          <w:b/>
          <w:bCs/>
          <w:kern w:val="44"/>
          <w:sz w:val="32"/>
          <w:szCs w:val="32"/>
        </w:rPr>
        <w:t>合格的投标人</w:t>
      </w:r>
      <w:bookmarkEnd w:id="18"/>
      <w:bookmarkEnd w:id="19"/>
      <w:bookmarkEnd w:id="20"/>
      <w:bookmarkEnd w:id="21"/>
      <w:bookmarkEnd w:id="22"/>
      <w:bookmarkEnd w:id="23"/>
    </w:p>
    <w:p w14:paraId="210BB90F">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除非另有规定，凡是在中华人民共和国境内注册且为人民币流通区域内的供货人均可投标。</w:t>
      </w:r>
    </w:p>
    <w:p w14:paraId="00E50141">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投标人符合《中华人民共和国政府采购法》第22条和《中华人民共和国政府采购法实施条例》第17条规定的条件。</w:t>
      </w:r>
    </w:p>
    <w:p w14:paraId="36739D80">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062FF0B">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与采购人存在利害关系可能影响公正性的法人或其他组织或自然人不得参加投标。</w:t>
      </w:r>
    </w:p>
    <w:p w14:paraId="73791F73">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招标文件要求的其他条件。</w:t>
      </w:r>
    </w:p>
    <w:p w14:paraId="7EDD8564">
      <w:pPr>
        <w:pStyle w:val="2"/>
        <w:numPr>
          <w:ilvl w:val="0"/>
          <w:numId w:val="2"/>
        </w:numPr>
        <w:tabs>
          <w:tab w:val="left" w:pos="900"/>
          <w:tab w:val="clear" w:pos="425"/>
        </w:tabs>
        <w:spacing w:before="0" w:after="0" w:line="500" w:lineRule="exact"/>
        <w:ind w:left="924" w:hanging="924"/>
        <w:rPr>
          <w:rStyle w:val="46"/>
          <w:rFonts w:hint="eastAsia" w:ascii="仿宋_GB2312" w:hAnsi="仿宋_GB2312" w:eastAsia="仿宋_GB2312" w:cs="仿宋_GB2312"/>
          <w:bCs/>
          <w:sz w:val="32"/>
          <w:szCs w:val="32"/>
        </w:rPr>
      </w:pPr>
      <w:bookmarkStart w:id="24" w:name="_Toc2463"/>
      <w:bookmarkStart w:id="25" w:name="_Toc28554"/>
      <w:bookmarkStart w:id="26" w:name="_Toc15216"/>
      <w:bookmarkStart w:id="27" w:name="_Toc2653"/>
      <w:bookmarkStart w:id="28" w:name="_Toc20782"/>
      <w:bookmarkStart w:id="29" w:name="_Toc55778677"/>
      <w:bookmarkStart w:id="30" w:name="_Toc25107"/>
      <w:r>
        <w:rPr>
          <w:rStyle w:val="46"/>
          <w:rFonts w:hint="eastAsia" w:ascii="仿宋_GB2312" w:hAnsi="仿宋_GB2312" w:eastAsia="仿宋_GB2312" w:cs="仿宋_GB2312"/>
          <w:bCs/>
          <w:sz w:val="32"/>
          <w:szCs w:val="32"/>
        </w:rPr>
        <w:t>投标费用</w:t>
      </w:r>
      <w:bookmarkEnd w:id="24"/>
      <w:bookmarkEnd w:id="25"/>
      <w:bookmarkEnd w:id="26"/>
      <w:bookmarkEnd w:id="27"/>
      <w:bookmarkEnd w:id="28"/>
      <w:bookmarkEnd w:id="29"/>
      <w:bookmarkEnd w:id="30"/>
    </w:p>
    <w:p w14:paraId="0B34570F">
      <w:pPr>
        <w:pStyle w:val="76"/>
        <w:numPr>
          <w:ilvl w:val="0"/>
          <w:numId w:val="5"/>
        </w:numPr>
        <w:spacing w:line="50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投标人应承担所有与准备和参加投标有关的费用。不论投标的结果如何，采购代理机构和采购人均无义务和责任承担这些费用。</w:t>
      </w:r>
    </w:p>
    <w:p w14:paraId="21F7B314">
      <w:pPr>
        <w:pStyle w:val="2"/>
        <w:numPr>
          <w:ilvl w:val="0"/>
          <w:numId w:val="2"/>
        </w:numPr>
        <w:tabs>
          <w:tab w:val="left" w:pos="900"/>
          <w:tab w:val="clear" w:pos="425"/>
        </w:tabs>
        <w:spacing w:before="0" w:after="0" w:line="500" w:lineRule="exact"/>
        <w:ind w:left="924" w:hanging="924"/>
        <w:rPr>
          <w:rFonts w:hint="eastAsia" w:ascii="仿宋_GB2312" w:hAnsi="仿宋_GB2312" w:eastAsia="仿宋_GB2312" w:cs="仿宋_GB2312"/>
          <w:sz w:val="32"/>
          <w:szCs w:val="32"/>
        </w:rPr>
      </w:pPr>
      <w:bookmarkStart w:id="31" w:name="_Toc2722"/>
      <w:bookmarkStart w:id="32" w:name="_Toc9407"/>
      <w:bookmarkStart w:id="33" w:name="_Toc19746"/>
      <w:bookmarkStart w:id="34" w:name="_Toc22355"/>
      <w:bookmarkStart w:id="35" w:name="_Toc14265"/>
      <w:bookmarkStart w:id="36" w:name="_Toc55778678"/>
      <w:r>
        <w:rPr>
          <w:rStyle w:val="46"/>
          <w:rFonts w:hint="eastAsia" w:ascii="仿宋_GB2312" w:hAnsi="仿宋_GB2312" w:eastAsia="仿宋_GB2312" w:cs="仿宋_GB2312"/>
          <w:bCs w:val="0"/>
          <w:sz w:val="32"/>
          <w:szCs w:val="32"/>
        </w:rPr>
        <w:t>现场考察或者召开开标前答疑会</w:t>
      </w:r>
      <w:bookmarkEnd w:id="31"/>
      <w:bookmarkEnd w:id="32"/>
      <w:bookmarkEnd w:id="33"/>
      <w:bookmarkEnd w:id="34"/>
      <w:bookmarkEnd w:id="35"/>
      <w:bookmarkEnd w:id="36"/>
    </w:p>
    <w:p w14:paraId="15DDAF69">
      <w:pPr>
        <w:numPr>
          <w:ilvl w:val="1"/>
          <w:numId w:val="6"/>
        </w:numPr>
        <w:spacing w:line="500" w:lineRule="exact"/>
        <w:rPr>
          <w:rFonts w:hint="eastAsia" w:ascii="仿宋_GB2312" w:hAnsi="仿宋_GB2312" w:eastAsia="仿宋_GB2312" w:cs="仿宋_GB2312"/>
          <w:sz w:val="32"/>
          <w:szCs w:val="32"/>
        </w:rPr>
      </w:pPr>
      <w:bookmarkStart w:id="37" w:name="_Ref179620557"/>
      <w:r>
        <w:rPr>
          <w:rFonts w:hint="eastAsia" w:ascii="仿宋_GB2312" w:hAnsi="仿宋_GB2312" w:eastAsia="仿宋_GB2312" w:cs="仿宋_GB2312"/>
          <w:sz w:val="32"/>
          <w:szCs w:val="32"/>
        </w:rPr>
        <w:t>除非另有规定，不举行项目现场考察或者召开开标前答疑会，如举行现场考察或者召开开标前答疑会的，则按以下规定</w:t>
      </w:r>
      <w:bookmarkEnd w:id="37"/>
      <w:r>
        <w:rPr>
          <w:rFonts w:hint="eastAsia" w:ascii="仿宋_GB2312" w:hAnsi="仿宋_GB2312" w:eastAsia="仿宋_GB2312" w:cs="仿宋_GB2312"/>
          <w:sz w:val="32"/>
          <w:szCs w:val="32"/>
        </w:rPr>
        <w:t>：</w:t>
      </w:r>
    </w:p>
    <w:p w14:paraId="488A3612">
      <w:pPr>
        <w:numPr>
          <w:ilvl w:val="0"/>
          <w:numId w:val="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在《投标须知前附表》中规定的日期、时间和地点组织现场考察或者召开开标前答疑会，以便投标人获取须自己负责的有关编制投标文件和签署合同所需的所有资料。踏勘现场所发生的费用由投标人自己承担</w:t>
      </w:r>
    </w:p>
    <w:p w14:paraId="0849547B">
      <w:pPr>
        <w:numPr>
          <w:ilvl w:val="0"/>
          <w:numId w:val="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投标人对本项目提出的疑问，可在现场考察或者召开开标前答疑会召开日前至少一个工作日将问题清单以书面形式（加盖公章）提交至采购代理机构。</w:t>
      </w:r>
    </w:p>
    <w:p w14:paraId="4E06115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38" w:name="_Toc55778679"/>
      <w:r>
        <w:rPr>
          <w:rFonts w:hint="eastAsia" w:ascii="仿宋_GB2312" w:hAnsi="仿宋_GB2312" w:eastAsia="仿宋_GB2312" w:cs="仿宋_GB2312"/>
          <w:b/>
          <w:bCs/>
          <w:kern w:val="44"/>
          <w:sz w:val="32"/>
          <w:szCs w:val="32"/>
        </w:rPr>
        <w:t xml:space="preserve">    </w:t>
      </w:r>
      <w:bookmarkStart w:id="39" w:name="_Toc15619"/>
      <w:bookmarkStart w:id="40" w:name="_Toc2323"/>
      <w:bookmarkStart w:id="41" w:name="_Toc10763"/>
      <w:bookmarkStart w:id="42" w:name="_Toc16839"/>
      <w:bookmarkStart w:id="43" w:name="_Toc27748"/>
      <w:r>
        <w:rPr>
          <w:rFonts w:hint="eastAsia" w:ascii="仿宋_GB2312" w:hAnsi="仿宋_GB2312" w:eastAsia="仿宋_GB2312" w:cs="仿宋_GB2312"/>
          <w:b/>
          <w:bCs/>
          <w:kern w:val="44"/>
          <w:sz w:val="32"/>
          <w:szCs w:val="32"/>
        </w:rPr>
        <w:t>开标的资质要求、时间及地点</w:t>
      </w:r>
      <w:bookmarkEnd w:id="38"/>
      <w:bookmarkEnd w:id="39"/>
      <w:bookmarkEnd w:id="40"/>
      <w:bookmarkEnd w:id="41"/>
      <w:bookmarkEnd w:id="42"/>
      <w:bookmarkEnd w:id="43"/>
    </w:p>
    <w:p w14:paraId="05C8FE59">
      <w:pPr>
        <w:numPr>
          <w:ilvl w:val="1"/>
          <w:numId w:val="2"/>
        </w:numPr>
        <w:tabs>
          <w:tab w:val="left" w:pos="907"/>
          <w:tab w:val="clear" w:pos="992"/>
        </w:tabs>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本项目开标的时间、地点已在第二章《投标须知前附表》列清。</w:t>
      </w:r>
    </w:p>
    <w:p w14:paraId="31F6B04B">
      <w:pPr>
        <w:numPr>
          <w:ilvl w:val="1"/>
          <w:numId w:val="2"/>
        </w:numPr>
        <w:tabs>
          <w:tab w:val="left" w:pos="907"/>
          <w:tab w:val="clear" w:pos="992"/>
        </w:tabs>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14:paraId="2771015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44" w:name="_Toc55778680"/>
      <w:r>
        <w:rPr>
          <w:rFonts w:hint="eastAsia" w:ascii="仿宋_GB2312" w:hAnsi="仿宋_GB2312" w:eastAsia="仿宋_GB2312" w:cs="仿宋_GB2312"/>
          <w:b/>
          <w:bCs/>
          <w:kern w:val="44"/>
          <w:sz w:val="32"/>
          <w:szCs w:val="32"/>
        </w:rPr>
        <w:t xml:space="preserve">   </w:t>
      </w:r>
      <w:bookmarkStart w:id="45" w:name="_Toc2052"/>
      <w:bookmarkStart w:id="46" w:name="_Toc23617"/>
      <w:bookmarkStart w:id="47" w:name="_Toc18733"/>
      <w:bookmarkStart w:id="48" w:name="_Toc6954"/>
      <w:bookmarkStart w:id="49" w:name="_Toc12859"/>
      <w:r>
        <w:rPr>
          <w:rFonts w:hint="eastAsia" w:ascii="仿宋_GB2312" w:hAnsi="仿宋_GB2312" w:eastAsia="仿宋_GB2312" w:cs="仿宋_GB2312"/>
          <w:b/>
          <w:bCs/>
          <w:kern w:val="44"/>
          <w:sz w:val="32"/>
          <w:szCs w:val="32"/>
        </w:rPr>
        <w:t>纪律与保密事项</w:t>
      </w:r>
      <w:bookmarkEnd w:id="44"/>
      <w:bookmarkEnd w:id="45"/>
      <w:bookmarkEnd w:id="46"/>
      <w:bookmarkEnd w:id="47"/>
      <w:bookmarkEnd w:id="48"/>
      <w:bookmarkEnd w:id="49"/>
    </w:p>
    <w:p w14:paraId="6C2CDBCC">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凡参与招标工作的有关人员均应自觉接受有关主管部门的监督，不得向他人透露已获得招标文件的潜在投标人的名称、数量以及可能影响公平竞争的有关招标投标的其他情况。</w:t>
      </w:r>
    </w:p>
    <w:p w14:paraId="6B417791">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开标后，直至向中标的投标人发出《成交通知书》时止，凡与审查、澄清、评价和比较投标的有关资料以及授标意见等，均不得向投标人及与评标无关的其他人透露。</w:t>
      </w:r>
    </w:p>
    <w:p w14:paraId="707C05ED">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除投标人被要求对投标文件进行澄清外，从开标至签订合同期间，投标人不得就与其投标文件有关的事项主动与评标小组、采购代理机构以及采购人联系。</w:t>
      </w:r>
    </w:p>
    <w:p w14:paraId="239D954E">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从开标至签订合同期间，投标人试图在投标文件审查、澄清、比较和评价时对评标小组和招标机构施加任何影响或对采购人的比较及授予合同的决定进行影响，都可能导致其投标文件被拒绝。</w:t>
      </w:r>
    </w:p>
    <w:p w14:paraId="68F40240">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投标人不得串通作弊，以不正当的手段妨碍、排挤其他投标人，扰乱招标市场，破坏公平竞争原则。</w:t>
      </w:r>
    </w:p>
    <w:p w14:paraId="2E3EB0D6">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获得本招标文件者，应对文件进行保密，不得用作本次投标以外的任何用途。若有要求，开标后，投标人应归还招标文件中的保密的文件和资料。</w:t>
      </w:r>
    </w:p>
    <w:p w14:paraId="71720058">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50" w:name="_Toc55778681"/>
      <w:r>
        <w:rPr>
          <w:rFonts w:hint="eastAsia" w:ascii="仿宋_GB2312" w:hAnsi="仿宋_GB2312" w:eastAsia="仿宋_GB2312" w:cs="仿宋_GB2312"/>
          <w:b/>
          <w:bCs/>
          <w:kern w:val="44"/>
          <w:sz w:val="32"/>
          <w:szCs w:val="32"/>
        </w:rPr>
        <w:t xml:space="preserve">    </w:t>
      </w:r>
      <w:bookmarkStart w:id="51" w:name="_Toc17472"/>
      <w:bookmarkStart w:id="52" w:name="_Toc20913"/>
      <w:bookmarkStart w:id="53" w:name="_Toc20462"/>
      <w:bookmarkStart w:id="54" w:name="_Toc18189"/>
      <w:bookmarkStart w:id="55" w:name="_Toc5873"/>
      <w:r>
        <w:rPr>
          <w:rFonts w:hint="eastAsia" w:ascii="仿宋_GB2312" w:hAnsi="仿宋_GB2312" w:eastAsia="仿宋_GB2312" w:cs="仿宋_GB2312"/>
          <w:b/>
          <w:bCs/>
          <w:kern w:val="44"/>
          <w:sz w:val="32"/>
          <w:szCs w:val="32"/>
        </w:rPr>
        <w:t>保证</w:t>
      </w:r>
      <w:bookmarkEnd w:id="50"/>
      <w:bookmarkEnd w:id="51"/>
      <w:bookmarkEnd w:id="52"/>
      <w:bookmarkEnd w:id="53"/>
      <w:bookmarkEnd w:id="54"/>
      <w:bookmarkEnd w:id="55"/>
    </w:p>
    <w:p w14:paraId="7B389C67">
      <w:pPr>
        <w:numPr>
          <w:ilvl w:val="1"/>
          <w:numId w:val="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投标人必须保证所提交给采购代理机构、采购人的资料和数据是真实的，并承担相应的法律责任。</w:t>
      </w:r>
    </w:p>
    <w:p w14:paraId="01AE02F4">
      <w:pPr>
        <w:pStyle w:val="3"/>
        <w:spacing w:before="60" w:after="60" w:line="700" w:lineRule="exact"/>
        <w:ind w:left="420" w:hanging="420"/>
        <w:jc w:val="center"/>
        <w:rPr>
          <w:rFonts w:hint="eastAsia" w:ascii="Times New Roman" w:hAnsi="Times New Roman"/>
          <w:b w:val="0"/>
          <w:bCs w:val="0"/>
          <w:lang w:val="zh-CN"/>
        </w:rPr>
      </w:pPr>
      <w:bookmarkStart w:id="56" w:name="_Toc55778682"/>
      <w:bookmarkStart w:id="57" w:name="_Toc30778"/>
      <w:bookmarkStart w:id="58" w:name="_Toc21599"/>
      <w:r>
        <w:rPr>
          <w:rFonts w:hint="eastAsia" w:ascii="Times New Roman" w:hAnsi="Times New Roman"/>
          <w:b w:val="0"/>
          <w:bCs w:val="0"/>
          <w:lang w:val="zh-CN"/>
        </w:rPr>
        <w:t>二、招标文件</w:t>
      </w:r>
      <w:bookmarkEnd w:id="56"/>
      <w:bookmarkEnd w:id="57"/>
      <w:bookmarkEnd w:id="58"/>
    </w:p>
    <w:p w14:paraId="5E19A94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59" w:name="_Toc55778683"/>
      <w:bookmarkStart w:id="60" w:name="_Toc25851"/>
      <w:r>
        <w:rPr>
          <w:rFonts w:hint="eastAsia" w:ascii="仿宋_GB2312" w:hAnsi="仿宋_GB2312" w:eastAsia="仿宋_GB2312" w:cs="仿宋_GB2312"/>
          <w:b/>
          <w:bCs/>
          <w:kern w:val="44"/>
          <w:sz w:val="32"/>
          <w:szCs w:val="32"/>
        </w:rPr>
        <w:t xml:space="preserve">   </w:t>
      </w:r>
      <w:bookmarkStart w:id="61" w:name="_Toc4904"/>
      <w:bookmarkStart w:id="62" w:name="_Toc6970"/>
      <w:bookmarkStart w:id="63" w:name="_Toc6842"/>
      <w:bookmarkStart w:id="64" w:name="_Toc7611"/>
      <w:bookmarkStart w:id="65" w:name="_Toc5513"/>
      <w:r>
        <w:rPr>
          <w:rFonts w:hint="eastAsia" w:ascii="仿宋_GB2312" w:hAnsi="仿宋_GB2312" w:eastAsia="仿宋_GB2312" w:cs="仿宋_GB2312"/>
          <w:b/>
          <w:bCs/>
          <w:kern w:val="44"/>
          <w:sz w:val="32"/>
          <w:szCs w:val="32"/>
        </w:rPr>
        <w:t>招标文件的编制依据与构成</w:t>
      </w:r>
      <w:bookmarkEnd w:id="59"/>
      <w:bookmarkEnd w:id="60"/>
      <w:bookmarkEnd w:id="61"/>
      <w:bookmarkEnd w:id="62"/>
      <w:bookmarkEnd w:id="63"/>
      <w:bookmarkEnd w:id="64"/>
      <w:bookmarkEnd w:id="65"/>
    </w:p>
    <w:p w14:paraId="7DFF5181">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本招标文件的编制依据是《中华人民共和国政府采购法》、《中华人民共和国政府采购法实施条例》、《政府采购货物和服务招标投标管理办法》及其配套的法规、规章、政策等。</w:t>
      </w:r>
    </w:p>
    <w:p w14:paraId="7C584077">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招标文件以中文文字编写。招标文件共六章。招标文件由下列文件以及在招标过程中发出的澄清、修改和补充文件组成，内容如下：</w:t>
      </w:r>
    </w:p>
    <w:p w14:paraId="65AC6373">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招标公告</w:t>
      </w:r>
    </w:p>
    <w:p w14:paraId="769AFDCF">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投标须知前附表</w:t>
      </w:r>
    </w:p>
    <w:p w14:paraId="3E012DA6">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投标人须知</w:t>
      </w:r>
    </w:p>
    <w:p w14:paraId="72784938">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合同格式</w:t>
      </w:r>
    </w:p>
    <w:p w14:paraId="45C60644">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采购项目清单及参数要求</w:t>
      </w:r>
    </w:p>
    <w:p w14:paraId="11E86F8C">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投标文件格式</w:t>
      </w:r>
    </w:p>
    <w:p w14:paraId="298C31B6">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新疆政采云平台查看答疑文件或澄清文件。投标人应及时注意新疆政采云发布的澄清或修改通知并下载，因投标人原因未及时获知澄清、修改或补充内容而导致的任何后果将由投标人自行承担。</w:t>
      </w:r>
    </w:p>
    <w:p w14:paraId="2B9829D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sz w:val="32"/>
          <w:szCs w:val="32"/>
        </w:rPr>
      </w:pPr>
      <w:bookmarkStart w:id="66" w:name="_Toc55778684"/>
      <w:r>
        <w:rPr>
          <w:rFonts w:hint="eastAsia" w:ascii="仿宋_GB2312" w:hAnsi="仿宋_GB2312" w:eastAsia="仿宋_GB2312" w:cs="仿宋_GB2312"/>
          <w:b/>
          <w:kern w:val="44"/>
          <w:sz w:val="32"/>
          <w:szCs w:val="32"/>
        </w:rPr>
        <w:t xml:space="preserve">   </w:t>
      </w:r>
      <w:bookmarkStart w:id="67" w:name="_Toc28706"/>
      <w:bookmarkStart w:id="68" w:name="_Toc5501"/>
      <w:bookmarkStart w:id="69" w:name="_Toc18515"/>
      <w:bookmarkStart w:id="70" w:name="_Toc24522"/>
      <w:bookmarkStart w:id="71" w:name="_Toc22484"/>
      <w:r>
        <w:rPr>
          <w:rFonts w:hint="eastAsia" w:ascii="仿宋_GB2312" w:hAnsi="仿宋_GB2312" w:eastAsia="仿宋_GB2312" w:cs="仿宋_GB2312"/>
          <w:b/>
          <w:kern w:val="44"/>
          <w:sz w:val="32"/>
          <w:szCs w:val="32"/>
        </w:rPr>
        <w:t>招标文件的澄清或修改</w:t>
      </w:r>
      <w:bookmarkEnd w:id="66"/>
      <w:bookmarkEnd w:id="67"/>
      <w:bookmarkEnd w:id="68"/>
      <w:bookmarkEnd w:id="69"/>
      <w:bookmarkEnd w:id="70"/>
      <w:bookmarkEnd w:id="71"/>
    </w:p>
    <w:p w14:paraId="28CE49B3">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投标人应仔细阅读和检查招标文件的全部内容。投标人若对招标文件有任何疑问，应按照招标文件第二章“投标人须知前附表”第27项规定向采购代理机构提出。提出后，请投标人及时通过新疆政采云平台查看答疑文件或澄清文件。必要时，采购代理机构将组织相关专家召开答疑会，如召开，答疑会安排另行通知。并在新疆政采云平台发布更正公告。投标人在规定的时间内未对招标文件提出疑问或要求澄清的，采购代理机构将视其为同意，对在“答疑接受时间”后就招标文件内容提出的疑问及澄清要求将不予受理。</w:t>
      </w:r>
    </w:p>
    <w:p w14:paraId="45925D7B">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　如果澄清或者修改时间距本章投标人须知前附表规定的投标截止时间不足15日，将相应顺延提交投标文件的截止时间，澄清或者修改时间具体见投标人须知前附表。</w:t>
      </w:r>
    </w:p>
    <w:p w14:paraId="51A813F1">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　澄清或者修改内容为招标文件的组成部分，对所有领取了招标文件的潜在投标人均具有约束力。</w:t>
      </w:r>
    </w:p>
    <w:p w14:paraId="2BEC136D">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  投标人应注意及时新疆政采云发布的澄清或修改通知并下载，因投标人原因未及时获知澄清、修改或补充内容而导致的任何后果将由投标人自行承担。</w:t>
      </w:r>
    </w:p>
    <w:p w14:paraId="096F3D19">
      <w:pPr>
        <w:tabs>
          <w:tab w:val="left" w:pos="907"/>
        </w:tabs>
        <w:spacing w:line="500" w:lineRule="exact"/>
        <w:ind w:left="960" w:hanging="960" w:hangingChars="300"/>
        <w:rPr>
          <w:rFonts w:hint="eastAsia" w:ascii="仿宋_GB2312" w:hAnsi="仿宋_GB2312" w:eastAsia="仿宋_GB2312" w:cs="仿宋_GB2312"/>
          <w:sz w:val="32"/>
          <w:szCs w:val="32"/>
        </w:rPr>
      </w:pPr>
    </w:p>
    <w:p w14:paraId="77244473">
      <w:pPr>
        <w:pStyle w:val="3"/>
        <w:spacing w:before="60" w:after="60" w:line="700" w:lineRule="exact"/>
        <w:ind w:left="420" w:hanging="420"/>
        <w:jc w:val="center"/>
        <w:rPr>
          <w:rFonts w:hint="eastAsia" w:ascii="Times New Roman" w:hAnsi="Times New Roman"/>
          <w:b w:val="0"/>
          <w:bCs w:val="0"/>
          <w:lang w:val="zh-CN"/>
        </w:rPr>
      </w:pPr>
      <w:bookmarkStart w:id="72" w:name="_Toc55778685"/>
      <w:bookmarkStart w:id="73" w:name="_Toc14750"/>
      <w:r>
        <w:rPr>
          <w:rFonts w:hint="eastAsia" w:ascii="Times New Roman" w:hAnsi="Times New Roman"/>
          <w:b w:val="0"/>
          <w:bCs w:val="0"/>
          <w:lang w:val="zh-CN"/>
        </w:rPr>
        <w:t>三、投标文件的编制</w:t>
      </w:r>
      <w:bookmarkEnd w:id="72"/>
      <w:bookmarkEnd w:id="73"/>
    </w:p>
    <w:p w14:paraId="67FD008B">
      <w:pPr>
        <w:pStyle w:val="2"/>
        <w:numPr>
          <w:ilvl w:val="0"/>
          <w:numId w:val="2"/>
        </w:numPr>
        <w:tabs>
          <w:tab w:val="left" w:pos="900"/>
          <w:tab w:val="clear" w:pos="425"/>
        </w:tabs>
        <w:spacing w:before="0" w:after="0" w:line="500" w:lineRule="exact"/>
        <w:ind w:left="924" w:hanging="924"/>
        <w:rPr>
          <w:rStyle w:val="46"/>
          <w:rFonts w:hint="eastAsia" w:ascii="仿宋_GB2312" w:hAnsi="仿宋_GB2312" w:eastAsia="仿宋_GB2312" w:cs="仿宋_GB2312"/>
          <w:bCs/>
          <w:sz w:val="32"/>
          <w:szCs w:val="32"/>
        </w:rPr>
      </w:pPr>
      <w:bookmarkStart w:id="74" w:name="_Toc19464"/>
      <w:bookmarkStart w:id="75" w:name="_Toc887"/>
      <w:bookmarkStart w:id="76" w:name="_Toc25330"/>
      <w:bookmarkStart w:id="77" w:name="_Toc22093"/>
      <w:bookmarkStart w:id="78" w:name="_Toc4795"/>
      <w:bookmarkStart w:id="79" w:name="_Toc55778686"/>
      <w:r>
        <w:rPr>
          <w:rStyle w:val="46"/>
          <w:rFonts w:hint="eastAsia" w:ascii="仿宋_GB2312" w:hAnsi="仿宋_GB2312" w:eastAsia="仿宋_GB2312" w:cs="仿宋_GB2312"/>
          <w:bCs/>
          <w:sz w:val="32"/>
          <w:szCs w:val="32"/>
        </w:rPr>
        <w:t>投标的语言</w:t>
      </w:r>
      <w:bookmarkEnd w:id="74"/>
      <w:bookmarkEnd w:id="75"/>
      <w:bookmarkEnd w:id="76"/>
      <w:bookmarkEnd w:id="77"/>
      <w:bookmarkEnd w:id="78"/>
      <w:bookmarkEnd w:id="79"/>
    </w:p>
    <w:p w14:paraId="69C021CA">
      <w:pPr>
        <w:numPr>
          <w:ilvl w:val="1"/>
          <w:numId w:val="10"/>
        </w:numPr>
        <w:spacing w:line="500" w:lineRule="exact"/>
        <w:rPr>
          <w:rFonts w:hint="eastAsia" w:ascii="仿宋_GB2312" w:hAnsi="仿宋_GB2312" w:eastAsia="仿宋_GB2312" w:cs="仿宋_GB2312"/>
          <w:sz w:val="32"/>
          <w:szCs w:val="32"/>
        </w:rPr>
      </w:pPr>
      <w:bookmarkStart w:id="80" w:name="_Ref179620571"/>
      <w:r>
        <w:rPr>
          <w:rFonts w:hint="eastAsia" w:ascii="仿宋_GB2312" w:hAnsi="仿宋_GB2312" w:eastAsia="仿宋_GB2312" w:cs="仿宋_GB2312"/>
          <w:sz w:val="32"/>
          <w:szCs w:val="32"/>
        </w:rPr>
        <w:t>投标人提交的投标文件以及投标人与采购代理机构和采购人就有关投标的所有来往函电均应使用</w:t>
      </w:r>
      <w:r>
        <w:rPr>
          <w:rFonts w:hint="eastAsia" w:ascii="仿宋_GB2312" w:hAnsi="仿宋_GB2312" w:eastAsia="仿宋_GB2312" w:cs="仿宋_GB2312"/>
          <w:bCs/>
          <w:sz w:val="32"/>
          <w:szCs w:val="32"/>
        </w:rPr>
        <w:t>中文书写。投标人提交的支持文件或印刷的资料可以用另一种语言，但相应内容应附有中文翻译本</w:t>
      </w:r>
      <w:r>
        <w:rPr>
          <w:rFonts w:hint="eastAsia" w:ascii="仿宋_GB2312" w:hAnsi="仿宋_GB2312" w:eastAsia="仿宋_GB2312" w:cs="仿宋_GB2312"/>
          <w:sz w:val="32"/>
          <w:szCs w:val="32"/>
        </w:rPr>
        <w:t>，在解释投标文件时以翻译本为准。</w:t>
      </w:r>
      <w:bookmarkEnd w:id="80"/>
    </w:p>
    <w:p w14:paraId="4F490F9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81" w:name="_Toc15173"/>
      <w:bookmarkStart w:id="82" w:name="_Toc55778688"/>
      <w:r>
        <w:rPr>
          <w:rFonts w:hint="eastAsia" w:ascii="仿宋_GB2312" w:hAnsi="仿宋_GB2312" w:eastAsia="仿宋_GB2312" w:cs="仿宋_GB2312"/>
          <w:b/>
          <w:bCs/>
          <w:kern w:val="44"/>
          <w:sz w:val="32"/>
          <w:szCs w:val="32"/>
        </w:rPr>
        <w:t xml:space="preserve">    </w:t>
      </w:r>
      <w:bookmarkStart w:id="83" w:name="_Toc2079"/>
      <w:bookmarkStart w:id="84" w:name="_Toc23086"/>
      <w:bookmarkStart w:id="85" w:name="_Toc21704"/>
      <w:bookmarkStart w:id="86" w:name="_Toc1469"/>
      <w:r>
        <w:rPr>
          <w:rFonts w:hint="eastAsia" w:ascii="仿宋_GB2312" w:hAnsi="仿宋_GB2312" w:eastAsia="仿宋_GB2312" w:cs="仿宋_GB2312"/>
          <w:b/>
          <w:bCs/>
          <w:kern w:val="44"/>
          <w:sz w:val="32"/>
          <w:szCs w:val="32"/>
        </w:rPr>
        <w:t>投标文件的构成</w:t>
      </w:r>
      <w:bookmarkEnd w:id="81"/>
      <w:bookmarkEnd w:id="82"/>
      <w:bookmarkEnd w:id="83"/>
      <w:bookmarkEnd w:id="84"/>
      <w:bookmarkEnd w:id="85"/>
      <w:bookmarkEnd w:id="86"/>
    </w:p>
    <w:p w14:paraId="301E7779">
      <w:pPr>
        <w:pStyle w:val="75"/>
        <w:spacing w:line="500" w:lineRule="exact"/>
        <w:ind w:firstLine="630" w:firstLineChars="197"/>
        <w:rPr>
          <w:rFonts w:hint="eastAsia" w:hAnsi="仿宋_GB2312" w:cs="仿宋_GB2312"/>
          <w:sz w:val="32"/>
          <w:szCs w:val="32"/>
        </w:rPr>
      </w:pPr>
      <w:bookmarkStart w:id="87" w:name="_Toc30134"/>
      <w:bookmarkStart w:id="88" w:name="_Toc55778689"/>
      <w:r>
        <w:rPr>
          <w:rFonts w:hint="eastAsia" w:hAnsi="仿宋_GB2312" w:cs="仿宋_GB2312"/>
          <w:sz w:val="32"/>
          <w:szCs w:val="32"/>
        </w:rPr>
        <w:t>（1）投标承诺书</w:t>
      </w:r>
    </w:p>
    <w:p w14:paraId="20E8B360">
      <w:pPr>
        <w:pStyle w:val="75"/>
        <w:spacing w:line="500" w:lineRule="exact"/>
        <w:ind w:firstLine="630" w:firstLineChars="197"/>
        <w:rPr>
          <w:rFonts w:hint="eastAsia" w:hAnsi="仿宋_GB2312" w:cs="仿宋_GB2312"/>
          <w:sz w:val="32"/>
          <w:szCs w:val="32"/>
        </w:rPr>
      </w:pPr>
      <w:r>
        <w:rPr>
          <w:rFonts w:hint="eastAsia" w:hAnsi="仿宋_GB2312" w:cs="仿宋_GB2312"/>
          <w:sz w:val="32"/>
          <w:szCs w:val="32"/>
        </w:rPr>
        <w:t>（2）报价一览表</w:t>
      </w:r>
    </w:p>
    <w:p w14:paraId="74E9FA7E">
      <w:pPr>
        <w:pStyle w:val="75"/>
        <w:spacing w:line="500" w:lineRule="exact"/>
        <w:ind w:firstLine="630" w:firstLineChars="197"/>
        <w:rPr>
          <w:rFonts w:hint="eastAsia" w:hAnsi="仿宋_GB2312" w:cs="仿宋_GB2312"/>
          <w:sz w:val="32"/>
          <w:szCs w:val="32"/>
        </w:rPr>
      </w:pPr>
      <w:r>
        <w:rPr>
          <w:rFonts w:hint="eastAsia" w:hAnsi="仿宋_GB2312" w:cs="仿宋_GB2312"/>
          <w:sz w:val="32"/>
          <w:szCs w:val="32"/>
        </w:rPr>
        <w:t>（3）报价一览明细表</w:t>
      </w:r>
    </w:p>
    <w:p w14:paraId="4EE9AF34">
      <w:pPr>
        <w:pStyle w:val="75"/>
        <w:spacing w:line="500" w:lineRule="exact"/>
        <w:ind w:firstLine="640"/>
        <w:rPr>
          <w:rFonts w:hint="eastAsia" w:hAnsi="仿宋_GB2312" w:cs="仿宋_GB2312"/>
          <w:sz w:val="32"/>
          <w:szCs w:val="32"/>
        </w:rPr>
      </w:pPr>
      <w:r>
        <w:rPr>
          <w:rFonts w:hint="eastAsia" w:hAnsi="仿宋_GB2312" w:cs="仿宋_GB2312"/>
          <w:sz w:val="32"/>
          <w:szCs w:val="32"/>
        </w:rPr>
        <w:t>（4）法定代表人身份证明</w:t>
      </w:r>
    </w:p>
    <w:p w14:paraId="60878104">
      <w:pPr>
        <w:pStyle w:val="75"/>
        <w:spacing w:line="500" w:lineRule="exact"/>
        <w:ind w:firstLine="640"/>
        <w:rPr>
          <w:rFonts w:hint="eastAsia" w:hAnsi="仿宋_GB2312" w:cs="仿宋_GB2312"/>
          <w:sz w:val="32"/>
          <w:szCs w:val="32"/>
        </w:rPr>
      </w:pPr>
      <w:r>
        <w:rPr>
          <w:rFonts w:hint="eastAsia" w:hAnsi="仿宋_GB2312" w:cs="仿宋_GB2312"/>
          <w:sz w:val="32"/>
          <w:szCs w:val="32"/>
        </w:rPr>
        <w:t>（5）法定代表人授权委托书</w:t>
      </w:r>
    </w:p>
    <w:p w14:paraId="3E0DB2D1">
      <w:pPr>
        <w:pStyle w:val="75"/>
        <w:spacing w:line="500" w:lineRule="exact"/>
        <w:ind w:firstLine="640"/>
        <w:rPr>
          <w:rFonts w:hint="eastAsia" w:hAnsi="仿宋_GB2312" w:cs="仿宋_GB2312"/>
          <w:sz w:val="32"/>
          <w:szCs w:val="32"/>
        </w:rPr>
      </w:pPr>
      <w:r>
        <w:rPr>
          <w:rFonts w:hint="eastAsia" w:hAnsi="仿宋_GB2312" w:cs="仿宋_GB2312"/>
          <w:sz w:val="32"/>
          <w:szCs w:val="32"/>
        </w:rPr>
        <w:t>（6）投标保证金打款凭证或投标保函</w:t>
      </w:r>
    </w:p>
    <w:p w14:paraId="65B420B2">
      <w:pPr>
        <w:pStyle w:val="75"/>
        <w:spacing w:line="500" w:lineRule="exact"/>
        <w:ind w:firstLine="640"/>
        <w:rPr>
          <w:rFonts w:hint="eastAsia" w:hAnsi="仿宋_GB2312" w:cs="仿宋_GB2312"/>
          <w:sz w:val="32"/>
          <w:szCs w:val="32"/>
        </w:rPr>
      </w:pPr>
      <w:r>
        <w:rPr>
          <w:rFonts w:hint="eastAsia" w:hAnsi="仿宋_GB2312" w:cs="仿宋_GB2312"/>
          <w:sz w:val="32"/>
          <w:szCs w:val="32"/>
        </w:rPr>
        <w:t>（7）技术条件响应/偏离表</w:t>
      </w:r>
    </w:p>
    <w:p w14:paraId="4384E96C">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（8）商务条件响应/偏离表</w:t>
      </w:r>
    </w:p>
    <w:p w14:paraId="260DA051">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（9）相应的资格证明文件以及商务因素、技术因素、服务因素所需证明资料（包括不限于企业简介、企业相关证件等）（格式自拟）</w:t>
      </w:r>
    </w:p>
    <w:p w14:paraId="3CFE105F">
      <w:pPr>
        <w:pStyle w:val="19"/>
        <w:spacing w:line="5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（10）投标人近三年（2023年06月01日至今）类似项目业绩（附中标通知书和采购合同及验收单（或甲方评价意见表）</w:t>
      </w:r>
    </w:p>
    <w:p w14:paraId="08C37542">
      <w:pPr>
        <w:pStyle w:val="75"/>
        <w:autoSpaceDE w:val="0"/>
        <w:autoSpaceDN w:val="0"/>
        <w:adjustRightInd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（11）技术部分包括但不限于以下内容：配送方案、货源保障能力、质量安全、服务质量、应急措施、售后服务等内容（格式自拟）</w:t>
      </w:r>
    </w:p>
    <w:p w14:paraId="7DE16181">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（12）投标人基本情况说明</w:t>
      </w:r>
    </w:p>
    <w:p w14:paraId="6D6B2BC2">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（13）项目人员配置情况表</w:t>
      </w:r>
    </w:p>
    <w:p w14:paraId="1AEBAA69">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（14）投标企业关联企业情况说明</w:t>
      </w:r>
    </w:p>
    <w:p w14:paraId="524EAEFC">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（15）不参与围标串标承诺书</w:t>
      </w:r>
    </w:p>
    <w:p w14:paraId="22BB5BC3">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（16）投标人认为需要提供的其他材料说明</w:t>
      </w:r>
    </w:p>
    <w:p w14:paraId="292F670F">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附件1、在经营活动中没有重大违法记录的书面声明</w:t>
      </w:r>
    </w:p>
    <w:p w14:paraId="620F055E">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附件2、中小企业声明函（如有）</w:t>
      </w:r>
    </w:p>
    <w:p w14:paraId="560605A1">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附件3、残疾人福利性单位声明函（如有）</w:t>
      </w:r>
    </w:p>
    <w:p w14:paraId="0E8FA6A3">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附件4、省级以上监狱管理局、戒毒管理局（含新疆生产建设兵团）出具的属于监狱企业证明文件（格式自拟）（如有）</w:t>
      </w:r>
    </w:p>
    <w:p w14:paraId="3603CE0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89" w:name="_Toc23426"/>
      <w:bookmarkStart w:id="90" w:name="_Toc24782"/>
      <w:bookmarkStart w:id="91" w:name="_Toc17632"/>
      <w:bookmarkStart w:id="92" w:name="_Toc24925"/>
      <w:r>
        <w:rPr>
          <w:rFonts w:hint="eastAsia" w:ascii="仿宋_GB2312" w:hAnsi="仿宋_GB2312" w:eastAsia="仿宋_GB2312" w:cs="仿宋_GB2312"/>
          <w:b/>
          <w:bCs/>
          <w:kern w:val="44"/>
          <w:sz w:val="32"/>
          <w:szCs w:val="32"/>
        </w:rPr>
        <w:t>投标文件电子文档</w:t>
      </w:r>
      <w:bookmarkEnd w:id="87"/>
      <w:bookmarkEnd w:id="88"/>
      <w:bookmarkEnd w:id="89"/>
      <w:bookmarkEnd w:id="90"/>
      <w:bookmarkEnd w:id="91"/>
      <w:bookmarkEnd w:id="92"/>
    </w:p>
    <w:p w14:paraId="79C95445">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投标文件应采用电子形式</w:t>
      </w:r>
      <w:r>
        <w:rPr>
          <w:rFonts w:hint="eastAsia" w:ascii="仿宋_GB2312" w:hAnsi="仿宋_GB2312" w:eastAsia="仿宋_GB2312" w:cs="仿宋_GB2312"/>
          <w:color w:val="000000"/>
          <w:sz w:val="32"/>
          <w:szCs w:val="32"/>
        </w:rPr>
        <w:t>。</w:t>
      </w:r>
      <w:bookmarkStart w:id="93" w:name="_Toc22266"/>
      <w:bookmarkStart w:id="94" w:name="_Toc55778690"/>
    </w:p>
    <w:p w14:paraId="0901EA21">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电子投标文件制作时，应按照统一的“投标文件制作工具”和招标文件中明确的投标文件目录和投标技术规格、参数及相关要求格式进行编制，保证目录清晰、内容完整。</w:t>
      </w:r>
    </w:p>
    <w:p w14:paraId="75A24C10">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投标人因自身原因导致电子投标文件无法导入电子评标系统的，该投标文件视为无效文件。 </w:t>
      </w:r>
    </w:p>
    <w:p w14:paraId="15DC7676">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电子投标文件具有法律效力,与其他形式的投标文件在内容和格式上等同，若投标文件与招标文件要求不一致，其内容影响成交结果时，责任由投标人自行承担。 </w:t>
      </w:r>
    </w:p>
    <w:p w14:paraId="20068808">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75760D68">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投标人应完整地填写招标文件中提供的《投标承诺书》、《报价一览表》等招标文件中规定的所有内容。 </w:t>
      </w:r>
    </w:p>
    <w:p w14:paraId="2D2A35D0">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投标人必须保证投标人文件所提供的全部资料真实可靠，并接受采购单位对其中任何资料进一步核实的要求。 </w:t>
      </w:r>
    </w:p>
    <w:p w14:paraId="0CD6690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95" w:name="_Toc30931"/>
      <w:bookmarkStart w:id="96" w:name="_Toc17740"/>
      <w:bookmarkStart w:id="97" w:name="_Toc16689"/>
      <w:bookmarkStart w:id="98" w:name="_Toc17013"/>
      <w:r>
        <w:rPr>
          <w:rFonts w:hint="eastAsia" w:ascii="仿宋_GB2312" w:hAnsi="仿宋_GB2312" w:eastAsia="仿宋_GB2312" w:cs="仿宋_GB2312"/>
          <w:b/>
          <w:bCs/>
          <w:kern w:val="44"/>
          <w:sz w:val="32"/>
          <w:szCs w:val="32"/>
        </w:rPr>
        <w:t>投标文件的编写</w:t>
      </w:r>
      <w:bookmarkEnd w:id="93"/>
      <w:bookmarkEnd w:id="94"/>
      <w:bookmarkEnd w:id="95"/>
      <w:bookmarkEnd w:id="96"/>
      <w:bookmarkEnd w:id="97"/>
      <w:bookmarkEnd w:id="98"/>
    </w:p>
    <w:p w14:paraId="13C59DCD">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投标人应按招标文件的规定，及附件要求的内容和格式完整地填写和提供资料，并保证所提供的全部资料的真实性。</w:t>
      </w:r>
    </w:p>
    <w:p w14:paraId="6ABE7C0C">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投标人应当按照招标文件要求编制投标文件，并根据自已的商务能力、技术水平等对招标文件提出的要求和条件作出真实的响应。</w:t>
      </w:r>
    </w:p>
    <w:p w14:paraId="14E14D20">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本项目只允许投标人提供一个投标方案，否则，其投标将被拒绝。</w:t>
      </w:r>
    </w:p>
    <w:p w14:paraId="6B1F594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99" w:name="_Toc55778691"/>
      <w:bookmarkStart w:id="100" w:name="_Toc11544"/>
      <w:r>
        <w:rPr>
          <w:rFonts w:hint="eastAsia" w:ascii="仿宋_GB2312" w:hAnsi="仿宋_GB2312" w:eastAsia="仿宋_GB2312" w:cs="仿宋_GB2312"/>
          <w:b/>
          <w:bCs/>
          <w:kern w:val="44"/>
          <w:sz w:val="32"/>
          <w:szCs w:val="32"/>
        </w:rPr>
        <w:t xml:space="preserve">    </w:t>
      </w:r>
      <w:bookmarkStart w:id="101" w:name="_Toc3854"/>
      <w:bookmarkStart w:id="102" w:name="_Toc22522"/>
      <w:bookmarkStart w:id="103" w:name="_Toc22427"/>
      <w:bookmarkStart w:id="104" w:name="_Toc15231"/>
      <w:r>
        <w:rPr>
          <w:rFonts w:hint="eastAsia" w:ascii="仿宋_GB2312" w:hAnsi="仿宋_GB2312" w:eastAsia="仿宋_GB2312" w:cs="仿宋_GB2312"/>
          <w:b/>
          <w:bCs/>
          <w:kern w:val="44"/>
          <w:sz w:val="32"/>
          <w:szCs w:val="32"/>
        </w:rPr>
        <w:t>投标报价</w:t>
      </w:r>
      <w:bookmarkEnd w:id="99"/>
      <w:bookmarkEnd w:id="100"/>
      <w:bookmarkEnd w:id="101"/>
      <w:bookmarkEnd w:id="102"/>
      <w:bookmarkEnd w:id="103"/>
      <w:bookmarkEnd w:id="104"/>
    </w:p>
    <w:p w14:paraId="7CB4D200">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投标人的投标报价应符合《中华人民共和国价格法》的有关规定。</w:t>
      </w:r>
    </w:p>
    <w:p w14:paraId="3811F950">
      <w:pPr>
        <w:numPr>
          <w:ilvl w:val="1"/>
          <w:numId w:val="13"/>
        </w:numPr>
        <w:spacing w:line="500" w:lineRule="exact"/>
        <w:rPr>
          <w:rFonts w:hint="eastAsia" w:ascii="仿宋_GB2312" w:hAnsi="仿宋_GB2312" w:eastAsia="仿宋_GB2312" w:cs="仿宋_GB2312"/>
          <w:sz w:val="32"/>
          <w:szCs w:val="32"/>
        </w:rPr>
      </w:pPr>
      <w:bookmarkStart w:id="105" w:name="_Ref179619251"/>
      <w:r>
        <w:rPr>
          <w:rFonts w:hint="eastAsia" w:ascii="仿宋_GB2312" w:hAnsi="仿宋_GB2312" w:eastAsia="仿宋_GB2312" w:cs="仿宋_GB2312"/>
          <w:sz w:val="32"/>
          <w:szCs w:val="32"/>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如适用）的要求报出总价和分项价格。投标总价中不得包含招标文件要求以外的内容，否则，在评标时不予核减。投标总价中也不得缺漏招标文件所要求的内容，否则，被视为包含在投标报价中。</w:t>
      </w:r>
    </w:p>
    <w:p w14:paraId="4FA9BCFA">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投标明细报价表内容应包含：</w:t>
      </w:r>
    </w:p>
    <w:p w14:paraId="1D178E56">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按招标文件的要求全部货物内容所需的所有费用；</w:t>
      </w:r>
    </w:p>
    <w:p w14:paraId="339E4446">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对于报价免费的内容须标明“免费”；</w:t>
      </w:r>
    </w:p>
    <w:p w14:paraId="1C99654F">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投标报价均应包含所有的税费；</w:t>
      </w:r>
    </w:p>
    <w:p w14:paraId="3814CB7F">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其他一切隐含及不可预见的费用。</w:t>
      </w:r>
    </w:p>
    <w:p w14:paraId="266B3A27">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另有规定，投标人所报的投标价在合同执行过程中是固定不变的，不得以任何理由予以变更。任何包含价格调整要求的投标被认为是非实质性响应投标而予以拒绝。</w:t>
      </w:r>
    </w:p>
    <w:p w14:paraId="329CA3D2">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投标文件中的总价金额与单价计算出的结果不一致的，以单价金额为准修正总价，但单价金额小数点有明显错误的除外。</w:t>
      </w:r>
    </w:p>
    <w:bookmarkEnd w:id="105"/>
    <w:p w14:paraId="3AB00A59">
      <w:pPr>
        <w:numPr>
          <w:ilvl w:val="1"/>
          <w:numId w:val="13"/>
        </w:numPr>
        <w:spacing w:line="500" w:lineRule="exact"/>
        <w:rPr>
          <w:rFonts w:hint="eastAsia" w:ascii="仿宋_GB2312" w:hAnsi="仿宋_GB2312" w:eastAsia="仿宋_GB2312" w:cs="仿宋_GB2312"/>
          <w:sz w:val="32"/>
          <w:szCs w:val="32"/>
        </w:rPr>
      </w:pPr>
      <w:bookmarkStart w:id="106" w:name="_Ref179620595"/>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允许有备选方案外，本次招标不接受选择性报价，否则将被视为无效投标。</w:t>
      </w:r>
      <w:bookmarkEnd w:id="106"/>
    </w:p>
    <w:p w14:paraId="0A8E7F8F">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 xml:space="preserve">另有规定外，本次招标不接受具有附加条件的报价，否则将被视为无效投标。 </w:t>
      </w:r>
    </w:p>
    <w:p w14:paraId="18011651">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投标人应以人民币为单位进行报价。</w:t>
      </w:r>
    </w:p>
    <w:p w14:paraId="40D18B80">
      <w:pPr>
        <w:numPr>
          <w:ilvl w:val="1"/>
          <w:numId w:val="13"/>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投标人报价超出限高价的将视为无效投标。</w:t>
      </w:r>
    </w:p>
    <w:p w14:paraId="236FAD6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07" w:name="_Toc24908"/>
      <w:bookmarkStart w:id="108" w:name="_Toc55778694"/>
      <w:r>
        <w:rPr>
          <w:rFonts w:hint="eastAsia" w:ascii="仿宋_GB2312" w:hAnsi="仿宋_GB2312" w:eastAsia="仿宋_GB2312" w:cs="仿宋_GB2312"/>
          <w:b/>
          <w:bCs/>
          <w:kern w:val="44"/>
          <w:sz w:val="32"/>
          <w:szCs w:val="32"/>
        </w:rPr>
        <w:t xml:space="preserve">    </w:t>
      </w:r>
      <w:bookmarkStart w:id="109" w:name="_Toc22983"/>
      <w:bookmarkStart w:id="110" w:name="_Toc14790"/>
      <w:bookmarkStart w:id="111" w:name="_Toc10724"/>
      <w:bookmarkStart w:id="112" w:name="_Toc15306"/>
      <w:r>
        <w:rPr>
          <w:rFonts w:hint="eastAsia" w:ascii="仿宋_GB2312" w:hAnsi="仿宋_GB2312" w:eastAsia="仿宋_GB2312" w:cs="仿宋_GB2312"/>
          <w:b/>
          <w:bCs/>
          <w:kern w:val="44"/>
          <w:sz w:val="32"/>
          <w:szCs w:val="32"/>
        </w:rPr>
        <w:t>投标保证金</w:t>
      </w:r>
      <w:bookmarkEnd w:id="107"/>
      <w:bookmarkEnd w:id="108"/>
      <w:bookmarkEnd w:id="109"/>
      <w:bookmarkEnd w:id="110"/>
      <w:bookmarkEnd w:id="111"/>
      <w:bookmarkEnd w:id="112"/>
    </w:p>
    <w:p w14:paraId="53C3879C">
      <w:pPr>
        <w:numPr>
          <w:ilvl w:val="1"/>
          <w:numId w:val="14"/>
        </w:numPr>
        <w:spacing w:line="500" w:lineRule="exact"/>
        <w:rPr>
          <w:rFonts w:hint="eastAsia" w:ascii="仿宋_GB2312" w:hAnsi="仿宋_GB2312" w:eastAsia="仿宋_GB2312" w:cs="仿宋_GB2312"/>
          <w:sz w:val="32"/>
          <w:szCs w:val="32"/>
        </w:rPr>
      </w:pPr>
      <w:bookmarkStart w:id="113" w:name="_Ref179619405"/>
      <w:r>
        <w:rPr>
          <w:rFonts w:hint="eastAsia" w:ascii="仿宋_GB2312" w:hAnsi="仿宋_GB2312" w:eastAsia="仿宋_GB2312" w:cs="仿宋_GB2312"/>
          <w:sz w:val="32"/>
          <w:szCs w:val="32"/>
        </w:rPr>
        <w:t>投标人必须按招标文件的规定缴纳投标保证金，并作为其投标文件的组成部分。</w:t>
      </w:r>
      <w:bookmarkEnd w:id="113"/>
    </w:p>
    <w:p w14:paraId="4F6063ED">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投标保证金是为了保护采购代理机构和采购人免遭因投标人的行为而蒙受损失。采购代理机构和采购人在因投标人的行为受到损害时可根据本须知的规定没收投标人的投标保证金。</w:t>
      </w:r>
    </w:p>
    <w:p w14:paraId="1EE146AC">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投标保证金必须以投标人名义汇出，采用银行转账形式提交，同时满足下列规定：</w:t>
      </w:r>
    </w:p>
    <w:p w14:paraId="53A424C8">
      <w:pPr>
        <w:spacing w:line="500" w:lineRule="exact"/>
        <w:ind w:left="840" w:leftChars="4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为保证本采购工作的顺利进行，各投标人应向采购人缴纳不少于</w:t>
      </w:r>
      <w:r>
        <w:rPr>
          <w:rFonts w:hint="eastAsia" w:ascii="仿宋_GB2312" w:hAnsi="仿宋_GB2312" w:eastAsia="仿宋_GB2312" w:cs="仿宋_GB2312"/>
          <w:b/>
          <w:bCs/>
          <w:sz w:val="32"/>
          <w:szCs w:val="32"/>
        </w:rPr>
        <w:t>第二章《投标须知前附表》</w:t>
      </w:r>
      <w:r>
        <w:rPr>
          <w:rFonts w:hint="eastAsia" w:ascii="仿宋_GB2312" w:hAnsi="仿宋_GB2312" w:eastAsia="仿宋_GB2312" w:cs="仿宋_GB2312"/>
          <w:b/>
          <w:sz w:val="32"/>
          <w:szCs w:val="32"/>
        </w:rPr>
        <w:t>规定数额的保证金，保证金金额及缴纳方式详见</w:t>
      </w:r>
      <w:r>
        <w:rPr>
          <w:rFonts w:hint="eastAsia" w:ascii="仿宋_GB2312" w:hAnsi="仿宋_GB2312" w:eastAsia="仿宋_GB2312" w:cs="仿宋_GB2312"/>
          <w:b/>
          <w:bCs/>
          <w:sz w:val="32"/>
          <w:szCs w:val="32"/>
        </w:rPr>
        <w:t>第二章《投标须知前附表》</w:t>
      </w:r>
      <w:r>
        <w:rPr>
          <w:rFonts w:hint="eastAsia" w:ascii="仿宋_GB2312" w:hAnsi="仿宋_GB2312" w:eastAsia="仿宋_GB2312" w:cs="仿宋_GB2312"/>
          <w:b/>
          <w:sz w:val="32"/>
          <w:szCs w:val="32"/>
        </w:rPr>
        <w:t>序号13（缴纳投标保证金）</w:t>
      </w:r>
    </w:p>
    <w:p w14:paraId="5C7371AA">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凡没有按照招标文件要求提交有效的投标保证金的投标，将视为非响应性投标予以拒绝。</w:t>
      </w:r>
    </w:p>
    <w:p w14:paraId="7D3C8CA7">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凡投标人在投标截止时间前撤回已提交的投标文件的，自收到投标人书面撤回通知之日起5个工作日内，退还已收取的投标保证金，但因投标人自身原因导致无法及时退还的除外。</w:t>
      </w:r>
    </w:p>
    <w:p w14:paraId="339E27C6">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自成交通知书发出之日起5个工作日内退还未中标人的投标保证金，但因投标人自身原因导致无法及时退还的除外。</w:t>
      </w:r>
    </w:p>
    <w:p w14:paraId="0379D10C">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中标人的投标保证金的退还必须同时满足以下要求（但因中标人自身原因导致无法及时退还的除外）：</w:t>
      </w:r>
    </w:p>
    <w:p w14:paraId="7E3018B6">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中标人按</w:t>
      </w:r>
      <w:bookmarkStart w:id="114" w:name="_Hlt507937599"/>
      <w:bookmarkEnd w:id="114"/>
      <w:r>
        <w:rPr>
          <w:rFonts w:hint="eastAsia" w:ascii="仿宋_GB2312" w:hAnsi="仿宋_GB2312" w:eastAsia="仿宋_GB2312" w:cs="仿宋_GB2312"/>
          <w:sz w:val="32"/>
          <w:szCs w:val="32"/>
        </w:rPr>
        <w:t>《投标人须知前附表》规定签订合同的，自合同上传自</w:t>
      </w:r>
      <w:r>
        <w:rPr>
          <w:rFonts w:hint="eastAsia" w:ascii="仿宋_GB2312" w:hAnsi="仿宋_GB2312" w:eastAsia="仿宋_GB2312" w:cs="仿宋_GB2312"/>
          <w:b/>
          <w:sz w:val="32"/>
          <w:szCs w:val="32"/>
          <w:u w:val="single"/>
        </w:rPr>
        <w:t>新疆政府采购网http://www.ccgp-xinjiang.gov.cn</w:t>
      </w:r>
      <w:r>
        <w:rPr>
          <w:rFonts w:hint="eastAsia" w:ascii="仿宋_GB2312" w:hAnsi="仿宋_GB2312" w:eastAsia="仿宋_GB2312" w:cs="仿宋_GB2312"/>
          <w:sz w:val="32"/>
          <w:szCs w:val="32"/>
        </w:rPr>
        <w:t>起5个工作日内退还</w:t>
      </w:r>
    </w:p>
    <w:p w14:paraId="2132B6E5">
      <w:pPr>
        <w:numPr>
          <w:ilvl w:val="1"/>
          <w:numId w:val="14"/>
        </w:numPr>
        <w:spacing w:line="500" w:lineRule="exact"/>
        <w:rPr>
          <w:rFonts w:hint="eastAsia" w:ascii="仿宋_GB2312" w:hAnsi="仿宋_GB2312" w:eastAsia="仿宋_GB2312" w:cs="仿宋_GB2312"/>
          <w:sz w:val="32"/>
          <w:szCs w:val="32"/>
        </w:rPr>
      </w:pPr>
      <w:bookmarkStart w:id="115" w:name="_Ref179619371"/>
      <w:r>
        <w:rPr>
          <w:rFonts w:hint="eastAsia" w:ascii="仿宋_GB2312" w:hAnsi="仿宋_GB2312" w:eastAsia="仿宋_GB2312" w:cs="仿宋_GB2312"/>
          <w:sz w:val="32"/>
          <w:szCs w:val="32"/>
        </w:rPr>
        <w:t>下列任何情况发生时，投标保证金将被没收：</w:t>
      </w:r>
      <w:bookmarkEnd w:id="115"/>
    </w:p>
    <w:p w14:paraId="7CC02291">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投标人在招标文件中规定的投标有效期内撤销其投标文件；</w:t>
      </w:r>
    </w:p>
    <w:p w14:paraId="67F9D0AB">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中标后无正当理由放弃中标或中标人拒绝与采购人签订合同；</w:t>
      </w:r>
    </w:p>
    <w:p w14:paraId="7C7AB264">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中标人在规定期限内未能根据本须知规定签订合同；</w:t>
      </w:r>
    </w:p>
    <w:p w14:paraId="2A78B070">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依法取消中标资格；</w:t>
      </w:r>
    </w:p>
    <w:p w14:paraId="2A5B3E4A">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法律法规规定的其它情况；</w:t>
      </w:r>
    </w:p>
    <w:p w14:paraId="7FA9C12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16" w:name="_Toc55778695"/>
      <w:bookmarkStart w:id="117" w:name="_Toc10359"/>
      <w:r>
        <w:rPr>
          <w:rFonts w:hint="eastAsia" w:ascii="仿宋_GB2312" w:hAnsi="仿宋_GB2312" w:eastAsia="仿宋_GB2312" w:cs="仿宋_GB2312"/>
          <w:b/>
          <w:bCs/>
          <w:kern w:val="44"/>
          <w:sz w:val="32"/>
          <w:szCs w:val="32"/>
        </w:rPr>
        <w:t xml:space="preserve">    </w:t>
      </w:r>
      <w:bookmarkStart w:id="118" w:name="_Toc30142"/>
      <w:bookmarkStart w:id="119" w:name="_Toc2453"/>
      <w:bookmarkStart w:id="120" w:name="_Toc1720"/>
      <w:bookmarkStart w:id="121" w:name="_Toc32410"/>
      <w:r>
        <w:rPr>
          <w:rFonts w:hint="eastAsia" w:ascii="仿宋_GB2312" w:hAnsi="仿宋_GB2312" w:eastAsia="仿宋_GB2312" w:cs="仿宋_GB2312"/>
          <w:b/>
          <w:bCs/>
          <w:kern w:val="44"/>
          <w:sz w:val="32"/>
          <w:szCs w:val="32"/>
        </w:rPr>
        <w:t>投标有效期</w:t>
      </w:r>
      <w:bookmarkEnd w:id="116"/>
      <w:bookmarkEnd w:id="117"/>
      <w:bookmarkEnd w:id="118"/>
      <w:bookmarkEnd w:id="119"/>
      <w:bookmarkEnd w:id="120"/>
      <w:bookmarkEnd w:id="121"/>
    </w:p>
    <w:p w14:paraId="36F65CDF">
      <w:pPr>
        <w:numPr>
          <w:ilvl w:val="1"/>
          <w:numId w:val="15"/>
        </w:numPr>
        <w:spacing w:line="500" w:lineRule="exact"/>
        <w:rPr>
          <w:rFonts w:hint="eastAsia" w:ascii="仿宋_GB2312" w:hAnsi="仿宋_GB2312" w:eastAsia="仿宋_GB2312" w:cs="仿宋_GB2312"/>
          <w:sz w:val="32"/>
          <w:szCs w:val="32"/>
        </w:rPr>
      </w:pPr>
      <w:bookmarkStart w:id="122" w:name="_Ref179620893"/>
      <w:r>
        <w:rPr>
          <w:rFonts w:hint="eastAsia" w:ascii="仿宋_GB2312" w:hAnsi="仿宋_GB2312" w:eastAsia="仿宋_GB2312" w:cs="仿宋_GB2312"/>
          <w:b/>
          <w:bCs/>
          <w:sz w:val="32"/>
          <w:szCs w:val="32"/>
        </w:rPr>
        <w:t>投标文件应在投标截止日后90日历天内保持有效。</w:t>
      </w:r>
    </w:p>
    <w:p w14:paraId="7C19F246">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中标人投标有效期则顺延至项目完成验收之日，在此有效期内未经采购人同意，投标文件的一切内容和补充承诺均为持续有效且不予改变。</w:t>
      </w:r>
      <w:bookmarkEnd w:id="122"/>
    </w:p>
    <w:p w14:paraId="78A9BAB4">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投标有效期从提交投标文件的截止之日起算</w:t>
      </w:r>
      <w:r>
        <w:rPr>
          <w:rFonts w:hint="eastAsia" w:ascii="仿宋_GB2312" w:hAnsi="仿宋_GB2312" w:eastAsia="仿宋_GB2312" w:cs="仿宋_GB2312"/>
          <w:sz w:val="32"/>
          <w:szCs w:val="32"/>
        </w:rPr>
        <w:t>。投标文件中承诺的投标有效期应当不少于招标文件中载明的投标有效期。投标有效期不足的投标将被视为非实质性响应，视为无效投标。</w:t>
      </w:r>
    </w:p>
    <w:p w14:paraId="7910F487">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14:paraId="2AC425A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23" w:name="_Toc55778696"/>
      <w:r>
        <w:rPr>
          <w:rFonts w:hint="eastAsia" w:ascii="仿宋_GB2312" w:hAnsi="仿宋_GB2312" w:eastAsia="仿宋_GB2312" w:cs="仿宋_GB2312"/>
          <w:b/>
          <w:bCs/>
          <w:kern w:val="44"/>
          <w:sz w:val="32"/>
          <w:szCs w:val="32"/>
        </w:rPr>
        <w:t xml:space="preserve">    </w:t>
      </w:r>
      <w:bookmarkStart w:id="124" w:name="_Toc8626"/>
      <w:bookmarkStart w:id="125" w:name="_Toc30820"/>
      <w:bookmarkStart w:id="126" w:name="_Toc11497"/>
      <w:bookmarkStart w:id="127" w:name="_Toc32144"/>
      <w:r>
        <w:rPr>
          <w:rFonts w:hint="eastAsia" w:ascii="仿宋_GB2312" w:hAnsi="仿宋_GB2312" w:eastAsia="仿宋_GB2312" w:cs="仿宋_GB2312"/>
          <w:b/>
          <w:bCs/>
          <w:kern w:val="44"/>
          <w:sz w:val="32"/>
          <w:szCs w:val="32"/>
        </w:rPr>
        <w:t>投标文件的式样和签署、密封</w:t>
      </w:r>
      <w:bookmarkEnd w:id="123"/>
      <w:bookmarkEnd w:id="124"/>
      <w:bookmarkEnd w:id="125"/>
      <w:bookmarkEnd w:id="126"/>
      <w:bookmarkEnd w:id="127"/>
    </w:p>
    <w:p w14:paraId="2AA340FB">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投标人应根据投标人须知前附表规定提交投标文件</w:t>
      </w:r>
    </w:p>
    <w:p w14:paraId="0F564A9C">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投标人应根据投标人须知前附表规定提交投标文件。</w:t>
      </w: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5287D718">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电子投标文件的内容通过数字证书进行加密并签章。未按要求加密和数字证书认证的投标文件，电子评标系统将无法接受,采购单位不予受理。</w:t>
      </w:r>
    </w:p>
    <w:p w14:paraId="10C29868">
      <w:pPr>
        <w:pStyle w:val="3"/>
        <w:spacing w:before="60" w:after="60" w:line="700" w:lineRule="exact"/>
        <w:ind w:left="420" w:hanging="420"/>
        <w:jc w:val="center"/>
        <w:rPr>
          <w:rFonts w:hint="eastAsia" w:ascii="Times New Roman" w:hAnsi="Times New Roman"/>
          <w:b w:val="0"/>
          <w:bCs w:val="0"/>
          <w:lang w:val="zh-CN"/>
        </w:rPr>
      </w:pPr>
      <w:bookmarkStart w:id="128" w:name="_Toc22727"/>
      <w:r>
        <w:rPr>
          <w:rFonts w:hint="eastAsia" w:ascii="Times New Roman" w:hAnsi="Times New Roman"/>
          <w:b w:val="0"/>
          <w:bCs w:val="0"/>
          <w:lang w:val="zh-CN"/>
        </w:rPr>
        <w:t>四、投标文件的递交</w:t>
      </w:r>
      <w:bookmarkEnd w:id="128"/>
    </w:p>
    <w:p w14:paraId="0787200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kern w:val="44"/>
          <w:sz w:val="32"/>
          <w:szCs w:val="32"/>
        </w:rPr>
      </w:pPr>
      <w:bookmarkStart w:id="129" w:name="_Toc55778697"/>
      <w:r>
        <w:rPr>
          <w:rFonts w:hint="eastAsia" w:ascii="仿宋_GB2312" w:hAnsi="仿宋_GB2312" w:eastAsia="仿宋_GB2312" w:cs="仿宋_GB2312"/>
          <w:b/>
          <w:kern w:val="44"/>
          <w:sz w:val="32"/>
          <w:szCs w:val="32"/>
        </w:rPr>
        <w:t xml:space="preserve">    </w:t>
      </w:r>
      <w:bookmarkStart w:id="130" w:name="_Toc8124"/>
      <w:bookmarkStart w:id="131" w:name="_Toc5633"/>
      <w:bookmarkStart w:id="132" w:name="_Toc24917"/>
      <w:bookmarkStart w:id="133" w:name="_Toc2542"/>
      <w:r>
        <w:rPr>
          <w:rFonts w:hint="eastAsia" w:ascii="仿宋_GB2312" w:hAnsi="仿宋_GB2312" w:eastAsia="仿宋_GB2312" w:cs="仿宋_GB2312"/>
          <w:b/>
          <w:kern w:val="44"/>
          <w:sz w:val="32"/>
          <w:szCs w:val="32"/>
        </w:rPr>
        <w:t>投标文件递交</w:t>
      </w:r>
      <w:bookmarkEnd w:id="129"/>
      <w:bookmarkEnd w:id="130"/>
      <w:bookmarkEnd w:id="131"/>
      <w:bookmarkEnd w:id="132"/>
      <w:bookmarkEnd w:id="133"/>
    </w:p>
    <w:p w14:paraId="20A4C526">
      <w:pPr>
        <w:numPr>
          <w:ilvl w:val="1"/>
          <w:numId w:val="1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本项目采用不见面开标、投标人需要递交电子响应文件，加密的电子响应文件，在投标截止时间前通过政采云平台上传到指定位置，无需递交纸质文件。</w:t>
      </w:r>
    </w:p>
    <w:p w14:paraId="7500CB8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kern w:val="44"/>
          <w:sz w:val="32"/>
          <w:szCs w:val="32"/>
        </w:rPr>
      </w:pPr>
      <w:bookmarkStart w:id="134" w:name="_Toc55778698"/>
      <w:bookmarkStart w:id="135" w:name="_Toc20929"/>
      <w:r>
        <w:rPr>
          <w:rFonts w:hint="eastAsia" w:ascii="仿宋_GB2312" w:hAnsi="仿宋_GB2312" w:eastAsia="仿宋_GB2312" w:cs="仿宋_GB2312"/>
          <w:b/>
          <w:kern w:val="44"/>
          <w:sz w:val="32"/>
          <w:szCs w:val="32"/>
        </w:rPr>
        <w:t xml:space="preserve">    </w:t>
      </w:r>
      <w:bookmarkStart w:id="136" w:name="_Toc12495"/>
      <w:bookmarkStart w:id="137" w:name="_Toc20702"/>
      <w:bookmarkStart w:id="138" w:name="_Toc28446"/>
      <w:bookmarkStart w:id="139" w:name="_Toc4909"/>
      <w:r>
        <w:rPr>
          <w:rFonts w:hint="eastAsia" w:ascii="仿宋_GB2312" w:hAnsi="仿宋_GB2312" w:eastAsia="仿宋_GB2312" w:cs="仿宋_GB2312"/>
          <w:b/>
          <w:kern w:val="44"/>
          <w:sz w:val="32"/>
          <w:szCs w:val="32"/>
        </w:rPr>
        <w:t>投标截止时间</w:t>
      </w:r>
      <w:bookmarkEnd w:id="134"/>
      <w:bookmarkEnd w:id="136"/>
      <w:bookmarkEnd w:id="137"/>
      <w:bookmarkEnd w:id="138"/>
      <w:bookmarkEnd w:id="139"/>
    </w:p>
    <w:p w14:paraId="123D2DE8">
      <w:pPr>
        <w:keepNext/>
        <w:keepLines/>
        <w:numPr>
          <w:ilvl w:val="0"/>
          <w:numId w:val="18"/>
        </w:numPr>
        <w:tabs>
          <w:tab w:val="left" w:pos="900"/>
          <w:tab w:val="clear" w:pos="907"/>
        </w:tabs>
        <w:spacing w:line="500" w:lineRule="exact"/>
        <w:outlineLvl w:val="0"/>
        <w:rPr>
          <w:rFonts w:hint="eastAsia" w:ascii="仿宋_GB2312" w:hAnsi="仿宋_GB2312" w:eastAsia="仿宋_GB2312" w:cs="仿宋_GB2312"/>
          <w:kern w:val="44"/>
          <w:sz w:val="32"/>
          <w:szCs w:val="32"/>
        </w:rPr>
      </w:pPr>
      <w:bookmarkStart w:id="140" w:name="_Toc5154"/>
      <w:bookmarkStart w:id="141" w:name="_Toc55778699"/>
      <w:bookmarkStart w:id="142" w:name="_Toc30090"/>
      <w:bookmarkStart w:id="143" w:name="_Toc10314"/>
      <w:bookmarkStart w:id="144" w:name="_Toc18539"/>
      <w:r>
        <w:rPr>
          <w:rFonts w:hint="eastAsia" w:ascii="仿宋_GB2312" w:hAnsi="仿宋_GB2312" w:eastAsia="仿宋_GB2312" w:cs="仿宋_GB2312"/>
          <w:kern w:val="44"/>
          <w:sz w:val="32"/>
          <w:szCs w:val="32"/>
        </w:rPr>
        <w:t>本次招标的投标截止时间见第二章《投标须知前附表》的规定。</w:t>
      </w:r>
      <w:bookmarkEnd w:id="140"/>
      <w:bookmarkEnd w:id="141"/>
      <w:bookmarkEnd w:id="142"/>
      <w:bookmarkEnd w:id="143"/>
      <w:bookmarkEnd w:id="144"/>
    </w:p>
    <w:p w14:paraId="447F1FA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45" w:name="_Toc55778700"/>
      <w:r>
        <w:rPr>
          <w:rFonts w:hint="eastAsia" w:ascii="仿宋_GB2312" w:hAnsi="仿宋_GB2312" w:eastAsia="仿宋_GB2312" w:cs="仿宋_GB2312"/>
          <w:b/>
          <w:kern w:val="44"/>
          <w:sz w:val="32"/>
          <w:szCs w:val="32"/>
        </w:rPr>
        <w:t xml:space="preserve">    </w:t>
      </w:r>
      <w:bookmarkStart w:id="146" w:name="_Toc1876"/>
      <w:bookmarkStart w:id="147" w:name="_Toc9155"/>
      <w:bookmarkStart w:id="148" w:name="_Toc28929"/>
      <w:bookmarkStart w:id="149" w:name="_Toc2461"/>
      <w:r>
        <w:rPr>
          <w:rFonts w:hint="eastAsia" w:ascii="仿宋_GB2312" w:hAnsi="仿宋_GB2312" w:eastAsia="仿宋_GB2312" w:cs="仿宋_GB2312"/>
          <w:b/>
          <w:kern w:val="44"/>
          <w:sz w:val="32"/>
          <w:szCs w:val="32"/>
        </w:rPr>
        <w:t>迟交的投标文件</w:t>
      </w:r>
      <w:bookmarkEnd w:id="145"/>
      <w:bookmarkEnd w:id="146"/>
      <w:bookmarkEnd w:id="147"/>
      <w:bookmarkEnd w:id="148"/>
      <w:bookmarkEnd w:id="149"/>
    </w:p>
    <w:p w14:paraId="475B092F">
      <w:pPr>
        <w:keepNext/>
        <w:keepLines/>
        <w:numPr>
          <w:ilvl w:val="0"/>
          <w:numId w:val="19"/>
        </w:numPr>
        <w:tabs>
          <w:tab w:val="left" w:pos="900"/>
          <w:tab w:val="clear" w:pos="907"/>
        </w:tabs>
        <w:spacing w:line="500" w:lineRule="exact"/>
        <w:outlineLvl w:val="0"/>
        <w:rPr>
          <w:rFonts w:hint="eastAsia" w:ascii="仿宋_GB2312" w:hAnsi="仿宋_GB2312" w:eastAsia="仿宋_GB2312" w:cs="仿宋_GB2312"/>
          <w:kern w:val="44"/>
          <w:sz w:val="32"/>
          <w:szCs w:val="32"/>
        </w:rPr>
      </w:pPr>
      <w:bookmarkStart w:id="150" w:name="_Toc7900"/>
      <w:bookmarkStart w:id="151" w:name="_Toc24301"/>
      <w:bookmarkStart w:id="152" w:name="_Toc13418"/>
      <w:bookmarkStart w:id="153" w:name="_Toc94"/>
      <w:bookmarkStart w:id="154" w:name="_Toc55778701"/>
      <w:r>
        <w:rPr>
          <w:rFonts w:hint="eastAsia" w:ascii="仿宋_GB2312" w:hAnsi="仿宋_GB2312" w:eastAsia="仿宋_GB2312" w:cs="仿宋_GB2312"/>
          <w:kern w:val="44"/>
          <w:sz w:val="32"/>
          <w:szCs w:val="32"/>
        </w:rPr>
        <w:t>采购代理机构将拒绝并原封退回在其规定的投标截止时刻后收到的任何投标文件。</w:t>
      </w:r>
      <w:bookmarkEnd w:id="150"/>
      <w:bookmarkEnd w:id="151"/>
      <w:bookmarkEnd w:id="152"/>
      <w:bookmarkEnd w:id="153"/>
      <w:bookmarkEnd w:id="154"/>
    </w:p>
    <w:p w14:paraId="0E4F0B5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55" w:name="_Toc55778702"/>
      <w:r>
        <w:rPr>
          <w:rFonts w:hint="eastAsia" w:ascii="仿宋_GB2312" w:hAnsi="仿宋_GB2312" w:eastAsia="仿宋_GB2312" w:cs="仿宋_GB2312"/>
          <w:b/>
          <w:bCs/>
          <w:kern w:val="44"/>
          <w:sz w:val="32"/>
          <w:szCs w:val="32"/>
        </w:rPr>
        <w:t xml:space="preserve">    </w:t>
      </w:r>
      <w:bookmarkStart w:id="156" w:name="_Toc10185"/>
      <w:bookmarkStart w:id="157" w:name="_Toc21101"/>
      <w:bookmarkStart w:id="158" w:name="_Toc27265"/>
      <w:bookmarkStart w:id="159" w:name="_Toc19255"/>
      <w:r>
        <w:rPr>
          <w:rFonts w:hint="eastAsia" w:ascii="仿宋_GB2312" w:hAnsi="仿宋_GB2312" w:eastAsia="仿宋_GB2312" w:cs="仿宋_GB2312"/>
          <w:b/>
          <w:bCs/>
          <w:kern w:val="44"/>
          <w:sz w:val="32"/>
          <w:szCs w:val="32"/>
        </w:rPr>
        <w:t>投</w:t>
      </w:r>
      <w:bookmarkEnd w:id="135"/>
      <w:r>
        <w:rPr>
          <w:rFonts w:hint="eastAsia" w:ascii="仿宋_GB2312" w:hAnsi="仿宋_GB2312" w:eastAsia="仿宋_GB2312" w:cs="仿宋_GB2312"/>
          <w:b/>
          <w:bCs/>
          <w:kern w:val="44"/>
          <w:sz w:val="32"/>
          <w:szCs w:val="32"/>
        </w:rPr>
        <w:t>标文件的修改和撤回、撤销</w:t>
      </w:r>
      <w:bookmarkEnd w:id="155"/>
      <w:bookmarkEnd w:id="156"/>
      <w:bookmarkEnd w:id="157"/>
      <w:bookmarkEnd w:id="158"/>
      <w:bookmarkEnd w:id="159"/>
    </w:p>
    <w:p w14:paraId="0CC27DBC">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14:paraId="7CBEF15B">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除非招标文件另有规定或说明，投标人所提交的投标文件在评标结束后，无论中标与否都不退还。</w:t>
      </w:r>
    </w:p>
    <w:p w14:paraId="03C4FE59">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投标截止后，投标人不得撤销其投标，否则其投标保证金将按照本须知规定被没收。</w:t>
      </w:r>
    </w:p>
    <w:p w14:paraId="72CB843D">
      <w:pPr>
        <w:pStyle w:val="3"/>
        <w:spacing w:before="60" w:after="60" w:line="700" w:lineRule="exact"/>
        <w:ind w:left="420" w:hanging="420"/>
        <w:jc w:val="center"/>
        <w:rPr>
          <w:rFonts w:hint="eastAsia" w:ascii="Times New Roman" w:hAnsi="Times New Roman"/>
          <w:b w:val="0"/>
          <w:bCs w:val="0"/>
          <w:lang w:val="zh-CN"/>
        </w:rPr>
      </w:pPr>
      <w:bookmarkStart w:id="160" w:name="_Toc14523"/>
      <w:bookmarkStart w:id="161" w:name="_Toc55778703"/>
      <w:bookmarkStart w:id="162" w:name="_Toc30087"/>
      <w:r>
        <w:rPr>
          <w:rFonts w:hint="eastAsia" w:ascii="Times New Roman" w:hAnsi="Times New Roman"/>
          <w:b w:val="0"/>
          <w:bCs w:val="0"/>
          <w:lang w:val="zh-CN"/>
        </w:rPr>
        <w:t>五、开标与评标</w:t>
      </w:r>
      <w:bookmarkEnd w:id="160"/>
      <w:bookmarkEnd w:id="161"/>
      <w:bookmarkEnd w:id="162"/>
    </w:p>
    <w:p w14:paraId="2790DD50">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highlight w:val="none"/>
        </w:rPr>
      </w:pPr>
      <w:bookmarkStart w:id="163" w:name="_Toc21732"/>
      <w:bookmarkStart w:id="164" w:name="_Toc55778704"/>
      <w:r>
        <w:rPr>
          <w:rFonts w:hint="eastAsia" w:ascii="仿宋_GB2312" w:hAnsi="仿宋_GB2312" w:eastAsia="仿宋_GB2312" w:cs="仿宋_GB2312"/>
          <w:b/>
          <w:bCs/>
          <w:color w:val="auto"/>
          <w:kern w:val="44"/>
          <w:sz w:val="32"/>
          <w:szCs w:val="32"/>
          <w:highlight w:val="none"/>
        </w:rPr>
        <w:t xml:space="preserve">    </w:t>
      </w:r>
      <w:bookmarkStart w:id="165" w:name="_Toc4602"/>
      <w:bookmarkStart w:id="166" w:name="_Toc930"/>
      <w:bookmarkStart w:id="167" w:name="_Toc26238"/>
      <w:bookmarkStart w:id="168" w:name="_Toc19246"/>
      <w:r>
        <w:rPr>
          <w:rFonts w:hint="eastAsia" w:ascii="仿宋_GB2312" w:hAnsi="仿宋_GB2312" w:eastAsia="仿宋_GB2312" w:cs="仿宋_GB2312"/>
          <w:b/>
          <w:bCs/>
          <w:color w:val="auto"/>
          <w:kern w:val="44"/>
          <w:sz w:val="32"/>
          <w:szCs w:val="32"/>
          <w:highlight w:val="none"/>
        </w:rPr>
        <w:t>开标</w:t>
      </w:r>
      <w:bookmarkEnd w:id="163"/>
      <w:bookmarkEnd w:id="164"/>
      <w:bookmarkEnd w:id="165"/>
      <w:bookmarkEnd w:id="166"/>
      <w:bookmarkEnd w:id="167"/>
      <w:bookmarkEnd w:id="168"/>
    </w:p>
    <w:p w14:paraId="4858E97D">
      <w:pPr>
        <w:numPr>
          <w:ilvl w:val="0"/>
          <w:numId w:val="21"/>
        </w:numPr>
        <w:spacing w:line="500" w:lineRule="exact"/>
        <w:rPr>
          <w:rFonts w:hint="eastAsia" w:ascii="仿宋_GB2312" w:hAnsi="仿宋_GB2312" w:eastAsia="仿宋_GB2312" w:cs="仿宋_GB2312"/>
          <w:vanish/>
          <w:color w:val="auto"/>
          <w:sz w:val="32"/>
          <w:szCs w:val="32"/>
          <w:highlight w:val="none"/>
        </w:rPr>
      </w:pPr>
    </w:p>
    <w:p w14:paraId="55FD691F">
      <w:pPr>
        <w:numPr>
          <w:ilvl w:val="1"/>
          <w:numId w:val="21"/>
        </w:numPr>
        <w:spacing w:line="5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采购人或采购代理机构在投标人须知前附表规定的开标时间和开标地点组织公开开标，邀请投标人参加。评标委员会成员不得参加开标活动。投标人不足3家的，不得开标。</w:t>
      </w:r>
    </w:p>
    <w:p w14:paraId="51A438E8">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lang w:bidi="ar"/>
        </w:rPr>
        <w:t>投</w:t>
      </w:r>
      <w:r>
        <w:rPr>
          <w:rFonts w:hint="eastAsia" w:ascii="仿宋_GB2312" w:hAnsi="仿宋_GB2312" w:eastAsia="仿宋_GB2312" w:cs="仿宋_GB2312"/>
          <w:bCs/>
          <w:color w:val="auto"/>
          <w:kern w:val="0"/>
          <w:sz w:val="32"/>
          <w:szCs w:val="32"/>
          <w:lang w:bidi="ar"/>
        </w:rPr>
        <w:t>标文件以电子形式递交至: 新疆政采云平台；投标人应于2026年0</w:t>
      </w:r>
      <w:r>
        <w:rPr>
          <w:rFonts w:hint="eastAsia" w:ascii="仿宋_GB2312" w:hAnsi="仿宋_GB2312" w:eastAsia="仿宋_GB2312" w:cs="仿宋_GB2312"/>
          <w:bCs/>
          <w:color w:val="auto"/>
          <w:kern w:val="0"/>
          <w:sz w:val="32"/>
          <w:szCs w:val="32"/>
          <w:lang w:val="en-US" w:eastAsia="zh-CN" w:bidi="ar"/>
        </w:rPr>
        <w:t>6</w:t>
      </w:r>
      <w:r>
        <w:rPr>
          <w:rFonts w:hint="eastAsia" w:ascii="仿宋_GB2312" w:hAnsi="仿宋_GB2312" w:eastAsia="仿宋_GB2312" w:cs="仿宋_GB2312"/>
          <w:bCs/>
          <w:color w:val="auto"/>
          <w:kern w:val="0"/>
          <w:sz w:val="32"/>
          <w:szCs w:val="32"/>
          <w:lang w:bidi="ar"/>
        </w:rPr>
        <w:t>月</w:t>
      </w:r>
      <w:r>
        <w:rPr>
          <w:rFonts w:hint="eastAsia" w:ascii="仿宋_GB2312" w:hAnsi="仿宋_GB2312" w:eastAsia="仿宋_GB2312" w:cs="仿宋_GB2312"/>
          <w:bCs/>
          <w:color w:val="auto"/>
          <w:kern w:val="0"/>
          <w:sz w:val="32"/>
          <w:szCs w:val="32"/>
          <w:lang w:val="en-US" w:eastAsia="zh-CN" w:bidi="ar"/>
        </w:rPr>
        <w:t>29</w:t>
      </w:r>
      <w:r>
        <w:rPr>
          <w:rFonts w:hint="eastAsia" w:ascii="仿宋_GB2312" w:hAnsi="仿宋_GB2312" w:eastAsia="仿宋_GB2312" w:cs="仿宋_GB2312"/>
          <w:bCs/>
          <w:color w:val="auto"/>
          <w:kern w:val="0"/>
          <w:sz w:val="32"/>
          <w:szCs w:val="32"/>
          <w:lang w:bidi="ar"/>
        </w:rPr>
        <w:t>日1</w:t>
      </w:r>
      <w:r>
        <w:rPr>
          <w:rFonts w:hint="eastAsia" w:ascii="仿宋_GB2312" w:hAnsi="仿宋_GB2312" w:eastAsia="仿宋_GB2312" w:cs="仿宋_GB2312"/>
          <w:bCs/>
          <w:color w:val="auto"/>
          <w:kern w:val="0"/>
          <w:sz w:val="32"/>
          <w:szCs w:val="32"/>
          <w:lang w:val="en-US" w:eastAsia="zh-CN" w:bidi="ar"/>
        </w:rPr>
        <w:t>0</w:t>
      </w:r>
      <w:r>
        <w:rPr>
          <w:rFonts w:hint="eastAsia"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bCs/>
          <w:color w:val="auto"/>
          <w:kern w:val="0"/>
          <w:sz w:val="32"/>
          <w:szCs w:val="32"/>
          <w:lang w:val="en-US" w:eastAsia="zh-CN" w:bidi="ar"/>
        </w:rPr>
        <w:t>30</w:t>
      </w:r>
      <w:r>
        <w:rPr>
          <w:rFonts w:hint="eastAsia" w:ascii="仿宋_GB2312" w:hAnsi="仿宋_GB2312" w:eastAsia="仿宋_GB2312" w:cs="仿宋_GB2312"/>
          <w:bCs/>
          <w:color w:val="auto"/>
          <w:kern w:val="0"/>
          <w:sz w:val="32"/>
          <w:szCs w:val="32"/>
          <w:lang w:bidi="ar"/>
        </w:rPr>
        <w:t>(北京时间) 之前将电子投标文件上传到“政采云”平台。开标时</w:t>
      </w:r>
      <w:r>
        <w:rPr>
          <w:rFonts w:hint="eastAsia" w:ascii="仿宋_GB2312" w:hAnsi="仿宋_GB2312" w:eastAsia="仿宋_GB2312" w:cs="仿宋_GB2312"/>
          <w:bCs/>
          <w:kern w:val="0"/>
          <w:sz w:val="32"/>
          <w:szCs w:val="32"/>
          <w:lang w:bidi="ar"/>
        </w:rPr>
        <w:t>间后30分钟内供应商登录“政采云”平台，用“项目采购-开标评标”功能进行解密投标文件。若供应商在规定时间内未按时解密的，视为</w:t>
      </w:r>
      <w:r>
        <w:rPr>
          <w:rFonts w:hint="eastAsia" w:ascii="仿宋_GB2312" w:hAnsi="仿宋_GB2312" w:eastAsia="仿宋_GB2312" w:cs="仿宋_GB2312"/>
          <w:bCs/>
          <w:color w:val="000000"/>
          <w:kern w:val="0"/>
          <w:sz w:val="32"/>
          <w:szCs w:val="32"/>
          <w:lang w:bidi="ar"/>
        </w:rPr>
        <w:t>无效投标。(解密时间开始时政采云平台将以短信形式向供应商在政采云平台预留的手机号发送短信通知，请供应商及时关注。)</w:t>
      </w:r>
    </w:p>
    <w:p w14:paraId="40DEC737">
      <w:pPr>
        <w:numPr>
          <w:ilvl w:val="1"/>
          <w:numId w:val="21"/>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解密成功后由采购人或者采购代理机构工作人员唱电子标，宣布投标人名称、投标价格和招标文件规定的需要宣</w:t>
      </w:r>
      <w:r>
        <w:rPr>
          <w:rFonts w:hint="eastAsia" w:ascii="仿宋_GB2312" w:hAnsi="仿宋_GB2312" w:eastAsia="仿宋_GB2312" w:cs="仿宋_GB2312"/>
          <w:sz w:val="32"/>
          <w:szCs w:val="32"/>
          <w:highlight w:val="none"/>
        </w:rPr>
        <w:t>布的其他内容。</w:t>
      </w:r>
    </w:p>
    <w:p w14:paraId="71793FFE">
      <w:pPr>
        <w:numPr>
          <w:ilvl w:val="1"/>
          <w:numId w:val="21"/>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开标过程应当由采购人或者采购代理机构负责记录，由参加开标的各投标人代表和相关工作人员签字确认。</w:t>
      </w:r>
    </w:p>
    <w:p w14:paraId="2D5EF47F">
      <w:pPr>
        <w:numPr>
          <w:ilvl w:val="1"/>
          <w:numId w:val="21"/>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6ED45E7">
      <w:pPr>
        <w:numPr>
          <w:ilvl w:val="1"/>
          <w:numId w:val="21"/>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投标人未参加开标的，视同认可开标结果。</w:t>
      </w:r>
    </w:p>
    <w:p w14:paraId="12AACA2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highlight w:val="none"/>
        </w:rPr>
      </w:pPr>
      <w:bookmarkStart w:id="169" w:name="_Toc55778705"/>
      <w:bookmarkStart w:id="170" w:name="_Toc17344"/>
      <w:r>
        <w:rPr>
          <w:rFonts w:hint="eastAsia" w:ascii="仿宋_GB2312" w:hAnsi="仿宋_GB2312" w:eastAsia="仿宋_GB2312" w:cs="仿宋_GB2312"/>
          <w:b/>
          <w:kern w:val="44"/>
          <w:sz w:val="32"/>
          <w:szCs w:val="32"/>
          <w:highlight w:val="none"/>
        </w:rPr>
        <w:t xml:space="preserve">    </w:t>
      </w:r>
      <w:bookmarkStart w:id="171" w:name="_Toc1994"/>
      <w:bookmarkStart w:id="172" w:name="_Toc11631"/>
      <w:bookmarkStart w:id="173" w:name="_Toc10826"/>
      <w:bookmarkStart w:id="174" w:name="_Toc24182"/>
      <w:r>
        <w:rPr>
          <w:rFonts w:hint="eastAsia" w:ascii="仿宋_GB2312" w:hAnsi="仿宋_GB2312" w:eastAsia="仿宋_GB2312" w:cs="仿宋_GB2312"/>
          <w:b/>
          <w:kern w:val="44"/>
          <w:sz w:val="32"/>
          <w:szCs w:val="32"/>
          <w:highlight w:val="none"/>
        </w:rPr>
        <w:t>公开招标失败后的处理</w:t>
      </w:r>
      <w:bookmarkEnd w:id="169"/>
      <w:bookmarkEnd w:id="171"/>
      <w:bookmarkEnd w:id="172"/>
      <w:bookmarkEnd w:id="173"/>
      <w:bookmarkEnd w:id="174"/>
    </w:p>
    <w:p w14:paraId="625EB0B8">
      <w:pPr>
        <w:numPr>
          <w:ilvl w:val="1"/>
          <w:numId w:val="2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如果开标当天，投标截止后投标人不足3家或者</w:t>
      </w:r>
      <w:r>
        <w:rPr>
          <w:rFonts w:hint="eastAsia" w:ascii="仿宋_GB2312" w:hAnsi="仿宋_GB2312" w:eastAsia="仿宋_GB2312" w:cs="仿宋_GB2312"/>
          <w:sz w:val="32"/>
          <w:szCs w:val="32"/>
        </w:rPr>
        <w:t>通过资格审查或符合性审查的投标人不足3家的，除特殊情况外，本项目作废标处理。废标后，除采购任务取消情形外，按照以下方式处理：</w:t>
      </w:r>
    </w:p>
    <w:p w14:paraId="137DE3D2">
      <w:pPr>
        <w:numPr>
          <w:ilvl w:val="0"/>
          <w:numId w:val="2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招标文件存在不合理条款或者招标程序不符合规定的，采购人、采购代理机构改正后依法重新招标。</w:t>
      </w:r>
    </w:p>
    <w:p w14:paraId="4C8D04C6">
      <w:pPr>
        <w:numPr>
          <w:ilvl w:val="0"/>
          <w:numId w:val="2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招标文件没有不合理条款、招标程序符合规定，采购人需要采用其他采购方式采购的，经财政部门同意后可依法转换采购方式进行。</w:t>
      </w:r>
    </w:p>
    <w:p w14:paraId="6787E74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75" w:name="_Toc55778706"/>
      <w:r>
        <w:rPr>
          <w:rFonts w:hint="eastAsia" w:ascii="仿宋_GB2312" w:hAnsi="仿宋_GB2312" w:eastAsia="仿宋_GB2312" w:cs="仿宋_GB2312"/>
          <w:b/>
          <w:bCs/>
          <w:kern w:val="44"/>
          <w:sz w:val="32"/>
          <w:szCs w:val="32"/>
        </w:rPr>
        <w:t xml:space="preserve">    </w:t>
      </w:r>
      <w:bookmarkStart w:id="176" w:name="_Toc22191"/>
      <w:r>
        <w:rPr>
          <w:rFonts w:hint="eastAsia" w:ascii="仿宋_GB2312" w:hAnsi="仿宋_GB2312" w:eastAsia="仿宋_GB2312" w:cs="仿宋_GB2312"/>
          <w:b/>
          <w:bCs/>
          <w:kern w:val="44"/>
          <w:sz w:val="32"/>
          <w:szCs w:val="32"/>
        </w:rPr>
        <w:t>评标小组</w:t>
      </w:r>
      <w:bookmarkEnd w:id="170"/>
      <w:bookmarkEnd w:id="175"/>
      <w:bookmarkEnd w:id="176"/>
    </w:p>
    <w:p w14:paraId="3AA05BA1">
      <w:pPr>
        <w:numPr>
          <w:ilvl w:val="1"/>
          <w:numId w:val="24"/>
        </w:numPr>
        <w:spacing w:line="500" w:lineRule="exact"/>
        <w:rPr>
          <w:rFonts w:hint="eastAsia" w:ascii="仿宋_GB2312" w:hAnsi="仿宋_GB2312" w:eastAsia="仿宋_GB2312" w:cs="仿宋_GB2312"/>
          <w:sz w:val="32"/>
          <w:szCs w:val="32"/>
        </w:rPr>
      </w:pPr>
      <w:bookmarkStart w:id="177" w:name="_Ref179621079"/>
      <w:r>
        <w:rPr>
          <w:rFonts w:hint="eastAsia" w:ascii="仿宋_GB2312" w:hAnsi="仿宋_GB2312" w:eastAsia="仿宋_GB2312" w:cs="仿宋_GB2312"/>
          <w:sz w:val="32"/>
          <w:szCs w:val="32"/>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仿宋_GB2312" w:hAnsi="仿宋_GB2312" w:eastAsia="仿宋_GB2312" w:cs="仿宋_GB2312"/>
          <w:b/>
          <w:bCs/>
          <w:sz w:val="32"/>
          <w:szCs w:val="32"/>
          <w:u w:val="single"/>
        </w:rPr>
        <w:t>新疆政采云平台</w:t>
      </w:r>
      <w:r>
        <w:rPr>
          <w:rFonts w:hint="eastAsia" w:ascii="仿宋_GB2312" w:hAnsi="仿宋_GB2312" w:eastAsia="仿宋_GB2312" w:cs="仿宋_GB2312"/>
          <w:sz w:val="32"/>
          <w:szCs w:val="32"/>
        </w:rPr>
        <w:t>评审专家库中随机抽取产生。对技术复杂、专业性强的采购项目，通过随机方式难以确定合适评审专家的，经主管预算单位同意，采购人可以自行选定相应专业领域的评审专家。</w:t>
      </w:r>
    </w:p>
    <w:p w14:paraId="0DC02EA5">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评标小组应当按照招标文件中规定的评标方法和标准，对符合性审查合格的投标文件进行商务和技术评估，综合比较与评价，提交评标报告并推荐中标候选人。</w:t>
      </w:r>
    </w:p>
    <w:p w14:paraId="0A99733F">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招标文件一并存档。</w:t>
      </w:r>
    </w:p>
    <w:p w14:paraId="4CD20D41">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评标小组成员名单在评标结果公告前严格保密。评审专家有下列情形之一的，受到邀请应主动提出回避，采购当事人也可以要求该评审专家回避：</w:t>
      </w:r>
    </w:p>
    <w:p w14:paraId="5C87DFA7">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参加采购活动前3年内与投标人存在劳动关系；</w:t>
      </w:r>
    </w:p>
    <w:p w14:paraId="427B51D2">
      <w:pPr>
        <w:numPr>
          <w:ilvl w:val="0"/>
          <w:numId w:val="25"/>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参加采购活动前3年内担任投标人的董事、监事；</w:t>
      </w:r>
    </w:p>
    <w:p w14:paraId="4B43DDD9">
      <w:pPr>
        <w:numPr>
          <w:ilvl w:val="0"/>
          <w:numId w:val="25"/>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参加采购活动前3年内是投标人的控股股东或者实际控制人；</w:t>
      </w:r>
    </w:p>
    <w:p w14:paraId="0A24CECB">
      <w:pPr>
        <w:numPr>
          <w:ilvl w:val="0"/>
          <w:numId w:val="25"/>
        </w:numPr>
        <w:spacing w:line="500" w:lineRule="exact"/>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highlight w:val="none"/>
        </w:rPr>
        <w:t>与投标人的法定代表人或者负责人有夫妻、直系血亲、三代以内旁系血亲或者近姻亲关系；</w:t>
      </w:r>
    </w:p>
    <w:p w14:paraId="6D4FB12B">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与投标人有其他可能影响政府采购活动公平、公正进行的关系。</w:t>
      </w:r>
    </w:p>
    <w:p w14:paraId="1367A46B">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评标小组将按综合评分法进行评审，即最大限度地满足招标文件实质性要求前提下，按照招标文件中规定的各项因素进行综合评审后，以评标总得分最高的投标人作为中标候选人。</w:t>
      </w:r>
      <w:bookmarkEnd w:id="177"/>
    </w:p>
    <w:p w14:paraId="2E2240B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78" w:name="_Toc55778707"/>
      <w:r>
        <w:rPr>
          <w:rFonts w:hint="eastAsia" w:ascii="仿宋_GB2312" w:hAnsi="仿宋_GB2312" w:eastAsia="仿宋_GB2312" w:cs="仿宋_GB2312"/>
          <w:b/>
          <w:kern w:val="44"/>
          <w:sz w:val="32"/>
          <w:szCs w:val="32"/>
        </w:rPr>
        <w:t xml:space="preserve">   </w:t>
      </w:r>
      <w:bookmarkStart w:id="179" w:name="_Toc26294"/>
      <w:bookmarkStart w:id="180" w:name="_Toc14456"/>
      <w:bookmarkStart w:id="181" w:name="_Toc30337"/>
      <w:bookmarkStart w:id="182" w:name="_Toc28109"/>
      <w:r>
        <w:rPr>
          <w:rFonts w:hint="eastAsia" w:ascii="仿宋_GB2312" w:hAnsi="仿宋_GB2312" w:eastAsia="仿宋_GB2312" w:cs="仿宋_GB2312"/>
          <w:b/>
          <w:kern w:val="44"/>
          <w:sz w:val="32"/>
          <w:szCs w:val="32"/>
        </w:rPr>
        <w:t>评标原则及评标方法</w:t>
      </w:r>
      <w:bookmarkEnd w:id="178"/>
      <w:bookmarkEnd w:id="179"/>
      <w:bookmarkEnd w:id="180"/>
      <w:bookmarkEnd w:id="181"/>
      <w:bookmarkEnd w:id="182"/>
    </w:p>
    <w:p w14:paraId="473821DE">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评标基本原则：评标工作应依据《中华人民共和国政府采购法》、实施条例以及国家和地方政府有关政府采购的有关法规，遵循“公开、公平、公正、择优、信用”的原则进行。</w:t>
      </w:r>
    </w:p>
    <w:p w14:paraId="0B5B6AA2">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本项目以投标人递交的电子投标文件作为评审依据。</w:t>
      </w:r>
    </w:p>
    <w:p w14:paraId="3DF937FC">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评标步骤及定标规定：第一阶段：先进行投标人资格性审查。第二阶段：进行投标人符合性审查。第三阶段：对通过资格性审查、符合性审查的投标人按照评标办法进行详细评审（包括：技术商务评审）。</w:t>
      </w:r>
    </w:p>
    <w:p w14:paraId="0C28ADAB">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评标办法：本次招标的评标方式为综合评分法，评审意见不一致时采用少数服从多数的评标方式，详细评审采用百分制综合评分法，分数按四舍五入原则计至小数点后两位</w:t>
      </w:r>
      <w:r>
        <w:rPr>
          <w:rFonts w:hint="eastAsia" w:ascii="仿宋_GB2312" w:hAnsi="仿宋_GB2312" w:eastAsia="仿宋_GB2312" w:cs="仿宋_GB2312"/>
          <w:sz w:val="32"/>
          <w:szCs w:val="32"/>
        </w:rPr>
        <w:t>。</w:t>
      </w:r>
    </w:p>
    <w:p w14:paraId="49391ADB">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仿宋_GB2312" w:hAnsi="仿宋_GB2312" w:eastAsia="仿宋_GB2312" w:cs="仿宋_GB2312"/>
          <w:sz w:val="32"/>
          <w:szCs w:val="32"/>
        </w:rPr>
        <w:t>。</w:t>
      </w:r>
    </w:p>
    <w:p w14:paraId="5CEC731D">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3" w:name="_Toc55778708"/>
      <w:r>
        <w:rPr>
          <w:rFonts w:hint="eastAsia" w:ascii="仿宋_GB2312" w:hAnsi="仿宋_GB2312" w:eastAsia="仿宋_GB2312" w:cs="仿宋_GB2312"/>
          <w:b/>
          <w:kern w:val="44"/>
          <w:sz w:val="32"/>
          <w:szCs w:val="32"/>
        </w:rPr>
        <w:t xml:space="preserve">    </w:t>
      </w:r>
      <w:bookmarkStart w:id="184" w:name="_Toc24957"/>
      <w:bookmarkStart w:id="185" w:name="_Toc24483"/>
      <w:bookmarkStart w:id="186" w:name="_Toc29632"/>
      <w:bookmarkStart w:id="187" w:name="_Toc3188"/>
      <w:r>
        <w:rPr>
          <w:rFonts w:hint="eastAsia" w:ascii="仿宋_GB2312" w:hAnsi="仿宋_GB2312" w:eastAsia="仿宋_GB2312" w:cs="仿宋_GB2312"/>
          <w:b/>
          <w:kern w:val="44"/>
          <w:sz w:val="32"/>
          <w:szCs w:val="32"/>
        </w:rPr>
        <w:t>初步评审</w:t>
      </w:r>
      <w:bookmarkEnd w:id="183"/>
      <w:bookmarkEnd w:id="184"/>
      <w:bookmarkEnd w:id="185"/>
      <w:bookmarkEnd w:id="186"/>
      <w:bookmarkEnd w:id="187"/>
    </w:p>
    <w:p w14:paraId="79D6A402">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性审查：开标结束后，采购人依法对投标人的资格进行审查，资格性审查内容详见附表1《资格审查标准表》。对初步被认定为资格性审查不合格的可实行告知投标当事人。未通过资格性审查的投标人，不进入符合性审查。若通过资格性审查的投标人不足3家的，不得进行下一阶段评标。</w:t>
      </w:r>
    </w:p>
    <w:p w14:paraId="7DA17F58">
      <w:pPr>
        <w:numPr>
          <w:ilvl w:val="2"/>
          <w:numId w:val="2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投标人存在下列情况之一的，投标无效：</w:t>
      </w:r>
    </w:p>
    <w:p w14:paraId="03196AFF">
      <w:pPr>
        <w:spacing w:line="5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不具备招标文件中规定的投标人资格要求的</w:t>
      </w:r>
    </w:p>
    <w:p w14:paraId="267E306D">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符合性审查：详见附表2《 符合性审查标准表》，以确定其是否满足招标文件的实质性要求。评标小组对初步被认定为符合性审查不合格或无效投标者可实行告知投标当事人。未通过符合性审查的投标人，不进入技术、商务和价格评审。</w:t>
      </w:r>
    </w:p>
    <w:p w14:paraId="5FA6757B">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评标小组决定投标文件的响应程度指依据投标文件本身的真实无误的内容，而不依据外部的证据。但投标文件有不真实、不正确内容的除外。</w:t>
      </w:r>
    </w:p>
    <w:p w14:paraId="62C11BF5">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8" w:name="_Toc55778709"/>
      <w:r>
        <w:rPr>
          <w:rFonts w:hint="eastAsia" w:ascii="仿宋_GB2312" w:hAnsi="仿宋_GB2312" w:eastAsia="仿宋_GB2312" w:cs="仿宋_GB2312"/>
          <w:b/>
          <w:bCs/>
          <w:kern w:val="44"/>
          <w:sz w:val="32"/>
          <w:szCs w:val="32"/>
        </w:rPr>
        <w:t xml:space="preserve">    </w:t>
      </w:r>
      <w:bookmarkStart w:id="189" w:name="_Toc24582"/>
      <w:bookmarkStart w:id="190" w:name="_Toc23646"/>
      <w:bookmarkStart w:id="191" w:name="_Toc21733"/>
      <w:bookmarkStart w:id="192" w:name="_Toc27075"/>
      <w:r>
        <w:rPr>
          <w:rFonts w:hint="eastAsia" w:ascii="仿宋_GB2312" w:hAnsi="仿宋_GB2312" w:eastAsia="仿宋_GB2312" w:cs="仿宋_GB2312"/>
          <w:b/>
          <w:bCs/>
          <w:kern w:val="44"/>
          <w:sz w:val="32"/>
          <w:szCs w:val="32"/>
        </w:rPr>
        <w:t>详细评审</w:t>
      </w:r>
      <w:bookmarkEnd w:id="188"/>
      <w:bookmarkEnd w:id="189"/>
      <w:bookmarkEnd w:id="190"/>
      <w:bookmarkEnd w:id="191"/>
      <w:bookmarkEnd w:id="192"/>
    </w:p>
    <w:p w14:paraId="29C7B2A5">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经符合性审查合格的投标文件，评标委员会将根据招标文件确定的评标方法和标准，对其技术部分和商务部分作进一步的比较和评价。</w:t>
      </w:r>
    </w:p>
    <w:p w14:paraId="3763EDBA">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分法，是指投标文件满足招标文件全部实质性要求，且按照评审因素的量化指标评审得分最高的投标人为中标候选人的评标方法，评标严格按照招标文件的要求和条件进行，详细评标标准见附表3《评分细则》。</w:t>
      </w:r>
    </w:p>
    <w:p w14:paraId="77DC3A5C">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（一）本项目在政府采购评审中出现下列情形之一的，评审委员会应当启动异常低价投标（响应）审查程序：</w:t>
      </w:r>
    </w:p>
    <w:p w14:paraId="0167716B">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1.投标（响应）报价低于全部通过符合性审查供应商投标（响应）报价平均值50%的，即投标（响应）报价&lt;全部通过符合性审查供应商投标（响应）报价平均值×50%；</w:t>
      </w:r>
    </w:p>
    <w:p w14:paraId="2FBF0148">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2.投标（响应）报价低于通过符合性审查的次低报价供应商投标（响应）报价50%的，即投标（响应）报价&lt;通过符合性审查的次低报价供应商投标（响应）报价×50%；</w:t>
      </w:r>
    </w:p>
    <w:p w14:paraId="0263CDD1">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3.投标（响应）报价低于采购项目最高限价45%的，即投标（响应）报价&lt;采购项目最高限价×45%；</w:t>
      </w:r>
    </w:p>
    <w:p w14:paraId="66F300FE">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4.评审委员会基于专业判断，认为供应商报价过低，有可能影响产品质量或者不能诚信履约的其他情形。</w:t>
      </w:r>
    </w:p>
    <w:p w14:paraId="64CE0679">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采购人可以结合具体项目实际情况，提高上述第1项至第3项中启动异常低价投标（响应）审查的数值标准，但是最高不得超过65%。</w:t>
      </w:r>
    </w:p>
    <w:p w14:paraId="53EFB1F5">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相关法律法规对供应商报价有规定的，从其规定。</w:t>
      </w:r>
    </w:p>
    <w:p w14:paraId="4B9E9B40">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9DF3FE">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3B03558">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E4FA8E2">
      <w:pPr>
        <w:pStyle w:val="26"/>
        <w:spacing w:line="500" w:lineRule="exact"/>
        <w:ind w:left="899" w:leftChars="428"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异常低价投标（响应）审查的启动原因、审查意见和审查结果应当在评审报告中记录，并随供应商提供的相关书面</w:t>
      </w:r>
      <w:r>
        <w:rPr>
          <w:rFonts w:hint="eastAsia" w:ascii="仿宋_GB2312" w:hAnsi="仿宋_GB2312" w:eastAsia="仿宋_GB2312" w:cs="仿宋_GB2312"/>
          <w:sz w:val="32"/>
          <w:szCs w:val="32"/>
          <w:highlight w:val="none"/>
        </w:rPr>
        <w:t>说明及证明材料，以及评审委员会有关互联网浏览、查询历史一并归档。</w:t>
      </w:r>
    </w:p>
    <w:p w14:paraId="5B87D10D">
      <w:pPr>
        <w:numPr>
          <w:ilvl w:val="1"/>
          <w:numId w:val="29"/>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投标文件报价出现前后不一致的，除招标文件另有规定外，按照下列规定修正：</w:t>
      </w:r>
    </w:p>
    <w:p w14:paraId="6EEC063C">
      <w:pPr>
        <w:numPr>
          <w:ilvl w:val="2"/>
          <w:numId w:val="30"/>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投标文件中报价一览表内容与投标文件中明细表内容不一致的，以报价一览表为准；</w:t>
      </w:r>
    </w:p>
    <w:p w14:paraId="478F72E3">
      <w:pPr>
        <w:numPr>
          <w:ilvl w:val="2"/>
          <w:numId w:val="30"/>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大写金额和小写金额不一致的，以大写金额为准；</w:t>
      </w:r>
    </w:p>
    <w:p w14:paraId="0D8296D7">
      <w:pPr>
        <w:numPr>
          <w:ilvl w:val="2"/>
          <w:numId w:val="30"/>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单价金额小数点或百分比有明显错位的，以开标一览表的总价为准，并修改单价；</w:t>
      </w:r>
    </w:p>
    <w:p w14:paraId="4B7C1DD3">
      <w:pPr>
        <w:numPr>
          <w:ilvl w:val="2"/>
          <w:numId w:val="30"/>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总价金额与按单价汇总金额不一致的，以单价金额计算结果为准。</w:t>
      </w:r>
    </w:p>
    <w:p w14:paraId="6AB369BE">
      <w:pPr>
        <w:numPr>
          <w:ilvl w:val="1"/>
          <w:numId w:val="29"/>
        </w:numPr>
        <w:spacing w:line="50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14:paraId="6CC3859E">
      <w:pPr>
        <w:numPr>
          <w:ilvl w:val="1"/>
          <w:numId w:val="29"/>
        </w:num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rPr>
        <w:t>对数量的评审：以《采购内容》所示数量为准；《采购内容》未明示的，由评标小组以其专业知识判断，必要</w:t>
      </w:r>
      <w:r>
        <w:rPr>
          <w:rFonts w:hint="eastAsia" w:ascii="仿宋_GB2312" w:hAnsi="仿宋_GB2312" w:eastAsia="仿宋_GB2312" w:cs="仿宋_GB2312"/>
          <w:bCs/>
          <w:sz w:val="32"/>
          <w:szCs w:val="32"/>
        </w:rPr>
        <w:t>时参考投标人的澄清文件决定。</w:t>
      </w:r>
    </w:p>
    <w:p w14:paraId="2D46300E">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对小型或微型企业的扶持：</w:t>
      </w:r>
    </w:p>
    <w:p w14:paraId="518EA809">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投标人认为其为小型或微型企业的应提交《中小企业声明函》格式见附件2，并明确企业类型，否则评审时不能享受相应的价格扣除。提供本企业制造的货物、承担的工程或者服务，或者提供其他小型或微型企业的制造的货物。</w:t>
      </w:r>
    </w:p>
    <w:p w14:paraId="29BEEA5A">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（2）投标人为小型、微型企业且投标产品含小型、微型企业产品时，其小型、微型企业产品的价格给予10%的扣除，即评标价=投标报价-小型、微型企业产品投标报价×10%。</w:t>
      </w:r>
    </w:p>
    <w:p w14:paraId="0F796455">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（3）根据财政部《政府采购促进中小企业发展管理办法》（财库[2020]46号文）规定，在货物类采购项目中，投标人提供的货物既有中小企业制造货物，也有大型企业制造货物的，不享受中小企业扶持政策。</w:t>
      </w:r>
    </w:p>
    <w:p w14:paraId="0260E5CB">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监狱企业产品价格扣除</w:t>
      </w:r>
    </w:p>
    <w:p w14:paraId="6BAA2E19">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1）监狱企业视同小型、微型企业，按上述</w:t>
      </w:r>
      <w:r>
        <w:rPr>
          <w:rFonts w:hint="eastAsia" w:ascii="仿宋_GB2312" w:hAnsi="仿宋_GB2312" w:eastAsia="仿宋_GB2312" w:cs="仿宋_GB2312"/>
          <w:b/>
          <w:bCs/>
          <w:sz w:val="32"/>
          <w:szCs w:val="32"/>
        </w:rPr>
        <w:t>27.7条款</w:t>
      </w:r>
      <w:r>
        <w:rPr>
          <w:rFonts w:hint="eastAsia" w:ascii="仿宋_GB2312" w:hAnsi="仿宋_GB2312" w:eastAsia="仿宋_GB2312" w:cs="仿宋_GB2312"/>
          <w:sz w:val="32"/>
          <w:szCs w:val="32"/>
        </w:rPr>
        <w:t>享受评审中价格扣除。</w:t>
      </w:r>
    </w:p>
    <w:p w14:paraId="124B791B">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9451DE">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3）监狱企业参加政府采购活动时，应当提供由省级以上监狱管理局、戒毒管理局（含新疆生产建设兵团）出具的属于监狱企业的证明文件，否则不予认可。</w:t>
      </w:r>
    </w:p>
    <w:p w14:paraId="04322DEC">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残疾人福利性单位产品价格扣除</w:t>
      </w:r>
    </w:p>
    <w:p w14:paraId="6C7334E7">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1）残疾人福利性单位视同小型、微型企业，按上述</w:t>
      </w:r>
      <w:r>
        <w:rPr>
          <w:rFonts w:hint="eastAsia" w:ascii="仿宋_GB2312" w:hAnsi="仿宋_GB2312" w:eastAsia="仿宋_GB2312" w:cs="仿宋_GB2312"/>
          <w:b/>
          <w:bCs/>
          <w:sz w:val="32"/>
          <w:szCs w:val="32"/>
        </w:rPr>
        <w:t>27.7条款</w:t>
      </w:r>
      <w:r>
        <w:rPr>
          <w:rFonts w:hint="eastAsia" w:ascii="仿宋_GB2312" w:hAnsi="仿宋_GB2312" w:eastAsia="仿宋_GB2312" w:cs="仿宋_GB2312"/>
          <w:sz w:val="32"/>
          <w:szCs w:val="32"/>
        </w:rPr>
        <w:t>享受评审中价格扣除。</w:t>
      </w:r>
    </w:p>
    <w:p w14:paraId="109B2A67">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附件3），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1A535D5B">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投标人同时为小型、微型企业、监狱企业、残疾人福利性单位任两种或以上情况的，评审中只享受一次价格扣除，不重复进行价格扣除。</w:t>
      </w:r>
    </w:p>
    <w:p w14:paraId="7BB360D7">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14:paraId="60CB147D">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14:paraId="03198010">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评标价的确定：按上述条款校核修正后的价格为评标价。</w:t>
      </w:r>
    </w:p>
    <w:p w14:paraId="31B809DD">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评标小组成员对需要共同认定的事项存在争议的，应当按照少数服从多数的原则作出结论。持不同意见的评标小组成员应当在评标报告上签署不同意见及理由，否则视为同意评标报告。</w:t>
      </w:r>
    </w:p>
    <w:p w14:paraId="578012F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color w:val="000000"/>
          <w:sz w:val="32"/>
          <w:szCs w:val="32"/>
        </w:rPr>
      </w:pPr>
      <w:bookmarkStart w:id="193" w:name="_Toc55778710"/>
      <w:r>
        <w:rPr>
          <w:rFonts w:hint="eastAsia" w:ascii="仿宋_GB2312" w:hAnsi="仿宋_GB2312" w:eastAsia="仿宋_GB2312" w:cs="仿宋_GB2312"/>
          <w:b/>
          <w:kern w:val="44"/>
          <w:sz w:val="32"/>
          <w:szCs w:val="32"/>
        </w:rPr>
        <w:t xml:space="preserve">    </w:t>
      </w:r>
      <w:bookmarkStart w:id="194" w:name="_Toc10625"/>
      <w:bookmarkStart w:id="195" w:name="_Toc31639"/>
      <w:bookmarkStart w:id="196" w:name="_Toc31812"/>
      <w:bookmarkStart w:id="197" w:name="_Toc25223"/>
      <w:r>
        <w:rPr>
          <w:rFonts w:hint="eastAsia" w:ascii="仿宋_GB2312" w:hAnsi="仿宋_GB2312" w:eastAsia="仿宋_GB2312" w:cs="仿宋_GB2312"/>
          <w:b/>
          <w:kern w:val="44"/>
          <w:sz w:val="32"/>
          <w:szCs w:val="32"/>
        </w:rPr>
        <w:t>投标文件的修正和澄清</w:t>
      </w:r>
      <w:bookmarkEnd w:id="193"/>
      <w:bookmarkEnd w:id="194"/>
      <w:bookmarkEnd w:id="195"/>
      <w:bookmarkEnd w:id="196"/>
      <w:bookmarkEnd w:id="197"/>
      <w:r>
        <w:rPr>
          <w:rFonts w:hint="eastAsia" w:ascii="仿宋_GB2312" w:hAnsi="仿宋_GB2312" w:eastAsia="仿宋_GB2312" w:cs="仿宋_GB2312"/>
          <w:b/>
          <w:kern w:val="44"/>
          <w:sz w:val="32"/>
          <w:szCs w:val="32"/>
        </w:rPr>
        <w:t>、</w:t>
      </w:r>
    </w:p>
    <w:p w14:paraId="52218AE5">
      <w:pPr>
        <w:numPr>
          <w:ilvl w:val="1"/>
          <w:numId w:val="31"/>
        </w:numPr>
        <w:spacing w:line="5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05E8332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98" w:name="_Toc55778711"/>
      <w:r>
        <w:rPr>
          <w:rFonts w:hint="eastAsia" w:ascii="仿宋_GB2312" w:hAnsi="仿宋_GB2312" w:eastAsia="仿宋_GB2312" w:cs="仿宋_GB2312"/>
          <w:b/>
          <w:bCs/>
          <w:kern w:val="44"/>
          <w:sz w:val="32"/>
          <w:szCs w:val="32"/>
        </w:rPr>
        <w:t xml:space="preserve">    </w:t>
      </w:r>
      <w:bookmarkStart w:id="199" w:name="_Toc12810"/>
      <w:bookmarkStart w:id="200" w:name="_Toc30970"/>
      <w:bookmarkStart w:id="201" w:name="_Toc13122"/>
      <w:bookmarkStart w:id="202" w:name="_Toc14816"/>
      <w:r>
        <w:rPr>
          <w:rFonts w:hint="eastAsia" w:ascii="仿宋_GB2312" w:hAnsi="仿宋_GB2312" w:eastAsia="仿宋_GB2312" w:cs="仿宋_GB2312"/>
          <w:b/>
          <w:bCs/>
          <w:kern w:val="44"/>
          <w:sz w:val="32"/>
          <w:szCs w:val="32"/>
        </w:rPr>
        <w:t>评标总得分统计及推荐</w:t>
      </w:r>
      <w:bookmarkEnd w:id="198"/>
      <w:bookmarkEnd w:id="199"/>
      <w:bookmarkEnd w:id="200"/>
      <w:bookmarkEnd w:id="201"/>
      <w:bookmarkEnd w:id="202"/>
    </w:p>
    <w:p w14:paraId="660DA656">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评标过程中，不得去掉报价中的最高报价和最低报价。</w:t>
      </w:r>
    </w:p>
    <w:p w14:paraId="677619B5">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评标小组各成员独立对每个投标人的投标文件进行评价，并汇总每个投标人的得分（评标总得分分值按四舍五入原则精确到小数点后两位）。</w:t>
      </w:r>
    </w:p>
    <w:p w14:paraId="6F4AF530">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中标候选人：评标小组成员独立对每个投标人分别评出技术、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14:paraId="2DDB41F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03" w:name="_Toc55778712"/>
      <w:r>
        <w:rPr>
          <w:rFonts w:hint="eastAsia" w:ascii="仿宋_GB2312" w:hAnsi="仿宋_GB2312" w:eastAsia="仿宋_GB2312" w:cs="仿宋_GB2312"/>
          <w:b/>
          <w:kern w:val="44"/>
          <w:sz w:val="32"/>
          <w:szCs w:val="32"/>
        </w:rPr>
        <w:t xml:space="preserve">    </w:t>
      </w:r>
      <w:bookmarkStart w:id="204" w:name="_Toc10277"/>
      <w:bookmarkStart w:id="205" w:name="_Toc22167"/>
      <w:bookmarkStart w:id="206" w:name="_Toc160"/>
      <w:bookmarkStart w:id="207" w:name="_Toc23908"/>
      <w:r>
        <w:rPr>
          <w:rFonts w:hint="eastAsia" w:ascii="仿宋_GB2312" w:hAnsi="仿宋_GB2312" w:eastAsia="仿宋_GB2312" w:cs="仿宋_GB2312"/>
          <w:b/>
          <w:kern w:val="44"/>
          <w:sz w:val="32"/>
          <w:szCs w:val="32"/>
        </w:rPr>
        <w:t>定标</w:t>
      </w:r>
      <w:bookmarkEnd w:id="203"/>
      <w:bookmarkEnd w:id="204"/>
      <w:bookmarkEnd w:id="205"/>
      <w:bookmarkEnd w:id="206"/>
      <w:bookmarkEnd w:id="207"/>
    </w:p>
    <w:p w14:paraId="474FD2A4">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14:paraId="434F4749">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中标人拒绝与采购人签订合同的，采购人可以按照评审报告推荐的中标候选人名单排序，确定下一候选人为中标人，也可以重新开展政府采购活动。</w:t>
      </w:r>
    </w:p>
    <w:p w14:paraId="6F370791">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中标人放弃中标或者中标资格被依法确认无效的，采购人可以按照排序从其他中标候选人中确定中标人或重新组织采购活动。</w:t>
      </w:r>
    </w:p>
    <w:p w14:paraId="2B66230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08" w:name="_Toc55778713"/>
      <w:r>
        <w:rPr>
          <w:rFonts w:hint="eastAsia" w:ascii="仿宋_GB2312" w:hAnsi="仿宋_GB2312" w:eastAsia="仿宋_GB2312" w:cs="仿宋_GB2312"/>
          <w:b/>
          <w:bCs/>
          <w:kern w:val="44"/>
          <w:sz w:val="32"/>
          <w:szCs w:val="32"/>
        </w:rPr>
        <w:t xml:space="preserve">    </w:t>
      </w:r>
      <w:bookmarkStart w:id="209" w:name="_Toc14184"/>
      <w:bookmarkStart w:id="210" w:name="_Toc31442"/>
      <w:bookmarkStart w:id="211" w:name="_Toc6845"/>
      <w:bookmarkStart w:id="212" w:name="_Toc5256"/>
      <w:r>
        <w:rPr>
          <w:rFonts w:hint="eastAsia" w:ascii="仿宋_GB2312" w:hAnsi="仿宋_GB2312" w:eastAsia="仿宋_GB2312" w:cs="仿宋_GB2312"/>
          <w:b/>
          <w:bCs/>
          <w:kern w:val="44"/>
          <w:sz w:val="32"/>
          <w:szCs w:val="32"/>
        </w:rPr>
        <w:t>特别说明</w:t>
      </w:r>
      <w:bookmarkEnd w:id="208"/>
      <w:bookmarkEnd w:id="209"/>
      <w:bookmarkEnd w:id="210"/>
      <w:bookmarkEnd w:id="211"/>
      <w:bookmarkEnd w:id="212"/>
    </w:p>
    <w:p w14:paraId="48EDFB4E">
      <w:pPr>
        <w:numPr>
          <w:ilvl w:val="1"/>
          <w:numId w:val="3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有下列情形之一的，视为投标人串通投标，其投标无效：</w:t>
      </w:r>
    </w:p>
    <w:p w14:paraId="41DDAF0A">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不同投标人的投标文件由同一单位或者个人编制；</w:t>
      </w:r>
    </w:p>
    <w:p w14:paraId="3D9E4637">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不同投标人委托同一单位或者个人办理投标事宜；</w:t>
      </w:r>
    </w:p>
    <w:p w14:paraId="0B3553E8">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不同投标人的投标文件载明的项目管理成员或者联系人员为同一人；</w:t>
      </w:r>
    </w:p>
    <w:p w14:paraId="6BBCE7CF">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不同投标人的投标文件异常一致或者投标报价呈规律性差异；</w:t>
      </w:r>
    </w:p>
    <w:p w14:paraId="2D01E4B5">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不同投标人的投标文件相互混装；</w:t>
      </w:r>
    </w:p>
    <w:p w14:paraId="66610257">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不同投标人的投标保证金从同一单位或者个人的账户转出。</w:t>
      </w:r>
    </w:p>
    <w:p w14:paraId="376F9D0D">
      <w:pPr>
        <w:numPr>
          <w:ilvl w:val="1"/>
          <w:numId w:val="3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投标人存在下列情况之一的，投标无效:</w:t>
      </w:r>
    </w:p>
    <w:p w14:paraId="54CCEFA1">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未按照招标文件的规定提交投标保证金的；</w:t>
      </w:r>
    </w:p>
    <w:p w14:paraId="7B65B2E0">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投标文件未按招标文件要求签署、盖章的；</w:t>
      </w:r>
    </w:p>
    <w:p w14:paraId="33C903E1">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不具备招标文件中规定的资格要求的；</w:t>
      </w:r>
    </w:p>
    <w:p w14:paraId="76C0BF05">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报价超过招标文件中规定的预算金额或者最高限价的；</w:t>
      </w:r>
    </w:p>
    <w:p w14:paraId="03FF579D">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投标文件含有采购人不能接受的附加条件的；</w:t>
      </w:r>
    </w:p>
    <w:p w14:paraId="3E03C9C9">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法律、法规和招标文件规定的其他无效情形。</w:t>
      </w:r>
    </w:p>
    <w:p w14:paraId="788DCDF1">
      <w:pPr>
        <w:numPr>
          <w:ilvl w:val="1"/>
          <w:numId w:val="34"/>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在招标采购中，出现下列情形之一的，应予废标： </w:t>
      </w:r>
    </w:p>
    <w:p w14:paraId="62C1D26B">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符合专业条件的投标人或者对招标文件作实质响应的投标人不足三家的； </w:t>
      </w:r>
    </w:p>
    <w:p w14:paraId="6244EF3E">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出现影响采购公正的违法、违规行为的； </w:t>
      </w:r>
    </w:p>
    <w:p w14:paraId="3A510FCC">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投标人的报价均超过了采购预算，采购人不能支付的； </w:t>
      </w:r>
    </w:p>
    <w:p w14:paraId="33A052A6">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因重大变故，采购任务取消的。 </w:t>
      </w:r>
    </w:p>
    <w:p w14:paraId="77D6A3B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13" w:name="_Toc55778714"/>
      <w:r>
        <w:rPr>
          <w:rFonts w:hint="eastAsia" w:ascii="仿宋_GB2312" w:hAnsi="仿宋_GB2312" w:eastAsia="仿宋_GB2312" w:cs="仿宋_GB2312"/>
          <w:b/>
          <w:bCs/>
          <w:kern w:val="44"/>
          <w:sz w:val="32"/>
          <w:szCs w:val="32"/>
        </w:rPr>
        <w:t xml:space="preserve">   </w:t>
      </w:r>
      <w:bookmarkStart w:id="214" w:name="_Toc29878"/>
      <w:bookmarkStart w:id="215" w:name="_Toc30472"/>
      <w:bookmarkStart w:id="216" w:name="_Toc12971"/>
      <w:bookmarkStart w:id="217" w:name="_Toc14583"/>
      <w:r>
        <w:rPr>
          <w:rFonts w:hint="eastAsia" w:ascii="仿宋_GB2312" w:hAnsi="仿宋_GB2312" w:eastAsia="仿宋_GB2312" w:cs="仿宋_GB2312"/>
          <w:b/>
          <w:bCs/>
          <w:kern w:val="44"/>
          <w:sz w:val="32"/>
          <w:szCs w:val="32"/>
        </w:rPr>
        <w:t>与采购代理机构和采购人的接触</w:t>
      </w:r>
      <w:bookmarkEnd w:id="213"/>
      <w:bookmarkEnd w:id="214"/>
      <w:bookmarkEnd w:id="215"/>
      <w:bookmarkEnd w:id="216"/>
      <w:bookmarkEnd w:id="217"/>
    </w:p>
    <w:p w14:paraId="1CA456A9">
      <w:pPr>
        <w:numPr>
          <w:ilvl w:val="1"/>
          <w:numId w:val="3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除本须知规定外，从开标之日起至授予合同期间，投标人不得就与其投标有关的事项与采购代理机构、采购人和评标小组接触。</w:t>
      </w:r>
    </w:p>
    <w:p w14:paraId="65302F9A">
      <w:pPr>
        <w:numPr>
          <w:ilvl w:val="1"/>
          <w:numId w:val="3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投标人试图对采购代理机构、采购人和评标小组的评标或授予合同的决定进行影响，都可能导致其投标被拒绝。</w:t>
      </w:r>
    </w:p>
    <w:p w14:paraId="543D7DD3">
      <w:pPr>
        <w:pStyle w:val="3"/>
        <w:spacing w:before="60" w:after="60" w:line="700" w:lineRule="exact"/>
        <w:ind w:left="420" w:hanging="420"/>
        <w:jc w:val="center"/>
        <w:rPr>
          <w:rFonts w:hint="eastAsia" w:ascii="Times New Roman" w:hAnsi="Times New Roman"/>
          <w:b w:val="0"/>
          <w:bCs w:val="0"/>
          <w:lang w:val="zh-CN"/>
        </w:rPr>
      </w:pPr>
      <w:bookmarkStart w:id="218" w:name="_Toc4267"/>
      <w:bookmarkStart w:id="219" w:name="_Toc55778715"/>
      <w:bookmarkStart w:id="220" w:name="_Toc8757"/>
      <w:r>
        <w:rPr>
          <w:rFonts w:hint="eastAsia" w:ascii="Times New Roman" w:hAnsi="Times New Roman"/>
          <w:b w:val="0"/>
          <w:bCs w:val="0"/>
          <w:lang w:val="zh-CN"/>
        </w:rPr>
        <w:t>六、质疑与投诉</w:t>
      </w:r>
      <w:bookmarkEnd w:id="218"/>
      <w:bookmarkEnd w:id="219"/>
      <w:bookmarkEnd w:id="220"/>
    </w:p>
    <w:p w14:paraId="795865F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21" w:name="_Toc28035"/>
      <w:bookmarkStart w:id="222" w:name="_Toc55778716"/>
      <w:r>
        <w:rPr>
          <w:rFonts w:hint="eastAsia" w:ascii="仿宋_GB2312" w:hAnsi="仿宋_GB2312" w:eastAsia="仿宋_GB2312" w:cs="仿宋_GB2312"/>
          <w:b/>
          <w:bCs/>
          <w:kern w:val="44"/>
          <w:sz w:val="32"/>
          <w:szCs w:val="32"/>
        </w:rPr>
        <w:t xml:space="preserve">    </w:t>
      </w:r>
      <w:bookmarkStart w:id="223" w:name="_Toc22749"/>
      <w:bookmarkStart w:id="224" w:name="_Toc26722"/>
      <w:bookmarkStart w:id="225" w:name="_Toc5828"/>
      <w:bookmarkStart w:id="226" w:name="_Toc6727"/>
      <w:r>
        <w:rPr>
          <w:rFonts w:hint="eastAsia" w:ascii="仿宋_GB2312" w:hAnsi="仿宋_GB2312" w:eastAsia="仿宋_GB2312" w:cs="仿宋_GB2312"/>
          <w:b/>
          <w:bCs/>
          <w:kern w:val="44"/>
          <w:sz w:val="32"/>
          <w:szCs w:val="32"/>
        </w:rPr>
        <w:t>询问</w:t>
      </w:r>
      <w:bookmarkEnd w:id="221"/>
      <w:bookmarkEnd w:id="222"/>
      <w:bookmarkEnd w:id="223"/>
      <w:bookmarkEnd w:id="224"/>
      <w:bookmarkEnd w:id="225"/>
      <w:bookmarkEnd w:id="226"/>
    </w:p>
    <w:p w14:paraId="448540A0">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14:paraId="0B8D01EB">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采用书面方式提出询问，投标人为自然人的，询问函应当由本人签字；投标人为法人或者其他组织的，应当由法定代表人、主要负责人或授权代表签字或者盖章，并加盖公章。投标人递交询问函时非法定代表人亲自办理的需提供法定代表人授权委托书（应载明授权代表的姓名或者名称、代理事项、具体权限、期限和相关事项）及授权代表身份证复印件。</w:t>
      </w:r>
    </w:p>
    <w:p w14:paraId="2919BDDD">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招标采购单位在三个工作日内对投标人依法提出的询问作出答复。</w:t>
      </w:r>
    </w:p>
    <w:p w14:paraId="2C2FA90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27" w:name="_Toc55778717"/>
      <w:bookmarkStart w:id="228" w:name="_Toc922"/>
      <w:r>
        <w:rPr>
          <w:rFonts w:hint="eastAsia" w:ascii="仿宋_GB2312" w:hAnsi="仿宋_GB2312" w:eastAsia="仿宋_GB2312" w:cs="仿宋_GB2312"/>
          <w:b/>
          <w:bCs/>
          <w:kern w:val="44"/>
          <w:sz w:val="32"/>
          <w:szCs w:val="32"/>
        </w:rPr>
        <w:t xml:space="preserve">    </w:t>
      </w:r>
      <w:bookmarkStart w:id="229" w:name="_Toc16083"/>
      <w:bookmarkStart w:id="230" w:name="_Toc9977"/>
      <w:bookmarkStart w:id="231" w:name="_Toc2109"/>
      <w:bookmarkStart w:id="232" w:name="_Toc31010"/>
      <w:r>
        <w:rPr>
          <w:rFonts w:hint="eastAsia" w:ascii="仿宋_GB2312" w:hAnsi="仿宋_GB2312" w:eastAsia="仿宋_GB2312" w:cs="仿宋_GB2312"/>
          <w:b/>
          <w:bCs/>
          <w:kern w:val="44"/>
          <w:sz w:val="32"/>
          <w:szCs w:val="32"/>
        </w:rPr>
        <w:t>质疑</w:t>
      </w:r>
      <w:bookmarkEnd w:id="227"/>
      <w:bookmarkEnd w:id="228"/>
      <w:bookmarkEnd w:id="229"/>
      <w:bookmarkEnd w:id="230"/>
      <w:bookmarkEnd w:id="231"/>
      <w:bookmarkEnd w:id="232"/>
    </w:p>
    <w:p w14:paraId="5CBA8B7F">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质疑期限</w:t>
      </w:r>
    </w:p>
    <w:p w14:paraId="30444147">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招标文件的内容损害其权益的，应在收到招标文件之日或者招标文件公告期届满之日起七个工作日内。（注：投标人获取招标文件之日早于招标文件公告期限届满之日的，则以投标人获取招标文件之日为质疑时效期间的起算日期；否则，以招标文件公告期限届满之日为质疑时效期间的起算日期）。</w:t>
      </w:r>
    </w:p>
    <w:p w14:paraId="0539B171">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投标人认为采购过程损害其权益的，应在各采购程序环节结束之日起七个工作日内。</w:t>
      </w:r>
    </w:p>
    <w:p w14:paraId="1D1C60C7">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投标人认为中标或者成交结果损害其权益的，应在中标或者成交结果公告期限届满之日起七个工作日内。</w:t>
      </w:r>
    </w:p>
    <w:p w14:paraId="024ED7FD">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提交的要求：</w:t>
      </w:r>
    </w:p>
    <w:p w14:paraId="4D123008">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以书面形式（加盖投标人公章，投标人以电话、传真或电邮形式提交的质疑属于无效质疑）向招标采购单位提出质疑。</w:t>
      </w:r>
    </w:p>
    <w:p w14:paraId="210191D5">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书内容：应包括具体的质疑项目的名称及编号、具体明确的质疑事项和与质疑事项相关的请求、事实依据、必要的法律依据、提出质疑的日期、投标人名称及地址、授权代表姓名及其联系电话、质疑时间投标人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14:paraId="627E5124">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投标人质疑应当有明确的请求和必要的证明材料，捏造事实、提供虚假材料或者以非法手段取得证明材料不能作为质疑的证明材料。</w:t>
      </w:r>
    </w:p>
    <w:p w14:paraId="6FA88F77">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质疑人进行质疑应当符合下列条件：</w:t>
      </w:r>
    </w:p>
    <w:p w14:paraId="7CF81EB5">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质疑人是参与所质疑政府采购项目的投标人；</w:t>
      </w:r>
    </w:p>
    <w:p w14:paraId="406521AF">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在质疑有效期内提起质疑；</w:t>
      </w:r>
    </w:p>
    <w:p w14:paraId="23B215CD">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法律法规规定的其他条件。</w:t>
      </w:r>
    </w:p>
    <w:p w14:paraId="18D0B6F5">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14:paraId="3AC6A9C9">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对于捏造事实、滥用维权扰乱采购秩序的恶意质疑者或举证不全查无实据被驳回次数在一年内达三次以上，将纳入不良行为记录名单并承担相应的法律责任。</w:t>
      </w:r>
    </w:p>
    <w:p w14:paraId="7251D65F">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质疑联系方式：</w:t>
      </w:r>
    </w:p>
    <w:p w14:paraId="6ACA3081">
      <w:pPr>
        <w:spacing w:line="500" w:lineRule="exact"/>
        <w:ind w:left="899" w:leftChars="4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采购代理机构：新疆金斌工程项目管理有限公司</w:t>
      </w:r>
    </w:p>
    <w:p w14:paraId="56DF0D86">
      <w:pPr>
        <w:spacing w:line="5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联系人：黄新新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电话：13201118511</w:t>
      </w:r>
    </w:p>
    <w:p w14:paraId="723100BC">
      <w:pPr>
        <w:spacing w:line="500" w:lineRule="exact"/>
        <w:ind w:left="5118" w:leftChars="456" w:hanging="4160" w:hanging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邮编：835000        地址：</w:t>
      </w:r>
      <w:r>
        <w:rPr>
          <w:rFonts w:hint="eastAsia" w:ascii="仿宋_GB2312" w:hAnsi="仿宋_GB2312" w:eastAsia="仿宋_GB2312" w:cs="仿宋_GB2312"/>
          <w:color w:val="000000"/>
          <w:sz w:val="32"/>
          <w:szCs w:val="32"/>
          <w:lang w:val="zh-CN"/>
        </w:rPr>
        <w:t>伊宁市开发区河北路福安国际1号商业楼413室</w:t>
      </w:r>
    </w:p>
    <w:p w14:paraId="49123F31">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质疑函格式 </w:t>
      </w:r>
    </w:p>
    <w:p w14:paraId="62613DC2">
      <w:pPr>
        <w:pStyle w:val="4"/>
        <w:spacing w:line="500" w:lineRule="exact"/>
        <w:rPr>
          <w:rFonts w:hint="eastAsia" w:ascii="仿宋_GB2312" w:hAnsi="仿宋_GB2312" w:eastAsia="仿宋_GB2312" w:cs="仿宋_GB2312"/>
          <w:sz w:val="32"/>
          <w:szCs w:val="32"/>
        </w:rPr>
      </w:pPr>
    </w:p>
    <w:p w14:paraId="73055037">
      <w:pPr>
        <w:widowControl/>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质疑函范本</w:t>
      </w:r>
    </w:p>
    <w:p w14:paraId="2BDA668F">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一、质疑投标人基本信息</w:t>
      </w:r>
    </w:p>
    <w:p w14:paraId="7C44A46A">
      <w:pPr>
        <w:adjustRightInd w:val="0"/>
        <w:snapToGrid w:val="0"/>
        <w:spacing w:line="500" w:lineRule="exact"/>
        <w:rPr>
          <w:rFonts w:hint="eastAsia" w:ascii="仿宋_GB2312" w:hAnsi="仿宋_GB2312" w:eastAsia="仿宋_GB2312" w:cs="仿宋_GB2312"/>
          <w:sz w:val="32"/>
          <w:szCs w:val="32"/>
          <w:u w:val="dotted"/>
        </w:rPr>
      </w:pPr>
      <w:r>
        <w:rPr>
          <w:rFonts w:hint="eastAsia" w:ascii="仿宋_GB2312" w:hAnsi="仿宋_GB2312" w:eastAsia="仿宋_GB2312" w:cs="仿宋_GB2312"/>
          <w:sz w:val="32"/>
          <w:szCs w:val="32"/>
        </w:rPr>
        <w:t>质疑投标人：</w:t>
      </w:r>
      <w:r>
        <w:rPr>
          <w:rFonts w:hint="eastAsia" w:ascii="仿宋_GB2312" w:hAnsi="仿宋_GB2312" w:eastAsia="仿宋_GB2312" w:cs="仿宋_GB2312"/>
          <w:sz w:val="32"/>
          <w:szCs w:val="32"/>
          <w:u w:val="single"/>
        </w:rPr>
        <w:t xml:space="preserve">                                        </w:t>
      </w:r>
    </w:p>
    <w:p w14:paraId="3F17F638">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                          邮编：                                                   </w:t>
      </w:r>
    </w:p>
    <w:p w14:paraId="0B278511">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联系电话：                              </w:t>
      </w:r>
    </w:p>
    <w:p w14:paraId="08EEB83F">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                                          </w:t>
      </w:r>
    </w:p>
    <w:p w14:paraId="5D5BB88F">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14:paraId="1F911AD8">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                         邮编：                                                </w:t>
      </w:r>
    </w:p>
    <w:p w14:paraId="44852E0F">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二、质疑项目基本情况</w:t>
      </w:r>
    </w:p>
    <w:p w14:paraId="1CA4642F">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质疑项目的名称：                                      </w:t>
      </w:r>
    </w:p>
    <w:p w14:paraId="46944654">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质疑项目的编号：               包号：</w:t>
      </w:r>
      <w:r>
        <w:rPr>
          <w:rFonts w:hint="eastAsia" w:ascii="仿宋_GB2312" w:hAnsi="仿宋_GB2312" w:eastAsia="仿宋_GB2312" w:cs="仿宋_GB2312"/>
          <w:sz w:val="32"/>
          <w:szCs w:val="32"/>
          <w:u w:val="single"/>
        </w:rPr>
        <w:t xml:space="preserve">                 </w:t>
      </w:r>
    </w:p>
    <w:p w14:paraId="6139E2BA">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采购人名称：</w:t>
      </w:r>
      <w:r>
        <w:rPr>
          <w:rFonts w:hint="eastAsia" w:ascii="仿宋_GB2312" w:hAnsi="仿宋_GB2312" w:eastAsia="仿宋_GB2312" w:cs="仿宋_GB2312"/>
          <w:sz w:val="32"/>
          <w:szCs w:val="32"/>
          <w:u w:val="single"/>
        </w:rPr>
        <w:t xml:space="preserve">                                         </w:t>
      </w:r>
    </w:p>
    <w:p w14:paraId="1B2C342D">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招标文件获取日期：</w:t>
      </w:r>
      <w:r>
        <w:rPr>
          <w:rFonts w:hint="eastAsia" w:ascii="仿宋_GB2312" w:hAnsi="仿宋_GB2312" w:eastAsia="仿宋_GB2312" w:cs="仿宋_GB2312"/>
          <w:sz w:val="32"/>
          <w:szCs w:val="32"/>
          <w:u w:val="single"/>
        </w:rPr>
        <w:t xml:space="preserve">                                           </w:t>
      </w:r>
    </w:p>
    <w:p w14:paraId="211AC0C7">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三、质疑事项具体内容</w:t>
      </w:r>
    </w:p>
    <w:p w14:paraId="11A6FDD8">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质疑事项1：</w:t>
      </w:r>
      <w:r>
        <w:rPr>
          <w:rFonts w:hint="eastAsia" w:ascii="仿宋_GB2312" w:hAnsi="仿宋_GB2312" w:eastAsia="仿宋_GB2312" w:cs="仿宋_GB2312"/>
          <w:sz w:val="32"/>
          <w:szCs w:val="32"/>
          <w:u w:val="single"/>
        </w:rPr>
        <w:t xml:space="preserve">                                         </w:t>
      </w:r>
    </w:p>
    <w:p w14:paraId="22CEA69A">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事实依据：</w:t>
      </w:r>
      <w:r>
        <w:rPr>
          <w:rFonts w:hint="eastAsia" w:ascii="仿宋_GB2312" w:hAnsi="仿宋_GB2312" w:eastAsia="仿宋_GB2312" w:cs="仿宋_GB2312"/>
          <w:sz w:val="32"/>
          <w:szCs w:val="32"/>
          <w:u w:val="single"/>
        </w:rPr>
        <w:t xml:space="preserve">                                                                                               </w:t>
      </w:r>
    </w:p>
    <w:p w14:paraId="617D2B88">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法律依据：</w:t>
      </w:r>
      <w:r>
        <w:rPr>
          <w:rFonts w:hint="eastAsia" w:ascii="仿宋_GB2312" w:hAnsi="仿宋_GB2312" w:eastAsia="仿宋_GB2312" w:cs="仿宋_GB2312"/>
          <w:sz w:val="32"/>
          <w:szCs w:val="32"/>
          <w:u w:val="single"/>
        </w:rPr>
        <w:t xml:space="preserve">                                                                                           </w:t>
      </w:r>
    </w:p>
    <w:p w14:paraId="72142DEE">
      <w:pPr>
        <w:adjustRightInd w:val="0"/>
        <w:snapToGrid w:val="0"/>
        <w:spacing w:line="500" w:lineRule="exact"/>
        <w:rPr>
          <w:rFonts w:hint="eastAsia" w:ascii="仿宋_GB2312" w:hAnsi="仿宋_GB2312" w:eastAsia="仿宋_GB2312" w:cs="仿宋_GB2312"/>
          <w:sz w:val="32"/>
          <w:szCs w:val="32"/>
          <w:u w:val="dotted"/>
        </w:rPr>
      </w:pPr>
      <w:r>
        <w:rPr>
          <w:rFonts w:hint="eastAsia" w:ascii="仿宋_GB2312" w:hAnsi="仿宋_GB2312" w:eastAsia="仿宋_GB2312" w:cs="仿宋_GB2312"/>
          <w:sz w:val="32"/>
          <w:szCs w:val="32"/>
        </w:rPr>
        <w:t>质疑事项2</w:t>
      </w:r>
    </w:p>
    <w:p w14:paraId="4517896B">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 xml:space="preserve"> </w:t>
      </w:r>
    </w:p>
    <w:p w14:paraId="2BDD6612">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四、与质疑事项相关的质疑请求 </w:t>
      </w:r>
    </w:p>
    <w:p w14:paraId="4390DF10">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请求：</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p>
    <w:p w14:paraId="4621C0ED">
      <w:pPr>
        <w:widowControl/>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4EF8EDA9">
      <w:pPr>
        <w:widowControl/>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p w14:paraId="1C5895FF">
      <w:pPr>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地址/邮编：</w:t>
      </w:r>
    </w:p>
    <w:p w14:paraId="3DB1B30F">
      <w:pPr>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电话/传真：</w:t>
      </w:r>
    </w:p>
    <w:p w14:paraId="4426B149">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r>
        <w:rPr>
          <w:rFonts w:hint="eastAsia" w:ascii="仿宋_GB2312" w:hAnsi="仿宋_GB2312" w:eastAsia="仿宋_GB2312" w:cs="仿宋_GB2312"/>
          <w:kern w:val="0"/>
          <w:sz w:val="32"/>
          <w:szCs w:val="32"/>
        </w:rPr>
        <w:t xml:space="preserve"> </w:t>
      </w:r>
    </w:p>
    <w:p w14:paraId="01AFDA5E">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随附相关证明材料如下</w:t>
      </w:r>
      <w:r>
        <w:rPr>
          <w:rFonts w:hint="eastAsia" w:ascii="仿宋_GB2312" w:hAnsi="仿宋_GB2312" w:eastAsia="仿宋_GB2312" w:cs="仿宋_GB2312"/>
          <w:kern w:val="0"/>
          <w:sz w:val="32"/>
          <w:szCs w:val="32"/>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14:paraId="625F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7" w:type="dxa"/>
            <w:noWrap w:val="0"/>
            <w:vAlign w:val="top"/>
          </w:tcPr>
          <w:p w14:paraId="16C7E2BF">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序号</w:t>
            </w:r>
          </w:p>
        </w:tc>
        <w:tc>
          <w:tcPr>
            <w:tcW w:w="3105" w:type="dxa"/>
            <w:noWrap w:val="0"/>
            <w:vAlign w:val="top"/>
          </w:tcPr>
          <w:p w14:paraId="1E913EE1">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证明材料名称</w:t>
            </w:r>
          </w:p>
        </w:tc>
        <w:tc>
          <w:tcPr>
            <w:tcW w:w="2325" w:type="dxa"/>
            <w:noWrap w:val="0"/>
            <w:vAlign w:val="top"/>
          </w:tcPr>
          <w:p w14:paraId="1911A725">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证明材料来源</w:t>
            </w:r>
          </w:p>
        </w:tc>
        <w:tc>
          <w:tcPr>
            <w:tcW w:w="1935" w:type="dxa"/>
            <w:noWrap w:val="0"/>
            <w:vAlign w:val="top"/>
          </w:tcPr>
          <w:p w14:paraId="14711C04">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证明对象</w:t>
            </w:r>
          </w:p>
        </w:tc>
      </w:tr>
      <w:tr w14:paraId="2891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1AD3B54B">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w:t>
            </w:r>
          </w:p>
        </w:tc>
        <w:tc>
          <w:tcPr>
            <w:tcW w:w="3105" w:type="dxa"/>
            <w:noWrap w:val="0"/>
            <w:vAlign w:val="top"/>
          </w:tcPr>
          <w:p w14:paraId="27FCF6C1">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0C3EA037">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2EBCD843">
            <w:pPr>
              <w:widowControl/>
              <w:spacing w:line="500" w:lineRule="exact"/>
              <w:jc w:val="left"/>
              <w:rPr>
                <w:rFonts w:hint="eastAsia" w:ascii="仿宋_GB2312" w:hAnsi="仿宋_GB2312" w:eastAsia="仿宋_GB2312" w:cs="仿宋_GB2312"/>
                <w:b/>
                <w:kern w:val="0"/>
                <w:sz w:val="32"/>
                <w:szCs w:val="32"/>
              </w:rPr>
            </w:pPr>
          </w:p>
        </w:tc>
      </w:tr>
      <w:tr w14:paraId="0BF6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47AA8A9B">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w:t>
            </w:r>
          </w:p>
        </w:tc>
        <w:tc>
          <w:tcPr>
            <w:tcW w:w="3105" w:type="dxa"/>
            <w:noWrap w:val="0"/>
            <w:vAlign w:val="top"/>
          </w:tcPr>
          <w:p w14:paraId="00F95336">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65B3A09D">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7345D9B7">
            <w:pPr>
              <w:widowControl/>
              <w:spacing w:line="500" w:lineRule="exact"/>
              <w:jc w:val="left"/>
              <w:rPr>
                <w:rFonts w:hint="eastAsia" w:ascii="仿宋_GB2312" w:hAnsi="仿宋_GB2312" w:eastAsia="仿宋_GB2312" w:cs="仿宋_GB2312"/>
                <w:b/>
                <w:kern w:val="0"/>
                <w:sz w:val="32"/>
                <w:szCs w:val="32"/>
              </w:rPr>
            </w:pPr>
          </w:p>
        </w:tc>
      </w:tr>
      <w:tr w14:paraId="3C49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26282FC6">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w:t>
            </w:r>
          </w:p>
        </w:tc>
        <w:tc>
          <w:tcPr>
            <w:tcW w:w="3105" w:type="dxa"/>
            <w:noWrap w:val="0"/>
            <w:vAlign w:val="top"/>
          </w:tcPr>
          <w:p w14:paraId="1E0FBCA2">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1520AFF6">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45030663">
            <w:pPr>
              <w:widowControl/>
              <w:spacing w:line="500" w:lineRule="exact"/>
              <w:jc w:val="left"/>
              <w:rPr>
                <w:rFonts w:hint="eastAsia" w:ascii="仿宋_GB2312" w:hAnsi="仿宋_GB2312" w:eastAsia="仿宋_GB2312" w:cs="仿宋_GB2312"/>
                <w:b/>
                <w:kern w:val="0"/>
                <w:sz w:val="32"/>
                <w:szCs w:val="32"/>
              </w:rPr>
            </w:pPr>
          </w:p>
        </w:tc>
      </w:tr>
    </w:tbl>
    <w:p w14:paraId="0A6D475B">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 xml:space="preserve">质疑函制作说明： </w:t>
      </w:r>
    </w:p>
    <w:p w14:paraId="23F3B22B">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1.投标人提出质疑时，应提交质疑函和必要的证明材料。 </w:t>
      </w:r>
    </w:p>
    <w:p w14:paraId="19482799">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质疑投标人若委托代理人进行质疑的，质疑函应按要求列明“授权代表”的有关内容，并在附件中提交由质疑投标人签署的授权委托书。授权委托书应载明代理人的姓名或者名称、代理事项、具体权限、期限和相关事项。 </w:t>
      </w:r>
    </w:p>
    <w:p w14:paraId="72F27684">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3.质疑投标人若对项目的某一分包进行质疑，质疑函中应列明具体分包号。 </w:t>
      </w:r>
    </w:p>
    <w:p w14:paraId="2ABD8751">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4.质疑函的质疑事项应具体、明确，并有必要的事实依据和法律依据。 </w:t>
      </w:r>
    </w:p>
    <w:p w14:paraId="576FD4D8">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5.质疑函的质疑请求应与质疑事项相关。 </w:t>
      </w:r>
    </w:p>
    <w:p w14:paraId="73D8C9E9">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6.质疑投标人为自然人的，质疑函应由本人签字；质疑投标人为法人或者其他组织的，质疑函应由法定代表人、主要负责人，或者其授权代表签字或者盖章，并加盖公章。 </w:t>
      </w:r>
    </w:p>
    <w:p w14:paraId="154C450E">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 投标人应在提交的证明材料中对质疑点的内容作出相应的标识或以醒目的方式标明。</w:t>
      </w:r>
    </w:p>
    <w:p w14:paraId="009DE28B">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33" w:name="_Toc11190"/>
      <w:bookmarkStart w:id="234" w:name="_Toc3059"/>
      <w:bookmarkStart w:id="235" w:name="_Toc13170"/>
      <w:bookmarkStart w:id="236" w:name="_Toc2395"/>
      <w:bookmarkStart w:id="237" w:name="_Toc7547"/>
      <w:bookmarkStart w:id="238" w:name="_Toc55778718"/>
      <w:r>
        <w:rPr>
          <w:rFonts w:hint="eastAsia" w:ascii="仿宋_GB2312" w:hAnsi="仿宋_GB2312" w:eastAsia="仿宋_GB2312" w:cs="仿宋_GB2312"/>
          <w:b/>
          <w:bCs/>
          <w:kern w:val="44"/>
          <w:sz w:val="32"/>
          <w:szCs w:val="32"/>
        </w:rPr>
        <w:t>投诉</w:t>
      </w:r>
      <w:bookmarkEnd w:id="233"/>
      <w:bookmarkEnd w:id="234"/>
      <w:bookmarkEnd w:id="235"/>
      <w:bookmarkEnd w:id="236"/>
      <w:bookmarkEnd w:id="237"/>
      <w:bookmarkEnd w:id="238"/>
    </w:p>
    <w:p w14:paraId="4502403C">
      <w:pPr>
        <w:numPr>
          <w:ilvl w:val="1"/>
          <w:numId w:val="4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投标投标人对采购代理机构和采购人的质疑答复不满意或在规定时间内未得到答复的，可以在答复期满后15个工作日内，向政府采购监督管理机构投诉。</w:t>
      </w:r>
    </w:p>
    <w:p w14:paraId="4C7AED98">
      <w:pPr>
        <w:numPr>
          <w:ilvl w:val="1"/>
          <w:numId w:val="4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政府采购监督管理机构联系方式：</w:t>
      </w:r>
    </w:p>
    <w:p w14:paraId="0EE2ECA4">
      <w:pPr>
        <w:numPr>
          <w:ilvl w:val="1"/>
          <w:numId w:val="44"/>
        </w:numPr>
        <w:spacing w:line="500" w:lineRule="exact"/>
        <w:ind w:left="907" w:hanging="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政府采购监督管理机构名称：</w:t>
      </w:r>
      <w:bookmarkStart w:id="239" w:name="_Toc55778719"/>
      <w:bookmarkStart w:id="240" w:name="_Toc11991"/>
      <w:r>
        <w:rPr>
          <w:rFonts w:hint="eastAsia" w:ascii="仿宋_GB2312" w:hAnsi="仿宋_GB2312" w:eastAsia="仿宋_GB2312" w:cs="仿宋_GB2312"/>
          <w:sz w:val="32"/>
          <w:szCs w:val="32"/>
        </w:rPr>
        <w:t>自治区财政厅政府采购管理处</w:t>
      </w:r>
    </w:p>
    <w:p w14:paraId="4F4E9094">
      <w:pPr>
        <w:numPr>
          <w:ilvl w:val="0"/>
          <w:numId w:val="0"/>
        </w:numPr>
        <w:spacing w:line="500" w:lineRule="exact"/>
        <w:ind w:leftChars="0"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联系方式：0991-2359482</w:t>
      </w:r>
    </w:p>
    <w:p w14:paraId="7668E6E2">
      <w:pPr>
        <w:pStyle w:val="3"/>
        <w:spacing w:before="60" w:after="60" w:line="700" w:lineRule="exact"/>
        <w:ind w:left="420" w:hanging="420"/>
        <w:jc w:val="center"/>
        <w:rPr>
          <w:rFonts w:hint="eastAsia" w:ascii="Times New Roman" w:hAnsi="Times New Roman"/>
          <w:b w:val="0"/>
          <w:bCs w:val="0"/>
          <w:lang w:val="zh-CN"/>
        </w:rPr>
      </w:pPr>
      <w:bookmarkStart w:id="241" w:name="_Toc21033"/>
      <w:r>
        <w:rPr>
          <w:rFonts w:hint="eastAsia" w:ascii="Times New Roman" w:hAnsi="Times New Roman"/>
          <w:b w:val="0"/>
          <w:bCs w:val="0"/>
          <w:lang w:val="zh-CN"/>
        </w:rPr>
        <w:t>七、授予合同</w:t>
      </w:r>
      <w:bookmarkEnd w:id="239"/>
      <w:bookmarkEnd w:id="240"/>
      <w:bookmarkEnd w:id="241"/>
    </w:p>
    <w:p w14:paraId="71205D57">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42" w:name="_Toc17273"/>
      <w:bookmarkStart w:id="243" w:name="_Toc55778720"/>
      <w:r>
        <w:rPr>
          <w:rFonts w:hint="eastAsia" w:ascii="仿宋_GB2312" w:hAnsi="仿宋_GB2312" w:eastAsia="仿宋_GB2312" w:cs="仿宋_GB2312"/>
          <w:b/>
          <w:bCs/>
          <w:kern w:val="44"/>
          <w:sz w:val="32"/>
          <w:szCs w:val="32"/>
        </w:rPr>
        <w:t xml:space="preserve">    </w:t>
      </w:r>
      <w:bookmarkStart w:id="244" w:name="_Toc32369"/>
      <w:bookmarkStart w:id="245" w:name="_Toc28231"/>
      <w:bookmarkStart w:id="246" w:name="_Toc27860"/>
      <w:bookmarkStart w:id="247" w:name="_Toc30579"/>
      <w:r>
        <w:rPr>
          <w:rFonts w:hint="eastAsia" w:ascii="仿宋_GB2312" w:hAnsi="仿宋_GB2312" w:eastAsia="仿宋_GB2312" w:cs="仿宋_GB2312"/>
          <w:b/>
          <w:bCs/>
          <w:kern w:val="44"/>
          <w:sz w:val="32"/>
          <w:szCs w:val="32"/>
        </w:rPr>
        <w:t>确定中标</w:t>
      </w:r>
      <w:bookmarkEnd w:id="242"/>
      <w:r>
        <w:rPr>
          <w:rFonts w:hint="eastAsia" w:ascii="仿宋_GB2312" w:hAnsi="仿宋_GB2312" w:eastAsia="仿宋_GB2312" w:cs="仿宋_GB2312"/>
          <w:b/>
          <w:bCs/>
          <w:kern w:val="44"/>
          <w:sz w:val="32"/>
          <w:szCs w:val="32"/>
        </w:rPr>
        <w:t>人</w:t>
      </w:r>
      <w:bookmarkEnd w:id="243"/>
      <w:bookmarkEnd w:id="244"/>
      <w:bookmarkEnd w:id="245"/>
      <w:bookmarkEnd w:id="246"/>
      <w:bookmarkEnd w:id="247"/>
    </w:p>
    <w:p w14:paraId="19F63456">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评标小组按照招标文件确定的评标方法、步骤、标准，对投标文件进行评审，提出书面评标报告，按照综合评分得分由高到低的顺序推荐一到三名中标候选人名单。</w:t>
      </w:r>
    </w:p>
    <w:p w14:paraId="5A8F1BD2">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采购人在收到评标报告后的法定时间内，按照评标报告中推荐的中标候选人顺序确定中标人。</w:t>
      </w:r>
    </w:p>
    <w:p w14:paraId="37CD63C3">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中标投标人放弃中标或者中标资格被依法确认无效的，采购人可以按照排序从其他中标候选投标人中确定中标投标人或重新组织招标活动。</w:t>
      </w:r>
    </w:p>
    <w:p w14:paraId="6572726D">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48" w:name="_Toc55778721"/>
      <w:bookmarkStart w:id="249" w:name="_Toc14943"/>
      <w:bookmarkStart w:id="250" w:name="_Ref179619923"/>
      <w:r>
        <w:rPr>
          <w:rFonts w:hint="eastAsia" w:ascii="仿宋_GB2312" w:hAnsi="仿宋_GB2312" w:eastAsia="仿宋_GB2312" w:cs="仿宋_GB2312"/>
          <w:b/>
          <w:bCs/>
          <w:kern w:val="44"/>
          <w:sz w:val="32"/>
          <w:szCs w:val="32"/>
        </w:rPr>
        <w:t xml:space="preserve">    </w:t>
      </w:r>
      <w:bookmarkStart w:id="251" w:name="_Toc7161"/>
      <w:bookmarkStart w:id="252" w:name="_Toc19166"/>
      <w:bookmarkStart w:id="253" w:name="_Toc17309"/>
      <w:bookmarkStart w:id="254" w:name="_Toc29372"/>
      <w:r>
        <w:rPr>
          <w:rFonts w:hint="eastAsia" w:ascii="仿宋_GB2312" w:hAnsi="仿宋_GB2312" w:eastAsia="仿宋_GB2312" w:cs="仿宋_GB2312"/>
          <w:b/>
          <w:bCs/>
          <w:kern w:val="44"/>
          <w:sz w:val="32"/>
          <w:szCs w:val="32"/>
        </w:rPr>
        <w:t>接受和拒绝任何或所有投标的权力</w:t>
      </w:r>
      <w:bookmarkEnd w:id="248"/>
      <w:bookmarkEnd w:id="249"/>
      <w:bookmarkEnd w:id="250"/>
      <w:bookmarkEnd w:id="251"/>
      <w:bookmarkEnd w:id="252"/>
      <w:bookmarkEnd w:id="253"/>
      <w:bookmarkEnd w:id="254"/>
    </w:p>
    <w:p w14:paraId="42719936">
      <w:pPr>
        <w:numPr>
          <w:ilvl w:val="1"/>
          <w:numId w:val="4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14:paraId="50B820A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55" w:name="_Toc55778722"/>
      <w:bookmarkStart w:id="256" w:name="_Toc19068"/>
      <w:r>
        <w:rPr>
          <w:rFonts w:hint="eastAsia" w:ascii="仿宋_GB2312" w:hAnsi="仿宋_GB2312" w:eastAsia="仿宋_GB2312" w:cs="仿宋_GB2312"/>
          <w:b/>
          <w:bCs/>
          <w:kern w:val="44"/>
          <w:sz w:val="32"/>
          <w:szCs w:val="32"/>
        </w:rPr>
        <w:t xml:space="preserve">    </w:t>
      </w:r>
      <w:bookmarkStart w:id="257" w:name="_Toc26407"/>
      <w:bookmarkStart w:id="258" w:name="_Toc8040"/>
      <w:bookmarkStart w:id="259" w:name="_Toc444"/>
      <w:bookmarkStart w:id="260" w:name="_Toc9402"/>
      <w:r>
        <w:rPr>
          <w:rFonts w:hint="eastAsia" w:ascii="仿宋_GB2312" w:hAnsi="仿宋_GB2312" w:eastAsia="仿宋_GB2312" w:cs="仿宋_GB2312"/>
          <w:b/>
          <w:bCs/>
          <w:kern w:val="44"/>
          <w:sz w:val="32"/>
          <w:szCs w:val="32"/>
        </w:rPr>
        <w:t>成交通知书</w:t>
      </w:r>
      <w:bookmarkEnd w:id="255"/>
      <w:bookmarkEnd w:id="256"/>
      <w:bookmarkEnd w:id="257"/>
      <w:bookmarkEnd w:id="258"/>
      <w:bookmarkEnd w:id="259"/>
      <w:bookmarkEnd w:id="260"/>
    </w:p>
    <w:p w14:paraId="6583B856">
      <w:pPr>
        <w:numPr>
          <w:ilvl w:val="1"/>
          <w:numId w:val="4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中标人确定后，采购代理机构按本须知规定网站发布中标公告，并同时向中标人发出《成交通知书》。</w:t>
      </w:r>
    </w:p>
    <w:p w14:paraId="789EC3E8">
      <w:pPr>
        <w:numPr>
          <w:ilvl w:val="1"/>
          <w:numId w:val="4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《成交通知书》是合同的一个组成部分。</w:t>
      </w:r>
    </w:p>
    <w:p w14:paraId="01CC3D17">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61" w:name="_Toc55778723"/>
      <w:bookmarkStart w:id="262" w:name="_Toc16935"/>
      <w:r>
        <w:rPr>
          <w:rFonts w:hint="eastAsia" w:ascii="仿宋_GB2312" w:hAnsi="仿宋_GB2312" w:eastAsia="仿宋_GB2312" w:cs="仿宋_GB2312"/>
          <w:b/>
          <w:bCs/>
          <w:kern w:val="44"/>
          <w:sz w:val="32"/>
          <w:szCs w:val="32"/>
        </w:rPr>
        <w:t xml:space="preserve">    </w:t>
      </w:r>
      <w:bookmarkStart w:id="263" w:name="_Toc18897"/>
      <w:bookmarkStart w:id="264" w:name="_Toc14729"/>
      <w:bookmarkStart w:id="265" w:name="_Toc22710"/>
      <w:bookmarkStart w:id="266" w:name="_Toc7012"/>
      <w:r>
        <w:rPr>
          <w:rFonts w:hint="eastAsia" w:ascii="仿宋_GB2312" w:hAnsi="仿宋_GB2312" w:eastAsia="仿宋_GB2312" w:cs="仿宋_GB2312"/>
          <w:b/>
          <w:bCs/>
          <w:kern w:val="44"/>
          <w:sz w:val="32"/>
          <w:szCs w:val="32"/>
        </w:rPr>
        <w:t>合同的订立</w:t>
      </w:r>
      <w:bookmarkEnd w:id="261"/>
      <w:bookmarkEnd w:id="262"/>
      <w:bookmarkEnd w:id="263"/>
      <w:bookmarkEnd w:id="264"/>
      <w:bookmarkEnd w:id="265"/>
      <w:bookmarkEnd w:id="266"/>
    </w:p>
    <w:p w14:paraId="2AE7C1C9">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与中标投标人自成交通知书发出之日起三十日内，按招标文件要求和中标投标人投标文件承诺签订政府采购合同，但不得超出招标文件和中标投标人投标文件的范围、也不得再行订立背离合同实质性内容的其他协议。</w:t>
      </w:r>
    </w:p>
    <w:p w14:paraId="68DB75FE">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招标文件、中标人的投标文件及其澄清文件等，均为签订合同的依据。</w:t>
      </w:r>
    </w:p>
    <w:p w14:paraId="4C7685A5">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签订政府采购合同后7个工作日内，采购人应将合同副本报同级政府采购监督管理部门和有关部门备案，采购人应在政府采购合同签订之日起2个工作日内在新疆政府采购网http://www.ccgp-xinjiang.gov.cn/上公告。</w:t>
      </w:r>
    </w:p>
    <w:p w14:paraId="37033AC0">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67" w:name="_Toc4044"/>
      <w:bookmarkStart w:id="268" w:name="_Toc55778724"/>
      <w:r>
        <w:rPr>
          <w:rFonts w:hint="eastAsia" w:ascii="仿宋_GB2312" w:hAnsi="仿宋_GB2312" w:eastAsia="仿宋_GB2312" w:cs="仿宋_GB2312"/>
          <w:b/>
          <w:bCs/>
          <w:kern w:val="44"/>
          <w:sz w:val="32"/>
          <w:szCs w:val="32"/>
        </w:rPr>
        <w:t xml:space="preserve">   </w:t>
      </w:r>
      <w:bookmarkStart w:id="269" w:name="_Toc9738"/>
      <w:bookmarkStart w:id="270" w:name="_Toc7064"/>
      <w:bookmarkStart w:id="271" w:name="_Toc19474"/>
      <w:bookmarkStart w:id="272" w:name="_Toc1719"/>
      <w:r>
        <w:rPr>
          <w:rFonts w:hint="eastAsia" w:ascii="仿宋_GB2312" w:hAnsi="仿宋_GB2312" w:eastAsia="仿宋_GB2312" w:cs="仿宋_GB2312"/>
          <w:b/>
          <w:bCs/>
          <w:kern w:val="44"/>
          <w:sz w:val="32"/>
          <w:szCs w:val="32"/>
        </w:rPr>
        <w:t>合同的履行</w:t>
      </w:r>
      <w:bookmarkEnd w:id="267"/>
      <w:bookmarkEnd w:id="268"/>
      <w:bookmarkEnd w:id="269"/>
      <w:bookmarkEnd w:id="270"/>
      <w:bookmarkEnd w:id="271"/>
      <w:bookmarkEnd w:id="272"/>
    </w:p>
    <w:p w14:paraId="0E9EE23F">
      <w:pPr>
        <w:numPr>
          <w:ilvl w:val="1"/>
          <w:numId w:val="4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F02594B">
      <w:pPr>
        <w:numPr>
          <w:ilvl w:val="1"/>
          <w:numId w:val="4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14:paraId="3D79E29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sz w:val="32"/>
          <w:szCs w:val="32"/>
        </w:rPr>
      </w:pPr>
      <w:bookmarkStart w:id="273" w:name="_Toc55778726"/>
      <w:r>
        <w:rPr>
          <w:rFonts w:hint="eastAsia" w:ascii="仿宋_GB2312" w:hAnsi="仿宋_GB2312" w:eastAsia="仿宋_GB2312" w:cs="仿宋_GB2312"/>
          <w:b/>
          <w:bCs/>
          <w:kern w:val="44"/>
          <w:sz w:val="32"/>
          <w:szCs w:val="32"/>
        </w:rPr>
        <w:t xml:space="preserve">   </w:t>
      </w:r>
      <w:bookmarkStart w:id="274" w:name="_Toc12016"/>
      <w:bookmarkStart w:id="275" w:name="_Toc18199"/>
      <w:bookmarkStart w:id="276" w:name="_Toc23462"/>
      <w:bookmarkStart w:id="277" w:name="_Toc28418"/>
      <w:r>
        <w:rPr>
          <w:rFonts w:hint="eastAsia" w:ascii="仿宋_GB2312" w:hAnsi="仿宋_GB2312" w:eastAsia="仿宋_GB2312" w:cs="仿宋_GB2312"/>
          <w:b/>
          <w:bCs/>
          <w:kern w:val="44"/>
          <w:sz w:val="32"/>
          <w:szCs w:val="32"/>
        </w:rPr>
        <w:t>采购代理服务费</w:t>
      </w:r>
      <w:bookmarkEnd w:id="273"/>
      <w:bookmarkEnd w:id="274"/>
      <w:bookmarkEnd w:id="275"/>
      <w:bookmarkEnd w:id="276"/>
      <w:bookmarkEnd w:id="277"/>
      <w:bookmarkStart w:id="278" w:name="_Toc55778727"/>
      <w:bookmarkStart w:id="279" w:name="_Toc18355"/>
    </w:p>
    <w:p w14:paraId="6338C196">
      <w:pPr>
        <w:spacing w:before="24" w:line="500" w:lineRule="exact"/>
        <w:ind w:left="33"/>
        <w:rPr>
          <w:rFonts w:hint="eastAsia" w:ascii="仿宋_GB2312" w:hAnsi="仿宋_GB2312" w:eastAsia="仿宋_GB2312" w:cs="仿宋_GB2312"/>
          <w:sz w:val="32"/>
          <w:szCs w:val="32"/>
        </w:rPr>
      </w:pPr>
      <w:r>
        <w:rPr>
          <w:rFonts w:hint="eastAsia" w:ascii="仿宋_GB2312" w:hAnsi="仿宋_GB2312" w:eastAsia="仿宋_GB2312" w:cs="仿宋_GB2312"/>
          <w:b/>
          <w:bCs/>
          <w:kern w:val="44"/>
          <w:sz w:val="32"/>
          <w:szCs w:val="32"/>
        </w:rPr>
        <w:tab/>
      </w:r>
      <w:r>
        <w:rPr>
          <w:rFonts w:hint="eastAsia" w:ascii="仿宋_GB2312" w:hAnsi="仿宋_GB2312" w:eastAsia="仿宋_GB2312" w:cs="仿宋_GB2312"/>
          <w:sz w:val="32"/>
          <w:szCs w:val="32"/>
        </w:rPr>
        <w:t>招标代理服务费：中标人应按本招标文件的规定，在《成交通知书》核发时至核发后 3 天内，向采购代理机构支付中标服务费。其计算标准和方法按照下列表格差额定率累进法计算后下浮30%。代理服务费为</w:t>
      </w:r>
      <w:r>
        <w:rPr>
          <w:rFonts w:hint="eastAsia" w:ascii="仿宋_GB2312" w:hAnsi="仿宋_GB2312" w:eastAsia="仿宋_GB2312" w:cs="仿宋_GB2312"/>
          <w:sz w:val="32"/>
          <w:szCs w:val="32"/>
          <w:lang w:val="en-US" w:eastAsia="zh-CN"/>
        </w:rPr>
        <w:t>22820</w:t>
      </w:r>
      <w:r>
        <w:rPr>
          <w:rFonts w:hint="eastAsia" w:ascii="仿宋_GB2312" w:hAnsi="仿宋_GB2312" w:eastAsia="仿宋_GB2312" w:cs="仿宋_GB2312"/>
          <w:sz w:val="32"/>
          <w:szCs w:val="32"/>
        </w:rPr>
        <w:t>元。</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410"/>
      </w:tblGrid>
      <w:tr w14:paraId="3282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410" w:type="dxa"/>
            <w:noWrap w:val="0"/>
            <w:vAlign w:val="top"/>
          </w:tcPr>
          <w:p w14:paraId="2B84BE07">
            <w:pPr>
              <w:spacing w:before="24" w:line="44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-60325</wp:posOffset>
                      </wp:positionH>
                      <wp:positionV relativeFrom="paragraph">
                        <wp:posOffset>4445</wp:posOffset>
                      </wp:positionV>
                      <wp:extent cx="2805430" cy="610870"/>
                      <wp:effectExtent l="1270" t="4445" r="12700" b="13335"/>
                      <wp:wrapNone/>
                      <wp:docPr id="7" name="直接连接符 7"/>
                      <wp:cNvGraphicFramePr/>
                      <a:graphic xmlns:a="http://schemas.openxmlformats.org/drawingml/2006/main">
                        <a:graphicData uri="http://schemas.microsoft.com/office/word/2010/wordprocessingShape">
                          <wps:wsp>
                            <wps:cNvCnPr/>
                            <wps:spPr>
                              <a:xfrm>
                                <a:off x="1472565" y="7124065"/>
                                <a:ext cx="2805430" cy="610870"/>
                              </a:xfrm>
                              <a:prstGeom prst="line">
                                <a:avLst/>
                              </a:prstGeom>
                              <a:noFill/>
                              <a:ln w="0" cap="flat" cmpd="sng" algn="ctr">
                                <a:solidFill>
                                  <a:srgbClr val="000000"/>
                                </a:solidFill>
                                <a:prstDash val="solid"/>
                              </a:ln>
                              <a:effectLst/>
                            </wps:spPr>
                            <wps:bodyPr/>
                          </wps:wsp>
                        </a:graphicData>
                      </a:graphic>
                    </wp:anchor>
                  </w:drawing>
                </mc:Choice>
                <mc:Fallback>
                  <w:pict>
                    <v:line id="_x0000_s1026" o:spid="_x0000_s1026" o:spt="20" style="position:absolute;left:0pt;margin-left:-4.75pt;margin-top:0.35pt;height:48.1pt;width:220.9pt;z-index:251662336;mso-width-relative:page;mso-height-relative:page;" filled="f" stroked="t" coordsize="21600,21600" o:gfxdata="UEsDBAoAAAAAAIdO4kAAAAAAAAAAAAAAAAAEAAAAZHJzL1BLAwQUAAAACACHTuJAYSE+T9YAAAAG&#10;AQAADwAAAGRycy9kb3ducmV2LnhtbE2OTU/DMBBE70j8B2uRuLV2GghNiNNDERdAQg1I5biNlyQl&#10;Xkex+8G/x5zgOJrRm1euznYQR5p871hDMlcgiBtnem41vL89zpYgfEA2ODgmDd/kYVVdXpRYGHfi&#10;DR3r0IoIYV+ghi6EsZDSNx1Z9HM3Esfu000WQ4xTK82Epwi3g1wolUmLPceHDkdad9R81QerQb0+&#10;Zx/yZb3fb58eNgrTelBJrfX1VaLuQQQ6h78x/OpHdaii084d2HgxaJjlt3Gp4Q5EbG/SRQpipyHP&#10;cpBVKf/rVz9QSwMEFAAAAAgAh07iQEe6BlfsAQAAtgMAAA4AAABkcnMvZTJvRG9jLnhtbK1TS47U&#10;MBDdI3EHy3s66aZ/ijo9i2kNGwQtAQdwO3ZiyT+5PJ3uS3ABJHawYsme2zBzDMpOGOazmQVZOFV2&#10;5VW955fNxclochQBlLM1nU5KSoTlrlG2remnj1ev1pRAZLZh2llR07MAerF9+WLT+0rMXOd0IwJB&#10;EAtV72vaxeirogDeCcNg4ryweChdMCxiGtqiCaxHdKOLWVkui96FxgfHBQDu7oZDOiKG5wA6KRUX&#10;O8evjbBxQA1Cs4iUoFMe6DZPK6Xg8b2UICLRNUWmMa/YBONDWovthlVtYL5TfByBPWeER5wMUxab&#10;3kHtWGTkOqgnUEbx4MDJOOHOFAORrAiymJaPtPnQMS8yF5Qa/J3o8P9g+bvjPhDV1HRFiWUGL/zm&#10;y8/fn7/d/vqK682P72SVROo9VFh7afdhzMDvQ2J8ksGkN3IhJzTUfDVbLBeUnBFyOpuXGGeRxSkS&#10;jgWzdbmYv0b9OVYsp+V6lW+h+IfkA8Q3whmSgppqZZMIrGLHtxARC0v/lqRt666U1rmHtqTPd8sZ&#10;OlOiI7CN8cgObEsJ0y1anseQ4cBp1aRPEwiE9nCpAzmyZJT8pLGx1YOy1HfHoBvq8tFYpm2CEdly&#10;45hJs0GlFB1cc87iFSnD68zoo/WSX+7nGN//3b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Eh&#10;Pk/WAAAABgEAAA8AAAAAAAAAAQAgAAAAIgAAAGRycy9kb3ducmV2LnhtbFBLAQIUABQAAAAIAIdO&#10;4kBHugZX7AEAALYDAAAOAAAAAAAAAAEAIAAAACUBAABkcnMvZTJvRG9jLnhtbFBLBQYAAAAABgAG&#10;AFkBAACDBQAAAAA=&#10;">
                      <v:fill on="f" focussize="0,0"/>
                      <v:stroke weight="0pt" color="#000000" joinstyle="round"/>
                      <v:imagedata o:title=""/>
                      <o:lock v:ext="edit" aspectratio="f"/>
                    </v:line>
                  </w:pict>
                </mc:Fallback>
              </mc:AlternateContent>
            </w:r>
            <w:r>
              <w:rPr>
                <w:rFonts w:hint="eastAsia" w:ascii="仿宋_GB2312" w:hAnsi="仿宋_GB2312" w:eastAsia="仿宋_GB2312" w:cs="仿宋_GB2312"/>
                <w:sz w:val="32"/>
                <w:szCs w:val="32"/>
              </w:rPr>
              <w:t>费用类别</w:t>
            </w:r>
          </w:p>
          <w:p w14:paraId="72117350">
            <w:pPr>
              <w:spacing w:before="24"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中标金额万元（人民币）</w:t>
            </w:r>
          </w:p>
        </w:tc>
        <w:tc>
          <w:tcPr>
            <w:tcW w:w="4410" w:type="dxa"/>
            <w:noWrap w:val="0"/>
            <w:vAlign w:val="center"/>
          </w:tcPr>
          <w:p w14:paraId="544B8F55">
            <w:pPr>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货物招标费率</w:t>
            </w:r>
          </w:p>
        </w:tc>
      </w:tr>
      <w:tr w14:paraId="5B2F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6AB09ACB">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100以下</w:t>
            </w:r>
          </w:p>
        </w:tc>
        <w:tc>
          <w:tcPr>
            <w:tcW w:w="4410" w:type="dxa"/>
            <w:noWrap w:val="0"/>
            <w:vAlign w:val="center"/>
          </w:tcPr>
          <w:p w14:paraId="6EF7B583">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1.5%</w:t>
            </w:r>
          </w:p>
        </w:tc>
      </w:tr>
      <w:tr w14:paraId="65D3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162EBBF5">
            <w:pPr>
              <w:snapToGrid w:val="0"/>
              <w:spacing w:line="400" w:lineRule="exact"/>
              <w:jc w:val="center"/>
              <w:rPr>
                <w:rFonts w:hint="eastAsia" w:ascii="仿宋" w:hAnsi="仿宋" w:eastAsia="仿宋" w:cs="仿宋"/>
                <w:sz w:val="32"/>
                <w:szCs w:val="32"/>
                <w:highlight w:val="magenta"/>
              </w:rPr>
            </w:pPr>
            <w:r>
              <w:rPr>
                <w:rFonts w:hint="eastAsia" w:ascii="仿宋" w:hAnsi="仿宋" w:eastAsia="仿宋" w:cs="仿宋"/>
                <w:sz w:val="32"/>
                <w:szCs w:val="32"/>
                <w:lang w:val="en-US" w:eastAsia="zh-CN"/>
              </w:rPr>
              <w:t>100～500</w:t>
            </w:r>
          </w:p>
        </w:tc>
        <w:tc>
          <w:tcPr>
            <w:tcW w:w="4410" w:type="dxa"/>
            <w:noWrap w:val="0"/>
            <w:vAlign w:val="center"/>
          </w:tcPr>
          <w:p w14:paraId="27FC46E4">
            <w:pPr>
              <w:snapToGrid w:val="0"/>
              <w:spacing w:line="400" w:lineRule="exact"/>
              <w:jc w:val="center"/>
              <w:rPr>
                <w:rFonts w:hint="eastAsia" w:ascii="仿宋" w:hAnsi="仿宋" w:eastAsia="仿宋" w:cs="仿宋"/>
                <w:sz w:val="32"/>
                <w:szCs w:val="32"/>
                <w:highlight w:val="magenta"/>
              </w:rPr>
            </w:pPr>
            <w:r>
              <w:rPr>
                <w:rFonts w:hint="eastAsia" w:ascii="仿宋" w:hAnsi="仿宋" w:eastAsia="仿宋" w:cs="仿宋"/>
                <w:sz w:val="32"/>
                <w:szCs w:val="32"/>
                <w:lang w:val="en-US" w:eastAsia="zh-CN"/>
              </w:rPr>
              <w:t>1.1%</w:t>
            </w:r>
          </w:p>
        </w:tc>
      </w:tr>
      <w:tr w14:paraId="4508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252AA962">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500～1000</w:t>
            </w:r>
          </w:p>
        </w:tc>
        <w:tc>
          <w:tcPr>
            <w:tcW w:w="4410" w:type="dxa"/>
            <w:noWrap w:val="0"/>
            <w:vAlign w:val="center"/>
          </w:tcPr>
          <w:p w14:paraId="13FE31B1">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0.8%</w:t>
            </w:r>
          </w:p>
        </w:tc>
      </w:tr>
      <w:tr w14:paraId="14D7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6C1DE05E">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1000～5000</w:t>
            </w:r>
          </w:p>
        </w:tc>
        <w:tc>
          <w:tcPr>
            <w:tcW w:w="4410" w:type="dxa"/>
            <w:noWrap w:val="0"/>
            <w:vAlign w:val="center"/>
          </w:tcPr>
          <w:p w14:paraId="20ACE00F">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0.5%</w:t>
            </w:r>
          </w:p>
        </w:tc>
      </w:tr>
      <w:tr w14:paraId="4779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16F0CA57">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5000～10000</w:t>
            </w:r>
          </w:p>
        </w:tc>
        <w:tc>
          <w:tcPr>
            <w:tcW w:w="4410" w:type="dxa"/>
            <w:noWrap w:val="0"/>
            <w:vAlign w:val="center"/>
          </w:tcPr>
          <w:p w14:paraId="499ED98D">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0.25%</w:t>
            </w:r>
          </w:p>
        </w:tc>
      </w:tr>
      <w:tr w14:paraId="280A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750C5408">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10000～100000</w:t>
            </w:r>
          </w:p>
        </w:tc>
        <w:tc>
          <w:tcPr>
            <w:tcW w:w="4410" w:type="dxa"/>
            <w:noWrap w:val="0"/>
            <w:vAlign w:val="center"/>
          </w:tcPr>
          <w:p w14:paraId="4C09D099">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0.05%</w:t>
            </w:r>
          </w:p>
        </w:tc>
      </w:tr>
      <w:tr w14:paraId="070E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10" w:type="dxa"/>
            <w:noWrap w:val="0"/>
            <w:vAlign w:val="center"/>
          </w:tcPr>
          <w:p w14:paraId="6259B379">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1000000以上</w:t>
            </w:r>
          </w:p>
        </w:tc>
        <w:tc>
          <w:tcPr>
            <w:tcW w:w="4410" w:type="dxa"/>
            <w:noWrap w:val="0"/>
            <w:vAlign w:val="center"/>
          </w:tcPr>
          <w:p w14:paraId="4FE61DB7">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0.01%</w:t>
            </w:r>
          </w:p>
        </w:tc>
      </w:tr>
    </w:tbl>
    <w:p w14:paraId="68E81AAA">
      <w:pPr>
        <w:spacing w:before="24" w:line="500" w:lineRule="exact"/>
        <w:ind w:firstLine="42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支付形式：对公转账</w:t>
      </w:r>
    </w:p>
    <w:p w14:paraId="5E4CA500">
      <w:pPr>
        <w:spacing w:before="24" w:line="500" w:lineRule="exact"/>
        <w:ind w:firstLine="420"/>
        <w:jc w:val="left"/>
        <w:rPr>
          <w:rFonts w:hint="eastAsia" w:ascii="仿宋_GB2312" w:hAnsi="仿宋_GB2312" w:eastAsia="仿宋_GB2312" w:cs="仿宋_GB2312"/>
          <w:b/>
          <w:bCs/>
          <w:kern w:val="44"/>
          <w:sz w:val="32"/>
          <w:szCs w:val="32"/>
          <w:highlight w:val="none"/>
        </w:rPr>
      </w:pPr>
      <w:r>
        <w:rPr>
          <w:rFonts w:hint="eastAsia" w:ascii="仿宋_GB2312" w:hAnsi="仿宋_GB2312" w:eastAsia="仿宋_GB2312" w:cs="仿宋_GB2312"/>
          <w:spacing w:val="8"/>
          <w:sz w:val="32"/>
          <w:szCs w:val="32"/>
          <w:highlight w:val="none"/>
        </w:rPr>
        <w:t>支付时间：领取成交通知书</w:t>
      </w:r>
      <w:r>
        <w:rPr>
          <w:rFonts w:hint="eastAsia" w:ascii="仿宋_GB2312" w:hAnsi="仿宋_GB2312" w:eastAsia="仿宋_GB2312" w:cs="仿宋_GB2312"/>
          <w:spacing w:val="8"/>
          <w:sz w:val="32"/>
          <w:szCs w:val="32"/>
          <w:highlight w:val="none"/>
          <w:lang w:val="en-US" w:eastAsia="zh-CN"/>
        </w:rPr>
        <w:t>后3日内</w:t>
      </w:r>
      <w:r>
        <w:rPr>
          <w:rFonts w:hint="eastAsia" w:ascii="仿宋_GB2312" w:hAnsi="仿宋_GB2312" w:eastAsia="仿宋_GB2312" w:cs="仿宋_GB2312"/>
          <w:spacing w:val="8"/>
          <w:sz w:val="32"/>
          <w:szCs w:val="32"/>
          <w:highlight w:val="none"/>
        </w:rPr>
        <w:t>由中标方一次性支付</w:t>
      </w:r>
      <w:r>
        <w:rPr>
          <w:rFonts w:hint="eastAsia" w:ascii="仿宋_GB2312" w:hAnsi="仿宋_GB2312" w:eastAsia="仿宋_GB2312" w:cs="仿宋_GB2312"/>
          <w:b/>
          <w:bCs/>
          <w:kern w:val="44"/>
          <w:sz w:val="32"/>
          <w:szCs w:val="32"/>
          <w:highlight w:val="none"/>
        </w:rPr>
        <w:t xml:space="preserve">    </w:t>
      </w:r>
      <w:bookmarkStart w:id="280" w:name="_Toc3865"/>
      <w:bookmarkStart w:id="281" w:name="_Toc11945"/>
      <w:bookmarkStart w:id="282" w:name="_Toc8428"/>
      <w:bookmarkStart w:id="283" w:name="_Toc29629"/>
    </w:p>
    <w:p w14:paraId="27BCB10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highlight w:val="none"/>
        </w:rPr>
      </w:pPr>
      <w:r>
        <w:rPr>
          <w:rFonts w:hint="eastAsia" w:ascii="仿宋_GB2312" w:hAnsi="仿宋_GB2312" w:eastAsia="仿宋_GB2312" w:cs="仿宋_GB2312"/>
          <w:b/>
          <w:bCs/>
          <w:kern w:val="44"/>
          <w:sz w:val="32"/>
          <w:szCs w:val="32"/>
          <w:highlight w:val="none"/>
        </w:rPr>
        <w:t>适用法律</w:t>
      </w:r>
      <w:bookmarkEnd w:id="278"/>
      <w:bookmarkEnd w:id="279"/>
      <w:bookmarkEnd w:id="280"/>
      <w:bookmarkEnd w:id="281"/>
      <w:bookmarkEnd w:id="282"/>
      <w:bookmarkEnd w:id="283"/>
    </w:p>
    <w:p w14:paraId="0D9A2651">
      <w:pPr>
        <w:numPr>
          <w:ilvl w:val="1"/>
          <w:numId w:val="5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采购人、采购代理机构及投标人的一切采购活动均适用《中华人民共和国政府采购法》、《中华人民共和国政府采购法实施条例》及其配套的法规、规章、政策。</w:t>
      </w:r>
    </w:p>
    <w:p w14:paraId="7CE3273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84" w:name="_Toc24416"/>
      <w:bookmarkStart w:id="285" w:name="_Toc55778728"/>
      <w:r>
        <w:rPr>
          <w:rFonts w:hint="eastAsia" w:ascii="仿宋_GB2312" w:hAnsi="仿宋_GB2312" w:eastAsia="仿宋_GB2312" w:cs="仿宋_GB2312"/>
          <w:b/>
          <w:bCs/>
          <w:kern w:val="44"/>
          <w:sz w:val="32"/>
          <w:szCs w:val="32"/>
        </w:rPr>
        <w:t xml:space="preserve">    </w:t>
      </w:r>
      <w:bookmarkStart w:id="286" w:name="_Toc22475"/>
      <w:bookmarkStart w:id="287" w:name="_Toc7754"/>
      <w:bookmarkStart w:id="288" w:name="_Toc22798"/>
      <w:bookmarkStart w:id="289" w:name="_Toc10876"/>
      <w:r>
        <w:rPr>
          <w:rFonts w:hint="eastAsia" w:ascii="仿宋_GB2312" w:hAnsi="仿宋_GB2312" w:eastAsia="仿宋_GB2312" w:cs="仿宋_GB2312"/>
          <w:b/>
          <w:bCs/>
          <w:kern w:val="44"/>
          <w:sz w:val="32"/>
          <w:szCs w:val="32"/>
        </w:rPr>
        <w:t>政府采购政策</w:t>
      </w:r>
      <w:bookmarkEnd w:id="284"/>
      <w:bookmarkEnd w:id="285"/>
      <w:bookmarkEnd w:id="286"/>
      <w:bookmarkEnd w:id="287"/>
      <w:bookmarkEnd w:id="288"/>
      <w:bookmarkEnd w:id="289"/>
    </w:p>
    <w:p w14:paraId="2DC64D5C">
      <w:pPr>
        <w:numPr>
          <w:ilvl w:val="1"/>
          <w:numId w:val="51"/>
        </w:numPr>
        <w:wordWrap w:val="0"/>
        <w:spacing w:line="500" w:lineRule="exact"/>
        <w:ind w:left="1382" w:hanging="1382" w:hangingChars="43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 .cn/）、国家发展改革委网站（http://hzs.nd rc.gv.cn/）和中国质量认证中心网站（http://www.cqc.com.cn/）上发布。</w:t>
      </w:r>
    </w:p>
    <w:p w14:paraId="76B9C243">
      <w:pPr>
        <w:numPr>
          <w:ilvl w:val="1"/>
          <w:numId w:val="51"/>
        </w:numPr>
        <w:wordWrap w:val="0"/>
        <w:spacing w:line="500" w:lineRule="exact"/>
        <w:ind w:left="1382" w:hanging="1382" w:hangingChars="43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14:paraId="6188D30F">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根据《政府采购促进中小企业发展管理办法》（财库[2020]46号文）的规定，投标人投标时需注意：</w:t>
      </w:r>
    </w:p>
    <w:p w14:paraId="34589E1F">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34CD1FD">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参加政府采购活动的中小企业投标时需提供《中小企业声明函》。否则不予认可。</w:t>
      </w:r>
    </w:p>
    <w:p w14:paraId="0030A2EF">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政府采购货物时，若投标产品仅部分符合优惠评审要求，投标人应提供满足要求的货物的名称和分项报价（详见投标投标明细报价表），否则不予认可。</w:t>
      </w:r>
    </w:p>
    <w:p w14:paraId="0D1494B7">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监狱企业产品价格扣除</w:t>
      </w:r>
    </w:p>
    <w:p w14:paraId="44927416">
      <w:pPr>
        <w:spacing w:line="500" w:lineRule="exact"/>
        <w:ind w:left="840" w:leftChars="4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根据财政部印发的《司法部关于政府采购支持监狱企业发展有关问题》的通知（财库</w:t>
      </w:r>
      <w:r>
        <w:rPr>
          <w:rFonts w:hint="eastAsia" w:ascii="仿宋_GB2312" w:hAnsi="仿宋_GB2312" w:eastAsia="仿宋_GB2312" w:cs="仿宋_GB2312"/>
          <w:sz w:val="32"/>
          <w:szCs w:val="32"/>
        </w:rPr>
        <w:t>〔2014〕</w:t>
      </w:r>
      <w:r>
        <w:rPr>
          <w:rFonts w:hint="eastAsia" w:ascii="仿宋_GB2312" w:hAnsi="仿宋_GB2312" w:eastAsia="仿宋_GB2312" w:cs="仿宋_GB2312"/>
          <w:bCs/>
          <w:sz w:val="32"/>
          <w:szCs w:val="32"/>
        </w:rPr>
        <w:t>68号）的规定，支持监狱和戒毒企业（简称“监狱企业”）发展，监狱企业视同中小企业给予相当中小企业的价格扣除。监狱企业参加政府采购活动时，应当提供由省级以上监狱管理局、戒毒管理局（含新疆生产建设兵团）出具的属于监狱企业的证明文件，否则视为非监狱企业。</w:t>
      </w:r>
    </w:p>
    <w:p w14:paraId="0F25784E">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残疾人福利性单位产品价格扣除</w:t>
      </w:r>
    </w:p>
    <w:p w14:paraId="0F71D000">
      <w:pPr>
        <w:spacing w:line="500" w:lineRule="exact"/>
        <w:ind w:left="840" w:leftChars="4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bCs/>
          <w:sz w:val="32"/>
          <w:szCs w:val="32"/>
        </w:rPr>
        <w:t>财政部印发的</w:t>
      </w:r>
      <w:r>
        <w:rPr>
          <w:rFonts w:hint="eastAsia" w:ascii="仿宋_GB2312" w:hAnsi="仿宋_GB2312" w:eastAsia="仿宋_GB2312" w:cs="仿宋_GB2312"/>
          <w:sz w:val="32"/>
          <w:szCs w:val="32"/>
        </w:rPr>
        <w:t>《关于促进残疾人就业政府采购政策的通知》（财库〔2017〕141号）的规定，</w:t>
      </w:r>
      <w:r>
        <w:rPr>
          <w:rFonts w:hint="eastAsia" w:ascii="仿宋_GB2312" w:hAnsi="仿宋_GB2312" w:eastAsia="仿宋_GB2312" w:cs="仿宋_GB2312"/>
          <w:bCs/>
          <w:sz w:val="32"/>
          <w:szCs w:val="32"/>
        </w:rPr>
        <w:t>残疾人福利性单位视同中小企业给予相当中小企业的价格扣除。残疾人福利性单位参加政府采购活动时，应当提供《残疾人福利性单位声明函》，否则视为非残疾人福利性单位。</w:t>
      </w:r>
    </w:p>
    <w:p w14:paraId="3C16EE2C">
      <w:pPr>
        <w:spacing w:line="500" w:lineRule="exact"/>
        <w:ind w:left="840" w:leftChars="4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注1：投标人若同时为中小企业、监狱企业、残疾人福利性单位或其中两种，均只能享受一次价格扣除。</w:t>
      </w:r>
    </w:p>
    <w:p w14:paraId="57A6A5FE">
      <w:pPr>
        <w:spacing w:line="500" w:lineRule="exact"/>
        <w:ind w:left="840" w:leftChars="4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注2：中小企业、残疾人福利性单位提供其他企业制造的货物的，则该货物的制造商也必须为上述企业，否则不能享受价格优惠。</w:t>
      </w:r>
    </w:p>
    <w:p w14:paraId="31AB7F46">
      <w:pPr>
        <w:pStyle w:val="4"/>
        <w:rPr>
          <w:rFonts w:hint="eastAsia" w:ascii="仿宋" w:hAnsi="仿宋" w:eastAsia="仿宋" w:cs="仿宋"/>
          <w:kern w:val="44"/>
          <w:sz w:val="24"/>
          <w:szCs w:val="24"/>
        </w:rPr>
      </w:pPr>
      <w:bookmarkStart w:id="290" w:name="_Toc16833"/>
      <w:bookmarkStart w:id="291" w:name="_Toc55778730"/>
    </w:p>
    <w:p w14:paraId="6B4CD2E9">
      <w:pPr>
        <w:rPr>
          <w:rFonts w:hint="eastAsia" w:ascii="仿宋" w:hAnsi="仿宋" w:eastAsia="仿宋" w:cs="仿宋"/>
          <w:kern w:val="44"/>
          <w:sz w:val="24"/>
          <w:szCs w:val="24"/>
        </w:rPr>
      </w:pPr>
    </w:p>
    <w:p w14:paraId="19FD9AA9">
      <w:pPr>
        <w:rPr>
          <w:rFonts w:hint="eastAsia" w:ascii="仿宋" w:hAnsi="仿宋" w:eastAsia="仿宋" w:cs="仿宋"/>
          <w:kern w:val="44"/>
          <w:sz w:val="24"/>
          <w:szCs w:val="24"/>
        </w:rPr>
      </w:pPr>
    </w:p>
    <w:p w14:paraId="4112ACFE">
      <w:pPr>
        <w:rPr>
          <w:rFonts w:hint="eastAsia" w:ascii="仿宋" w:hAnsi="仿宋" w:eastAsia="仿宋" w:cs="仿宋"/>
          <w:kern w:val="44"/>
          <w:sz w:val="24"/>
          <w:szCs w:val="24"/>
        </w:rPr>
      </w:pPr>
    </w:p>
    <w:p w14:paraId="6B8FBD72">
      <w:pPr>
        <w:rPr>
          <w:rFonts w:hint="eastAsia" w:ascii="仿宋" w:hAnsi="仿宋" w:eastAsia="仿宋" w:cs="仿宋"/>
          <w:kern w:val="44"/>
          <w:sz w:val="24"/>
          <w:szCs w:val="24"/>
        </w:rPr>
      </w:pPr>
    </w:p>
    <w:p w14:paraId="17A36A35">
      <w:pPr>
        <w:rPr>
          <w:rFonts w:hint="eastAsia" w:ascii="仿宋" w:hAnsi="仿宋" w:eastAsia="仿宋" w:cs="仿宋"/>
          <w:kern w:val="44"/>
          <w:sz w:val="24"/>
          <w:szCs w:val="24"/>
        </w:rPr>
      </w:pPr>
    </w:p>
    <w:p w14:paraId="7345FEF6">
      <w:pPr>
        <w:rPr>
          <w:rFonts w:hint="eastAsia" w:ascii="仿宋" w:hAnsi="仿宋" w:eastAsia="仿宋" w:cs="仿宋"/>
          <w:kern w:val="44"/>
          <w:sz w:val="24"/>
          <w:szCs w:val="24"/>
        </w:rPr>
      </w:pPr>
    </w:p>
    <w:p w14:paraId="631EDB57">
      <w:pPr>
        <w:rPr>
          <w:rFonts w:hint="eastAsia" w:ascii="仿宋" w:hAnsi="仿宋" w:eastAsia="仿宋" w:cs="仿宋"/>
          <w:kern w:val="44"/>
          <w:sz w:val="24"/>
          <w:szCs w:val="24"/>
        </w:rPr>
      </w:pPr>
    </w:p>
    <w:p w14:paraId="17BD2FA1">
      <w:pPr>
        <w:rPr>
          <w:rFonts w:hint="eastAsia" w:ascii="仿宋" w:hAnsi="仿宋" w:eastAsia="仿宋" w:cs="仿宋"/>
          <w:kern w:val="44"/>
          <w:sz w:val="24"/>
          <w:szCs w:val="24"/>
        </w:rPr>
      </w:pPr>
    </w:p>
    <w:p w14:paraId="185A8530">
      <w:pPr>
        <w:rPr>
          <w:rFonts w:hint="eastAsia" w:ascii="仿宋" w:hAnsi="仿宋" w:eastAsia="仿宋" w:cs="仿宋"/>
          <w:kern w:val="44"/>
          <w:sz w:val="24"/>
          <w:szCs w:val="24"/>
        </w:rPr>
      </w:pPr>
    </w:p>
    <w:p w14:paraId="2EBCAF71">
      <w:pPr>
        <w:rPr>
          <w:rFonts w:hint="eastAsia" w:ascii="仿宋" w:hAnsi="仿宋" w:eastAsia="仿宋" w:cs="仿宋"/>
          <w:kern w:val="44"/>
          <w:sz w:val="24"/>
          <w:szCs w:val="24"/>
        </w:rPr>
      </w:pPr>
    </w:p>
    <w:p w14:paraId="71EDABB4">
      <w:pPr>
        <w:rPr>
          <w:rFonts w:hint="eastAsia" w:ascii="仿宋" w:hAnsi="仿宋" w:eastAsia="仿宋" w:cs="仿宋"/>
          <w:kern w:val="44"/>
          <w:sz w:val="24"/>
          <w:szCs w:val="24"/>
        </w:rPr>
      </w:pPr>
    </w:p>
    <w:p w14:paraId="078722D2">
      <w:pPr>
        <w:rPr>
          <w:rFonts w:hint="eastAsia" w:ascii="仿宋" w:hAnsi="仿宋" w:eastAsia="仿宋" w:cs="仿宋"/>
          <w:kern w:val="44"/>
          <w:sz w:val="24"/>
          <w:szCs w:val="24"/>
        </w:rPr>
      </w:pPr>
    </w:p>
    <w:p w14:paraId="6A1DE26B">
      <w:pPr>
        <w:rPr>
          <w:rFonts w:hint="eastAsia" w:ascii="仿宋" w:hAnsi="仿宋" w:eastAsia="仿宋" w:cs="仿宋"/>
          <w:kern w:val="44"/>
          <w:sz w:val="24"/>
          <w:szCs w:val="24"/>
        </w:rPr>
      </w:pPr>
    </w:p>
    <w:p w14:paraId="5E28A92F">
      <w:pPr>
        <w:rPr>
          <w:rFonts w:hint="eastAsia" w:ascii="仿宋" w:hAnsi="仿宋" w:eastAsia="仿宋" w:cs="仿宋"/>
          <w:kern w:val="44"/>
          <w:sz w:val="24"/>
          <w:szCs w:val="24"/>
        </w:rPr>
      </w:pPr>
    </w:p>
    <w:p w14:paraId="6572D635">
      <w:pPr>
        <w:rPr>
          <w:rFonts w:hint="eastAsia" w:ascii="仿宋" w:hAnsi="仿宋" w:eastAsia="仿宋" w:cs="仿宋"/>
          <w:kern w:val="44"/>
          <w:sz w:val="24"/>
          <w:szCs w:val="24"/>
        </w:rPr>
      </w:pPr>
    </w:p>
    <w:p w14:paraId="3947A204">
      <w:pPr>
        <w:rPr>
          <w:rFonts w:hint="eastAsia" w:ascii="仿宋" w:hAnsi="仿宋" w:eastAsia="仿宋" w:cs="仿宋"/>
          <w:kern w:val="44"/>
          <w:sz w:val="24"/>
          <w:szCs w:val="24"/>
        </w:rPr>
      </w:pPr>
    </w:p>
    <w:p w14:paraId="1DB345FE">
      <w:pPr>
        <w:rPr>
          <w:rFonts w:hint="eastAsia" w:ascii="仿宋" w:hAnsi="仿宋" w:eastAsia="仿宋" w:cs="仿宋"/>
          <w:kern w:val="44"/>
          <w:sz w:val="24"/>
          <w:szCs w:val="24"/>
        </w:rPr>
      </w:pPr>
    </w:p>
    <w:p w14:paraId="6FE9B516">
      <w:pPr>
        <w:rPr>
          <w:rFonts w:hint="eastAsia" w:ascii="仿宋" w:hAnsi="仿宋" w:eastAsia="仿宋" w:cs="仿宋"/>
          <w:kern w:val="44"/>
          <w:sz w:val="24"/>
          <w:szCs w:val="24"/>
        </w:rPr>
      </w:pPr>
    </w:p>
    <w:p w14:paraId="7F7F7307">
      <w:pPr>
        <w:rPr>
          <w:rFonts w:hint="eastAsia" w:ascii="仿宋" w:hAnsi="仿宋" w:eastAsia="仿宋" w:cs="仿宋"/>
          <w:kern w:val="44"/>
          <w:sz w:val="24"/>
          <w:szCs w:val="24"/>
        </w:rPr>
      </w:pPr>
    </w:p>
    <w:p w14:paraId="5170AA9F">
      <w:pPr>
        <w:spacing w:line="360" w:lineRule="auto"/>
        <w:outlineLvl w:val="0"/>
        <w:rPr>
          <w:rFonts w:hint="eastAsia" w:ascii="仿宋" w:hAnsi="仿宋" w:eastAsia="仿宋" w:cs="仿宋"/>
          <w:b/>
          <w:bCs/>
          <w:kern w:val="44"/>
          <w:sz w:val="24"/>
          <w:szCs w:val="24"/>
        </w:rPr>
      </w:pPr>
      <w:bookmarkStart w:id="292" w:name="_Toc28078"/>
    </w:p>
    <w:p w14:paraId="5071198B">
      <w:pPr>
        <w:spacing w:line="360" w:lineRule="auto"/>
        <w:outlineLvl w:val="0"/>
        <w:rPr>
          <w:rFonts w:hint="eastAsia" w:ascii="仿宋" w:hAnsi="仿宋" w:eastAsia="仿宋" w:cs="仿宋"/>
          <w:b/>
          <w:bCs/>
          <w:kern w:val="44"/>
          <w:sz w:val="24"/>
          <w:szCs w:val="24"/>
        </w:rPr>
      </w:pPr>
    </w:p>
    <w:p w14:paraId="0C1BF434">
      <w:pPr>
        <w:spacing w:line="360" w:lineRule="auto"/>
        <w:outlineLvl w:val="0"/>
        <w:rPr>
          <w:rFonts w:hint="eastAsia" w:ascii="仿宋" w:hAnsi="仿宋" w:eastAsia="仿宋" w:cs="仿宋"/>
          <w:b/>
          <w:bCs/>
          <w:kern w:val="44"/>
          <w:sz w:val="24"/>
          <w:szCs w:val="24"/>
        </w:rPr>
      </w:pPr>
    </w:p>
    <w:p w14:paraId="6D7A18E8">
      <w:pPr>
        <w:spacing w:line="360" w:lineRule="auto"/>
        <w:outlineLvl w:val="0"/>
        <w:rPr>
          <w:rFonts w:hint="eastAsia" w:ascii="仿宋" w:hAnsi="仿宋" w:eastAsia="仿宋" w:cs="仿宋"/>
          <w:b/>
          <w:bCs/>
          <w:kern w:val="44"/>
          <w:sz w:val="24"/>
          <w:szCs w:val="24"/>
        </w:rPr>
      </w:pPr>
    </w:p>
    <w:p w14:paraId="74EEC98F">
      <w:pPr>
        <w:spacing w:line="360" w:lineRule="auto"/>
        <w:outlineLvl w:val="0"/>
        <w:rPr>
          <w:rFonts w:hint="eastAsia" w:ascii="仿宋" w:hAnsi="仿宋" w:eastAsia="仿宋" w:cs="仿宋"/>
          <w:b/>
          <w:bCs/>
          <w:kern w:val="44"/>
          <w:sz w:val="24"/>
          <w:szCs w:val="24"/>
        </w:rPr>
      </w:pPr>
    </w:p>
    <w:p w14:paraId="5B4DCFAA">
      <w:pPr>
        <w:spacing w:line="360" w:lineRule="auto"/>
        <w:outlineLvl w:val="0"/>
        <w:rPr>
          <w:rFonts w:hint="eastAsia" w:ascii="仿宋" w:hAnsi="仿宋" w:eastAsia="仿宋" w:cs="仿宋"/>
          <w:b/>
          <w:bCs/>
          <w:kern w:val="44"/>
          <w:sz w:val="24"/>
          <w:szCs w:val="24"/>
        </w:rPr>
      </w:pPr>
    </w:p>
    <w:p w14:paraId="354B61CC">
      <w:pPr>
        <w:spacing w:line="360" w:lineRule="auto"/>
        <w:outlineLvl w:val="0"/>
        <w:rPr>
          <w:rFonts w:hint="eastAsia" w:ascii="仿宋" w:hAnsi="仿宋" w:eastAsia="仿宋" w:cs="仿宋"/>
          <w:b/>
          <w:bCs/>
          <w:kern w:val="44"/>
          <w:sz w:val="24"/>
          <w:szCs w:val="24"/>
        </w:rPr>
      </w:pPr>
    </w:p>
    <w:p w14:paraId="35F3CE3D">
      <w:pPr>
        <w:spacing w:line="360" w:lineRule="auto"/>
        <w:outlineLvl w:val="0"/>
        <w:rPr>
          <w:rFonts w:hint="eastAsia" w:ascii="仿宋" w:hAnsi="仿宋" w:eastAsia="仿宋" w:cs="仿宋"/>
          <w:b/>
          <w:bCs/>
          <w:kern w:val="44"/>
          <w:sz w:val="24"/>
          <w:szCs w:val="24"/>
        </w:rPr>
      </w:pPr>
    </w:p>
    <w:p w14:paraId="6BE77246">
      <w:pPr>
        <w:spacing w:line="360" w:lineRule="auto"/>
        <w:outlineLvl w:val="0"/>
        <w:rPr>
          <w:rFonts w:hint="eastAsia" w:ascii="仿宋" w:hAnsi="仿宋" w:eastAsia="仿宋" w:cs="仿宋"/>
          <w:b/>
          <w:bCs/>
          <w:kern w:val="44"/>
          <w:sz w:val="24"/>
          <w:szCs w:val="24"/>
        </w:rPr>
      </w:pPr>
    </w:p>
    <w:p w14:paraId="688480AE">
      <w:pPr>
        <w:spacing w:line="360" w:lineRule="auto"/>
        <w:outlineLvl w:val="0"/>
        <w:rPr>
          <w:rFonts w:hint="eastAsia" w:ascii="仿宋" w:hAnsi="仿宋" w:eastAsia="仿宋" w:cs="仿宋"/>
          <w:b/>
          <w:bCs/>
          <w:kern w:val="44"/>
          <w:sz w:val="24"/>
          <w:szCs w:val="24"/>
        </w:rPr>
      </w:pPr>
    </w:p>
    <w:p w14:paraId="2A043C87">
      <w:pPr>
        <w:spacing w:line="360" w:lineRule="auto"/>
        <w:outlineLvl w:val="0"/>
        <w:rPr>
          <w:rFonts w:hint="eastAsia" w:ascii="仿宋" w:hAnsi="仿宋" w:eastAsia="仿宋" w:cs="仿宋"/>
          <w:b/>
          <w:bCs/>
          <w:kern w:val="44"/>
          <w:sz w:val="24"/>
          <w:szCs w:val="24"/>
        </w:rPr>
      </w:pPr>
    </w:p>
    <w:p w14:paraId="5CE8E7C8">
      <w:pPr>
        <w:spacing w:line="7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第四章 合同格式</w:t>
      </w:r>
      <w:bookmarkEnd w:id="290"/>
      <w:bookmarkEnd w:id="291"/>
      <w:bookmarkEnd w:id="292"/>
    </w:p>
    <w:p w14:paraId="0041977B">
      <w:pPr>
        <w:pStyle w:val="19"/>
        <w:kinsoku w:val="0"/>
        <w:overflowPunct w:val="0"/>
        <w:spacing w:line="360" w:lineRule="auto"/>
        <w:rPr>
          <w:rFonts w:hint="eastAsia" w:ascii="仿宋" w:hAnsi="仿宋" w:eastAsia="仿宋" w:cs="仿宋"/>
          <w:sz w:val="24"/>
          <w:szCs w:val="24"/>
        </w:rPr>
      </w:pPr>
    </w:p>
    <w:p w14:paraId="6C7558CE">
      <w:pPr>
        <w:widowControl/>
        <w:shd w:val="clear" w:color="auto" w:fill="FFFFFF"/>
        <w:spacing w:before="0" w:beforeAutospacing="0" w:after="0" w:afterAutospacing="0" w:line="336" w:lineRule="auto"/>
        <w:ind w:firstLine="420"/>
        <w:jc w:val="center"/>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生活物资供货合同（二标段牛、羊肉类）</w:t>
      </w:r>
    </w:p>
    <w:p w14:paraId="5DCECDA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为保证食材采购和配送工作正规有序进行，</w:t>
      </w:r>
      <w:r>
        <w:rPr>
          <w:rFonts w:hint="eastAsia" w:ascii="仿宋_GB2312" w:hAnsi="仿宋_GB2312" w:eastAsia="仿宋_GB2312" w:cs="仿宋_GB2312"/>
          <w:sz w:val="30"/>
          <w:szCs w:val="30"/>
        </w:rPr>
        <w:t>甲方与乙方就采购配送事宜,根据《中华人民共和国民法典》《中华人民共和国政府采购法》等规定,本着平等、自愿、互利、互惠的原则,经</w:t>
      </w:r>
      <w:r>
        <w:rPr>
          <w:rFonts w:hint="eastAsia" w:ascii="仿宋_GB2312" w:hAnsi="仿宋_GB2312" w:eastAsia="仿宋_GB2312" w:cs="仿宋_GB2312"/>
          <w:sz w:val="30"/>
          <w:szCs w:val="30"/>
          <w:lang w:eastAsia="zh-CN"/>
        </w:rPr>
        <w:t>双</w:t>
      </w:r>
      <w:r>
        <w:rPr>
          <w:rFonts w:hint="eastAsia" w:ascii="仿宋_GB2312" w:hAnsi="仿宋_GB2312" w:eastAsia="仿宋_GB2312" w:cs="仿宋_GB2312"/>
          <w:sz w:val="30"/>
          <w:szCs w:val="30"/>
        </w:rPr>
        <w:t>方协商一致,订立本合同。</w:t>
      </w:r>
    </w:p>
    <w:p w14:paraId="407FE0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1.采购物品名称、品牌、规格、金额(人民币/元)</w:t>
      </w:r>
    </w:p>
    <w:p w14:paraId="4C6B5F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 价格清单(名称、品牌、规格及价格):</w:t>
      </w:r>
    </w:p>
    <w:tbl>
      <w:tblPr>
        <w:tblStyle w:val="28"/>
        <w:tblW w:w="0" w:type="auto"/>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262"/>
        <w:gridCol w:w="1625"/>
        <w:gridCol w:w="1150"/>
        <w:gridCol w:w="1225"/>
        <w:gridCol w:w="1900"/>
      </w:tblGrid>
      <w:tr w14:paraId="0DBF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3C7394CF">
            <w:pPr>
              <w:keepNext w:val="0"/>
              <w:keepLines w:val="0"/>
              <w:pageBreakBefore w:val="0"/>
              <w:widowControl w:val="0"/>
              <w:kinsoku/>
              <w:wordWrap/>
              <w:overflowPunct/>
              <w:topLinePunct w:val="0"/>
              <w:autoSpaceDE/>
              <w:autoSpaceDN/>
              <w:bidi w:val="0"/>
              <w:adjustRightInd/>
              <w:snapToGrid/>
              <w:spacing w:line="560" w:lineRule="exact"/>
              <w:ind w:firstLine="300" w:firstLineChars="100"/>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序号</w:t>
            </w:r>
          </w:p>
        </w:tc>
        <w:tc>
          <w:tcPr>
            <w:tcW w:w="1262" w:type="dxa"/>
            <w:noWrap w:val="0"/>
            <w:vAlign w:val="top"/>
          </w:tcPr>
          <w:p w14:paraId="2DA64C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名称</w:t>
            </w:r>
          </w:p>
        </w:tc>
        <w:tc>
          <w:tcPr>
            <w:tcW w:w="1625" w:type="dxa"/>
            <w:noWrap w:val="0"/>
            <w:vAlign w:val="top"/>
          </w:tcPr>
          <w:p w14:paraId="7FB0F6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eastAsia="zh-CN"/>
              </w:rPr>
              <w:t>规格</w:t>
            </w:r>
            <w:r>
              <w:rPr>
                <w:rFonts w:hint="eastAsia" w:ascii="仿宋_GB2312" w:hAnsi="仿宋_GB2312" w:eastAsia="仿宋_GB2312" w:cs="仿宋_GB2312"/>
                <w:sz w:val="30"/>
                <w:szCs w:val="30"/>
                <w:vertAlign w:val="baseline"/>
                <w:lang w:val="en-US" w:eastAsia="zh-CN"/>
              </w:rPr>
              <w:t>/单位</w:t>
            </w:r>
          </w:p>
        </w:tc>
        <w:tc>
          <w:tcPr>
            <w:tcW w:w="1150" w:type="dxa"/>
            <w:noWrap w:val="0"/>
            <w:vAlign w:val="top"/>
          </w:tcPr>
          <w:p w14:paraId="5093D6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单价</w:t>
            </w:r>
          </w:p>
        </w:tc>
        <w:tc>
          <w:tcPr>
            <w:tcW w:w="1225" w:type="dxa"/>
            <w:noWrap w:val="0"/>
            <w:vAlign w:val="top"/>
          </w:tcPr>
          <w:p w14:paraId="7A0724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下浮率</w:t>
            </w:r>
          </w:p>
        </w:tc>
        <w:tc>
          <w:tcPr>
            <w:tcW w:w="1900" w:type="dxa"/>
            <w:noWrap w:val="0"/>
            <w:vAlign w:val="top"/>
          </w:tcPr>
          <w:p w14:paraId="46D26D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下浮后单价</w:t>
            </w:r>
          </w:p>
        </w:tc>
      </w:tr>
      <w:tr w14:paraId="4026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07F82C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62" w:type="dxa"/>
            <w:noWrap w:val="0"/>
            <w:vAlign w:val="top"/>
          </w:tcPr>
          <w:p w14:paraId="6976D2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625" w:type="dxa"/>
            <w:noWrap w:val="0"/>
            <w:vAlign w:val="top"/>
          </w:tcPr>
          <w:p w14:paraId="3CFBE6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150" w:type="dxa"/>
            <w:noWrap w:val="0"/>
            <w:vAlign w:val="top"/>
          </w:tcPr>
          <w:p w14:paraId="65CC1E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25" w:type="dxa"/>
            <w:noWrap w:val="0"/>
            <w:vAlign w:val="top"/>
          </w:tcPr>
          <w:p w14:paraId="54CF3C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900" w:type="dxa"/>
            <w:noWrap w:val="0"/>
            <w:vAlign w:val="top"/>
          </w:tcPr>
          <w:p w14:paraId="70168A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r>
      <w:tr w14:paraId="59AC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00" w:type="dxa"/>
            <w:noWrap w:val="0"/>
            <w:vAlign w:val="top"/>
          </w:tcPr>
          <w:p w14:paraId="3041F2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62" w:type="dxa"/>
            <w:noWrap w:val="0"/>
            <w:vAlign w:val="top"/>
          </w:tcPr>
          <w:p w14:paraId="2CD088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625" w:type="dxa"/>
            <w:noWrap w:val="0"/>
            <w:vAlign w:val="top"/>
          </w:tcPr>
          <w:p w14:paraId="11226C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150" w:type="dxa"/>
            <w:noWrap w:val="0"/>
            <w:vAlign w:val="top"/>
          </w:tcPr>
          <w:p w14:paraId="793379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25" w:type="dxa"/>
            <w:noWrap w:val="0"/>
            <w:vAlign w:val="top"/>
          </w:tcPr>
          <w:p w14:paraId="2FCC3B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900" w:type="dxa"/>
            <w:noWrap w:val="0"/>
            <w:vAlign w:val="top"/>
          </w:tcPr>
          <w:p w14:paraId="0BDC3D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r>
      <w:tr w14:paraId="333F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424516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62" w:type="dxa"/>
            <w:noWrap w:val="0"/>
            <w:vAlign w:val="top"/>
          </w:tcPr>
          <w:p w14:paraId="3BE050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625" w:type="dxa"/>
            <w:noWrap w:val="0"/>
            <w:vAlign w:val="top"/>
          </w:tcPr>
          <w:p w14:paraId="44B802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150" w:type="dxa"/>
            <w:noWrap w:val="0"/>
            <w:vAlign w:val="top"/>
          </w:tcPr>
          <w:p w14:paraId="6B7129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25" w:type="dxa"/>
            <w:noWrap w:val="0"/>
            <w:vAlign w:val="top"/>
          </w:tcPr>
          <w:p w14:paraId="5288BE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900" w:type="dxa"/>
            <w:noWrap w:val="0"/>
            <w:vAlign w:val="top"/>
          </w:tcPr>
          <w:p w14:paraId="663235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r>
      <w:tr w14:paraId="2E70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7A3EA6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262" w:type="dxa"/>
            <w:noWrap w:val="0"/>
            <w:vAlign w:val="top"/>
          </w:tcPr>
          <w:p w14:paraId="4D0D21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625" w:type="dxa"/>
            <w:noWrap w:val="0"/>
            <w:vAlign w:val="top"/>
          </w:tcPr>
          <w:p w14:paraId="6F3430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150" w:type="dxa"/>
            <w:noWrap w:val="0"/>
            <w:vAlign w:val="top"/>
          </w:tcPr>
          <w:p w14:paraId="4D6B41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225" w:type="dxa"/>
            <w:noWrap w:val="0"/>
            <w:vAlign w:val="top"/>
          </w:tcPr>
          <w:p w14:paraId="1E0FDC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900" w:type="dxa"/>
            <w:noWrap w:val="0"/>
            <w:vAlign w:val="top"/>
          </w:tcPr>
          <w:p w14:paraId="727EE6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r>
    </w:tbl>
    <w:p w14:paraId="4A2CFAE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1.2 </w:t>
      </w:r>
      <w:r>
        <w:rPr>
          <w:rFonts w:hint="eastAsia" w:ascii="仿宋_GB2312" w:hAnsi="仿宋_GB2312" w:eastAsia="仿宋_GB2312" w:cs="仿宋_GB2312"/>
          <w:sz w:val="30"/>
          <w:szCs w:val="30"/>
          <w:lang w:eastAsia="zh-CN"/>
        </w:rPr>
        <w:t>乙方提</w:t>
      </w:r>
      <w:r>
        <w:rPr>
          <w:rFonts w:hint="eastAsia" w:ascii="仿宋_GB2312" w:hAnsi="仿宋_GB2312" w:eastAsia="仿宋_GB2312" w:cs="仿宋_GB2312"/>
          <w:color w:val="auto"/>
          <w:sz w:val="30"/>
          <w:szCs w:val="30"/>
          <w:highlight w:val="none"/>
          <w:lang w:eastAsia="zh-CN"/>
        </w:rPr>
        <w:t>供的牛羊肉，具体以甲方实际需求为准，价格全部按照市场调价的方式，（</w:t>
      </w:r>
      <w:r>
        <w:rPr>
          <w:rFonts w:hint="eastAsia" w:ascii="仿宋_GB2312" w:hAnsi="仿宋_GB2312" w:eastAsia="仿宋_GB2312" w:cs="仿宋_GB2312"/>
          <w:color w:val="auto"/>
          <w:sz w:val="30"/>
          <w:szCs w:val="30"/>
          <w:highlight w:val="none"/>
          <w:lang w:val="en-US" w:eastAsia="zh-CN"/>
        </w:rPr>
        <w:t>以伊宁市九鼎市场批发价作为参照，结算价格不低于批发价，不得高于市场零售价</w:t>
      </w:r>
      <w:r>
        <w:rPr>
          <w:rFonts w:hint="eastAsia" w:ascii="仿宋_GB2312" w:hAnsi="仿宋_GB2312" w:eastAsia="仿宋_GB2312" w:cs="仿宋_GB2312"/>
          <w:color w:val="auto"/>
          <w:sz w:val="30"/>
          <w:szCs w:val="30"/>
          <w:highlight w:val="none"/>
          <w:lang w:eastAsia="zh-CN"/>
        </w:rPr>
        <w:t>），以</w:t>
      </w:r>
      <w:r>
        <w:rPr>
          <w:rFonts w:hint="eastAsia" w:ascii="仿宋_GB2312" w:hAnsi="仿宋_GB2312" w:eastAsia="仿宋_GB2312" w:cs="仿宋_GB2312"/>
          <w:color w:val="auto"/>
          <w:sz w:val="30"/>
          <w:szCs w:val="30"/>
          <w:highlight w:val="none"/>
          <w:lang w:val="en-US" w:eastAsia="zh-CN"/>
        </w:rPr>
        <w:t>甲方</w:t>
      </w:r>
      <w:r>
        <w:rPr>
          <w:rFonts w:hint="eastAsia" w:ascii="仿宋_GB2312" w:hAnsi="仿宋_GB2312" w:eastAsia="仿宋_GB2312" w:cs="仿宋_GB2312"/>
          <w:color w:val="auto"/>
          <w:sz w:val="30"/>
          <w:szCs w:val="30"/>
          <w:highlight w:val="none"/>
          <w:lang w:eastAsia="zh-CN"/>
        </w:rPr>
        <w:t>每月中旬</w:t>
      </w:r>
      <w:r>
        <w:rPr>
          <w:rFonts w:hint="eastAsia" w:ascii="仿宋_GB2312" w:hAnsi="仿宋_GB2312" w:eastAsia="仿宋_GB2312" w:cs="仿宋_GB2312"/>
          <w:color w:val="auto"/>
          <w:sz w:val="30"/>
          <w:szCs w:val="30"/>
          <w:highlight w:val="none"/>
          <w:lang w:val="en-US" w:eastAsia="zh-CN"/>
        </w:rPr>
        <w:t>在</w:t>
      </w:r>
      <w:r>
        <w:rPr>
          <w:rFonts w:hint="eastAsia" w:ascii="仿宋_GB2312" w:hAnsi="仿宋_GB2312" w:eastAsia="仿宋_GB2312" w:cs="仿宋_GB2312"/>
          <w:color w:val="auto"/>
          <w:sz w:val="30"/>
          <w:szCs w:val="30"/>
          <w:highlight w:val="none"/>
          <w:lang w:eastAsia="zh-CN"/>
        </w:rPr>
        <w:t>伊宁市黄河路菜市场、北京路菜市场询价价格为基准价，以中标分项下浮率下浮的方式结算当月货款。</w:t>
      </w:r>
      <w:r>
        <w:rPr>
          <w:rFonts w:hint="eastAsia" w:ascii="仿宋_GB2312" w:hAnsi="仿宋_GB2312" w:eastAsia="仿宋_GB2312" w:cs="仿宋_GB2312"/>
          <w:color w:val="auto"/>
          <w:sz w:val="30"/>
          <w:szCs w:val="30"/>
          <w:highlight w:val="none"/>
        </w:rPr>
        <w:t>以上供货价格系指包括全部货品、税费、包装费、运输费、装卸以及最终将货物卸载、运送、搬货交付到甲方指定区域待甲方验收的全部费</w:t>
      </w:r>
      <w:r>
        <w:rPr>
          <w:rFonts w:hint="eastAsia" w:ascii="仿宋_GB2312" w:hAnsi="仿宋_GB2312" w:eastAsia="仿宋_GB2312" w:cs="仿宋_GB2312"/>
          <w:sz w:val="30"/>
          <w:szCs w:val="30"/>
        </w:rPr>
        <w:t>用,其他存在或可能存在的各类税、费、成本等亦由乙方承担。</w:t>
      </w:r>
    </w:p>
    <w:p w14:paraId="65C205A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 每批货物价格以合同约定价格计算方式(小数点两位后均不计入价款),乙方在合同有效期内不得提出任何费用的增加。实际供货数量以甲方通知乙方配送到位的验收合格且净重数量为准,结算数量按照甲方对货物称重并</w:t>
      </w:r>
      <w:r>
        <w:rPr>
          <w:rFonts w:hint="eastAsia" w:ascii="仿宋_GB2312" w:hAnsi="仿宋_GB2312" w:eastAsia="仿宋_GB2312" w:cs="仿宋_GB2312"/>
          <w:sz w:val="30"/>
          <w:szCs w:val="30"/>
          <w:lang w:eastAsia="zh-CN"/>
        </w:rPr>
        <w:t>验收</w:t>
      </w:r>
      <w:r>
        <w:rPr>
          <w:rFonts w:hint="eastAsia" w:ascii="仿宋_GB2312" w:hAnsi="仿宋_GB2312" w:eastAsia="仿宋_GB2312" w:cs="仿宋_GB2312"/>
          <w:sz w:val="30"/>
          <w:szCs w:val="30"/>
        </w:rPr>
        <w:t>合格后的净重数量进行结算。</w:t>
      </w:r>
    </w:p>
    <w:p w14:paraId="1741CDA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2.质量标准及质保期</w:t>
      </w:r>
    </w:p>
    <w:p w14:paraId="1C37FE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2.1</w:t>
      </w:r>
      <w:r>
        <w:rPr>
          <w:rFonts w:hint="eastAsia" w:ascii="仿宋_GB2312" w:hAnsi="仿宋_GB2312" w:eastAsia="仿宋_GB2312" w:cs="仿宋_GB2312"/>
          <w:sz w:val="30"/>
          <w:szCs w:val="30"/>
        </w:rPr>
        <w:t>总体要求:投标人所提供的产品,各项指标必须符合中华人民共和国食品安全国家标准。</w:t>
      </w:r>
    </w:p>
    <w:p w14:paraId="73F9D7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卫生指标:卫生指标应符合《食品安全国家标准鲜(冻)畜、禽</w:t>
      </w:r>
    </w:p>
    <w:p w14:paraId="7528D1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产品》等相关标准,肉类提供动物检疫合格证明。</w:t>
      </w:r>
    </w:p>
    <w:p w14:paraId="4A77FDB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w:t>
      </w:r>
      <w:r>
        <w:rPr>
          <w:rFonts w:hint="eastAsia" w:ascii="仿宋_GB2312" w:hAnsi="仿宋_GB2312" w:eastAsia="仿宋_GB2312" w:cs="仿宋_GB2312"/>
          <w:sz w:val="30"/>
          <w:szCs w:val="30"/>
        </w:rPr>
        <w:t>质量要求:</w:t>
      </w:r>
    </w:p>
    <w:p w14:paraId="220DA40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2.3.1</w:t>
      </w:r>
      <w:r>
        <w:rPr>
          <w:rFonts w:hint="eastAsia" w:ascii="仿宋_GB2312" w:hAnsi="仿宋_GB2312" w:eastAsia="仿宋_GB2312" w:cs="仿宋_GB2312"/>
          <w:sz w:val="30"/>
          <w:szCs w:val="30"/>
        </w:rPr>
        <w:t>牛</w:t>
      </w:r>
      <w:r>
        <w:rPr>
          <w:rFonts w:hint="eastAsia" w:ascii="仿宋_GB2312" w:hAnsi="仿宋_GB2312" w:eastAsia="仿宋_GB2312" w:cs="仿宋_GB2312"/>
          <w:sz w:val="30"/>
          <w:szCs w:val="30"/>
          <w:lang w:eastAsia="zh-CN"/>
        </w:rPr>
        <w:t>羊</w:t>
      </w:r>
      <w:r>
        <w:rPr>
          <w:rFonts w:hint="eastAsia" w:ascii="仿宋_GB2312" w:hAnsi="仿宋_GB2312" w:eastAsia="仿宋_GB2312" w:cs="仿宋_GB2312"/>
          <w:sz w:val="30"/>
          <w:szCs w:val="30"/>
        </w:rPr>
        <w:t>肉类质量标准符合 GB / T17238-2022;</w:t>
      </w:r>
    </w:p>
    <w:p w14:paraId="462B8AF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2.3.2</w:t>
      </w:r>
      <w:r>
        <w:rPr>
          <w:rFonts w:hint="eastAsia" w:ascii="仿宋_GB2312" w:hAnsi="仿宋_GB2312" w:eastAsia="仿宋_GB2312" w:cs="仿宋_GB2312"/>
          <w:sz w:val="30"/>
          <w:szCs w:val="30"/>
        </w:rPr>
        <w:t>每批次货物提供所供产品的有效检测报告</w:t>
      </w:r>
      <w:r>
        <w:rPr>
          <w:rFonts w:hint="eastAsia" w:ascii="仿宋_GB2312" w:hAnsi="仿宋_GB2312" w:eastAsia="仿宋_GB2312" w:cs="仿宋_GB2312"/>
          <w:sz w:val="30"/>
          <w:szCs w:val="30"/>
          <w:lang w:eastAsia="zh-CN"/>
        </w:rPr>
        <w:t>；</w:t>
      </w:r>
    </w:p>
    <w:p w14:paraId="50F1AC5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sz w:val="30"/>
          <w:szCs w:val="30"/>
          <w:lang w:val="en-US" w:eastAsia="zh-CN"/>
        </w:rPr>
        <w:t>2.3.3所供肉品均为鲜肉，</w:t>
      </w:r>
      <w:r>
        <w:rPr>
          <w:rFonts w:hint="eastAsia" w:ascii="仿宋_GB2312" w:hAnsi="仿宋_GB2312" w:eastAsia="仿宋_GB2312" w:cs="仿宋_GB2312"/>
          <w:sz w:val="30"/>
          <w:szCs w:val="30"/>
        </w:rPr>
        <w:t>肉品有光泽,颜色正常,表面微干或湿润,</w:t>
      </w:r>
      <w:r>
        <w:rPr>
          <w:rFonts w:hint="eastAsia" w:ascii="仿宋_GB2312" w:hAnsi="仿宋_GB2312" w:eastAsia="仿宋_GB2312" w:cs="仿宋_GB2312"/>
          <w:sz w:val="30"/>
          <w:szCs w:val="30"/>
          <w:lang w:eastAsia="zh-CN"/>
        </w:rPr>
        <w:t>无凝结的血块，</w:t>
      </w:r>
      <w:r>
        <w:rPr>
          <w:rFonts w:hint="eastAsia" w:ascii="仿宋_GB2312" w:hAnsi="仿宋_GB2312" w:eastAsia="仿宋_GB2312" w:cs="仿宋_GB2312"/>
          <w:sz w:val="30"/>
          <w:szCs w:val="30"/>
        </w:rPr>
        <w:t>无异味,无肉眼可</w:t>
      </w:r>
      <w:r>
        <w:rPr>
          <w:rFonts w:hint="eastAsia" w:ascii="仿宋_GB2312" w:hAnsi="仿宋_GB2312" w:eastAsia="仿宋_GB2312" w:cs="仿宋_GB2312"/>
          <w:color w:val="auto"/>
          <w:sz w:val="30"/>
          <w:szCs w:val="30"/>
          <w:highlight w:val="none"/>
        </w:rPr>
        <w:t>见外来杂质</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严禁使用注水肉</w:t>
      </w:r>
      <w:r>
        <w:rPr>
          <w:rFonts w:hint="eastAsia" w:ascii="仿宋_GB2312" w:hAnsi="仿宋_GB2312" w:eastAsia="仿宋_GB2312" w:cs="仿宋_GB2312"/>
          <w:color w:val="auto"/>
          <w:sz w:val="30"/>
          <w:szCs w:val="30"/>
          <w:highlight w:val="none"/>
        </w:rPr>
        <w:t>;</w:t>
      </w:r>
    </w:p>
    <w:p w14:paraId="5EC3FE2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2.3.4</w:t>
      </w:r>
      <w:r>
        <w:rPr>
          <w:rFonts w:hint="eastAsia" w:ascii="仿宋_GB2312" w:hAnsi="仿宋_GB2312" w:eastAsia="仿宋_GB2312" w:cs="仿宋_GB2312"/>
          <w:color w:val="auto"/>
          <w:sz w:val="30"/>
          <w:szCs w:val="30"/>
          <w:highlight w:val="none"/>
        </w:rPr>
        <w:t>严禁病死、毒死或者死因不明的畜肉及其制品。</w:t>
      </w:r>
    </w:p>
    <w:p w14:paraId="220E252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2.4</w:t>
      </w:r>
      <w:r>
        <w:rPr>
          <w:rFonts w:hint="eastAsia" w:ascii="仿宋_GB2312" w:hAnsi="仿宋_GB2312" w:eastAsia="仿宋_GB2312" w:cs="仿宋_GB2312"/>
          <w:color w:val="auto"/>
          <w:sz w:val="30"/>
          <w:szCs w:val="30"/>
          <w:highlight w:val="none"/>
        </w:rPr>
        <w:t>包装要求:</w:t>
      </w:r>
    </w:p>
    <w:p w14:paraId="16EA4D0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highlight w:val="none"/>
          <w:lang w:val="en-US" w:eastAsia="zh-CN"/>
        </w:rPr>
        <w:t>2.4.1</w:t>
      </w:r>
      <w:r>
        <w:rPr>
          <w:rFonts w:hint="eastAsia" w:ascii="仿宋_GB2312" w:hAnsi="仿宋_GB2312" w:eastAsia="仿宋_GB2312" w:cs="仿宋_GB2312"/>
          <w:color w:val="auto"/>
          <w:sz w:val="30"/>
          <w:szCs w:val="30"/>
          <w:highlight w:val="none"/>
        </w:rPr>
        <w:t>包装使用塑料薄膜、纸制品、泡</w:t>
      </w:r>
      <w:r>
        <w:rPr>
          <w:rFonts w:hint="eastAsia" w:ascii="仿宋_GB2312" w:hAnsi="仿宋_GB2312" w:eastAsia="仿宋_GB2312" w:cs="仿宋_GB2312"/>
          <w:sz w:val="30"/>
          <w:szCs w:val="30"/>
        </w:rPr>
        <w:t>沫箱等,材料无毒、无害、无异味,具有一定透气性;</w:t>
      </w:r>
    </w:p>
    <w:p w14:paraId="7EF516C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2.4.2</w:t>
      </w:r>
      <w:r>
        <w:rPr>
          <w:rFonts w:hint="eastAsia" w:ascii="仿宋_GB2312" w:hAnsi="仿宋_GB2312" w:eastAsia="仿宋_GB2312" w:cs="仿宋_GB2312"/>
          <w:sz w:val="30"/>
          <w:szCs w:val="30"/>
        </w:rPr>
        <w:t>包装材料应清洁、干燥,不得含有害物质,也不能对肉品造成污染;</w:t>
      </w:r>
    </w:p>
    <w:p w14:paraId="5240F45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 xml:space="preserve"> 乙方保证本合同项下所提供的货物来源安全可靠,质量符合国家质量安全标准及招投标文件、答疑附件的质量要求,干净卫生、新鲜、无杂质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变质、腐烂、以假充真、以次充好等现象,并保证其销售的产品不存在有造成甲方或任何第三人人身损害的现实或潜在的危险;乙方承诺对货物质量承担终身追溯责任。若因此造成任何损失,由乙方承担全部赔偿责任及违约责任。</w:t>
      </w:r>
    </w:p>
    <w:p w14:paraId="12C66B7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乙方应保证其配送的每一个批次的货物符合上述质量标准及相应的</w:t>
      </w:r>
      <w:r>
        <w:rPr>
          <w:rFonts w:hint="eastAsia" w:ascii="仿宋_GB2312" w:hAnsi="仿宋_GB2312" w:eastAsia="仿宋_GB2312" w:cs="仿宋_GB2312"/>
          <w:sz w:val="30"/>
          <w:szCs w:val="30"/>
          <w:lang w:eastAsia="zh-CN"/>
        </w:rPr>
        <w:t>食品</w:t>
      </w:r>
      <w:r>
        <w:rPr>
          <w:rFonts w:hint="eastAsia" w:ascii="仿宋_GB2312" w:hAnsi="仿宋_GB2312" w:eastAsia="仿宋_GB2312" w:cs="仿宋_GB2312"/>
          <w:sz w:val="30"/>
          <w:szCs w:val="30"/>
        </w:rPr>
        <w:t>安全标准,并在交付时提供由国家级检测机构出具的</w:t>
      </w:r>
      <w:r>
        <w:rPr>
          <w:rFonts w:hint="eastAsia" w:ascii="仿宋_GB2312" w:hAnsi="仿宋_GB2312" w:eastAsia="仿宋_GB2312" w:cs="仿宋_GB2312"/>
          <w:sz w:val="30"/>
          <w:szCs w:val="30"/>
          <w:lang w:eastAsia="zh-CN"/>
        </w:rPr>
        <w:t>动物检疫</w:t>
      </w:r>
      <w:r>
        <w:rPr>
          <w:rFonts w:hint="eastAsia" w:ascii="仿宋_GB2312" w:hAnsi="仿宋_GB2312" w:eastAsia="仿宋_GB2312" w:cs="仿宋_GB2312"/>
          <w:sz w:val="30"/>
          <w:szCs w:val="30"/>
        </w:rPr>
        <w:t>证明。无</w:t>
      </w:r>
      <w:r>
        <w:rPr>
          <w:rFonts w:hint="eastAsia" w:ascii="仿宋_GB2312" w:hAnsi="仿宋_GB2312" w:eastAsia="仿宋_GB2312" w:cs="仿宋_GB2312"/>
          <w:sz w:val="30"/>
          <w:szCs w:val="30"/>
          <w:lang w:eastAsia="zh-CN"/>
        </w:rPr>
        <w:t>动物检疫</w:t>
      </w:r>
      <w:r>
        <w:rPr>
          <w:rFonts w:hint="eastAsia" w:ascii="仿宋_GB2312" w:hAnsi="仿宋_GB2312" w:eastAsia="仿宋_GB2312" w:cs="仿宋_GB2312"/>
          <w:sz w:val="30"/>
          <w:szCs w:val="30"/>
        </w:rPr>
        <w:t>证明未达到投标资料标准,即认定为违约行为,甲方</w:t>
      </w:r>
      <w:r>
        <w:rPr>
          <w:rFonts w:hint="eastAsia" w:ascii="仿宋_GB2312" w:hAnsi="仿宋_GB2312" w:eastAsia="仿宋_GB2312" w:cs="仿宋_GB2312"/>
          <w:sz w:val="30"/>
          <w:szCs w:val="30"/>
          <w:lang w:eastAsia="zh-CN"/>
        </w:rPr>
        <w:t>有权</w:t>
      </w:r>
      <w:r>
        <w:rPr>
          <w:rFonts w:hint="eastAsia" w:ascii="仿宋_GB2312" w:hAnsi="仿宋_GB2312" w:eastAsia="仿宋_GB2312" w:cs="仿宋_GB2312"/>
          <w:sz w:val="30"/>
          <w:szCs w:val="30"/>
        </w:rPr>
        <w:t>终止乙方供货资格</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解除合同,并追究乙方的违约责任和赔偿责任。</w:t>
      </w:r>
    </w:p>
    <w:p w14:paraId="16570A7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t>2.</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rPr>
        <w:t xml:space="preserve"> 乙方保证所供货物质量新鲜</w:t>
      </w:r>
      <w:r>
        <w:rPr>
          <w:rFonts w:hint="eastAsia" w:ascii="仿宋_GB2312" w:hAnsi="仿宋_GB2312" w:eastAsia="仿宋_GB2312" w:cs="仿宋_GB2312"/>
          <w:color w:val="FF0000"/>
          <w:sz w:val="30"/>
          <w:szCs w:val="30"/>
          <w:lang w:eastAsia="zh-CN"/>
        </w:rPr>
        <w:t>。</w:t>
      </w:r>
      <w:r>
        <w:rPr>
          <w:rFonts w:hint="eastAsia" w:ascii="仿宋_GB2312" w:hAnsi="仿宋_GB2312" w:eastAsia="仿宋_GB2312" w:cs="仿宋_GB2312"/>
          <w:sz w:val="30"/>
          <w:szCs w:val="30"/>
        </w:rPr>
        <w:t>如乙方所供货物不符合双方约定质量标准的,甲方有权拒收货物并要求乙方自行收回,</w:t>
      </w:r>
      <w:r>
        <w:rPr>
          <w:rFonts w:hint="eastAsia" w:ascii="仿宋_GB2312" w:hAnsi="仿宋_GB2312" w:eastAsia="仿宋_GB2312" w:cs="仿宋_GB2312"/>
          <w:color w:val="auto"/>
          <w:sz w:val="30"/>
          <w:szCs w:val="30"/>
          <w:lang w:eastAsia="zh-CN"/>
        </w:rPr>
        <w:t>应在甲方规定的时间内</w:t>
      </w:r>
      <w:r>
        <w:rPr>
          <w:rFonts w:hint="eastAsia" w:ascii="仿宋_GB2312" w:hAnsi="仿宋_GB2312" w:eastAsia="仿宋_GB2312" w:cs="仿宋_GB2312"/>
          <w:color w:val="auto"/>
          <w:sz w:val="30"/>
          <w:szCs w:val="30"/>
        </w:rPr>
        <w:t>更换符合要求退换的货物,费用由乙方承担</w:t>
      </w:r>
      <w:r>
        <w:rPr>
          <w:rFonts w:hint="eastAsia" w:ascii="仿宋_GB2312" w:hAnsi="仿宋_GB2312" w:eastAsia="仿宋_GB2312" w:cs="仿宋_GB2312"/>
          <w:color w:val="auto"/>
          <w:sz w:val="30"/>
          <w:szCs w:val="30"/>
          <w:lang w:eastAsia="zh-CN"/>
        </w:rPr>
        <w:t>，并</w:t>
      </w:r>
      <w:r>
        <w:rPr>
          <w:rFonts w:hint="eastAsia" w:ascii="仿宋_GB2312" w:hAnsi="仿宋_GB2312" w:eastAsia="仿宋_GB2312" w:cs="仿宋_GB2312"/>
          <w:sz w:val="30"/>
          <w:szCs w:val="30"/>
          <w:lang w:eastAsia="zh-CN"/>
        </w:rPr>
        <w:t>扣除</w:t>
      </w:r>
      <w:r>
        <w:rPr>
          <w:rFonts w:hint="eastAsia" w:ascii="仿宋_GB2312" w:hAnsi="仿宋_GB2312" w:eastAsia="仿宋_GB2312" w:cs="仿宋_GB2312"/>
          <w:sz w:val="30"/>
          <w:szCs w:val="30"/>
          <w:lang w:val="en-US" w:eastAsia="zh-CN"/>
        </w:rPr>
        <w:t>本合同</w:t>
      </w:r>
      <w:r>
        <w:rPr>
          <w:rFonts w:hint="eastAsia" w:ascii="仿宋_GB2312" w:hAnsi="仿宋_GB2312" w:eastAsia="仿宋_GB2312" w:cs="仿宋_GB2312"/>
          <w:sz w:val="30"/>
          <w:szCs w:val="30"/>
          <w:lang w:eastAsia="zh-CN"/>
        </w:rPr>
        <w:t>履约保证金的</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，乙方在</w:t>
      </w:r>
      <w:r>
        <w:rPr>
          <w:rFonts w:hint="eastAsia" w:ascii="仿宋_GB2312" w:hAnsi="仿宋_GB2312" w:eastAsia="仿宋_GB2312" w:cs="仿宋_GB2312"/>
          <w:sz w:val="30"/>
          <w:szCs w:val="30"/>
          <w:lang w:val="en-US" w:eastAsia="zh-CN"/>
        </w:rPr>
        <w:t>10个工作日内补交齐履约保证金。</w:t>
      </w:r>
      <w:r>
        <w:rPr>
          <w:rFonts w:hint="eastAsia" w:ascii="仿宋_GB2312" w:hAnsi="仿宋_GB2312" w:eastAsia="仿宋_GB2312" w:cs="仿宋_GB2312"/>
          <w:sz w:val="30"/>
          <w:szCs w:val="30"/>
          <w:lang w:eastAsia="zh-CN"/>
        </w:rPr>
        <w:t>如</w:t>
      </w:r>
      <w:r>
        <w:rPr>
          <w:rFonts w:hint="eastAsia" w:ascii="仿宋_GB2312" w:hAnsi="仿宋_GB2312" w:eastAsia="仿宋_GB2312" w:cs="仿宋_GB2312"/>
          <w:sz w:val="30"/>
          <w:szCs w:val="30"/>
        </w:rPr>
        <w:t>造成甲方损失的应由乙方承担,并按照</w:t>
      </w:r>
      <w:r>
        <w:rPr>
          <w:rFonts w:hint="eastAsia" w:ascii="仿宋_GB2312" w:hAnsi="仿宋_GB2312" w:eastAsia="仿宋_GB2312" w:cs="仿宋_GB2312"/>
          <w:sz w:val="30"/>
          <w:szCs w:val="30"/>
          <w:lang w:eastAsia="zh-CN"/>
        </w:rPr>
        <w:t>该批货物</w:t>
      </w:r>
      <w:r>
        <w:rPr>
          <w:rFonts w:hint="eastAsia" w:ascii="仿宋_GB2312" w:hAnsi="仿宋_GB2312" w:eastAsia="仿宋_GB2312" w:cs="仿宋_GB2312"/>
          <w:sz w:val="30"/>
          <w:szCs w:val="30"/>
        </w:rPr>
        <w:t>总金额的20%支付违约金。双方无法确定产品质量问题的,甲方有权通过第三方机构进行检测或鉴定,如确实存在非因甲方原因造成的质量问题,由此产生的费用包括但不限于检测费、鉴定费、运输费、人工费等费用由乙方承担。</w:t>
      </w:r>
    </w:p>
    <w:p w14:paraId="7B401E8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3.交货时间、地点及风险转移</w:t>
      </w:r>
    </w:p>
    <w:p w14:paraId="132A69E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 乙方按甲方要求配送货物的日期将货物送达至指定地点:甲方指定地点,并确保及时配合甲方完成验收工作。</w:t>
      </w:r>
    </w:p>
    <w:p w14:paraId="19A1D85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 供货时间:</w:t>
      </w:r>
    </w:p>
    <w:p w14:paraId="1AF34F3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3.2.1 甲方向乙方发送订货单时起,乙方应在约定时间或甲方指定的时间将货物送至甲方指定地点(特殊商品除外),甲方将根据订货单进行严格验收,超出订货单范围或质量不合格的货物甲方有权拒收,乙方应在甲方通知的期限内取走,否则甲方将视为乙方无偿提供超出部分货物,有权处置该部分货物并向乙方收取仓储费用;如乙方不能及时送货造成甲方保障无法正常运行,甲方有权扣除本合同履约保证金的50%,甲方委托第三方配送货物的,由此产生的一切费用由乙方承担。第二次再出现同样情况的,甲方有权单方解除合同并扣除全额履约保证金。有特殊需求的供货时间,由甲方指定供货时间与频次。</w:t>
      </w:r>
    </w:p>
    <w:p w14:paraId="52CA83B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3.2.2 如甲方应急临时需购货品,乙方必须按指定的品种、数量,并保证货物符合国家相关食品安全标准。在接到甲方的</w:t>
      </w:r>
      <w:r>
        <w:rPr>
          <w:rFonts w:hint="eastAsia" w:ascii="仿宋_GB2312" w:hAnsi="仿宋_GB2312" w:eastAsia="仿宋_GB2312" w:cs="仿宋_GB2312"/>
          <w:sz w:val="30"/>
          <w:szCs w:val="30"/>
          <w:lang w:eastAsia="zh-CN"/>
        </w:rPr>
        <w:t>订单</w:t>
      </w:r>
      <w:r>
        <w:rPr>
          <w:rFonts w:hint="eastAsia" w:ascii="仿宋_GB2312" w:hAnsi="仿宋_GB2312" w:eastAsia="仿宋_GB2312" w:cs="仿宋_GB2312"/>
          <w:sz w:val="30"/>
          <w:szCs w:val="30"/>
        </w:rPr>
        <w:t xml:space="preserve">通知后 </w:t>
      </w:r>
      <w:r>
        <w:rPr>
          <w:rFonts w:hint="eastAsia" w:ascii="仿宋_GB2312" w:hAnsi="仿宋_GB2312" w:eastAsia="仿宋_GB2312" w:cs="仿宋_GB2312"/>
          <w:sz w:val="30"/>
          <w:szCs w:val="30"/>
          <w:lang w:eastAsia="zh-CN"/>
        </w:rPr>
        <w:t>在规定时间内</w:t>
      </w:r>
      <w:r>
        <w:rPr>
          <w:rFonts w:hint="eastAsia" w:ascii="仿宋_GB2312" w:hAnsi="仿宋_GB2312" w:eastAsia="仿宋_GB2312" w:cs="仿宋_GB2312"/>
          <w:sz w:val="30"/>
          <w:szCs w:val="30"/>
        </w:rPr>
        <w:t>送货至甲方指定地点。</w:t>
      </w:r>
    </w:p>
    <w:p w14:paraId="29EE969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 交货完成前(即货物交付完毕且经甲方书面验收合格前),本合同项下货物的损毁灭失风险由乙方承担,交货完成后(货物交付完毕且经过甲方书面验收合格后),非因甲方原因,出现质量问题,甲方要求乙方在 24 小时内更换货物或退货处理,并保留追偿全部损失的权利。</w:t>
      </w:r>
    </w:p>
    <w:p w14:paraId="020DA03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 供货方式:按甲方需求及要求(质量要求、送货方式及卸货要求)供货,送达指定地点。</w:t>
      </w:r>
    </w:p>
    <w:p w14:paraId="7E863B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 在紧急需求特殊情况下,乙方有责任配合甲方做好人员、车辆等安全检查、卫生防疫等相关要求,未经检测达标的,甲方有权禁止其入场供货,乙方应当立即整改,由此所造成的逾期视为乙方违约。</w:t>
      </w:r>
    </w:p>
    <w:p w14:paraId="321B9B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4.货物的包装及运输</w:t>
      </w:r>
    </w:p>
    <w:p w14:paraId="76D66F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 包装必须与运输方式相适应,包装方式的确定和包装费用均由乙方负责;乙方应在货物交付前提供包装方案供甲方审核,未经甲方书面同意不得变更包装方式。由于不适当的包装而造成的货物有任何损坏由乙方负责。</w:t>
      </w:r>
    </w:p>
    <w:p w14:paraId="0655588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 采用定型包装的货物,包装必须符合国家对产品包装的有关规定。货品由生产厂家使用符合国家食品卫生要求的包装箱或包装袋进行完整包装,包装上必须有清晰的厂家信息、生产日期、保质期、净重量;必须有 SC 编码;包装破损甲方有权拒绝接收,自然破损除外。</w:t>
      </w:r>
    </w:p>
    <w:p w14:paraId="5FF2483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 乙方保证运输周转的容器与车辆的清洁卫生和防止货物在运输过程中受到污染,否则甲方有权拒绝接收。</w:t>
      </w:r>
    </w:p>
    <w:p w14:paraId="2A3325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 xml:space="preserve"> 乙方根据运送货物的需求,运送车辆及方式须符合《中华人民共和国道路交通安全法》《中华人民共和国道路运输条例》及国家相关行业标准(如 GB/T 26772-2011 等),乙方承运车辆到达甲方指定地点后必须服从甲方管理,并确保货物按要求安全放置在指定区域。</w:t>
      </w:r>
    </w:p>
    <w:p w14:paraId="6248F48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5.验收</w:t>
      </w:r>
    </w:p>
    <w:p w14:paraId="36DE55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 验收标准:以招投标文件及本合同甲、乙双方约定的质量标准为货物的验收标准。甲方仅对乙方交付货物的数量、规格、外观等进行初步验收,初步验收合格不代表乙方对所交付货物潜在质量安全问题免责。甲方有权对货物进行破坏性抽样检测,检测费用和产生的成本由乙方承担。验收合格后若发现质量问题(如保质期内变质),乙方仍需无条件退换并赔偿损失,且甲方有权从货款中直接扣除相关费用。</w:t>
      </w:r>
    </w:p>
    <w:p w14:paraId="44FE870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 数量的认定:乙方依据甲方提供的物资计划单中品种数量进行配送;甲方工作人员和乙方人员现场称重或点数完毕后,共同在送货单上核准并签字,并加盖乙方公章作为结帐凭证,乙方验收人员为法定代表人或乙方书面授权的委托人,乙方将授权委托书一并提交给甲方,授权委托书应加盖乙方公章并由法定代表人签字。结算数量按照实际进货数量(净重),除去未通过验收数量进行结算。计量单位:按合同签订的规格。</w:t>
      </w:r>
    </w:p>
    <w:p w14:paraId="483CE6D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6.货款支付</w:t>
      </w:r>
    </w:p>
    <w:p w14:paraId="6D280DC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 乙方应按照甲方的通知开具符合国家税务规定的正规普通发票(发票内容需与验收单一致,不能在税务局代开发票)交甲方查验,否则视为自行放弃供货资格。如发票被税务机关认定为无效或不符合规定,乙方应在收到甲方通知后3个工作日内重新开具有效发票,否则甲方有权延迟支付相应货款直至收到有效发票,且不承担延迟付款责任。</w:t>
      </w:r>
    </w:p>
    <w:p w14:paraId="626EA6F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6.2</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kern w:val="2"/>
          <w:sz w:val="32"/>
          <w:szCs w:val="32"/>
          <w:shd w:val="clear" w:color="auto" w:fill="FFFFFF"/>
          <w:lang w:val="en-US" w:eastAsia="zh-CN" w:bidi="ar-SA"/>
        </w:rPr>
        <w:t>乙双方应在当月月底完成当月供货数量核对工作，乙方接到甲方通知后，向甲方提供上月货款的正规发票及相关材料，甲方核实无异议后，</w:t>
      </w:r>
      <w:r>
        <w:rPr>
          <w:rFonts w:hint="eastAsia" w:ascii="仿宋_GB2312" w:hAnsi="仿宋_GB2312" w:eastAsia="仿宋_GB2312" w:cs="仿宋_GB2312"/>
          <w:sz w:val="32"/>
          <w:szCs w:val="32"/>
        </w:rPr>
        <w:t>支付货款以上级财政管理部门审批拨付到位为准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shd w:val="clear" w:color="auto" w:fill="FFFFFF"/>
          <w:lang w:val="en-US" w:eastAsia="zh-CN" w:bidi="ar-SA"/>
        </w:rPr>
        <w:t>15个工作日内将货款通过银行转账的方式支付给乙方。</w:t>
      </w:r>
      <w:r>
        <w:rPr>
          <w:rFonts w:hint="eastAsia" w:ascii="仿宋_GB2312" w:hAnsi="仿宋_GB2312" w:eastAsia="仿宋_GB2312" w:cs="仿宋_GB2312"/>
          <w:sz w:val="32"/>
          <w:szCs w:val="32"/>
        </w:rPr>
        <w:t>因乙方银行账户存在问题导致甲方延迟付款的,甲方不承担迟延付款责任。</w:t>
      </w:r>
    </w:p>
    <w:p w14:paraId="7BD67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0"/>
          <w:szCs w:val="30"/>
        </w:rPr>
        <w:t>6.3</w:t>
      </w:r>
      <w:r>
        <w:rPr>
          <w:rFonts w:hint="eastAsia" w:ascii="仿宋_GB2312" w:hAnsi="仿宋_GB2312" w:eastAsia="仿宋_GB2312" w:cs="仿宋_GB2312"/>
          <w:kern w:val="2"/>
          <w:sz w:val="32"/>
          <w:szCs w:val="32"/>
          <w:shd w:val="clear" w:color="auto" w:fill="FFFFFF"/>
          <w:lang w:val="en-US" w:eastAsia="zh-CN" w:bidi="ar-SA"/>
        </w:rPr>
        <w:t>合同履约保证金为中标标段合同总价7%（合同总价=预算金额*（1-中标下浮率）），保证金金额XXX元（大写：XXX元整）在中标供应商与采购人签订合同前一天缴纳完毕。若不能按时缴纳，采购人将有充分的理由解除中标人的中标资格并扣除投标保证金。中标供应商以支票、汇票、本票或金融机构、担保机构出具的保函等非现金形式提交。若不能按时缴纳，采购人将有充分的理由解除中标人的中标资格并扣除投标保证金。</w:t>
      </w:r>
    </w:p>
    <w:p w14:paraId="24187A3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7.违约责任</w:t>
      </w:r>
    </w:p>
    <w:p w14:paraId="678F34A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合同期满且乙方未出现任何违约情形的,甲方无息退还履约保证金。如乙方有任何违约行为,甲方有权按照合同约定从履约保证金中扣除乙方应赔偿部分金额,剩余部分合同期满或合同解除时无息退还给至乙方账户;保证金不足以支付违约金或不足以弥补甲方损失的,由乙方另行向甲方赔偿。因乙方违约扣除保证金的乙方应在扣除后</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个工作日内补足,逾期不补足视为违约,并视为放弃继续供货资格</w:t>
      </w:r>
      <w:r>
        <w:rPr>
          <w:rFonts w:hint="eastAsia" w:ascii="仿宋_GB2312" w:hAnsi="仿宋_GB2312" w:eastAsia="仿宋_GB2312" w:cs="仿宋_GB2312"/>
          <w:sz w:val="30"/>
          <w:szCs w:val="30"/>
          <w:lang w:eastAsia="zh-CN"/>
        </w:rPr>
        <w:t>、解除合同</w:t>
      </w:r>
      <w:r>
        <w:rPr>
          <w:rFonts w:hint="eastAsia" w:ascii="仿宋_GB2312" w:hAnsi="仿宋_GB2312" w:eastAsia="仿宋_GB2312" w:cs="仿宋_GB2312"/>
          <w:sz w:val="30"/>
          <w:szCs w:val="30"/>
        </w:rPr>
        <w:t>。</w:t>
      </w:r>
    </w:p>
    <w:p w14:paraId="57699A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7.2乙方必须满足对在发生突发公共安全等不可抗力事件时,对甲方无条件提供货物保障供应,如不能满足极端特殊条件下的供应,应提前7日以书面形式通知甲方,并提供官方具有证明效力的相关证明文件。乙方如未及时通知甲方则视为违约,赔偿甲方所需物资总额的30%作为违约金(由未结算货款进行抵扣,如货款不足,从履约保证金中扣除),并自动终止合同。</w:t>
      </w:r>
    </w:p>
    <w:p w14:paraId="6C297D6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7.3乙方需在本合同签署之日向甲方提供各种有效证照的复印件(需加盖乙方公章),包括但不限于:统一社会信用代码、法定代表人身份证、法定代表人身份证明书、授权委托书、营业执照、税务登记证、食品卫生许可证、</w:t>
      </w:r>
      <w:r>
        <w:rPr>
          <w:rFonts w:hint="eastAsia" w:ascii="仿宋_GB2312" w:hAnsi="仿宋_GB2312" w:eastAsia="仿宋_GB2312" w:cs="仿宋_GB2312"/>
          <w:sz w:val="30"/>
          <w:szCs w:val="30"/>
          <w:lang w:eastAsia="zh-CN"/>
        </w:rPr>
        <w:t>动物检疫</w:t>
      </w:r>
      <w:r>
        <w:rPr>
          <w:rFonts w:hint="eastAsia" w:ascii="仿宋_GB2312" w:hAnsi="仿宋_GB2312" w:eastAsia="仿宋_GB2312" w:cs="仿宋_GB2312"/>
          <w:sz w:val="30"/>
          <w:szCs w:val="30"/>
        </w:rPr>
        <w:t>报告等自身主体资格证明和与食品销售要求相关的资质证明,否则,甲方有权解除合同且不承担违约责任。在本合同有效期内,乙方必须保证上述各类证照始终处于合法、有效状态,乙方如不按上述要求提供,或乙方在合同期限内相关证照被吊销、注销、过期失效等,甲方有权解除合同并将追究乙方的违约责任和赔偿责任。乙方每批次货品提供所需证件及</w:t>
      </w:r>
      <w:r>
        <w:rPr>
          <w:rFonts w:hint="eastAsia" w:ascii="仿宋_GB2312" w:hAnsi="仿宋_GB2312" w:eastAsia="仿宋_GB2312" w:cs="仿宋_GB2312"/>
          <w:sz w:val="30"/>
          <w:szCs w:val="30"/>
          <w:lang w:eastAsia="zh-CN"/>
        </w:rPr>
        <w:t>动物检疫</w:t>
      </w:r>
      <w:r>
        <w:rPr>
          <w:rFonts w:hint="eastAsia" w:ascii="仿宋_GB2312" w:hAnsi="仿宋_GB2312" w:eastAsia="仿宋_GB2312" w:cs="仿宋_GB2312"/>
          <w:sz w:val="30"/>
          <w:szCs w:val="30"/>
        </w:rPr>
        <w:t>报告,否则甲方有权单方终止合同,同时扣除乙方全额履约保证金。</w:t>
      </w:r>
    </w:p>
    <w:p w14:paraId="65BB21C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7.4合同签订后,乙方应严格履行合同,如乙方因价格原因寻找借口,拒绝供货或不能根据合同约定的品种、规格、数量、质量等标准和要求向甲方配送货物,无法满足甲方采购需要,甲方有权直接以电话、邮箱、微信等途径通知的方式解除合同,同时扣除乙方履约保证金的50%。合同解除后,甲方有权临时性应急与第三方供应商另行签订合同,进行保障性供货。</w:t>
      </w:r>
    </w:p>
    <w:p w14:paraId="13A965E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7.5</w:t>
      </w:r>
      <w:r>
        <w:rPr>
          <w:rFonts w:hint="eastAsia" w:ascii="仿宋_GB2312" w:hAnsi="仿宋_GB2312" w:eastAsia="仿宋_GB2312" w:cs="仿宋_GB2312"/>
          <w:color w:val="auto"/>
          <w:sz w:val="30"/>
          <w:szCs w:val="30"/>
          <w:lang w:eastAsia="zh-CN"/>
        </w:rPr>
        <w:t>因乙方不按合同约定的标准进行配送，出现缺斤少两、以次充好、保质期临期等情况，第一次扣除履约保证金</w:t>
      </w:r>
      <w:r>
        <w:rPr>
          <w:rFonts w:hint="eastAsia" w:ascii="仿宋_GB2312" w:hAnsi="仿宋_GB2312" w:eastAsia="仿宋_GB2312" w:cs="仿宋_GB2312"/>
          <w:color w:val="auto"/>
          <w:sz w:val="30"/>
          <w:szCs w:val="30"/>
          <w:lang w:val="en-US" w:eastAsia="zh-CN"/>
        </w:rPr>
        <w:t>10%，第二次扣除履约保证金30%，第三次扣除履约保证金50%。</w:t>
      </w:r>
    </w:p>
    <w:p w14:paraId="66BE9CC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7.6经甲方验收入库,若非甲方保管不到位的情况,货物出现融化、变质、过期及其他质量问题等,乙方负责免费无条件更换。如遇不可抗力或情势变更导致乙方货物质量不符合甲方标准要求,乙方负责无偿更换,退回货物暂由甲方保管,待甲方具备退回条件时,通知乙方退回,退回货物所产生的包装、运费等一切相关费用由乙方承担。</w:t>
      </w:r>
    </w:p>
    <w:p w14:paraId="61F8BE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FF0000"/>
          <w:sz w:val="30"/>
          <w:szCs w:val="30"/>
          <w:lang w:val="en-US" w:eastAsia="zh-CN"/>
        </w:rPr>
      </w:pPr>
      <w:r>
        <w:rPr>
          <w:rFonts w:hint="eastAsia" w:ascii="仿宋_GB2312" w:hAnsi="仿宋_GB2312" w:eastAsia="仿宋_GB2312" w:cs="仿宋_GB2312"/>
          <w:sz w:val="30"/>
          <w:szCs w:val="30"/>
        </w:rPr>
        <w:t>7.7</w:t>
      </w:r>
      <w:r>
        <w:rPr>
          <w:rFonts w:hint="eastAsia" w:ascii="仿宋_GB2312" w:hAnsi="仿宋_GB2312" w:eastAsia="仿宋_GB2312" w:cs="仿宋_GB2312"/>
          <w:sz w:val="30"/>
          <w:szCs w:val="30"/>
          <w:lang w:eastAsia="zh-CN"/>
        </w:rPr>
        <w:t>乙方未按合同约定时间供货的，每延迟一次按延迟供货金额</w:t>
      </w:r>
      <w:r>
        <w:rPr>
          <w:rFonts w:hint="eastAsia" w:ascii="仿宋_GB2312" w:hAnsi="仿宋_GB2312" w:eastAsia="仿宋_GB2312" w:cs="仿宋_GB2312"/>
          <w:sz w:val="30"/>
          <w:szCs w:val="30"/>
          <w:lang w:val="en-US" w:eastAsia="zh-CN"/>
        </w:rPr>
        <w:t>10%支付违约金，如发生3次延迟供货，甲方有权解除合同。</w:t>
      </w:r>
    </w:p>
    <w:p w14:paraId="51E8A16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7.8在履行合同过程中,如果乙方遇到妨碍按时交货和提供服务等不可抗力的情况,乙方至迟提前</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日以书面形式将拖延的事实,可能拖延的时间和原因通知甲方,甲方根据实际情况决定是否同意延期交货后,及时采取补救措施,不得无故断货;自上述不可抗力情形消除后,24 小时内继续履行交货义务。</w:t>
      </w:r>
    </w:p>
    <w:p w14:paraId="1C80A41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7.9若乙方提供的产品不符合质量标准,导致食品安全事故,乙方应支付产品价格十倍或实际损失三倍的赔偿金,最低赔偿金额为一万元。此外,乙方还应支付合同总金额的50%作为违约金,并承担所有相关费用;赔偿金的金额不足一万元的,按一万元计算;赔偿款甲方有权直接从履约保证金中扣除,不足部分乙方应另行支付。甲方向第三方垫付赔偿款的,有权向乙方追偿;甲方或第三人由此支出的鉴定、调查取证等为维护权益支出的费用均由乙方承担,且甲方有权直接从履约保证金或未结货款中扣除相关费用。</w:t>
      </w:r>
    </w:p>
    <w:p w14:paraId="5CB57EF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7.10乙方保证在供货时遵从甲方关于本项目的采购程序,保证不会将合同及(或)其中的权利、义务转让,保证不会转包、分包。如发现转包、分包现象,甲方有权扣除全额履约保证金及解除合同。</w:t>
      </w:r>
    </w:p>
    <w:p w14:paraId="6C14ECE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7.11 乙方在供应过程中,乙方人员及送货车辆应履行安全保证义务,如发生任何问题应由乙方承担全部责任,如在甲方场所内发生事故或问题,经相关部门鉴定,属乙方责任的,乙方承担全部责任(除不可抗力外),并赔偿给甲方造成的全部损失,甲方有权在确定损失通知乙方后,赔偿款甲方有权直接从未结货款或履约保证金中扣除,不足部分乙方应在3 个工作日内另行支付,且甲方保留追究其法律责任。</w:t>
      </w:r>
    </w:p>
    <w:p w14:paraId="30C499F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7.12 乙方无条件执行甲方进出大门的管理要求,乙方及配送司机不得携带违禁、危险品(包括但不限于烟、打火机、手机、酒、现金、电子设备等甲方规定视为存在安全风险的物品)进入甲方场所,如出现上述情况,甲方有权禁止司机和车辆再次进入甲方场所,并要求乙方整改,乙方拒不整改或整改不到位而由此产生的货品损失,由乙方自行承担。 乙方确认知悉甲方有关监管安全的各项措施,包括但不限于违禁、危险品,人员出入、车辆出入、搜身检查、通讯工具管理、电子设备管理等。</w:t>
      </w:r>
    </w:p>
    <w:p w14:paraId="0F0A41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7.13 在合同履行期间,乙方配送人员及所属人员不得向甲方任何人员提供违禁(危)品,如有发生甲方有权根据情节轻重采取相应的处罚措施,包括但不限于警告、罚款、部分或全部扣除履约保证金、暂停合作或解除合同。如造成严重后果的,甲方有权追究其法律责任。</w:t>
      </w:r>
    </w:p>
    <w:p w14:paraId="75F638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7.14 如乙方违反合同有关保密约定,向第三方披露本采购项目或合同相关资料或情况的,甲方有权立即解除合同,扣除全部履约保证金,并要求乙方支付合同总金额的10%作为违约金,造成甲方损失的应由乙方赔偿,且乙方还应承担甲方因此产生的所有合理费用; 如涉及违法犯罪行为,将移送司法机关依法追究乙方的法律责任。</w:t>
      </w:r>
    </w:p>
    <w:p w14:paraId="1B7C7FE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7.15 如乙方出现违约行为的,乙方承担全部赔偿责任,并承担甲方维权产生的全部支出等(包括但不限于第三方索赔、退货运输费、诉讼费、律师服务费、鉴定费、公告费、公证费、调查取证费、差旅费、交通费、保全保险费、财产保全费、强制执行费等与之相关的一切费用)以及相关法律责任。</w:t>
      </w:r>
    </w:p>
    <w:p w14:paraId="3A1F90B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7.16 在本合同履行期间,未经甲方书面同意,乙方不得提出解除本合同(除不可抗力外),如因乙方自身原因导致合同解除,甲方有权扣除全额履约保证金,并有权向乙方追偿因解除合同造成的全部损失。</w:t>
      </w:r>
    </w:p>
    <w:p w14:paraId="25E0C73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8.通知和送达条款</w:t>
      </w:r>
    </w:p>
    <w:p w14:paraId="058D342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 任何一方合同当事人根据本合同向对方发出的通知、信件或数据电文均应采用书面形式。书信形式包括信件、电传、传真等可有形地表现所载内容的形式,以电子数据交换、电子邮件等方式能有形地表现所载内容,并可以随时调取查用的数据电文,视为书面形式。</w:t>
      </w:r>
    </w:p>
    <w:p w14:paraId="1927499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 双方确认,在本合同签署盖章页关于甲方、乙方主体信息中所载明的各方地址、电话、</w:t>
      </w:r>
      <w:r>
        <w:rPr>
          <w:rFonts w:hint="eastAsia" w:ascii="仿宋_GB2312" w:hAnsi="仿宋_GB2312" w:eastAsia="仿宋_GB2312" w:cs="仿宋_GB2312"/>
          <w:color w:val="auto"/>
          <w:sz w:val="30"/>
          <w:szCs w:val="30"/>
        </w:rPr>
        <w:t>微信、邮箱地址和</w:t>
      </w:r>
      <w:r>
        <w:rPr>
          <w:rFonts w:hint="eastAsia" w:ascii="仿宋_GB2312" w:hAnsi="仿宋_GB2312" w:eastAsia="仿宋_GB2312" w:cs="仿宋_GB2312"/>
          <w:sz w:val="30"/>
          <w:szCs w:val="30"/>
        </w:rPr>
        <w:t>联系人为各方的有效送达地址和联系人。该有效送达地址和联系人的适用范围包括双方根据本合同向对方发出的通知、信件和数据电文,以及在合同发生纠纷时相关文件和法律文书的送达,还包括在合同争议进入仲裁、民事诉讼程序后的一审、二审、再审和执行程序的送达。</w:t>
      </w:r>
    </w:p>
    <w:p w14:paraId="1DE723E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8.3 任何一方变更本合同所载明的有效送达地址或联系人时,须在变更前十五日以书面形式通知对方。否则,因有效送达地址或联系人变更而导致无法送达或迟延送达的法律后果均由未通知一方承担。</w:t>
      </w:r>
    </w:p>
    <w:p w14:paraId="68C4483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 双方按以下约定,根据不同的送达方式,确定送达时间。</w:t>
      </w:r>
    </w:p>
    <w:p w14:paraId="6480C4B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8.4.1 当面送达的,受送达人签收时视为送达。若受送达人拒绝签收的,送达人将送达文件留在受送达人的有效送达地址之时,视为送达。</w:t>
      </w:r>
    </w:p>
    <w:p w14:paraId="3E532BE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8.4.2 以平信、挂号信、特快专递或快递方式送达的,甲方送达至乙方时到达注册地址、主要营业地或合同所载明的地址即视为送达;乙方送达至甲方时需实际签收方视为送达。若因受送达人自己提供或确认的送达地址不准确,拒不提供送达地址,送达地址变更未及时告知送达人,受送达人或者受送达人指定的代收人、代理人、受送达人的工作人员拒绝签收,导致通知或文书未能被受送达人实际签收的,通知或文书退回之日视为送达之日。</w:t>
      </w:r>
    </w:p>
    <w:p w14:paraId="6E4749A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8.4.3 以传真方式送达的,以发送方打印的传真发送确认单显示的时间为送达时间。</w:t>
      </w:r>
    </w:p>
    <w:p w14:paraId="7F858C9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8.4.4 以电子邮件方式送达的,系统发送成功的时间视为送达时间,若乙方作为受送达人,则邮件发送至乙方在本合同签署盖章页载明的邮箱地址即视为送达。</w:t>
      </w:r>
    </w:p>
    <w:p w14:paraId="3247099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9.争议解决</w:t>
      </w:r>
    </w:p>
    <w:p w14:paraId="6B935F2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本合同如发生纠纷,双方当事人应当及时协商解决,协商不成时,向甲方所在地有管辖权的人民法院起诉。</w:t>
      </w:r>
    </w:p>
    <w:p w14:paraId="3EB913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10.合同生效</w:t>
      </w:r>
    </w:p>
    <w:p w14:paraId="149480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10.1 本合同壹式</w:t>
      </w:r>
      <w:r>
        <w:rPr>
          <w:rFonts w:hint="eastAsia" w:ascii="仿宋_GB2312" w:hAnsi="仿宋_GB2312" w:eastAsia="仿宋_GB2312" w:cs="仿宋_GB2312"/>
          <w:sz w:val="30"/>
          <w:szCs w:val="30"/>
          <w:lang w:eastAsia="zh-CN"/>
        </w:rPr>
        <w:t>肆</w:t>
      </w:r>
      <w:r>
        <w:rPr>
          <w:rFonts w:hint="eastAsia" w:ascii="仿宋_GB2312" w:hAnsi="仿宋_GB2312" w:eastAsia="仿宋_GB2312" w:cs="仿宋_GB2312"/>
          <w:sz w:val="30"/>
          <w:szCs w:val="30"/>
        </w:rPr>
        <w:t>份,甲方</w:t>
      </w:r>
      <w:r>
        <w:rPr>
          <w:rFonts w:hint="eastAsia" w:ascii="仿宋_GB2312" w:hAnsi="仿宋_GB2312" w:eastAsia="仿宋_GB2312" w:cs="仿宋_GB2312"/>
          <w:sz w:val="30"/>
          <w:szCs w:val="30"/>
          <w:lang w:eastAsia="zh-CN"/>
        </w:rPr>
        <w:t>叁</w:t>
      </w:r>
      <w:r>
        <w:rPr>
          <w:rFonts w:hint="eastAsia" w:ascii="仿宋_GB2312" w:hAnsi="仿宋_GB2312" w:eastAsia="仿宋_GB2312" w:cs="仿宋_GB2312"/>
          <w:sz w:val="30"/>
          <w:szCs w:val="30"/>
        </w:rPr>
        <w:t>份、乙方执壹份,具有同等法律效力。</w:t>
      </w:r>
    </w:p>
    <w:p w14:paraId="1315376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10.2 本合同经双方法定代表人或授权代表签名且加盖单位公章之日起生效,授权应当提供书面授权委托书。</w:t>
      </w:r>
    </w:p>
    <w:p w14:paraId="7A284F90">
      <w:pPr>
        <w:keepNext w:val="0"/>
        <w:keepLines w:val="0"/>
        <w:pageBreakBefore w:val="0"/>
        <w:widowControl w:val="0"/>
        <w:kinsoku/>
        <w:wordWrap/>
        <w:overflowPunct/>
        <w:topLinePunct w:val="0"/>
        <w:autoSpaceDE/>
        <w:autoSpaceDN/>
        <w:bidi w:val="0"/>
        <w:adjustRightInd/>
        <w:snapToGrid/>
        <w:spacing w:line="560" w:lineRule="exact"/>
        <w:ind w:left="319" w:leftChars="152"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10.3 本合同有效期:</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w:t>
      </w:r>
    </w:p>
    <w:p w14:paraId="6050553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10.4 本合同所称不可抗力包括但不限于:天灾、罢工、停工、战争、暴乱、内乱、恐怖行为、恶意破坏、流行病、检疫、火灾、洪水、风暴、自然灾害或对任何法律或政府命令、规则、条例或指示的遵守,无论其后来是否被认定为无效或不适用。</w:t>
      </w:r>
    </w:p>
    <w:p w14:paraId="3723F72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11.保密条款</w:t>
      </w:r>
    </w:p>
    <w:p w14:paraId="6DDBF5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11.1 乙方应签订《保密协议》,乙方应对在合同签订和履行过程中知悉的甲方国家秘密、工作秘密、内部信息、商业秘密、技术信息、经营信息等予以保密,未经甲方书面同意,不得向任何第三方披露或使用。保密条款、保密协议在合同履行完成后,依旧有效。</w:t>
      </w:r>
    </w:p>
    <w:p w14:paraId="063F3F7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11.2 因单位特殊性和保密性,乙方与甲方形成的合同、协议、文件资料及合同履行过程中形成的全部资料内容,均应当保密,未经甲方书面同意,不得以任何方式向任何第三方公开、披露、使用,也不得作为乙方的业绩、成果等对外宣传和使用。乙方违反本条款应承担甲方因此遭受的全部损失。</w:t>
      </w:r>
    </w:p>
    <w:p w14:paraId="2B1D1D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11.3 本合同保密条款永久有效,不因合同的无效、被撤销、被解除或终止而丧失法律效力。</w:t>
      </w:r>
    </w:p>
    <w:p w14:paraId="191097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12.反商业贿赂条款</w:t>
      </w:r>
    </w:p>
    <w:p w14:paraId="22B3A7E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12.1 乙方承诺不得进行任何形式的行贿及其他不正当交易行为。乙方严禁为谋取利益向甲方赠送礼品、现金、样品等任何形式的利益,造成的损失由乙方承担,且甲方有权解除合同并</w:t>
      </w:r>
      <w:r>
        <w:rPr>
          <w:rFonts w:hint="eastAsia" w:ascii="仿宋_GB2312" w:hAnsi="仿宋_GB2312" w:eastAsia="仿宋_GB2312" w:cs="仿宋_GB2312"/>
          <w:sz w:val="30"/>
          <w:szCs w:val="30"/>
          <w:lang w:eastAsia="zh-CN"/>
        </w:rPr>
        <w:t>扣除履约保证金作为违约金</w:t>
      </w:r>
      <w:r>
        <w:rPr>
          <w:rFonts w:hint="eastAsia" w:ascii="仿宋_GB2312" w:hAnsi="仿宋_GB2312" w:eastAsia="仿宋_GB2312" w:cs="仿宋_GB2312"/>
          <w:color w:val="FF0000"/>
          <w:sz w:val="30"/>
          <w:szCs w:val="30"/>
        </w:rPr>
        <w:t>。</w:t>
      </w:r>
    </w:p>
    <w:p w14:paraId="49F7140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12.2 若发现存在任何形式的商业贿赂及其他不正当方式贿赂甲方工作人员,以获取订单、更有利的价格,或虚报送货量,或降低货物质量,或缩短付款期限时,甲方有权立即解除合同,并要求乙方退还已支付的货款,同时甲方有权向有关执法部门举报。</w:t>
      </w:r>
    </w:p>
    <w:p w14:paraId="716CBF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12.3 如有甲方工作人员向乙方索取贿赂的,乙方有义务及时向甲方告知,并提供相关证据。乙方承诺已充分了解并严格遵守甲方《反商业贿赂管理制度》及相关规定,乙方违反本条规定的,甲方有权扣除</w:t>
      </w:r>
      <w:r>
        <w:rPr>
          <w:rFonts w:hint="eastAsia" w:ascii="仿宋_GB2312" w:hAnsi="仿宋_GB2312" w:eastAsia="仿宋_GB2312" w:cs="仿宋_GB2312"/>
          <w:sz w:val="30"/>
          <w:szCs w:val="30"/>
          <w:lang w:eastAsia="zh-CN"/>
        </w:rPr>
        <w:t>履约保证金</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%作为违约金,并保留追究法律责任的权利。</w:t>
      </w:r>
    </w:p>
    <w:p w14:paraId="56E4A01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13.其他约定事项</w:t>
      </w:r>
    </w:p>
    <w:p w14:paraId="6119A39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若本合同中任何条款被认定为无效或不可执行,该条款的无效性不影响其他条款的效力,特别是已履行部分的价款结算条款效力。</w:t>
      </w:r>
    </w:p>
    <w:p w14:paraId="025F47A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13.1 乙方具有签订和履行本合同所需要的一切权利、资质和资格,不因本合同的签订和履行而侵害任何第三方的权利或利益。</w:t>
      </w:r>
    </w:p>
    <w:p w14:paraId="3CE51A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13.2 乙方不存在已经发生或正在发生的对签订和履行本合同能力可能产生影响的诉讼、仲裁等各类案件,不存在已经启动但尚未终结的行政程序、司法程序或其他法律程序。如乙方违反本条款的陈述与保证,应向甲方支付相当于合同总金额10%的违约金,并赔偿甲方因此遭受的全部损失(包括但不限于直接损失、间接损失、律师费、诉讼费等)。</w:t>
      </w:r>
    </w:p>
    <w:p w14:paraId="426FB7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13.3 未经对方书面同意,任何一方合同当事人不得转让(抵押)本合同项下任何权利和义务。</w:t>
      </w:r>
    </w:p>
    <w:p w14:paraId="230D65C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13.4 本合同的任何变更、修改或补充,须经双方协商一致同意并签订书面补充协议,否则不发生法律效力。</w:t>
      </w:r>
    </w:p>
    <w:p w14:paraId="6CEB92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13.5 本合同附件包括但不限于与本合同有关的补充协议、投标(响应)文件、答疑附件、澄清文件、《供货承诺书》《食品安全承诺书》《保密协议》《质量标准》等,与本合同具有同等法律效力。</w:t>
      </w:r>
    </w:p>
    <w:p w14:paraId="086943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13.6 甲乙双方约定在实际供应过程中,若出现解释等情形,以本合同的甲方解释为优先准则。本合同如与其他补充合同或各合同内容之间存在冲突或异议的,甲方具有最终解释权,且有权选择适用于己有利的条款和内容,乙方对此予以认可并承诺执行。</w:t>
      </w:r>
    </w:p>
    <w:p w14:paraId="4469F59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13.7 本合同未尽事宜,由甲方单方解释并制定补充规定,补充规定与本合同具有同等法律效力。</w:t>
      </w:r>
    </w:p>
    <w:p w14:paraId="41244EF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13.8 本合同条款标题仅为方便阅读而设,不影响条款内容的解释。</w:t>
      </w:r>
    </w:p>
    <w:p w14:paraId="6AE3E3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(以下无正文,为本合同签署页!)</w:t>
      </w:r>
    </w:p>
    <w:p w14:paraId="1AB5F6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甲方(盖章): </w:t>
      </w:r>
      <w:r>
        <w:rPr>
          <w:rFonts w:hint="eastAsia" w:ascii="仿宋_GB2312" w:hAnsi="仿宋_GB2312" w:eastAsia="仿宋_GB2312" w:cs="仿宋_GB2312"/>
          <w:sz w:val="30"/>
          <w:szCs w:val="30"/>
          <w:lang w:val="en-US" w:eastAsia="zh-CN"/>
        </w:rPr>
        <w:t xml:space="preserve">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乙方(盖章):</w:t>
      </w:r>
    </w:p>
    <w:p w14:paraId="44F4BA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法定代表人或授权代表(签名): </w:t>
      </w:r>
      <w:r>
        <w:rPr>
          <w:rFonts w:hint="default" w:ascii="仿宋_GB2312" w:hAnsi="仿宋_GB2312" w:eastAsia="仿宋_GB2312" w:cs="仿宋_GB2312"/>
          <w:sz w:val="30"/>
          <w:szCs w:val="30"/>
          <w:lang w:val="en-US"/>
        </w:rPr>
        <w:t xml:space="preserve">    </w:t>
      </w:r>
      <w:r>
        <w:rPr>
          <w:rFonts w:hint="eastAsia" w:ascii="仿宋_GB2312" w:hAnsi="仿宋_GB2312" w:eastAsia="仿宋_GB2312" w:cs="仿宋_GB2312"/>
          <w:sz w:val="30"/>
          <w:szCs w:val="30"/>
        </w:rPr>
        <w:t>法定代表人或授权代表(签名):</w:t>
      </w:r>
    </w:p>
    <w:p w14:paraId="51FAB5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地址: </w:t>
      </w:r>
      <w:r>
        <w:rPr>
          <w:rFonts w:hint="eastAsia" w:ascii="仿宋_GB2312" w:hAnsi="仿宋_GB2312" w:eastAsia="仿宋_GB2312" w:cs="仿宋_GB2312"/>
          <w:sz w:val="30"/>
          <w:szCs w:val="30"/>
          <w:lang w:val="en-US" w:eastAsia="zh-CN"/>
        </w:rPr>
        <w:t xml:space="preserve">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val="en-US" w:eastAsia="zh-CN"/>
        </w:rPr>
        <w:t xml:space="preserve">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地址:</w:t>
      </w:r>
    </w:p>
    <w:p w14:paraId="263A7E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账户:</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账户</w:t>
      </w:r>
      <w:r>
        <w:rPr>
          <w:rFonts w:hint="eastAsia" w:ascii="仿宋_GB2312" w:hAnsi="仿宋_GB2312" w:eastAsia="仿宋_GB2312" w:cs="仿宋_GB2312"/>
          <w:sz w:val="32"/>
          <w:szCs w:val="32"/>
          <w:lang w:eastAsia="zh-CN"/>
        </w:rPr>
        <w:t>：</w:t>
      </w:r>
    </w:p>
    <w:p w14:paraId="1FF6E4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账号:</w:t>
      </w:r>
    </w:p>
    <w:p w14:paraId="1B5FC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邮箱：                          邮箱：  </w:t>
      </w:r>
    </w:p>
    <w:p w14:paraId="6CDC72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微信：                          微信：</w:t>
      </w:r>
    </w:p>
    <w:p w14:paraId="2E3F94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开户行信息: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开户行信息:</w:t>
      </w:r>
    </w:p>
    <w:p w14:paraId="1C8EC57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统一社会信用代码:</w:t>
      </w:r>
    </w:p>
    <w:p w14:paraId="5A2945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p>
    <w:p w14:paraId="13A2B3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电话：</w:t>
      </w:r>
    </w:p>
    <w:p w14:paraId="2C3D6E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年   月   日           日期：    年   月   日</w:t>
      </w:r>
    </w:p>
    <w:p w14:paraId="79B2AA6C">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5FDE3301">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1A120597">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26B0B378">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37EAA775">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25E4FD49">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3CCE3A2E">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535597DF">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5E52FB62">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36B6C59E">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4A840E2F">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6761B3A4">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6C76D796">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134417CC">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5D33DD0E">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431FF8FE">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 xml:space="preserve">第五章 </w:t>
      </w:r>
      <w:r>
        <w:rPr>
          <w:rFonts w:hint="eastAsia" w:ascii="方正小标宋_GBK" w:hAnsi="方正小标宋_GBK" w:eastAsia="方正小标宋_GBK" w:cs="方正小标宋_GBK"/>
          <w:sz w:val="32"/>
          <w:szCs w:val="32"/>
        </w:rPr>
        <w:t>采购项目清单及参数要求</w:t>
      </w:r>
      <w:r>
        <w:rPr>
          <w:rFonts w:hint="eastAsia" w:ascii="方正小标宋_GBK" w:hAnsi="方正小标宋_GBK" w:eastAsia="方正小标宋_GBK" w:cs="方正小标宋_GBK"/>
          <w:sz w:val="32"/>
          <w:szCs w:val="32"/>
          <w:lang w:val="en-US" w:eastAsia="zh-CN"/>
        </w:rPr>
        <w:t>（二标段牛、羊肉类）</w:t>
      </w:r>
    </w:p>
    <w:p w14:paraId="0DE391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b/>
          <w:bCs/>
          <w:color w:val="auto"/>
          <w:kern w:val="0"/>
          <w:sz w:val="32"/>
          <w:szCs w:val="32"/>
          <w:lang w:val="en-US" w:eastAsia="zh-CN"/>
        </w:rPr>
      </w:pPr>
      <w:r>
        <w:rPr>
          <w:rFonts w:hint="eastAsia" w:ascii="Times New Roman" w:hAnsi="Times New Roman" w:eastAsia="仿宋_GB2312" w:cs="仿宋_GB2312"/>
          <w:b/>
          <w:bCs/>
          <w:color w:val="auto"/>
          <w:kern w:val="0"/>
          <w:sz w:val="32"/>
          <w:szCs w:val="32"/>
          <w:lang w:val="en-US" w:eastAsia="zh-CN"/>
        </w:rPr>
        <w:t>一、产品类型：</w:t>
      </w:r>
    </w:p>
    <w:p w14:paraId="52B6E9D6">
      <w:pPr>
        <w:wordWrap w:val="0"/>
        <w:spacing w:line="240" w:lineRule="auto"/>
        <w:jc w:val="both"/>
        <w:textAlignment w:val="baseline"/>
        <w:rPr>
          <w:rFonts w:hint="eastAsia" w:ascii="Times New Roman" w:hAnsi="Times New Roman" w:eastAsia="宋体" w:cs="Times New Roman"/>
          <w:color w:val="auto"/>
          <w:kern w:val="0"/>
          <w:sz w:val="21"/>
          <w:szCs w:val="20"/>
          <w:lang w:val="en-US" w:eastAsia="zh-CN" w:bidi="ar-SA"/>
        </w:rPr>
      </w:pPr>
      <w:bookmarkStart w:id="293" w:name="_Toc10572"/>
    </w:p>
    <w:tbl>
      <w:tblPr>
        <w:tblStyle w:val="28"/>
        <w:tblpPr w:leftFromText="180" w:rightFromText="180" w:vertAnchor="page" w:horzAnchor="page" w:tblpX="1079" w:tblpY="3002"/>
        <w:tblOverlap w:val="never"/>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050"/>
        <w:gridCol w:w="1618"/>
        <w:gridCol w:w="900"/>
        <w:gridCol w:w="2722"/>
        <w:gridCol w:w="1581"/>
        <w:gridCol w:w="993"/>
      </w:tblGrid>
      <w:tr w14:paraId="452B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93" w:type="dxa"/>
            <w:noWrap w:val="0"/>
            <w:vAlign w:val="center"/>
          </w:tcPr>
          <w:p w14:paraId="330EAFD1">
            <w:pPr>
              <w:pStyle w:val="16"/>
              <w:jc w:val="center"/>
              <w:rPr>
                <w:rFonts w:hint="eastAsia" w:ascii="Times New Roman" w:hAnsi="Times New Roman" w:eastAsia="黑体" w:cs="黑体"/>
                <w:color w:val="auto"/>
                <w:kern w:val="0"/>
                <w:sz w:val="28"/>
                <w:szCs w:val="28"/>
                <w:vertAlign w:val="baseline"/>
                <w:lang w:val="en-US" w:eastAsia="zh-CN"/>
              </w:rPr>
            </w:pPr>
            <w:r>
              <w:rPr>
                <w:rFonts w:hint="eastAsia" w:ascii="Times New Roman" w:hAnsi="Times New Roman" w:eastAsia="黑体" w:cs="黑体"/>
                <w:color w:val="auto"/>
                <w:kern w:val="0"/>
                <w:sz w:val="28"/>
                <w:szCs w:val="28"/>
                <w:vertAlign w:val="baseline"/>
                <w:lang w:val="en-US" w:eastAsia="zh-CN" w:bidi="ar-SA"/>
              </w:rPr>
              <w:t>序号</w:t>
            </w:r>
          </w:p>
        </w:tc>
        <w:tc>
          <w:tcPr>
            <w:tcW w:w="1050" w:type="dxa"/>
            <w:noWrap w:val="0"/>
            <w:vAlign w:val="center"/>
          </w:tcPr>
          <w:p w14:paraId="2626FA97">
            <w:pPr>
              <w:pStyle w:val="16"/>
              <w:jc w:val="center"/>
              <w:rPr>
                <w:rFonts w:hint="eastAsia" w:ascii="Times New Roman" w:hAnsi="Times New Roman" w:eastAsia="黑体" w:cs="黑体"/>
                <w:color w:val="auto"/>
                <w:kern w:val="0"/>
                <w:sz w:val="28"/>
                <w:szCs w:val="28"/>
                <w:vertAlign w:val="baseline"/>
                <w:lang w:val="en-US" w:eastAsia="zh-CN" w:bidi="ar-SA"/>
              </w:rPr>
            </w:pPr>
            <w:r>
              <w:rPr>
                <w:rFonts w:hint="eastAsia" w:eastAsia="黑体" w:cs="黑体"/>
                <w:color w:val="auto"/>
                <w:kern w:val="0"/>
                <w:sz w:val="28"/>
                <w:szCs w:val="28"/>
                <w:vertAlign w:val="baseline"/>
                <w:lang w:val="en-US" w:eastAsia="zh-CN" w:bidi="ar-SA"/>
              </w:rPr>
              <w:t>产品</w:t>
            </w:r>
            <w:r>
              <w:rPr>
                <w:rFonts w:hint="eastAsia" w:ascii="Times New Roman" w:hAnsi="Times New Roman" w:eastAsia="黑体" w:cs="黑体"/>
                <w:color w:val="auto"/>
                <w:kern w:val="0"/>
                <w:sz w:val="28"/>
                <w:szCs w:val="28"/>
                <w:vertAlign w:val="baseline"/>
                <w:lang w:val="en-US" w:eastAsia="zh-CN" w:bidi="ar-SA"/>
              </w:rPr>
              <w:t>名称</w:t>
            </w:r>
          </w:p>
        </w:tc>
        <w:tc>
          <w:tcPr>
            <w:tcW w:w="1618" w:type="dxa"/>
            <w:noWrap w:val="0"/>
            <w:vAlign w:val="center"/>
          </w:tcPr>
          <w:p w14:paraId="4C8F37F3">
            <w:pPr>
              <w:pStyle w:val="16"/>
              <w:jc w:val="center"/>
              <w:rPr>
                <w:rFonts w:hint="eastAsia" w:ascii="Times New Roman" w:hAnsi="Times New Roman" w:eastAsia="黑体" w:cs="黑体"/>
                <w:color w:val="auto"/>
                <w:kern w:val="0"/>
                <w:sz w:val="28"/>
                <w:szCs w:val="28"/>
                <w:vertAlign w:val="baseline"/>
                <w:lang w:val="en-US" w:eastAsia="zh-CN" w:bidi="ar-SA"/>
              </w:rPr>
            </w:pPr>
            <w:r>
              <w:rPr>
                <w:rFonts w:hint="eastAsia" w:ascii="Times New Roman" w:hAnsi="Times New Roman" w:eastAsia="黑体" w:cs="黑体"/>
                <w:color w:val="auto"/>
                <w:kern w:val="0"/>
                <w:sz w:val="28"/>
                <w:szCs w:val="28"/>
                <w:vertAlign w:val="baseline"/>
                <w:lang w:val="en-US" w:eastAsia="zh-CN" w:bidi="ar-SA"/>
              </w:rPr>
              <w:t>生产厂家/</w:t>
            </w:r>
          </w:p>
          <w:p w14:paraId="63A24A16">
            <w:pPr>
              <w:pStyle w:val="16"/>
              <w:jc w:val="center"/>
              <w:rPr>
                <w:rFonts w:hint="default" w:ascii="Times New Roman" w:hAnsi="Times New Roman" w:eastAsia="黑体" w:cs="黑体"/>
                <w:color w:val="auto"/>
                <w:kern w:val="0"/>
                <w:sz w:val="28"/>
                <w:szCs w:val="28"/>
                <w:vertAlign w:val="baseline"/>
                <w:lang w:val="en-US" w:eastAsia="zh-CN" w:bidi="ar-SA"/>
              </w:rPr>
            </w:pPr>
            <w:r>
              <w:rPr>
                <w:rFonts w:hint="eastAsia" w:ascii="Times New Roman" w:hAnsi="Times New Roman" w:eastAsia="黑体" w:cs="黑体"/>
                <w:color w:val="auto"/>
                <w:kern w:val="0"/>
                <w:sz w:val="28"/>
                <w:szCs w:val="28"/>
                <w:vertAlign w:val="baseline"/>
                <w:lang w:val="en-US" w:eastAsia="zh-CN" w:bidi="ar-SA"/>
              </w:rPr>
              <w:t>供应商</w:t>
            </w:r>
          </w:p>
        </w:tc>
        <w:tc>
          <w:tcPr>
            <w:tcW w:w="900" w:type="dxa"/>
            <w:noWrap w:val="0"/>
            <w:vAlign w:val="center"/>
          </w:tcPr>
          <w:p w14:paraId="42F8201D">
            <w:pPr>
              <w:pStyle w:val="16"/>
              <w:jc w:val="center"/>
              <w:rPr>
                <w:rFonts w:hint="eastAsia" w:ascii="Times New Roman" w:hAnsi="Times New Roman" w:eastAsia="黑体" w:cs="黑体"/>
                <w:color w:val="auto"/>
                <w:kern w:val="0"/>
                <w:sz w:val="28"/>
                <w:szCs w:val="28"/>
                <w:vertAlign w:val="baseline"/>
                <w:lang w:val="en-US" w:eastAsia="zh-CN" w:bidi="ar-SA"/>
              </w:rPr>
            </w:pPr>
            <w:r>
              <w:rPr>
                <w:rFonts w:hint="eastAsia" w:ascii="Times New Roman" w:hAnsi="Times New Roman" w:eastAsia="黑体" w:cs="黑体"/>
                <w:color w:val="auto"/>
                <w:kern w:val="0"/>
                <w:sz w:val="28"/>
                <w:szCs w:val="28"/>
                <w:vertAlign w:val="baseline"/>
                <w:lang w:val="en-US" w:eastAsia="zh-CN" w:bidi="ar-SA"/>
              </w:rPr>
              <w:t>规格/单位</w:t>
            </w:r>
          </w:p>
        </w:tc>
        <w:tc>
          <w:tcPr>
            <w:tcW w:w="2722" w:type="dxa"/>
            <w:noWrap w:val="0"/>
            <w:vAlign w:val="center"/>
          </w:tcPr>
          <w:p w14:paraId="60262B52">
            <w:pPr>
              <w:pStyle w:val="16"/>
              <w:jc w:val="center"/>
              <w:rPr>
                <w:rFonts w:hint="eastAsia" w:ascii="Times New Roman" w:hAnsi="Times New Roman" w:eastAsia="黑体" w:cs="黑体"/>
                <w:color w:val="auto"/>
                <w:kern w:val="0"/>
                <w:sz w:val="28"/>
                <w:szCs w:val="28"/>
                <w:vertAlign w:val="baseline"/>
                <w:lang w:val="en-US" w:eastAsia="zh-CN" w:bidi="ar-SA"/>
              </w:rPr>
            </w:pPr>
            <w:r>
              <w:rPr>
                <w:rFonts w:hint="eastAsia" w:ascii="Times New Roman" w:hAnsi="Times New Roman" w:eastAsia="黑体" w:cs="黑体"/>
                <w:color w:val="auto"/>
                <w:kern w:val="0"/>
                <w:sz w:val="28"/>
                <w:szCs w:val="28"/>
                <w:vertAlign w:val="baseline"/>
                <w:lang w:val="en-US" w:eastAsia="zh-CN" w:bidi="ar-SA"/>
              </w:rPr>
              <w:t>质量要求</w:t>
            </w:r>
          </w:p>
        </w:tc>
        <w:tc>
          <w:tcPr>
            <w:tcW w:w="1581" w:type="dxa"/>
            <w:noWrap w:val="0"/>
            <w:vAlign w:val="center"/>
          </w:tcPr>
          <w:p w14:paraId="0FCB3793">
            <w:pPr>
              <w:pStyle w:val="16"/>
              <w:jc w:val="center"/>
              <w:rPr>
                <w:rFonts w:hint="eastAsia" w:ascii="Times New Roman" w:hAnsi="Times New Roman" w:eastAsia="黑体" w:cs="黑体"/>
                <w:color w:val="auto"/>
                <w:kern w:val="0"/>
                <w:sz w:val="28"/>
                <w:szCs w:val="28"/>
                <w:vertAlign w:val="baseline"/>
                <w:lang w:val="en-US" w:eastAsia="zh-CN" w:bidi="ar-SA"/>
              </w:rPr>
            </w:pPr>
            <w:r>
              <w:rPr>
                <w:rFonts w:hint="eastAsia" w:ascii="Times New Roman" w:hAnsi="Times New Roman" w:eastAsia="黑体" w:cs="黑体"/>
                <w:color w:val="auto"/>
                <w:kern w:val="0"/>
                <w:sz w:val="28"/>
                <w:szCs w:val="28"/>
                <w:vertAlign w:val="baseline"/>
                <w:lang w:val="en-US" w:eastAsia="zh-CN" w:bidi="ar-SA"/>
              </w:rPr>
              <w:t>最高限价</w:t>
            </w:r>
          </w:p>
          <w:p w14:paraId="70B0958F">
            <w:pPr>
              <w:pStyle w:val="16"/>
              <w:jc w:val="center"/>
              <w:rPr>
                <w:rFonts w:hint="eastAsia" w:ascii="Times New Roman" w:hAnsi="Times New Roman" w:eastAsia="黑体" w:cs="黑体"/>
                <w:color w:val="auto"/>
                <w:kern w:val="0"/>
                <w:sz w:val="28"/>
                <w:szCs w:val="28"/>
                <w:vertAlign w:val="baseline"/>
                <w:lang w:val="en-US" w:eastAsia="zh-CN" w:bidi="ar-SA"/>
              </w:rPr>
            </w:pPr>
            <w:r>
              <w:rPr>
                <w:rFonts w:hint="eastAsia" w:ascii="Times New Roman" w:hAnsi="Times New Roman" w:eastAsia="黑体" w:cs="黑体"/>
                <w:color w:val="auto"/>
                <w:kern w:val="0"/>
                <w:sz w:val="28"/>
                <w:szCs w:val="28"/>
                <w:vertAlign w:val="baseline"/>
                <w:lang w:val="en-US" w:eastAsia="zh-CN" w:bidi="ar-SA"/>
              </w:rPr>
              <w:t>（单价/元）</w:t>
            </w:r>
          </w:p>
        </w:tc>
        <w:tc>
          <w:tcPr>
            <w:tcW w:w="993" w:type="dxa"/>
            <w:noWrap w:val="0"/>
            <w:vAlign w:val="center"/>
          </w:tcPr>
          <w:p w14:paraId="5C82E7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黑体"/>
                <w:color w:val="auto"/>
                <w:kern w:val="0"/>
                <w:sz w:val="28"/>
                <w:szCs w:val="28"/>
                <w:vertAlign w:val="baseline"/>
                <w:lang w:val="en-US" w:eastAsia="zh-CN"/>
              </w:rPr>
            </w:pPr>
            <w:r>
              <w:rPr>
                <w:rFonts w:hint="eastAsia" w:ascii="Times New Roman" w:hAnsi="Times New Roman" w:eastAsia="黑体" w:cs="黑体"/>
                <w:color w:val="auto"/>
                <w:kern w:val="0"/>
                <w:sz w:val="28"/>
                <w:szCs w:val="28"/>
                <w:vertAlign w:val="baseline"/>
                <w:lang w:val="en-US" w:eastAsia="zh-CN" w:bidi="ar-SA"/>
              </w:rPr>
              <w:t>备注</w:t>
            </w:r>
          </w:p>
        </w:tc>
      </w:tr>
      <w:tr w14:paraId="6B2C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793" w:type="dxa"/>
            <w:noWrap w:val="0"/>
            <w:vAlign w:val="center"/>
          </w:tcPr>
          <w:p w14:paraId="7937B03B">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w:t>
            </w:r>
          </w:p>
        </w:tc>
        <w:tc>
          <w:tcPr>
            <w:tcW w:w="1050" w:type="dxa"/>
            <w:noWrap w:val="0"/>
            <w:vAlign w:val="center"/>
          </w:tcPr>
          <w:p w14:paraId="29695633">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牛肉片</w:t>
            </w:r>
          </w:p>
        </w:tc>
        <w:tc>
          <w:tcPr>
            <w:tcW w:w="1618" w:type="dxa"/>
            <w:noWrap w:val="0"/>
            <w:vAlign w:val="center"/>
          </w:tcPr>
          <w:p w14:paraId="5FFB4325">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p>
        </w:tc>
        <w:tc>
          <w:tcPr>
            <w:tcW w:w="900" w:type="dxa"/>
            <w:noWrap w:val="0"/>
            <w:vAlign w:val="center"/>
          </w:tcPr>
          <w:p w14:paraId="2675F7CB">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722" w:type="dxa"/>
            <w:noWrap w:val="0"/>
            <w:vAlign w:val="center"/>
          </w:tcPr>
          <w:p w14:paraId="0778AF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肉色深红，无寄生虫，无注水，筋少，无掺加淋巴肉、牛子皮，有动物检疫合格证</w:t>
            </w:r>
          </w:p>
        </w:tc>
        <w:tc>
          <w:tcPr>
            <w:tcW w:w="1581" w:type="dxa"/>
            <w:noWrap w:val="0"/>
            <w:vAlign w:val="center"/>
          </w:tcPr>
          <w:p w14:paraId="5CABFFCB">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65</w:t>
            </w:r>
          </w:p>
        </w:tc>
        <w:tc>
          <w:tcPr>
            <w:tcW w:w="993" w:type="dxa"/>
            <w:noWrap w:val="0"/>
            <w:vAlign w:val="center"/>
          </w:tcPr>
          <w:p w14:paraId="2558A204">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p>
        </w:tc>
      </w:tr>
      <w:tr w14:paraId="78D9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793" w:type="dxa"/>
            <w:noWrap w:val="0"/>
            <w:vAlign w:val="center"/>
          </w:tcPr>
          <w:p w14:paraId="55932F8D">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2</w:t>
            </w:r>
          </w:p>
        </w:tc>
        <w:tc>
          <w:tcPr>
            <w:tcW w:w="1050" w:type="dxa"/>
            <w:noWrap w:val="0"/>
            <w:vAlign w:val="center"/>
          </w:tcPr>
          <w:p w14:paraId="3DE3BD41">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牛肉馅</w:t>
            </w:r>
          </w:p>
        </w:tc>
        <w:tc>
          <w:tcPr>
            <w:tcW w:w="1618" w:type="dxa"/>
            <w:noWrap w:val="0"/>
            <w:vAlign w:val="center"/>
          </w:tcPr>
          <w:p w14:paraId="28E332EB">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p>
        </w:tc>
        <w:tc>
          <w:tcPr>
            <w:tcW w:w="900" w:type="dxa"/>
            <w:noWrap w:val="0"/>
            <w:vAlign w:val="center"/>
          </w:tcPr>
          <w:p w14:paraId="0BD37AC2">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722" w:type="dxa"/>
            <w:noWrap w:val="0"/>
            <w:vAlign w:val="center"/>
          </w:tcPr>
          <w:p w14:paraId="1BEDAC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肉色深红，无寄生虫，无注水，筋少，无掺加淋巴肉、牛子皮，有动物检疫合格证</w:t>
            </w:r>
          </w:p>
        </w:tc>
        <w:tc>
          <w:tcPr>
            <w:tcW w:w="1581" w:type="dxa"/>
            <w:noWrap w:val="0"/>
            <w:vAlign w:val="center"/>
          </w:tcPr>
          <w:p w14:paraId="504AC1CB">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64</w:t>
            </w:r>
          </w:p>
        </w:tc>
        <w:tc>
          <w:tcPr>
            <w:tcW w:w="993" w:type="dxa"/>
            <w:noWrap w:val="0"/>
            <w:vAlign w:val="center"/>
          </w:tcPr>
          <w:p w14:paraId="6950BE46">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p>
        </w:tc>
      </w:tr>
      <w:tr w14:paraId="24F2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exact"/>
          <w:jc w:val="center"/>
        </w:trPr>
        <w:tc>
          <w:tcPr>
            <w:tcW w:w="793" w:type="dxa"/>
            <w:noWrap w:val="0"/>
            <w:vAlign w:val="center"/>
          </w:tcPr>
          <w:p w14:paraId="6119A43E">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3</w:t>
            </w:r>
          </w:p>
        </w:tc>
        <w:tc>
          <w:tcPr>
            <w:tcW w:w="1050" w:type="dxa"/>
            <w:noWrap w:val="0"/>
            <w:vAlign w:val="center"/>
          </w:tcPr>
          <w:p w14:paraId="7AC068D0">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羊肉</w:t>
            </w:r>
            <w:r>
              <w:rPr>
                <w:rFonts w:hint="eastAsia" w:ascii="仿宋" w:hAnsi="仿宋" w:eastAsia="仿宋" w:cs="仿宋"/>
                <w:b/>
                <w:bCs/>
                <w:i w:val="0"/>
                <w:iCs w:val="0"/>
                <w:color w:val="000000"/>
                <w:kern w:val="0"/>
                <w:sz w:val="24"/>
                <w:szCs w:val="24"/>
                <w:u w:val="none"/>
                <w:lang w:val="en-US" w:eastAsia="zh-CN" w:bidi="ar"/>
              </w:rPr>
              <w:t>（核心产品）</w:t>
            </w:r>
          </w:p>
        </w:tc>
        <w:tc>
          <w:tcPr>
            <w:tcW w:w="1618" w:type="dxa"/>
            <w:noWrap w:val="0"/>
            <w:vAlign w:val="center"/>
          </w:tcPr>
          <w:p w14:paraId="1BE06654">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p>
        </w:tc>
        <w:tc>
          <w:tcPr>
            <w:tcW w:w="900" w:type="dxa"/>
            <w:noWrap w:val="0"/>
            <w:vAlign w:val="center"/>
          </w:tcPr>
          <w:p w14:paraId="7A416035">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722" w:type="dxa"/>
            <w:noWrap w:val="0"/>
            <w:vAlign w:val="center"/>
          </w:tcPr>
          <w:p w14:paraId="6E6142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肉色呈鲜红色或暗红色，红色均匀，具有羊肉特有的适度的膻味，有光泽，无酸败味、哈喇味及其他异味，有动物检疫合格证</w:t>
            </w:r>
          </w:p>
        </w:tc>
        <w:tc>
          <w:tcPr>
            <w:tcW w:w="1581" w:type="dxa"/>
            <w:noWrap w:val="0"/>
            <w:vAlign w:val="center"/>
          </w:tcPr>
          <w:p w14:paraId="7E4CE41C">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68</w:t>
            </w:r>
          </w:p>
        </w:tc>
        <w:tc>
          <w:tcPr>
            <w:tcW w:w="993" w:type="dxa"/>
            <w:noWrap w:val="0"/>
            <w:vAlign w:val="center"/>
          </w:tcPr>
          <w:p w14:paraId="182D4862">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p>
        </w:tc>
      </w:tr>
    </w:tbl>
    <w:p w14:paraId="00BEEA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0"/>
          <w:szCs w:val="30"/>
          <w:highlight w:val="yellow"/>
          <w:lang w:val="en-US"/>
        </w:rPr>
      </w:pPr>
      <w:r>
        <w:rPr>
          <w:rFonts w:hint="eastAsia" w:ascii="Times New Roman" w:hAnsi="Times New Roman" w:eastAsia="仿宋_GB2312" w:cs="仿宋_GB2312"/>
          <w:b/>
          <w:bCs/>
          <w:color w:val="auto"/>
          <w:kern w:val="0"/>
          <w:sz w:val="32"/>
          <w:szCs w:val="32"/>
          <w:lang w:val="en-US" w:eastAsia="zh-CN"/>
        </w:rPr>
        <w:t>二、</w:t>
      </w:r>
      <w:r>
        <w:rPr>
          <w:rFonts w:hint="eastAsia" w:eastAsia="仿宋_GB2312" w:cs="仿宋_GB2312"/>
          <w:b/>
          <w:bCs/>
          <w:color w:val="auto"/>
          <w:kern w:val="0"/>
          <w:sz w:val="32"/>
          <w:szCs w:val="32"/>
          <w:lang w:val="en-US" w:eastAsia="zh-CN"/>
        </w:rPr>
        <w:t>商务要求</w:t>
      </w:r>
    </w:p>
    <w:p w14:paraId="7A4A098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供应商提供的牛羊肉，</w:t>
      </w:r>
      <w:r>
        <w:rPr>
          <w:rFonts w:hint="eastAsia" w:ascii="仿宋_GB2312" w:hAnsi="仿宋_GB2312" w:eastAsia="仿宋_GB2312" w:cs="仿宋_GB2312"/>
          <w:color w:val="auto"/>
          <w:sz w:val="30"/>
          <w:szCs w:val="30"/>
          <w:lang w:eastAsia="zh-CN"/>
        </w:rPr>
        <w:t>具体以采购人实际需求为准，</w:t>
      </w:r>
      <w:r>
        <w:rPr>
          <w:rFonts w:hint="eastAsia" w:ascii="仿宋_GB2312" w:hAnsi="仿宋_GB2312" w:eastAsia="仿宋_GB2312" w:cs="仿宋_GB2312"/>
          <w:sz w:val="30"/>
          <w:szCs w:val="30"/>
          <w:lang w:eastAsia="zh-CN"/>
        </w:rPr>
        <w:t>价格全部按照市场调价的方式，（</w:t>
      </w:r>
      <w:r>
        <w:rPr>
          <w:rFonts w:hint="eastAsia" w:ascii="仿宋_GB2312" w:hAnsi="仿宋_GB2312" w:eastAsia="仿宋_GB2312" w:cs="仿宋_GB2312"/>
          <w:sz w:val="30"/>
          <w:szCs w:val="30"/>
          <w:lang w:val="en-US" w:eastAsia="zh-CN"/>
        </w:rPr>
        <w:t>以伊宁市九鼎市场批发价作为参照，结算价格不低于批发价，不得高于市场零售价</w:t>
      </w:r>
      <w:r>
        <w:rPr>
          <w:rFonts w:hint="eastAsia" w:ascii="仿宋_GB2312" w:hAnsi="仿宋_GB2312" w:eastAsia="仿宋_GB2312" w:cs="仿宋_GB2312"/>
          <w:sz w:val="30"/>
          <w:szCs w:val="30"/>
          <w:lang w:eastAsia="zh-CN"/>
        </w:rPr>
        <w:t>），以</w:t>
      </w:r>
      <w:r>
        <w:rPr>
          <w:rFonts w:hint="eastAsia" w:ascii="仿宋_GB2312" w:hAnsi="仿宋_GB2312" w:eastAsia="仿宋_GB2312" w:cs="仿宋_GB2312"/>
          <w:sz w:val="30"/>
          <w:szCs w:val="30"/>
          <w:lang w:val="en-US" w:eastAsia="zh-CN"/>
        </w:rPr>
        <w:t>甲方</w:t>
      </w:r>
      <w:r>
        <w:rPr>
          <w:rFonts w:hint="eastAsia" w:ascii="仿宋_GB2312" w:hAnsi="仿宋_GB2312" w:eastAsia="仿宋_GB2312" w:cs="仿宋_GB2312"/>
          <w:sz w:val="30"/>
          <w:szCs w:val="30"/>
          <w:lang w:eastAsia="zh-CN"/>
        </w:rPr>
        <w:t>每月中旬</w:t>
      </w:r>
      <w:r>
        <w:rPr>
          <w:rFonts w:hint="eastAsia" w:ascii="仿宋_GB2312" w:hAnsi="仿宋_GB2312" w:eastAsia="仿宋_GB2312" w:cs="仿宋_GB2312"/>
          <w:sz w:val="30"/>
          <w:szCs w:val="30"/>
          <w:lang w:val="en-US" w:eastAsia="zh-CN"/>
        </w:rPr>
        <w:t>在</w:t>
      </w:r>
      <w:r>
        <w:rPr>
          <w:rFonts w:hint="eastAsia" w:ascii="仿宋_GB2312" w:hAnsi="仿宋_GB2312" w:eastAsia="仿宋_GB2312" w:cs="仿宋_GB2312"/>
          <w:sz w:val="30"/>
          <w:szCs w:val="30"/>
          <w:lang w:eastAsia="zh-CN"/>
        </w:rPr>
        <w:t>伊宁市黄河路菜市场、北京路菜市场询价价格为基准价，以中标分项下浮率下浮的方式结算当月货款。以上供货价</w:t>
      </w:r>
      <w:r>
        <w:rPr>
          <w:rFonts w:hint="eastAsia" w:ascii="仿宋_GB2312" w:hAnsi="仿宋_GB2312" w:eastAsia="仿宋_GB2312" w:cs="仿宋_GB2312"/>
          <w:sz w:val="30"/>
          <w:szCs w:val="30"/>
        </w:rPr>
        <w:t>格系指包括全部货品、税费、包装费、运输费、装卸以及最终将货物卸载、运送、搬货交付到</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指定区域待</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验收的全部费用,其他存在或可能存在的各类税、费、成本等亦由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w:t>
      </w:r>
    </w:p>
    <w:p w14:paraId="6B7D5E0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每批货物价格以合同约定价格计算方式(小数点两位后均不计入价款),</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在合同有效期内不得提出任何费用的增加。实际供货数量以</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通知</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配送到位的验收合格且净重数量为准,结算数量按照</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对货物称重并</w:t>
      </w:r>
      <w:r>
        <w:rPr>
          <w:rFonts w:hint="eastAsia" w:ascii="仿宋_GB2312" w:hAnsi="仿宋_GB2312" w:eastAsia="仿宋_GB2312" w:cs="仿宋_GB2312"/>
          <w:sz w:val="30"/>
          <w:szCs w:val="30"/>
          <w:lang w:eastAsia="zh-CN"/>
        </w:rPr>
        <w:t>验收</w:t>
      </w:r>
      <w:r>
        <w:rPr>
          <w:rFonts w:hint="eastAsia" w:ascii="仿宋_GB2312" w:hAnsi="仿宋_GB2312" w:eastAsia="仿宋_GB2312" w:cs="仿宋_GB2312"/>
          <w:sz w:val="30"/>
          <w:szCs w:val="30"/>
        </w:rPr>
        <w:t>合格后的净重数量进行结算。</w:t>
      </w:r>
    </w:p>
    <w:p w14:paraId="17E0040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质量标准及</w:t>
      </w:r>
      <w:r>
        <w:rPr>
          <w:rFonts w:hint="eastAsia" w:ascii="仿宋_GB2312" w:hAnsi="仿宋_GB2312" w:eastAsia="仿宋_GB2312" w:cs="仿宋_GB2312"/>
          <w:sz w:val="30"/>
          <w:szCs w:val="30"/>
          <w:lang w:val="en-US" w:eastAsia="zh-CN"/>
        </w:rPr>
        <w:t>卫生标准</w:t>
      </w:r>
    </w:p>
    <w:p w14:paraId="61B1B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3.1</w:t>
      </w:r>
      <w:r>
        <w:rPr>
          <w:rFonts w:hint="eastAsia" w:ascii="仿宋_GB2312" w:hAnsi="仿宋_GB2312" w:eastAsia="仿宋_GB2312" w:cs="仿宋_GB2312"/>
          <w:sz w:val="30"/>
          <w:szCs w:val="30"/>
        </w:rPr>
        <w:t>总体要求:投标人所提供的产品,各项指标必须符合中华人民共和国食品安全国家标准。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6085D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3.2</w:t>
      </w:r>
      <w:r>
        <w:rPr>
          <w:rFonts w:hint="eastAsia" w:ascii="仿宋_GB2312" w:hAnsi="仿宋_GB2312" w:eastAsia="仿宋_GB2312" w:cs="仿宋_GB2312"/>
          <w:sz w:val="30"/>
          <w:szCs w:val="30"/>
        </w:rPr>
        <w:t>卫生指标:卫生指标应符合《食品安全国家标准鲜(冻)畜、禽产品》等相关标准,肉类提供动物检疫合格证明。</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6C809B4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质量要求:</w:t>
      </w:r>
    </w:p>
    <w:p w14:paraId="0D5F4E4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4.1</w:t>
      </w:r>
      <w:r>
        <w:rPr>
          <w:rFonts w:hint="eastAsia" w:ascii="仿宋_GB2312" w:hAnsi="仿宋_GB2312" w:eastAsia="仿宋_GB2312" w:cs="仿宋_GB2312"/>
          <w:sz w:val="30"/>
          <w:szCs w:val="30"/>
        </w:rPr>
        <w:t>牛</w:t>
      </w:r>
      <w:r>
        <w:rPr>
          <w:rFonts w:hint="eastAsia" w:ascii="仿宋_GB2312" w:hAnsi="仿宋_GB2312" w:eastAsia="仿宋_GB2312" w:cs="仿宋_GB2312"/>
          <w:sz w:val="30"/>
          <w:szCs w:val="30"/>
          <w:lang w:eastAsia="zh-CN"/>
        </w:rPr>
        <w:t>羊</w:t>
      </w:r>
      <w:r>
        <w:rPr>
          <w:rFonts w:hint="eastAsia" w:ascii="仿宋_GB2312" w:hAnsi="仿宋_GB2312" w:eastAsia="仿宋_GB2312" w:cs="仿宋_GB2312"/>
          <w:sz w:val="30"/>
          <w:szCs w:val="30"/>
        </w:rPr>
        <w:t>肉类质量标准符合 GB / T17238-2022;</w:t>
      </w:r>
    </w:p>
    <w:p w14:paraId="666D7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4.2</w:t>
      </w:r>
      <w:r>
        <w:rPr>
          <w:rFonts w:hint="eastAsia" w:ascii="仿宋_GB2312" w:hAnsi="仿宋_GB2312" w:eastAsia="仿宋_GB2312" w:cs="仿宋_GB2312"/>
          <w:sz w:val="30"/>
          <w:szCs w:val="30"/>
        </w:rPr>
        <w:t>每批次货物提供所供产品的有效检测报告</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7E5737A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lang w:val="en-US" w:eastAsia="zh-CN"/>
        </w:rPr>
        <w:t>4.3所供肉品均为鲜肉，</w:t>
      </w:r>
      <w:r>
        <w:rPr>
          <w:rFonts w:hint="eastAsia" w:ascii="仿宋_GB2312" w:hAnsi="仿宋_GB2312" w:eastAsia="仿宋_GB2312" w:cs="仿宋_GB2312"/>
          <w:sz w:val="30"/>
          <w:szCs w:val="30"/>
        </w:rPr>
        <w:t>肉品有光泽,颜色正常,表面微干或湿润,</w:t>
      </w:r>
      <w:r>
        <w:rPr>
          <w:rFonts w:hint="eastAsia" w:ascii="仿宋_GB2312" w:hAnsi="仿宋_GB2312" w:eastAsia="仿宋_GB2312" w:cs="仿宋_GB2312"/>
          <w:sz w:val="30"/>
          <w:szCs w:val="30"/>
          <w:lang w:eastAsia="zh-CN"/>
        </w:rPr>
        <w:t>无凝结的血块，</w:t>
      </w:r>
      <w:r>
        <w:rPr>
          <w:rFonts w:hint="eastAsia" w:ascii="仿宋_GB2312" w:hAnsi="仿宋_GB2312" w:eastAsia="仿宋_GB2312" w:cs="仿宋_GB2312"/>
          <w:sz w:val="30"/>
          <w:szCs w:val="30"/>
        </w:rPr>
        <w:t>无异味,无肉眼可见外来杂</w:t>
      </w:r>
      <w:r>
        <w:rPr>
          <w:rFonts w:hint="eastAsia" w:ascii="仿宋_GB2312" w:hAnsi="仿宋_GB2312" w:eastAsia="仿宋_GB2312" w:cs="仿宋_GB2312"/>
          <w:sz w:val="30"/>
          <w:szCs w:val="30"/>
          <w:highlight w:val="none"/>
        </w:rPr>
        <w:t>质</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严禁使用注水肉</w:t>
      </w:r>
      <w:r>
        <w:rPr>
          <w:rFonts w:hint="eastAsia" w:ascii="仿宋_GB2312" w:hAnsi="仿宋_GB2312" w:eastAsia="仿宋_GB2312" w:cs="仿宋_GB2312"/>
          <w:sz w:val="30"/>
          <w:szCs w:val="30"/>
          <w:highlight w:val="none"/>
          <w:lang w:eastAsia="zh-CN"/>
        </w:rPr>
        <w:t>。</w:t>
      </w:r>
    </w:p>
    <w:p w14:paraId="0D1E60D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4.4</w:t>
      </w:r>
      <w:r>
        <w:rPr>
          <w:rFonts w:hint="eastAsia" w:ascii="仿宋_GB2312" w:hAnsi="仿宋_GB2312" w:eastAsia="仿宋_GB2312" w:cs="仿宋_GB2312"/>
          <w:sz w:val="30"/>
          <w:szCs w:val="30"/>
          <w:highlight w:val="none"/>
        </w:rPr>
        <w:t>严禁病死、毒死或者死因不明的畜肉及其制品。</w:t>
      </w:r>
    </w:p>
    <w:p w14:paraId="19559B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0"/>
          <w:szCs w:val="30"/>
        </w:rPr>
      </w:pPr>
      <w:r>
        <w:rPr>
          <w:rFonts w:hint="eastAsia" w:ascii="Times New Roman" w:hAnsi="Times New Roman" w:eastAsia="仿宋_GB2312" w:cs="仿宋_GB2312"/>
          <w:b/>
          <w:bCs/>
          <w:color w:val="auto"/>
          <w:kern w:val="0"/>
          <w:sz w:val="32"/>
          <w:szCs w:val="32"/>
          <w:lang w:val="en-US" w:eastAsia="zh-CN"/>
        </w:rPr>
        <w:t>三、其他标准及要求</w:t>
      </w:r>
    </w:p>
    <w:p w14:paraId="5397BC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包装要求:</w:t>
      </w:r>
    </w:p>
    <w:p w14:paraId="78FAD2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5.1</w:t>
      </w:r>
      <w:r>
        <w:rPr>
          <w:rFonts w:hint="eastAsia" w:ascii="仿宋_GB2312" w:hAnsi="仿宋_GB2312" w:eastAsia="仿宋_GB2312" w:cs="仿宋_GB2312"/>
          <w:sz w:val="30"/>
          <w:szCs w:val="30"/>
        </w:rPr>
        <w:t>包装使用塑料薄膜、纸制品、泡沫箱等,材料无毒、无害、无异味,具有一定透气性;</w:t>
      </w:r>
    </w:p>
    <w:p w14:paraId="036F37A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5.2</w:t>
      </w:r>
      <w:r>
        <w:rPr>
          <w:rFonts w:hint="eastAsia" w:ascii="仿宋_GB2312" w:hAnsi="仿宋_GB2312" w:eastAsia="仿宋_GB2312" w:cs="仿宋_GB2312"/>
          <w:sz w:val="30"/>
          <w:szCs w:val="30"/>
        </w:rPr>
        <w:t>包装材料应清洁、干燥,不得含有害物质,也不能对肉品造成污染;</w:t>
      </w:r>
    </w:p>
    <w:p w14:paraId="02533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保证本合同项下所提供的货物来源安全可靠,质量符合国家质量安全标准及招投标文件、答疑附件的质量要求,干净卫生、新鲜、无杂质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变质、腐烂、以假充真、以次充好等现象,并保证其销售的产品不存在有造成</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或任何第三人人身损害的现实或潜在的危险;</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承诺对货物质量承担终身追溯责任。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供应商需提供相关承诺函及生产厂家或屠宰企业的《屠宰许可证》、《动物防疫条件合格证》，格式自拟）</w:t>
      </w:r>
    </w:p>
    <w:p w14:paraId="0CDE4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应保证其配送的每一个批次的货物符合上述质量标准及相应的</w:t>
      </w:r>
      <w:r>
        <w:rPr>
          <w:rFonts w:hint="eastAsia" w:ascii="仿宋_GB2312" w:hAnsi="仿宋_GB2312" w:eastAsia="仿宋_GB2312" w:cs="仿宋_GB2312"/>
          <w:sz w:val="30"/>
          <w:szCs w:val="30"/>
          <w:lang w:eastAsia="zh-CN"/>
        </w:rPr>
        <w:t>食品</w:t>
      </w:r>
      <w:r>
        <w:rPr>
          <w:rFonts w:hint="eastAsia" w:ascii="仿宋_GB2312" w:hAnsi="仿宋_GB2312" w:eastAsia="仿宋_GB2312" w:cs="仿宋_GB2312"/>
          <w:sz w:val="30"/>
          <w:szCs w:val="30"/>
        </w:rPr>
        <w:t>安全标准,并在交付时提供由国家级检测机构出具的</w:t>
      </w:r>
      <w:r>
        <w:rPr>
          <w:rFonts w:hint="eastAsia" w:ascii="仿宋_GB2312" w:hAnsi="仿宋_GB2312" w:eastAsia="仿宋_GB2312" w:cs="仿宋_GB2312"/>
          <w:sz w:val="30"/>
          <w:szCs w:val="30"/>
          <w:lang w:eastAsia="zh-CN"/>
        </w:rPr>
        <w:t>动物检疫</w:t>
      </w:r>
      <w:r>
        <w:rPr>
          <w:rFonts w:hint="eastAsia" w:ascii="仿宋_GB2312" w:hAnsi="仿宋_GB2312" w:eastAsia="仿宋_GB2312" w:cs="仿宋_GB2312"/>
          <w:sz w:val="30"/>
          <w:szCs w:val="30"/>
        </w:rPr>
        <w:t>证明。</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22A0A0A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交货时间、地点及风险转移</w:t>
      </w:r>
    </w:p>
    <w:p w14:paraId="3DE5B37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8.1</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按</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要求配送货物的日期将货物送达至指定地点:</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指定地点,并确保及时配合</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完成验收工作。</w:t>
      </w:r>
    </w:p>
    <w:p w14:paraId="280AFB7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供货时间:</w:t>
      </w:r>
    </w:p>
    <w:p w14:paraId="405704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9.1</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向</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发送订货单时起,</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应在约定时间或</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指定的时间将货物送至</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指定地点(特殊商品除外),</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将根据订货单进行严格验收,超出订货单范围或质量不合格的货物</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有权拒收,</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通知的期限内取走,否则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将视为</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无偿提供超出部分货物,有权处置该部分货物并向</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收取仓储费用。</w:t>
      </w:r>
    </w:p>
    <w:p w14:paraId="12DFD3E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9.2</w:t>
      </w:r>
      <w:r>
        <w:rPr>
          <w:rFonts w:hint="eastAsia" w:ascii="仿宋_GB2312" w:hAnsi="仿宋_GB2312" w:eastAsia="仿宋_GB2312" w:cs="仿宋_GB2312"/>
          <w:sz w:val="30"/>
          <w:szCs w:val="30"/>
        </w:rPr>
        <w:t>如</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应急临时需购货品,</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必须按指定的品种、数量,并保证货物符合国家相关食品安全标准。在接到</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eastAsia="zh-CN"/>
        </w:rPr>
        <w:t>订单</w:t>
      </w:r>
      <w:r>
        <w:rPr>
          <w:rFonts w:hint="eastAsia" w:ascii="仿宋_GB2312" w:hAnsi="仿宋_GB2312" w:eastAsia="仿宋_GB2312" w:cs="仿宋_GB2312"/>
          <w:sz w:val="30"/>
          <w:szCs w:val="30"/>
        </w:rPr>
        <w:t xml:space="preserve">通知后 </w:t>
      </w:r>
      <w:r>
        <w:rPr>
          <w:rFonts w:hint="eastAsia" w:ascii="仿宋_GB2312" w:hAnsi="仿宋_GB2312" w:eastAsia="仿宋_GB2312" w:cs="仿宋_GB2312"/>
          <w:sz w:val="30"/>
          <w:szCs w:val="30"/>
          <w:lang w:eastAsia="zh-CN"/>
        </w:rPr>
        <w:t>在规定时间内</w:t>
      </w:r>
      <w:r>
        <w:rPr>
          <w:rFonts w:hint="eastAsia" w:ascii="仿宋_GB2312" w:hAnsi="仿宋_GB2312" w:eastAsia="仿宋_GB2312" w:cs="仿宋_GB2312"/>
          <w:sz w:val="30"/>
          <w:szCs w:val="30"/>
        </w:rPr>
        <w:t>送货至</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w:t>
      </w:r>
    </w:p>
    <w:p w14:paraId="1A3011D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9.3</w:t>
      </w:r>
      <w:r>
        <w:rPr>
          <w:rFonts w:hint="eastAsia" w:ascii="仿宋_GB2312" w:hAnsi="仿宋_GB2312" w:eastAsia="仿宋_GB2312" w:cs="仿宋_GB2312"/>
          <w:sz w:val="30"/>
          <w:szCs w:val="30"/>
        </w:rPr>
        <w:t>交货完成前(即货物交付完毕且经</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书面验收合格前),本合同项下货物的损毁灭失风险由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承担,交货完成后(货物交付完毕且经过</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书面验收合格后),非因</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原因,出现质量问题,</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在 24 小时内更换货物或退货处理。</w:t>
      </w:r>
    </w:p>
    <w:p w14:paraId="303BA59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供货方式:按</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需求及要求(质量要求、送货方式及卸货要求)供货,送达指定地点。</w:t>
      </w:r>
    </w:p>
    <w:p w14:paraId="349EEDD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10.1</w:t>
      </w:r>
      <w:r>
        <w:rPr>
          <w:rFonts w:hint="eastAsia" w:ascii="仿宋_GB2312" w:hAnsi="仿宋_GB2312" w:eastAsia="仿宋_GB2312" w:cs="仿宋_GB2312"/>
          <w:sz w:val="30"/>
          <w:szCs w:val="30"/>
        </w:rPr>
        <w:t>在紧急需求特殊情况下,</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有责任配合</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做好人员、车辆等安全检查、卫生防疫等相关要求,未经检测达标的,</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有权禁止其入场供货,</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应当立即整改。</w:t>
      </w:r>
    </w:p>
    <w:p w14:paraId="6492413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货物的包装及运输</w:t>
      </w:r>
    </w:p>
    <w:p w14:paraId="7250960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11.1</w:t>
      </w:r>
      <w:r>
        <w:rPr>
          <w:rFonts w:hint="eastAsia" w:ascii="仿宋_GB2312" w:hAnsi="仿宋_GB2312" w:eastAsia="仿宋_GB2312" w:cs="仿宋_GB2312"/>
          <w:sz w:val="30"/>
          <w:szCs w:val="30"/>
        </w:rPr>
        <w:t>包装必须与运输方式相适应,包装方式的确定和包装费用均由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负责;</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应在货物交付前提供包装方案供</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审核,未经</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书面同意不得变更包装方式。</w:t>
      </w:r>
    </w:p>
    <w:p w14:paraId="360F90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11.2</w:t>
      </w:r>
      <w:r>
        <w:rPr>
          <w:rFonts w:hint="eastAsia" w:ascii="仿宋_GB2312" w:hAnsi="仿宋_GB2312" w:eastAsia="仿宋_GB2312" w:cs="仿宋_GB2312"/>
          <w:sz w:val="30"/>
          <w:szCs w:val="30"/>
        </w:rPr>
        <w:t>采用定型包装的货物,包装必须符合国家对产品包装的有关规定。货品由生产厂家使用符合国家食品卫生要求的包装箱或包装袋进行完整包装,包装上必须有清晰的厂家信息、生产日期、保质期、净重量;必须有 SC 编码;包装破损</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有权拒绝接收,自然破损除外。</w:t>
      </w:r>
    </w:p>
    <w:p w14:paraId="7239AA5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11.3</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保证运输周转的容器与车辆的清洁卫生和防止货物在运输过程中受到污染,否则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有权拒绝接收。</w:t>
      </w:r>
    </w:p>
    <w:p w14:paraId="7CE9F44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11.4</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根据运送货物的需求,运送车辆及方式须符合《中华人民共和国道路交通安全法》《中华人民共和国道路运输条例》及国家相关行业标准(如 GB/T 26772-2011 等),</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承运车辆到达</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指定地点后必须服从</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管理,并确保货物按要求安全放置在指定区域。</w:t>
      </w:r>
    </w:p>
    <w:p w14:paraId="7C46C0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验收</w:t>
      </w:r>
    </w:p>
    <w:p w14:paraId="608C079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12.1</w:t>
      </w:r>
      <w:r>
        <w:rPr>
          <w:rFonts w:hint="eastAsia" w:ascii="仿宋_GB2312" w:hAnsi="仿宋_GB2312" w:eastAsia="仿宋_GB2312" w:cs="仿宋_GB2312"/>
          <w:sz w:val="30"/>
          <w:szCs w:val="30"/>
        </w:rPr>
        <w:t xml:space="preserve"> 验收标准:以招投标文件及</w:t>
      </w:r>
      <w:r>
        <w:rPr>
          <w:rFonts w:hint="eastAsia" w:ascii="仿宋_GB2312" w:hAnsi="仿宋_GB2312" w:eastAsia="仿宋_GB2312" w:cs="仿宋_GB2312"/>
          <w:sz w:val="32"/>
          <w:szCs w:val="32"/>
          <w:lang w:val="en-US" w:eastAsia="zh-CN"/>
        </w:rPr>
        <w:t>合同签订时</w:t>
      </w:r>
      <w:r>
        <w:rPr>
          <w:rFonts w:hint="eastAsia" w:ascii="仿宋_GB2312" w:hAnsi="仿宋_GB2312" w:eastAsia="仿宋_GB2312" w:cs="仿宋_GB2312"/>
          <w:sz w:val="32"/>
          <w:szCs w:val="32"/>
        </w:rPr>
        <w:t>约定的质量标准为货物的验收标准</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仅对</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交付货物的数量、规格、外观等进行初步验收,初步验收合格不代表</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对所交付货物潜在质量安全问题免责。</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有权对货物进行破坏性抽样检测,检测费用和产生的成本由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w:t>
      </w:r>
    </w:p>
    <w:p w14:paraId="5D5BDE9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12.2</w:t>
      </w:r>
      <w:r>
        <w:rPr>
          <w:rFonts w:hint="eastAsia" w:ascii="仿宋_GB2312" w:hAnsi="仿宋_GB2312" w:eastAsia="仿宋_GB2312" w:cs="仿宋_GB2312"/>
          <w:sz w:val="30"/>
          <w:szCs w:val="30"/>
        </w:rPr>
        <w:t>数量的认定:</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依据</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提供的物资计划单中品种数量进行配送;</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工作人员和</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人员现场称重或点数完毕后,共同在送货单上核准并签字,并加盖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公章作为结帐凭证,</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验收人员为法定代表人或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书面授权的委托人,</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将授权委托书一并提交给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,授权委托书应加盖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公章并由法定代表人签字。结算数量按照实际进货数量(净重),除去未通过验收数量进行结算。</w:t>
      </w:r>
    </w:p>
    <w:p w14:paraId="5BB1228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rPr>
        <w:t>货款支付</w:t>
      </w:r>
    </w:p>
    <w:p w14:paraId="7EE783E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13.1</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应按照</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的通知开具符合国家税务规定的正规普通发票(发票内容需与验收单一致,不能在税务局代开发票)交</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查验,否则视为自行放弃供货资格。</w:t>
      </w:r>
    </w:p>
    <w:p w14:paraId="570E2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其他要求</w:t>
      </w:r>
    </w:p>
    <w:p w14:paraId="4DD50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u w:val="none"/>
          <w:lang w:val="en-US" w:eastAsia="zh-CN"/>
        </w:rPr>
        <w:t>14.1采购</w:t>
      </w:r>
      <w:r>
        <w:rPr>
          <w:rFonts w:hint="eastAsia" w:ascii="仿宋_GB2312" w:hAnsi="仿宋_GB2312" w:eastAsia="仿宋_GB2312" w:cs="仿宋_GB2312"/>
          <w:sz w:val="32"/>
          <w:szCs w:val="32"/>
          <w:highlight w:val="none"/>
          <w:u w:val="none"/>
        </w:rPr>
        <w:t>人保留对</w:t>
      </w:r>
      <w:r>
        <w:rPr>
          <w:rFonts w:hint="eastAsia" w:ascii="仿宋_GB2312" w:hAnsi="仿宋_GB2312" w:eastAsia="仿宋_GB2312" w:cs="仿宋_GB2312"/>
          <w:sz w:val="32"/>
          <w:szCs w:val="32"/>
          <w:highlight w:val="none"/>
          <w:u w:val="none"/>
          <w:lang w:val="en-US" w:eastAsia="zh-CN"/>
        </w:rPr>
        <w:t>中标</w:t>
      </w:r>
      <w:r>
        <w:rPr>
          <w:rFonts w:hint="eastAsia" w:ascii="仿宋_GB2312" w:hAnsi="仿宋_GB2312" w:eastAsia="仿宋_GB2312" w:cs="仿宋_GB2312"/>
          <w:sz w:val="32"/>
          <w:szCs w:val="32"/>
          <w:highlight w:val="none"/>
          <w:u w:val="none"/>
        </w:rPr>
        <w:t>企业进一步实地考察的权利，经查实</w:t>
      </w:r>
      <w:r>
        <w:rPr>
          <w:rFonts w:hint="eastAsia" w:ascii="仿宋_GB2312" w:hAnsi="仿宋_GB2312" w:eastAsia="仿宋_GB2312" w:cs="仿宋_GB2312"/>
          <w:sz w:val="32"/>
          <w:szCs w:val="32"/>
          <w:highlight w:val="none"/>
          <w:u w:val="none"/>
          <w:lang w:val="en-US" w:eastAsia="zh-CN"/>
        </w:rPr>
        <w:t>成交供应商</w:t>
      </w:r>
      <w:r>
        <w:rPr>
          <w:rFonts w:hint="eastAsia" w:ascii="仿宋_GB2312" w:hAnsi="仿宋_GB2312" w:eastAsia="仿宋_GB2312" w:cs="仿宋_GB2312"/>
          <w:sz w:val="32"/>
          <w:szCs w:val="32"/>
          <w:highlight w:val="none"/>
          <w:u w:val="none"/>
        </w:rPr>
        <w:t>提供的资料同</w:t>
      </w:r>
      <w:r>
        <w:rPr>
          <w:rFonts w:hint="eastAsia" w:ascii="仿宋_GB2312" w:hAnsi="仿宋_GB2312" w:eastAsia="仿宋_GB2312" w:cs="仿宋_GB2312"/>
          <w:sz w:val="32"/>
          <w:szCs w:val="32"/>
          <w:highlight w:val="none"/>
          <w:u w:val="none"/>
          <w:lang w:val="en-US" w:eastAsia="zh-CN"/>
        </w:rPr>
        <w:t>招标文件</w:t>
      </w:r>
      <w:r>
        <w:rPr>
          <w:rFonts w:hint="eastAsia" w:ascii="仿宋_GB2312" w:hAnsi="仿宋_GB2312" w:eastAsia="仿宋_GB2312" w:cs="仿宋_GB2312"/>
          <w:sz w:val="32"/>
          <w:szCs w:val="32"/>
          <w:highlight w:val="none"/>
          <w:u w:val="none"/>
        </w:rPr>
        <w:t>所要求内容与事实不符，有虚假行为的，招标人有权拒绝</w:t>
      </w:r>
      <w:r>
        <w:rPr>
          <w:rFonts w:hint="eastAsia" w:ascii="仿宋_GB2312" w:hAnsi="仿宋_GB2312" w:eastAsia="仿宋_GB2312" w:cs="仿宋_GB2312"/>
          <w:sz w:val="32"/>
          <w:szCs w:val="32"/>
          <w:highlight w:val="none"/>
          <w:u w:val="none"/>
          <w:lang w:val="en-US" w:eastAsia="zh-CN"/>
        </w:rPr>
        <w:t>与</w:t>
      </w:r>
      <w:r>
        <w:rPr>
          <w:rFonts w:hint="eastAsia" w:ascii="仿宋_GB2312" w:hAnsi="仿宋_GB2312" w:eastAsia="仿宋_GB2312" w:cs="仿宋_GB2312"/>
          <w:sz w:val="32"/>
          <w:szCs w:val="32"/>
          <w:highlight w:val="none"/>
          <w:u w:val="none"/>
        </w:rPr>
        <w:t>投标企业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合同签订并报监管单位处理</w:t>
      </w:r>
      <w:r>
        <w:rPr>
          <w:rFonts w:hint="eastAsia" w:ascii="仿宋_GB2312" w:hAnsi="仿宋_GB2312" w:eastAsia="仿宋_GB2312" w:cs="仿宋_GB2312"/>
          <w:sz w:val="32"/>
          <w:szCs w:val="32"/>
        </w:rPr>
        <w:t>。</w:t>
      </w:r>
    </w:p>
    <w:p w14:paraId="66049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1447E747">
      <w:pPr>
        <w:rPr>
          <w:rFonts w:hint="eastAsia"/>
        </w:rPr>
      </w:pPr>
    </w:p>
    <w:p w14:paraId="167060E7">
      <w:pPr>
        <w:pStyle w:val="2"/>
        <w:spacing w:line="360" w:lineRule="auto"/>
        <w:jc w:val="center"/>
        <w:rPr>
          <w:rFonts w:hint="eastAsia" w:ascii="方正小标宋_GBK" w:hAnsi="方正小标宋_GBK" w:eastAsia="方正小标宋_GBK" w:cs="方正小标宋_GBK"/>
          <w:b w:val="0"/>
          <w:bCs w:val="0"/>
          <w:kern w:val="2"/>
          <w:sz w:val="32"/>
          <w:szCs w:val="32"/>
        </w:rPr>
      </w:pPr>
      <w:r>
        <w:rPr>
          <w:rFonts w:hint="eastAsia" w:ascii="方正小标宋_GBK" w:hAnsi="方正小标宋_GBK" w:eastAsia="方正小标宋_GBK" w:cs="方正小标宋_GBK"/>
          <w:b w:val="0"/>
          <w:bCs w:val="0"/>
          <w:kern w:val="2"/>
          <w:sz w:val="32"/>
          <w:szCs w:val="32"/>
        </w:rPr>
        <w:t>第六章   投标文件部分格式</w:t>
      </w:r>
      <w:bookmarkEnd w:id="293"/>
    </w:p>
    <w:p w14:paraId="126A287B">
      <w:pPr>
        <w:spacing w:line="360" w:lineRule="auto"/>
        <w:jc w:val="center"/>
        <w:rPr>
          <w:rFonts w:hint="eastAsia" w:ascii="仿宋" w:hAnsi="仿宋" w:eastAsia="仿宋" w:cs="仿宋"/>
          <w:sz w:val="32"/>
          <w:szCs w:val="32"/>
        </w:rPr>
      </w:pPr>
      <w:r>
        <w:rPr>
          <w:rFonts w:hint="eastAsia" w:ascii="仿宋" w:hAnsi="仿宋" w:eastAsia="仿宋" w:cs="仿宋"/>
          <w:sz w:val="24"/>
          <w:szCs w:val="24"/>
        </w:rPr>
        <w:t xml:space="preserve">                                </w:t>
      </w:r>
      <w:r>
        <w:rPr>
          <w:rFonts w:hint="eastAsia" w:ascii="仿宋" w:hAnsi="仿宋" w:eastAsia="仿宋" w:cs="仿宋"/>
          <w:sz w:val="32"/>
          <w:szCs w:val="32"/>
        </w:rPr>
        <w:t xml:space="preserve">    </w:t>
      </w:r>
      <w:bookmarkStart w:id="294" w:name="_Toc8812_WPSOffice_Level1"/>
      <w:bookmarkStart w:id="295" w:name="_Toc4221_WPSOffice_Level1"/>
      <w:r>
        <w:rPr>
          <w:rFonts w:hint="eastAsia" w:ascii="仿宋" w:hAnsi="仿宋" w:eastAsia="仿宋" w:cs="仿宋"/>
          <w:sz w:val="32"/>
          <w:szCs w:val="32"/>
        </w:rPr>
        <w:t>正本/副本</w:t>
      </w:r>
      <w:bookmarkEnd w:id="294"/>
      <w:bookmarkEnd w:id="295"/>
    </w:p>
    <w:p w14:paraId="521B637C">
      <w:pPr>
        <w:pStyle w:val="19"/>
        <w:spacing w:line="360" w:lineRule="auto"/>
        <w:rPr>
          <w:rFonts w:hint="eastAsia" w:ascii="仿宋" w:hAnsi="仿宋" w:eastAsia="仿宋" w:cs="仿宋"/>
          <w:sz w:val="32"/>
          <w:szCs w:val="32"/>
        </w:rPr>
      </w:pPr>
    </w:p>
    <w:p w14:paraId="559DAF2F">
      <w:pPr>
        <w:pStyle w:val="19"/>
        <w:spacing w:line="360" w:lineRule="auto"/>
        <w:rPr>
          <w:rFonts w:hint="eastAsia" w:ascii="仿宋" w:hAnsi="仿宋" w:eastAsia="仿宋" w:cs="仿宋"/>
          <w:sz w:val="32"/>
          <w:szCs w:val="32"/>
        </w:rPr>
      </w:pPr>
    </w:p>
    <w:p w14:paraId="128F50CC">
      <w:pPr>
        <w:spacing w:line="360" w:lineRule="auto"/>
        <w:ind w:firstLine="1920" w:firstLineChars="600"/>
        <w:rPr>
          <w:rFonts w:hint="eastAsia" w:ascii="仿宋" w:hAnsi="仿宋" w:eastAsia="仿宋" w:cs="仿宋"/>
          <w:sz w:val="32"/>
          <w:szCs w:val="32"/>
        </w:rPr>
      </w:pPr>
      <w:r>
        <w:rPr>
          <w:rFonts w:hint="eastAsia" w:ascii="仿宋" w:hAnsi="仿宋" w:eastAsia="仿宋" w:cs="仿宋"/>
          <w:sz w:val="32"/>
          <w:szCs w:val="32"/>
          <w:u w:val="single"/>
        </w:rPr>
        <w:t xml:space="preserve">             （项目名称）                </w:t>
      </w:r>
    </w:p>
    <w:p w14:paraId="0C0F76D3">
      <w:pPr>
        <w:spacing w:line="360" w:lineRule="auto"/>
        <w:rPr>
          <w:rFonts w:hint="eastAsia" w:ascii="仿宋" w:hAnsi="仿宋" w:eastAsia="仿宋" w:cs="仿宋"/>
          <w:sz w:val="32"/>
          <w:szCs w:val="32"/>
        </w:rPr>
      </w:pPr>
    </w:p>
    <w:p w14:paraId="712647E9">
      <w:pPr>
        <w:spacing w:line="360" w:lineRule="auto"/>
        <w:rPr>
          <w:rFonts w:hint="eastAsia" w:ascii="仿宋" w:hAnsi="仿宋" w:eastAsia="仿宋" w:cs="仿宋"/>
          <w:sz w:val="32"/>
          <w:szCs w:val="32"/>
        </w:rPr>
      </w:pPr>
    </w:p>
    <w:p w14:paraId="18BAE273">
      <w:pPr>
        <w:pStyle w:val="19"/>
        <w:spacing w:line="360" w:lineRule="auto"/>
        <w:rPr>
          <w:rFonts w:hint="eastAsia" w:ascii="仿宋" w:hAnsi="仿宋" w:eastAsia="仿宋" w:cs="仿宋"/>
          <w:sz w:val="32"/>
          <w:szCs w:val="32"/>
        </w:rPr>
      </w:pPr>
    </w:p>
    <w:p w14:paraId="1698BAB6">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投标文件</w:t>
      </w:r>
    </w:p>
    <w:p w14:paraId="0BD9172B">
      <w:pPr>
        <w:pStyle w:val="72"/>
        <w:spacing w:line="360" w:lineRule="auto"/>
        <w:ind w:firstLine="643"/>
        <w:rPr>
          <w:rFonts w:hint="eastAsia" w:ascii="仿宋" w:hAnsi="仿宋" w:eastAsia="仿宋" w:cs="仿宋"/>
          <w:b/>
          <w:bCs/>
          <w:sz w:val="32"/>
          <w:szCs w:val="32"/>
        </w:rPr>
      </w:pPr>
    </w:p>
    <w:p w14:paraId="66527051">
      <w:pPr>
        <w:pStyle w:val="72"/>
        <w:spacing w:line="360" w:lineRule="auto"/>
        <w:ind w:firstLine="643"/>
        <w:rPr>
          <w:rFonts w:hint="eastAsia" w:ascii="仿宋" w:hAnsi="仿宋" w:eastAsia="仿宋" w:cs="仿宋"/>
          <w:b/>
          <w:bCs/>
          <w:sz w:val="32"/>
          <w:szCs w:val="32"/>
        </w:rPr>
      </w:pPr>
    </w:p>
    <w:p w14:paraId="11669B8C">
      <w:pPr>
        <w:pStyle w:val="72"/>
        <w:spacing w:line="360" w:lineRule="auto"/>
        <w:ind w:firstLine="643"/>
        <w:rPr>
          <w:rFonts w:hint="eastAsia" w:ascii="仿宋" w:hAnsi="仿宋" w:eastAsia="仿宋" w:cs="仿宋"/>
          <w:b/>
          <w:bCs/>
          <w:sz w:val="32"/>
          <w:szCs w:val="32"/>
        </w:rPr>
      </w:pPr>
    </w:p>
    <w:p w14:paraId="436CCE7A">
      <w:pPr>
        <w:pStyle w:val="72"/>
        <w:spacing w:line="360" w:lineRule="auto"/>
        <w:ind w:firstLine="643"/>
        <w:rPr>
          <w:rFonts w:hint="eastAsia" w:ascii="仿宋" w:hAnsi="仿宋" w:eastAsia="仿宋" w:cs="仿宋"/>
          <w:b/>
          <w:bCs/>
          <w:sz w:val="32"/>
          <w:szCs w:val="32"/>
        </w:rPr>
      </w:pPr>
    </w:p>
    <w:p w14:paraId="740686EB">
      <w:pPr>
        <w:spacing w:line="360" w:lineRule="auto"/>
        <w:rPr>
          <w:rFonts w:hint="eastAsia" w:ascii="仿宋" w:hAnsi="仿宋" w:eastAsia="仿宋" w:cs="仿宋"/>
          <w:kern w:val="0"/>
          <w:sz w:val="32"/>
          <w:szCs w:val="32"/>
        </w:rPr>
      </w:pPr>
    </w:p>
    <w:p w14:paraId="7EA65A18">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投标单位名称（盖章）：</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6E7158C9">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法人或委托代理人（签字或盖章）：</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75B534F1">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单 位 地  址：</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6D6F424B">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联   系   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0792C26B">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联 系 电  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4A7841C7">
      <w:pPr>
        <w:spacing w:line="360" w:lineRule="auto"/>
        <w:rPr>
          <w:rFonts w:hint="eastAsia" w:ascii="仿宋" w:hAnsi="仿宋" w:eastAsia="仿宋" w:cs="仿宋"/>
          <w:kern w:val="0"/>
          <w:sz w:val="24"/>
          <w:szCs w:val="24"/>
        </w:rPr>
      </w:pPr>
      <w:r>
        <w:rPr>
          <w:rFonts w:hint="eastAsia" w:ascii="仿宋" w:hAnsi="仿宋" w:eastAsia="仿宋" w:cs="仿宋"/>
          <w:kern w:val="0"/>
          <w:sz w:val="32"/>
          <w:szCs w:val="32"/>
        </w:rPr>
        <w:t>邮  政 编 码：</w:t>
      </w:r>
      <w:r>
        <w:rPr>
          <w:rFonts w:hint="eastAsia" w:ascii="仿宋" w:hAnsi="仿宋" w:eastAsia="仿宋" w:cs="仿宋"/>
          <w:kern w:val="0"/>
          <w:sz w:val="32"/>
          <w:szCs w:val="32"/>
          <w:u w:val="single"/>
        </w:rPr>
        <w:t xml:space="preserve">                                         </w:t>
      </w:r>
      <w:r>
        <w:rPr>
          <w:rFonts w:hint="eastAsia" w:ascii="仿宋" w:hAnsi="仿宋" w:eastAsia="仿宋" w:cs="仿宋"/>
          <w:kern w:val="0"/>
          <w:sz w:val="24"/>
          <w:szCs w:val="24"/>
        </w:rPr>
        <w:t xml:space="preserve"> </w:t>
      </w:r>
    </w:p>
    <w:p w14:paraId="0035700C">
      <w:pPr>
        <w:spacing w:line="360" w:lineRule="auto"/>
        <w:jc w:val="center"/>
        <w:rPr>
          <w:rFonts w:hint="eastAsia" w:ascii="仿宋" w:hAnsi="仿宋" w:eastAsia="仿宋" w:cs="仿宋"/>
          <w:b/>
          <w:sz w:val="24"/>
          <w:szCs w:val="24"/>
        </w:rPr>
      </w:pPr>
      <w:r>
        <w:rPr>
          <w:rFonts w:hint="eastAsia" w:ascii="仿宋" w:hAnsi="仿宋" w:eastAsia="仿宋" w:cs="仿宋"/>
          <w:sz w:val="24"/>
          <w:szCs w:val="24"/>
        </w:rPr>
        <w:t xml:space="preserve">       年        月        日</w:t>
      </w:r>
    </w:p>
    <w:p w14:paraId="61E7DEBD">
      <w:pPr>
        <w:pStyle w:val="75"/>
        <w:spacing w:line="360" w:lineRule="auto"/>
        <w:ind w:firstLineChars="83"/>
        <w:jc w:val="center"/>
        <w:rPr>
          <w:rFonts w:hint="eastAsia" w:ascii="仿宋" w:hAnsi="仿宋" w:eastAsia="仿宋" w:cs="仿宋"/>
          <w:b/>
          <w:sz w:val="24"/>
          <w:szCs w:val="24"/>
        </w:rPr>
      </w:pPr>
    </w:p>
    <w:p w14:paraId="39F282BD">
      <w:pPr>
        <w:pStyle w:val="75"/>
        <w:spacing w:line="360" w:lineRule="auto"/>
        <w:ind w:firstLine="267" w:firstLineChars="83"/>
        <w:jc w:val="center"/>
        <w:rPr>
          <w:rFonts w:hint="eastAsia" w:hAnsi="仿宋_GB2312" w:cs="仿宋_GB2312"/>
          <w:b/>
          <w:sz w:val="32"/>
          <w:szCs w:val="32"/>
        </w:rPr>
      </w:pPr>
      <w:r>
        <w:rPr>
          <w:rFonts w:hint="eastAsia" w:hAnsi="仿宋_GB2312" w:cs="仿宋_GB2312"/>
          <w:b/>
          <w:sz w:val="32"/>
          <w:szCs w:val="32"/>
        </w:rPr>
        <w:t>投标文件目录</w:t>
      </w:r>
    </w:p>
    <w:p w14:paraId="588614FE">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（1）投标承诺书</w:t>
      </w:r>
    </w:p>
    <w:p w14:paraId="268F8587">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（2）报价一览表</w:t>
      </w:r>
    </w:p>
    <w:p w14:paraId="60C433B5">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（3）报价一览明细表</w:t>
      </w:r>
    </w:p>
    <w:p w14:paraId="5DBDA7D0">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（4）法定代表人身份证明</w:t>
      </w:r>
    </w:p>
    <w:p w14:paraId="4E9617FB">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（5）法定代表人授权委托书</w:t>
      </w:r>
    </w:p>
    <w:p w14:paraId="19652BE0">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（6）投标保证金打款凭证或投标保函</w:t>
      </w:r>
    </w:p>
    <w:p w14:paraId="5E61D703">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（7）技术条件响应/偏离表</w:t>
      </w:r>
    </w:p>
    <w:p w14:paraId="0E909C3A">
      <w:pPr>
        <w:pStyle w:val="19"/>
        <w:spacing w:line="360" w:lineRule="auto"/>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（8）商务条件响应/偏离表</w:t>
      </w:r>
    </w:p>
    <w:p w14:paraId="5DF15F6D">
      <w:pPr>
        <w:pStyle w:val="75"/>
        <w:spacing w:line="360" w:lineRule="auto"/>
        <w:ind w:firstLine="640"/>
        <w:rPr>
          <w:rFonts w:hint="eastAsia" w:hAnsi="仿宋_GB2312" w:cs="仿宋_GB2312"/>
          <w:sz w:val="32"/>
          <w:szCs w:val="32"/>
        </w:rPr>
      </w:pPr>
      <w:r>
        <w:rPr>
          <w:rFonts w:hint="eastAsia" w:hAnsi="仿宋_GB2312" w:cs="仿宋_GB2312"/>
          <w:sz w:val="32"/>
          <w:szCs w:val="32"/>
        </w:rPr>
        <w:t>（9）相应的资格证明文件以及商务因素、技术因素、服务因素所需证明资料（包括不限于企业简介、企业相关证件等）（格式自拟）</w:t>
      </w:r>
    </w:p>
    <w:p w14:paraId="2AF64E81">
      <w:pPr>
        <w:pStyle w:val="75"/>
        <w:spacing w:line="360" w:lineRule="auto"/>
        <w:ind w:firstLine="640"/>
        <w:rPr>
          <w:rFonts w:hint="eastAsia" w:hAnsi="仿宋_GB2312" w:cs="仿宋_GB2312"/>
          <w:color w:val="auto"/>
          <w:sz w:val="32"/>
          <w:szCs w:val="32"/>
          <w:highlight w:val="none"/>
        </w:rPr>
      </w:pPr>
      <w:r>
        <w:rPr>
          <w:rFonts w:hint="eastAsia" w:hAnsi="仿宋_GB2312" w:cs="仿宋_GB2312"/>
          <w:sz w:val="32"/>
          <w:szCs w:val="32"/>
        </w:rPr>
        <w:t>（10）投标人近三年（2023年0</w:t>
      </w:r>
      <w:r>
        <w:rPr>
          <w:rFonts w:hint="eastAsia" w:hAnsi="仿宋_GB2312" w:cs="仿宋_GB2312"/>
          <w:sz w:val="32"/>
          <w:szCs w:val="32"/>
          <w:lang w:val="en-US" w:eastAsia="zh-CN"/>
        </w:rPr>
        <w:t>6</w:t>
      </w:r>
      <w:r>
        <w:rPr>
          <w:rFonts w:hint="eastAsia" w:hAnsi="仿宋_GB2312" w:cs="仿宋_GB2312"/>
          <w:sz w:val="32"/>
          <w:szCs w:val="32"/>
        </w:rPr>
        <w:t>月01日至今）类似项目业</w:t>
      </w:r>
      <w:r>
        <w:rPr>
          <w:rFonts w:hint="eastAsia" w:hAnsi="仿宋_GB2312" w:cs="仿宋_GB2312"/>
          <w:color w:val="auto"/>
          <w:sz w:val="32"/>
          <w:szCs w:val="32"/>
          <w:highlight w:val="none"/>
        </w:rPr>
        <w:t>绩（</w:t>
      </w:r>
      <w:r>
        <w:rPr>
          <w:rFonts w:hint="eastAsia" w:hAnsi="仿宋_GB2312" w:cs="仿宋_GB2312"/>
          <w:sz w:val="32"/>
          <w:szCs w:val="32"/>
        </w:rPr>
        <w:t>附中标通知书</w:t>
      </w:r>
      <w:r>
        <w:rPr>
          <w:rFonts w:hint="eastAsia" w:hAnsi="仿宋_GB2312" w:cs="仿宋_GB2312"/>
          <w:sz w:val="32"/>
          <w:szCs w:val="32"/>
          <w:lang w:val="en-US" w:eastAsia="zh-CN"/>
        </w:rPr>
        <w:t>和</w:t>
      </w:r>
      <w:r>
        <w:rPr>
          <w:rFonts w:hint="eastAsia" w:hAnsi="仿宋_GB2312" w:cs="仿宋_GB2312"/>
          <w:sz w:val="32"/>
          <w:szCs w:val="32"/>
          <w:lang w:eastAsia="zh-CN"/>
        </w:rPr>
        <w:t>采购合同及验收单（或甲方评价意见表）</w:t>
      </w:r>
    </w:p>
    <w:p w14:paraId="73986856">
      <w:pPr>
        <w:pStyle w:val="75"/>
        <w:autoSpaceDE w:val="0"/>
        <w:autoSpaceDN w:val="0"/>
        <w:adjustRightInd w:val="0"/>
        <w:spacing w:line="560" w:lineRule="exact"/>
        <w:ind w:firstLine="640"/>
        <w:rPr>
          <w:rFonts w:hint="eastAsia" w:hAnsi="仿宋_GB2312" w:cs="仿宋_GB2312"/>
          <w:color w:val="auto"/>
          <w:sz w:val="32"/>
          <w:szCs w:val="32"/>
        </w:rPr>
      </w:pPr>
      <w:r>
        <w:rPr>
          <w:rFonts w:hint="eastAsia" w:hAnsi="仿宋_GB2312" w:cs="仿宋_GB2312"/>
          <w:sz w:val="32"/>
          <w:szCs w:val="32"/>
        </w:rPr>
        <w:t>（11）技术部分包括但不限于以下内容</w:t>
      </w:r>
      <w:r>
        <w:rPr>
          <w:rFonts w:hint="eastAsia" w:hAnsi="仿宋_GB2312" w:cs="仿宋_GB2312"/>
          <w:color w:val="auto"/>
          <w:sz w:val="32"/>
          <w:szCs w:val="32"/>
        </w:rPr>
        <w:t>：</w:t>
      </w:r>
      <w:r>
        <w:rPr>
          <w:rFonts w:hint="eastAsia" w:ascii="仿宋" w:hAnsi="仿宋" w:eastAsia="仿宋" w:cs="仿宋"/>
          <w:color w:val="auto"/>
          <w:kern w:val="0"/>
          <w:sz w:val="32"/>
          <w:szCs w:val="32"/>
          <w:highlight w:val="none"/>
          <w:lang w:val="en-US" w:eastAsia="zh-CN"/>
        </w:rPr>
        <w:t>配送方案、</w:t>
      </w:r>
      <w:r>
        <w:rPr>
          <w:rFonts w:hint="eastAsia" w:ascii="仿宋" w:hAnsi="仿宋" w:eastAsia="仿宋" w:cs="仿宋"/>
          <w:color w:val="auto"/>
          <w:kern w:val="0"/>
          <w:sz w:val="32"/>
          <w:szCs w:val="32"/>
          <w:highlight w:val="none"/>
          <w:lang w:val="en-US" w:eastAsia="zh-CN" w:bidi="ar-SA"/>
        </w:rPr>
        <w:t>货源保障能力</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质量安全</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服务质量</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应急措施</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售后服务</w:t>
      </w:r>
      <w:r>
        <w:rPr>
          <w:rFonts w:hint="eastAsia" w:hAnsi="仿宋_GB2312" w:cs="仿宋_GB2312"/>
          <w:color w:val="auto"/>
          <w:sz w:val="32"/>
          <w:szCs w:val="32"/>
        </w:rPr>
        <w:t>等内容（格式自拟）</w:t>
      </w:r>
    </w:p>
    <w:p w14:paraId="76F9FBE3">
      <w:pPr>
        <w:pStyle w:val="75"/>
        <w:spacing w:line="360" w:lineRule="auto"/>
        <w:ind w:firstLine="640"/>
        <w:rPr>
          <w:rFonts w:hint="eastAsia" w:hAnsi="仿宋_GB2312" w:cs="仿宋_GB2312"/>
          <w:sz w:val="32"/>
          <w:szCs w:val="32"/>
        </w:rPr>
      </w:pPr>
      <w:r>
        <w:rPr>
          <w:rFonts w:hint="eastAsia" w:hAnsi="仿宋_GB2312" w:cs="仿宋_GB2312"/>
          <w:sz w:val="32"/>
          <w:szCs w:val="32"/>
        </w:rPr>
        <w:t>（12）投标人基本情况说明</w:t>
      </w:r>
    </w:p>
    <w:p w14:paraId="512E82BE">
      <w:pPr>
        <w:pStyle w:val="75"/>
        <w:spacing w:line="360" w:lineRule="auto"/>
        <w:ind w:firstLine="640"/>
        <w:rPr>
          <w:rFonts w:hint="eastAsia" w:hAnsi="仿宋_GB2312" w:cs="仿宋_GB2312"/>
          <w:sz w:val="32"/>
          <w:szCs w:val="32"/>
        </w:rPr>
      </w:pPr>
      <w:r>
        <w:rPr>
          <w:rFonts w:hint="eastAsia" w:hAnsi="仿宋_GB2312" w:cs="仿宋_GB2312"/>
          <w:sz w:val="32"/>
          <w:szCs w:val="32"/>
        </w:rPr>
        <w:t>（13）项目人员配置情况表</w:t>
      </w:r>
    </w:p>
    <w:p w14:paraId="46A22C00">
      <w:pPr>
        <w:pStyle w:val="75"/>
        <w:spacing w:line="360" w:lineRule="auto"/>
        <w:ind w:firstLine="640"/>
        <w:rPr>
          <w:rFonts w:hint="eastAsia" w:hAnsi="仿宋_GB2312" w:cs="仿宋_GB2312"/>
          <w:sz w:val="32"/>
          <w:szCs w:val="32"/>
        </w:rPr>
      </w:pPr>
      <w:r>
        <w:rPr>
          <w:rFonts w:hint="eastAsia" w:hAnsi="仿宋_GB2312" w:cs="仿宋_GB2312"/>
          <w:sz w:val="32"/>
          <w:szCs w:val="32"/>
        </w:rPr>
        <w:t>（14）投标企业关联企业情况说明</w:t>
      </w:r>
    </w:p>
    <w:p w14:paraId="44E03B60">
      <w:pPr>
        <w:pStyle w:val="75"/>
        <w:spacing w:line="360" w:lineRule="auto"/>
        <w:ind w:firstLine="640"/>
        <w:rPr>
          <w:rFonts w:hint="eastAsia" w:hAnsi="仿宋_GB2312" w:cs="仿宋_GB2312"/>
          <w:sz w:val="32"/>
          <w:szCs w:val="32"/>
        </w:rPr>
      </w:pPr>
      <w:r>
        <w:rPr>
          <w:rFonts w:hint="eastAsia" w:hAnsi="仿宋_GB2312" w:cs="仿宋_GB2312"/>
          <w:sz w:val="32"/>
          <w:szCs w:val="32"/>
        </w:rPr>
        <w:t>（15）不参与围标串标承诺书</w:t>
      </w:r>
    </w:p>
    <w:p w14:paraId="12352115">
      <w:pPr>
        <w:pStyle w:val="75"/>
        <w:spacing w:line="360" w:lineRule="auto"/>
        <w:ind w:firstLine="640"/>
        <w:rPr>
          <w:rFonts w:hint="eastAsia" w:hAnsi="仿宋_GB2312" w:cs="仿宋_GB2312"/>
          <w:sz w:val="32"/>
          <w:szCs w:val="32"/>
        </w:rPr>
      </w:pPr>
      <w:r>
        <w:rPr>
          <w:rFonts w:hint="eastAsia" w:hAnsi="仿宋_GB2312" w:cs="仿宋_GB2312"/>
          <w:sz w:val="32"/>
          <w:szCs w:val="32"/>
        </w:rPr>
        <w:t>（16）投标人认为需要提供的其他材料说明</w:t>
      </w:r>
    </w:p>
    <w:p w14:paraId="1B33C4E1">
      <w:pPr>
        <w:pStyle w:val="75"/>
        <w:spacing w:line="360" w:lineRule="auto"/>
        <w:ind w:firstLine="640"/>
        <w:rPr>
          <w:rFonts w:hint="eastAsia" w:hAnsi="仿宋_GB2312" w:cs="仿宋_GB2312"/>
          <w:sz w:val="32"/>
          <w:szCs w:val="32"/>
        </w:rPr>
      </w:pPr>
      <w:r>
        <w:rPr>
          <w:rFonts w:hint="eastAsia" w:hAnsi="仿宋_GB2312" w:cs="仿宋_GB2312"/>
          <w:sz w:val="32"/>
          <w:szCs w:val="32"/>
        </w:rPr>
        <w:t>附件1、在经营活动中没有重大违法记录的书面声明</w:t>
      </w:r>
    </w:p>
    <w:p w14:paraId="4FF34C78">
      <w:pPr>
        <w:pStyle w:val="75"/>
        <w:spacing w:line="360" w:lineRule="auto"/>
        <w:ind w:firstLine="640"/>
        <w:rPr>
          <w:rFonts w:hint="eastAsia" w:hAnsi="仿宋_GB2312" w:cs="仿宋_GB2312"/>
          <w:sz w:val="32"/>
          <w:szCs w:val="32"/>
        </w:rPr>
      </w:pPr>
      <w:r>
        <w:rPr>
          <w:rFonts w:hint="eastAsia" w:hAnsi="仿宋_GB2312" w:cs="仿宋_GB2312"/>
          <w:sz w:val="32"/>
          <w:szCs w:val="32"/>
        </w:rPr>
        <w:t>附件2、中小企业声明函（如有）</w:t>
      </w:r>
    </w:p>
    <w:p w14:paraId="569745A1">
      <w:pPr>
        <w:pStyle w:val="75"/>
        <w:autoSpaceDE w:val="0"/>
        <w:autoSpaceDN w:val="0"/>
        <w:adjustRightInd w:val="0"/>
        <w:spacing w:line="360" w:lineRule="auto"/>
        <w:ind w:firstLine="640"/>
        <w:rPr>
          <w:rFonts w:hint="eastAsia" w:hAnsi="仿宋_GB2312" w:cs="仿宋_GB2312"/>
          <w:sz w:val="32"/>
          <w:szCs w:val="32"/>
        </w:rPr>
      </w:pPr>
      <w:r>
        <w:rPr>
          <w:rFonts w:hint="eastAsia" w:hAnsi="仿宋_GB2312" w:cs="仿宋_GB2312"/>
          <w:sz w:val="32"/>
          <w:szCs w:val="32"/>
        </w:rPr>
        <w:t>附件3、残疾人福利性单位声明函（如有）</w:t>
      </w:r>
    </w:p>
    <w:p w14:paraId="407AFF0F">
      <w:pPr>
        <w:pStyle w:val="75"/>
        <w:autoSpaceDE w:val="0"/>
        <w:autoSpaceDN w:val="0"/>
        <w:adjustRightInd w:val="0"/>
        <w:spacing w:line="360" w:lineRule="auto"/>
        <w:ind w:firstLine="640"/>
        <w:rPr>
          <w:rFonts w:hint="eastAsia" w:hAnsi="仿宋_GB2312" w:cs="仿宋_GB2312"/>
          <w:sz w:val="32"/>
          <w:szCs w:val="32"/>
        </w:rPr>
      </w:pPr>
      <w:r>
        <w:rPr>
          <w:rFonts w:hint="eastAsia" w:hAnsi="仿宋_GB2312" w:cs="仿宋_GB2312"/>
          <w:sz w:val="32"/>
          <w:szCs w:val="32"/>
        </w:rPr>
        <w:t>附件4、省级以上监狱管理局、戒毒管理局（含新疆生产建设兵团）出具的属于监狱企业证明文件（格式自拟）（如有）</w:t>
      </w:r>
    </w:p>
    <w:p w14:paraId="4530B054">
      <w:pPr>
        <w:pStyle w:val="75"/>
        <w:autoSpaceDE w:val="0"/>
        <w:autoSpaceDN w:val="0"/>
        <w:adjustRightInd w:val="0"/>
        <w:spacing w:line="360" w:lineRule="auto"/>
        <w:ind w:firstLine="640"/>
        <w:rPr>
          <w:rFonts w:hint="eastAsia" w:hAnsi="仿宋_GB2312" w:cs="仿宋_GB2312"/>
          <w:sz w:val="32"/>
          <w:szCs w:val="32"/>
        </w:rPr>
      </w:pPr>
    </w:p>
    <w:p w14:paraId="72DF7963">
      <w:pPr>
        <w:pStyle w:val="75"/>
        <w:autoSpaceDE w:val="0"/>
        <w:autoSpaceDN w:val="0"/>
        <w:adjustRightInd w:val="0"/>
        <w:spacing w:line="360" w:lineRule="auto"/>
        <w:ind w:firstLine="640"/>
        <w:rPr>
          <w:rFonts w:hint="eastAsia" w:hAnsi="仿宋_GB2312" w:cs="仿宋_GB2312"/>
          <w:sz w:val="32"/>
          <w:szCs w:val="32"/>
        </w:rPr>
      </w:pPr>
    </w:p>
    <w:p w14:paraId="3DE05AA7">
      <w:pPr>
        <w:pStyle w:val="75"/>
        <w:autoSpaceDE w:val="0"/>
        <w:autoSpaceDN w:val="0"/>
        <w:adjustRightInd w:val="0"/>
        <w:spacing w:line="360" w:lineRule="auto"/>
        <w:ind w:firstLine="640"/>
        <w:rPr>
          <w:rFonts w:hint="eastAsia" w:hAnsi="仿宋_GB2312" w:cs="仿宋_GB2312"/>
          <w:sz w:val="32"/>
          <w:szCs w:val="32"/>
        </w:rPr>
      </w:pPr>
    </w:p>
    <w:p w14:paraId="3772B0C6">
      <w:pPr>
        <w:pStyle w:val="75"/>
        <w:autoSpaceDE w:val="0"/>
        <w:autoSpaceDN w:val="0"/>
        <w:adjustRightInd w:val="0"/>
        <w:spacing w:line="360" w:lineRule="auto"/>
        <w:ind w:firstLine="640"/>
        <w:rPr>
          <w:rFonts w:hint="eastAsia" w:hAnsi="仿宋_GB2312" w:cs="仿宋_GB2312"/>
          <w:sz w:val="32"/>
          <w:szCs w:val="32"/>
        </w:rPr>
      </w:pPr>
    </w:p>
    <w:p w14:paraId="151A465D">
      <w:pPr>
        <w:pStyle w:val="75"/>
        <w:autoSpaceDE w:val="0"/>
        <w:autoSpaceDN w:val="0"/>
        <w:adjustRightInd w:val="0"/>
        <w:spacing w:line="360" w:lineRule="auto"/>
        <w:ind w:firstLine="640"/>
        <w:rPr>
          <w:rFonts w:hint="eastAsia" w:hAnsi="仿宋_GB2312" w:cs="仿宋_GB2312"/>
          <w:sz w:val="32"/>
          <w:szCs w:val="32"/>
        </w:rPr>
      </w:pPr>
    </w:p>
    <w:p w14:paraId="351ADC90">
      <w:pPr>
        <w:pStyle w:val="75"/>
        <w:autoSpaceDE w:val="0"/>
        <w:autoSpaceDN w:val="0"/>
        <w:adjustRightInd w:val="0"/>
        <w:spacing w:line="360" w:lineRule="auto"/>
        <w:ind w:firstLine="640"/>
        <w:rPr>
          <w:rFonts w:hint="eastAsia" w:hAnsi="仿宋_GB2312" w:cs="仿宋_GB2312"/>
          <w:sz w:val="32"/>
          <w:szCs w:val="32"/>
        </w:rPr>
      </w:pPr>
    </w:p>
    <w:p w14:paraId="58B96FF9">
      <w:pPr>
        <w:pStyle w:val="75"/>
        <w:autoSpaceDE w:val="0"/>
        <w:autoSpaceDN w:val="0"/>
        <w:adjustRightInd w:val="0"/>
        <w:spacing w:line="360" w:lineRule="auto"/>
        <w:ind w:firstLine="640"/>
        <w:rPr>
          <w:rFonts w:hint="eastAsia" w:hAnsi="仿宋_GB2312" w:cs="仿宋_GB2312"/>
          <w:sz w:val="32"/>
          <w:szCs w:val="32"/>
        </w:rPr>
      </w:pPr>
    </w:p>
    <w:p w14:paraId="6D5CD9A4">
      <w:pPr>
        <w:pStyle w:val="75"/>
        <w:autoSpaceDE w:val="0"/>
        <w:autoSpaceDN w:val="0"/>
        <w:adjustRightInd w:val="0"/>
        <w:spacing w:line="360" w:lineRule="auto"/>
        <w:ind w:firstLine="640"/>
        <w:rPr>
          <w:rFonts w:hint="eastAsia" w:hAnsi="仿宋_GB2312" w:cs="仿宋_GB2312"/>
          <w:sz w:val="32"/>
          <w:szCs w:val="32"/>
        </w:rPr>
      </w:pPr>
    </w:p>
    <w:p w14:paraId="1BD17CAE">
      <w:pPr>
        <w:pStyle w:val="75"/>
        <w:autoSpaceDE w:val="0"/>
        <w:autoSpaceDN w:val="0"/>
        <w:adjustRightInd w:val="0"/>
        <w:spacing w:line="360" w:lineRule="auto"/>
        <w:ind w:firstLine="640"/>
        <w:rPr>
          <w:rFonts w:hint="eastAsia" w:hAnsi="仿宋_GB2312" w:cs="仿宋_GB2312"/>
          <w:sz w:val="32"/>
          <w:szCs w:val="32"/>
        </w:rPr>
      </w:pPr>
    </w:p>
    <w:p w14:paraId="353E43D5">
      <w:pPr>
        <w:pStyle w:val="75"/>
        <w:autoSpaceDE w:val="0"/>
        <w:autoSpaceDN w:val="0"/>
        <w:adjustRightInd w:val="0"/>
        <w:spacing w:line="360" w:lineRule="auto"/>
        <w:ind w:firstLine="640"/>
        <w:rPr>
          <w:rFonts w:hint="eastAsia" w:hAnsi="仿宋_GB2312" w:cs="仿宋_GB2312"/>
          <w:sz w:val="32"/>
          <w:szCs w:val="32"/>
        </w:rPr>
      </w:pPr>
    </w:p>
    <w:p w14:paraId="7A014A68">
      <w:pPr>
        <w:pStyle w:val="75"/>
        <w:autoSpaceDE w:val="0"/>
        <w:autoSpaceDN w:val="0"/>
        <w:adjustRightInd w:val="0"/>
        <w:spacing w:line="360" w:lineRule="auto"/>
        <w:ind w:firstLine="640"/>
        <w:rPr>
          <w:rFonts w:hint="eastAsia" w:hAnsi="仿宋_GB2312" w:cs="仿宋_GB2312"/>
          <w:sz w:val="32"/>
          <w:szCs w:val="32"/>
        </w:rPr>
      </w:pPr>
    </w:p>
    <w:p w14:paraId="520B9B83">
      <w:pPr>
        <w:pStyle w:val="75"/>
        <w:autoSpaceDE w:val="0"/>
        <w:autoSpaceDN w:val="0"/>
        <w:adjustRightInd w:val="0"/>
        <w:spacing w:line="360" w:lineRule="auto"/>
        <w:ind w:firstLine="640"/>
        <w:rPr>
          <w:rFonts w:hint="eastAsia" w:hAnsi="仿宋_GB2312" w:cs="仿宋_GB2312"/>
          <w:sz w:val="32"/>
          <w:szCs w:val="32"/>
        </w:rPr>
      </w:pPr>
    </w:p>
    <w:p w14:paraId="56B25EE9">
      <w:pPr>
        <w:pStyle w:val="75"/>
        <w:autoSpaceDE w:val="0"/>
        <w:autoSpaceDN w:val="0"/>
        <w:adjustRightInd w:val="0"/>
        <w:spacing w:line="360" w:lineRule="auto"/>
        <w:ind w:firstLine="640"/>
        <w:rPr>
          <w:rFonts w:hint="eastAsia" w:hAnsi="仿宋_GB2312" w:cs="仿宋_GB2312"/>
          <w:sz w:val="32"/>
          <w:szCs w:val="32"/>
        </w:rPr>
      </w:pPr>
    </w:p>
    <w:p w14:paraId="5D5C46DD">
      <w:pPr>
        <w:pStyle w:val="75"/>
        <w:autoSpaceDE w:val="0"/>
        <w:autoSpaceDN w:val="0"/>
        <w:adjustRightInd w:val="0"/>
        <w:spacing w:line="360" w:lineRule="auto"/>
        <w:ind w:firstLine="640"/>
        <w:rPr>
          <w:rFonts w:hint="eastAsia" w:hAnsi="仿宋_GB2312" w:cs="仿宋_GB2312"/>
          <w:sz w:val="32"/>
          <w:szCs w:val="32"/>
        </w:rPr>
      </w:pPr>
    </w:p>
    <w:p w14:paraId="43A7D48E">
      <w:pPr>
        <w:pStyle w:val="75"/>
        <w:autoSpaceDE w:val="0"/>
        <w:autoSpaceDN w:val="0"/>
        <w:adjustRightInd w:val="0"/>
        <w:spacing w:line="360" w:lineRule="auto"/>
        <w:ind w:firstLine="0" w:firstLineChars="0"/>
        <w:rPr>
          <w:rFonts w:hint="eastAsia" w:hAnsi="仿宋_GB2312" w:cs="仿宋_GB2312"/>
          <w:sz w:val="32"/>
          <w:szCs w:val="32"/>
        </w:rPr>
      </w:pPr>
    </w:p>
    <w:p w14:paraId="76D70BA0">
      <w:pPr>
        <w:pStyle w:val="3"/>
        <w:spacing w:line="360" w:lineRule="auto"/>
        <w:jc w:val="center"/>
        <w:rPr>
          <w:rStyle w:val="53"/>
          <w:rFonts w:hint="eastAsia" w:ascii="仿宋_GB2312" w:hAnsi="仿宋_GB2312" w:eastAsia="仿宋_GB2312" w:cs="仿宋_GB2312"/>
          <w:b/>
          <w:bCs w:val="0"/>
        </w:rPr>
      </w:pPr>
      <w:bookmarkStart w:id="296" w:name="_Toc11515"/>
      <w:bookmarkStart w:id="297" w:name="_Toc19393"/>
      <w:bookmarkStart w:id="298" w:name="_Toc4030"/>
      <w:bookmarkStart w:id="299" w:name="_Toc50459034"/>
      <w:r>
        <w:rPr>
          <w:rStyle w:val="53"/>
          <w:rFonts w:hint="eastAsia" w:ascii="仿宋_GB2312" w:hAnsi="仿宋_GB2312" w:eastAsia="仿宋_GB2312" w:cs="仿宋_GB2312"/>
          <w:b/>
          <w:bCs w:val="0"/>
        </w:rPr>
        <w:t>1、投标承诺书</w:t>
      </w:r>
      <w:bookmarkEnd w:id="296"/>
      <w:bookmarkEnd w:id="297"/>
      <w:bookmarkEnd w:id="298"/>
      <w:bookmarkEnd w:id="299"/>
    </w:p>
    <w:p w14:paraId="7EDAE5B8">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致（采购人）：</w:t>
      </w:r>
    </w:p>
    <w:p w14:paraId="01FC0B0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根据已收到的</w:t>
      </w:r>
      <w:r>
        <w:rPr>
          <w:rFonts w:hint="eastAsia" w:ascii="仿宋_GB2312" w:hAnsi="仿宋_GB2312" w:eastAsia="仿宋_GB2312" w:cs="仿宋_GB2312"/>
          <w:sz w:val="32"/>
          <w:szCs w:val="32"/>
          <w:u w:val="single"/>
        </w:rPr>
        <w:t xml:space="preserve">                   （项目名称）</w:t>
      </w:r>
      <w:r>
        <w:rPr>
          <w:rFonts w:hint="eastAsia" w:ascii="仿宋_GB2312" w:hAnsi="仿宋_GB2312" w:eastAsia="仿宋_GB2312" w:cs="仿宋_GB2312"/>
          <w:sz w:val="32"/>
          <w:szCs w:val="32"/>
        </w:rPr>
        <w:t>招标文件，我单位经研究贵方的招标文件后：</w:t>
      </w:r>
    </w:p>
    <w:p w14:paraId="2B0D6FC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1、我方愿以投标报价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 xml:space="preserve">（大写：                     ） </w:t>
      </w:r>
      <w:r>
        <w:rPr>
          <w:rFonts w:hint="eastAsia" w:ascii="仿宋_GB2312" w:hAnsi="仿宋_GB2312" w:eastAsia="仿宋_GB2312" w:cs="仿宋_GB2312"/>
          <w:sz w:val="32"/>
          <w:szCs w:val="32"/>
        </w:rPr>
        <w:t>及投标承诺书的承诺承包本招标文件中所述招标范围内的全部内容。</w:t>
      </w:r>
    </w:p>
    <w:p w14:paraId="1AF6AF6C">
      <w:pPr>
        <w:autoSpaceDE w:val="0"/>
        <w:autoSpaceDN w:val="0"/>
        <w:spacing w:line="360" w:lineRule="auto"/>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2、合同履行期限：</w:t>
      </w:r>
      <w:r>
        <w:rPr>
          <w:rFonts w:hint="eastAsia" w:ascii="仿宋_GB2312" w:hAnsi="仿宋_GB2312" w:eastAsia="仿宋_GB2312" w:cs="仿宋_GB2312"/>
          <w:sz w:val="32"/>
          <w:szCs w:val="32"/>
          <w:u w:val="single"/>
        </w:rPr>
        <w:t xml:space="preserve">                              。</w:t>
      </w:r>
    </w:p>
    <w:p w14:paraId="38AD9FD0">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3、如果我方中标，非采购人原因，我方保证将按招标文件要求，完成本项目供货 。</w:t>
      </w:r>
    </w:p>
    <w:p w14:paraId="165CCBE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4、如果我方中标，我方将按招标文件规定的时间内签订合同。如果违约，我方愿以投标保证金作为赔偿金，同时贵方有权终止我方中标并选择其它投标人。</w:t>
      </w:r>
    </w:p>
    <w:p w14:paraId="57C1B76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5、如果我方中标，完成项目的货物与招标文件要求不一致的，服务达不到要求，我方将进行整改直至贵方对服务满意为止。</w:t>
      </w:r>
    </w:p>
    <w:p w14:paraId="5342E42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6、贵方的招标文件、答疑文件、招标文件补充、成交通知书和本投标文件将做为合同附件，具有同等法律效力。</w:t>
      </w:r>
    </w:p>
    <w:p w14:paraId="57342D2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7、如果我方未中标，贵方没有必要对我方做出任何解释和说明，我方将充分尊重和理解贵方的选择。</w:t>
      </w:r>
    </w:p>
    <w:p w14:paraId="6DCB2370">
      <w:pPr>
        <w:pStyle w:val="70"/>
        <w:spacing w:line="360" w:lineRule="auto"/>
        <w:ind w:right="48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0FAB875">
      <w:pPr>
        <w:pStyle w:val="70"/>
        <w:spacing w:line="360" w:lineRule="auto"/>
        <w:ind w:right="8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法定代表人或委托代理人（签字或盖章）：</w:t>
      </w:r>
    </w:p>
    <w:p w14:paraId="2FB23AFE">
      <w:pPr>
        <w:pStyle w:val="70"/>
        <w:spacing w:line="360" w:lineRule="auto"/>
        <w:ind w:right="84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   期：  </w:t>
      </w:r>
      <w:bookmarkStart w:id="300" w:name="_Toc6735_WPSOffice_Level1"/>
      <w:bookmarkStart w:id="301" w:name="_Toc28014_WPSOffice_Level1"/>
      <w:bookmarkStart w:id="302" w:name="_Toc3064"/>
    </w:p>
    <w:p w14:paraId="0D508F6F">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2、</w:t>
      </w:r>
      <w:bookmarkEnd w:id="300"/>
      <w:bookmarkEnd w:id="301"/>
      <w:r>
        <w:rPr>
          <w:rStyle w:val="53"/>
          <w:rFonts w:hint="eastAsia" w:ascii="仿宋_GB2312" w:hAnsi="仿宋_GB2312" w:eastAsia="仿宋_GB2312" w:cs="仿宋_GB2312"/>
          <w:b/>
          <w:bCs w:val="0"/>
        </w:rPr>
        <w:t>报价一览表</w:t>
      </w:r>
      <w:bookmarkEnd w:id="302"/>
    </w:p>
    <w:p w14:paraId="37BE4594">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6BBE6424">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招标编号：</w:t>
      </w:r>
    </w:p>
    <w:p w14:paraId="31A88679">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bl>
      <w:tblPr>
        <w:tblStyle w:val="27"/>
        <w:tblW w:w="8938" w:type="dxa"/>
        <w:jc w:val="center"/>
        <w:tblLayout w:type="fixed"/>
        <w:tblCellMar>
          <w:top w:w="0" w:type="dxa"/>
          <w:left w:w="0" w:type="dxa"/>
          <w:bottom w:w="0" w:type="dxa"/>
          <w:right w:w="0" w:type="dxa"/>
        </w:tblCellMar>
      </w:tblPr>
      <w:tblGrid>
        <w:gridCol w:w="886"/>
        <w:gridCol w:w="1616"/>
        <w:gridCol w:w="5760"/>
        <w:gridCol w:w="676"/>
      </w:tblGrid>
      <w:tr w14:paraId="4E60845D">
        <w:tblPrEx>
          <w:tblCellMar>
            <w:top w:w="0" w:type="dxa"/>
            <w:left w:w="0" w:type="dxa"/>
            <w:bottom w:w="0" w:type="dxa"/>
            <w:right w:w="0" w:type="dxa"/>
          </w:tblCellMar>
        </w:tblPrEx>
        <w:trPr>
          <w:trHeight w:val="566"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4F54E124">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F0FFE6D">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条款名称</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2824755D">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697CD51C">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r>
      <w:tr w14:paraId="6C73C8C7">
        <w:tblPrEx>
          <w:tblCellMar>
            <w:top w:w="0" w:type="dxa"/>
            <w:left w:w="0" w:type="dxa"/>
            <w:bottom w:w="0" w:type="dxa"/>
            <w:right w:w="0" w:type="dxa"/>
          </w:tblCellMar>
        </w:tblPrEx>
        <w:trPr>
          <w:trHeight w:val="618"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13399CA1">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2D44444">
            <w:pPr>
              <w:pStyle w:val="60"/>
              <w:snapToGrid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采购内容</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48754209">
            <w:pPr>
              <w:spacing w:line="360" w:lineRule="auto"/>
              <w:jc w:val="left"/>
              <w:rPr>
                <w:rFonts w:hint="eastAsia" w:ascii="仿宋_GB2312" w:hAnsi="仿宋_GB2312" w:eastAsia="仿宋_GB2312" w:cs="仿宋_GB2312"/>
                <w:kern w:val="0"/>
                <w:sz w:val="32"/>
                <w:szCs w:val="32"/>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1B913F3C">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p>
        </w:tc>
      </w:tr>
      <w:tr w14:paraId="60AE3BB8">
        <w:tblPrEx>
          <w:tblCellMar>
            <w:top w:w="0" w:type="dxa"/>
            <w:left w:w="0" w:type="dxa"/>
            <w:bottom w:w="0" w:type="dxa"/>
            <w:right w:w="0" w:type="dxa"/>
          </w:tblCellMar>
        </w:tblPrEx>
        <w:trPr>
          <w:trHeight w:val="618"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4C392F93">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EFAEE46">
            <w:pPr>
              <w:pStyle w:val="60"/>
              <w:snapToGrid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期</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64297B5C">
            <w:pPr>
              <w:tabs>
                <w:tab w:val="left" w:pos="4980"/>
                <w:tab w:val="right" w:pos="9000"/>
              </w:tabs>
              <w:spacing w:line="360" w:lineRule="auto"/>
              <w:jc w:val="left"/>
              <w:rPr>
                <w:rFonts w:hint="eastAsia" w:ascii="仿宋_GB2312" w:hAnsi="仿宋_GB2312" w:eastAsia="仿宋_GB2312" w:cs="仿宋_GB2312"/>
                <w:kern w:val="0"/>
                <w:sz w:val="32"/>
                <w:szCs w:val="32"/>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73F53914">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u w:val="single"/>
              </w:rPr>
            </w:pPr>
          </w:p>
        </w:tc>
      </w:tr>
      <w:tr w14:paraId="657E631E">
        <w:tblPrEx>
          <w:tblCellMar>
            <w:top w:w="0" w:type="dxa"/>
            <w:left w:w="0" w:type="dxa"/>
            <w:bottom w:w="0" w:type="dxa"/>
            <w:right w:w="0" w:type="dxa"/>
          </w:tblCellMar>
        </w:tblPrEx>
        <w:trPr>
          <w:trHeight w:val="618"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2912DF4F">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21D6E024">
            <w:pPr>
              <w:pStyle w:val="60"/>
              <w:snapToGrid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供货地点</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6D82C077">
            <w:pPr>
              <w:spacing w:line="360" w:lineRule="auto"/>
              <w:jc w:val="left"/>
              <w:rPr>
                <w:rFonts w:hint="eastAsia" w:ascii="仿宋_GB2312" w:hAnsi="仿宋_GB2312" w:eastAsia="仿宋_GB2312" w:cs="仿宋_GB2312"/>
                <w:sz w:val="32"/>
                <w:szCs w:val="32"/>
                <w:shd w:val="clear" w:color="auto" w:fill="FFFFFF"/>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474E3760">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u w:val="single"/>
              </w:rPr>
            </w:pPr>
          </w:p>
        </w:tc>
      </w:tr>
      <w:tr w14:paraId="52B99206">
        <w:tblPrEx>
          <w:tblCellMar>
            <w:top w:w="0" w:type="dxa"/>
            <w:left w:w="0" w:type="dxa"/>
            <w:bottom w:w="0" w:type="dxa"/>
            <w:right w:w="0" w:type="dxa"/>
          </w:tblCellMar>
        </w:tblPrEx>
        <w:trPr>
          <w:trHeight w:val="1251" w:hRule="atLeast"/>
          <w:jc w:val="center"/>
        </w:trPr>
        <w:tc>
          <w:tcPr>
            <w:tcW w:w="886" w:type="dxa"/>
            <w:vMerge w:val="restart"/>
            <w:tcBorders>
              <w:top w:val="single" w:color="auto" w:sz="4" w:space="0"/>
              <w:left w:val="single" w:color="auto" w:sz="4" w:space="0"/>
              <w:right w:val="single" w:color="auto" w:sz="4" w:space="0"/>
            </w:tcBorders>
            <w:noWrap w:val="0"/>
            <w:vAlign w:val="center"/>
          </w:tcPr>
          <w:p w14:paraId="214716BA">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1616" w:type="dxa"/>
            <w:vMerge w:val="restart"/>
            <w:tcBorders>
              <w:top w:val="single" w:color="auto" w:sz="4" w:space="0"/>
              <w:left w:val="single" w:color="auto" w:sz="4" w:space="0"/>
              <w:right w:val="single" w:color="auto" w:sz="4" w:space="0"/>
            </w:tcBorders>
            <w:noWrap w:val="0"/>
            <w:vAlign w:val="center"/>
          </w:tcPr>
          <w:p w14:paraId="4856392A">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投标</w:t>
            </w:r>
            <w:r>
              <w:rPr>
                <w:rFonts w:hint="eastAsia" w:ascii="仿宋_GB2312" w:hAnsi="仿宋_GB2312" w:eastAsia="仿宋_GB2312" w:cs="仿宋_GB2312"/>
                <w:kern w:val="0"/>
                <w:sz w:val="32"/>
                <w:szCs w:val="32"/>
                <w:lang w:val="en-US" w:eastAsia="zh-CN"/>
              </w:rPr>
              <w:t>分项</w:t>
            </w:r>
          </w:p>
          <w:p w14:paraId="7F2874CB">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下浮率</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1B3ECF4B">
            <w:pPr>
              <w:widowControl/>
              <w:adjustRightInd w:val="0"/>
              <w:snapToGrid w:val="0"/>
              <w:spacing w:before="100" w:beforeAutospacing="1" w:after="100" w:afterAutospacing="1" w:line="360" w:lineRule="auto"/>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lang w:val="en-US" w:eastAsia="zh-CN"/>
              </w:rPr>
              <w:t>牛肉下浮率</w:t>
            </w:r>
            <w:r>
              <w:rPr>
                <w:rFonts w:hint="eastAsia" w:ascii="仿宋_GB2312" w:hAnsi="仿宋_GB2312" w:eastAsia="仿宋_GB2312" w:cs="仿宋_GB2312"/>
                <w:kern w:val="0"/>
                <w:sz w:val="32"/>
                <w:szCs w:val="32"/>
              </w:rPr>
              <w:t>：小写：</w:t>
            </w:r>
          </w:p>
          <w:p w14:paraId="1ED5EF12">
            <w:pPr>
              <w:widowControl/>
              <w:adjustRightInd w:val="0"/>
              <w:snapToGrid w:val="0"/>
              <w:spacing w:before="100" w:beforeAutospacing="1" w:after="100" w:afterAutospacing="1" w:line="360" w:lineRule="auto"/>
              <w:ind w:firstLine="1920" w:firstLineChars="600"/>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大写：</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0B36FBCF">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u w:val="single"/>
              </w:rPr>
            </w:pPr>
          </w:p>
        </w:tc>
      </w:tr>
      <w:tr w14:paraId="2975B45C">
        <w:tblPrEx>
          <w:tblCellMar>
            <w:top w:w="0" w:type="dxa"/>
            <w:left w:w="0" w:type="dxa"/>
            <w:bottom w:w="0" w:type="dxa"/>
            <w:right w:w="0" w:type="dxa"/>
          </w:tblCellMar>
        </w:tblPrEx>
        <w:trPr>
          <w:trHeight w:val="1251" w:hRule="atLeast"/>
          <w:jc w:val="center"/>
        </w:trPr>
        <w:tc>
          <w:tcPr>
            <w:tcW w:w="886" w:type="dxa"/>
            <w:vMerge w:val="continue"/>
            <w:tcBorders>
              <w:left w:val="single" w:color="auto" w:sz="4" w:space="0"/>
              <w:bottom w:val="single" w:color="auto" w:sz="4" w:space="0"/>
              <w:right w:val="single" w:color="auto" w:sz="4" w:space="0"/>
            </w:tcBorders>
            <w:noWrap w:val="0"/>
            <w:vAlign w:val="center"/>
          </w:tcPr>
          <w:p w14:paraId="12726113">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p>
        </w:tc>
        <w:tc>
          <w:tcPr>
            <w:tcW w:w="1616" w:type="dxa"/>
            <w:vMerge w:val="continue"/>
            <w:tcBorders>
              <w:left w:val="single" w:color="auto" w:sz="4" w:space="0"/>
              <w:bottom w:val="single" w:color="auto" w:sz="4" w:space="0"/>
              <w:right w:val="single" w:color="auto" w:sz="4" w:space="0"/>
            </w:tcBorders>
            <w:noWrap w:val="0"/>
            <w:vAlign w:val="center"/>
          </w:tcPr>
          <w:p w14:paraId="120E2B2C">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561E4BE7">
            <w:pPr>
              <w:widowControl/>
              <w:adjustRightInd w:val="0"/>
              <w:snapToGrid w:val="0"/>
              <w:spacing w:before="100" w:beforeAutospacing="1" w:after="100" w:afterAutospacing="1" w:line="360" w:lineRule="auto"/>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lang w:val="en-US" w:eastAsia="zh-CN"/>
              </w:rPr>
              <w:t>羊肉下浮率</w:t>
            </w:r>
            <w:r>
              <w:rPr>
                <w:rFonts w:hint="eastAsia" w:ascii="仿宋_GB2312" w:hAnsi="仿宋_GB2312" w:eastAsia="仿宋_GB2312" w:cs="仿宋_GB2312"/>
                <w:kern w:val="0"/>
                <w:sz w:val="32"/>
                <w:szCs w:val="32"/>
              </w:rPr>
              <w:t>：小写：</w:t>
            </w:r>
          </w:p>
          <w:p w14:paraId="25017961">
            <w:pPr>
              <w:widowControl/>
              <w:adjustRightInd w:val="0"/>
              <w:snapToGrid w:val="0"/>
              <w:spacing w:before="100" w:beforeAutospacing="1" w:after="100" w:afterAutospacing="1" w:line="360" w:lineRule="auto"/>
              <w:ind w:firstLine="1920" w:firstLineChars="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0D86BB0D">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u w:val="single"/>
              </w:rPr>
            </w:pPr>
          </w:p>
        </w:tc>
      </w:tr>
      <w:tr w14:paraId="2B2D099F">
        <w:tblPrEx>
          <w:tblCellMar>
            <w:top w:w="0" w:type="dxa"/>
            <w:left w:w="0" w:type="dxa"/>
            <w:bottom w:w="0" w:type="dxa"/>
            <w:right w:w="0" w:type="dxa"/>
          </w:tblCellMar>
        </w:tblPrEx>
        <w:trPr>
          <w:trHeight w:val="1258"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16A09BFF">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p>
        </w:tc>
        <w:tc>
          <w:tcPr>
            <w:tcW w:w="7376" w:type="dxa"/>
            <w:gridSpan w:val="2"/>
            <w:tcBorders>
              <w:top w:val="single" w:color="auto" w:sz="4" w:space="0"/>
              <w:left w:val="single" w:color="auto" w:sz="4" w:space="0"/>
              <w:bottom w:val="single" w:color="auto" w:sz="4" w:space="0"/>
              <w:right w:val="single" w:color="auto" w:sz="4" w:space="0"/>
            </w:tcBorders>
            <w:noWrap w:val="0"/>
            <w:vAlign w:val="center"/>
          </w:tcPr>
          <w:p w14:paraId="4B67D3BB">
            <w:pPr>
              <w:widowControl/>
              <w:adjustRightInd w:val="0"/>
              <w:snapToGrid w:val="0"/>
              <w:spacing w:before="100" w:beforeAutospacing="1" w:after="100" w:afterAutospacing="1" w:line="360" w:lineRule="auto"/>
              <w:ind w:firstLine="1600" w:firstLineChars="5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投标总项下浮率（%）：</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733BE71A">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u w:val="single"/>
              </w:rPr>
            </w:pPr>
          </w:p>
        </w:tc>
      </w:tr>
    </w:tbl>
    <w:p w14:paraId="2411654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b/>
          <w:bCs/>
          <w:kern w:val="0"/>
          <w:sz w:val="32"/>
          <w:szCs w:val="32"/>
        </w:rPr>
        <w:t>投标</w:t>
      </w:r>
      <w:r>
        <w:rPr>
          <w:rFonts w:hint="eastAsia" w:ascii="仿宋_GB2312" w:hAnsi="仿宋_GB2312" w:eastAsia="仿宋_GB2312" w:cs="仿宋_GB2312"/>
          <w:b/>
          <w:bCs/>
          <w:kern w:val="0"/>
          <w:sz w:val="32"/>
          <w:szCs w:val="32"/>
          <w:lang w:val="en-US" w:eastAsia="zh-CN"/>
        </w:rPr>
        <w:t>总项下浮率</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kern w:val="0"/>
          <w:sz w:val="32"/>
          <w:szCs w:val="32"/>
          <w:lang w:val="en-US" w:eastAsia="zh-CN"/>
        </w:rPr>
        <w:t>=牛肉下浮率+羊肉下浮率之和的下浮率，此下浮率参与本项目价格评审。</w:t>
      </w:r>
    </w:p>
    <w:p w14:paraId="3740857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投标单位盖章：</w:t>
      </w:r>
    </w:p>
    <w:p w14:paraId="2A26F9BB">
      <w:pPr>
        <w:pStyle w:val="19"/>
        <w:spacing w:line="360" w:lineRule="auto"/>
        <w:rPr>
          <w:rFonts w:hint="eastAsia" w:ascii="仿宋_GB2312" w:hAnsi="仿宋_GB2312" w:eastAsia="仿宋_GB2312" w:cs="仿宋_GB2312"/>
          <w:sz w:val="32"/>
          <w:szCs w:val="32"/>
        </w:rPr>
      </w:pPr>
    </w:p>
    <w:p w14:paraId="4358B506">
      <w:pPr>
        <w:spacing w:line="360" w:lineRule="auto"/>
        <w:ind w:left="10240" w:hanging="10240" w:hangingChars="3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投标单位法人或授权代表签字或盖章：                                                                     </w:t>
      </w:r>
    </w:p>
    <w:p w14:paraId="03532376">
      <w:pPr>
        <w:spacing w:line="360" w:lineRule="auto"/>
        <w:ind w:left="10240" w:hanging="10240" w:hangingChars="3200"/>
        <w:jc w:val="right"/>
        <w:rPr>
          <w:rFonts w:hint="eastAsia" w:ascii="仿宋_GB2312" w:hAnsi="仿宋_GB2312" w:eastAsia="仿宋_GB2312" w:cs="仿宋_GB2312"/>
          <w:sz w:val="32"/>
          <w:szCs w:val="32"/>
        </w:rPr>
        <w:sectPr>
          <w:headerReference r:id="rId7" w:type="default"/>
          <w:footerReference r:id="rId8" w:type="default"/>
          <w:pgSz w:w="11905" w:h="16838"/>
          <w:pgMar w:top="1531" w:right="1531" w:bottom="1531" w:left="1531" w:header="1134" w:footer="1134" w:gutter="0"/>
          <w:pgNumType w:start="1"/>
          <w:cols w:space="720" w:num="1"/>
          <w:docGrid w:linePitch="319" w:charSpace="0"/>
        </w:sectPr>
      </w:pPr>
      <w:r>
        <w:rPr>
          <w:rFonts w:hint="eastAsia" w:ascii="仿宋_GB2312" w:hAnsi="仿宋_GB2312" w:eastAsia="仿宋_GB2312" w:cs="仿宋_GB2312"/>
          <w:sz w:val="32"/>
          <w:szCs w:val="32"/>
        </w:rPr>
        <w:t>年   月   日</w:t>
      </w:r>
    </w:p>
    <w:p w14:paraId="487542EA">
      <w:pPr>
        <w:pStyle w:val="3"/>
        <w:spacing w:line="360" w:lineRule="auto"/>
        <w:jc w:val="center"/>
        <w:rPr>
          <w:rStyle w:val="53"/>
          <w:rFonts w:hint="eastAsia" w:ascii="仿宋_GB2312" w:hAnsi="仿宋_GB2312" w:eastAsia="仿宋_GB2312" w:cs="仿宋_GB2312"/>
          <w:b/>
          <w:bCs w:val="0"/>
        </w:rPr>
      </w:pPr>
      <w:bookmarkStart w:id="303" w:name="_Toc8766"/>
      <w:bookmarkStart w:id="304" w:name="_Toc12705"/>
      <w:bookmarkStart w:id="305" w:name="_Toc18030_WPSOffice_Level1"/>
      <w:bookmarkStart w:id="306" w:name="_Toc50459035"/>
      <w:bookmarkStart w:id="307" w:name="_Toc18663"/>
      <w:bookmarkStart w:id="308" w:name="_Toc16901"/>
      <w:bookmarkStart w:id="309" w:name="_Toc30221_WPSOffice_Level1"/>
      <w:r>
        <w:rPr>
          <w:rStyle w:val="53"/>
          <w:rFonts w:hint="eastAsia" w:ascii="仿宋_GB2312" w:hAnsi="仿宋_GB2312" w:eastAsia="仿宋_GB2312" w:cs="仿宋_GB2312"/>
          <w:b/>
          <w:bCs w:val="0"/>
        </w:rPr>
        <w:t>3、报价一览明细表</w:t>
      </w:r>
      <w:bookmarkEnd w:id="303"/>
    </w:p>
    <w:p w14:paraId="55276E28">
      <w:pPr>
        <w:pStyle w:val="16"/>
        <w:spacing w:line="480" w:lineRule="auto"/>
        <w:rPr>
          <w:rFonts w:hint="eastAsia" w:ascii="仿宋" w:hAnsi="仿宋" w:eastAsia="仿宋" w:cs="仿宋"/>
          <w:sz w:val="32"/>
          <w:szCs w:val="32"/>
          <w:u w:val="single"/>
        </w:rPr>
      </w:pPr>
      <w:r>
        <w:rPr>
          <w:rFonts w:hint="eastAsia" w:ascii="仿宋" w:hAnsi="仿宋" w:eastAsia="仿宋" w:cs="仿宋"/>
          <w:sz w:val="32"/>
          <w:szCs w:val="32"/>
        </w:rPr>
        <w:t>投标人名称：</w:t>
      </w:r>
      <w:r>
        <w:rPr>
          <w:rFonts w:hint="eastAsia" w:ascii="仿宋" w:hAnsi="仿宋" w:eastAsia="仿宋" w:cs="仿宋"/>
          <w:sz w:val="32"/>
          <w:szCs w:val="32"/>
          <w:u w:val="single"/>
        </w:rPr>
        <w:t xml:space="preserve">             </w:t>
      </w:r>
    </w:p>
    <w:p w14:paraId="31058F95">
      <w:pPr>
        <w:pStyle w:val="16"/>
        <w:spacing w:line="480" w:lineRule="auto"/>
        <w:rPr>
          <w:rFonts w:hint="eastAsia" w:ascii="仿宋" w:hAnsi="仿宋" w:eastAsia="仿宋" w:cs="仿宋"/>
          <w:sz w:val="32"/>
          <w:szCs w:val="32"/>
          <w:u w:val="single"/>
        </w:rPr>
      </w:pPr>
      <w:r>
        <w:rPr>
          <w:rFonts w:hint="eastAsia" w:ascii="仿宋" w:hAnsi="仿宋" w:eastAsia="仿宋" w:cs="仿宋"/>
          <w:sz w:val="32"/>
          <w:szCs w:val="32"/>
        </w:rPr>
        <w:t>招标编号：</w:t>
      </w:r>
      <w:r>
        <w:rPr>
          <w:rFonts w:hint="eastAsia" w:ascii="仿宋" w:hAnsi="仿宋" w:eastAsia="仿宋" w:cs="仿宋"/>
          <w:sz w:val="32"/>
          <w:szCs w:val="32"/>
          <w:u w:val="single"/>
        </w:rPr>
        <w:t xml:space="preserve">               </w:t>
      </w:r>
    </w:p>
    <w:tbl>
      <w:tblPr>
        <w:tblStyle w:val="27"/>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19"/>
        <w:gridCol w:w="1883"/>
        <w:gridCol w:w="1174"/>
        <w:gridCol w:w="1838"/>
        <w:gridCol w:w="1470"/>
        <w:gridCol w:w="617"/>
      </w:tblGrid>
      <w:tr w14:paraId="26CA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856" w:type="dxa"/>
            <w:noWrap w:val="0"/>
            <w:vAlign w:val="center"/>
          </w:tcPr>
          <w:p w14:paraId="79856895">
            <w:pPr>
              <w:pStyle w:val="16"/>
              <w:jc w:val="center"/>
              <w:rPr>
                <w:rFonts w:hint="eastAsia" w:ascii="仿宋" w:hAnsi="仿宋" w:eastAsia="仿宋" w:cs="仿宋"/>
                <w:sz w:val="30"/>
                <w:szCs w:val="30"/>
              </w:rPr>
            </w:pPr>
            <w:r>
              <w:rPr>
                <w:rFonts w:hint="eastAsia" w:ascii="仿宋" w:hAnsi="仿宋" w:eastAsia="仿宋" w:cs="仿宋"/>
                <w:sz w:val="30"/>
                <w:szCs w:val="30"/>
              </w:rPr>
              <w:t>序号</w:t>
            </w:r>
          </w:p>
        </w:tc>
        <w:tc>
          <w:tcPr>
            <w:tcW w:w="2019" w:type="dxa"/>
            <w:noWrap w:val="0"/>
            <w:vAlign w:val="center"/>
          </w:tcPr>
          <w:p w14:paraId="03A4F180">
            <w:pPr>
              <w:pStyle w:val="16"/>
              <w:jc w:val="center"/>
              <w:rPr>
                <w:rFonts w:hint="eastAsia" w:ascii="仿宋" w:hAnsi="仿宋" w:eastAsia="仿宋" w:cs="仿宋"/>
                <w:sz w:val="30"/>
                <w:szCs w:val="30"/>
              </w:rPr>
            </w:pPr>
            <w:r>
              <w:rPr>
                <w:rFonts w:hint="eastAsia" w:ascii="仿宋" w:hAnsi="仿宋" w:eastAsia="仿宋" w:cs="仿宋"/>
                <w:sz w:val="30"/>
                <w:szCs w:val="30"/>
              </w:rPr>
              <w:t>名称</w:t>
            </w:r>
          </w:p>
        </w:tc>
        <w:tc>
          <w:tcPr>
            <w:tcW w:w="1883" w:type="dxa"/>
            <w:noWrap w:val="0"/>
            <w:vAlign w:val="center"/>
          </w:tcPr>
          <w:p w14:paraId="7C87BBA2">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rPr>
              <w:t>生产厂家</w:t>
            </w:r>
            <w:r>
              <w:rPr>
                <w:rFonts w:hint="eastAsia" w:ascii="仿宋" w:hAnsi="仿宋" w:eastAsia="仿宋" w:cs="仿宋"/>
                <w:sz w:val="30"/>
                <w:szCs w:val="30"/>
                <w:lang w:val="en-US" w:eastAsia="zh-CN"/>
              </w:rPr>
              <w:t>/</w:t>
            </w:r>
          </w:p>
          <w:p w14:paraId="2AB189D5">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供应商</w:t>
            </w:r>
          </w:p>
        </w:tc>
        <w:tc>
          <w:tcPr>
            <w:tcW w:w="1174" w:type="dxa"/>
            <w:noWrap w:val="0"/>
            <w:vAlign w:val="center"/>
          </w:tcPr>
          <w:p w14:paraId="3FFD9853">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规格/单位</w:t>
            </w:r>
          </w:p>
        </w:tc>
        <w:tc>
          <w:tcPr>
            <w:tcW w:w="1838" w:type="dxa"/>
            <w:noWrap w:val="0"/>
            <w:vAlign w:val="center"/>
          </w:tcPr>
          <w:p w14:paraId="56B0BB00">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下浮率</w:t>
            </w:r>
          </w:p>
          <w:p w14:paraId="4501CCA7">
            <w:pPr>
              <w:pStyle w:val="16"/>
              <w:jc w:val="center"/>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w:t>
            </w:r>
            <w:r>
              <w:rPr>
                <w:rFonts w:hint="eastAsia" w:ascii="仿宋" w:hAnsi="仿宋" w:eastAsia="仿宋" w:cs="仿宋"/>
                <w:sz w:val="30"/>
                <w:szCs w:val="30"/>
              </w:rPr>
              <w:t>）</w:t>
            </w:r>
          </w:p>
        </w:tc>
        <w:tc>
          <w:tcPr>
            <w:tcW w:w="1470" w:type="dxa"/>
            <w:noWrap w:val="0"/>
            <w:vAlign w:val="center"/>
          </w:tcPr>
          <w:p w14:paraId="4F788614">
            <w:pPr>
              <w:pStyle w:val="16"/>
              <w:jc w:val="center"/>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下浮后</w:t>
            </w:r>
          </w:p>
          <w:p w14:paraId="4B9D3A5F">
            <w:pPr>
              <w:pStyle w:val="16"/>
              <w:jc w:val="center"/>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单价</w:t>
            </w:r>
          </w:p>
          <w:p w14:paraId="76B1E0CA">
            <w:pPr>
              <w:pStyle w:val="16"/>
              <w:jc w:val="center"/>
              <w:rPr>
                <w:rFonts w:hint="eastAsia" w:ascii="仿宋" w:hAnsi="仿宋" w:eastAsia="仿宋" w:cs="仿宋"/>
                <w:sz w:val="30"/>
                <w:szCs w:val="30"/>
              </w:rPr>
            </w:pPr>
            <w:r>
              <w:rPr>
                <w:rFonts w:hint="eastAsia" w:ascii="仿宋" w:hAnsi="仿宋" w:eastAsia="仿宋" w:cs="仿宋"/>
                <w:sz w:val="30"/>
                <w:szCs w:val="30"/>
                <w:vertAlign w:val="baseline"/>
                <w:lang w:eastAsia="zh-CN"/>
              </w:rPr>
              <w:t>（</w:t>
            </w:r>
            <w:r>
              <w:rPr>
                <w:rFonts w:hint="eastAsia" w:ascii="仿宋" w:hAnsi="仿宋" w:eastAsia="仿宋" w:cs="仿宋"/>
                <w:sz w:val="30"/>
                <w:szCs w:val="30"/>
                <w:vertAlign w:val="baseline"/>
                <w:lang w:val="en-US" w:eastAsia="zh-CN"/>
              </w:rPr>
              <w:t>元</w:t>
            </w:r>
            <w:r>
              <w:rPr>
                <w:rFonts w:hint="eastAsia" w:ascii="仿宋" w:hAnsi="仿宋" w:eastAsia="仿宋" w:cs="仿宋"/>
                <w:sz w:val="30"/>
                <w:szCs w:val="30"/>
                <w:vertAlign w:val="baseline"/>
                <w:lang w:eastAsia="zh-CN"/>
              </w:rPr>
              <w:t>）</w:t>
            </w:r>
          </w:p>
        </w:tc>
        <w:tc>
          <w:tcPr>
            <w:tcW w:w="617" w:type="dxa"/>
            <w:noWrap w:val="0"/>
            <w:vAlign w:val="center"/>
          </w:tcPr>
          <w:p w14:paraId="7AFEE821">
            <w:pPr>
              <w:pStyle w:val="16"/>
              <w:jc w:val="center"/>
              <w:rPr>
                <w:rFonts w:hint="eastAsia" w:ascii="仿宋" w:hAnsi="仿宋" w:eastAsia="仿宋" w:cs="仿宋"/>
                <w:sz w:val="30"/>
                <w:szCs w:val="30"/>
              </w:rPr>
            </w:pPr>
            <w:r>
              <w:rPr>
                <w:rFonts w:hint="eastAsia" w:ascii="仿宋" w:hAnsi="仿宋" w:eastAsia="仿宋" w:cs="仿宋"/>
                <w:sz w:val="30"/>
                <w:szCs w:val="30"/>
              </w:rPr>
              <w:t>备注</w:t>
            </w:r>
          </w:p>
        </w:tc>
      </w:tr>
      <w:tr w14:paraId="2CAA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6" w:type="dxa"/>
            <w:noWrap w:val="0"/>
            <w:vAlign w:val="center"/>
          </w:tcPr>
          <w:p w14:paraId="6FE2AED8">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2019" w:type="dxa"/>
            <w:noWrap w:val="0"/>
            <w:vAlign w:val="center"/>
          </w:tcPr>
          <w:p w14:paraId="78CC184E">
            <w:pPr>
              <w:keepNext w:val="0"/>
              <w:keepLines w:val="0"/>
              <w:widowControl/>
              <w:suppressLineNumbers w:val="0"/>
              <w:jc w:val="center"/>
              <w:textAlignment w:val="center"/>
              <w:rPr>
                <w:rFonts w:hint="eastAsia" w:ascii="仿宋" w:hAnsi="仿宋" w:eastAsia="仿宋" w:cs="仿宋"/>
                <w:sz w:val="30"/>
                <w:szCs w:val="30"/>
              </w:rPr>
            </w:pPr>
            <w:r>
              <w:rPr>
                <w:rFonts w:hint="eastAsia" w:ascii="仿宋" w:hAnsi="仿宋" w:eastAsia="仿宋" w:cs="仿宋"/>
                <w:i w:val="0"/>
                <w:iCs w:val="0"/>
                <w:color w:val="000000"/>
                <w:kern w:val="0"/>
                <w:sz w:val="30"/>
                <w:szCs w:val="30"/>
                <w:u w:val="none"/>
                <w:lang w:val="en-US" w:eastAsia="zh-CN" w:bidi="ar"/>
              </w:rPr>
              <w:t>牛肉片</w:t>
            </w:r>
          </w:p>
        </w:tc>
        <w:tc>
          <w:tcPr>
            <w:tcW w:w="1883" w:type="dxa"/>
            <w:noWrap w:val="0"/>
            <w:vAlign w:val="center"/>
          </w:tcPr>
          <w:p w14:paraId="5E6E9C63">
            <w:pPr>
              <w:pStyle w:val="16"/>
              <w:jc w:val="center"/>
              <w:rPr>
                <w:rFonts w:hint="eastAsia" w:ascii="仿宋" w:hAnsi="仿宋" w:eastAsia="仿宋" w:cs="仿宋"/>
                <w:sz w:val="30"/>
                <w:szCs w:val="30"/>
              </w:rPr>
            </w:pPr>
          </w:p>
        </w:tc>
        <w:tc>
          <w:tcPr>
            <w:tcW w:w="1174" w:type="dxa"/>
            <w:noWrap w:val="0"/>
            <w:vAlign w:val="center"/>
          </w:tcPr>
          <w:p w14:paraId="23C9633F">
            <w:pPr>
              <w:pStyle w:val="16"/>
              <w:jc w:val="center"/>
              <w:rPr>
                <w:rFonts w:hint="eastAsia" w:ascii="仿宋" w:hAnsi="仿宋" w:eastAsia="仿宋" w:cs="仿宋"/>
                <w:sz w:val="30"/>
                <w:szCs w:val="30"/>
              </w:rPr>
            </w:pPr>
          </w:p>
        </w:tc>
        <w:tc>
          <w:tcPr>
            <w:tcW w:w="1838" w:type="dxa"/>
            <w:noWrap w:val="0"/>
            <w:vAlign w:val="center"/>
          </w:tcPr>
          <w:p w14:paraId="68E950B6">
            <w:pPr>
              <w:pStyle w:val="16"/>
              <w:jc w:val="center"/>
              <w:rPr>
                <w:rFonts w:hint="eastAsia" w:ascii="仿宋" w:hAnsi="仿宋" w:eastAsia="仿宋" w:cs="仿宋"/>
                <w:sz w:val="30"/>
                <w:szCs w:val="30"/>
              </w:rPr>
            </w:pPr>
          </w:p>
        </w:tc>
        <w:tc>
          <w:tcPr>
            <w:tcW w:w="1470" w:type="dxa"/>
            <w:noWrap w:val="0"/>
            <w:vAlign w:val="center"/>
          </w:tcPr>
          <w:p w14:paraId="7EFC061C">
            <w:pPr>
              <w:pStyle w:val="16"/>
              <w:jc w:val="center"/>
              <w:rPr>
                <w:rFonts w:hint="eastAsia" w:ascii="仿宋" w:hAnsi="仿宋" w:eastAsia="仿宋" w:cs="仿宋"/>
                <w:sz w:val="30"/>
                <w:szCs w:val="30"/>
              </w:rPr>
            </w:pPr>
          </w:p>
        </w:tc>
        <w:tc>
          <w:tcPr>
            <w:tcW w:w="617" w:type="dxa"/>
            <w:noWrap w:val="0"/>
            <w:vAlign w:val="center"/>
          </w:tcPr>
          <w:p w14:paraId="7317097F">
            <w:pPr>
              <w:pStyle w:val="16"/>
              <w:jc w:val="center"/>
              <w:rPr>
                <w:rFonts w:hint="eastAsia" w:ascii="仿宋" w:hAnsi="仿宋" w:eastAsia="仿宋" w:cs="仿宋"/>
                <w:sz w:val="30"/>
                <w:szCs w:val="30"/>
              </w:rPr>
            </w:pPr>
          </w:p>
        </w:tc>
      </w:tr>
      <w:tr w14:paraId="7626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6" w:type="dxa"/>
            <w:noWrap w:val="0"/>
            <w:vAlign w:val="center"/>
          </w:tcPr>
          <w:p w14:paraId="566DBE06">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p>
        </w:tc>
        <w:tc>
          <w:tcPr>
            <w:tcW w:w="2019" w:type="dxa"/>
            <w:noWrap w:val="0"/>
            <w:vAlign w:val="center"/>
          </w:tcPr>
          <w:p w14:paraId="53EE02B5">
            <w:pPr>
              <w:keepNext w:val="0"/>
              <w:keepLines w:val="0"/>
              <w:widowControl/>
              <w:suppressLineNumbers w:val="0"/>
              <w:jc w:val="center"/>
              <w:textAlignment w:val="center"/>
              <w:rPr>
                <w:rFonts w:hint="eastAsia" w:ascii="仿宋" w:hAnsi="仿宋" w:eastAsia="仿宋" w:cs="仿宋"/>
                <w:sz w:val="30"/>
                <w:szCs w:val="30"/>
              </w:rPr>
            </w:pPr>
            <w:r>
              <w:rPr>
                <w:rFonts w:hint="eastAsia" w:ascii="仿宋" w:hAnsi="仿宋" w:eastAsia="仿宋" w:cs="仿宋"/>
                <w:i w:val="0"/>
                <w:iCs w:val="0"/>
                <w:color w:val="000000"/>
                <w:kern w:val="0"/>
                <w:sz w:val="30"/>
                <w:szCs w:val="30"/>
                <w:u w:val="none"/>
                <w:lang w:val="en-US" w:eastAsia="zh-CN" w:bidi="ar"/>
              </w:rPr>
              <w:t>牛肉馅</w:t>
            </w:r>
          </w:p>
        </w:tc>
        <w:tc>
          <w:tcPr>
            <w:tcW w:w="1883" w:type="dxa"/>
            <w:noWrap w:val="0"/>
            <w:vAlign w:val="center"/>
          </w:tcPr>
          <w:p w14:paraId="65B65AA8">
            <w:pPr>
              <w:pStyle w:val="16"/>
              <w:jc w:val="center"/>
              <w:rPr>
                <w:rFonts w:hint="eastAsia" w:ascii="仿宋" w:hAnsi="仿宋" w:eastAsia="仿宋" w:cs="仿宋"/>
                <w:sz w:val="30"/>
                <w:szCs w:val="30"/>
              </w:rPr>
            </w:pPr>
          </w:p>
        </w:tc>
        <w:tc>
          <w:tcPr>
            <w:tcW w:w="1174" w:type="dxa"/>
            <w:noWrap w:val="0"/>
            <w:vAlign w:val="center"/>
          </w:tcPr>
          <w:p w14:paraId="058C8174">
            <w:pPr>
              <w:pStyle w:val="16"/>
              <w:jc w:val="center"/>
              <w:rPr>
                <w:rFonts w:hint="eastAsia" w:ascii="仿宋" w:hAnsi="仿宋" w:eastAsia="仿宋" w:cs="仿宋"/>
                <w:sz w:val="30"/>
                <w:szCs w:val="30"/>
              </w:rPr>
            </w:pPr>
          </w:p>
        </w:tc>
        <w:tc>
          <w:tcPr>
            <w:tcW w:w="1838" w:type="dxa"/>
            <w:tcBorders/>
            <w:noWrap w:val="0"/>
            <w:vAlign w:val="center"/>
          </w:tcPr>
          <w:p w14:paraId="332A8704">
            <w:pPr>
              <w:pStyle w:val="16"/>
              <w:jc w:val="center"/>
              <w:rPr>
                <w:rFonts w:hint="eastAsia" w:ascii="仿宋" w:hAnsi="仿宋" w:eastAsia="仿宋" w:cs="仿宋"/>
                <w:sz w:val="30"/>
                <w:szCs w:val="30"/>
              </w:rPr>
            </w:pPr>
          </w:p>
        </w:tc>
        <w:tc>
          <w:tcPr>
            <w:tcW w:w="1470" w:type="dxa"/>
            <w:noWrap w:val="0"/>
            <w:vAlign w:val="center"/>
          </w:tcPr>
          <w:p w14:paraId="35D99B30">
            <w:pPr>
              <w:pStyle w:val="16"/>
              <w:jc w:val="center"/>
              <w:rPr>
                <w:rFonts w:hint="eastAsia" w:ascii="仿宋" w:hAnsi="仿宋" w:eastAsia="仿宋" w:cs="仿宋"/>
                <w:sz w:val="30"/>
                <w:szCs w:val="30"/>
              </w:rPr>
            </w:pPr>
          </w:p>
        </w:tc>
        <w:tc>
          <w:tcPr>
            <w:tcW w:w="617" w:type="dxa"/>
            <w:noWrap w:val="0"/>
            <w:vAlign w:val="center"/>
          </w:tcPr>
          <w:p w14:paraId="7029AA6C">
            <w:pPr>
              <w:pStyle w:val="16"/>
              <w:jc w:val="center"/>
              <w:rPr>
                <w:rFonts w:hint="eastAsia" w:ascii="仿宋" w:hAnsi="仿宋" w:eastAsia="仿宋" w:cs="仿宋"/>
                <w:sz w:val="30"/>
                <w:szCs w:val="30"/>
              </w:rPr>
            </w:pPr>
          </w:p>
        </w:tc>
      </w:tr>
      <w:tr w14:paraId="1C80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57" w:type="dxa"/>
            <w:gridSpan w:val="7"/>
            <w:noWrap w:val="0"/>
            <w:vAlign w:val="center"/>
          </w:tcPr>
          <w:p w14:paraId="547D1789">
            <w:pPr>
              <w:pStyle w:val="16"/>
              <w:spacing w:line="240" w:lineRule="auto"/>
              <w:jc w:val="left"/>
              <w:rPr>
                <w:rFonts w:hint="eastAsia" w:ascii="仿宋" w:hAnsi="仿宋" w:eastAsia="仿宋" w:cs="仿宋"/>
                <w:sz w:val="30"/>
                <w:szCs w:val="30"/>
                <w:lang w:eastAsia="zh-CN"/>
              </w:rPr>
            </w:pPr>
            <w:r>
              <w:rPr>
                <w:rFonts w:hint="eastAsia" w:ascii="仿宋" w:hAnsi="仿宋" w:eastAsia="仿宋" w:cs="仿宋"/>
                <w:sz w:val="30"/>
                <w:szCs w:val="30"/>
                <w:lang w:val="en-US" w:eastAsia="zh-CN"/>
              </w:rPr>
              <w:t>下浮率</w:t>
            </w:r>
            <w:r>
              <w:rPr>
                <w:rFonts w:hint="eastAsia" w:ascii="仿宋" w:hAnsi="仿宋" w:eastAsia="仿宋" w:cs="仿宋"/>
                <w:sz w:val="30"/>
                <w:szCs w:val="30"/>
              </w:rPr>
              <w:t>（</w:t>
            </w:r>
            <w:r>
              <w:rPr>
                <w:rFonts w:hint="eastAsia" w:ascii="仿宋" w:hAnsi="仿宋" w:eastAsia="仿宋" w:cs="仿宋"/>
                <w:sz w:val="30"/>
                <w:szCs w:val="30"/>
                <w:lang w:val="en-US" w:eastAsia="zh-CN"/>
              </w:rPr>
              <w:t>%</w:t>
            </w:r>
            <w:r>
              <w:rPr>
                <w:rFonts w:hint="eastAsia" w:ascii="仿宋" w:hAnsi="仿宋" w:eastAsia="仿宋" w:cs="仿宋"/>
                <w:sz w:val="30"/>
                <w:szCs w:val="30"/>
              </w:rPr>
              <w:t>）</w:t>
            </w:r>
            <w:r>
              <w:rPr>
                <w:rFonts w:hint="eastAsia" w:ascii="仿宋" w:hAnsi="仿宋" w:eastAsia="仿宋" w:cs="仿宋"/>
                <w:sz w:val="30"/>
                <w:szCs w:val="30"/>
                <w:lang w:eastAsia="zh-CN"/>
              </w:rPr>
              <w:t>：</w:t>
            </w:r>
          </w:p>
          <w:p w14:paraId="64BC4578">
            <w:pPr>
              <w:pStyle w:val="16"/>
              <w:spacing w:line="240" w:lineRule="auto"/>
              <w:jc w:val="left"/>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下浮后单价</w:t>
            </w:r>
            <w:r>
              <w:rPr>
                <w:rFonts w:hint="eastAsia" w:ascii="仿宋" w:hAnsi="仿宋" w:eastAsia="仿宋" w:cs="仿宋"/>
                <w:sz w:val="30"/>
                <w:szCs w:val="30"/>
                <w:vertAlign w:val="baseline"/>
                <w:lang w:val="en-US" w:eastAsia="zh-CN"/>
              </w:rPr>
              <w:t>/元</w:t>
            </w:r>
            <w:r>
              <w:rPr>
                <w:rFonts w:hint="eastAsia" w:ascii="仿宋" w:hAnsi="仿宋" w:eastAsia="仿宋" w:cs="仿宋"/>
                <w:sz w:val="30"/>
                <w:szCs w:val="30"/>
                <w:vertAlign w:val="baseline"/>
                <w:lang w:eastAsia="zh-CN"/>
              </w:rPr>
              <w:t>（</w:t>
            </w:r>
            <w:r>
              <w:rPr>
                <w:rFonts w:hint="eastAsia" w:ascii="仿宋" w:hAnsi="仿宋" w:eastAsia="仿宋" w:cs="仿宋"/>
                <w:i w:val="0"/>
                <w:iCs w:val="0"/>
                <w:color w:val="000000"/>
                <w:kern w:val="0"/>
                <w:sz w:val="30"/>
                <w:szCs w:val="30"/>
                <w:u w:val="none"/>
                <w:lang w:val="en-US" w:eastAsia="zh-CN" w:bidi="ar"/>
              </w:rPr>
              <w:t>牛肉片</w:t>
            </w:r>
            <w:r>
              <w:rPr>
                <w:rFonts w:hint="eastAsia" w:ascii="仿宋" w:hAnsi="仿宋" w:eastAsia="仿宋" w:cs="仿宋"/>
                <w:sz w:val="30"/>
                <w:szCs w:val="30"/>
                <w:vertAlign w:val="baseline"/>
                <w:lang w:eastAsia="zh-CN"/>
              </w:rPr>
              <w:t>）：</w:t>
            </w:r>
          </w:p>
          <w:p w14:paraId="0FA80D82">
            <w:pPr>
              <w:pStyle w:val="16"/>
              <w:jc w:val="both"/>
              <w:rPr>
                <w:rFonts w:hint="eastAsia" w:ascii="仿宋" w:hAnsi="仿宋" w:eastAsia="仿宋" w:cs="仿宋"/>
                <w:sz w:val="30"/>
                <w:szCs w:val="30"/>
              </w:rPr>
            </w:pPr>
            <w:r>
              <w:rPr>
                <w:rFonts w:hint="eastAsia" w:ascii="仿宋" w:hAnsi="仿宋" w:eastAsia="仿宋" w:cs="仿宋"/>
                <w:sz w:val="30"/>
                <w:szCs w:val="30"/>
                <w:vertAlign w:val="baseline"/>
                <w:lang w:eastAsia="zh-CN"/>
              </w:rPr>
              <w:t>下浮后单价</w:t>
            </w:r>
            <w:r>
              <w:rPr>
                <w:rFonts w:hint="eastAsia" w:ascii="仿宋" w:hAnsi="仿宋" w:eastAsia="仿宋" w:cs="仿宋"/>
                <w:sz w:val="30"/>
                <w:szCs w:val="30"/>
                <w:vertAlign w:val="baseline"/>
                <w:lang w:val="en-US" w:eastAsia="zh-CN"/>
              </w:rPr>
              <w:t>/元</w:t>
            </w:r>
            <w:r>
              <w:rPr>
                <w:rFonts w:hint="eastAsia" w:ascii="仿宋" w:hAnsi="仿宋" w:eastAsia="仿宋" w:cs="仿宋"/>
                <w:kern w:val="2"/>
                <w:sz w:val="30"/>
                <w:szCs w:val="30"/>
                <w:lang w:val="en-US" w:eastAsia="zh-CN" w:bidi="ar-SA"/>
              </w:rPr>
              <w:t>（</w:t>
            </w:r>
            <w:r>
              <w:rPr>
                <w:rFonts w:hint="eastAsia" w:ascii="仿宋" w:hAnsi="仿宋" w:eastAsia="仿宋" w:cs="仿宋"/>
                <w:i w:val="0"/>
                <w:iCs w:val="0"/>
                <w:color w:val="000000"/>
                <w:kern w:val="0"/>
                <w:sz w:val="30"/>
                <w:szCs w:val="30"/>
                <w:u w:val="none"/>
                <w:lang w:val="en-US" w:eastAsia="zh-CN" w:bidi="ar"/>
              </w:rPr>
              <w:t>牛肉馅</w:t>
            </w:r>
            <w:r>
              <w:rPr>
                <w:rFonts w:hint="eastAsia" w:ascii="仿宋" w:hAnsi="仿宋" w:eastAsia="仿宋" w:cs="仿宋"/>
                <w:kern w:val="2"/>
                <w:sz w:val="30"/>
                <w:szCs w:val="30"/>
                <w:lang w:val="en-US" w:eastAsia="zh-CN" w:bidi="ar-SA"/>
              </w:rPr>
              <w:t>）：</w:t>
            </w:r>
          </w:p>
        </w:tc>
      </w:tr>
      <w:tr w14:paraId="076D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57" w:type="dxa"/>
            <w:gridSpan w:val="7"/>
            <w:noWrap w:val="0"/>
            <w:vAlign w:val="center"/>
          </w:tcPr>
          <w:p w14:paraId="3A0D97AC">
            <w:pPr>
              <w:pStyle w:val="16"/>
              <w:spacing w:line="240" w:lineRule="auto"/>
              <w:jc w:val="center"/>
              <w:rPr>
                <w:rFonts w:hint="eastAsia" w:ascii="仿宋" w:hAnsi="仿宋" w:eastAsia="仿宋" w:cs="仿宋"/>
                <w:sz w:val="30"/>
                <w:szCs w:val="30"/>
                <w:vertAlign w:val="baseline"/>
                <w:lang w:eastAsia="zh-CN"/>
              </w:rPr>
            </w:pPr>
            <w:r>
              <w:rPr>
                <w:rFonts w:hint="eastAsia" w:ascii="仿宋" w:hAnsi="仿宋" w:eastAsia="仿宋" w:cs="仿宋"/>
                <w:b/>
                <w:bCs/>
                <w:sz w:val="30"/>
                <w:szCs w:val="30"/>
                <w:vertAlign w:val="baseline"/>
                <w:lang w:val="en-US" w:eastAsia="zh-CN"/>
              </w:rPr>
              <w:t>牛肉类合计</w:t>
            </w:r>
          </w:p>
        </w:tc>
      </w:tr>
      <w:tr w14:paraId="5212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57" w:type="dxa"/>
            <w:gridSpan w:val="7"/>
            <w:noWrap w:val="0"/>
            <w:vAlign w:val="center"/>
          </w:tcPr>
          <w:p w14:paraId="4638AB7F">
            <w:pPr>
              <w:pStyle w:val="16"/>
              <w:spacing w:line="240" w:lineRule="auto"/>
              <w:jc w:val="both"/>
              <w:rPr>
                <w:rFonts w:hint="eastAsia" w:ascii="仿宋" w:hAnsi="仿宋" w:eastAsia="仿宋" w:cs="仿宋"/>
                <w:sz w:val="30"/>
                <w:szCs w:val="30"/>
                <w:vertAlign w:val="baseline"/>
                <w:lang w:eastAsia="zh-CN"/>
              </w:rPr>
            </w:pPr>
            <w:r>
              <w:rPr>
                <w:rFonts w:hint="eastAsia" w:ascii="仿宋" w:hAnsi="仿宋" w:eastAsia="仿宋" w:cs="仿宋"/>
                <w:b/>
                <w:bCs/>
                <w:sz w:val="30"/>
                <w:szCs w:val="30"/>
                <w:vertAlign w:val="baseline"/>
                <w:lang w:val="en-US" w:eastAsia="zh-CN"/>
              </w:rPr>
              <w:t>牛肉类</w:t>
            </w:r>
            <w:r>
              <w:rPr>
                <w:rFonts w:hint="eastAsia" w:ascii="仿宋" w:hAnsi="仿宋" w:eastAsia="仿宋" w:cs="仿宋"/>
                <w:b/>
                <w:bCs/>
                <w:sz w:val="30"/>
                <w:szCs w:val="30"/>
                <w:vertAlign w:val="baseline"/>
                <w:lang w:eastAsia="zh-CN"/>
              </w:rPr>
              <w:t>下浮(%)：</w:t>
            </w:r>
          </w:p>
        </w:tc>
      </w:tr>
      <w:tr w14:paraId="21E9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57" w:type="dxa"/>
            <w:gridSpan w:val="7"/>
            <w:noWrap w:val="0"/>
            <w:vAlign w:val="center"/>
          </w:tcPr>
          <w:p w14:paraId="393723E6">
            <w:pPr>
              <w:pStyle w:val="16"/>
              <w:spacing w:line="240" w:lineRule="auto"/>
              <w:jc w:val="both"/>
              <w:rPr>
                <w:rFonts w:hint="eastAsia" w:ascii="仿宋" w:hAnsi="仿宋" w:eastAsia="仿宋" w:cs="仿宋"/>
                <w:sz w:val="30"/>
                <w:szCs w:val="30"/>
                <w:vertAlign w:val="baseline"/>
                <w:lang w:eastAsia="zh-CN"/>
              </w:rPr>
            </w:pPr>
            <w:r>
              <w:rPr>
                <w:rFonts w:hint="eastAsia" w:ascii="仿宋" w:hAnsi="仿宋" w:eastAsia="仿宋" w:cs="仿宋"/>
                <w:b/>
                <w:bCs/>
                <w:sz w:val="30"/>
                <w:szCs w:val="30"/>
                <w:vertAlign w:val="baseline"/>
                <w:lang w:val="en-US" w:eastAsia="zh-CN"/>
              </w:rPr>
              <w:t>牛肉类下浮后</w:t>
            </w:r>
            <w:r>
              <w:rPr>
                <w:rFonts w:hint="eastAsia" w:ascii="仿宋" w:hAnsi="仿宋" w:eastAsia="仿宋" w:cs="仿宋"/>
                <w:b/>
                <w:bCs/>
                <w:sz w:val="30"/>
                <w:szCs w:val="30"/>
                <w:vertAlign w:val="baseline"/>
                <w:lang w:eastAsia="zh-CN"/>
              </w:rPr>
              <w:t>单价合计(元)：</w:t>
            </w:r>
          </w:p>
        </w:tc>
      </w:tr>
      <w:tr w14:paraId="7388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6" w:type="dxa"/>
            <w:noWrap w:val="0"/>
            <w:vAlign w:val="center"/>
          </w:tcPr>
          <w:p w14:paraId="27C2FCDA">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p>
        </w:tc>
        <w:tc>
          <w:tcPr>
            <w:tcW w:w="2019" w:type="dxa"/>
            <w:noWrap w:val="0"/>
            <w:vAlign w:val="center"/>
          </w:tcPr>
          <w:p w14:paraId="13707DE7">
            <w:pPr>
              <w:keepNext w:val="0"/>
              <w:keepLines w:val="0"/>
              <w:widowControl/>
              <w:suppressLineNumbers w:val="0"/>
              <w:jc w:val="center"/>
              <w:textAlignment w:val="center"/>
              <w:rPr>
                <w:rFonts w:hint="eastAsia" w:ascii="仿宋" w:hAnsi="仿宋" w:eastAsia="仿宋" w:cs="仿宋"/>
                <w:sz w:val="30"/>
                <w:szCs w:val="30"/>
              </w:rPr>
            </w:pPr>
            <w:r>
              <w:rPr>
                <w:rFonts w:hint="eastAsia" w:ascii="仿宋" w:hAnsi="仿宋" w:eastAsia="仿宋" w:cs="仿宋"/>
                <w:i w:val="0"/>
                <w:iCs w:val="0"/>
                <w:color w:val="000000"/>
                <w:kern w:val="0"/>
                <w:sz w:val="30"/>
                <w:szCs w:val="30"/>
                <w:u w:val="none"/>
                <w:lang w:val="en-US" w:eastAsia="zh-CN" w:bidi="ar"/>
              </w:rPr>
              <w:t>羊肉</w:t>
            </w:r>
          </w:p>
        </w:tc>
        <w:tc>
          <w:tcPr>
            <w:tcW w:w="1883" w:type="dxa"/>
            <w:noWrap w:val="0"/>
            <w:vAlign w:val="center"/>
          </w:tcPr>
          <w:p w14:paraId="0F08AFE4">
            <w:pPr>
              <w:pStyle w:val="16"/>
              <w:jc w:val="center"/>
              <w:rPr>
                <w:rFonts w:hint="eastAsia" w:ascii="仿宋" w:hAnsi="仿宋" w:eastAsia="仿宋" w:cs="仿宋"/>
                <w:sz w:val="30"/>
                <w:szCs w:val="30"/>
              </w:rPr>
            </w:pPr>
          </w:p>
        </w:tc>
        <w:tc>
          <w:tcPr>
            <w:tcW w:w="1174" w:type="dxa"/>
            <w:noWrap w:val="0"/>
            <w:vAlign w:val="center"/>
          </w:tcPr>
          <w:p w14:paraId="0B88445C">
            <w:pPr>
              <w:pStyle w:val="16"/>
              <w:jc w:val="center"/>
              <w:rPr>
                <w:rFonts w:hint="eastAsia" w:ascii="仿宋" w:hAnsi="仿宋" w:eastAsia="仿宋" w:cs="仿宋"/>
                <w:sz w:val="30"/>
                <w:szCs w:val="30"/>
              </w:rPr>
            </w:pPr>
          </w:p>
        </w:tc>
        <w:tc>
          <w:tcPr>
            <w:tcW w:w="1838" w:type="dxa"/>
            <w:noWrap w:val="0"/>
            <w:vAlign w:val="center"/>
          </w:tcPr>
          <w:p w14:paraId="0C50008A">
            <w:pPr>
              <w:pStyle w:val="16"/>
              <w:jc w:val="center"/>
              <w:rPr>
                <w:rFonts w:hint="eastAsia" w:ascii="仿宋" w:hAnsi="仿宋" w:eastAsia="仿宋" w:cs="仿宋"/>
                <w:sz w:val="30"/>
                <w:szCs w:val="30"/>
              </w:rPr>
            </w:pPr>
          </w:p>
        </w:tc>
        <w:tc>
          <w:tcPr>
            <w:tcW w:w="1470" w:type="dxa"/>
            <w:noWrap w:val="0"/>
            <w:vAlign w:val="center"/>
          </w:tcPr>
          <w:p w14:paraId="3095C810">
            <w:pPr>
              <w:pStyle w:val="16"/>
              <w:jc w:val="center"/>
              <w:rPr>
                <w:rFonts w:hint="eastAsia" w:ascii="仿宋" w:hAnsi="仿宋" w:eastAsia="仿宋" w:cs="仿宋"/>
                <w:sz w:val="30"/>
                <w:szCs w:val="30"/>
              </w:rPr>
            </w:pPr>
          </w:p>
        </w:tc>
        <w:tc>
          <w:tcPr>
            <w:tcW w:w="617" w:type="dxa"/>
            <w:noWrap w:val="0"/>
            <w:vAlign w:val="center"/>
          </w:tcPr>
          <w:p w14:paraId="304216D3">
            <w:pPr>
              <w:pStyle w:val="16"/>
              <w:jc w:val="center"/>
              <w:rPr>
                <w:rFonts w:hint="eastAsia" w:ascii="仿宋" w:hAnsi="仿宋" w:eastAsia="仿宋" w:cs="仿宋"/>
                <w:sz w:val="30"/>
                <w:szCs w:val="30"/>
              </w:rPr>
            </w:pPr>
          </w:p>
        </w:tc>
      </w:tr>
      <w:tr w14:paraId="3560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857" w:type="dxa"/>
            <w:gridSpan w:val="7"/>
            <w:noWrap w:val="0"/>
            <w:vAlign w:val="center"/>
          </w:tcPr>
          <w:p w14:paraId="67D61B49">
            <w:pPr>
              <w:pStyle w:val="16"/>
              <w:spacing w:line="240" w:lineRule="auto"/>
              <w:jc w:val="left"/>
              <w:rPr>
                <w:rFonts w:hint="eastAsia" w:ascii="仿宋" w:hAnsi="仿宋" w:eastAsia="仿宋" w:cs="仿宋"/>
                <w:sz w:val="30"/>
                <w:szCs w:val="30"/>
                <w:lang w:eastAsia="zh-CN"/>
              </w:rPr>
            </w:pPr>
            <w:r>
              <w:rPr>
                <w:rFonts w:hint="eastAsia" w:ascii="仿宋" w:hAnsi="仿宋" w:eastAsia="仿宋" w:cs="仿宋"/>
                <w:sz w:val="30"/>
                <w:szCs w:val="30"/>
                <w:lang w:val="en-US" w:eastAsia="zh-CN"/>
              </w:rPr>
              <w:t>下浮率</w:t>
            </w:r>
            <w:r>
              <w:rPr>
                <w:rFonts w:hint="eastAsia" w:ascii="仿宋" w:hAnsi="仿宋" w:eastAsia="仿宋" w:cs="仿宋"/>
                <w:sz w:val="30"/>
                <w:szCs w:val="30"/>
              </w:rPr>
              <w:t>（</w:t>
            </w:r>
            <w:r>
              <w:rPr>
                <w:rFonts w:hint="eastAsia" w:ascii="仿宋" w:hAnsi="仿宋" w:eastAsia="仿宋" w:cs="仿宋"/>
                <w:sz w:val="30"/>
                <w:szCs w:val="30"/>
                <w:lang w:val="en-US" w:eastAsia="zh-CN"/>
              </w:rPr>
              <w:t>%</w:t>
            </w:r>
            <w:r>
              <w:rPr>
                <w:rFonts w:hint="eastAsia" w:ascii="仿宋" w:hAnsi="仿宋" w:eastAsia="仿宋" w:cs="仿宋"/>
                <w:sz w:val="30"/>
                <w:szCs w:val="30"/>
              </w:rPr>
              <w:t>）</w:t>
            </w:r>
            <w:r>
              <w:rPr>
                <w:rFonts w:hint="eastAsia" w:ascii="仿宋" w:hAnsi="仿宋" w:eastAsia="仿宋" w:cs="仿宋"/>
                <w:sz w:val="30"/>
                <w:szCs w:val="30"/>
                <w:lang w:eastAsia="zh-CN"/>
              </w:rPr>
              <w:t>：</w:t>
            </w:r>
          </w:p>
          <w:p w14:paraId="755D7CD4">
            <w:pPr>
              <w:pStyle w:val="16"/>
              <w:spacing w:line="240" w:lineRule="auto"/>
              <w:jc w:val="left"/>
              <w:rPr>
                <w:rFonts w:hint="eastAsia" w:ascii="仿宋" w:hAnsi="仿宋" w:eastAsia="仿宋" w:cs="仿宋"/>
                <w:sz w:val="30"/>
                <w:szCs w:val="30"/>
              </w:rPr>
            </w:pPr>
            <w:r>
              <w:rPr>
                <w:rFonts w:hint="eastAsia" w:ascii="仿宋" w:hAnsi="仿宋" w:eastAsia="仿宋" w:cs="仿宋"/>
                <w:sz w:val="30"/>
                <w:szCs w:val="30"/>
                <w:vertAlign w:val="baseline"/>
                <w:lang w:eastAsia="zh-CN"/>
              </w:rPr>
              <w:t>下浮后单价（</w:t>
            </w:r>
            <w:r>
              <w:rPr>
                <w:rFonts w:hint="eastAsia" w:ascii="仿宋" w:hAnsi="仿宋" w:eastAsia="仿宋" w:cs="仿宋"/>
                <w:sz w:val="30"/>
                <w:szCs w:val="30"/>
                <w:vertAlign w:val="baseline"/>
                <w:lang w:val="en-US" w:eastAsia="zh-CN"/>
              </w:rPr>
              <w:t>羊肉</w:t>
            </w:r>
            <w:r>
              <w:rPr>
                <w:rFonts w:hint="eastAsia" w:ascii="仿宋" w:hAnsi="仿宋" w:eastAsia="仿宋" w:cs="仿宋"/>
                <w:sz w:val="30"/>
                <w:szCs w:val="30"/>
                <w:vertAlign w:val="baseline"/>
                <w:lang w:eastAsia="zh-CN"/>
              </w:rPr>
              <w:t>）：</w:t>
            </w:r>
          </w:p>
        </w:tc>
      </w:tr>
      <w:tr w14:paraId="5C8A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857" w:type="dxa"/>
            <w:gridSpan w:val="7"/>
            <w:noWrap w:val="0"/>
            <w:vAlign w:val="center"/>
          </w:tcPr>
          <w:p w14:paraId="0BBD2C1C">
            <w:pPr>
              <w:pStyle w:val="16"/>
              <w:spacing w:line="240" w:lineRule="auto"/>
              <w:jc w:val="center"/>
              <w:rPr>
                <w:rFonts w:hint="eastAsia" w:ascii="仿宋" w:hAnsi="仿宋" w:eastAsia="仿宋" w:cs="仿宋"/>
                <w:sz w:val="30"/>
                <w:szCs w:val="30"/>
              </w:rPr>
            </w:pPr>
            <w:r>
              <w:rPr>
                <w:rFonts w:hint="eastAsia" w:ascii="仿宋" w:hAnsi="仿宋" w:eastAsia="仿宋" w:cs="仿宋"/>
                <w:b/>
                <w:bCs/>
                <w:sz w:val="30"/>
                <w:szCs w:val="30"/>
                <w:vertAlign w:val="baseline"/>
                <w:lang w:val="en-US" w:eastAsia="zh-CN"/>
              </w:rPr>
              <w:t>羊肉类合计</w:t>
            </w:r>
          </w:p>
        </w:tc>
      </w:tr>
      <w:tr w14:paraId="1195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857" w:type="dxa"/>
            <w:gridSpan w:val="7"/>
            <w:noWrap w:val="0"/>
            <w:vAlign w:val="center"/>
          </w:tcPr>
          <w:p w14:paraId="1C4AD7BA">
            <w:pPr>
              <w:pStyle w:val="16"/>
              <w:spacing w:line="240" w:lineRule="auto"/>
              <w:jc w:val="both"/>
              <w:rPr>
                <w:rFonts w:hint="eastAsia" w:ascii="仿宋" w:hAnsi="仿宋" w:eastAsia="仿宋" w:cs="仿宋"/>
                <w:sz w:val="30"/>
                <w:szCs w:val="30"/>
              </w:rPr>
            </w:pPr>
            <w:r>
              <w:rPr>
                <w:rFonts w:hint="eastAsia" w:ascii="仿宋" w:hAnsi="仿宋" w:eastAsia="仿宋" w:cs="仿宋"/>
                <w:b/>
                <w:bCs/>
                <w:sz w:val="30"/>
                <w:szCs w:val="30"/>
                <w:vertAlign w:val="baseline"/>
                <w:lang w:val="en-US" w:eastAsia="zh-CN"/>
              </w:rPr>
              <w:t>羊类</w:t>
            </w:r>
            <w:r>
              <w:rPr>
                <w:rFonts w:hint="eastAsia" w:ascii="仿宋" w:hAnsi="仿宋" w:eastAsia="仿宋" w:cs="仿宋"/>
                <w:b/>
                <w:bCs/>
                <w:sz w:val="30"/>
                <w:szCs w:val="30"/>
                <w:vertAlign w:val="baseline"/>
                <w:lang w:eastAsia="zh-CN"/>
              </w:rPr>
              <w:t>下浮(%)：</w:t>
            </w:r>
          </w:p>
        </w:tc>
      </w:tr>
      <w:tr w14:paraId="240A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857" w:type="dxa"/>
            <w:gridSpan w:val="7"/>
            <w:noWrap w:val="0"/>
            <w:vAlign w:val="center"/>
          </w:tcPr>
          <w:p w14:paraId="3754A54E">
            <w:pPr>
              <w:pStyle w:val="16"/>
              <w:spacing w:line="240" w:lineRule="auto"/>
              <w:jc w:val="both"/>
              <w:rPr>
                <w:rFonts w:hint="eastAsia" w:ascii="仿宋" w:hAnsi="仿宋" w:eastAsia="仿宋" w:cs="仿宋"/>
                <w:sz w:val="30"/>
                <w:szCs w:val="30"/>
              </w:rPr>
            </w:pPr>
            <w:r>
              <w:rPr>
                <w:rFonts w:hint="eastAsia" w:ascii="仿宋" w:hAnsi="仿宋" w:eastAsia="仿宋" w:cs="仿宋"/>
                <w:b/>
                <w:bCs/>
                <w:sz w:val="30"/>
                <w:szCs w:val="30"/>
                <w:vertAlign w:val="baseline"/>
                <w:lang w:val="en-US" w:eastAsia="zh-CN"/>
              </w:rPr>
              <w:t>羊肉类下浮后</w:t>
            </w:r>
            <w:r>
              <w:rPr>
                <w:rFonts w:hint="eastAsia" w:ascii="仿宋" w:hAnsi="仿宋" w:eastAsia="仿宋" w:cs="仿宋"/>
                <w:b/>
                <w:bCs/>
                <w:sz w:val="30"/>
                <w:szCs w:val="30"/>
                <w:vertAlign w:val="baseline"/>
                <w:lang w:eastAsia="zh-CN"/>
              </w:rPr>
              <w:t>单价合计(元)：</w:t>
            </w:r>
          </w:p>
        </w:tc>
      </w:tr>
      <w:tr w14:paraId="70F6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857" w:type="dxa"/>
            <w:gridSpan w:val="7"/>
            <w:noWrap w:val="0"/>
            <w:vAlign w:val="center"/>
          </w:tcPr>
          <w:p w14:paraId="6E653451">
            <w:pPr>
              <w:pStyle w:val="16"/>
              <w:spacing w:line="240" w:lineRule="auto"/>
              <w:jc w:val="center"/>
              <w:rPr>
                <w:rFonts w:hint="eastAsia" w:ascii="仿宋" w:hAnsi="仿宋" w:eastAsia="仿宋" w:cs="仿宋"/>
                <w:sz w:val="30"/>
                <w:szCs w:val="30"/>
              </w:rPr>
            </w:pPr>
            <w:r>
              <w:rPr>
                <w:rFonts w:hint="eastAsia" w:ascii="仿宋" w:hAnsi="仿宋" w:eastAsia="仿宋" w:cs="仿宋"/>
                <w:b/>
                <w:bCs/>
                <w:sz w:val="30"/>
                <w:szCs w:val="30"/>
                <w:vertAlign w:val="baseline"/>
                <w:lang w:val="en-US" w:eastAsia="zh-CN"/>
              </w:rPr>
              <w:t>所有类目（牛肉类+羊肉类）合计</w:t>
            </w:r>
          </w:p>
        </w:tc>
      </w:tr>
      <w:tr w14:paraId="7EF2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857" w:type="dxa"/>
            <w:gridSpan w:val="7"/>
            <w:noWrap w:val="0"/>
            <w:vAlign w:val="center"/>
          </w:tcPr>
          <w:p w14:paraId="79505864">
            <w:pPr>
              <w:pStyle w:val="16"/>
              <w:spacing w:line="240" w:lineRule="auto"/>
              <w:jc w:val="both"/>
              <w:rPr>
                <w:rFonts w:hint="eastAsia" w:ascii="仿宋" w:hAnsi="仿宋" w:eastAsia="仿宋" w:cs="仿宋"/>
                <w:sz w:val="30"/>
                <w:szCs w:val="30"/>
              </w:rPr>
            </w:pPr>
            <w:r>
              <w:rPr>
                <w:rFonts w:hint="eastAsia" w:ascii="仿宋" w:hAnsi="仿宋" w:eastAsia="仿宋" w:cs="仿宋"/>
                <w:b/>
                <w:bCs/>
                <w:sz w:val="30"/>
                <w:szCs w:val="30"/>
                <w:vertAlign w:val="baseline"/>
                <w:lang w:val="en-US" w:eastAsia="zh-CN"/>
              </w:rPr>
              <w:t>所有类目</w:t>
            </w:r>
            <w:r>
              <w:rPr>
                <w:rFonts w:hint="eastAsia" w:ascii="仿宋" w:hAnsi="仿宋" w:eastAsia="仿宋" w:cs="仿宋"/>
                <w:b/>
                <w:bCs/>
                <w:sz w:val="30"/>
                <w:szCs w:val="30"/>
                <w:vertAlign w:val="baseline"/>
                <w:lang w:eastAsia="zh-CN"/>
              </w:rPr>
              <w:t>下浮合计(%)：</w:t>
            </w:r>
          </w:p>
        </w:tc>
      </w:tr>
      <w:tr w14:paraId="1364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857" w:type="dxa"/>
            <w:gridSpan w:val="7"/>
            <w:noWrap w:val="0"/>
            <w:vAlign w:val="center"/>
          </w:tcPr>
          <w:p w14:paraId="04126993">
            <w:pPr>
              <w:pStyle w:val="16"/>
              <w:spacing w:line="240" w:lineRule="auto"/>
              <w:jc w:val="both"/>
              <w:rPr>
                <w:rFonts w:hint="eastAsia" w:ascii="仿宋" w:hAnsi="仿宋" w:eastAsia="仿宋" w:cs="仿宋"/>
                <w:sz w:val="30"/>
                <w:szCs w:val="30"/>
              </w:rPr>
            </w:pPr>
            <w:r>
              <w:rPr>
                <w:rFonts w:hint="eastAsia" w:ascii="仿宋" w:hAnsi="仿宋" w:eastAsia="仿宋" w:cs="仿宋"/>
                <w:b/>
                <w:bCs/>
                <w:sz w:val="30"/>
                <w:szCs w:val="30"/>
                <w:vertAlign w:val="baseline"/>
                <w:lang w:val="en-US" w:eastAsia="zh-CN"/>
              </w:rPr>
              <w:t>所有类目下浮后</w:t>
            </w:r>
            <w:r>
              <w:rPr>
                <w:rFonts w:hint="eastAsia" w:ascii="仿宋" w:hAnsi="仿宋" w:eastAsia="仿宋" w:cs="仿宋"/>
                <w:b/>
                <w:bCs/>
                <w:sz w:val="30"/>
                <w:szCs w:val="30"/>
                <w:vertAlign w:val="baseline"/>
                <w:lang w:eastAsia="zh-CN"/>
              </w:rPr>
              <w:t>单价合计(元)：</w:t>
            </w:r>
          </w:p>
        </w:tc>
      </w:tr>
    </w:tbl>
    <w:p w14:paraId="2F81EC1E">
      <w:pPr>
        <w:pStyle w:val="16"/>
        <w:rPr>
          <w:rFonts w:hint="eastAsia" w:ascii="仿宋" w:hAnsi="仿宋" w:eastAsia="仿宋" w:cs="仿宋"/>
          <w:sz w:val="32"/>
          <w:szCs w:val="32"/>
        </w:rPr>
      </w:pPr>
    </w:p>
    <w:p w14:paraId="2A8426DF">
      <w:pPr>
        <w:spacing w:line="360" w:lineRule="auto"/>
        <w:rPr>
          <w:rFonts w:hint="eastAsia" w:ascii="仿宋" w:hAnsi="仿宋" w:eastAsia="仿宋" w:cs="仿宋"/>
          <w:sz w:val="32"/>
          <w:szCs w:val="32"/>
        </w:rPr>
      </w:pPr>
      <w:r>
        <w:rPr>
          <w:rFonts w:hint="eastAsia" w:ascii="仿宋" w:hAnsi="仿宋" w:eastAsia="仿宋" w:cs="仿宋"/>
          <w:sz w:val="32"/>
          <w:szCs w:val="32"/>
        </w:rPr>
        <w:t>投标单位盖章：</w:t>
      </w:r>
    </w:p>
    <w:p w14:paraId="75DA8D74">
      <w:pPr>
        <w:spacing w:line="360" w:lineRule="auto"/>
        <w:rPr>
          <w:rFonts w:hint="eastAsia" w:ascii="仿宋" w:hAnsi="仿宋" w:eastAsia="仿宋" w:cs="仿宋"/>
          <w:sz w:val="32"/>
          <w:szCs w:val="32"/>
        </w:rPr>
      </w:pPr>
    </w:p>
    <w:p w14:paraId="03044DD3">
      <w:pPr>
        <w:spacing w:line="360" w:lineRule="auto"/>
        <w:ind w:left="10240" w:hanging="10240" w:hangingChars="3200"/>
        <w:jc w:val="left"/>
        <w:rPr>
          <w:rFonts w:hint="eastAsia" w:ascii="仿宋" w:hAnsi="仿宋" w:eastAsia="仿宋" w:cs="仿宋"/>
          <w:sz w:val="32"/>
          <w:szCs w:val="32"/>
        </w:rPr>
      </w:pPr>
      <w:r>
        <w:rPr>
          <w:rFonts w:hint="eastAsia" w:ascii="仿宋" w:hAnsi="仿宋" w:eastAsia="仿宋" w:cs="仿宋"/>
          <w:sz w:val="32"/>
          <w:szCs w:val="32"/>
        </w:rPr>
        <w:t xml:space="preserve">投标单位法人或授权代表签字或盖章：                                                                     </w:t>
      </w:r>
    </w:p>
    <w:p w14:paraId="5FAB0D3E">
      <w:pPr>
        <w:spacing w:line="360" w:lineRule="auto"/>
        <w:ind w:left="10240" w:hanging="10240" w:hangingChars="3200"/>
        <w:jc w:val="right"/>
        <w:rPr>
          <w:rFonts w:hint="eastAsia" w:ascii="仿宋" w:hAnsi="仿宋" w:eastAsia="仿宋" w:cs="仿宋"/>
          <w:sz w:val="32"/>
          <w:szCs w:val="32"/>
        </w:rPr>
      </w:pPr>
      <w:r>
        <w:rPr>
          <w:rFonts w:hint="eastAsia" w:ascii="仿宋" w:hAnsi="仿宋" w:eastAsia="仿宋" w:cs="仿宋"/>
          <w:sz w:val="32"/>
          <w:szCs w:val="32"/>
        </w:rPr>
        <w:t>年   月   日</w:t>
      </w:r>
    </w:p>
    <w:p w14:paraId="3DFF9A50">
      <w:pPr>
        <w:spacing w:line="360" w:lineRule="auto"/>
        <w:ind w:left="10240" w:hanging="10240" w:hangingChars="3200"/>
        <w:jc w:val="right"/>
        <w:rPr>
          <w:rFonts w:hint="eastAsia" w:ascii="仿宋" w:hAnsi="仿宋" w:eastAsia="仿宋" w:cs="仿宋"/>
          <w:sz w:val="32"/>
          <w:szCs w:val="32"/>
        </w:rPr>
      </w:pPr>
    </w:p>
    <w:p w14:paraId="7FD2AB10">
      <w:pPr>
        <w:adjustRightInd w:val="0"/>
        <w:snapToGrid w:val="0"/>
        <w:spacing w:line="360" w:lineRule="auto"/>
        <w:rPr>
          <w:rFonts w:hint="eastAsia" w:ascii="仿宋" w:hAnsi="仿宋" w:eastAsia="仿宋" w:cs="仿宋"/>
          <w:b/>
          <w:bCs/>
          <w:sz w:val="32"/>
          <w:szCs w:val="32"/>
          <w:lang w:val="zh-TW" w:eastAsia="zh-CN"/>
        </w:rPr>
      </w:pPr>
      <w:r>
        <w:rPr>
          <w:rFonts w:hint="eastAsia" w:ascii="仿宋" w:hAnsi="仿宋" w:eastAsia="仿宋" w:cs="仿宋"/>
          <w:b/>
          <w:bCs/>
          <w:sz w:val="32"/>
          <w:szCs w:val="32"/>
          <w:lang w:val="en-US" w:eastAsia="zh-CN"/>
        </w:rPr>
        <w:t>注：以上报价包含</w:t>
      </w:r>
      <w:r>
        <w:rPr>
          <w:rFonts w:hint="eastAsia" w:ascii="仿宋" w:hAnsi="仿宋" w:eastAsia="仿宋" w:cs="仿宋"/>
          <w:b/>
          <w:bCs/>
          <w:sz w:val="32"/>
          <w:szCs w:val="32"/>
          <w:lang w:val="zh-TW" w:eastAsia="zh-CN"/>
        </w:rPr>
        <w:t>全部货品、税费、包装费、运输费、装卸以及最终将货物卸载、运送、搬货交付到</w:t>
      </w:r>
      <w:r>
        <w:rPr>
          <w:rFonts w:hint="eastAsia" w:ascii="仿宋" w:hAnsi="仿宋" w:eastAsia="仿宋" w:cs="仿宋"/>
          <w:b/>
          <w:bCs/>
          <w:sz w:val="32"/>
          <w:szCs w:val="32"/>
          <w:lang w:val="en-US" w:eastAsia="zh-CN"/>
        </w:rPr>
        <w:t>采购人</w:t>
      </w:r>
      <w:r>
        <w:rPr>
          <w:rFonts w:hint="eastAsia" w:ascii="仿宋" w:hAnsi="仿宋" w:eastAsia="仿宋" w:cs="仿宋"/>
          <w:b/>
          <w:bCs/>
          <w:sz w:val="32"/>
          <w:szCs w:val="32"/>
          <w:lang w:val="zh-TW" w:eastAsia="zh-CN"/>
        </w:rPr>
        <w:t>指定区域待</w:t>
      </w:r>
      <w:r>
        <w:rPr>
          <w:rFonts w:hint="eastAsia" w:ascii="仿宋" w:hAnsi="仿宋" w:eastAsia="仿宋" w:cs="仿宋"/>
          <w:b/>
          <w:bCs/>
          <w:sz w:val="32"/>
          <w:szCs w:val="32"/>
          <w:lang w:val="en-US" w:eastAsia="zh-CN"/>
        </w:rPr>
        <w:t>采购人</w:t>
      </w:r>
      <w:r>
        <w:rPr>
          <w:rFonts w:hint="eastAsia" w:ascii="仿宋" w:hAnsi="仿宋" w:eastAsia="仿宋" w:cs="仿宋"/>
          <w:b/>
          <w:bCs/>
          <w:sz w:val="32"/>
          <w:szCs w:val="32"/>
          <w:lang w:val="zh-TW" w:eastAsia="zh-CN"/>
        </w:rPr>
        <w:t>验收的全部费用,其他存在或可能存在的各类税、费、成本等亦由</w:t>
      </w:r>
      <w:r>
        <w:rPr>
          <w:rFonts w:hint="eastAsia" w:ascii="仿宋" w:hAnsi="仿宋" w:eastAsia="仿宋" w:cs="仿宋"/>
          <w:b/>
          <w:bCs/>
          <w:sz w:val="32"/>
          <w:szCs w:val="32"/>
          <w:lang w:val="en-US" w:eastAsia="zh-CN"/>
        </w:rPr>
        <w:t>成交供应商</w:t>
      </w:r>
      <w:r>
        <w:rPr>
          <w:rFonts w:hint="eastAsia" w:ascii="仿宋" w:hAnsi="仿宋" w:eastAsia="仿宋" w:cs="仿宋"/>
          <w:b/>
          <w:bCs/>
          <w:sz w:val="32"/>
          <w:szCs w:val="32"/>
          <w:lang w:val="zh-TW" w:eastAsia="zh-CN"/>
        </w:rPr>
        <w:t>承担。</w:t>
      </w:r>
    </w:p>
    <w:p w14:paraId="053B1734">
      <w:pPr>
        <w:adjustRightInd w:val="0"/>
        <w:snapToGrid w:val="0"/>
        <w:spacing w:line="360" w:lineRule="auto"/>
        <w:rPr>
          <w:rFonts w:hint="eastAsia" w:ascii="仿宋" w:hAnsi="仿宋" w:eastAsia="仿宋" w:cs="仿宋"/>
          <w:b/>
          <w:bCs/>
          <w:sz w:val="32"/>
          <w:szCs w:val="32"/>
          <w:lang w:val="zh-TW" w:eastAsia="zh-CN"/>
        </w:rPr>
      </w:pPr>
    </w:p>
    <w:p w14:paraId="4662D8DF">
      <w:pPr>
        <w:adjustRightInd w:val="0"/>
        <w:snapToGrid w:val="0"/>
        <w:spacing w:line="360" w:lineRule="auto"/>
        <w:rPr>
          <w:rFonts w:hint="eastAsia" w:ascii="仿宋" w:hAnsi="仿宋" w:eastAsia="仿宋" w:cs="仿宋"/>
          <w:b/>
          <w:bCs/>
          <w:sz w:val="32"/>
          <w:szCs w:val="32"/>
          <w:lang w:val="zh-TW" w:eastAsia="zh-CN"/>
        </w:rPr>
      </w:pPr>
    </w:p>
    <w:p w14:paraId="34F88CB0">
      <w:pPr>
        <w:adjustRightInd w:val="0"/>
        <w:snapToGrid w:val="0"/>
        <w:spacing w:line="360" w:lineRule="auto"/>
        <w:rPr>
          <w:rFonts w:hint="eastAsia" w:ascii="仿宋" w:hAnsi="仿宋" w:eastAsia="仿宋" w:cs="仿宋"/>
          <w:b/>
          <w:bCs/>
          <w:sz w:val="32"/>
          <w:szCs w:val="32"/>
          <w:lang w:val="zh-TW" w:eastAsia="zh-CN"/>
        </w:rPr>
      </w:pPr>
    </w:p>
    <w:p w14:paraId="671B1F1A">
      <w:pPr>
        <w:adjustRightInd w:val="0"/>
        <w:snapToGrid w:val="0"/>
        <w:spacing w:line="360" w:lineRule="auto"/>
        <w:rPr>
          <w:rFonts w:hint="eastAsia" w:ascii="仿宋" w:hAnsi="仿宋" w:eastAsia="仿宋" w:cs="仿宋"/>
          <w:b/>
          <w:bCs/>
          <w:sz w:val="32"/>
          <w:szCs w:val="32"/>
          <w:lang w:val="zh-TW" w:eastAsia="zh-CN"/>
        </w:rPr>
      </w:pPr>
    </w:p>
    <w:p w14:paraId="7D03BE9E">
      <w:pPr>
        <w:adjustRightInd w:val="0"/>
        <w:snapToGrid w:val="0"/>
        <w:spacing w:line="360" w:lineRule="auto"/>
        <w:rPr>
          <w:rFonts w:hint="eastAsia" w:ascii="仿宋" w:hAnsi="仿宋" w:eastAsia="仿宋" w:cs="仿宋"/>
          <w:b/>
          <w:bCs/>
          <w:sz w:val="32"/>
          <w:szCs w:val="32"/>
          <w:lang w:val="zh-TW" w:eastAsia="zh-CN"/>
        </w:rPr>
      </w:pPr>
    </w:p>
    <w:p w14:paraId="3DAEC256">
      <w:pPr>
        <w:adjustRightInd w:val="0"/>
        <w:snapToGrid w:val="0"/>
        <w:spacing w:line="360" w:lineRule="auto"/>
        <w:rPr>
          <w:rFonts w:hint="eastAsia" w:ascii="仿宋" w:hAnsi="仿宋" w:eastAsia="仿宋" w:cs="仿宋"/>
          <w:b/>
          <w:bCs/>
          <w:sz w:val="32"/>
          <w:szCs w:val="32"/>
          <w:lang w:val="zh-TW" w:eastAsia="zh-CN"/>
        </w:rPr>
      </w:pPr>
    </w:p>
    <w:p w14:paraId="18ACFF11">
      <w:pPr>
        <w:adjustRightInd w:val="0"/>
        <w:snapToGrid w:val="0"/>
        <w:spacing w:line="360" w:lineRule="auto"/>
        <w:rPr>
          <w:rFonts w:hint="eastAsia" w:ascii="仿宋" w:hAnsi="仿宋" w:eastAsia="仿宋" w:cs="仿宋"/>
          <w:b/>
          <w:bCs/>
          <w:sz w:val="32"/>
          <w:szCs w:val="32"/>
          <w:lang w:val="zh-TW" w:eastAsia="zh-CN"/>
        </w:rPr>
      </w:pPr>
    </w:p>
    <w:p w14:paraId="2657F557">
      <w:pPr>
        <w:adjustRightInd w:val="0"/>
        <w:snapToGrid w:val="0"/>
        <w:spacing w:line="360" w:lineRule="auto"/>
        <w:rPr>
          <w:rFonts w:hint="eastAsia" w:ascii="仿宋" w:hAnsi="仿宋" w:eastAsia="仿宋" w:cs="仿宋"/>
          <w:b/>
          <w:bCs/>
          <w:sz w:val="32"/>
          <w:szCs w:val="32"/>
          <w:lang w:val="zh-TW" w:eastAsia="zh-CN"/>
        </w:rPr>
      </w:pPr>
    </w:p>
    <w:p w14:paraId="02872A6B">
      <w:pPr>
        <w:adjustRightInd w:val="0"/>
        <w:snapToGrid w:val="0"/>
        <w:spacing w:line="360" w:lineRule="auto"/>
        <w:rPr>
          <w:rFonts w:hint="eastAsia" w:ascii="仿宋" w:hAnsi="仿宋" w:eastAsia="仿宋" w:cs="仿宋"/>
          <w:b/>
          <w:bCs/>
          <w:sz w:val="32"/>
          <w:szCs w:val="32"/>
          <w:lang w:val="zh-TW" w:eastAsia="zh-CN"/>
        </w:rPr>
      </w:pPr>
    </w:p>
    <w:p w14:paraId="4D850AA4">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4、法定代表人身份证明</w:t>
      </w:r>
      <w:bookmarkEnd w:id="304"/>
      <w:bookmarkEnd w:id="305"/>
      <w:bookmarkEnd w:id="306"/>
      <w:bookmarkEnd w:id="307"/>
      <w:bookmarkEnd w:id="308"/>
      <w:bookmarkEnd w:id="309"/>
    </w:p>
    <w:p w14:paraId="1C4F6615">
      <w:pPr>
        <w:adjustRightInd w:val="0"/>
        <w:snapToGrid w:val="0"/>
        <w:spacing w:line="360" w:lineRule="auto"/>
        <w:jc w:val="center"/>
        <w:rPr>
          <w:rFonts w:hint="eastAsia" w:ascii="仿宋_GB2312" w:hAnsi="仿宋_GB2312" w:eastAsia="仿宋_GB2312" w:cs="仿宋_GB2312"/>
          <w:sz w:val="32"/>
          <w:szCs w:val="32"/>
        </w:rPr>
      </w:pPr>
    </w:p>
    <w:p w14:paraId="18EDA207">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单位名称：</w:t>
      </w:r>
      <w:r>
        <w:rPr>
          <w:rFonts w:hint="eastAsia" w:ascii="仿宋_GB2312" w:hAnsi="仿宋_GB2312" w:eastAsia="仿宋_GB2312" w:cs="仿宋_GB2312"/>
          <w:sz w:val="32"/>
          <w:szCs w:val="32"/>
          <w:u w:val="single"/>
        </w:rPr>
        <w:t xml:space="preserve">                                                      </w:t>
      </w:r>
    </w:p>
    <w:p w14:paraId="25B01A4D">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单位性质：</w:t>
      </w:r>
      <w:r>
        <w:rPr>
          <w:rFonts w:hint="eastAsia" w:ascii="仿宋_GB2312" w:hAnsi="仿宋_GB2312" w:eastAsia="仿宋_GB2312" w:cs="仿宋_GB2312"/>
          <w:sz w:val="32"/>
          <w:szCs w:val="32"/>
          <w:u w:val="single"/>
        </w:rPr>
        <w:t xml:space="preserve">                                                      </w:t>
      </w:r>
    </w:p>
    <w:p w14:paraId="64CB7D1C">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成立时间：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14:paraId="76361D65">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经营期限：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411E89B5">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071AFD60">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的法定代表人。 </w:t>
      </w:r>
    </w:p>
    <w:p w14:paraId="571FED6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特此证明。 </w:t>
      </w:r>
    </w:p>
    <w:p w14:paraId="6BC7DAFD">
      <w:pPr>
        <w:spacing w:line="360" w:lineRule="auto"/>
        <w:ind w:firstLine="640" w:firstLineChars="200"/>
        <w:rPr>
          <w:rFonts w:hint="eastAsia" w:ascii="仿宋_GB2312" w:hAnsi="仿宋_GB2312" w:eastAsia="仿宋_GB2312" w:cs="仿宋_GB2312"/>
          <w:sz w:val="32"/>
          <w:szCs w:val="32"/>
        </w:rPr>
      </w:pPr>
    </w:p>
    <w:p w14:paraId="79622400">
      <w:pPr>
        <w:spacing w:line="360" w:lineRule="auto"/>
        <w:ind w:firstLine="640" w:firstLineChars="200"/>
        <w:rPr>
          <w:rFonts w:hint="eastAsia" w:ascii="仿宋_GB2312" w:hAnsi="仿宋_GB2312" w:eastAsia="仿宋_GB2312" w:cs="仿宋_GB2312"/>
          <w:sz w:val="32"/>
          <w:szCs w:val="32"/>
        </w:rPr>
      </w:pPr>
    </w:p>
    <w:p w14:paraId="3CC3603F">
      <w:pPr>
        <w:spacing w:line="360" w:lineRule="auto"/>
        <w:ind w:firstLine="640" w:firstLineChars="200"/>
        <w:rPr>
          <w:rFonts w:hint="eastAsia" w:ascii="仿宋_GB2312" w:hAnsi="仿宋_GB2312" w:eastAsia="仿宋_GB2312" w:cs="仿宋_GB2312"/>
          <w:sz w:val="32"/>
          <w:szCs w:val="32"/>
        </w:rPr>
      </w:pPr>
    </w:p>
    <w:p w14:paraId="58B3C11B">
      <w:pPr>
        <w:spacing w:line="360" w:lineRule="auto"/>
        <w:ind w:firstLine="640" w:firstLineChars="200"/>
        <w:rPr>
          <w:rFonts w:hint="eastAsia" w:ascii="仿宋_GB2312" w:hAnsi="仿宋_GB2312" w:eastAsia="仿宋_GB2312" w:cs="仿宋_GB2312"/>
          <w:sz w:val="32"/>
          <w:szCs w:val="32"/>
        </w:rPr>
      </w:pPr>
    </w:p>
    <w:p w14:paraId="13A991DC">
      <w:pPr>
        <w:spacing w:line="360" w:lineRule="auto"/>
        <w:ind w:firstLine="640" w:firstLineChars="200"/>
        <w:rPr>
          <w:rFonts w:hint="eastAsia" w:ascii="仿宋_GB2312" w:hAnsi="仿宋_GB2312" w:eastAsia="仿宋_GB2312" w:cs="仿宋_GB2312"/>
          <w:sz w:val="32"/>
          <w:szCs w:val="32"/>
        </w:rPr>
      </w:pPr>
    </w:p>
    <w:p w14:paraId="469CDD05">
      <w:pPr>
        <w:spacing w:line="360" w:lineRule="auto"/>
        <w:ind w:firstLine="640" w:firstLineChars="200"/>
        <w:rPr>
          <w:rFonts w:hint="eastAsia" w:ascii="仿宋_GB2312" w:hAnsi="仿宋_GB2312" w:eastAsia="仿宋_GB2312" w:cs="仿宋_GB2312"/>
          <w:sz w:val="32"/>
          <w:szCs w:val="32"/>
        </w:rPr>
      </w:pPr>
    </w:p>
    <w:p w14:paraId="625C0323">
      <w:pPr>
        <w:spacing w:line="360" w:lineRule="auto"/>
        <w:ind w:firstLine="640" w:firstLineChars="200"/>
        <w:rPr>
          <w:rFonts w:hint="eastAsia" w:ascii="仿宋_GB2312" w:hAnsi="仿宋_GB2312" w:eastAsia="仿宋_GB2312" w:cs="仿宋_GB2312"/>
          <w:sz w:val="32"/>
          <w:szCs w:val="32"/>
        </w:rPr>
      </w:pPr>
    </w:p>
    <w:p w14:paraId="4201B984">
      <w:pPr>
        <w:spacing w:line="360" w:lineRule="auto"/>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（盖单位章） </w:t>
      </w:r>
    </w:p>
    <w:p w14:paraId="05F08576">
      <w:pPr>
        <w:spacing w:line="360" w:lineRule="auto"/>
        <w:jc w:val="righ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b/>
          <w:sz w:val="32"/>
          <w:szCs w:val="32"/>
        </w:rPr>
        <w:t xml:space="preserve"> </w:t>
      </w:r>
    </w:p>
    <w:p w14:paraId="58FCFE76">
      <w:pPr>
        <w:pStyle w:val="12"/>
        <w:spacing w:line="360" w:lineRule="auto"/>
        <w:rPr>
          <w:rFonts w:hint="eastAsia" w:ascii="仿宋_GB2312" w:hAnsi="仿宋_GB2312" w:eastAsia="仿宋_GB2312" w:cs="仿宋_GB2312"/>
          <w:sz w:val="32"/>
          <w:szCs w:val="32"/>
        </w:rPr>
      </w:pPr>
    </w:p>
    <w:p w14:paraId="51BDD11D">
      <w:pPr>
        <w:pStyle w:val="25"/>
        <w:spacing w:line="360" w:lineRule="auto"/>
        <w:ind w:firstLine="0" w:firstLineChars="0"/>
        <w:rPr>
          <w:rFonts w:hint="eastAsia" w:ascii="仿宋_GB2312" w:hAnsi="仿宋_GB2312" w:eastAsia="仿宋_GB2312" w:cs="仿宋_GB2312"/>
          <w:sz w:val="32"/>
          <w:szCs w:val="32"/>
        </w:rPr>
      </w:pPr>
    </w:p>
    <w:p w14:paraId="68CE059E">
      <w:pPr>
        <w:pStyle w:val="3"/>
        <w:spacing w:line="360" w:lineRule="auto"/>
        <w:jc w:val="center"/>
        <w:rPr>
          <w:rStyle w:val="53"/>
          <w:rFonts w:hint="eastAsia" w:ascii="仿宋_GB2312" w:hAnsi="仿宋_GB2312" w:eastAsia="仿宋_GB2312" w:cs="仿宋_GB2312"/>
          <w:b/>
          <w:bCs w:val="0"/>
        </w:rPr>
      </w:pPr>
      <w:bookmarkStart w:id="310" w:name="_Toc2043"/>
      <w:bookmarkStart w:id="311" w:name="_Toc50459036"/>
      <w:bookmarkStart w:id="312" w:name="_Toc18441"/>
      <w:bookmarkStart w:id="313" w:name="_Toc24648"/>
      <w:r>
        <w:rPr>
          <w:rStyle w:val="53"/>
          <w:rFonts w:hint="eastAsia" w:ascii="仿宋_GB2312" w:hAnsi="仿宋_GB2312" w:eastAsia="仿宋_GB2312" w:cs="仿宋_GB2312"/>
          <w:b/>
          <w:bCs w:val="0"/>
        </w:rPr>
        <w:t>5、法定代表人授权委托书</w:t>
      </w:r>
      <w:bookmarkEnd w:id="310"/>
      <w:bookmarkEnd w:id="311"/>
      <w:bookmarkEnd w:id="312"/>
      <w:bookmarkEnd w:id="313"/>
    </w:p>
    <w:p w14:paraId="74AEA25E">
      <w:pPr>
        <w:spacing w:line="360" w:lineRule="auto"/>
        <w:jc w:val="center"/>
        <w:rPr>
          <w:rFonts w:hint="eastAsia" w:ascii="仿宋_GB2312" w:hAnsi="仿宋_GB2312" w:eastAsia="仿宋_GB2312" w:cs="仿宋_GB2312"/>
          <w:b/>
          <w:bCs/>
          <w:sz w:val="32"/>
          <w:szCs w:val="32"/>
        </w:rPr>
      </w:pPr>
    </w:p>
    <w:p w14:paraId="6E5C3BD1">
      <w:pPr>
        <w:spacing w:line="360" w:lineRule="auto"/>
        <w:ind w:firstLine="604" w:firstLineChars="189"/>
        <w:jc w:val="lef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本授权委托书声明：我</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系</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的法定代表人，现授权委托</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为我的代理人，以本单位的名义参加</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投标活动。代理人在参加整个招标投标活动、合同签订过程中所签署的一切文件和处理与之相关的一切事物，我均予承认。</w:t>
      </w:r>
    </w:p>
    <w:p w14:paraId="5CB5BB78">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代理人：</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性别：</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1AA0838C">
      <w:pPr>
        <w:spacing w:line="360" w:lineRule="auto"/>
        <w:ind w:firstLine="640" w:firstLineChars="200"/>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年龄：</w:t>
      </w:r>
      <w:r>
        <w:rPr>
          <w:rFonts w:hint="eastAsia" w:ascii="仿宋_GB2312" w:hAnsi="仿宋_GB2312" w:eastAsia="仿宋_GB2312" w:cs="仿宋_GB2312"/>
          <w:bCs/>
          <w:sz w:val="32"/>
          <w:szCs w:val="32"/>
          <w:u w:val="single"/>
        </w:rPr>
        <w:t xml:space="preserve">             </w:t>
      </w:r>
    </w:p>
    <w:p w14:paraId="2FB7CCE2">
      <w:pPr>
        <w:spacing w:line="360" w:lineRule="auto"/>
        <w:ind w:firstLine="320" w:firstLineChars="100"/>
        <w:jc w:val="lef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部  门：</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职务：</w:t>
      </w:r>
      <w:r>
        <w:rPr>
          <w:rFonts w:hint="eastAsia" w:ascii="仿宋_GB2312" w:hAnsi="仿宋_GB2312" w:eastAsia="仿宋_GB2312" w:cs="仿宋_GB2312"/>
          <w:bCs/>
          <w:sz w:val="32"/>
          <w:szCs w:val="32"/>
          <w:u w:val="single"/>
        </w:rPr>
        <w:t xml:space="preserve">             </w:t>
      </w:r>
    </w:p>
    <w:p w14:paraId="4585C7A1">
      <w:pPr>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825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4024B3">
                            <w:pPr>
                              <w:jc w:val="center"/>
                              <w:rPr>
                                <w:rFonts w:ascii="仿宋" w:hAnsi="仿宋" w:eastAsia="仿宋"/>
                                <w:sz w:val="36"/>
                                <w:szCs w:val="36"/>
                              </w:rPr>
                            </w:pPr>
                          </w:p>
                          <w:p w14:paraId="4B04149D">
                            <w:pPr>
                              <w:jc w:val="center"/>
                              <w:rPr>
                                <w:rFonts w:ascii="仿宋" w:hAnsi="仿宋" w:eastAsia="仿宋"/>
                                <w:sz w:val="36"/>
                                <w:szCs w:val="36"/>
                              </w:rPr>
                            </w:pPr>
                          </w:p>
                          <w:p w14:paraId="09F3953A">
                            <w:pPr>
                              <w:jc w:val="center"/>
                              <w:rPr>
                                <w:rFonts w:hint="eastAsia" w:ascii="仿宋" w:hAnsi="仿宋" w:eastAsia="仿宋"/>
                                <w:sz w:val="36"/>
                                <w:szCs w:val="36"/>
                              </w:rPr>
                            </w:pPr>
                            <w:r>
                              <w:rPr>
                                <w:rFonts w:hint="eastAsia" w:ascii="仿宋" w:hAnsi="仿宋" w:eastAsia="仿宋"/>
                                <w:sz w:val="36"/>
                                <w:szCs w:val="36"/>
                              </w:rPr>
                              <w:t>法定代表人身份证</w:t>
                            </w:r>
                          </w:p>
                          <w:p w14:paraId="3C7F9FE6">
                            <w:pPr>
                              <w:jc w:val="center"/>
                              <w:rPr>
                                <w:sz w:val="32"/>
                                <w:szCs w:val="32"/>
                              </w:rPr>
                            </w:pPr>
                            <w:r>
                              <w:rPr>
                                <w:rFonts w:hint="eastAsia" w:ascii="仿宋" w:hAnsi="仿宋" w:eastAsia="仿宋"/>
                                <w:sz w:val="36"/>
                                <w:szCs w:val="36"/>
                              </w:rPr>
                              <w:t>（正反面）</w:t>
                            </w:r>
                          </w:p>
                        </w:txbxContent>
                      </wps:txbx>
                      <wps:bodyPr wrap="square" upright="1"/>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La8j0wcAgAAUwQAAA4AAABkcnMvZTJvRG9jLnhtbK1U&#10;Ta7TMBDeI3EHy3uatGp5bdT0SVDKBgHSgwO4jpNY8h8et0kvADdgxYY95+o5GDt9pe9n0QVZJGPP&#10;529mvhlnedtrRfbCg7SmpONRTokw3FbSNCX9+mXzak4JBGYqpqwRJT0IoLerly+WnSvExLZWVcIT&#10;JDFQdK6kbQiuyDLgrdAMRtYJg87aes0CLn2TVZ51yK5VNsnz11lnfeW85QIAd9eDk54Y/TWEtq4l&#10;F2vLd1qYMLB6oVjAkqCVDugqZVvXgodPdQ0iEFVSrDSkNwZBexvf2WrJisYz10p+SoFdk8KjmjST&#10;BoOeqdYsMLLz8gmVltxbsHUYcauzoZCkCFYxzh9pc9cyJ1ItKDW4s+jw/2j5x/1nT2RV0iklhmls&#10;+PHnj+OvP8ff38k0ytM5KBB15xAX+je2x6G53wfcjFX3tdfxi/UQ9KO4h7O4og+E4+ZkcTOe5+ji&#10;6BvPF7PpzSzyZP+OOw/hvbCaRKOkHruXRGX7DxAG6D0kRgOrZLWRSqWFb7ZvlSd7hp3epOfE/gCm&#10;DOlKuphNZpgIw/GtcWzQ1A4lANOkeA9OwCVxnp7niGNiawbtkEBiiDBWaBmET1YrWPXOVCQcHMps&#10;8HbRmIwWFSVK4GWMVkIGJtU1SNROmRhEpFE/qRQ7NnQmWqHf9kgaza2tDtjFDscdi/22Yx4z2Dkv&#10;mxblTl3NIg5nLfXldC/iMF+u0b78F6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ejPFDZAAAA&#10;CgEAAA8AAAAAAAAAAQAgAAAAIgAAAGRycy9kb3ducmV2LnhtbFBLAQIUABQAAAAIAIdO4kC2vI9M&#10;HAIAAFMEAAAOAAAAAAAAAAEAIAAAACgBAABkcnMvZTJvRG9jLnhtbFBLBQYAAAAABgAGAFkBAAC2&#10;BQAAAAA=&#10;">
                <v:fill on="t" focussize="0,0"/>
                <v:stroke color="#000000" joinstyle="miter"/>
                <v:imagedata o:title=""/>
                <o:lock v:ext="edit" aspectratio="f"/>
                <v:textbox>
                  <w:txbxContent>
                    <w:p w14:paraId="234024B3">
                      <w:pPr>
                        <w:jc w:val="center"/>
                        <w:rPr>
                          <w:rFonts w:ascii="仿宋" w:hAnsi="仿宋" w:eastAsia="仿宋"/>
                          <w:sz w:val="36"/>
                          <w:szCs w:val="36"/>
                        </w:rPr>
                      </w:pPr>
                    </w:p>
                    <w:p w14:paraId="4B04149D">
                      <w:pPr>
                        <w:jc w:val="center"/>
                        <w:rPr>
                          <w:rFonts w:ascii="仿宋" w:hAnsi="仿宋" w:eastAsia="仿宋"/>
                          <w:sz w:val="36"/>
                          <w:szCs w:val="36"/>
                        </w:rPr>
                      </w:pPr>
                    </w:p>
                    <w:p w14:paraId="09F3953A">
                      <w:pPr>
                        <w:jc w:val="center"/>
                        <w:rPr>
                          <w:rFonts w:hint="eastAsia" w:ascii="仿宋" w:hAnsi="仿宋" w:eastAsia="仿宋"/>
                          <w:sz w:val="36"/>
                          <w:szCs w:val="36"/>
                        </w:rPr>
                      </w:pPr>
                      <w:r>
                        <w:rPr>
                          <w:rFonts w:hint="eastAsia" w:ascii="仿宋" w:hAnsi="仿宋" w:eastAsia="仿宋"/>
                          <w:sz w:val="36"/>
                          <w:szCs w:val="36"/>
                        </w:rPr>
                        <w:t>法定代表人身份证</w:t>
                      </w:r>
                    </w:p>
                    <w:p w14:paraId="3C7F9FE6">
                      <w:pPr>
                        <w:jc w:val="center"/>
                        <w:rPr>
                          <w:sz w:val="32"/>
                          <w:szCs w:val="32"/>
                        </w:rPr>
                      </w:pPr>
                      <w:r>
                        <w:rPr>
                          <w:rFonts w:hint="eastAsia" w:ascii="仿宋" w:hAnsi="仿宋" w:eastAsia="仿宋"/>
                          <w:sz w:val="36"/>
                          <w:szCs w:val="36"/>
                        </w:rPr>
                        <w:t>（正反面）</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8255" b="5080"/>
                <wp:wrapNone/>
                <wp:docPr id="1"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E06B50">
                            <w:pPr>
                              <w:jc w:val="center"/>
                              <w:rPr>
                                <w:rFonts w:ascii="仿宋" w:hAnsi="仿宋" w:eastAsia="仿宋"/>
                                <w:sz w:val="36"/>
                                <w:szCs w:val="36"/>
                              </w:rPr>
                            </w:pPr>
                          </w:p>
                          <w:p w14:paraId="0AD02980">
                            <w:pPr>
                              <w:jc w:val="center"/>
                              <w:rPr>
                                <w:rFonts w:ascii="仿宋" w:hAnsi="仿宋" w:eastAsia="仿宋"/>
                                <w:sz w:val="36"/>
                                <w:szCs w:val="36"/>
                              </w:rPr>
                            </w:pPr>
                          </w:p>
                          <w:p w14:paraId="6D72C158">
                            <w:pPr>
                              <w:jc w:val="center"/>
                              <w:rPr>
                                <w:rFonts w:hint="eastAsia" w:ascii="仿宋" w:hAnsi="仿宋" w:eastAsia="仿宋"/>
                                <w:sz w:val="36"/>
                                <w:szCs w:val="36"/>
                              </w:rPr>
                            </w:pPr>
                            <w:r>
                              <w:rPr>
                                <w:rFonts w:hint="eastAsia" w:ascii="仿宋" w:hAnsi="仿宋" w:eastAsia="仿宋"/>
                                <w:sz w:val="36"/>
                                <w:szCs w:val="36"/>
                              </w:rPr>
                              <w:t>代理人身份证</w:t>
                            </w:r>
                          </w:p>
                          <w:p w14:paraId="627AC583">
                            <w:pPr>
                              <w:jc w:val="center"/>
                              <w:rPr>
                                <w:rFonts w:ascii="仿宋" w:hAnsi="仿宋" w:eastAsia="仿宋"/>
                                <w:sz w:val="36"/>
                                <w:szCs w:val="36"/>
                              </w:rPr>
                            </w:pPr>
                            <w:r>
                              <w:rPr>
                                <w:rFonts w:hint="eastAsia" w:ascii="仿宋" w:hAnsi="仿宋" w:eastAsia="仿宋"/>
                                <w:sz w:val="36"/>
                                <w:szCs w:val="36"/>
                              </w:rPr>
                              <w:t>（正反面）</w:t>
                            </w:r>
                          </w:p>
                        </w:txbxContent>
                      </wps:txbx>
                      <wps:bodyPr wrap="square" upright="1"/>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PlE8L4bAgAAUwQAAA4AAABkcnMvZTJvRG9jLnhtbK1U&#10;zY7TMBC+I/EOlu80aUXZNmq6EpRyQYC08ACu4ySW/IfHbdIXgDfgxIU7z9XnYOyEbneXQw/kkIw9&#10;n7+Z+Wac1W2vFTkID9Kakk4nOSXCcFtJ05T0y+ftiwUlEJipmLJGlPQogN6unz9bda4QM9taVQlP&#10;kMRA0bmStiG4IsuAt0IzmFgnDDpr6zULuPRNVnnWIbtW2SzPX2Wd9ZXzlgsA3N0MTjoy+msIbV1L&#10;LjaW77UwYWD1QrGAJUErHdB1yrauBQ8f6xpEIKqkWGlIbwyC9i6+s/WKFY1nrpV8TIFdk8KjmjST&#10;BoOeqTYsMLL38gmVltxbsHWYcKuzoZCkCFYxzR9pc9cyJ1ItKDW4s+jw/2j5h8MnT2SFk0CJYRob&#10;fvrx/fTz9+nXNzKN8nQOCkTdOcSF/rXtI3TcB9yMVfe11/GL9RD0o7jHs7iiD4Tj5mx5M13k6OLo&#10;my6W85c388iT3R93HsI7YTWJRkk9di+Jyg7vIQzQv5AYDayS1VYqlRa+2b1RnhwYdnqbnpH9AUwZ&#10;0pV0OZ/NMRGG41vj2KCpHUoApknxHpyAS+I8Pf8ijoltGLRDAokhwlihZRA+Wa1g1VtTkXB0KLPB&#10;20VjMlpUlCiBlzFaCRmYVNcgUTtlYhCRRn1UKXZs6Ey0Qr/rkTSaO1sdsYsdjjsW+3XPPGawd142&#10;LcqduppFHM5a6st4L+IwX67RvvwXr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qiYONkAAAAK&#10;AQAADwAAAAAAAAABACAAAAAiAAAAZHJzL2Rvd25yZXYueG1sUEsBAhQAFAAAAAgAh07iQPlE8L4b&#10;AgAAUwQAAA4AAAAAAAAAAQAgAAAAKAEAAGRycy9lMm9Eb2MueG1sUEsFBgAAAAAGAAYAWQEAALUF&#10;AAAAAA==&#10;">
                <v:fill on="t" focussize="0,0"/>
                <v:stroke color="#000000" joinstyle="miter"/>
                <v:imagedata o:title=""/>
                <o:lock v:ext="edit" aspectratio="f"/>
                <v:textbox>
                  <w:txbxContent>
                    <w:p w14:paraId="39E06B50">
                      <w:pPr>
                        <w:jc w:val="center"/>
                        <w:rPr>
                          <w:rFonts w:ascii="仿宋" w:hAnsi="仿宋" w:eastAsia="仿宋"/>
                          <w:sz w:val="36"/>
                          <w:szCs w:val="36"/>
                        </w:rPr>
                      </w:pPr>
                    </w:p>
                    <w:p w14:paraId="0AD02980">
                      <w:pPr>
                        <w:jc w:val="center"/>
                        <w:rPr>
                          <w:rFonts w:ascii="仿宋" w:hAnsi="仿宋" w:eastAsia="仿宋"/>
                          <w:sz w:val="36"/>
                          <w:szCs w:val="36"/>
                        </w:rPr>
                      </w:pPr>
                    </w:p>
                    <w:p w14:paraId="6D72C158">
                      <w:pPr>
                        <w:jc w:val="center"/>
                        <w:rPr>
                          <w:rFonts w:hint="eastAsia" w:ascii="仿宋" w:hAnsi="仿宋" w:eastAsia="仿宋"/>
                          <w:sz w:val="36"/>
                          <w:szCs w:val="36"/>
                        </w:rPr>
                      </w:pPr>
                      <w:r>
                        <w:rPr>
                          <w:rFonts w:hint="eastAsia" w:ascii="仿宋" w:hAnsi="仿宋" w:eastAsia="仿宋"/>
                          <w:sz w:val="36"/>
                          <w:szCs w:val="36"/>
                        </w:rPr>
                        <w:t>代理人身份证</w:t>
                      </w:r>
                    </w:p>
                    <w:p w14:paraId="627AC583">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14:paraId="0503BFE2">
      <w:pPr>
        <w:spacing w:line="360" w:lineRule="auto"/>
        <w:rPr>
          <w:rFonts w:hint="eastAsia" w:ascii="仿宋_GB2312" w:hAnsi="仿宋_GB2312" w:eastAsia="仿宋_GB2312" w:cs="仿宋_GB2312"/>
          <w:bCs/>
          <w:sz w:val="32"/>
          <w:szCs w:val="32"/>
        </w:rPr>
      </w:pPr>
    </w:p>
    <w:p w14:paraId="750F1409">
      <w:pPr>
        <w:spacing w:line="360" w:lineRule="auto"/>
        <w:rPr>
          <w:rFonts w:hint="eastAsia" w:ascii="仿宋_GB2312" w:hAnsi="仿宋_GB2312" w:eastAsia="仿宋_GB2312" w:cs="仿宋_GB2312"/>
          <w:bCs/>
          <w:sz w:val="32"/>
          <w:szCs w:val="32"/>
        </w:rPr>
      </w:pPr>
    </w:p>
    <w:p w14:paraId="010365E6">
      <w:pPr>
        <w:spacing w:line="360" w:lineRule="auto"/>
        <w:rPr>
          <w:rFonts w:hint="eastAsia" w:ascii="仿宋_GB2312" w:hAnsi="仿宋_GB2312" w:eastAsia="仿宋_GB2312" w:cs="仿宋_GB2312"/>
          <w:bCs/>
          <w:sz w:val="32"/>
          <w:szCs w:val="32"/>
        </w:rPr>
      </w:pPr>
    </w:p>
    <w:p w14:paraId="02183C38">
      <w:pPr>
        <w:spacing w:line="360" w:lineRule="auto"/>
        <w:rPr>
          <w:rFonts w:hint="eastAsia" w:ascii="仿宋_GB2312" w:hAnsi="仿宋_GB2312" w:eastAsia="仿宋_GB2312" w:cs="仿宋_GB2312"/>
          <w:bCs/>
          <w:sz w:val="32"/>
          <w:szCs w:val="32"/>
        </w:rPr>
      </w:pPr>
    </w:p>
    <w:p w14:paraId="5AC057DD">
      <w:pPr>
        <w:spacing w:line="360" w:lineRule="auto"/>
        <w:rPr>
          <w:rFonts w:hint="eastAsia" w:ascii="仿宋_GB2312" w:hAnsi="仿宋_GB2312" w:eastAsia="仿宋_GB2312" w:cs="仿宋_GB2312"/>
          <w:bCs/>
          <w:sz w:val="32"/>
          <w:szCs w:val="32"/>
        </w:rPr>
      </w:pPr>
    </w:p>
    <w:p w14:paraId="0BD2C553">
      <w:pPr>
        <w:pStyle w:val="19"/>
        <w:spacing w:line="360" w:lineRule="auto"/>
        <w:ind w:left="1620" w:hanging="420"/>
        <w:rPr>
          <w:rFonts w:hint="eastAsia" w:ascii="仿宋_GB2312" w:hAnsi="仿宋_GB2312" w:eastAsia="仿宋_GB2312" w:cs="仿宋_GB2312"/>
          <w:sz w:val="32"/>
          <w:szCs w:val="32"/>
        </w:rPr>
      </w:pPr>
    </w:p>
    <w:p w14:paraId="402A27A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  标  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14:paraId="143F8954">
      <w:pPr>
        <w:spacing w:line="360" w:lineRule="auto"/>
        <w:ind w:firstLine="640" w:firstLineChars="200"/>
        <w:rPr>
          <w:rFonts w:hint="eastAsia" w:ascii="仿宋_GB2312" w:hAnsi="仿宋_GB2312" w:eastAsia="仿宋_GB2312" w:cs="仿宋_GB2312"/>
          <w:sz w:val="32"/>
          <w:szCs w:val="32"/>
        </w:rPr>
      </w:pPr>
    </w:p>
    <w:p w14:paraId="00DCBD5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（签字或盖章）</w:t>
      </w:r>
    </w:p>
    <w:p w14:paraId="3312F901">
      <w:pPr>
        <w:pStyle w:val="19"/>
        <w:spacing w:line="360" w:lineRule="auto"/>
        <w:rPr>
          <w:rFonts w:hint="eastAsia" w:ascii="仿宋_GB2312" w:hAnsi="仿宋_GB2312" w:eastAsia="仿宋_GB2312" w:cs="仿宋_GB2312"/>
          <w:b/>
          <w:bCs/>
          <w:sz w:val="32"/>
          <w:szCs w:val="32"/>
        </w:rPr>
      </w:pPr>
    </w:p>
    <w:p w14:paraId="085C83E4">
      <w:pPr>
        <w:pStyle w:val="19"/>
        <w:spacing w:line="360" w:lineRule="auto"/>
        <w:rPr>
          <w:rFonts w:hint="eastAsia" w:ascii="仿宋_GB2312" w:hAnsi="仿宋_GB2312" w:eastAsia="仿宋_GB2312" w:cs="仿宋_GB2312"/>
          <w:b/>
          <w:bCs/>
          <w:sz w:val="32"/>
          <w:szCs w:val="32"/>
        </w:rPr>
      </w:pPr>
    </w:p>
    <w:p w14:paraId="6209D7DD">
      <w:pPr>
        <w:pStyle w:val="75"/>
        <w:spacing w:line="360" w:lineRule="auto"/>
        <w:ind w:firstLine="643"/>
        <w:jc w:val="center"/>
        <w:rPr>
          <w:rFonts w:hint="eastAsia" w:hAnsi="仿宋_GB2312" w:cs="仿宋_GB2312"/>
          <w:sz w:val="32"/>
          <w:szCs w:val="32"/>
        </w:rPr>
      </w:pPr>
      <w:bookmarkStart w:id="314" w:name="_Toc17805"/>
      <w:bookmarkStart w:id="315" w:name="_Toc9258"/>
      <w:bookmarkStart w:id="316" w:name="_Toc50459038"/>
      <w:bookmarkStart w:id="317" w:name="_Toc28582"/>
      <w:r>
        <w:rPr>
          <w:rStyle w:val="53"/>
          <w:rFonts w:hint="eastAsia" w:hAnsi="仿宋_GB2312" w:cs="仿宋_GB2312"/>
          <w:bCs w:val="0"/>
        </w:rPr>
        <w:t>6</w:t>
      </w:r>
      <w:r>
        <w:rPr>
          <w:rStyle w:val="53"/>
          <w:rFonts w:hint="eastAsia" w:hAnsi="仿宋_GB2312" w:eastAsia="仿宋_GB2312" w:cs="仿宋_GB2312"/>
          <w:bCs w:val="0"/>
        </w:rPr>
        <w:t>、</w:t>
      </w:r>
      <w:bookmarkEnd w:id="314"/>
      <w:bookmarkEnd w:id="315"/>
      <w:bookmarkEnd w:id="316"/>
      <w:bookmarkEnd w:id="317"/>
      <w:r>
        <w:rPr>
          <w:rFonts w:hint="eastAsia" w:hAnsi="仿宋_GB2312" w:cs="仿宋_GB2312"/>
          <w:b/>
          <w:sz w:val="32"/>
          <w:szCs w:val="32"/>
        </w:rPr>
        <w:t>投标保证金打款凭证或投标保函</w:t>
      </w:r>
    </w:p>
    <w:p w14:paraId="178E4C5F">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新疆金斌工程项目管理有限公司：</w:t>
      </w:r>
    </w:p>
    <w:p w14:paraId="1AD8F2C9">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本单位已按</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（项目名称）</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）的招标文件要求，于年月日前以</w:t>
      </w:r>
      <w:r>
        <w:rPr>
          <w:rFonts w:hint="eastAsia" w:ascii="仿宋_GB2312" w:hAnsi="仿宋_GB2312" w:eastAsia="仿宋_GB2312" w:cs="仿宋_GB2312"/>
          <w:sz w:val="32"/>
          <w:szCs w:val="32"/>
          <w:u w:val="single"/>
        </w:rPr>
        <w:t xml:space="preserve">  （付款形式 ）</w:t>
      </w:r>
      <w:r>
        <w:rPr>
          <w:rFonts w:hint="eastAsia" w:ascii="仿宋_GB2312" w:hAnsi="仿宋_GB2312" w:eastAsia="仿宋_GB2312" w:cs="仿宋_GB2312"/>
          <w:sz w:val="32"/>
          <w:szCs w:val="32"/>
        </w:rPr>
        <w:t>方式汇入指定账户（账户名称：,账号,开户银行：。</w:t>
      </w:r>
    </w:p>
    <w:p w14:paraId="681DE4AB">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投标单位投标保证金的汇款情况：（详见附件一投标保证金进账单）</w:t>
      </w:r>
    </w:p>
    <w:p w14:paraId="6BA59CF3">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汇出时间：年月日：</w:t>
      </w:r>
    </w:p>
    <w:p w14:paraId="37D99191">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汇款金额：（大写）人民币</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元整</w:t>
      </w:r>
    </w:p>
    <w:p w14:paraId="21E52870">
      <w:pPr>
        <w:spacing w:line="360" w:lineRule="auto"/>
        <w:ind w:firstLine="2240" w:firstLineChars="7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（小写：¥元）</w:t>
      </w:r>
    </w:p>
    <w:p w14:paraId="4B072E04">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汇款账户名称：</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（必须是投标时使用的单位名称）</w:t>
      </w:r>
    </w:p>
    <w:p w14:paraId="023100A2">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帐号：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u w:val="single"/>
        </w:rPr>
        <w:t>（必须是投标时使用的账号）</w:t>
      </w:r>
    </w:p>
    <w:p w14:paraId="7DDEE056">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（银行省市分行/支行）</w:t>
      </w:r>
    </w:p>
    <w:p w14:paraId="58740C22">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行 号:</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sz w:val="32"/>
          <w:szCs w:val="32"/>
        </w:rPr>
        <w:t xml:space="preserve">   </w:t>
      </w:r>
    </w:p>
    <w:p w14:paraId="11DDDBFF">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本单位谨承诺上述资料是正确、真实的，如因上述证明与事实不符导致的一切损失，本单位保证承担赔偿等一切法律责任。</w:t>
      </w:r>
    </w:p>
    <w:p w14:paraId="0B052F00">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投标保证金退回时，请按上述资料退回。</w:t>
      </w:r>
    </w:p>
    <w:p w14:paraId="5AE67C0F">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14:paraId="3109BD5B">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p w14:paraId="53FB7AC2">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p w14:paraId="4BA6166E">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12BCE3F6">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14:paraId="49E72531">
      <w:pPr>
        <w:pStyle w:val="3"/>
        <w:spacing w:line="360" w:lineRule="auto"/>
        <w:jc w:val="center"/>
        <w:rPr>
          <w:rStyle w:val="53"/>
          <w:rFonts w:hint="eastAsia" w:ascii="仿宋_GB2312" w:hAnsi="仿宋_GB2312" w:eastAsia="仿宋_GB2312" w:cs="仿宋_GB2312"/>
          <w:b/>
          <w:bCs w:val="0"/>
        </w:rPr>
      </w:pPr>
      <w:bookmarkStart w:id="318" w:name="_Toc8056"/>
      <w:r>
        <w:rPr>
          <w:rStyle w:val="53"/>
          <w:rFonts w:hint="eastAsia" w:ascii="仿宋_GB2312" w:hAnsi="仿宋_GB2312" w:eastAsia="仿宋_GB2312" w:cs="仿宋_GB2312"/>
          <w:b/>
          <w:bCs w:val="0"/>
        </w:rPr>
        <w:t>7、技术条件响应/偏离表</w:t>
      </w:r>
      <w:bookmarkEnd w:id="318"/>
    </w:p>
    <w:p w14:paraId="5C266AB7">
      <w:pPr>
        <w:spacing w:after="120" w:afterLines="50"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招标文件编号：</w:t>
      </w:r>
      <w:r>
        <w:rPr>
          <w:rFonts w:hint="eastAsia" w:ascii="仿宋_GB2312" w:hAnsi="仿宋_GB2312" w:eastAsia="仿宋_GB2312" w:cs="仿宋_GB2312"/>
          <w:sz w:val="32"/>
          <w:szCs w:val="32"/>
          <w:u w:val="single"/>
        </w:rPr>
        <w:t>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37"/>
        <w:gridCol w:w="2279"/>
        <w:gridCol w:w="2167"/>
        <w:gridCol w:w="2279"/>
      </w:tblGrid>
      <w:tr w14:paraId="52EF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5" w:type="dxa"/>
            <w:noWrap w:val="0"/>
            <w:vAlign w:val="center"/>
          </w:tcPr>
          <w:p w14:paraId="4CE1E080">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037" w:type="dxa"/>
            <w:noWrap w:val="0"/>
            <w:vAlign w:val="center"/>
          </w:tcPr>
          <w:p w14:paraId="641935A6">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产品名称</w:t>
            </w:r>
          </w:p>
        </w:tc>
        <w:tc>
          <w:tcPr>
            <w:tcW w:w="2279" w:type="dxa"/>
            <w:noWrap w:val="0"/>
            <w:vAlign w:val="center"/>
          </w:tcPr>
          <w:p w14:paraId="10714DAC">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w:t>
            </w:r>
          </w:p>
        </w:tc>
        <w:tc>
          <w:tcPr>
            <w:tcW w:w="2167" w:type="dxa"/>
            <w:noWrap w:val="0"/>
            <w:vAlign w:val="center"/>
          </w:tcPr>
          <w:p w14:paraId="069B498E">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投标响应</w:t>
            </w:r>
          </w:p>
        </w:tc>
        <w:tc>
          <w:tcPr>
            <w:tcW w:w="2279" w:type="dxa"/>
            <w:noWrap w:val="0"/>
            <w:vAlign w:val="center"/>
          </w:tcPr>
          <w:p w14:paraId="77F6ED16">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偏离对货物或服务的影响</w:t>
            </w:r>
          </w:p>
        </w:tc>
      </w:tr>
      <w:tr w14:paraId="78C5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3BFE5E54">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60D24DA1">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56028599">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33EB7874">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2BCA2DEB">
            <w:pPr>
              <w:spacing w:line="360" w:lineRule="auto"/>
              <w:ind w:right="105" w:rightChars="50"/>
              <w:rPr>
                <w:rFonts w:hint="eastAsia" w:ascii="仿宋_GB2312" w:hAnsi="仿宋_GB2312" w:eastAsia="仿宋_GB2312" w:cs="仿宋_GB2312"/>
                <w:sz w:val="32"/>
                <w:szCs w:val="32"/>
              </w:rPr>
            </w:pPr>
          </w:p>
        </w:tc>
      </w:tr>
      <w:tr w14:paraId="488E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5CFC9186">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61AB9739">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579B2487">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3105F260">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5E2E3F4E">
            <w:pPr>
              <w:spacing w:line="360" w:lineRule="auto"/>
              <w:ind w:right="105" w:rightChars="50"/>
              <w:rPr>
                <w:rFonts w:hint="eastAsia" w:ascii="仿宋_GB2312" w:hAnsi="仿宋_GB2312" w:eastAsia="仿宋_GB2312" w:cs="仿宋_GB2312"/>
                <w:sz w:val="32"/>
                <w:szCs w:val="32"/>
              </w:rPr>
            </w:pPr>
          </w:p>
        </w:tc>
      </w:tr>
      <w:tr w14:paraId="5AF8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27DA7F6D">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6B7326FE">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09DF4D86">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2CBB457B">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5C7B180E">
            <w:pPr>
              <w:spacing w:line="360" w:lineRule="auto"/>
              <w:ind w:right="105" w:rightChars="50"/>
              <w:rPr>
                <w:rFonts w:hint="eastAsia" w:ascii="仿宋_GB2312" w:hAnsi="仿宋_GB2312" w:eastAsia="仿宋_GB2312" w:cs="仿宋_GB2312"/>
                <w:sz w:val="32"/>
                <w:szCs w:val="32"/>
              </w:rPr>
            </w:pPr>
          </w:p>
        </w:tc>
      </w:tr>
      <w:tr w14:paraId="3E08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129B197C">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6E567AD7">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7120B237">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1AD291E4">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2DD199A9">
            <w:pPr>
              <w:spacing w:line="360" w:lineRule="auto"/>
              <w:ind w:right="105" w:rightChars="50"/>
              <w:rPr>
                <w:rFonts w:hint="eastAsia" w:ascii="仿宋_GB2312" w:hAnsi="仿宋_GB2312" w:eastAsia="仿宋_GB2312" w:cs="仿宋_GB2312"/>
                <w:sz w:val="32"/>
                <w:szCs w:val="32"/>
              </w:rPr>
            </w:pPr>
          </w:p>
        </w:tc>
      </w:tr>
      <w:tr w14:paraId="4593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7B8E46C3">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69475BA6">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42E35866">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5623AF1D">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33AFDA3F">
            <w:pPr>
              <w:spacing w:line="360" w:lineRule="auto"/>
              <w:ind w:right="105" w:rightChars="50"/>
              <w:rPr>
                <w:rFonts w:hint="eastAsia" w:ascii="仿宋_GB2312" w:hAnsi="仿宋_GB2312" w:eastAsia="仿宋_GB2312" w:cs="仿宋_GB2312"/>
                <w:sz w:val="32"/>
                <w:szCs w:val="32"/>
              </w:rPr>
            </w:pPr>
          </w:p>
        </w:tc>
      </w:tr>
      <w:tr w14:paraId="4B55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1F72C58B">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012CB892">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1B7EBB44">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54FF0EA8">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39C574B9">
            <w:pPr>
              <w:spacing w:line="360" w:lineRule="auto"/>
              <w:ind w:right="105" w:rightChars="50"/>
              <w:rPr>
                <w:rFonts w:hint="eastAsia" w:ascii="仿宋_GB2312" w:hAnsi="仿宋_GB2312" w:eastAsia="仿宋_GB2312" w:cs="仿宋_GB2312"/>
                <w:sz w:val="32"/>
                <w:szCs w:val="32"/>
              </w:rPr>
            </w:pPr>
          </w:p>
        </w:tc>
      </w:tr>
      <w:tr w14:paraId="2F5C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08A6C18A">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5A0F5213">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04599D51">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0AFEB4A1">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21753D9E">
            <w:pPr>
              <w:spacing w:line="360" w:lineRule="auto"/>
              <w:ind w:right="105" w:rightChars="50"/>
              <w:rPr>
                <w:rFonts w:hint="eastAsia" w:ascii="仿宋_GB2312" w:hAnsi="仿宋_GB2312" w:eastAsia="仿宋_GB2312" w:cs="仿宋_GB2312"/>
                <w:sz w:val="32"/>
                <w:szCs w:val="32"/>
              </w:rPr>
            </w:pPr>
          </w:p>
        </w:tc>
      </w:tr>
    </w:tbl>
    <w:p w14:paraId="2C1F2229">
      <w:pPr>
        <w:spacing w:line="360" w:lineRule="auto"/>
        <w:ind w:right="105" w:right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注：根据招标文件技术参数要求逐条对应填写，投标人必须根据所提供的</w:t>
      </w:r>
      <w:r>
        <w:rPr>
          <w:rFonts w:hint="eastAsia" w:ascii="仿宋_GB2312" w:hAnsi="仿宋_GB2312" w:eastAsia="仿宋_GB2312" w:cs="仿宋_GB2312"/>
          <w:bCs/>
          <w:sz w:val="32"/>
          <w:szCs w:val="32"/>
        </w:rPr>
        <w:t>相应服务内容如</w:t>
      </w:r>
      <w:r>
        <w:rPr>
          <w:rFonts w:hint="eastAsia" w:ascii="仿宋_GB2312" w:hAnsi="仿宋_GB2312" w:eastAsia="仿宋_GB2312" w:cs="仿宋_GB2312"/>
          <w:sz w:val="32"/>
          <w:szCs w:val="32"/>
        </w:rPr>
        <w:t>实填写，不得虚假响应，否则将取消其投标或中标资格，并按有关规定进行处罚。</w:t>
      </w:r>
    </w:p>
    <w:p w14:paraId="22E317FE">
      <w:pPr>
        <w:pStyle w:val="4"/>
        <w:spacing w:line="360" w:lineRule="auto"/>
        <w:rPr>
          <w:rFonts w:hint="eastAsia" w:ascii="仿宋_GB2312" w:hAnsi="仿宋_GB2312" w:eastAsia="仿宋_GB2312" w:cs="仿宋_GB2312"/>
          <w:sz w:val="32"/>
          <w:szCs w:val="32"/>
        </w:rPr>
      </w:pPr>
    </w:p>
    <w:p w14:paraId="54802D69">
      <w:pPr>
        <w:spacing w:line="360" w:lineRule="auto"/>
        <w:rPr>
          <w:rFonts w:hint="eastAsia" w:ascii="仿宋_GB2312" w:hAnsi="仿宋_GB2312" w:eastAsia="仿宋_GB2312" w:cs="仿宋_GB2312"/>
          <w:sz w:val="32"/>
          <w:szCs w:val="32"/>
        </w:rPr>
      </w:pPr>
    </w:p>
    <w:p w14:paraId="1E6D78AD">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投标人代表签字或盖章：</w:t>
      </w:r>
      <w:r>
        <w:rPr>
          <w:rFonts w:hint="eastAsia" w:ascii="仿宋_GB2312" w:hAnsi="仿宋_GB2312" w:eastAsia="仿宋_GB2312" w:cs="仿宋_GB2312"/>
          <w:sz w:val="32"/>
          <w:szCs w:val="32"/>
          <w:u w:val="single"/>
        </w:rPr>
        <w:t>　　　　　　　　　　　　　　　</w:t>
      </w:r>
    </w:p>
    <w:p w14:paraId="1C44C325">
      <w:pPr>
        <w:pStyle w:val="16"/>
        <w:spacing w:line="360" w:lineRule="auto"/>
        <w:rPr>
          <w:rFonts w:hint="eastAsia" w:ascii="仿宋_GB2312" w:hAnsi="仿宋_GB2312" w:eastAsia="仿宋_GB2312" w:cs="仿宋_GB2312"/>
          <w:sz w:val="32"/>
          <w:szCs w:val="32"/>
        </w:rPr>
      </w:pPr>
    </w:p>
    <w:p w14:paraId="70577269">
      <w:pPr>
        <w:pStyle w:val="16"/>
        <w:spacing w:line="360" w:lineRule="auto"/>
        <w:rPr>
          <w:rFonts w:hint="eastAsia" w:ascii="仿宋_GB2312" w:hAnsi="仿宋_GB2312" w:eastAsia="仿宋_GB2312" w:cs="仿宋_GB2312"/>
          <w:sz w:val="32"/>
          <w:szCs w:val="32"/>
        </w:rPr>
      </w:pPr>
    </w:p>
    <w:p w14:paraId="76FA5650">
      <w:pPr>
        <w:pStyle w:val="3"/>
        <w:spacing w:line="360" w:lineRule="auto"/>
        <w:jc w:val="center"/>
        <w:rPr>
          <w:rStyle w:val="53"/>
          <w:rFonts w:hint="eastAsia" w:ascii="仿宋_GB2312" w:hAnsi="仿宋_GB2312" w:eastAsia="仿宋_GB2312" w:cs="仿宋_GB2312"/>
          <w:b/>
          <w:bCs w:val="0"/>
        </w:rPr>
      </w:pPr>
      <w:bookmarkStart w:id="319" w:name="_Toc7233"/>
      <w:r>
        <w:rPr>
          <w:rStyle w:val="53"/>
          <w:rFonts w:hint="eastAsia" w:ascii="仿宋_GB2312" w:hAnsi="仿宋_GB2312" w:eastAsia="仿宋_GB2312" w:cs="仿宋_GB2312"/>
          <w:b/>
          <w:bCs w:val="0"/>
        </w:rPr>
        <w:t>8、商务条件响应/偏离表</w:t>
      </w:r>
      <w:bookmarkEnd w:id="319"/>
    </w:p>
    <w:p w14:paraId="61A21DCC">
      <w:pPr>
        <w:spacing w:after="120" w:afterLines="50"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招标文件编号：</w:t>
      </w:r>
      <w:r>
        <w:rPr>
          <w:rFonts w:hint="eastAsia" w:ascii="仿宋_GB2312" w:hAnsi="仿宋_GB2312" w:eastAsia="仿宋_GB2312" w:cs="仿宋_GB2312"/>
          <w:sz w:val="32"/>
          <w:szCs w:val="32"/>
          <w:u w:val="single"/>
        </w:rPr>
        <w:t>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6D09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center"/>
          </w:tcPr>
          <w:p w14:paraId="47BBA601">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704" w:type="dxa"/>
            <w:noWrap w:val="0"/>
            <w:vAlign w:val="center"/>
          </w:tcPr>
          <w:p w14:paraId="11D97538">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w:t>
            </w:r>
          </w:p>
        </w:tc>
        <w:tc>
          <w:tcPr>
            <w:tcW w:w="1704" w:type="dxa"/>
            <w:noWrap w:val="0"/>
            <w:vAlign w:val="center"/>
          </w:tcPr>
          <w:p w14:paraId="4FBD450D">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投标文件响应</w:t>
            </w:r>
          </w:p>
        </w:tc>
        <w:tc>
          <w:tcPr>
            <w:tcW w:w="1705" w:type="dxa"/>
            <w:noWrap w:val="0"/>
            <w:vAlign w:val="center"/>
          </w:tcPr>
          <w:p w14:paraId="39868D75">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响应/偏离</w:t>
            </w:r>
          </w:p>
        </w:tc>
        <w:tc>
          <w:tcPr>
            <w:tcW w:w="1705" w:type="dxa"/>
            <w:noWrap w:val="0"/>
            <w:vAlign w:val="center"/>
          </w:tcPr>
          <w:p w14:paraId="1FAD7BB2">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tc>
      </w:tr>
      <w:tr w14:paraId="1B62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6C5834DF">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704" w:type="dxa"/>
            <w:noWrap w:val="0"/>
            <w:vAlign w:val="top"/>
          </w:tcPr>
          <w:p w14:paraId="51E5FE1B">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供货服务期限</w:t>
            </w:r>
          </w:p>
        </w:tc>
        <w:tc>
          <w:tcPr>
            <w:tcW w:w="1704" w:type="dxa"/>
            <w:noWrap w:val="0"/>
            <w:vAlign w:val="top"/>
          </w:tcPr>
          <w:p w14:paraId="28C762F0">
            <w:pPr>
              <w:spacing w:line="360" w:lineRule="auto"/>
              <w:rPr>
                <w:rFonts w:hint="eastAsia" w:ascii="仿宋_GB2312" w:hAnsi="仿宋_GB2312" w:eastAsia="仿宋_GB2312" w:cs="仿宋_GB2312"/>
                <w:sz w:val="32"/>
                <w:szCs w:val="32"/>
              </w:rPr>
            </w:pPr>
          </w:p>
        </w:tc>
        <w:tc>
          <w:tcPr>
            <w:tcW w:w="1705" w:type="dxa"/>
            <w:noWrap w:val="0"/>
            <w:vAlign w:val="top"/>
          </w:tcPr>
          <w:p w14:paraId="6E3D5C10">
            <w:pPr>
              <w:spacing w:line="360" w:lineRule="auto"/>
              <w:rPr>
                <w:rFonts w:hint="eastAsia" w:ascii="仿宋_GB2312" w:hAnsi="仿宋_GB2312" w:eastAsia="仿宋_GB2312" w:cs="仿宋_GB2312"/>
                <w:sz w:val="32"/>
                <w:szCs w:val="32"/>
              </w:rPr>
            </w:pPr>
          </w:p>
        </w:tc>
        <w:tc>
          <w:tcPr>
            <w:tcW w:w="1705" w:type="dxa"/>
            <w:noWrap w:val="0"/>
            <w:vAlign w:val="top"/>
          </w:tcPr>
          <w:p w14:paraId="04BDB54B">
            <w:pPr>
              <w:spacing w:line="360" w:lineRule="auto"/>
              <w:rPr>
                <w:rFonts w:hint="eastAsia" w:ascii="仿宋_GB2312" w:hAnsi="仿宋_GB2312" w:eastAsia="仿宋_GB2312" w:cs="仿宋_GB2312"/>
                <w:sz w:val="32"/>
                <w:szCs w:val="32"/>
              </w:rPr>
            </w:pPr>
          </w:p>
        </w:tc>
      </w:tr>
      <w:tr w14:paraId="4DD7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0B999FC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704" w:type="dxa"/>
            <w:noWrap w:val="0"/>
            <w:vAlign w:val="top"/>
          </w:tcPr>
          <w:p w14:paraId="06293DCE">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供货地点</w:t>
            </w:r>
          </w:p>
        </w:tc>
        <w:tc>
          <w:tcPr>
            <w:tcW w:w="1704" w:type="dxa"/>
            <w:noWrap w:val="0"/>
            <w:vAlign w:val="top"/>
          </w:tcPr>
          <w:p w14:paraId="17CF5360">
            <w:pPr>
              <w:spacing w:line="360" w:lineRule="auto"/>
              <w:rPr>
                <w:rFonts w:hint="eastAsia" w:ascii="仿宋_GB2312" w:hAnsi="仿宋_GB2312" w:eastAsia="仿宋_GB2312" w:cs="仿宋_GB2312"/>
                <w:sz w:val="32"/>
                <w:szCs w:val="32"/>
              </w:rPr>
            </w:pPr>
          </w:p>
        </w:tc>
        <w:tc>
          <w:tcPr>
            <w:tcW w:w="1705" w:type="dxa"/>
            <w:noWrap w:val="0"/>
            <w:vAlign w:val="top"/>
          </w:tcPr>
          <w:p w14:paraId="5B103D8C">
            <w:pPr>
              <w:spacing w:line="360" w:lineRule="auto"/>
              <w:rPr>
                <w:rFonts w:hint="eastAsia" w:ascii="仿宋_GB2312" w:hAnsi="仿宋_GB2312" w:eastAsia="仿宋_GB2312" w:cs="仿宋_GB2312"/>
                <w:sz w:val="32"/>
                <w:szCs w:val="32"/>
              </w:rPr>
            </w:pPr>
          </w:p>
        </w:tc>
        <w:tc>
          <w:tcPr>
            <w:tcW w:w="1705" w:type="dxa"/>
            <w:noWrap w:val="0"/>
            <w:vAlign w:val="top"/>
          </w:tcPr>
          <w:p w14:paraId="28952D86">
            <w:pPr>
              <w:spacing w:line="360" w:lineRule="auto"/>
              <w:rPr>
                <w:rFonts w:hint="eastAsia" w:ascii="仿宋_GB2312" w:hAnsi="仿宋_GB2312" w:eastAsia="仿宋_GB2312" w:cs="仿宋_GB2312"/>
                <w:sz w:val="32"/>
                <w:szCs w:val="32"/>
              </w:rPr>
            </w:pPr>
          </w:p>
        </w:tc>
      </w:tr>
      <w:tr w14:paraId="7E25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0A449662">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704" w:type="dxa"/>
            <w:noWrap w:val="0"/>
            <w:vAlign w:val="top"/>
          </w:tcPr>
          <w:p w14:paraId="43E10F23">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w:t>
            </w:r>
          </w:p>
        </w:tc>
        <w:tc>
          <w:tcPr>
            <w:tcW w:w="1704" w:type="dxa"/>
            <w:noWrap w:val="0"/>
            <w:vAlign w:val="top"/>
          </w:tcPr>
          <w:p w14:paraId="50B36BBE">
            <w:pPr>
              <w:spacing w:line="360" w:lineRule="auto"/>
              <w:rPr>
                <w:rFonts w:hint="eastAsia" w:ascii="仿宋_GB2312" w:hAnsi="仿宋_GB2312" w:eastAsia="仿宋_GB2312" w:cs="仿宋_GB2312"/>
                <w:sz w:val="32"/>
                <w:szCs w:val="32"/>
              </w:rPr>
            </w:pPr>
          </w:p>
        </w:tc>
        <w:tc>
          <w:tcPr>
            <w:tcW w:w="1705" w:type="dxa"/>
            <w:noWrap w:val="0"/>
            <w:vAlign w:val="top"/>
          </w:tcPr>
          <w:p w14:paraId="5D366BBA">
            <w:pPr>
              <w:spacing w:line="360" w:lineRule="auto"/>
              <w:rPr>
                <w:rFonts w:hint="eastAsia" w:ascii="仿宋_GB2312" w:hAnsi="仿宋_GB2312" w:eastAsia="仿宋_GB2312" w:cs="仿宋_GB2312"/>
                <w:sz w:val="32"/>
                <w:szCs w:val="32"/>
              </w:rPr>
            </w:pPr>
          </w:p>
        </w:tc>
        <w:tc>
          <w:tcPr>
            <w:tcW w:w="1705" w:type="dxa"/>
            <w:noWrap w:val="0"/>
            <w:vAlign w:val="top"/>
          </w:tcPr>
          <w:p w14:paraId="498C6E92">
            <w:pPr>
              <w:spacing w:line="360" w:lineRule="auto"/>
              <w:rPr>
                <w:rFonts w:hint="eastAsia" w:ascii="仿宋_GB2312" w:hAnsi="仿宋_GB2312" w:eastAsia="仿宋_GB2312" w:cs="仿宋_GB2312"/>
                <w:sz w:val="32"/>
                <w:szCs w:val="32"/>
              </w:rPr>
            </w:pPr>
          </w:p>
        </w:tc>
      </w:tr>
      <w:tr w14:paraId="6159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7D10530E">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704" w:type="dxa"/>
            <w:noWrap w:val="0"/>
            <w:vAlign w:val="top"/>
          </w:tcPr>
          <w:p w14:paraId="41126962">
            <w:pPr>
              <w:spacing w:line="360" w:lineRule="auto"/>
              <w:jc w:val="center"/>
              <w:rPr>
                <w:rFonts w:ascii="仿宋_GB2312" w:hAnsi="仿宋_GB2312" w:eastAsia="仿宋_GB2312" w:cs="仿宋_GB2312"/>
                <w:sz w:val="32"/>
                <w:szCs w:val="32"/>
              </w:rPr>
            </w:pPr>
          </w:p>
        </w:tc>
        <w:tc>
          <w:tcPr>
            <w:tcW w:w="1704" w:type="dxa"/>
            <w:noWrap w:val="0"/>
            <w:vAlign w:val="top"/>
          </w:tcPr>
          <w:p w14:paraId="7839CA9B">
            <w:pPr>
              <w:spacing w:line="360" w:lineRule="auto"/>
              <w:rPr>
                <w:rFonts w:hint="eastAsia" w:ascii="仿宋_GB2312" w:hAnsi="仿宋_GB2312" w:eastAsia="仿宋_GB2312" w:cs="仿宋_GB2312"/>
                <w:sz w:val="32"/>
                <w:szCs w:val="32"/>
              </w:rPr>
            </w:pPr>
          </w:p>
        </w:tc>
        <w:tc>
          <w:tcPr>
            <w:tcW w:w="1705" w:type="dxa"/>
            <w:noWrap w:val="0"/>
            <w:vAlign w:val="top"/>
          </w:tcPr>
          <w:p w14:paraId="2A3B3CF6">
            <w:pPr>
              <w:spacing w:line="360" w:lineRule="auto"/>
              <w:rPr>
                <w:rFonts w:hint="eastAsia" w:ascii="仿宋_GB2312" w:hAnsi="仿宋_GB2312" w:eastAsia="仿宋_GB2312" w:cs="仿宋_GB2312"/>
                <w:sz w:val="32"/>
                <w:szCs w:val="32"/>
              </w:rPr>
            </w:pPr>
          </w:p>
        </w:tc>
        <w:tc>
          <w:tcPr>
            <w:tcW w:w="1705" w:type="dxa"/>
            <w:noWrap w:val="0"/>
            <w:vAlign w:val="top"/>
          </w:tcPr>
          <w:p w14:paraId="07C18049">
            <w:pPr>
              <w:spacing w:line="360" w:lineRule="auto"/>
              <w:rPr>
                <w:rFonts w:hint="eastAsia" w:ascii="仿宋_GB2312" w:hAnsi="仿宋_GB2312" w:eastAsia="仿宋_GB2312" w:cs="仿宋_GB2312"/>
                <w:sz w:val="32"/>
                <w:szCs w:val="32"/>
              </w:rPr>
            </w:pPr>
          </w:p>
        </w:tc>
      </w:tr>
      <w:tr w14:paraId="1071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51F242E6">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704" w:type="dxa"/>
            <w:noWrap w:val="0"/>
            <w:vAlign w:val="top"/>
          </w:tcPr>
          <w:p w14:paraId="79C00772">
            <w:pPr>
              <w:spacing w:line="360" w:lineRule="auto"/>
              <w:rPr>
                <w:rFonts w:hint="eastAsia" w:ascii="仿宋_GB2312" w:hAnsi="仿宋_GB2312" w:eastAsia="仿宋_GB2312" w:cs="仿宋_GB2312"/>
                <w:sz w:val="32"/>
                <w:szCs w:val="32"/>
              </w:rPr>
            </w:pPr>
          </w:p>
        </w:tc>
        <w:tc>
          <w:tcPr>
            <w:tcW w:w="1704" w:type="dxa"/>
            <w:noWrap w:val="0"/>
            <w:vAlign w:val="top"/>
          </w:tcPr>
          <w:p w14:paraId="01362F0F">
            <w:pPr>
              <w:spacing w:line="360" w:lineRule="auto"/>
              <w:rPr>
                <w:rFonts w:hint="eastAsia" w:ascii="仿宋_GB2312" w:hAnsi="仿宋_GB2312" w:eastAsia="仿宋_GB2312" w:cs="仿宋_GB2312"/>
                <w:sz w:val="32"/>
                <w:szCs w:val="32"/>
              </w:rPr>
            </w:pPr>
          </w:p>
        </w:tc>
        <w:tc>
          <w:tcPr>
            <w:tcW w:w="1705" w:type="dxa"/>
            <w:noWrap w:val="0"/>
            <w:vAlign w:val="top"/>
          </w:tcPr>
          <w:p w14:paraId="01D68EC6">
            <w:pPr>
              <w:spacing w:line="360" w:lineRule="auto"/>
              <w:rPr>
                <w:rFonts w:hint="eastAsia" w:ascii="仿宋_GB2312" w:hAnsi="仿宋_GB2312" w:eastAsia="仿宋_GB2312" w:cs="仿宋_GB2312"/>
                <w:sz w:val="32"/>
                <w:szCs w:val="32"/>
              </w:rPr>
            </w:pPr>
          </w:p>
        </w:tc>
        <w:tc>
          <w:tcPr>
            <w:tcW w:w="1705" w:type="dxa"/>
            <w:noWrap w:val="0"/>
            <w:vAlign w:val="top"/>
          </w:tcPr>
          <w:p w14:paraId="4F3EE91B">
            <w:pPr>
              <w:spacing w:line="360" w:lineRule="auto"/>
              <w:rPr>
                <w:rFonts w:hint="eastAsia" w:ascii="仿宋_GB2312" w:hAnsi="仿宋_GB2312" w:eastAsia="仿宋_GB2312" w:cs="仿宋_GB2312"/>
                <w:sz w:val="32"/>
                <w:szCs w:val="32"/>
              </w:rPr>
            </w:pPr>
          </w:p>
        </w:tc>
      </w:tr>
      <w:tr w14:paraId="099E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51E982AF">
            <w:pPr>
              <w:spacing w:line="360" w:lineRule="auto"/>
              <w:jc w:val="center"/>
              <w:rPr>
                <w:rFonts w:hint="eastAsia" w:ascii="仿宋_GB2312" w:hAnsi="仿宋_GB2312" w:eastAsia="仿宋_GB2312" w:cs="仿宋_GB2312"/>
                <w:sz w:val="32"/>
                <w:szCs w:val="32"/>
              </w:rPr>
            </w:pPr>
          </w:p>
        </w:tc>
        <w:tc>
          <w:tcPr>
            <w:tcW w:w="1704" w:type="dxa"/>
            <w:noWrap w:val="0"/>
            <w:vAlign w:val="top"/>
          </w:tcPr>
          <w:p w14:paraId="6DA0A0D5">
            <w:pPr>
              <w:spacing w:line="360" w:lineRule="auto"/>
              <w:rPr>
                <w:rFonts w:hint="eastAsia" w:ascii="仿宋_GB2312" w:hAnsi="仿宋_GB2312" w:eastAsia="仿宋_GB2312" w:cs="仿宋_GB2312"/>
                <w:sz w:val="32"/>
                <w:szCs w:val="32"/>
              </w:rPr>
            </w:pPr>
          </w:p>
        </w:tc>
        <w:tc>
          <w:tcPr>
            <w:tcW w:w="1704" w:type="dxa"/>
            <w:noWrap w:val="0"/>
            <w:vAlign w:val="top"/>
          </w:tcPr>
          <w:p w14:paraId="771A7FAC">
            <w:pPr>
              <w:spacing w:line="360" w:lineRule="auto"/>
              <w:rPr>
                <w:rFonts w:hint="eastAsia" w:ascii="仿宋_GB2312" w:hAnsi="仿宋_GB2312" w:eastAsia="仿宋_GB2312" w:cs="仿宋_GB2312"/>
                <w:sz w:val="32"/>
                <w:szCs w:val="32"/>
              </w:rPr>
            </w:pPr>
          </w:p>
        </w:tc>
        <w:tc>
          <w:tcPr>
            <w:tcW w:w="1705" w:type="dxa"/>
            <w:noWrap w:val="0"/>
            <w:vAlign w:val="top"/>
          </w:tcPr>
          <w:p w14:paraId="08F74666">
            <w:pPr>
              <w:spacing w:line="360" w:lineRule="auto"/>
              <w:rPr>
                <w:rFonts w:hint="eastAsia" w:ascii="仿宋_GB2312" w:hAnsi="仿宋_GB2312" w:eastAsia="仿宋_GB2312" w:cs="仿宋_GB2312"/>
                <w:sz w:val="32"/>
                <w:szCs w:val="32"/>
              </w:rPr>
            </w:pPr>
          </w:p>
        </w:tc>
        <w:tc>
          <w:tcPr>
            <w:tcW w:w="1705" w:type="dxa"/>
            <w:noWrap w:val="0"/>
            <w:vAlign w:val="top"/>
          </w:tcPr>
          <w:p w14:paraId="40E7CF81">
            <w:pPr>
              <w:spacing w:line="360" w:lineRule="auto"/>
              <w:rPr>
                <w:rFonts w:hint="eastAsia" w:ascii="仿宋_GB2312" w:hAnsi="仿宋_GB2312" w:eastAsia="仿宋_GB2312" w:cs="仿宋_GB2312"/>
                <w:sz w:val="32"/>
                <w:szCs w:val="32"/>
              </w:rPr>
            </w:pPr>
          </w:p>
        </w:tc>
      </w:tr>
    </w:tbl>
    <w:p w14:paraId="5146720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注：与招标文件要求逐条对应填写。</w:t>
      </w:r>
    </w:p>
    <w:p w14:paraId="16E96FB4">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w:t>
      </w:r>
      <w:r>
        <w:rPr>
          <w:rFonts w:hint="eastAsia" w:ascii="仿宋_GB2312" w:hAnsi="仿宋_GB2312" w:eastAsia="仿宋_GB2312" w:cs="仿宋_GB2312"/>
          <w:sz w:val="32"/>
          <w:szCs w:val="32"/>
          <w:u w:val="single"/>
        </w:rPr>
        <w:t>　　　　　　　　　　　　　　　</w:t>
      </w:r>
    </w:p>
    <w:p w14:paraId="48225C8C">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br w:type="page"/>
      </w:r>
      <w:r>
        <w:rPr>
          <w:rStyle w:val="53"/>
          <w:rFonts w:hint="eastAsia" w:ascii="仿宋_GB2312" w:hAnsi="仿宋_GB2312" w:eastAsia="仿宋_GB2312" w:cs="仿宋_GB2312"/>
          <w:bCs w:val="0"/>
        </w:rPr>
        <w:t>9、相应的资格证明文件以及商务因素、技术因素、服务因素所需证明资料（包括不限于企业简介、企业相关证件等）（格式自拟）</w:t>
      </w:r>
    </w:p>
    <w:p w14:paraId="05BE38CC">
      <w:pPr>
        <w:spacing w:line="360" w:lineRule="auto"/>
        <w:rPr>
          <w:rFonts w:hint="eastAsia" w:ascii="仿宋_GB2312" w:hAnsi="仿宋_GB2312" w:eastAsia="仿宋_GB2312" w:cs="仿宋_GB2312"/>
          <w:sz w:val="32"/>
          <w:szCs w:val="32"/>
        </w:rPr>
      </w:pPr>
    </w:p>
    <w:p w14:paraId="00405B8B">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3F6C938">
      <w:pPr>
        <w:pStyle w:val="75"/>
        <w:spacing w:line="360" w:lineRule="auto"/>
        <w:ind w:left="0" w:leftChars="0" w:firstLine="0" w:firstLineChars="0"/>
        <w:jc w:val="center"/>
        <w:rPr>
          <w:rFonts w:hint="eastAsia" w:hAnsi="仿宋_GB2312" w:cs="仿宋_GB2312"/>
          <w:b/>
          <w:sz w:val="32"/>
          <w:szCs w:val="32"/>
        </w:rPr>
      </w:pPr>
      <w:bookmarkStart w:id="320" w:name="_Toc5499"/>
      <w:r>
        <w:rPr>
          <w:rStyle w:val="53"/>
          <w:rFonts w:hint="eastAsia" w:hAnsi="仿宋_GB2312" w:cs="仿宋_GB2312"/>
          <w:bCs w:val="0"/>
        </w:rPr>
        <w:t>10</w:t>
      </w:r>
      <w:r>
        <w:rPr>
          <w:rStyle w:val="53"/>
          <w:rFonts w:hint="eastAsia" w:hAnsi="仿宋_GB2312" w:eastAsia="仿宋_GB2312" w:cs="仿宋_GB2312"/>
          <w:bCs w:val="0"/>
        </w:rPr>
        <w:t>、</w:t>
      </w:r>
      <w:bookmarkEnd w:id="320"/>
      <w:r>
        <w:rPr>
          <w:rFonts w:hint="eastAsia" w:hAnsi="仿宋_GB2312" w:cs="仿宋_GB2312"/>
          <w:b/>
          <w:sz w:val="32"/>
          <w:szCs w:val="32"/>
        </w:rPr>
        <w:t>投</w:t>
      </w:r>
      <w:r>
        <w:rPr>
          <w:rFonts w:hint="eastAsia" w:hAnsi="仿宋_GB2312" w:cs="仿宋_GB2312"/>
          <w:b/>
          <w:sz w:val="32"/>
          <w:szCs w:val="32"/>
          <w:highlight w:val="none"/>
        </w:rPr>
        <w:t>标人近三年（2023年0</w:t>
      </w:r>
      <w:r>
        <w:rPr>
          <w:rFonts w:hint="eastAsia" w:hAnsi="仿宋_GB2312" w:cs="仿宋_GB2312"/>
          <w:b/>
          <w:sz w:val="32"/>
          <w:szCs w:val="32"/>
          <w:highlight w:val="none"/>
          <w:lang w:val="en-US" w:eastAsia="zh-CN"/>
        </w:rPr>
        <w:t>6</w:t>
      </w:r>
      <w:r>
        <w:rPr>
          <w:rFonts w:hint="eastAsia" w:hAnsi="仿宋_GB2312" w:cs="仿宋_GB2312"/>
          <w:b/>
          <w:sz w:val="32"/>
          <w:szCs w:val="32"/>
          <w:highlight w:val="none"/>
        </w:rPr>
        <w:t>月01日至今）类似项目业绩（附中标通知书</w:t>
      </w:r>
      <w:r>
        <w:rPr>
          <w:rFonts w:hint="eastAsia" w:hAnsi="仿宋_GB2312" w:cs="仿宋_GB2312"/>
          <w:b/>
          <w:sz w:val="32"/>
          <w:szCs w:val="32"/>
          <w:highlight w:val="none"/>
          <w:lang w:val="en-US" w:eastAsia="zh-CN"/>
        </w:rPr>
        <w:t>和</w:t>
      </w:r>
      <w:r>
        <w:rPr>
          <w:rFonts w:hint="eastAsia" w:hAnsi="仿宋_GB2312" w:cs="仿宋_GB2312"/>
          <w:b/>
          <w:sz w:val="32"/>
          <w:szCs w:val="32"/>
          <w:highlight w:val="none"/>
          <w:lang w:eastAsia="zh-CN"/>
        </w:rPr>
        <w:t>采购合同及验收单（或甲方评价意见表</w:t>
      </w:r>
      <w:r>
        <w:rPr>
          <w:rFonts w:hint="eastAsia" w:hAnsi="仿宋_GB2312" w:cs="仿宋_GB2312"/>
          <w:b/>
          <w:sz w:val="32"/>
          <w:szCs w:val="32"/>
          <w:highlight w:val="none"/>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12"/>
        <w:gridCol w:w="1512"/>
        <w:gridCol w:w="1512"/>
        <w:gridCol w:w="1514"/>
        <w:gridCol w:w="1514"/>
      </w:tblGrid>
      <w:tr w14:paraId="33BA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7D49F95C">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序号</w:t>
            </w:r>
          </w:p>
        </w:tc>
        <w:tc>
          <w:tcPr>
            <w:tcW w:w="1512" w:type="dxa"/>
            <w:noWrap w:val="0"/>
            <w:vAlign w:val="center"/>
          </w:tcPr>
          <w:p w14:paraId="218C0FCB">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项目名称</w:t>
            </w:r>
          </w:p>
        </w:tc>
        <w:tc>
          <w:tcPr>
            <w:tcW w:w="1512" w:type="dxa"/>
            <w:noWrap w:val="0"/>
            <w:vAlign w:val="center"/>
          </w:tcPr>
          <w:p w14:paraId="0E37631C">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项目内容</w:t>
            </w:r>
          </w:p>
        </w:tc>
        <w:tc>
          <w:tcPr>
            <w:tcW w:w="1512" w:type="dxa"/>
            <w:noWrap w:val="0"/>
            <w:vAlign w:val="center"/>
          </w:tcPr>
          <w:p w14:paraId="7A794273">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合同总价</w:t>
            </w:r>
          </w:p>
        </w:tc>
        <w:tc>
          <w:tcPr>
            <w:tcW w:w="1514" w:type="dxa"/>
            <w:noWrap w:val="0"/>
            <w:vAlign w:val="center"/>
          </w:tcPr>
          <w:p w14:paraId="0358D652">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完成时间</w:t>
            </w:r>
          </w:p>
        </w:tc>
        <w:tc>
          <w:tcPr>
            <w:tcW w:w="1514" w:type="dxa"/>
            <w:noWrap w:val="0"/>
            <w:vAlign w:val="center"/>
          </w:tcPr>
          <w:p w14:paraId="5019A7B9">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备注</w:t>
            </w:r>
          </w:p>
        </w:tc>
      </w:tr>
      <w:tr w14:paraId="4EEA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0C10CCD1">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96982F5">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BA4E2C9">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7595B1E">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0DD3A813">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1674DCF5">
            <w:pPr>
              <w:pStyle w:val="19"/>
              <w:spacing w:line="360" w:lineRule="auto"/>
              <w:jc w:val="center"/>
              <w:rPr>
                <w:rFonts w:hint="eastAsia" w:ascii="仿宋_GB2312" w:hAnsi="仿宋_GB2312" w:eastAsia="仿宋_GB2312" w:cs="仿宋_GB2312"/>
                <w:kern w:val="2"/>
                <w:sz w:val="32"/>
                <w:szCs w:val="32"/>
                <w:lang w:val="en-US" w:eastAsia="zh-CN"/>
              </w:rPr>
            </w:pPr>
          </w:p>
        </w:tc>
      </w:tr>
      <w:tr w14:paraId="63A5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61500B45">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19D4EE3">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7B4F6FBB">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75C95275">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0615E147">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5510EE4F">
            <w:pPr>
              <w:pStyle w:val="19"/>
              <w:spacing w:line="360" w:lineRule="auto"/>
              <w:jc w:val="center"/>
              <w:rPr>
                <w:rFonts w:hint="eastAsia" w:ascii="仿宋_GB2312" w:hAnsi="仿宋_GB2312" w:eastAsia="仿宋_GB2312" w:cs="仿宋_GB2312"/>
                <w:kern w:val="2"/>
                <w:sz w:val="32"/>
                <w:szCs w:val="32"/>
                <w:lang w:val="en-US" w:eastAsia="zh-CN"/>
              </w:rPr>
            </w:pPr>
          </w:p>
        </w:tc>
      </w:tr>
      <w:tr w14:paraId="4EAB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48C9D6C3">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FF96402">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2117F5C">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7F4BAF9B">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3863F33B">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32D19040">
            <w:pPr>
              <w:pStyle w:val="19"/>
              <w:spacing w:line="360" w:lineRule="auto"/>
              <w:jc w:val="center"/>
              <w:rPr>
                <w:rFonts w:hint="eastAsia" w:ascii="仿宋_GB2312" w:hAnsi="仿宋_GB2312" w:eastAsia="仿宋_GB2312" w:cs="仿宋_GB2312"/>
                <w:kern w:val="2"/>
                <w:sz w:val="32"/>
                <w:szCs w:val="32"/>
                <w:lang w:val="en-US" w:eastAsia="zh-CN"/>
              </w:rPr>
            </w:pPr>
          </w:p>
        </w:tc>
      </w:tr>
      <w:tr w14:paraId="38F3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6BBC5BE4">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2A4A95CF">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27143754">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73A187C4">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0E80A341">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2F858287">
            <w:pPr>
              <w:pStyle w:val="19"/>
              <w:spacing w:line="360" w:lineRule="auto"/>
              <w:jc w:val="center"/>
              <w:rPr>
                <w:rFonts w:hint="eastAsia" w:ascii="仿宋_GB2312" w:hAnsi="仿宋_GB2312" w:eastAsia="仿宋_GB2312" w:cs="仿宋_GB2312"/>
                <w:kern w:val="2"/>
                <w:sz w:val="32"/>
                <w:szCs w:val="32"/>
                <w:lang w:val="en-US" w:eastAsia="zh-CN"/>
              </w:rPr>
            </w:pPr>
          </w:p>
        </w:tc>
      </w:tr>
      <w:tr w14:paraId="172D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7344836A">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D24A5DF">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044CAC3">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830F763">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7BAA1D42">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59230294">
            <w:pPr>
              <w:pStyle w:val="19"/>
              <w:spacing w:line="360" w:lineRule="auto"/>
              <w:jc w:val="center"/>
              <w:rPr>
                <w:rFonts w:hint="eastAsia" w:ascii="仿宋_GB2312" w:hAnsi="仿宋_GB2312" w:eastAsia="仿宋_GB2312" w:cs="仿宋_GB2312"/>
                <w:kern w:val="2"/>
                <w:sz w:val="32"/>
                <w:szCs w:val="32"/>
                <w:lang w:val="en-US" w:eastAsia="zh-CN"/>
              </w:rPr>
            </w:pPr>
          </w:p>
        </w:tc>
      </w:tr>
      <w:tr w14:paraId="33B8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36488C90">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7938DF25">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1325F4D">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5FFF6A9">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6E159560">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76822929">
            <w:pPr>
              <w:pStyle w:val="19"/>
              <w:spacing w:line="360" w:lineRule="auto"/>
              <w:jc w:val="center"/>
              <w:rPr>
                <w:rFonts w:hint="eastAsia" w:ascii="仿宋_GB2312" w:hAnsi="仿宋_GB2312" w:eastAsia="仿宋_GB2312" w:cs="仿宋_GB2312"/>
                <w:kern w:val="2"/>
                <w:sz w:val="32"/>
                <w:szCs w:val="32"/>
                <w:lang w:val="en-US" w:eastAsia="zh-CN"/>
              </w:rPr>
            </w:pPr>
          </w:p>
        </w:tc>
      </w:tr>
      <w:tr w14:paraId="11B1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12" w:type="dxa"/>
            <w:noWrap w:val="0"/>
            <w:vAlign w:val="center"/>
          </w:tcPr>
          <w:p w14:paraId="1F4B5BC7">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228A47E4">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9C12A96">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3B98CB2">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4A974482">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171CEB5F">
            <w:pPr>
              <w:pStyle w:val="19"/>
              <w:spacing w:line="360" w:lineRule="auto"/>
              <w:jc w:val="center"/>
              <w:rPr>
                <w:rFonts w:hint="eastAsia" w:ascii="仿宋_GB2312" w:hAnsi="仿宋_GB2312" w:eastAsia="仿宋_GB2312" w:cs="仿宋_GB2312"/>
                <w:kern w:val="2"/>
                <w:sz w:val="32"/>
                <w:szCs w:val="32"/>
                <w:lang w:val="en-US" w:eastAsia="zh-CN"/>
              </w:rPr>
            </w:pPr>
          </w:p>
        </w:tc>
      </w:tr>
    </w:tbl>
    <w:p w14:paraId="393B56E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注：投标人填写本表的同时，</w:t>
      </w:r>
      <w:r>
        <w:rPr>
          <w:rFonts w:hint="eastAsia" w:ascii="仿宋" w:hAnsi="仿宋" w:eastAsia="仿宋" w:cs="仿宋"/>
          <w:b/>
          <w:bCs/>
          <w:sz w:val="32"/>
          <w:szCs w:val="32"/>
          <w:lang w:val="en-US" w:eastAsia="zh-CN"/>
        </w:rPr>
        <w:t>须</w:t>
      </w:r>
      <w:r>
        <w:rPr>
          <w:rFonts w:hint="eastAsia" w:ascii="仿宋" w:hAnsi="仿宋" w:eastAsia="仿宋" w:cs="仿宋"/>
          <w:b/>
          <w:bCs/>
          <w:sz w:val="32"/>
          <w:szCs w:val="32"/>
          <w:lang w:eastAsia="zh-CN"/>
        </w:rPr>
        <w:t>提供中标通知书</w:t>
      </w:r>
      <w:r>
        <w:rPr>
          <w:rFonts w:hint="eastAsia" w:ascii="仿宋" w:hAnsi="仿宋" w:eastAsia="仿宋" w:cs="仿宋"/>
          <w:b/>
          <w:bCs/>
          <w:sz w:val="32"/>
          <w:szCs w:val="32"/>
          <w:lang w:val="en-US" w:eastAsia="zh-CN"/>
        </w:rPr>
        <w:t>和</w:t>
      </w:r>
      <w:r>
        <w:rPr>
          <w:rFonts w:hint="eastAsia" w:ascii="仿宋" w:hAnsi="仿宋" w:eastAsia="仿宋" w:cs="仿宋"/>
          <w:b/>
          <w:bCs/>
          <w:sz w:val="32"/>
          <w:szCs w:val="32"/>
          <w:lang w:eastAsia="zh-CN"/>
        </w:rPr>
        <w:t>采购合同及验收单（或甲方评价意见表）原件的直接扫描件附于本表后；投标人填写的内容必须真实可靠，如有虚假</w:t>
      </w:r>
      <w:r>
        <w:rPr>
          <w:rFonts w:hint="eastAsia" w:ascii="仿宋_GB2312" w:hAnsi="仿宋_GB2312" w:eastAsia="仿宋_GB2312" w:cs="仿宋_GB2312"/>
          <w:b/>
          <w:bCs/>
          <w:sz w:val="32"/>
          <w:szCs w:val="32"/>
        </w:rPr>
        <w:t>或者隐瞒，一经查实投标将被否决</w:t>
      </w:r>
      <w:r>
        <w:rPr>
          <w:rFonts w:hint="eastAsia" w:ascii="仿宋_GB2312" w:hAnsi="仿宋_GB2312" w:eastAsia="仿宋_GB2312" w:cs="仿宋_GB2312"/>
          <w:sz w:val="32"/>
          <w:szCs w:val="32"/>
        </w:rPr>
        <w:t>。</w:t>
      </w:r>
    </w:p>
    <w:p w14:paraId="39934D2C">
      <w:pPr>
        <w:pStyle w:val="75"/>
        <w:autoSpaceDE w:val="0"/>
        <w:autoSpaceDN w:val="0"/>
        <w:adjustRightInd w:val="0"/>
        <w:spacing w:line="560" w:lineRule="exact"/>
        <w:ind w:left="0" w:leftChars="0" w:firstLine="0" w:firstLineChars="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11、技术部分包括但不限于以下内容：</w:t>
      </w:r>
      <w:r>
        <w:rPr>
          <w:rFonts w:hint="eastAsia" w:ascii="仿宋_GB2312" w:hAnsi="仿宋_GB2312" w:eastAsia="仿宋_GB2312" w:cs="仿宋_GB2312"/>
          <w:b/>
          <w:sz w:val="32"/>
          <w:szCs w:val="32"/>
          <w:lang w:val="en-US" w:eastAsia="zh-CN"/>
        </w:rPr>
        <w:t>配送方案、货源保障能力</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质量安全</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服务质量</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应急措施</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售后服务</w:t>
      </w:r>
      <w:r>
        <w:rPr>
          <w:rFonts w:hint="eastAsia" w:ascii="仿宋_GB2312" w:hAnsi="仿宋_GB2312" w:eastAsia="仿宋_GB2312" w:cs="仿宋_GB2312"/>
          <w:b/>
          <w:sz w:val="32"/>
          <w:szCs w:val="32"/>
        </w:rPr>
        <w:t>等内容（格式自拟）</w:t>
      </w:r>
    </w:p>
    <w:p w14:paraId="7EF3818C">
      <w:pPr>
        <w:pStyle w:val="16"/>
        <w:spacing w:line="360" w:lineRule="auto"/>
        <w:jc w:val="center"/>
        <w:rPr>
          <w:rFonts w:hint="eastAsia" w:ascii="仿宋_GB2312" w:hAnsi="仿宋_GB2312" w:eastAsia="仿宋_GB2312" w:cs="仿宋_GB2312"/>
          <w:b/>
          <w:color w:val="FF0000"/>
          <w:sz w:val="32"/>
          <w:szCs w:val="32"/>
        </w:rPr>
      </w:pPr>
    </w:p>
    <w:p w14:paraId="1001B46C">
      <w:pPr>
        <w:widowControl/>
        <w:spacing w:line="360" w:lineRule="auto"/>
        <w:jc w:val="left"/>
        <w:rPr>
          <w:rFonts w:hint="eastAsia" w:ascii="仿宋_GB2312" w:hAnsi="仿宋_GB2312" w:eastAsia="仿宋_GB2312" w:cs="仿宋_GB2312"/>
          <w:kern w:val="0"/>
          <w:sz w:val="32"/>
          <w:szCs w:val="32"/>
        </w:rPr>
      </w:pPr>
    </w:p>
    <w:p w14:paraId="5497E649">
      <w:pPr>
        <w:pStyle w:val="3"/>
        <w:spacing w:line="360" w:lineRule="auto"/>
        <w:jc w:val="center"/>
        <w:rPr>
          <w:rStyle w:val="53"/>
          <w:rFonts w:hint="eastAsia" w:ascii="仿宋_GB2312" w:hAnsi="仿宋_GB2312" w:eastAsia="仿宋_GB2312" w:cs="仿宋_GB2312"/>
          <w:b/>
          <w:bCs w:val="0"/>
        </w:rPr>
      </w:pPr>
      <w:bookmarkStart w:id="321" w:name="_Toc1779"/>
      <w:bookmarkStart w:id="322" w:name="_Toc45795252"/>
    </w:p>
    <w:p w14:paraId="71CB1364">
      <w:pPr>
        <w:spacing w:line="360" w:lineRule="auto"/>
        <w:rPr>
          <w:rStyle w:val="53"/>
          <w:rFonts w:hint="eastAsia" w:ascii="仿宋_GB2312" w:hAnsi="仿宋_GB2312" w:eastAsia="仿宋_GB2312" w:cs="仿宋_GB2312"/>
          <w:bCs w:val="0"/>
        </w:rPr>
      </w:pPr>
    </w:p>
    <w:p w14:paraId="58AFE66B">
      <w:pPr>
        <w:pStyle w:val="17"/>
        <w:spacing w:line="360" w:lineRule="auto"/>
        <w:rPr>
          <w:rFonts w:hint="eastAsia" w:ascii="仿宋_GB2312" w:hAnsi="仿宋_GB2312" w:eastAsia="仿宋_GB2312" w:cs="仿宋_GB2312"/>
          <w:sz w:val="32"/>
          <w:szCs w:val="32"/>
        </w:rPr>
      </w:pPr>
    </w:p>
    <w:p w14:paraId="58E29E77">
      <w:pPr>
        <w:pStyle w:val="17"/>
        <w:spacing w:line="360" w:lineRule="auto"/>
        <w:rPr>
          <w:rFonts w:hint="eastAsia" w:ascii="仿宋_GB2312" w:hAnsi="仿宋_GB2312" w:eastAsia="仿宋_GB2312" w:cs="仿宋_GB2312"/>
          <w:sz w:val="32"/>
          <w:szCs w:val="32"/>
        </w:rPr>
      </w:pPr>
    </w:p>
    <w:p w14:paraId="514736AE">
      <w:pPr>
        <w:pStyle w:val="17"/>
        <w:spacing w:line="360" w:lineRule="auto"/>
        <w:rPr>
          <w:rFonts w:hint="eastAsia" w:ascii="仿宋_GB2312" w:hAnsi="仿宋_GB2312" w:eastAsia="仿宋_GB2312" w:cs="仿宋_GB2312"/>
          <w:sz w:val="32"/>
          <w:szCs w:val="32"/>
        </w:rPr>
      </w:pPr>
    </w:p>
    <w:p w14:paraId="1A2B3A69">
      <w:pPr>
        <w:pStyle w:val="17"/>
        <w:spacing w:line="360" w:lineRule="auto"/>
        <w:rPr>
          <w:rFonts w:hint="eastAsia" w:ascii="仿宋_GB2312" w:hAnsi="仿宋_GB2312" w:eastAsia="仿宋_GB2312" w:cs="仿宋_GB2312"/>
          <w:sz w:val="32"/>
          <w:szCs w:val="32"/>
        </w:rPr>
      </w:pPr>
    </w:p>
    <w:p w14:paraId="0BD3EAB0">
      <w:pPr>
        <w:pStyle w:val="17"/>
        <w:spacing w:line="360" w:lineRule="auto"/>
        <w:rPr>
          <w:rFonts w:hint="eastAsia" w:ascii="仿宋_GB2312" w:hAnsi="仿宋_GB2312" w:eastAsia="仿宋_GB2312" w:cs="仿宋_GB2312"/>
          <w:sz w:val="32"/>
          <w:szCs w:val="32"/>
        </w:rPr>
      </w:pPr>
    </w:p>
    <w:p w14:paraId="1D16BA13">
      <w:pPr>
        <w:pStyle w:val="17"/>
        <w:spacing w:line="360" w:lineRule="auto"/>
        <w:rPr>
          <w:rFonts w:hint="eastAsia" w:ascii="仿宋_GB2312" w:hAnsi="仿宋_GB2312" w:eastAsia="仿宋_GB2312" w:cs="仿宋_GB2312"/>
          <w:sz w:val="32"/>
          <w:szCs w:val="32"/>
        </w:rPr>
      </w:pPr>
    </w:p>
    <w:p w14:paraId="601A6893">
      <w:pPr>
        <w:pStyle w:val="17"/>
        <w:spacing w:line="360" w:lineRule="auto"/>
        <w:rPr>
          <w:rFonts w:hint="eastAsia" w:ascii="仿宋_GB2312" w:hAnsi="仿宋_GB2312" w:eastAsia="仿宋_GB2312" w:cs="仿宋_GB2312"/>
          <w:sz w:val="32"/>
          <w:szCs w:val="32"/>
        </w:rPr>
      </w:pPr>
    </w:p>
    <w:p w14:paraId="206229F6">
      <w:pPr>
        <w:pStyle w:val="17"/>
        <w:spacing w:line="360" w:lineRule="auto"/>
        <w:rPr>
          <w:rFonts w:hint="eastAsia" w:ascii="仿宋_GB2312" w:hAnsi="仿宋_GB2312" w:eastAsia="仿宋_GB2312" w:cs="仿宋_GB2312"/>
          <w:sz w:val="32"/>
          <w:szCs w:val="32"/>
        </w:rPr>
      </w:pPr>
    </w:p>
    <w:p w14:paraId="312A846B">
      <w:pPr>
        <w:pStyle w:val="17"/>
        <w:spacing w:line="360" w:lineRule="auto"/>
        <w:rPr>
          <w:rFonts w:hint="eastAsia" w:ascii="仿宋_GB2312" w:hAnsi="仿宋_GB2312" w:eastAsia="仿宋_GB2312" w:cs="仿宋_GB2312"/>
          <w:sz w:val="32"/>
          <w:szCs w:val="32"/>
        </w:rPr>
      </w:pPr>
    </w:p>
    <w:p w14:paraId="5638E34C">
      <w:pPr>
        <w:pStyle w:val="17"/>
        <w:spacing w:line="360" w:lineRule="auto"/>
        <w:rPr>
          <w:rFonts w:hint="eastAsia" w:ascii="仿宋_GB2312" w:hAnsi="仿宋_GB2312" w:eastAsia="仿宋_GB2312" w:cs="仿宋_GB2312"/>
          <w:sz w:val="32"/>
          <w:szCs w:val="32"/>
        </w:rPr>
      </w:pPr>
    </w:p>
    <w:p w14:paraId="2F024EEA">
      <w:pPr>
        <w:pStyle w:val="17"/>
        <w:spacing w:line="360" w:lineRule="auto"/>
        <w:rPr>
          <w:rFonts w:hint="eastAsia" w:ascii="仿宋_GB2312" w:hAnsi="仿宋_GB2312" w:eastAsia="仿宋_GB2312" w:cs="仿宋_GB2312"/>
          <w:sz w:val="32"/>
          <w:szCs w:val="32"/>
        </w:rPr>
      </w:pPr>
    </w:p>
    <w:p w14:paraId="712A5CC3">
      <w:pPr>
        <w:pStyle w:val="17"/>
        <w:spacing w:line="360" w:lineRule="auto"/>
        <w:rPr>
          <w:rFonts w:hint="eastAsia" w:ascii="仿宋_GB2312" w:hAnsi="仿宋_GB2312" w:eastAsia="仿宋_GB2312" w:cs="仿宋_GB2312"/>
          <w:sz w:val="32"/>
          <w:szCs w:val="32"/>
        </w:rPr>
      </w:pPr>
    </w:p>
    <w:p w14:paraId="31DE4D2E">
      <w:pPr>
        <w:pStyle w:val="17"/>
        <w:spacing w:line="360" w:lineRule="auto"/>
        <w:rPr>
          <w:rFonts w:hint="eastAsia" w:ascii="仿宋_GB2312" w:hAnsi="仿宋_GB2312" w:eastAsia="仿宋_GB2312" w:cs="仿宋_GB2312"/>
          <w:sz w:val="32"/>
          <w:szCs w:val="32"/>
        </w:rPr>
      </w:pPr>
    </w:p>
    <w:p w14:paraId="6590763A">
      <w:pPr>
        <w:pStyle w:val="17"/>
        <w:spacing w:line="360" w:lineRule="auto"/>
        <w:rPr>
          <w:rFonts w:hint="eastAsia" w:ascii="仿宋_GB2312" w:hAnsi="仿宋_GB2312" w:eastAsia="仿宋_GB2312" w:cs="仿宋_GB2312"/>
          <w:sz w:val="32"/>
          <w:szCs w:val="32"/>
        </w:rPr>
      </w:pPr>
    </w:p>
    <w:p w14:paraId="1403EF8E">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12、投标人基本情况说明</w:t>
      </w:r>
      <w:bookmarkEnd w:id="321"/>
    </w:p>
    <w:p w14:paraId="7F2BD2D9">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一、公司简介：</w:t>
      </w:r>
    </w:p>
    <w:p w14:paraId="5DB5BA9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14:paraId="7B02EBC5">
      <w:pPr>
        <w:pStyle w:val="16"/>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企业信息一览表</w:t>
      </w:r>
    </w:p>
    <w:tbl>
      <w:tblPr>
        <w:tblStyle w:val="27"/>
        <w:tblW w:w="0" w:type="auto"/>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309"/>
        <w:gridCol w:w="1064"/>
        <w:gridCol w:w="943"/>
        <w:gridCol w:w="597"/>
        <w:gridCol w:w="928"/>
        <w:gridCol w:w="1309"/>
        <w:gridCol w:w="1461"/>
      </w:tblGrid>
      <w:tr w14:paraId="66AD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96" w:type="dxa"/>
            <w:noWrap w:val="0"/>
            <w:vAlign w:val="center"/>
          </w:tcPr>
          <w:p w14:paraId="2D98A812">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611" w:type="dxa"/>
            <w:gridSpan w:val="7"/>
            <w:noWrap w:val="0"/>
            <w:vAlign w:val="center"/>
          </w:tcPr>
          <w:p w14:paraId="0FF0FA51">
            <w:pPr>
              <w:pStyle w:val="16"/>
              <w:spacing w:line="360" w:lineRule="auto"/>
              <w:jc w:val="center"/>
              <w:rPr>
                <w:rFonts w:hint="eastAsia" w:ascii="仿宋_GB2312" w:hAnsi="仿宋_GB2312" w:eastAsia="仿宋_GB2312" w:cs="仿宋_GB2312"/>
                <w:sz w:val="32"/>
                <w:szCs w:val="32"/>
              </w:rPr>
            </w:pPr>
          </w:p>
        </w:tc>
      </w:tr>
      <w:tr w14:paraId="4452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6" w:type="dxa"/>
            <w:noWrap w:val="0"/>
            <w:vAlign w:val="center"/>
          </w:tcPr>
          <w:p w14:paraId="693ED0C1">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注册地址</w:t>
            </w:r>
          </w:p>
        </w:tc>
        <w:tc>
          <w:tcPr>
            <w:tcW w:w="3316" w:type="dxa"/>
            <w:gridSpan w:val="3"/>
            <w:noWrap w:val="0"/>
            <w:vAlign w:val="center"/>
          </w:tcPr>
          <w:p w14:paraId="4491CEF5">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3FFEBD16">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p>
        </w:tc>
        <w:tc>
          <w:tcPr>
            <w:tcW w:w="2770" w:type="dxa"/>
            <w:gridSpan w:val="2"/>
            <w:noWrap w:val="0"/>
            <w:vAlign w:val="center"/>
          </w:tcPr>
          <w:p w14:paraId="224820D9">
            <w:pPr>
              <w:pStyle w:val="16"/>
              <w:spacing w:line="360" w:lineRule="auto"/>
              <w:jc w:val="center"/>
              <w:rPr>
                <w:rFonts w:hint="eastAsia" w:ascii="仿宋_GB2312" w:hAnsi="仿宋_GB2312" w:eastAsia="仿宋_GB2312" w:cs="仿宋_GB2312"/>
                <w:sz w:val="32"/>
                <w:szCs w:val="32"/>
              </w:rPr>
            </w:pPr>
          </w:p>
        </w:tc>
      </w:tr>
      <w:tr w14:paraId="7FDD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96" w:type="dxa"/>
            <w:vMerge w:val="restart"/>
            <w:noWrap w:val="0"/>
            <w:vAlign w:val="center"/>
          </w:tcPr>
          <w:p w14:paraId="196B25BD">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1309" w:type="dxa"/>
            <w:noWrap w:val="0"/>
            <w:vAlign w:val="center"/>
          </w:tcPr>
          <w:p w14:paraId="134E9628">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tc>
        <w:tc>
          <w:tcPr>
            <w:tcW w:w="2007" w:type="dxa"/>
            <w:gridSpan w:val="2"/>
            <w:noWrap w:val="0"/>
            <w:vAlign w:val="center"/>
          </w:tcPr>
          <w:p w14:paraId="77132875">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32CEF84A">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770" w:type="dxa"/>
            <w:gridSpan w:val="2"/>
            <w:noWrap w:val="0"/>
            <w:vAlign w:val="center"/>
          </w:tcPr>
          <w:p w14:paraId="5E61EFAA">
            <w:pPr>
              <w:pStyle w:val="16"/>
              <w:spacing w:line="360" w:lineRule="auto"/>
              <w:jc w:val="center"/>
              <w:rPr>
                <w:rFonts w:hint="eastAsia" w:ascii="仿宋_GB2312" w:hAnsi="仿宋_GB2312" w:eastAsia="仿宋_GB2312" w:cs="仿宋_GB2312"/>
                <w:sz w:val="32"/>
                <w:szCs w:val="32"/>
              </w:rPr>
            </w:pPr>
          </w:p>
        </w:tc>
      </w:tr>
      <w:tr w14:paraId="3BF6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vMerge w:val="continue"/>
            <w:noWrap w:val="0"/>
            <w:vAlign w:val="center"/>
          </w:tcPr>
          <w:p w14:paraId="0503584B">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5D088CF3">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2007" w:type="dxa"/>
            <w:gridSpan w:val="2"/>
            <w:noWrap w:val="0"/>
            <w:vAlign w:val="center"/>
          </w:tcPr>
          <w:p w14:paraId="1B7C17CE">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0A74876C">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w:t>
            </w:r>
          </w:p>
        </w:tc>
        <w:tc>
          <w:tcPr>
            <w:tcW w:w="2770" w:type="dxa"/>
            <w:gridSpan w:val="2"/>
            <w:noWrap w:val="0"/>
            <w:vAlign w:val="center"/>
          </w:tcPr>
          <w:p w14:paraId="15A44F43">
            <w:pPr>
              <w:pStyle w:val="16"/>
              <w:spacing w:line="360" w:lineRule="auto"/>
              <w:jc w:val="center"/>
              <w:rPr>
                <w:rFonts w:hint="eastAsia" w:ascii="仿宋_GB2312" w:hAnsi="仿宋_GB2312" w:eastAsia="仿宋_GB2312" w:cs="仿宋_GB2312"/>
                <w:sz w:val="32"/>
                <w:szCs w:val="32"/>
              </w:rPr>
            </w:pPr>
          </w:p>
        </w:tc>
      </w:tr>
      <w:tr w14:paraId="52C7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96" w:type="dxa"/>
            <w:noWrap w:val="0"/>
            <w:vAlign w:val="center"/>
          </w:tcPr>
          <w:p w14:paraId="6D37FA22">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企业性质</w:t>
            </w:r>
          </w:p>
        </w:tc>
        <w:tc>
          <w:tcPr>
            <w:tcW w:w="7611" w:type="dxa"/>
            <w:gridSpan w:val="7"/>
            <w:noWrap w:val="0"/>
            <w:vAlign w:val="center"/>
          </w:tcPr>
          <w:p w14:paraId="30053B7B">
            <w:pPr>
              <w:pStyle w:val="16"/>
              <w:spacing w:line="360" w:lineRule="auto"/>
              <w:jc w:val="center"/>
              <w:rPr>
                <w:rFonts w:hint="eastAsia" w:ascii="仿宋_GB2312" w:hAnsi="仿宋_GB2312" w:eastAsia="仿宋_GB2312" w:cs="仿宋_GB2312"/>
                <w:sz w:val="32"/>
                <w:szCs w:val="32"/>
              </w:rPr>
            </w:pPr>
          </w:p>
        </w:tc>
      </w:tr>
      <w:tr w14:paraId="6F2D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96" w:type="dxa"/>
            <w:noWrap w:val="0"/>
            <w:vAlign w:val="center"/>
          </w:tcPr>
          <w:p w14:paraId="601F2FE3">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1309" w:type="dxa"/>
            <w:noWrap w:val="0"/>
            <w:vAlign w:val="center"/>
          </w:tcPr>
          <w:p w14:paraId="10B6E420">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064" w:type="dxa"/>
            <w:noWrap w:val="0"/>
            <w:vAlign w:val="center"/>
          </w:tcPr>
          <w:p w14:paraId="5B4867A0">
            <w:pPr>
              <w:pStyle w:val="16"/>
              <w:spacing w:line="360" w:lineRule="auto"/>
              <w:jc w:val="center"/>
              <w:rPr>
                <w:rFonts w:hint="eastAsia" w:ascii="仿宋_GB2312" w:hAnsi="仿宋_GB2312" w:eastAsia="仿宋_GB2312" w:cs="仿宋_GB2312"/>
                <w:sz w:val="32"/>
                <w:szCs w:val="32"/>
              </w:rPr>
            </w:pPr>
          </w:p>
        </w:tc>
        <w:tc>
          <w:tcPr>
            <w:tcW w:w="1540" w:type="dxa"/>
            <w:gridSpan w:val="2"/>
            <w:noWrap w:val="0"/>
            <w:vAlign w:val="center"/>
          </w:tcPr>
          <w:p w14:paraId="1D554458">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p>
        </w:tc>
        <w:tc>
          <w:tcPr>
            <w:tcW w:w="928" w:type="dxa"/>
            <w:noWrap w:val="0"/>
            <w:vAlign w:val="center"/>
          </w:tcPr>
          <w:p w14:paraId="30493E57">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42152CD2">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1461" w:type="dxa"/>
            <w:noWrap w:val="0"/>
            <w:vAlign w:val="center"/>
          </w:tcPr>
          <w:p w14:paraId="52E0B133">
            <w:pPr>
              <w:pStyle w:val="16"/>
              <w:spacing w:line="360" w:lineRule="auto"/>
              <w:jc w:val="center"/>
              <w:rPr>
                <w:rFonts w:hint="eastAsia" w:ascii="仿宋_GB2312" w:hAnsi="仿宋_GB2312" w:eastAsia="仿宋_GB2312" w:cs="仿宋_GB2312"/>
                <w:sz w:val="32"/>
                <w:szCs w:val="32"/>
              </w:rPr>
            </w:pPr>
          </w:p>
        </w:tc>
      </w:tr>
      <w:tr w14:paraId="4DD0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96" w:type="dxa"/>
            <w:noWrap w:val="0"/>
            <w:vAlign w:val="center"/>
          </w:tcPr>
          <w:p w14:paraId="0A3752B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技术负责人</w:t>
            </w:r>
          </w:p>
        </w:tc>
        <w:tc>
          <w:tcPr>
            <w:tcW w:w="1309" w:type="dxa"/>
            <w:noWrap w:val="0"/>
            <w:vAlign w:val="center"/>
          </w:tcPr>
          <w:p w14:paraId="4B1F3D4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064" w:type="dxa"/>
            <w:noWrap w:val="0"/>
            <w:vAlign w:val="center"/>
          </w:tcPr>
          <w:p w14:paraId="740C783E">
            <w:pPr>
              <w:pStyle w:val="16"/>
              <w:spacing w:line="360" w:lineRule="auto"/>
              <w:jc w:val="center"/>
              <w:rPr>
                <w:rFonts w:hint="eastAsia" w:ascii="仿宋_GB2312" w:hAnsi="仿宋_GB2312" w:eastAsia="仿宋_GB2312" w:cs="仿宋_GB2312"/>
                <w:sz w:val="32"/>
                <w:szCs w:val="32"/>
              </w:rPr>
            </w:pPr>
          </w:p>
        </w:tc>
        <w:tc>
          <w:tcPr>
            <w:tcW w:w="1540" w:type="dxa"/>
            <w:gridSpan w:val="2"/>
            <w:noWrap w:val="0"/>
            <w:vAlign w:val="center"/>
          </w:tcPr>
          <w:p w14:paraId="6010C173">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p>
        </w:tc>
        <w:tc>
          <w:tcPr>
            <w:tcW w:w="928" w:type="dxa"/>
            <w:noWrap w:val="0"/>
            <w:vAlign w:val="center"/>
          </w:tcPr>
          <w:p w14:paraId="0B5B1D1F">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2C0F5471">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1461" w:type="dxa"/>
            <w:noWrap w:val="0"/>
            <w:vAlign w:val="center"/>
          </w:tcPr>
          <w:p w14:paraId="4B2E66CC">
            <w:pPr>
              <w:pStyle w:val="16"/>
              <w:spacing w:line="360" w:lineRule="auto"/>
              <w:jc w:val="center"/>
              <w:rPr>
                <w:rFonts w:hint="eastAsia" w:ascii="仿宋_GB2312" w:hAnsi="仿宋_GB2312" w:eastAsia="仿宋_GB2312" w:cs="仿宋_GB2312"/>
                <w:sz w:val="32"/>
                <w:szCs w:val="32"/>
              </w:rPr>
            </w:pPr>
          </w:p>
        </w:tc>
      </w:tr>
      <w:tr w14:paraId="0103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96" w:type="dxa"/>
            <w:noWrap w:val="0"/>
            <w:vAlign w:val="center"/>
          </w:tcPr>
          <w:p w14:paraId="2AE2B270">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p>
        </w:tc>
        <w:tc>
          <w:tcPr>
            <w:tcW w:w="2373" w:type="dxa"/>
            <w:gridSpan w:val="2"/>
            <w:noWrap w:val="0"/>
            <w:vAlign w:val="center"/>
          </w:tcPr>
          <w:p w14:paraId="6B4C185C">
            <w:pPr>
              <w:pStyle w:val="16"/>
              <w:spacing w:line="360" w:lineRule="auto"/>
              <w:jc w:val="center"/>
              <w:rPr>
                <w:rFonts w:hint="eastAsia" w:ascii="仿宋_GB2312" w:hAnsi="仿宋_GB2312" w:eastAsia="仿宋_GB2312" w:cs="仿宋_GB2312"/>
                <w:sz w:val="32"/>
                <w:szCs w:val="32"/>
              </w:rPr>
            </w:pPr>
          </w:p>
        </w:tc>
        <w:tc>
          <w:tcPr>
            <w:tcW w:w="5238" w:type="dxa"/>
            <w:gridSpan w:val="5"/>
            <w:noWrap w:val="0"/>
            <w:vAlign w:val="center"/>
          </w:tcPr>
          <w:p w14:paraId="6270F85D">
            <w:pPr>
              <w:pStyle w:val="16"/>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员工总人数：</w:t>
            </w:r>
          </w:p>
        </w:tc>
      </w:tr>
      <w:tr w14:paraId="2182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noWrap w:val="0"/>
            <w:vAlign w:val="center"/>
          </w:tcPr>
          <w:p w14:paraId="2D1977F6">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营业执照号</w:t>
            </w:r>
          </w:p>
        </w:tc>
        <w:tc>
          <w:tcPr>
            <w:tcW w:w="7611" w:type="dxa"/>
            <w:gridSpan w:val="7"/>
            <w:noWrap w:val="0"/>
            <w:vAlign w:val="center"/>
          </w:tcPr>
          <w:p w14:paraId="2987F677">
            <w:pPr>
              <w:pStyle w:val="16"/>
              <w:spacing w:line="360" w:lineRule="auto"/>
              <w:jc w:val="center"/>
              <w:rPr>
                <w:rFonts w:hint="eastAsia" w:ascii="仿宋_GB2312" w:hAnsi="仿宋_GB2312" w:eastAsia="仿宋_GB2312" w:cs="仿宋_GB2312"/>
                <w:sz w:val="32"/>
                <w:szCs w:val="32"/>
              </w:rPr>
            </w:pPr>
          </w:p>
        </w:tc>
      </w:tr>
      <w:tr w14:paraId="189B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96" w:type="dxa"/>
            <w:noWrap w:val="0"/>
            <w:vAlign w:val="center"/>
          </w:tcPr>
          <w:p w14:paraId="74CCDAA5">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注册时间</w:t>
            </w:r>
          </w:p>
        </w:tc>
        <w:tc>
          <w:tcPr>
            <w:tcW w:w="7611" w:type="dxa"/>
            <w:gridSpan w:val="7"/>
            <w:noWrap w:val="0"/>
            <w:vAlign w:val="center"/>
          </w:tcPr>
          <w:p w14:paraId="7C786BAD">
            <w:pPr>
              <w:pStyle w:val="16"/>
              <w:spacing w:line="360" w:lineRule="auto"/>
              <w:jc w:val="center"/>
              <w:rPr>
                <w:rFonts w:hint="eastAsia" w:ascii="仿宋_GB2312" w:hAnsi="仿宋_GB2312" w:eastAsia="仿宋_GB2312" w:cs="仿宋_GB2312"/>
                <w:sz w:val="32"/>
                <w:szCs w:val="32"/>
              </w:rPr>
            </w:pPr>
          </w:p>
        </w:tc>
      </w:tr>
      <w:tr w14:paraId="6D8F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96" w:type="dxa"/>
            <w:noWrap w:val="0"/>
            <w:vAlign w:val="center"/>
          </w:tcPr>
          <w:p w14:paraId="5C0995AA">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7611" w:type="dxa"/>
            <w:gridSpan w:val="7"/>
            <w:noWrap w:val="0"/>
            <w:vAlign w:val="center"/>
          </w:tcPr>
          <w:p w14:paraId="19AF6CCE">
            <w:pPr>
              <w:pStyle w:val="16"/>
              <w:spacing w:line="360" w:lineRule="auto"/>
              <w:jc w:val="center"/>
              <w:rPr>
                <w:rFonts w:hint="eastAsia" w:ascii="仿宋_GB2312" w:hAnsi="仿宋_GB2312" w:eastAsia="仿宋_GB2312" w:cs="仿宋_GB2312"/>
                <w:sz w:val="32"/>
                <w:szCs w:val="32"/>
              </w:rPr>
            </w:pPr>
          </w:p>
        </w:tc>
      </w:tr>
      <w:tr w14:paraId="146F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96" w:type="dxa"/>
            <w:noWrap w:val="0"/>
            <w:vAlign w:val="center"/>
          </w:tcPr>
          <w:p w14:paraId="13F4366B">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银行账号</w:t>
            </w:r>
          </w:p>
        </w:tc>
        <w:tc>
          <w:tcPr>
            <w:tcW w:w="7611" w:type="dxa"/>
            <w:gridSpan w:val="7"/>
            <w:noWrap w:val="0"/>
            <w:vAlign w:val="center"/>
          </w:tcPr>
          <w:p w14:paraId="4B9757BC">
            <w:pPr>
              <w:pStyle w:val="16"/>
              <w:spacing w:line="360" w:lineRule="auto"/>
              <w:jc w:val="center"/>
              <w:rPr>
                <w:rFonts w:hint="eastAsia" w:ascii="仿宋_GB2312" w:hAnsi="仿宋_GB2312" w:eastAsia="仿宋_GB2312" w:cs="仿宋_GB2312"/>
                <w:sz w:val="32"/>
                <w:szCs w:val="32"/>
              </w:rPr>
            </w:pPr>
          </w:p>
        </w:tc>
      </w:tr>
      <w:tr w14:paraId="3FA1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96" w:type="dxa"/>
            <w:noWrap w:val="0"/>
            <w:vAlign w:val="center"/>
          </w:tcPr>
          <w:p w14:paraId="573FDD9A">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经营范围备注</w:t>
            </w:r>
          </w:p>
        </w:tc>
        <w:tc>
          <w:tcPr>
            <w:tcW w:w="7611" w:type="dxa"/>
            <w:gridSpan w:val="7"/>
            <w:noWrap w:val="0"/>
            <w:vAlign w:val="center"/>
          </w:tcPr>
          <w:p w14:paraId="2872248A">
            <w:pPr>
              <w:pStyle w:val="16"/>
              <w:spacing w:line="360" w:lineRule="auto"/>
              <w:jc w:val="center"/>
              <w:rPr>
                <w:rFonts w:hint="eastAsia" w:ascii="仿宋_GB2312" w:hAnsi="仿宋_GB2312" w:eastAsia="仿宋_GB2312" w:cs="仿宋_GB2312"/>
                <w:sz w:val="32"/>
                <w:szCs w:val="32"/>
              </w:rPr>
            </w:pPr>
          </w:p>
        </w:tc>
      </w:tr>
    </w:tbl>
    <w:p w14:paraId="6D9CBDE4">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1C8A4031">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投标人法定代表人或受委托人（签名或盖私章）：</w:t>
      </w:r>
    </w:p>
    <w:p w14:paraId="64E378BB">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572FB3D1">
      <w:pPr>
        <w:pStyle w:val="3"/>
        <w:spacing w:line="360" w:lineRule="auto"/>
        <w:jc w:val="center"/>
        <w:rPr>
          <w:rStyle w:val="53"/>
          <w:rFonts w:hint="eastAsia" w:ascii="仿宋_GB2312" w:hAnsi="仿宋_GB2312" w:eastAsia="仿宋_GB2312" w:cs="仿宋_GB2312"/>
          <w:b/>
          <w:bCs w:val="0"/>
        </w:rPr>
      </w:pPr>
      <w:bookmarkStart w:id="323" w:name="_Toc14849"/>
      <w:r>
        <w:rPr>
          <w:rStyle w:val="53"/>
          <w:rFonts w:hint="eastAsia" w:ascii="仿宋_GB2312" w:hAnsi="仿宋_GB2312" w:eastAsia="仿宋_GB2312" w:cs="仿宋_GB2312"/>
          <w:b/>
          <w:bCs w:val="0"/>
        </w:rPr>
        <w:t>13、项目人员配置情况表</w:t>
      </w:r>
      <w:bookmarkEnd w:id="323"/>
    </w:p>
    <w:p w14:paraId="1D7317BD">
      <w:pPr>
        <w:pStyle w:val="65"/>
        <w:spacing w:line="360" w:lineRule="auto"/>
        <w:ind w:left="928" w:hanging="928" w:hangingChars="290"/>
        <w:rPr>
          <w:rFonts w:hint="eastAsia" w:hAnsi="仿宋_GB2312" w:cs="仿宋_GB2312"/>
          <w:sz w:val="32"/>
          <w:szCs w:val="32"/>
        </w:rPr>
      </w:pPr>
      <w:r>
        <w:rPr>
          <w:rFonts w:hint="eastAsia" w:hAnsi="仿宋_GB2312" w:cs="仿宋_GB2312"/>
          <w:sz w:val="32"/>
          <w:szCs w:val="32"/>
        </w:rPr>
        <w:t xml:space="preserve">项目名称：                                项目编号：                 </w:t>
      </w:r>
    </w:p>
    <w:tbl>
      <w:tblPr>
        <w:tblStyle w:val="27"/>
        <w:tblpPr w:leftFromText="180" w:rightFromText="180" w:vertAnchor="text" w:tblpXSpec="center" w:tblpY="1"/>
        <w:tblOverlap w:val="never"/>
        <w:tblW w:w="9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0"/>
        <w:gridCol w:w="2478"/>
        <w:gridCol w:w="2974"/>
        <w:gridCol w:w="2066"/>
      </w:tblGrid>
      <w:tr w14:paraId="50985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1740" w:type="dxa"/>
            <w:vMerge w:val="restart"/>
            <w:noWrap w:val="0"/>
            <w:vAlign w:val="center"/>
          </w:tcPr>
          <w:p w14:paraId="5A66070D">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2478" w:type="dxa"/>
            <w:vMerge w:val="restart"/>
            <w:noWrap w:val="0"/>
            <w:vAlign w:val="center"/>
          </w:tcPr>
          <w:p w14:paraId="6098F064">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姓名</w:t>
            </w:r>
          </w:p>
        </w:tc>
        <w:tc>
          <w:tcPr>
            <w:tcW w:w="2974" w:type="dxa"/>
            <w:vMerge w:val="restart"/>
            <w:noWrap w:val="0"/>
            <w:vAlign w:val="center"/>
          </w:tcPr>
          <w:p w14:paraId="51F6BD37">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职务</w:t>
            </w:r>
          </w:p>
        </w:tc>
        <w:tc>
          <w:tcPr>
            <w:tcW w:w="2066" w:type="dxa"/>
            <w:vMerge w:val="restart"/>
            <w:noWrap w:val="0"/>
            <w:vAlign w:val="center"/>
          </w:tcPr>
          <w:p w14:paraId="46C3E9D4">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经验年限</w:t>
            </w:r>
          </w:p>
        </w:tc>
      </w:tr>
      <w:tr w14:paraId="2AC40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740" w:type="dxa"/>
            <w:vMerge w:val="continue"/>
            <w:noWrap w:val="0"/>
            <w:vAlign w:val="center"/>
          </w:tcPr>
          <w:p w14:paraId="6AAF8FB1">
            <w:pPr>
              <w:spacing w:line="360" w:lineRule="auto"/>
              <w:jc w:val="center"/>
              <w:rPr>
                <w:rFonts w:hint="eastAsia" w:ascii="仿宋_GB2312" w:hAnsi="仿宋_GB2312" w:eastAsia="仿宋_GB2312" w:cs="仿宋_GB2312"/>
                <w:b/>
                <w:sz w:val="32"/>
                <w:szCs w:val="32"/>
              </w:rPr>
            </w:pPr>
          </w:p>
        </w:tc>
        <w:tc>
          <w:tcPr>
            <w:tcW w:w="2478" w:type="dxa"/>
            <w:vMerge w:val="continue"/>
            <w:noWrap w:val="0"/>
            <w:vAlign w:val="center"/>
          </w:tcPr>
          <w:p w14:paraId="133D2DCC">
            <w:pPr>
              <w:spacing w:line="360" w:lineRule="auto"/>
              <w:jc w:val="center"/>
              <w:rPr>
                <w:rFonts w:hint="eastAsia" w:ascii="仿宋_GB2312" w:hAnsi="仿宋_GB2312" w:eastAsia="仿宋_GB2312" w:cs="仿宋_GB2312"/>
                <w:b/>
                <w:sz w:val="32"/>
                <w:szCs w:val="32"/>
              </w:rPr>
            </w:pPr>
          </w:p>
        </w:tc>
        <w:tc>
          <w:tcPr>
            <w:tcW w:w="2974" w:type="dxa"/>
            <w:vMerge w:val="continue"/>
            <w:noWrap w:val="0"/>
            <w:vAlign w:val="center"/>
          </w:tcPr>
          <w:p w14:paraId="2238AC75">
            <w:pPr>
              <w:spacing w:line="360" w:lineRule="auto"/>
              <w:jc w:val="center"/>
              <w:rPr>
                <w:rFonts w:hint="eastAsia" w:ascii="仿宋_GB2312" w:hAnsi="仿宋_GB2312" w:eastAsia="仿宋_GB2312" w:cs="仿宋_GB2312"/>
                <w:b/>
                <w:sz w:val="32"/>
                <w:szCs w:val="32"/>
              </w:rPr>
            </w:pPr>
          </w:p>
        </w:tc>
        <w:tc>
          <w:tcPr>
            <w:tcW w:w="2066" w:type="dxa"/>
            <w:vMerge w:val="continue"/>
            <w:noWrap w:val="0"/>
            <w:vAlign w:val="center"/>
          </w:tcPr>
          <w:p w14:paraId="254A426A">
            <w:pPr>
              <w:spacing w:line="360" w:lineRule="auto"/>
              <w:jc w:val="center"/>
              <w:rPr>
                <w:rFonts w:hint="eastAsia" w:ascii="仿宋_GB2312" w:hAnsi="仿宋_GB2312" w:eastAsia="仿宋_GB2312" w:cs="仿宋_GB2312"/>
                <w:b/>
                <w:sz w:val="32"/>
                <w:szCs w:val="32"/>
              </w:rPr>
            </w:pPr>
          </w:p>
        </w:tc>
      </w:tr>
      <w:tr w14:paraId="21D5E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181B97E7">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714FA9AA">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3B288E80">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4ED52B1E">
            <w:pPr>
              <w:spacing w:line="360" w:lineRule="auto"/>
              <w:jc w:val="center"/>
              <w:rPr>
                <w:rFonts w:hint="eastAsia" w:ascii="仿宋_GB2312" w:hAnsi="仿宋_GB2312" w:eastAsia="仿宋_GB2312" w:cs="仿宋_GB2312"/>
                <w:sz w:val="32"/>
                <w:szCs w:val="32"/>
              </w:rPr>
            </w:pPr>
          </w:p>
        </w:tc>
      </w:tr>
      <w:tr w14:paraId="7842D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5F2AC01E">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74F04A85">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51F63052">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5434D2B1">
            <w:pPr>
              <w:spacing w:line="360" w:lineRule="auto"/>
              <w:jc w:val="center"/>
              <w:rPr>
                <w:rFonts w:hint="eastAsia" w:ascii="仿宋_GB2312" w:hAnsi="仿宋_GB2312" w:eastAsia="仿宋_GB2312" w:cs="仿宋_GB2312"/>
                <w:sz w:val="32"/>
                <w:szCs w:val="32"/>
              </w:rPr>
            </w:pPr>
          </w:p>
        </w:tc>
      </w:tr>
      <w:tr w14:paraId="26281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63B398F9">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37CD0FB2">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42F04887">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27C4DF75">
            <w:pPr>
              <w:spacing w:line="360" w:lineRule="auto"/>
              <w:jc w:val="center"/>
              <w:rPr>
                <w:rFonts w:hint="eastAsia" w:ascii="仿宋_GB2312" w:hAnsi="仿宋_GB2312" w:eastAsia="仿宋_GB2312" w:cs="仿宋_GB2312"/>
                <w:sz w:val="32"/>
                <w:szCs w:val="32"/>
              </w:rPr>
            </w:pPr>
          </w:p>
        </w:tc>
      </w:tr>
      <w:tr w14:paraId="2F30C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24DD378B">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5E15C0B3">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6A527BEE">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22AC8F15">
            <w:pPr>
              <w:spacing w:line="360" w:lineRule="auto"/>
              <w:jc w:val="center"/>
              <w:rPr>
                <w:rFonts w:hint="eastAsia" w:ascii="仿宋_GB2312" w:hAnsi="仿宋_GB2312" w:eastAsia="仿宋_GB2312" w:cs="仿宋_GB2312"/>
                <w:sz w:val="32"/>
                <w:szCs w:val="32"/>
              </w:rPr>
            </w:pPr>
          </w:p>
        </w:tc>
      </w:tr>
      <w:tr w14:paraId="1F000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5D25C789">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53D73BF1">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76385D83">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05D3FFDC">
            <w:pPr>
              <w:spacing w:line="360" w:lineRule="auto"/>
              <w:jc w:val="center"/>
              <w:rPr>
                <w:rFonts w:hint="eastAsia" w:ascii="仿宋_GB2312" w:hAnsi="仿宋_GB2312" w:eastAsia="仿宋_GB2312" w:cs="仿宋_GB2312"/>
                <w:sz w:val="32"/>
                <w:szCs w:val="32"/>
              </w:rPr>
            </w:pPr>
          </w:p>
        </w:tc>
      </w:tr>
      <w:tr w14:paraId="283EC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atLeast"/>
          <w:jc w:val="center"/>
        </w:trPr>
        <w:tc>
          <w:tcPr>
            <w:tcW w:w="1740" w:type="dxa"/>
            <w:noWrap w:val="0"/>
            <w:vAlign w:val="center"/>
          </w:tcPr>
          <w:p w14:paraId="752FF8AF">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39B7D596">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7B6D5B7A">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0E3928FC">
            <w:pPr>
              <w:spacing w:line="360" w:lineRule="auto"/>
              <w:jc w:val="center"/>
              <w:rPr>
                <w:rFonts w:hint="eastAsia" w:ascii="仿宋_GB2312" w:hAnsi="仿宋_GB2312" w:eastAsia="仿宋_GB2312" w:cs="仿宋_GB2312"/>
                <w:sz w:val="32"/>
                <w:szCs w:val="32"/>
              </w:rPr>
            </w:pPr>
          </w:p>
        </w:tc>
      </w:tr>
    </w:tbl>
    <w:p w14:paraId="0A949E22">
      <w:pPr>
        <w:pStyle w:val="15"/>
        <w:spacing w:line="360" w:lineRule="auto"/>
        <w:rPr>
          <w:rFonts w:hint="eastAsia" w:ascii="仿宋_GB2312" w:hAnsi="仿宋_GB2312" w:eastAsia="仿宋_GB2312" w:cs="仿宋_GB2312"/>
          <w:b/>
          <w:sz w:val="32"/>
          <w:szCs w:val="32"/>
        </w:rPr>
      </w:pPr>
    </w:p>
    <w:p w14:paraId="3028AFD7">
      <w:pPr>
        <w:pStyle w:val="12"/>
        <w:overflowPunct w:val="0"/>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我方承诺上述材料真实有效且具备履行合同所必需的专业技术能力。 </w:t>
      </w:r>
    </w:p>
    <w:p w14:paraId="556769E6">
      <w:pPr>
        <w:pStyle w:val="12"/>
        <w:spacing w:after="0" w:line="360" w:lineRule="auto"/>
        <w:rPr>
          <w:rFonts w:hint="eastAsia" w:ascii="仿宋_GB2312" w:hAnsi="仿宋_GB2312" w:eastAsia="仿宋_GB2312" w:cs="仿宋_GB2312"/>
          <w:sz w:val="32"/>
          <w:szCs w:val="32"/>
        </w:rPr>
      </w:pPr>
    </w:p>
    <w:p w14:paraId="25EB61C2">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06894870">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2CE8AF27">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日       期：</w:t>
      </w:r>
    </w:p>
    <w:p w14:paraId="1ABD8AB6">
      <w:pPr>
        <w:pStyle w:val="15"/>
        <w:spacing w:line="360" w:lineRule="auto"/>
        <w:rPr>
          <w:rFonts w:hint="eastAsia" w:ascii="仿宋_GB2312" w:hAnsi="仿宋_GB2312" w:eastAsia="仿宋_GB2312" w:cs="仿宋_GB2312"/>
          <w:b/>
          <w:sz w:val="32"/>
          <w:szCs w:val="32"/>
        </w:rPr>
      </w:pPr>
    </w:p>
    <w:p w14:paraId="1B09B460">
      <w:pPr>
        <w:pStyle w:val="15"/>
        <w:spacing w:line="360" w:lineRule="auto"/>
        <w:rPr>
          <w:rFonts w:hint="eastAsia" w:ascii="仿宋_GB2312" w:hAnsi="仿宋_GB2312" w:eastAsia="仿宋_GB2312" w:cs="仿宋_GB2312"/>
          <w:b/>
          <w:sz w:val="32"/>
          <w:szCs w:val="32"/>
        </w:rPr>
      </w:pPr>
    </w:p>
    <w:p w14:paraId="29EAEB29">
      <w:pPr>
        <w:pStyle w:val="15"/>
        <w:spacing w:line="360" w:lineRule="auto"/>
        <w:rPr>
          <w:rFonts w:hint="eastAsia" w:ascii="仿宋_GB2312" w:hAnsi="仿宋_GB2312" w:eastAsia="仿宋_GB2312" w:cs="仿宋_GB2312"/>
          <w:b/>
          <w:sz w:val="32"/>
          <w:szCs w:val="32"/>
        </w:rPr>
      </w:pPr>
    </w:p>
    <w:p w14:paraId="4F8069A4">
      <w:pPr>
        <w:pStyle w:val="15"/>
        <w:spacing w:line="360" w:lineRule="auto"/>
        <w:rPr>
          <w:rFonts w:hint="eastAsia" w:ascii="仿宋_GB2312" w:hAnsi="仿宋_GB2312" w:eastAsia="仿宋_GB2312" w:cs="仿宋_GB2312"/>
          <w:b/>
          <w:sz w:val="32"/>
          <w:szCs w:val="32"/>
        </w:rPr>
      </w:pPr>
    </w:p>
    <w:p w14:paraId="71AF6FA2">
      <w:pPr>
        <w:numPr>
          <w:ilvl w:val="0"/>
          <w:numId w:val="53"/>
        </w:num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主要人员简历表</w:t>
      </w:r>
    </w:p>
    <w:p w14:paraId="5C4EE148">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项目名称：                                </w:t>
      </w:r>
    </w:p>
    <w:p w14:paraId="6F5E7EE6">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项目编号：</w:t>
      </w:r>
    </w:p>
    <w:tbl>
      <w:tblPr>
        <w:tblStyle w:val="27"/>
        <w:tblpPr w:leftFromText="180" w:rightFromText="180" w:vertAnchor="text" w:horzAnchor="page" w:tblpX="1572" w:tblpY="4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14:paraId="15FD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noWrap w:val="0"/>
            <w:vAlign w:val="center"/>
          </w:tcPr>
          <w:p w14:paraId="3EE220DF">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2625" w:type="dxa"/>
            <w:gridSpan w:val="3"/>
            <w:tcBorders>
              <w:top w:val="single" w:color="auto" w:sz="12" w:space="0"/>
              <w:left w:val="single" w:color="auto" w:sz="6" w:space="0"/>
              <w:bottom w:val="single" w:color="auto" w:sz="6" w:space="0"/>
              <w:right w:val="single" w:color="auto" w:sz="6" w:space="0"/>
            </w:tcBorders>
            <w:noWrap w:val="0"/>
            <w:vAlign w:val="center"/>
          </w:tcPr>
          <w:p w14:paraId="257943F7">
            <w:pPr>
              <w:spacing w:line="360" w:lineRule="auto"/>
              <w:jc w:val="center"/>
              <w:rPr>
                <w:rFonts w:hint="eastAsia" w:ascii="仿宋_GB2312" w:hAnsi="仿宋_GB2312" w:eastAsia="仿宋_GB2312" w:cs="仿宋_GB2312"/>
                <w:sz w:val="32"/>
                <w:szCs w:val="32"/>
              </w:rPr>
            </w:pPr>
          </w:p>
        </w:tc>
        <w:tc>
          <w:tcPr>
            <w:tcW w:w="1029" w:type="dxa"/>
            <w:tcBorders>
              <w:top w:val="single" w:color="auto" w:sz="12" w:space="0"/>
              <w:left w:val="single" w:color="auto" w:sz="6" w:space="0"/>
              <w:bottom w:val="single" w:color="auto" w:sz="6" w:space="0"/>
              <w:right w:val="single" w:color="auto" w:sz="6" w:space="0"/>
            </w:tcBorders>
            <w:noWrap w:val="0"/>
            <w:vAlign w:val="center"/>
          </w:tcPr>
          <w:p w14:paraId="4FF4EB94">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2013" w:type="dxa"/>
            <w:gridSpan w:val="3"/>
            <w:tcBorders>
              <w:top w:val="single" w:color="auto" w:sz="12" w:space="0"/>
              <w:left w:val="single" w:color="auto" w:sz="6" w:space="0"/>
              <w:bottom w:val="single" w:color="auto" w:sz="6" w:space="0"/>
              <w:right w:val="single" w:color="auto" w:sz="6" w:space="0"/>
            </w:tcBorders>
            <w:noWrap w:val="0"/>
            <w:vAlign w:val="center"/>
          </w:tcPr>
          <w:p w14:paraId="309F2BEB">
            <w:pPr>
              <w:spacing w:line="360" w:lineRule="auto"/>
              <w:jc w:val="center"/>
              <w:rPr>
                <w:rFonts w:hint="eastAsia" w:ascii="仿宋_GB2312" w:hAnsi="仿宋_GB2312" w:eastAsia="仿宋_GB2312" w:cs="仿宋_GB2312"/>
                <w:sz w:val="32"/>
                <w:szCs w:val="32"/>
              </w:rPr>
            </w:pPr>
          </w:p>
        </w:tc>
        <w:tc>
          <w:tcPr>
            <w:tcW w:w="1156" w:type="dxa"/>
            <w:gridSpan w:val="2"/>
            <w:tcBorders>
              <w:top w:val="single" w:color="auto" w:sz="12" w:space="0"/>
              <w:left w:val="single" w:color="auto" w:sz="6" w:space="0"/>
              <w:bottom w:val="single" w:color="auto" w:sz="6" w:space="0"/>
              <w:right w:val="single" w:color="auto" w:sz="6" w:space="0"/>
            </w:tcBorders>
            <w:noWrap w:val="0"/>
            <w:vAlign w:val="center"/>
          </w:tcPr>
          <w:p w14:paraId="68D87D78">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w:t>
            </w:r>
          </w:p>
        </w:tc>
        <w:tc>
          <w:tcPr>
            <w:tcW w:w="1158" w:type="dxa"/>
            <w:tcBorders>
              <w:top w:val="single" w:color="auto" w:sz="12" w:space="0"/>
              <w:left w:val="single" w:color="auto" w:sz="6" w:space="0"/>
              <w:bottom w:val="single" w:color="auto" w:sz="6" w:space="0"/>
              <w:right w:val="single" w:color="auto" w:sz="12" w:space="0"/>
            </w:tcBorders>
            <w:noWrap w:val="0"/>
            <w:vAlign w:val="center"/>
          </w:tcPr>
          <w:p w14:paraId="393BC94B">
            <w:pPr>
              <w:spacing w:line="360" w:lineRule="auto"/>
              <w:jc w:val="center"/>
              <w:rPr>
                <w:rFonts w:hint="eastAsia" w:ascii="仿宋_GB2312" w:hAnsi="仿宋_GB2312" w:eastAsia="仿宋_GB2312" w:cs="仿宋_GB2312"/>
                <w:sz w:val="32"/>
                <w:szCs w:val="32"/>
              </w:rPr>
            </w:pPr>
          </w:p>
        </w:tc>
      </w:tr>
      <w:tr w14:paraId="5C91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noWrap w:val="0"/>
            <w:vAlign w:val="center"/>
          </w:tcPr>
          <w:p w14:paraId="5319D4A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2625" w:type="dxa"/>
            <w:gridSpan w:val="3"/>
            <w:tcBorders>
              <w:top w:val="single" w:color="auto" w:sz="6" w:space="0"/>
              <w:left w:val="single" w:color="auto" w:sz="6" w:space="0"/>
              <w:bottom w:val="single" w:color="auto" w:sz="6" w:space="0"/>
              <w:right w:val="single" w:color="auto" w:sz="6" w:space="0"/>
            </w:tcBorders>
            <w:noWrap w:val="0"/>
            <w:vAlign w:val="center"/>
          </w:tcPr>
          <w:p w14:paraId="26E94E4E">
            <w:pPr>
              <w:spacing w:line="360" w:lineRule="auto"/>
              <w:jc w:val="center"/>
              <w:rPr>
                <w:rFonts w:hint="eastAsia" w:ascii="仿宋_GB2312" w:hAnsi="仿宋_GB2312" w:eastAsia="仿宋_GB2312" w:cs="仿宋_GB2312"/>
                <w:sz w:val="32"/>
                <w:szCs w:val="32"/>
              </w:rPr>
            </w:pPr>
          </w:p>
        </w:tc>
        <w:tc>
          <w:tcPr>
            <w:tcW w:w="1029" w:type="dxa"/>
            <w:tcBorders>
              <w:top w:val="single" w:color="auto" w:sz="6" w:space="0"/>
              <w:left w:val="single" w:color="auto" w:sz="6" w:space="0"/>
              <w:bottom w:val="single" w:color="auto" w:sz="6" w:space="0"/>
              <w:right w:val="single" w:color="auto" w:sz="6" w:space="0"/>
            </w:tcBorders>
            <w:noWrap w:val="0"/>
            <w:vAlign w:val="center"/>
          </w:tcPr>
          <w:p w14:paraId="59BD662F">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w:t>
            </w:r>
          </w:p>
        </w:tc>
        <w:tc>
          <w:tcPr>
            <w:tcW w:w="2013" w:type="dxa"/>
            <w:gridSpan w:val="3"/>
            <w:tcBorders>
              <w:top w:val="single" w:color="auto" w:sz="6" w:space="0"/>
              <w:left w:val="single" w:color="auto" w:sz="6" w:space="0"/>
              <w:bottom w:val="single" w:color="auto" w:sz="6" w:space="0"/>
              <w:right w:val="single" w:color="auto" w:sz="6" w:space="0"/>
            </w:tcBorders>
            <w:noWrap w:val="0"/>
            <w:vAlign w:val="center"/>
          </w:tcPr>
          <w:p w14:paraId="002209B4">
            <w:pPr>
              <w:spacing w:line="360" w:lineRule="auto"/>
              <w:jc w:val="center"/>
              <w:rPr>
                <w:rFonts w:hint="eastAsia" w:ascii="仿宋_GB2312" w:hAnsi="仿宋_GB2312" w:eastAsia="仿宋_GB2312" w:cs="仿宋_GB2312"/>
                <w:sz w:val="32"/>
                <w:szCs w:val="32"/>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26A2BB6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000BCC2A">
            <w:pPr>
              <w:spacing w:line="360" w:lineRule="auto"/>
              <w:jc w:val="center"/>
              <w:rPr>
                <w:rFonts w:hint="eastAsia" w:ascii="仿宋_GB2312" w:hAnsi="仿宋_GB2312" w:eastAsia="仿宋_GB2312" w:cs="仿宋_GB2312"/>
                <w:sz w:val="32"/>
                <w:szCs w:val="32"/>
              </w:rPr>
            </w:pPr>
          </w:p>
        </w:tc>
      </w:tr>
      <w:tr w14:paraId="0547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12792425">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参加工作时间</w:t>
            </w:r>
          </w:p>
        </w:tc>
        <w:tc>
          <w:tcPr>
            <w:tcW w:w="2410" w:type="dxa"/>
            <w:gridSpan w:val="3"/>
            <w:tcBorders>
              <w:top w:val="single" w:color="auto" w:sz="6" w:space="0"/>
              <w:left w:val="single" w:color="auto" w:sz="6" w:space="0"/>
              <w:bottom w:val="single" w:color="auto" w:sz="6" w:space="0"/>
              <w:right w:val="single" w:color="auto" w:sz="6" w:space="0"/>
            </w:tcBorders>
            <w:noWrap w:val="0"/>
            <w:vAlign w:val="center"/>
          </w:tcPr>
          <w:p w14:paraId="6CAE40D7">
            <w:pPr>
              <w:spacing w:line="360" w:lineRule="auto"/>
              <w:jc w:val="center"/>
              <w:rPr>
                <w:rFonts w:hint="eastAsia" w:ascii="仿宋_GB2312" w:hAnsi="仿宋_GB2312" w:eastAsia="仿宋_GB2312" w:cs="仿宋_GB2312"/>
                <w:sz w:val="32"/>
                <w:szCs w:val="32"/>
              </w:rPr>
            </w:pPr>
          </w:p>
        </w:tc>
        <w:tc>
          <w:tcPr>
            <w:tcW w:w="2634" w:type="dxa"/>
            <w:gridSpan w:val="4"/>
            <w:tcBorders>
              <w:top w:val="single" w:color="auto" w:sz="6" w:space="0"/>
              <w:left w:val="single" w:color="auto" w:sz="6" w:space="0"/>
              <w:bottom w:val="single" w:color="auto" w:sz="6" w:space="0"/>
              <w:right w:val="single" w:color="auto" w:sz="6" w:space="0"/>
            </w:tcBorders>
            <w:noWrap w:val="0"/>
            <w:vAlign w:val="center"/>
          </w:tcPr>
          <w:p w14:paraId="200082F5">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相关经验年限</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186CA58A">
            <w:pPr>
              <w:spacing w:line="360" w:lineRule="auto"/>
              <w:jc w:val="center"/>
              <w:rPr>
                <w:rFonts w:hint="eastAsia" w:ascii="仿宋_GB2312" w:hAnsi="仿宋_GB2312" w:eastAsia="仿宋_GB2312" w:cs="仿宋_GB2312"/>
                <w:sz w:val="32"/>
                <w:szCs w:val="32"/>
              </w:rPr>
            </w:pPr>
          </w:p>
        </w:tc>
      </w:tr>
      <w:tr w14:paraId="5BAC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1EB99C3E">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noWrap w:val="0"/>
            <w:vAlign w:val="center"/>
          </w:tcPr>
          <w:p w14:paraId="74E95FF3">
            <w:pPr>
              <w:spacing w:line="360" w:lineRule="auto"/>
              <w:jc w:val="center"/>
              <w:rPr>
                <w:rFonts w:hint="eastAsia" w:ascii="仿宋_GB2312" w:hAnsi="仿宋_GB2312" w:eastAsia="仿宋_GB2312" w:cs="仿宋_GB2312"/>
                <w:sz w:val="32"/>
                <w:szCs w:val="32"/>
              </w:rPr>
            </w:pPr>
          </w:p>
        </w:tc>
      </w:tr>
      <w:tr w14:paraId="6B09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noWrap w:val="0"/>
            <w:vAlign w:val="center"/>
          </w:tcPr>
          <w:p w14:paraId="4F495154">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目前在任及以往服务项目情况</w:t>
            </w:r>
          </w:p>
        </w:tc>
      </w:tr>
      <w:tr w14:paraId="0D06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3B19A79D">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w:t>
            </w: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1358772A">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类似项目名称</w:t>
            </w: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037F4F98">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项目规模</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7F96C2C5">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所任职务</w:t>
            </w: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141D331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起止时间</w:t>
            </w:r>
          </w:p>
        </w:tc>
      </w:tr>
      <w:tr w14:paraId="63FA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13C30094">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5D92B2F4">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3BAD4D40">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48AC59C8">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2F157ABB">
            <w:pPr>
              <w:spacing w:line="360" w:lineRule="auto"/>
              <w:jc w:val="center"/>
              <w:rPr>
                <w:rFonts w:hint="eastAsia" w:ascii="仿宋_GB2312" w:hAnsi="仿宋_GB2312" w:eastAsia="仿宋_GB2312" w:cs="仿宋_GB2312"/>
                <w:sz w:val="32"/>
                <w:szCs w:val="32"/>
              </w:rPr>
            </w:pPr>
          </w:p>
        </w:tc>
      </w:tr>
      <w:tr w14:paraId="1C10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3FF77C43">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45F4021E">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6D67FED4">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67B4CA4F">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19490D73">
            <w:pPr>
              <w:spacing w:line="360" w:lineRule="auto"/>
              <w:jc w:val="center"/>
              <w:rPr>
                <w:rFonts w:hint="eastAsia" w:ascii="仿宋_GB2312" w:hAnsi="仿宋_GB2312" w:eastAsia="仿宋_GB2312" w:cs="仿宋_GB2312"/>
                <w:sz w:val="32"/>
                <w:szCs w:val="32"/>
              </w:rPr>
            </w:pPr>
          </w:p>
        </w:tc>
      </w:tr>
      <w:tr w14:paraId="6DCD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noWrap w:val="0"/>
            <w:vAlign w:val="center"/>
          </w:tcPr>
          <w:p w14:paraId="5833CBA4">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12" w:space="0"/>
              <w:right w:val="single" w:color="auto" w:sz="6" w:space="0"/>
            </w:tcBorders>
            <w:noWrap w:val="0"/>
            <w:vAlign w:val="center"/>
          </w:tcPr>
          <w:p w14:paraId="626701B7">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12" w:space="0"/>
              <w:right w:val="single" w:color="auto" w:sz="6" w:space="0"/>
            </w:tcBorders>
            <w:noWrap w:val="0"/>
            <w:vAlign w:val="center"/>
          </w:tcPr>
          <w:p w14:paraId="0420BE4A">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12" w:space="0"/>
              <w:right w:val="single" w:color="auto" w:sz="6" w:space="0"/>
            </w:tcBorders>
            <w:noWrap w:val="0"/>
            <w:vAlign w:val="center"/>
          </w:tcPr>
          <w:p w14:paraId="48242F1D">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12" w:space="0"/>
              <w:right w:val="single" w:color="auto" w:sz="12" w:space="0"/>
            </w:tcBorders>
            <w:noWrap w:val="0"/>
            <w:vAlign w:val="center"/>
          </w:tcPr>
          <w:p w14:paraId="4D768DC9">
            <w:pPr>
              <w:spacing w:line="360" w:lineRule="auto"/>
              <w:jc w:val="center"/>
              <w:rPr>
                <w:rFonts w:hint="eastAsia" w:ascii="仿宋_GB2312" w:hAnsi="仿宋_GB2312" w:eastAsia="仿宋_GB2312" w:cs="仿宋_GB2312"/>
                <w:sz w:val="32"/>
                <w:szCs w:val="32"/>
              </w:rPr>
            </w:pPr>
          </w:p>
        </w:tc>
      </w:tr>
    </w:tbl>
    <w:p w14:paraId="36CB9F63">
      <w:pPr>
        <w:pStyle w:val="65"/>
        <w:spacing w:line="360" w:lineRule="auto"/>
        <w:ind w:left="928" w:hanging="928" w:hangingChars="290"/>
        <w:rPr>
          <w:rFonts w:hint="eastAsia" w:hAnsi="仿宋_GB2312" w:cs="仿宋_GB2312"/>
          <w:sz w:val="32"/>
          <w:szCs w:val="32"/>
        </w:rPr>
      </w:pPr>
      <w:r>
        <w:rPr>
          <w:rFonts w:hint="eastAsia" w:hAnsi="仿宋_GB2312" w:cs="仿宋_GB2312"/>
          <w:sz w:val="32"/>
          <w:szCs w:val="32"/>
        </w:rPr>
        <w:t xml:space="preserve">                 </w:t>
      </w:r>
    </w:p>
    <w:p w14:paraId="3747659B">
      <w:pPr>
        <w:pStyle w:val="12"/>
        <w:overflowPunct w:val="0"/>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我方承诺上述材料真实有效且具备履行合同所必需的专业技术能力。 </w:t>
      </w:r>
    </w:p>
    <w:p w14:paraId="00416FEB">
      <w:pPr>
        <w:pStyle w:val="12"/>
        <w:spacing w:after="0" w:line="360" w:lineRule="auto"/>
        <w:rPr>
          <w:rFonts w:hint="eastAsia" w:ascii="仿宋_GB2312" w:hAnsi="仿宋_GB2312" w:eastAsia="仿宋_GB2312" w:cs="仿宋_GB2312"/>
          <w:sz w:val="32"/>
          <w:szCs w:val="32"/>
        </w:rPr>
      </w:pPr>
    </w:p>
    <w:p w14:paraId="57F4DA31">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67362E7B">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10B8789D">
      <w:pPr>
        <w:spacing w:line="360" w:lineRule="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日       期：</w:t>
      </w:r>
      <w:bookmarkStart w:id="324" w:name="_Toc17664"/>
    </w:p>
    <w:p w14:paraId="7F426D49">
      <w:pPr>
        <w:spacing w:before="75" w:line="360" w:lineRule="auto"/>
        <w:jc w:val="center"/>
        <w:outlineLvl w:val="1"/>
        <w:rPr>
          <w:rFonts w:hint="eastAsia" w:ascii="仿宋_GB2312" w:hAnsi="仿宋_GB2312" w:eastAsia="仿宋_GB2312" w:cs="仿宋_GB2312"/>
          <w:snapToGrid w:val="0"/>
          <w:color w:val="000000"/>
          <w:spacing w:val="4"/>
          <w:kern w:val="0"/>
          <w:sz w:val="32"/>
          <w:szCs w:val="32"/>
        </w:rPr>
      </w:pPr>
      <w:r>
        <w:rPr>
          <w:rFonts w:hint="eastAsia" w:ascii="仿宋_GB2312" w:hAnsi="仿宋_GB2312" w:eastAsia="仿宋_GB2312" w:cs="仿宋_GB2312"/>
          <w:spacing w:val="4"/>
          <w:sz w:val="32"/>
          <w:szCs w:val="32"/>
        </w:rPr>
        <w:t>14、</w:t>
      </w:r>
      <w:r>
        <w:rPr>
          <w:rFonts w:hint="eastAsia" w:ascii="仿宋_GB2312" w:hAnsi="仿宋_GB2312" w:eastAsia="仿宋_GB2312" w:cs="仿宋_GB2312"/>
          <w:snapToGrid w:val="0"/>
          <w:color w:val="000000"/>
          <w:spacing w:val="4"/>
          <w:kern w:val="0"/>
          <w:sz w:val="32"/>
          <w:szCs w:val="32"/>
        </w:rPr>
        <w:t>投标企业关联企业情况说明</w:t>
      </w:r>
    </w:p>
    <w:p w14:paraId="44803346">
      <w:pPr>
        <w:spacing w:before="164"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我公司郑重声明如下：</w:t>
      </w:r>
    </w:p>
    <w:p w14:paraId="781E701A">
      <w:pPr>
        <w:spacing w:before="179"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1、投标人名称（按营业执照的全称填写</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14:paraId="7E7D4F84">
      <w:pPr>
        <w:spacing w:before="173"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2、本公司的直接上级控股/管理单位和直接下级控股/管理单位情况：</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6"/>
        <w:gridCol w:w="2236"/>
        <w:gridCol w:w="1590"/>
        <w:gridCol w:w="1905"/>
        <w:gridCol w:w="1972"/>
      </w:tblGrid>
      <w:tr w14:paraId="34772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6" w:type="dxa"/>
            <w:noWrap w:val="0"/>
            <w:vAlign w:val="center"/>
          </w:tcPr>
          <w:p w14:paraId="46AA7275">
            <w:pPr>
              <w:spacing w:before="169" w:line="360" w:lineRule="auto"/>
              <w:ind w:right="19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直接上级控股/管理单</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2"/>
                <w:sz w:val="32"/>
                <w:szCs w:val="32"/>
              </w:rPr>
              <w:t>位名称</w:t>
            </w:r>
          </w:p>
        </w:tc>
        <w:tc>
          <w:tcPr>
            <w:tcW w:w="2236" w:type="dxa"/>
            <w:noWrap w:val="0"/>
            <w:vAlign w:val="center"/>
          </w:tcPr>
          <w:p w14:paraId="0906CBED">
            <w:pPr>
              <w:spacing w:before="194" w:line="360" w:lineRule="auto"/>
              <w:ind w:right="10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对本单位的控股</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
                <w:sz w:val="32"/>
                <w:szCs w:val="32"/>
              </w:rPr>
              <w:t>（出资）比例(%)</w:t>
            </w:r>
          </w:p>
        </w:tc>
        <w:tc>
          <w:tcPr>
            <w:tcW w:w="1590" w:type="dxa"/>
            <w:noWrap w:val="0"/>
            <w:vAlign w:val="center"/>
          </w:tcPr>
          <w:p w14:paraId="2C63934C">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05" w:type="dxa"/>
            <w:noWrap w:val="0"/>
            <w:vAlign w:val="center"/>
          </w:tcPr>
          <w:p w14:paraId="3262BA92">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72" w:type="dxa"/>
            <w:noWrap w:val="0"/>
            <w:vAlign w:val="center"/>
          </w:tcPr>
          <w:p w14:paraId="1BC999CA">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46D2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jc w:val="center"/>
        </w:trPr>
        <w:tc>
          <w:tcPr>
            <w:tcW w:w="2706" w:type="dxa"/>
            <w:noWrap w:val="0"/>
            <w:vAlign w:val="top"/>
          </w:tcPr>
          <w:p w14:paraId="05F1F928">
            <w:pPr>
              <w:pStyle w:val="73"/>
              <w:spacing w:line="360" w:lineRule="auto"/>
              <w:rPr>
                <w:rFonts w:hint="eastAsia" w:ascii="仿宋_GB2312" w:hAnsi="仿宋_GB2312" w:eastAsia="仿宋_GB2312" w:cs="仿宋_GB2312"/>
                <w:sz w:val="32"/>
                <w:szCs w:val="32"/>
              </w:rPr>
            </w:pPr>
          </w:p>
        </w:tc>
        <w:tc>
          <w:tcPr>
            <w:tcW w:w="2236" w:type="dxa"/>
            <w:noWrap w:val="0"/>
            <w:vAlign w:val="top"/>
          </w:tcPr>
          <w:p w14:paraId="1D881566">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3E4D6BA2">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015F989F">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02F0E02C">
            <w:pPr>
              <w:pStyle w:val="73"/>
              <w:spacing w:line="360" w:lineRule="auto"/>
              <w:rPr>
                <w:rFonts w:hint="eastAsia" w:ascii="仿宋_GB2312" w:hAnsi="仿宋_GB2312" w:eastAsia="仿宋_GB2312" w:cs="仿宋_GB2312"/>
                <w:sz w:val="32"/>
                <w:szCs w:val="32"/>
              </w:rPr>
            </w:pPr>
          </w:p>
        </w:tc>
      </w:tr>
      <w:tr w14:paraId="40929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2706" w:type="dxa"/>
            <w:noWrap w:val="0"/>
            <w:vAlign w:val="top"/>
          </w:tcPr>
          <w:p w14:paraId="492F9A04">
            <w:pPr>
              <w:spacing w:before="151"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36" w:type="dxa"/>
            <w:noWrap w:val="0"/>
            <w:vAlign w:val="top"/>
          </w:tcPr>
          <w:p w14:paraId="2531648D">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79798A1E">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4DAFC100">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4547D4AD">
            <w:pPr>
              <w:pStyle w:val="73"/>
              <w:spacing w:line="360" w:lineRule="auto"/>
              <w:rPr>
                <w:rFonts w:hint="eastAsia" w:ascii="仿宋_GB2312" w:hAnsi="仿宋_GB2312" w:eastAsia="仿宋_GB2312" w:cs="仿宋_GB2312"/>
                <w:sz w:val="32"/>
                <w:szCs w:val="32"/>
              </w:rPr>
            </w:pPr>
          </w:p>
        </w:tc>
      </w:tr>
      <w:tr w14:paraId="49CAA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09" w:type="dxa"/>
            <w:gridSpan w:val="5"/>
            <w:noWrap w:val="0"/>
            <w:vAlign w:val="top"/>
          </w:tcPr>
          <w:p w14:paraId="67923A19">
            <w:pPr>
              <w:pStyle w:val="73"/>
              <w:spacing w:line="360" w:lineRule="auto"/>
              <w:rPr>
                <w:rFonts w:hint="eastAsia" w:ascii="仿宋_GB2312" w:hAnsi="仿宋_GB2312" w:eastAsia="仿宋_GB2312" w:cs="仿宋_GB2312"/>
                <w:sz w:val="32"/>
                <w:szCs w:val="32"/>
              </w:rPr>
            </w:pPr>
          </w:p>
        </w:tc>
      </w:tr>
      <w:tr w14:paraId="3A433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2706" w:type="dxa"/>
            <w:noWrap w:val="0"/>
            <w:vAlign w:val="top"/>
          </w:tcPr>
          <w:p w14:paraId="10C2175A">
            <w:pPr>
              <w:spacing w:before="169" w:line="360" w:lineRule="auto"/>
              <w:ind w:left="998" w:right="198" w:hanging="779"/>
              <w:jc w:val="center"/>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直接下级控股/</w:t>
            </w:r>
          </w:p>
          <w:p w14:paraId="0D46128D">
            <w:pPr>
              <w:spacing w:before="169" w:line="360" w:lineRule="auto"/>
              <w:ind w:left="998" w:right="198" w:hanging="779"/>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管理单</w:t>
            </w:r>
            <w:r>
              <w:rPr>
                <w:rFonts w:hint="eastAsia" w:ascii="仿宋_GB2312" w:hAnsi="仿宋_GB2312" w:eastAsia="仿宋_GB2312" w:cs="仿宋_GB2312"/>
                <w:spacing w:val="-2"/>
                <w:sz w:val="32"/>
                <w:szCs w:val="32"/>
              </w:rPr>
              <w:t>位名称</w:t>
            </w:r>
          </w:p>
        </w:tc>
        <w:tc>
          <w:tcPr>
            <w:tcW w:w="2236" w:type="dxa"/>
            <w:noWrap w:val="0"/>
            <w:vAlign w:val="top"/>
          </w:tcPr>
          <w:p w14:paraId="01573C78">
            <w:pPr>
              <w:spacing w:before="193" w:line="360" w:lineRule="auto"/>
              <w:ind w:left="328" w:right="149" w:hanging="157"/>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本单位控股（出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资）比例(%)</w:t>
            </w:r>
          </w:p>
        </w:tc>
        <w:tc>
          <w:tcPr>
            <w:tcW w:w="1590" w:type="dxa"/>
            <w:noWrap w:val="0"/>
            <w:vAlign w:val="top"/>
          </w:tcPr>
          <w:p w14:paraId="28C92638">
            <w:pPr>
              <w:pStyle w:val="73"/>
              <w:spacing w:line="360" w:lineRule="auto"/>
              <w:jc w:val="center"/>
              <w:rPr>
                <w:rFonts w:hint="eastAsia" w:ascii="仿宋_GB2312" w:hAnsi="仿宋_GB2312" w:eastAsia="仿宋_GB2312" w:cs="仿宋_GB2312"/>
                <w:sz w:val="32"/>
                <w:szCs w:val="32"/>
              </w:rPr>
            </w:pPr>
          </w:p>
          <w:p w14:paraId="024D44CD">
            <w:pPr>
              <w:spacing w:before="78" w:line="360" w:lineRule="auto"/>
              <w:ind w:left="13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05" w:type="dxa"/>
            <w:noWrap w:val="0"/>
            <w:vAlign w:val="top"/>
          </w:tcPr>
          <w:p w14:paraId="0D44A3F3">
            <w:pPr>
              <w:pStyle w:val="73"/>
              <w:spacing w:line="360" w:lineRule="auto"/>
              <w:jc w:val="center"/>
              <w:rPr>
                <w:rFonts w:hint="eastAsia" w:ascii="仿宋_GB2312" w:hAnsi="仿宋_GB2312" w:eastAsia="仿宋_GB2312" w:cs="仿宋_GB2312"/>
                <w:sz w:val="32"/>
                <w:szCs w:val="32"/>
              </w:rPr>
            </w:pPr>
          </w:p>
          <w:p w14:paraId="3541E13B">
            <w:pPr>
              <w:spacing w:before="78" w:line="360" w:lineRule="auto"/>
              <w:ind w:left="176"/>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72" w:type="dxa"/>
            <w:noWrap w:val="0"/>
            <w:vAlign w:val="top"/>
          </w:tcPr>
          <w:p w14:paraId="77DA132F">
            <w:pPr>
              <w:pStyle w:val="73"/>
              <w:spacing w:line="360" w:lineRule="auto"/>
              <w:jc w:val="center"/>
              <w:rPr>
                <w:rFonts w:hint="eastAsia" w:ascii="仿宋_GB2312" w:hAnsi="仿宋_GB2312" w:eastAsia="仿宋_GB2312" w:cs="仿宋_GB2312"/>
                <w:sz w:val="32"/>
                <w:szCs w:val="32"/>
              </w:rPr>
            </w:pPr>
          </w:p>
          <w:p w14:paraId="3AA84220">
            <w:pPr>
              <w:spacing w:before="78" w:line="360" w:lineRule="auto"/>
              <w:ind w:left="616"/>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04DCA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2706" w:type="dxa"/>
            <w:noWrap w:val="0"/>
            <w:vAlign w:val="top"/>
          </w:tcPr>
          <w:p w14:paraId="3E680B85">
            <w:pPr>
              <w:pStyle w:val="73"/>
              <w:spacing w:line="360" w:lineRule="auto"/>
              <w:rPr>
                <w:rFonts w:hint="eastAsia" w:ascii="仿宋_GB2312" w:hAnsi="仿宋_GB2312" w:eastAsia="仿宋_GB2312" w:cs="仿宋_GB2312"/>
                <w:sz w:val="32"/>
                <w:szCs w:val="32"/>
              </w:rPr>
            </w:pPr>
          </w:p>
        </w:tc>
        <w:tc>
          <w:tcPr>
            <w:tcW w:w="2236" w:type="dxa"/>
            <w:noWrap w:val="0"/>
            <w:vAlign w:val="top"/>
          </w:tcPr>
          <w:p w14:paraId="0214D3A9">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6CEC2710">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010B125D">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18009311">
            <w:pPr>
              <w:pStyle w:val="73"/>
              <w:spacing w:line="360" w:lineRule="auto"/>
              <w:rPr>
                <w:rFonts w:hint="eastAsia" w:ascii="仿宋_GB2312" w:hAnsi="仿宋_GB2312" w:eastAsia="仿宋_GB2312" w:cs="仿宋_GB2312"/>
                <w:sz w:val="32"/>
                <w:szCs w:val="32"/>
              </w:rPr>
            </w:pPr>
          </w:p>
        </w:tc>
      </w:tr>
      <w:tr w14:paraId="4D938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706" w:type="dxa"/>
            <w:noWrap w:val="0"/>
            <w:vAlign w:val="top"/>
          </w:tcPr>
          <w:p w14:paraId="0C0FFA98">
            <w:pPr>
              <w:spacing w:before="145"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36" w:type="dxa"/>
            <w:noWrap w:val="0"/>
            <w:vAlign w:val="top"/>
          </w:tcPr>
          <w:p w14:paraId="576FB91F">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477A8F16">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6C26521B">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4C474A3D">
            <w:pPr>
              <w:pStyle w:val="73"/>
              <w:spacing w:line="360" w:lineRule="auto"/>
              <w:rPr>
                <w:rFonts w:hint="eastAsia" w:ascii="仿宋_GB2312" w:hAnsi="仿宋_GB2312" w:eastAsia="仿宋_GB2312" w:cs="仿宋_GB2312"/>
                <w:sz w:val="32"/>
                <w:szCs w:val="32"/>
              </w:rPr>
            </w:pPr>
          </w:p>
        </w:tc>
      </w:tr>
    </w:tbl>
    <w:p w14:paraId="4CF7E935">
      <w:pPr>
        <w:spacing w:before="154"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3、属于同一直接上级控股/管理单位的其他兄弟单位</w:t>
      </w:r>
      <w:r>
        <w:rPr>
          <w:rFonts w:hint="eastAsia" w:ascii="仿宋_GB2312" w:hAnsi="仿宋_GB2312" w:eastAsia="仿宋_GB2312" w:cs="仿宋_GB2312"/>
          <w:spacing w:val="-3"/>
          <w:sz w:val="32"/>
          <w:szCs w:val="32"/>
        </w:rPr>
        <w:t>情况</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9"/>
        <w:gridCol w:w="2340"/>
        <w:gridCol w:w="1455"/>
        <w:gridCol w:w="1920"/>
        <w:gridCol w:w="1929"/>
      </w:tblGrid>
      <w:tr w14:paraId="06EB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9" w:type="dxa"/>
            <w:noWrap w:val="0"/>
            <w:vAlign w:val="top"/>
          </w:tcPr>
          <w:p w14:paraId="5CF57E97">
            <w:pPr>
              <w:spacing w:before="169" w:line="360" w:lineRule="auto"/>
              <w:ind w:left="998" w:right="198" w:hanging="77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直接上级控股/管理单位名称</w:t>
            </w:r>
          </w:p>
        </w:tc>
        <w:tc>
          <w:tcPr>
            <w:tcW w:w="2340" w:type="dxa"/>
            <w:noWrap w:val="0"/>
            <w:vAlign w:val="top"/>
          </w:tcPr>
          <w:p w14:paraId="7AC24432">
            <w:pPr>
              <w:spacing w:before="193" w:line="360" w:lineRule="auto"/>
              <w:ind w:left="328" w:right="149" w:hanging="157"/>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对本单位控股（出 资）比例(%)</w:t>
            </w:r>
          </w:p>
        </w:tc>
        <w:tc>
          <w:tcPr>
            <w:tcW w:w="1455" w:type="dxa"/>
            <w:noWrap w:val="0"/>
            <w:vAlign w:val="center"/>
          </w:tcPr>
          <w:p w14:paraId="4AB4A0E7">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20" w:type="dxa"/>
            <w:noWrap w:val="0"/>
            <w:vAlign w:val="center"/>
          </w:tcPr>
          <w:p w14:paraId="68CD333D">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29" w:type="dxa"/>
            <w:noWrap w:val="0"/>
            <w:vAlign w:val="center"/>
          </w:tcPr>
          <w:p w14:paraId="2C056AFD">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43C0D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2709" w:type="dxa"/>
            <w:noWrap w:val="0"/>
            <w:vAlign w:val="top"/>
          </w:tcPr>
          <w:p w14:paraId="67803B8B">
            <w:pPr>
              <w:pStyle w:val="73"/>
              <w:spacing w:line="360" w:lineRule="auto"/>
              <w:rPr>
                <w:rFonts w:hint="eastAsia" w:ascii="仿宋_GB2312" w:hAnsi="仿宋_GB2312" w:eastAsia="仿宋_GB2312" w:cs="仿宋_GB2312"/>
                <w:sz w:val="32"/>
                <w:szCs w:val="32"/>
              </w:rPr>
            </w:pPr>
          </w:p>
        </w:tc>
        <w:tc>
          <w:tcPr>
            <w:tcW w:w="2340" w:type="dxa"/>
            <w:noWrap w:val="0"/>
            <w:vAlign w:val="top"/>
          </w:tcPr>
          <w:p w14:paraId="66771EE7">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4F1F050E">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2DCD89E2">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21B5AC6E">
            <w:pPr>
              <w:pStyle w:val="73"/>
              <w:spacing w:line="360" w:lineRule="auto"/>
              <w:rPr>
                <w:rFonts w:hint="eastAsia" w:ascii="仿宋_GB2312" w:hAnsi="仿宋_GB2312" w:eastAsia="仿宋_GB2312" w:cs="仿宋_GB2312"/>
                <w:sz w:val="32"/>
                <w:szCs w:val="32"/>
              </w:rPr>
            </w:pPr>
          </w:p>
        </w:tc>
      </w:tr>
      <w:tr w14:paraId="53565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jc w:val="center"/>
        </w:trPr>
        <w:tc>
          <w:tcPr>
            <w:tcW w:w="2709" w:type="dxa"/>
            <w:noWrap w:val="0"/>
            <w:vAlign w:val="top"/>
          </w:tcPr>
          <w:p w14:paraId="713F2092">
            <w:pPr>
              <w:spacing w:before="150"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40" w:type="dxa"/>
            <w:noWrap w:val="0"/>
            <w:vAlign w:val="top"/>
          </w:tcPr>
          <w:p w14:paraId="48057F47">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6853A181">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78F9FA1F">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41955C6F">
            <w:pPr>
              <w:pStyle w:val="73"/>
              <w:spacing w:line="360" w:lineRule="auto"/>
              <w:rPr>
                <w:rFonts w:hint="eastAsia" w:ascii="仿宋_GB2312" w:hAnsi="仿宋_GB2312" w:eastAsia="仿宋_GB2312" w:cs="仿宋_GB2312"/>
                <w:sz w:val="32"/>
                <w:szCs w:val="32"/>
              </w:rPr>
            </w:pPr>
          </w:p>
        </w:tc>
      </w:tr>
      <w:tr w14:paraId="6E9C4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0353" w:type="dxa"/>
            <w:gridSpan w:val="5"/>
            <w:noWrap w:val="0"/>
            <w:vAlign w:val="top"/>
          </w:tcPr>
          <w:p w14:paraId="20A456B9">
            <w:pPr>
              <w:pStyle w:val="73"/>
              <w:spacing w:line="360" w:lineRule="auto"/>
              <w:rPr>
                <w:rFonts w:hint="eastAsia" w:ascii="仿宋_GB2312" w:hAnsi="仿宋_GB2312" w:eastAsia="仿宋_GB2312" w:cs="仿宋_GB2312"/>
                <w:sz w:val="32"/>
                <w:szCs w:val="32"/>
              </w:rPr>
            </w:pPr>
          </w:p>
        </w:tc>
      </w:tr>
      <w:tr w14:paraId="48ABF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jc w:val="center"/>
        </w:trPr>
        <w:tc>
          <w:tcPr>
            <w:tcW w:w="2709" w:type="dxa"/>
            <w:noWrap w:val="0"/>
            <w:vAlign w:val="top"/>
          </w:tcPr>
          <w:p w14:paraId="4A142D54">
            <w:pPr>
              <w:pStyle w:val="73"/>
              <w:spacing w:line="360" w:lineRule="auto"/>
              <w:rPr>
                <w:rFonts w:hint="eastAsia" w:ascii="仿宋_GB2312" w:hAnsi="仿宋_GB2312" w:eastAsia="仿宋_GB2312" w:cs="仿宋_GB2312"/>
                <w:sz w:val="32"/>
                <w:szCs w:val="32"/>
              </w:rPr>
            </w:pPr>
          </w:p>
          <w:p w14:paraId="614A1A27">
            <w:pPr>
              <w:spacing w:before="78" w:line="360" w:lineRule="auto"/>
              <w:ind w:left="113"/>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其他兄弟单位名称</w:t>
            </w:r>
          </w:p>
        </w:tc>
        <w:tc>
          <w:tcPr>
            <w:tcW w:w="2340" w:type="dxa"/>
            <w:noWrap w:val="0"/>
            <w:vAlign w:val="top"/>
          </w:tcPr>
          <w:p w14:paraId="7F3D498B">
            <w:pPr>
              <w:spacing w:before="168" w:line="360" w:lineRule="auto"/>
              <w:ind w:left="118" w:right="115" w:hanging="9"/>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对该单位控股（出</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3"/>
                <w:sz w:val="32"/>
                <w:szCs w:val="32"/>
              </w:rPr>
              <w:t>资）比例(%)</w:t>
            </w:r>
          </w:p>
        </w:tc>
        <w:tc>
          <w:tcPr>
            <w:tcW w:w="1455" w:type="dxa"/>
            <w:noWrap w:val="0"/>
            <w:vAlign w:val="center"/>
          </w:tcPr>
          <w:p w14:paraId="777E672B">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20" w:type="dxa"/>
            <w:noWrap w:val="0"/>
            <w:vAlign w:val="center"/>
          </w:tcPr>
          <w:p w14:paraId="494F4CCF">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29" w:type="dxa"/>
            <w:noWrap w:val="0"/>
            <w:vAlign w:val="center"/>
          </w:tcPr>
          <w:p w14:paraId="047679F6">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447EB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2709" w:type="dxa"/>
            <w:noWrap w:val="0"/>
            <w:vAlign w:val="top"/>
          </w:tcPr>
          <w:p w14:paraId="76D7C492">
            <w:pPr>
              <w:pStyle w:val="73"/>
              <w:spacing w:line="360" w:lineRule="auto"/>
              <w:rPr>
                <w:rFonts w:hint="eastAsia" w:ascii="仿宋_GB2312" w:hAnsi="仿宋_GB2312" w:eastAsia="仿宋_GB2312" w:cs="仿宋_GB2312"/>
                <w:sz w:val="32"/>
                <w:szCs w:val="32"/>
              </w:rPr>
            </w:pPr>
          </w:p>
        </w:tc>
        <w:tc>
          <w:tcPr>
            <w:tcW w:w="2340" w:type="dxa"/>
            <w:noWrap w:val="0"/>
            <w:vAlign w:val="top"/>
          </w:tcPr>
          <w:p w14:paraId="48904BF0">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462A2D04">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76A5F732">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3193BEAB">
            <w:pPr>
              <w:pStyle w:val="73"/>
              <w:spacing w:line="360" w:lineRule="auto"/>
              <w:rPr>
                <w:rFonts w:hint="eastAsia" w:ascii="仿宋_GB2312" w:hAnsi="仿宋_GB2312" w:eastAsia="仿宋_GB2312" w:cs="仿宋_GB2312"/>
                <w:sz w:val="32"/>
                <w:szCs w:val="32"/>
              </w:rPr>
            </w:pPr>
          </w:p>
        </w:tc>
      </w:tr>
      <w:tr w14:paraId="24D35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709" w:type="dxa"/>
            <w:noWrap w:val="0"/>
            <w:vAlign w:val="top"/>
          </w:tcPr>
          <w:p w14:paraId="6C776D27">
            <w:pPr>
              <w:spacing w:before="160"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40" w:type="dxa"/>
            <w:noWrap w:val="0"/>
            <w:vAlign w:val="top"/>
          </w:tcPr>
          <w:p w14:paraId="5A1930C0">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2A69D93B">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00BBB9D8">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42313002">
            <w:pPr>
              <w:pStyle w:val="73"/>
              <w:spacing w:line="360" w:lineRule="auto"/>
              <w:rPr>
                <w:rFonts w:hint="eastAsia" w:ascii="仿宋_GB2312" w:hAnsi="仿宋_GB2312" w:eastAsia="仿宋_GB2312" w:cs="仿宋_GB2312"/>
                <w:sz w:val="32"/>
                <w:szCs w:val="32"/>
              </w:rPr>
            </w:pPr>
          </w:p>
        </w:tc>
      </w:tr>
    </w:tbl>
    <w:p w14:paraId="1D61A2E4">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我公司承诺：如未提供或未如实填写直接上级控股/管理单位和直接下级控 股/管理单位情况，将被作为废标处理。说明：若无关联企业，则在上述表格中填写“无”</w:t>
      </w:r>
    </w:p>
    <w:p w14:paraId="1AAE2F12">
      <w:pPr>
        <w:pStyle w:val="4"/>
        <w:rPr>
          <w:rFonts w:hint="eastAsia" w:ascii="仿宋_GB2312" w:hAnsi="仿宋_GB2312" w:eastAsia="仿宋_GB2312" w:cs="仿宋_GB2312"/>
          <w:bCs/>
          <w:sz w:val="32"/>
          <w:szCs w:val="32"/>
        </w:rPr>
      </w:pPr>
    </w:p>
    <w:p w14:paraId="7E4DC559">
      <w:pPr>
        <w:rPr>
          <w:rFonts w:hint="eastAsia" w:ascii="仿宋_GB2312" w:hAnsi="仿宋_GB2312" w:eastAsia="仿宋_GB2312" w:cs="仿宋_GB2312"/>
          <w:b/>
          <w:bCs/>
          <w:sz w:val="32"/>
          <w:szCs w:val="32"/>
        </w:rPr>
      </w:pPr>
    </w:p>
    <w:p w14:paraId="7898045F">
      <w:pPr>
        <w:pStyle w:val="4"/>
        <w:rPr>
          <w:rFonts w:hint="eastAsia"/>
        </w:rPr>
      </w:pPr>
    </w:p>
    <w:p w14:paraId="087E3D7A">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6B487F53">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投标人法定代表人或受委托人（签名或盖私章）：</w:t>
      </w:r>
    </w:p>
    <w:p w14:paraId="212FC0BB">
      <w:pPr>
        <w:spacing w:line="360" w:lineRule="auto"/>
        <w:ind w:right="561"/>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日      期：</w:t>
      </w:r>
    </w:p>
    <w:p w14:paraId="1E97C22D">
      <w:pPr>
        <w:spacing w:before="75" w:line="360" w:lineRule="auto"/>
        <w:jc w:val="center"/>
        <w:outlineLvl w:val="1"/>
        <w:rPr>
          <w:rFonts w:hint="eastAsia" w:ascii="仿宋_GB2312" w:hAnsi="仿宋_GB2312" w:eastAsia="仿宋_GB2312" w:cs="仿宋_GB2312"/>
          <w:spacing w:val="4"/>
          <w:sz w:val="32"/>
          <w:szCs w:val="32"/>
        </w:rPr>
      </w:pPr>
    </w:p>
    <w:p w14:paraId="182452C4">
      <w:pPr>
        <w:spacing w:before="75" w:line="360" w:lineRule="auto"/>
        <w:jc w:val="center"/>
        <w:outlineLvl w:val="1"/>
        <w:rPr>
          <w:rFonts w:hint="eastAsia" w:ascii="仿宋_GB2312" w:hAnsi="仿宋_GB2312" w:eastAsia="仿宋_GB2312" w:cs="仿宋_GB2312"/>
          <w:spacing w:val="4"/>
          <w:sz w:val="32"/>
          <w:szCs w:val="32"/>
        </w:rPr>
      </w:pPr>
    </w:p>
    <w:p w14:paraId="7D4C9545">
      <w:pPr>
        <w:numPr>
          <w:ilvl w:val="0"/>
          <w:numId w:val="54"/>
        </w:numPr>
        <w:spacing w:before="75" w:line="360" w:lineRule="auto"/>
        <w:jc w:val="center"/>
        <w:outlineLvl w:val="1"/>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不参与围标串标承诺书</w:t>
      </w:r>
    </w:p>
    <w:p w14:paraId="33EB5C97">
      <w:pPr>
        <w:spacing w:before="75" w:line="360" w:lineRule="auto"/>
        <w:outlineLvl w:val="1"/>
        <w:rPr>
          <w:rFonts w:hint="eastAsia" w:ascii="仿宋_GB2312" w:hAnsi="仿宋_GB2312" w:eastAsia="仿宋_GB2312" w:cs="仿宋_GB2312"/>
          <w:spacing w:val="4"/>
          <w:sz w:val="32"/>
          <w:szCs w:val="32"/>
        </w:rPr>
      </w:pPr>
    </w:p>
    <w:p w14:paraId="1F10AAD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本人作为经授权的投标人代表,清楚知晓我单位本项目投标活动,对以下事项作出承诺：</w:t>
      </w:r>
    </w:p>
    <w:p w14:paraId="5961E2B3">
      <w:pPr>
        <w:spacing w:line="360" w:lineRule="auto"/>
        <w:ind w:firstLine="640" w:firstLineChars="200"/>
        <w:rPr>
          <w:rFonts w:hint="eastAsia" w:ascii="仿宋_GB2312" w:hAnsi="仿宋_GB2312" w:eastAsia="仿宋_GB2312" w:cs="仿宋_GB2312"/>
          <w:sz w:val="32"/>
          <w:szCs w:val="32"/>
        </w:rPr>
      </w:pPr>
    </w:p>
    <w:p w14:paraId="608E83E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一、我单位和我本人遵循公开透明、公平竞争、公正和诚实信用的原则,依法依规参与本项目竞标。</w:t>
      </w:r>
    </w:p>
    <w:p w14:paraId="51AEAFF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二、我单位和我本人在本项目政府采购投标活动中,未参与围标串标。</w:t>
      </w:r>
    </w:p>
    <w:p w14:paraId="1A7DB4D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18FF05AE">
      <w:pPr>
        <w:spacing w:line="360" w:lineRule="auto"/>
        <w:ind w:firstLine="640" w:firstLineChars="200"/>
        <w:rPr>
          <w:rFonts w:hint="eastAsia" w:ascii="仿宋_GB2312" w:hAnsi="仿宋_GB2312" w:eastAsia="仿宋_GB2312" w:cs="仿宋_GB2312"/>
          <w:sz w:val="32"/>
          <w:szCs w:val="32"/>
        </w:rPr>
      </w:pPr>
    </w:p>
    <w:p w14:paraId="5625C908">
      <w:pPr>
        <w:spacing w:line="360" w:lineRule="auto"/>
        <w:ind w:firstLine="640" w:firstLineChars="200"/>
        <w:rPr>
          <w:rFonts w:hint="eastAsia" w:ascii="仿宋_GB2312" w:hAnsi="仿宋_GB2312" w:eastAsia="仿宋_GB2312" w:cs="仿宋_GB2312"/>
          <w:sz w:val="32"/>
          <w:szCs w:val="32"/>
        </w:rPr>
      </w:pPr>
    </w:p>
    <w:p w14:paraId="3A04217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p>
    <w:p w14:paraId="6C484B9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法定代表人、负责人、本人、或授权代表（签字或盖章）：</w:t>
      </w:r>
    </w:p>
    <w:p w14:paraId="3CBFC80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2DB18979">
      <w:pPr>
        <w:pStyle w:val="26"/>
        <w:ind w:left="0" w:leftChars="0" w:firstLine="0" w:firstLineChars="0"/>
        <w:rPr>
          <w:rFonts w:hint="eastAsia" w:ascii="仿宋_GB2312" w:hAnsi="仿宋_GB2312" w:eastAsia="仿宋_GB2312" w:cs="仿宋_GB2312"/>
          <w:sz w:val="32"/>
          <w:szCs w:val="32"/>
        </w:rPr>
      </w:pPr>
    </w:p>
    <w:p w14:paraId="7A7CAD8F">
      <w:pPr>
        <w:pStyle w:val="26"/>
        <w:ind w:left="0" w:leftChars="0" w:firstLine="0" w:firstLineChars="0"/>
        <w:rPr>
          <w:rFonts w:hint="eastAsia" w:ascii="仿宋_GB2312" w:hAnsi="仿宋_GB2312" w:eastAsia="仿宋_GB2312" w:cs="仿宋_GB2312"/>
          <w:sz w:val="32"/>
          <w:szCs w:val="32"/>
        </w:rPr>
      </w:pPr>
    </w:p>
    <w:p w14:paraId="13A5B380">
      <w:pPr>
        <w:pStyle w:val="26"/>
        <w:ind w:left="0" w:leftChars="0" w:firstLine="0" w:firstLineChars="0"/>
        <w:rPr>
          <w:rFonts w:hint="eastAsia" w:ascii="仿宋_GB2312" w:hAnsi="仿宋_GB2312" w:eastAsia="仿宋_GB2312" w:cs="仿宋_GB2312"/>
          <w:sz w:val="32"/>
          <w:szCs w:val="32"/>
        </w:rPr>
      </w:pPr>
    </w:p>
    <w:p w14:paraId="4738AF4E">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16、投标人认为需要提供的其他材料说明</w:t>
      </w:r>
      <w:bookmarkEnd w:id="324"/>
    </w:p>
    <w:p w14:paraId="4C0E1166">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69DAC34">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附件1、在经营活动中没有重大违法记录的书面声明 </w:t>
      </w:r>
    </w:p>
    <w:p w14:paraId="74816C0A">
      <w:pPr>
        <w:pStyle w:val="65"/>
        <w:spacing w:line="360" w:lineRule="auto"/>
        <w:ind w:firstLine="659"/>
        <w:rPr>
          <w:rFonts w:hint="eastAsia" w:hAnsi="仿宋_GB2312" w:cs="仿宋_GB2312"/>
          <w:sz w:val="32"/>
          <w:szCs w:val="32"/>
        </w:rPr>
      </w:pPr>
    </w:p>
    <w:p w14:paraId="0D214808">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新疆金斌工程项目管理有限公司:</w:t>
      </w:r>
    </w:p>
    <w:p w14:paraId="3BF0951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我方参加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项目（项目编号：　      　　　）的政府采购活动，并声明：</w:t>
      </w:r>
    </w:p>
    <w:p w14:paraId="40537643">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我方参加本采购项目政府采购前3年内在经营活动中没有因违法经营受到刑事处罚或者责令停产停业、吊销许可证或者执照、较大数额罚款等行政处罚。</w:t>
      </w:r>
    </w:p>
    <w:p w14:paraId="246306A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4C385D7D">
      <w:pPr>
        <w:pStyle w:val="65"/>
        <w:spacing w:line="360" w:lineRule="auto"/>
        <w:ind w:firstLine="659"/>
        <w:rPr>
          <w:rFonts w:hint="eastAsia" w:hAnsi="仿宋_GB2312" w:cs="仿宋_GB2312"/>
          <w:sz w:val="32"/>
          <w:szCs w:val="32"/>
        </w:rPr>
      </w:pPr>
    </w:p>
    <w:p w14:paraId="094F6EDC">
      <w:pPr>
        <w:pStyle w:val="65"/>
        <w:spacing w:line="360" w:lineRule="auto"/>
        <w:ind w:firstLine="659"/>
        <w:rPr>
          <w:rFonts w:hint="eastAsia" w:hAnsi="仿宋_GB2312" w:cs="仿宋_GB2312"/>
          <w:sz w:val="32"/>
          <w:szCs w:val="32"/>
        </w:rPr>
      </w:pPr>
    </w:p>
    <w:p w14:paraId="57898474">
      <w:pPr>
        <w:pStyle w:val="65"/>
        <w:spacing w:line="360" w:lineRule="auto"/>
        <w:ind w:firstLine="659"/>
        <w:rPr>
          <w:rFonts w:hint="eastAsia" w:hAnsi="仿宋_GB2312" w:cs="仿宋_GB2312"/>
          <w:sz w:val="32"/>
          <w:szCs w:val="32"/>
        </w:rPr>
      </w:pPr>
    </w:p>
    <w:p w14:paraId="2CFB754F">
      <w:pPr>
        <w:pStyle w:val="65"/>
        <w:spacing w:line="360" w:lineRule="auto"/>
        <w:ind w:firstLine="0" w:firstLineChars="0"/>
        <w:rPr>
          <w:rFonts w:hint="eastAsia" w:hAnsi="仿宋_GB2312" w:cs="仿宋_GB2312"/>
          <w:sz w:val="32"/>
          <w:szCs w:val="32"/>
        </w:rPr>
      </w:pPr>
      <w:r>
        <w:rPr>
          <w:rFonts w:hint="eastAsia" w:hAnsi="仿宋_GB2312" w:cs="仿宋_GB2312"/>
          <w:sz w:val="32"/>
          <w:szCs w:val="32"/>
          <w:lang w:eastAsia="zh-CN"/>
        </w:rPr>
        <w:t>投标人</w:t>
      </w:r>
      <w:r>
        <w:rPr>
          <w:rFonts w:hint="eastAsia" w:hAnsi="仿宋_GB2312" w:cs="仿宋_GB2312"/>
          <w:sz w:val="32"/>
          <w:szCs w:val="32"/>
        </w:rPr>
        <w:t>名称（加盖公章）：</w:t>
      </w:r>
    </w:p>
    <w:p w14:paraId="1AFB3504">
      <w:pPr>
        <w:pStyle w:val="65"/>
        <w:spacing w:line="360" w:lineRule="auto"/>
        <w:ind w:firstLine="0" w:firstLineChars="0"/>
        <w:rPr>
          <w:rFonts w:hint="eastAsia" w:hAnsi="仿宋_GB2312" w:cs="仿宋_GB2312"/>
          <w:sz w:val="32"/>
          <w:szCs w:val="32"/>
        </w:rPr>
      </w:pPr>
      <w:r>
        <w:rPr>
          <w:rFonts w:hint="eastAsia" w:hAnsi="仿宋_GB2312" w:cs="仿宋_GB2312"/>
          <w:sz w:val="32"/>
          <w:szCs w:val="32"/>
          <w:lang w:eastAsia="zh-CN"/>
        </w:rPr>
        <w:t>投标人</w:t>
      </w:r>
      <w:r>
        <w:rPr>
          <w:rFonts w:hint="eastAsia" w:hAnsi="仿宋_GB2312" w:cs="仿宋_GB2312"/>
          <w:sz w:val="32"/>
          <w:szCs w:val="32"/>
        </w:rPr>
        <w:t>法定代表人或受委托人（签名或盖私章）：</w:t>
      </w:r>
    </w:p>
    <w:p w14:paraId="78A4AEAB">
      <w:pPr>
        <w:pStyle w:val="65"/>
        <w:spacing w:line="360" w:lineRule="auto"/>
        <w:ind w:firstLine="0" w:firstLineChars="0"/>
        <w:rPr>
          <w:rFonts w:hint="eastAsia" w:hAnsi="仿宋_GB2312" w:cs="仿宋_GB2312"/>
          <w:sz w:val="32"/>
          <w:szCs w:val="32"/>
        </w:rPr>
      </w:pPr>
      <w:r>
        <w:rPr>
          <w:rFonts w:hint="eastAsia" w:hAnsi="仿宋_GB2312" w:cs="仿宋_GB2312"/>
          <w:sz w:val="32"/>
          <w:szCs w:val="32"/>
        </w:rPr>
        <w:t>日      期：</w:t>
      </w:r>
    </w:p>
    <w:p w14:paraId="1C7B8434">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附件2、中小企业声明函（货物）（如有）</w:t>
      </w:r>
    </w:p>
    <w:p w14:paraId="7A2BA781">
      <w:pPr>
        <w:snapToGrid w:val="0"/>
        <w:spacing w:line="360" w:lineRule="auto"/>
        <w:jc w:val="center"/>
        <w:textAlignment w:val="baseline"/>
        <w:rPr>
          <w:rFonts w:hint="eastAsia"/>
          <w:sz w:val="32"/>
          <w:szCs w:val="32"/>
        </w:rPr>
      </w:pPr>
      <w:r>
        <w:rPr>
          <w:rStyle w:val="50"/>
          <w:rFonts w:hint="eastAsia" w:ascii="仿宋_GB2312" w:hAnsi="仿宋_GB2312" w:eastAsia="仿宋_GB2312" w:cs="仿宋_GB2312"/>
          <w:sz w:val="32"/>
          <w:szCs w:val="32"/>
        </w:rPr>
        <w:t>（若有请如实填写，如不是无需附此函）</w:t>
      </w:r>
    </w:p>
    <w:p w14:paraId="5B2B25B1">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本公司郑重声明，根据《政府采购促进中小企业发展管理办法》（财库〔2020〕46 号）的规定，本公司（联合体）参加 </w:t>
      </w:r>
      <w:r>
        <w:rPr>
          <w:rFonts w:hint="eastAsia" w:ascii="仿宋" w:hAnsi="仿宋" w:eastAsia="仿宋" w:cs="仿宋"/>
          <w:sz w:val="32"/>
          <w:szCs w:val="32"/>
          <w:u w:val="single"/>
        </w:rPr>
        <w:t xml:space="preserve">（单位名称） </w:t>
      </w:r>
      <w:r>
        <w:rPr>
          <w:rFonts w:hint="eastAsia" w:ascii="仿宋" w:hAnsi="仿宋" w:eastAsia="仿宋" w:cs="仿宋"/>
          <w:sz w:val="32"/>
          <w:szCs w:val="32"/>
        </w:rPr>
        <w:t xml:space="preserve">的 </w:t>
      </w:r>
      <w:r>
        <w:rPr>
          <w:rFonts w:hint="eastAsia" w:ascii="仿宋" w:hAnsi="仿宋" w:eastAsia="仿宋" w:cs="仿宋"/>
          <w:sz w:val="32"/>
          <w:szCs w:val="32"/>
          <w:u w:val="single"/>
        </w:rPr>
        <w:t xml:space="preserve">（项目名称） </w:t>
      </w:r>
      <w:r>
        <w:rPr>
          <w:rFonts w:hint="eastAsia" w:ascii="仿宋" w:hAnsi="仿宋" w:eastAsia="仿宋" w:cs="仿宋"/>
          <w:sz w:val="32"/>
          <w:szCs w:val="32"/>
        </w:rPr>
        <w:t>采购活动，提供的货物全部由符合政策要求的中小企业制造。相关企业（含联合体中的中小企业、签订分包意向协议的中小企业）的具体情况如下：</w:t>
      </w:r>
    </w:p>
    <w:p w14:paraId="2E413597">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　　</w:t>
      </w:r>
      <w:bookmarkStart w:id="325" w:name="_Toc387147344"/>
      <w:bookmarkStart w:id="326" w:name="_Toc413748654"/>
      <w:bookmarkStart w:id="327" w:name="_Toc387658050"/>
      <w:bookmarkStart w:id="328" w:name="_Toc417911732"/>
      <w:bookmarkStart w:id="329" w:name="_Toc419811733"/>
      <w:r>
        <w:rPr>
          <w:rFonts w:hint="eastAsia" w:ascii="仿宋" w:hAnsi="仿宋" w:eastAsia="仿宋" w:cs="仿宋"/>
          <w:sz w:val="32"/>
          <w:szCs w:val="32"/>
        </w:rPr>
        <w:t xml:space="preserve">1. </w:t>
      </w:r>
      <w:r>
        <w:rPr>
          <w:rFonts w:hint="eastAsia" w:ascii="仿宋" w:hAnsi="仿宋" w:eastAsia="仿宋" w:cs="仿宋"/>
          <w:sz w:val="32"/>
          <w:szCs w:val="32"/>
          <w:u w:val="single"/>
        </w:rPr>
        <w:t xml:space="preserve">（标的名称） </w:t>
      </w:r>
      <w:r>
        <w:rPr>
          <w:rFonts w:hint="eastAsia" w:ascii="仿宋" w:hAnsi="仿宋" w:eastAsia="仿宋" w:cs="仿宋"/>
          <w:sz w:val="32"/>
          <w:szCs w:val="32"/>
        </w:rPr>
        <w:t>，属于</w:t>
      </w:r>
      <w:r>
        <w:rPr>
          <w:rFonts w:hint="eastAsia" w:ascii="仿宋" w:hAnsi="仿宋" w:eastAsia="仿宋" w:cs="仿宋"/>
          <w:sz w:val="32"/>
          <w:szCs w:val="32"/>
          <w:u w:val="single"/>
        </w:rPr>
        <w:t xml:space="preserve"> （采购文件中明确的所属行业） </w:t>
      </w:r>
      <w:r>
        <w:rPr>
          <w:rFonts w:hint="eastAsia" w:ascii="仿宋" w:hAnsi="仿宋" w:eastAsia="仿宋" w:cs="仿宋"/>
          <w:sz w:val="32"/>
          <w:szCs w:val="32"/>
        </w:rPr>
        <w:t>；制造商为</w:t>
      </w:r>
      <w:r>
        <w:rPr>
          <w:rFonts w:hint="eastAsia" w:ascii="仿宋" w:hAnsi="仿宋" w:eastAsia="仿宋" w:cs="仿宋"/>
          <w:sz w:val="32"/>
          <w:szCs w:val="32"/>
          <w:u w:val="single"/>
        </w:rPr>
        <w:t xml:space="preserve"> （企业名称） </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w:t>
      </w:r>
      <w:r>
        <w:rPr>
          <w:rFonts w:hint="eastAsia" w:ascii="仿宋" w:hAnsi="仿宋" w:eastAsia="仿宋" w:cs="仿宋"/>
          <w:sz w:val="32"/>
          <w:szCs w:val="32"/>
          <w:u w:val="single"/>
        </w:rPr>
        <w:t xml:space="preserve"> （中型企业、小型企业、微型企业） </w:t>
      </w:r>
      <w:r>
        <w:rPr>
          <w:rFonts w:hint="eastAsia" w:ascii="仿宋" w:hAnsi="仿宋" w:eastAsia="仿宋" w:cs="仿宋"/>
          <w:sz w:val="32"/>
          <w:szCs w:val="32"/>
        </w:rPr>
        <w:t>；</w:t>
      </w:r>
    </w:p>
    <w:p w14:paraId="478727B6">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u w:val="single"/>
        </w:rPr>
        <w:t xml:space="preserve"> （标的名称） </w:t>
      </w:r>
      <w:r>
        <w:rPr>
          <w:rFonts w:hint="eastAsia" w:ascii="仿宋" w:hAnsi="仿宋" w:eastAsia="仿宋" w:cs="仿宋"/>
          <w:sz w:val="32"/>
          <w:szCs w:val="32"/>
        </w:rPr>
        <w:t>，属于</w:t>
      </w:r>
      <w:r>
        <w:rPr>
          <w:rFonts w:hint="eastAsia" w:ascii="仿宋" w:hAnsi="仿宋" w:eastAsia="仿宋" w:cs="仿宋"/>
          <w:sz w:val="32"/>
          <w:szCs w:val="32"/>
          <w:u w:val="single"/>
        </w:rPr>
        <w:t xml:space="preserve"> （采购文件中明确的所属行业） </w:t>
      </w:r>
      <w:r>
        <w:rPr>
          <w:rFonts w:hint="eastAsia" w:ascii="仿宋" w:hAnsi="仿宋" w:eastAsia="仿宋" w:cs="仿宋"/>
          <w:sz w:val="32"/>
          <w:szCs w:val="32"/>
        </w:rPr>
        <w:t>；制造商为</w:t>
      </w:r>
      <w:r>
        <w:rPr>
          <w:rFonts w:hint="eastAsia" w:ascii="仿宋" w:hAnsi="仿宋" w:eastAsia="仿宋" w:cs="仿宋"/>
          <w:sz w:val="32"/>
          <w:szCs w:val="32"/>
          <w:u w:val="single"/>
        </w:rPr>
        <w:t xml:space="preserve"> （企业名称） </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w:t>
      </w:r>
      <w:r>
        <w:rPr>
          <w:rFonts w:hint="eastAsia" w:ascii="仿宋" w:hAnsi="仿宋" w:eastAsia="仿宋" w:cs="仿宋"/>
          <w:sz w:val="32"/>
          <w:szCs w:val="32"/>
          <w:u w:val="single"/>
        </w:rPr>
        <w:t xml:space="preserve"> （中型企业、小型企业、微型企业） </w:t>
      </w:r>
      <w:r>
        <w:rPr>
          <w:rFonts w:hint="eastAsia" w:ascii="仿宋" w:hAnsi="仿宋" w:eastAsia="仿宋" w:cs="仿宋"/>
          <w:sz w:val="32"/>
          <w:szCs w:val="32"/>
        </w:rPr>
        <w:t>；</w:t>
      </w:r>
    </w:p>
    <w:p w14:paraId="415233A9">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w:t>
      </w:r>
    </w:p>
    <w:p w14:paraId="67B6834B">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以上企业，不属于大企业的分支机构，不存在控股股东为大企业的情形，也不存在与大企业的负责人为同一人的情形。</w:t>
      </w:r>
    </w:p>
    <w:p w14:paraId="0044FA09">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 xml:space="preserve">本企业对上述声明内容的真实性负责。如有虚假，将依法承担相应责任。                                  </w:t>
      </w:r>
    </w:p>
    <w:p w14:paraId="7405E0D4">
      <w:pPr>
        <w:spacing w:line="360" w:lineRule="auto"/>
        <w:jc w:val="center"/>
        <w:rPr>
          <w:rFonts w:hint="eastAsia" w:ascii="仿宋" w:hAnsi="仿宋" w:eastAsia="仿宋" w:cs="仿宋"/>
          <w:sz w:val="32"/>
          <w:szCs w:val="32"/>
        </w:rPr>
      </w:pPr>
    </w:p>
    <w:p w14:paraId="4A2899EE">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企业名称（盖章）：                       </w:t>
      </w:r>
    </w:p>
    <w:p w14:paraId="4185B365">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日 期：</w:t>
      </w:r>
    </w:p>
    <w:bookmarkEnd w:id="325"/>
    <w:bookmarkEnd w:id="326"/>
    <w:bookmarkEnd w:id="327"/>
    <w:bookmarkEnd w:id="328"/>
    <w:bookmarkEnd w:id="329"/>
    <w:p w14:paraId="628BD6C4">
      <w:pPr>
        <w:spacing w:before="75" w:line="360" w:lineRule="auto"/>
        <w:ind w:left="26" w:right="74" w:firstLine="7"/>
        <w:rPr>
          <w:rFonts w:hint="eastAsia" w:ascii="仿宋_GB2312" w:hAnsi="仿宋_GB2312" w:eastAsia="仿宋_GB2312" w:cs="仿宋_GB2312"/>
          <w:b/>
          <w:sz w:val="32"/>
          <w:szCs w:val="32"/>
        </w:rPr>
      </w:pPr>
      <w:r>
        <w:rPr>
          <w:rFonts w:hint="eastAsia" w:ascii="仿宋_GB2312" w:hAnsi="仿宋_GB2312" w:eastAsia="仿宋_GB2312" w:cs="仿宋_GB2312"/>
          <w:spacing w:val="13"/>
          <w:sz w:val="32"/>
          <w:szCs w:val="32"/>
        </w:rPr>
        <w:t>注</w:t>
      </w:r>
      <w:r>
        <w:rPr>
          <w:rFonts w:hint="eastAsia" w:ascii="仿宋_GB2312" w:hAnsi="仿宋_GB2312" w:eastAsia="仿宋_GB2312" w:cs="仿宋_GB2312"/>
          <w:spacing w:val="10"/>
          <w:sz w:val="32"/>
          <w:szCs w:val="32"/>
        </w:rPr>
        <w:t>：1、从业人员、营业收入、资产总额填报上一年度数据，无上一年度数据的新</w:t>
      </w:r>
      <w:r>
        <w:rPr>
          <w:rFonts w:hint="eastAsia" w:ascii="仿宋_GB2312" w:hAnsi="仿宋_GB2312" w:eastAsia="仿宋_GB2312" w:cs="仿宋_GB2312"/>
          <w:spacing w:val="8"/>
          <w:sz w:val="32"/>
          <w:szCs w:val="32"/>
        </w:rPr>
        <w:t>成立企业可不填报。</w:t>
      </w:r>
    </w:p>
    <w:p w14:paraId="20395631">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附件2.1</w:t>
      </w:r>
    </w:p>
    <w:p w14:paraId="657F9A34">
      <w:pPr>
        <w:widowControl/>
        <w:spacing w:line="360" w:lineRule="auto"/>
        <w:jc w:val="left"/>
        <w:rPr>
          <w:rStyle w:val="30"/>
          <w:rFonts w:hint="eastAsia" w:ascii="仿宋_GB2312" w:hAnsi="仿宋_GB2312" w:eastAsia="仿宋_GB2312" w:cs="仿宋_GB2312"/>
          <w:kern w:val="0"/>
          <w:sz w:val="32"/>
          <w:szCs w:val="32"/>
          <w:lang w:bidi="ar"/>
        </w:rPr>
      </w:pPr>
    </w:p>
    <w:p w14:paraId="7F07DC80">
      <w:pPr>
        <w:widowControl/>
        <w:spacing w:line="360" w:lineRule="auto"/>
        <w:ind w:firstLine="643" w:firstLineChars="200"/>
        <w:jc w:val="left"/>
        <w:rPr>
          <w:rStyle w:val="30"/>
          <w:rFonts w:hint="eastAsia" w:ascii="仿宋_GB2312" w:hAnsi="仿宋_GB2312" w:eastAsia="仿宋_GB2312" w:cs="仿宋_GB2312"/>
          <w:kern w:val="0"/>
          <w:sz w:val="32"/>
          <w:szCs w:val="32"/>
          <w:lang w:bidi="ar"/>
        </w:rPr>
      </w:pPr>
      <w:r>
        <w:rPr>
          <w:rStyle w:val="30"/>
          <w:rFonts w:hint="eastAsia" w:ascii="仿宋_GB2312" w:hAnsi="仿宋_GB2312" w:eastAsia="仿宋_GB2312" w:cs="仿宋_GB2312"/>
          <w:kern w:val="0"/>
          <w:sz w:val="32"/>
          <w:szCs w:val="32"/>
          <w:lang w:bidi="ar"/>
        </w:rPr>
        <w:t>（一）关于“中小企业声明函”的填写要求</w:t>
      </w:r>
    </w:p>
    <w:p w14:paraId="3E909A3C">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“中小企业声明函”具体填写要求如下：</w:t>
      </w:r>
    </w:p>
    <w:p w14:paraId="03C6AF14">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1.“单位名称”应填写采购人名称。</w:t>
      </w:r>
    </w:p>
    <w:p w14:paraId="3D6B6277">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37A63FBD">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5A0791E">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4.“采购文件中明确的所属行业”应填写采购文件中明确的采购标的所属行业，并应确保与采购标的涉及的货物制造商/服务承接商/工程承建商（根据项目属性确定）本身的所属行业保持一致。</w:t>
      </w:r>
    </w:p>
    <w:p w14:paraId="7CE5391A">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B2407EA">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94233C5">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5.“企业名称”应填写投标（响应）的货物制造商/服务承接商/工程承建商（根据项目属性确定）。</w:t>
      </w:r>
    </w:p>
    <w:p w14:paraId="1B941BC2">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对于分包方式面向中小企业采购的项目，“企业名称”应填写分包部分采购标的对应的货物制造商/服务承接商/工程承建商（根据项目属性确定）。</w:t>
      </w:r>
    </w:p>
    <w:p w14:paraId="058F8563">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对于以联合体方式面向中小企业采购的项目，“企业名称”应填写联合体中中小企业承担采购标的对应的货物制造商/服务承接商/工程承建商（根据项目属性确定）。</w:t>
      </w:r>
    </w:p>
    <w:p w14:paraId="256A2569">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6.从业人员、资产总额指标以上年度末数据为依据，营业收入指标以上年度累计数据为依据。无上年度数据的新成立企业可不填报。</w:t>
      </w:r>
    </w:p>
    <w:p w14:paraId="1AC4AFE0">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4FCA922B">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A472AC0">
      <w:pPr>
        <w:widowControl/>
        <w:spacing w:line="360" w:lineRule="auto"/>
        <w:ind w:firstLine="643" w:firstLineChars="200"/>
        <w:jc w:val="left"/>
        <w:rPr>
          <w:rStyle w:val="30"/>
          <w:rFonts w:hint="eastAsia" w:ascii="仿宋_GB2312" w:hAnsi="仿宋_GB2312" w:eastAsia="仿宋_GB2312" w:cs="仿宋_GB2312"/>
          <w:kern w:val="0"/>
          <w:sz w:val="32"/>
          <w:szCs w:val="32"/>
          <w:lang w:bidi="ar"/>
        </w:rPr>
      </w:pPr>
      <w:r>
        <w:rPr>
          <w:rStyle w:val="30"/>
          <w:rFonts w:hint="eastAsia" w:ascii="仿宋_GB2312" w:hAnsi="仿宋_GB2312" w:eastAsia="仿宋_GB2312" w:cs="仿宋_GB2312"/>
          <w:kern w:val="0"/>
          <w:sz w:val="32"/>
          <w:szCs w:val="32"/>
          <w:lang w:bidi="ar"/>
        </w:rPr>
        <w:t>（二）关于“中小企业声明函”的提交要求</w:t>
      </w:r>
    </w:p>
    <w:p w14:paraId="17170964">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824A82A">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2.鼓励供应商在投标（响应）时一并提供对货物制造商、服务承接商、工程承建商相关信息的核实核验情况以及其他佐证材料。</w:t>
      </w:r>
    </w:p>
    <w:p w14:paraId="392D8C99">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9DCA24E">
      <w:pPr>
        <w:spacing w:line="360" w:lineRule="auto"/>
        <w:rPr>
          <w:rFonts w:hint="eastAsia" w:ascii="仿宋_GB2312" w:hAnsi="仿宋_GB2312" w:eastAsia="仿宋_GB2312" w:cs="仿宋_GB2312"/>
          <w:b/>
          <w:bCs/>
          <w:sz w:val="32"/>
          <w:szCs w:val="32"/>
        </w:rPr>
      </w:pPr>
    </w:p>
    <w:p w14:paraId="7709E4F8">
      <w:pPr>
        <w:spacing w:line="360" w:lineRule="auto"/>
        <w:rPr>
          <w:rFonts w:hint="eastAsia" w:ascii="仿宋_GB2312" w:hAnsi="仿宋_GB2312" w:eastAsia="仿宋_GB2312" w:cs="仿宋_GB2312"/>
          <w:b/>
          <w:bCs/>
          <w:sz w:val="32"/>
          <w:szCs w:val="32"/>
        </w:rPr>
      </w:pPr>
    </w:p>
    <w:p w14:paraId="779ADCA1">
      <w:pPr>
        <w:spacing w:line="360" w:lineRule="auto"/>
        <w:rPr>
          <w:rFonts w:hint="eastAsia" w:ascii="仿宋_GB2312" w:hAnsi="仿宋_GB2312" w:eastAsia="仿宋_GB2312" w:cs="仿宋_GB2312"/>
          <w:b/>
          <w:bCs/>
          <w:sz w:val="32"/>
          <w:szCs w:val="32"/>
        </w:rPr>
      </w:pPr>
    </w:p>
    <w:p w14:paraId="032EAAB6">
      <w:pPr>
        <w:spacing w:line="360" w:lineRule="auto"/>
        <w:rPr>
          <w:rFonts w:hint="eastAsia" w:ascii="仿宋_GB2312" w:hAnsi="仿宋_GB2312" w:eastAsia="仿宋_GB2312" w:cs="仿宋_GB2312"/>
          <w:b/>
          <w:bCs/>
          <w:sz w:val="32"/>
          <w:szCs w:val="32"/>
        </w:rPr>
      </w:pPr>
    </w:p>
    <w:p w14:paraId="641ED9A6">
      <w:pPr>
        <w:spacing w:line="360" w:lineRule="auto"/>
        <w:rPr>
          <w:rFonts w:hint="eastAsia" w:ascii="仿宋_GB2312" w:hAnsi="仿宋_GB2312" w:eastAsia="仿宋_GB2312" w:cs="仿宋_GB2312"/>
          <w:b/>
          <w:bCs/>
          <w:sz w:val="32"/>
          <w:szCs w:val="32"/>
        </w:rPr>
      </w:pPr>
    </w:p>
    <w:p w14:paraId="55FE70CE">
      <w:pPr>
        <w:spacing w:line="360" w:lineRule="auto"/>
        <w:rPr>
          <w:rFonts w:hint="eastAsia" w:ascii="仿宋_GB2312" w:hAnsi="仿宋_GB2312" w:eastAsia="仿宋_GB2312" w:cs="仿宋_GB2312"/>
          <w:b/>
          <w:bCs/>
          <w:sz w:val="32"/>
          <w:szCs w:val="32"/>
        </w:rPr>
      </w:pPr>
    </w:p>
    <w:p w14:paraId="695FC650">
      <w:pPr>
        <w:spacing w:line="360" w:lineRule="auto"/>
        <w:rPr>
          <w:rFonts w:hint="eastAsia" w:ascii="仿宋_GB2312" w:hAnsi="仿宋_GB2312" w:eastAsia="仿宋_GB2312" w:cs="仿宋_GB2312"/>
          <w:b/>
          <w:bCs/>
          <w:sz w:val="32"/>
          <w:szCs w:val="32"/>
        </w:rPr>
      </w:pPr>
    </w:p>
    <w:p w14:paraId="0DFE8F4B">
      <w:pPr>
        <w:spacing w:line="360" w:lineRule="auto"/>
        <w:rPr>
          <w:rFonts w:hint="eastAsia" w:ascii="仿宋_GB2312" w:hAnsi="仿宋_GB2312" w:eastAsia="仿宋_GB2312" w:cs="仿宋_GB2312"/>
          <w:b/>
          <w:bCs/>
          <w:sz w:val="32"/>
          <w:szCs w:val="32"/>
        </w:rPr>
      </w:pPr>
    </w:p>
    <w:p w14:paraId="5503049E">
      <w:pPr>
        <w:spacing w:line="360" w:lineRule="auto"/>
        <w:rPr>
          <w:rFonts w:hint="eastAsia" w:ascii="仿宋_GB2312" w:hAnsi="仿宋_GB2312" w:eastAsia="仿宋_GB2312" w:cs="仿宋_GB2312"/>
          <w:b/>
          <w:bCs/>
          <w:sz w:val="32"/>
          <w:szCs w:val="32"/>
        </w:rPr>
      </w:pPr>
    </w:p>
    <w:p w14:paraId="6219A80A">
      <w:pPr>
        <w:spacing w:line="360" w:lineRule="auto"/>
        <w:rPr>
          <w:rFonts w:hint="eastAsia" w:ascii="仿宋_GB2312" w:hAnsi="仿宋_GB2312" w:eastAsia="仿宋_GB2312" w:cs="仿宋_GB2312"/>
          <w:b/>
          <w:bCs/>
          <w:sz w:val="32"/>
          <w:szCs w:val="32"/>
        </w:rPr>
      </w:pPr>
    </w:p>
    <w:p w14:paraId="22E8FF0A">
      <w:pPr>
        <w:spacing w:line="360" w:lineRule="auto"/>
        <w:rPr>
          <w:rFonts w:hint="eastAsia" w:ascii="仿宋_GB2312" w:hAnsi="仿宋_GB2312" w:eastAsia="仿宋_GB2312" w:cs="仿宋_GB2312"/>
          <w:b/>
          <w:bCs/>
          <w:sz w:val="32"/>
          <w:szCs w:val="32"/>
        </w:rPr>
      </w:pPr>
    </w:p>
    <w:p w14:paraId="2C406D4A">
      <w:pPr>
        <w:spacing w:line="360" w:lineRule="auto"/>
        <w:rPr>
          <w:rFonts w:hint="eastAsia" w:ascii="仿宋_GB2312" w:hAnsi="仿宋_GB2312" w:eastAsia="仿宋_GB2312" w:cs="仿宋_GB2312"/>
          <w:b/>
          <w:bCs/>
          <w:sz w:val="32"/>
          <w:szCs w:val="32"/>
        </w:rPr>
      </w:pPr>
    </w:p>
    <w:p w14:paraId="0C432BC1">
      <w:pPr>
        <w:spacing w:line="360" w:lineRule="auto"/>
        <w:rPr>
          <w:rFonts w:hint="eastAsia" w:ascii="仿宋_GB2312" w:hAnsi="仿宋_GB2312" w:eastAsia="仿宋_GB2312" w:cs="仿宋_GB2312"/>
          <w:b/>
          <w:bCs/>
          <w:sz w:val="32"/>
          <w:szCs w:val="32"/>
        </w:rPr>
      </w:pPr>
    </w:p>
    <w:p w14:paraId="4E05F45A">
      <w:pPr>
        <w:spacing w:line="360" w:lineRule="auto"/>
        <w:rPr>
          <w:rFonts w:hint="eastAsia" w:ascii="仿宋_GB2312" w:hAnsi="仿宋_GB2312" w:eastAsia="仿宋_GB2312" w:cs="仿宋_GB2312"/>
          <w:b/>
          <w:bCs/>
          <w:sz w:val="32"/>
          <w:szCs w:val="32"/>
        </w:rPr>
      </w:pPr>
    </w:p>
    <w:p w14:paraId="17752848">
      <w:pPr>
        <w:spacing w:line="360" w:lineRule="auto"/>
        <w:rPr>
          <w:rFonts w:hint="eastAsia" w:ascii="仿宋_GB2312" w:hAnsi="仿宋_GB2312" w:eastAsia="仿宋_GB2312" w:cs="仿宋_GB2312"/>
          <w:b/>
          <w:bCs/>
          <w:sz w:val="32"/>
          <w:szCs w:val="32"/>
        </w:rPr>
      </w:pPr>
    </w:p>
    <w:p w14:paraId="313A918F">
      <w:pPr>
        <w:spacing w:line="360" w:lineRule="auto"/>
        <w:rPr>
          <w:rFonts w:hint="eastAsia" w:ascii="仿宋_GB2312" w:hAnsi="仿宋_GB2312" w:eastAsia="仿宋_GB2312" w:cs="仿宋_GB2312"/>
          <w:b/>
          <w:bCs/>
          <w:sz w:val="32"/>
          <w:szCs w:val="32"/>
        </w:rPr>
      </w:pPr>
    </w:p>
    <w:p w14:paraId="6EB74A05">
      <w:pPr>
        <w:spacing w:line="360" w:lineRule="auto"/>
        <w:rPr>
          <w:rFonts w:hint="eastAsia" w:ascii="仿宋_GB2312" w:hAnsi="仿宋_GB2312" w:eastAsia="仿宋_GB2312" w:cs="仿宋_GB2312"/>
          <w:b/>
          <w:bCs/>
          <w:sz w:val="32"/>
          <w:szCs w:val="32"/>
        </w:rPr>
      </w:pPr>
    </w:p>
    <w:p w14:paraId="1A1C71B8">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附件2.2：</w:t>
      </w:r>
    </w:p>
    <w:p w14:paraId="58EC6D25">
      <w:pPr>
        <w:pStyle w:val="15"/>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关于印发中小企业划型标准规定的通知</w:t>
      </w:r>
    </w:p>
    <w:p w14:paraId="2ED2DC40">
      <w:pPr>
        <w:spacing w:line="360" w:lineRule="auto"/>
        <w:jc w:val="center"/>
        <w:rPr>
          <w:rStyle w:val="30"/>
          <w:rFonts w:hint="eastAsia" w:ascii="仿宋_GB2312" w:hAnsi="仿宋_GB2312" w:eastAsia="仿宋_GB2312" w:cs="仿宋_GB2312"/>
          <w:b w:val="0"/>
          <w:sz w:val="32"/>
          <w:szCs w:val="32"/>
        </w:rPr>
      </w:pPr>
      <w:r>
        <w:rPr>
          <w:rStyle w:val="30"/>
          <w:rFonts w:hint="eastAsia" w:ascii="仿宋_GB2312" w:hAnsi="仿宋_GB2312" w:eastAsia="仿宋_GB2312" w:cs="仿宋_GB2312"/>
          <w:b w:val="0"/>
          <w:sz w:val="32"/>
          <w:szCs w:val="32"/>
        </w:rPr>
        <w:t>工信部联企业〔2011〕300号</w:t>
      </w:r>
    </w:p>
    <w:p w14:paraId="4C32BA84">
      <w:pPr>
        <w:spacing w:line="360" w:lineRule="auto"/>
        <w:jc w:val="center"/>
        <w:rPr>
          <w:rStyle w:val="30"/>
          <w:rFonts w:hint="eastAsia" w:ascii="仿宋_GB2312" w:hAnsi="仿宋_GB2312" w:eastAsia="仿宋_GB2312" w:cs="仿宋_GB2312"/>
          <w:b w:val="0"/>
          <w:sz w:val="32"/>
          <w:szCs w:val="32"/>
        </w:rPr>
      </w:pPr>
    </w:p>
    <w:p w14:paraId="08778E9C">
      <w:pPr>
        <w:spacing w:line="360" w:lineRule="auto"/>
        <w:rPr>
          <w:rStyle w:val="30"/>
          <w:rFonts w:hint="eastAsia" w:ascii="仿宋_GB2312" w:hAnsi="仿宋_GB2312" w:eastAsia="仿宋_GB2312" w:cs="仿宋_GB2312"/>
          <w:b w:val="0"/>
          <w:sz w:val="32"/>
          <w:szCs w:val="32"/>
        </w:rPr>
      </w:pPr>
      <w:r>
        <w:rPr>
          <w:rStyle w:val="30"/>
          <w:rFonts w:hint="eastAsia" w:ascii="仿宋_GB2312" w:hAnsi="仿宋_GB2312" w:eastAsia="仿宋_GB2312" w:cs="仿宋_GB2312"/>
          <w:b w:val="0"/>
          <w:sz w:val="32"/>
          <w:szCs w:val="32"/>
        </w:rPr>
        <w:t>各省、自治区、直辖市人民政府，国务院各部委、各直属机构及有关单位：</w:t>
      </w:r>
    </w:p>
    <w:p w14:paraId="108B9899">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66BE7CA">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工业和信息化部　国家统计局</w:t>
      </w:r>
    </w:p>
    <w:p w14:paraId="67C6C7C3">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国家发展和改革委员会　财政部</w:t>
      </w:r>
    </w:p>
    <w:p w14:paraId="4C967186">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二○一一年六月十八日</w:t>
      </w:r>
    </w:p>
    <w:p w14:paraId="12A7DDDF">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xml:space="preserve"> </w:t>
      </w:r>
    </w:p>
    <w:p w14:paraId="48A75AB7">
      <w:pPr>
        <w:spacing w:line="360" w:lineRule="auto"/>
        <w:jc w:val="center"/>
        <w:rPr>
          <w:rStyle w:val="30"/>
          <w:rFonts w:hint="eastAsia" w:ascii="仿宋_GB2312" w:hAnsi="仿宋_GB2312" w:eastAsia="仿宋_GB2312" w:cs="仿宋_GB2312"/>
          <w:bCs w:val="0"/>
          <w:sz w:val="32"/>
          <w:szCs w:val="32"/>
        </w:rPr>
      </w:pPr>
      <w:r>
        <w:rPr>
          <w:rStyle w:val="30"/>
          <w:rFonts w:hint="eastAsia" w:ascii="仿宋_GB2312" w:hAnsi="仿宋_GB2312" w:eastAsia="仿宋_GB2312" w:cs="仿宋_GB2312"/>
          <w:bCs w:val="0"/>
          <w:sz w:val="32"/>
          <w:szCs w:val="32"/>
        </w:rPr>
        <w:t>中小企业划型标准规定</w:t>
      </w:r>
    </w:p>
    <w:p w14:paraId="4A026E7F">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一、根据《中华人民共和国中小企业促进法》和《国务院关于进一步促进中小企业发展的若干意见》(国发〔2009〕36号)，制定本规定。</w:t>
      </w:r>
    </w:p>
    <w:p w14:paraId="2DA05F8F">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二、中小企业划分为中型、小型、微型三种类型，具体标准根据企业从业人员、营业收入、资产总额等指标，结合行业特点制定。</w:t>
      </w:r>
    </w:p>
    <w:p w14:paraId="6334B9F8">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01CFF7D">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四、各行业划型标准为：</w:t>
      </w:r>
    </w:p>
    <w:p w14:paraId="674DA36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（一）农、林、牧、渔业。营业收入20000万元以下的为中小微型企业。其中，营业收入500万元及以上的为中型企业，营业收入50万元及以上的为小型企业，营业收入50万元以下的为微型企业。</w:t>
      </w:r>
    </w:p>
    <w:p w14:paraId="29ECDAC1">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F3840B3">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6745FB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3502246">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FFA690">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E56D34B">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A40589A">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9575A89">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EFB101">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C67A3D">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F7EB693">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7A060E7">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340BDD">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3FB789">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251681">
      <w:pPr>
        <w:spacing w:line="360" w:lineRule="auto"/>
        <w:ind w:firstLine="640" w:firstLineChars="200"/>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（十六）其他未列明行业。从业人员300人以下的为中小微型企业。其中，从业人员100人及以上的为中型企业；从业人员10人及以上的为小型企业；从业人员10人以下的为微型企业。　　</w:t>
      </w:r>
    </w:p>
    <w:p w14:paraId="0C63FB1B">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五、企业类型的划分以统计部门的统计数据为依据。</w:t>
      </w:r>
    </w:p>
    <w:p w14:paraId="28899FCA">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六、本规定适用于在中华人民共和国境内依法设立的各类所有制和各种组织形式的企业。个体工商户和本规定以外的行业，参照本规定进行划型。</w:t>
      </w:r>
    </w:p>
    <w:p w14:paraId="614A31C6">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七、本规定的中型企业标准上限即为大型企业标准的下限，国家统计部门据此制定大中小微型企业的统计分类。国务院有关部门据此进行相关数据分析，不得制定与本规定不一致的企业划型标准。</w:t>
      </w:r>
    </w:p>
    <w:p w14:paraId="4381CDC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八、本规定由工业和信息化部、国家统计局会同有关部门根据《国民经济行业分类》修订情况和企业发展变化情况适时修订。</w:t>
      </w:r>
    </w:p>
    <w:p w14:paraId="5D392C4C">
      <w:pPr>
        <w:spacing w:line="360" w:lineRule="auto"/>
        <w:ind w:firstLine="480"/>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九、本规定由工业和信息化部、国家统计局会同有关部门负责解释。</w:t>
      </w:r>
    </w:p>
    <w:p w14:paraId="608CBD44">
      <w:pPr>
        <w:pStyle w:val="15"/>
        <w:spacing w:line="360" w:lineRule="auto"/>
        <w:rPr>
          <w:rFonts w:hint="eastAsia" w:ascii="仿宋_GB2312" w:hAnsi="仿宋_GB2312" w:eastAsia="仿宋_GB2312" w:cs="仿宋_GB2312"/>
          <w:b/>
          <w:sz w:val="32"/>
          <w:szCs w:val="32"/>
        </w:rPr>
      </w:pPr>
      <w:r>
        <w:rPr>
          <w:rStyle w:val="30"/>
          <w:rFonts w:hint="eastAsia" w:ascii="仿宋_GB2312" w:hAnsi="仿宋_GB2312" w:eastAsia="仿宋_GB2312" w:cs="仿宋_GB2312"/>
          <w:b w:val="0"/>
          <w:bCs w:val="0"/>
          <w:sz w:val="32"/>
          <w:szCs w:val="32"/>
        </w:rPr>
        <w:t>十、本规定自发布之日起执行，原国家经贸委、原国家计委、财政部和国家统计局2003年颁布的《中小企业标准暂行规定》同时废止。</w:t>
      </w:r>
    </w:p>
    <w:p w14:paraId="004399DF">
      <w:pPr>
        <w:spacing w:line="360" w:lineRule="auto"/>
        <w:jc w:val="center"/>
        <w:rPr>
          <w:rFonts w:hint="eastAsia" w:ascii="仿宋_GB2312" w:hAnsi="仿宋_GB2312" w:eastAsia="仿宋_GB2312" w:cs="仿宋_GB2312"/>
          <w:b/>
          <w:sz w:val="32"/>
          <w:szCs w:val="32"/>
        </w:rPr>
      </w:pPr>
    </w:p>
    <w:p w14:paraId="5524FB3D">
      <w:pPr>
        <w:spacing w:line="360" w:lineRule="auto"/>
        <w:jc w:val="center"/>
        <w:rPr>
          <w:rFonts w:hint="eastAsia" w:ascii="仿宋_GB2312" w:hAnsi="仿宋_GB2312" w:eastAsia="仿宋_GB2312" w:cs="仿宋_GB2312"/>
          <w:b/>
          <w:sz w:val="32"/>
          <w:szCs w:val="32"/>
        </w:rPr>
      </w:pPr>
    </w:p>
    <w:p w14:paraId="43096A4C">
      <w:pPr>
        <w:spacing w:line="360" w:lineRule="auto"/>
        <w:jc w:val="center"/>
        <w:rPr>
          <w:rFonts w:hint="eastAsia" w:ascii="仿宋_GB2312" w:hAnsi="仿宋_GB2312" w:eastAsia="仿宋_GB2312" w:cs="仿宋_GB2312"/>
          <w:b/>
          <w:sz w:val="32"/>
          <w:szCs w:val="32"/>
        </w:rPr>
      </w:pPr>
    </w:p>
    <w:p w14:paraId="284FC893">
      <w:pPr>
        <w:spacing w:line="360" w:lineRule="auto"/>
        <w:jc w:val="center"/>
        <w:rPr>
          <w:rFonts w:hint="eastAsia" w:ascii="仿宋_GB2312" w:hAnsi="仿宋_GB2312" w:eastAsia="仿宋_GB2312" w:cs="仿宋_GB2312"/>
          <w:b/>
          <w:sz w:val="32"/>
          <w:szCs w:val="32"/>
        </w:rPr>
      </w:pPr>
    </w:p>
    <w:p w14:paraId="19BCAF07">
      <w:pPr>
        <w:spacing w:line="360" w:lineRule="auto"/>
        <w:jc w:val="center"/>
        <w:rPr>
          <w:rFonts w:hint="eastAsia" w:ascii="仿宋_GB2312" w:hAnsi="仿宋_GB2312" w:eastAsia="仿宋_GB2312" w:cs="仿宋_GB2312"/>
          <w:b/>
          <w:sz w:val="32"/>
          <w:szCs w:val="32"/>
        </w:rPr>
      </w:pPr>
    </w:p>
    <w:p w14:paraId="3682BC50">
      <w:pPr>
        <w:spacing w:line="360" w:lineRule="auto"/>
        <w:jc w:val="center"/>
        <w:rPr>
          <w:rFonts w:hint="eastAsia" w:ascii="仿宋_GB2312" w:hAnsi="仿宋_GB2312" w:eastAsia="仿宋_GB2312" w:cs="仿宋_GB2312"/>
          <w:b/>
          <w:sz w:val="32"/>
          <w:szCs w:val="32"/>
        </w:rPr>
      </w:pPr>
    </w:p>
    <w:p w14:paraId="08456C7E">
      <w:pPr>
        <w:spacing w:line="360" w:lineRule="auto"/>
        <w:jc w:val="center"/>
        <w:rPr>
          <w:rFonts w:hint="eastAsia" w:ascii="仿宋_GB2312" w:hAnsi="仿宋_GB2312" w:eastAsia="仿宋_GB2312" w:cs="仿宋_GB2312"/>
          <w:b/>
          <w:sz w:val="32"/>
          <w:szCs w:val="32"/>
        </w:rPr>
      </w:pPr>
    </w:p>
    <w:p w14:paraId="3459C2C5">
      <w:pPr>
        <w:spacing w:line="360" w:lineRule="auto"/>
        <w:rPr>
          <w:rFonts w:hint="eastAsia" w:ascii="仿宋_GB2312" w:hAnsi="仿宋_GB2312" w:eastAsia="仿宋_GB2312" w:cs="仿宋_GB2312"/>
          <w:b/>
          <w:sz w:val="32"/>
          <w:szCs w:val="32"/>
        </w:rPr>
      </w:pPr>
    </w:p>
    <w:p w14:paraId="1C3091FF">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附件3、残疾人福利性单位声明函（如有）</w:t>
      </w:r>
    </w:p>
    <w:p w14:paraId="399DE32C">
      <w:pPr>
        <w:spacing w:line="360" w:lineRule="auto"/>
        <w:ind w:firstLine="640" w:firstLineChars="200"/>
        <w:rPr>
          <w:rFonts w:hint="eastAsia" w:ascii="仿宋_GB2312" w:hAnsi="仿宋_GB2312" w:eastAsia="仿宋_GB2312" w:cs="仿宋_GB2312"/>
          <w:sz w:val="32"/>
          <w:szCs w:val="32"/>
        </w:rPr>
      </w:pPr>
    </w:p>
    <w:p w14:paraId="5837CE8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 民政部 中国残疾人联合会关于促进残疾人就业政府采购政策的通知》（财库〔2017〕 141号）的规定，本单位为符合条件的残疾人福利性单位，且本单位参加</w:t>
      </w:r>
      <w:r>
        <w:rPr>
          <w:rFonts w:hint="eastAsia" w:ascii="仿宋_GB2312" w:hAnsi="仿宋_GB2312" w:eastAsia="仿宋_GB2312" w:cs="仿宋_GB2312"/>
          <w:sz w:val="32"/>
          <w:szCs w:val="32"/>
          <w:u w:val="single"/>
        </w:rPr>
        <w:t>____                __</w:t>
      </w:r>
      <w:r>
        <w:rPr>
          <w:rFonts w:hint="eastAsia" w:ascii="仿宋_GB2312" w:hAnsi="仿宋_GB2312" w:eastAsia="仿宋_GB2312" w:cs="仿宋_GB2312"/>
          <w:sz w:val="32"/>
          <w:szCs w:val="32"/>
        </w:rPr>
        <w:t>单位的__                    ____项目采购活动提供本单位制造的货物（由本单位承担工程/提供服务），或者提供其他残疾人福利性单位制造的货物（不包括使用非残疾人福利性单位注册商标的货物）。</w:t>
      </w:r>
    </w:p>
    <w:p w14:paraId="5420049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14:paraId="489BBBBE">
      <w:pPr>
        <w:spacing w:line="360" w:lineRule="auto"/>
        <w:rPr>
          <w:rFonts w:hint="eastAsia" w:ascii="仿宋_GB2312" w:hAnsi="仿宋_GB2312" w:eastAsia="仿宋_GB2312" w:cs="仿宋_GB2312"/>
          <w:b/>
          <w:sz w:val="32"/>
          <w:szCs w:val="32"/>
        </w:rPr>
      </w:pPr>
    </w:p>
    <w:p w14:paraId="3FE0F2B1">
      <w:pPr>
        <w:tabs>
          <w:tab w:val="left" w:pos="465"/>
          <w:tab w:val="left" w:pos="7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注：此函随同价格文件和技术商务文件一起装订，非残疾人福利性单位投标时</w:t>
      </w:r>
      <w:r>
        <w:rPr>
          <w:rFonts w:hint="eastAsia" w:ascii="仿宋_GB2312" w:hAnsi="仿宋_GB2312" w:eastAsia="仿宋_GB2312" w:cs="仿宋_GB2312"/>
          <w:b/>
          <w:sz w:val="32"/>
          <w:szCs w:val="32"/>
        </w:rPr>
        <w:t>不需要提供此声明函。</w:t>
      </w:r>
    </w:p>
    <w:p w14:paraId="6333A686">
      <w:pPr>
        <w:spacing w:line="360" w:lineRule="auto"/>
        <w:rPr>
          <w:rFonts w:hint="eastAsia" w:ascii="仿宋_GB2312" w:hAnsi="仿宋_GB2312" w:eastAsia="仿宋_GB2312" w:cs="仿宋_GB2312"/>
          <w:b/>
          <w:sz w:val="32"/>
          <w:szCs w:val="32"/>
        </w:rPr>
      </w:pPr>
    </w:p>
    <w:p w14:paraId="37071A4F">
      <w:pPr>
        <w:spacing w:line="360" w:lineRule="auto"/>
        <w:rPr>
          <w:rFonts w:hint="eastAsia" w:ascii="仿宋_GB2312" w:hAnsi="仿宋_GB2312" w:eastAsia="仿宋_GB2312" w:cs="仿宋_GB2312"/>
          <w:b/>
          <w:sz w:val="32"/>
          <w:szCs w:val="32"/>
        </w:rPr>
      </w:pPr>
    </w:p>
    <w:p w14:paraId="27C386A2">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35729FFE">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27499BA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1FC2A4B9">
      <w:pPr>
        <w:pStyle w:val="2"/>
        <w:keepNext w:val="0"/>
        <w:keepLines w:val="0"/>
        <w:spacing w:line="360" w:lineRule="auto"/>
        <w:rPr>
          <w:rFonts w:hint="eastAsia" w:ascii="仿宋_GB2312" w:hAnsi="仿宋_GB2312" w:eastAsia="仿宋_GB2312" w:cs="仿宋_GB2312"/>
          <w:sz w:val="32"/>
          <w:szCs w:val="32"/>
        </w:rPr>
      </w:pPr>
    </w:p>
    <w:p w14:paraId="12B99E3F">
      <w:pPr>
        <w:spacing w:line="360" w:lineRule="auto"/>
        <w:rPr>
          <w:rFonts w:hint="eastAsia" w:ascii="仿宋_GB2312" w:hAnsi="仿宋_GB2312" w:eastAsia="仿宋_GB2312" w:cs="仿宋_GB2312"/>
          <w:b/>
          <w:sz w:val="32"/>
          <w:szCs w:val="32"/>
        </w:rPr>
      </w:pPr>
    </w:p>
    <w:p w14:paraId="119E6858">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附件4省级以上监狱管理局、戒毒管理局（含新疆生产建设兵团）出具的属于监狱企业证明文件（格式自拟）</w:t>
      </w:r>
    </w:p>
    <w:p w14:paraId="7AFB5AC8">
      <w:pPr>
        <w:pStyle w:val="2"/>
        <w:keepNext w:val="0"/>
        <w:keepLines w:val="0"/>
        <w:spacing w:line="360" w:lineRule="auto"/>
        <w:rPr>
          <w:rFonts w:hint="eastAsia" w:ascii="仿宋_GB2312" w:hAnsi="仿宋_GB2312" w:eastAsia="仿宋_GB2312" w:cs="仿宋_GB2312"/>
          <w:sz w:val="32"/>
          <w:szCs w:val="32"/>
        </w:rPr>
      </w:pPr>
    </w:p>
    <w:p w14:paraId="114DCAA6">
      <w:pPr>
        <w:pStyle w:val="2"/>
        <w:keepNext w:val="0"/>
        <w:keepLines w:val="0"/>
        <w:spacing w:line="360" w:lineRule="auto"/>
        <w:rPr>
          <w:rFonts w:hint="eastAsia" w:ascii="仿宋_GB2312" w:hAnsi="仿宋_GB2312" w:eastAsia="仿宋_GB2312" w:cs="仿宋_GB2312"/>
          <w:sz w:val="32"/>
          <w:szCs w:val="32"/>
        </w:rPr>
      </w:pPr>
    </w:p>
    <w:p w14:paraId="2B302BD4">
      <w:pPr>
        <w:pStyle w:val="2"/>
        <w:keepNext w:val="0"/>
        <w:keepLines w:val="0"/>
        <w:spacing w:line="360" w:lineRule="auto"/>
        <w:rPr>
          <w:rFonts w:hint="eastAsia" w:ascii="仿宋_GB2312" w:hAnsi="仿宋_GB2312" w:eastAsia="仿宋_GB2312" w:cs="仿宋_GB2312"/>
          <w:sz w:val="32"/>
          <w:szCs w:val="32"/>
        </w:rPr>
      </w:pPr>
    </w:p>
    <w:p w14:paraId="07C3ECD2">
      <w:pPr>
        <w:pStyle w:val="2"/>
        <w:keepNext w:val="0"/>
        <w:keepLines w:val="0"/>
        <w:spacing w:line="360" w:lineRule="auto"/>
        <w:rPr>
          <w:rFonts w:hint="eastAsia" w:ascii="仿宋_GB2312" w:hAnsi="仿宋_GB2312" w:eastAsia="仿宋_GB2312" w:cs="仿宋_GB2312"/>
          <w:sz w:val="32"/>
          <w:szCs w:val="32"/>
        </w:rPr>
      </w:pPr>
    </w:p>
    <w:p w14:paraId="26F97AA4">
      <w:pPr>
        <w:pStyle w:val="2"/>
        <w:keepNext w:val="0"/>
        <w:keepLines w:val="0"/>
        <w:spacing w:line="360" w:lineRule="auto"/>
        <w:rPr>
          <w:rFonts w:hint="eastAsia" w:ascii="仿宋_GB2312" w:hAnsi="仿宋_GB2312" w:eastAsia="仿宋_GB2312" w:cs="仿宋_GB2312"/>
          <w:sz w:val="32"/>
          <w:szCs w:val="32"/>
        </w:rPr>
      </w:pPr>
    </w:p>
    <w:p w14:paraId="7C2A4778">
      <w:pPr>
        <w:pStyle w:val="2"/>
        <w:keepNext w:val="0"/>
        <w:keepLines w:val="0"/>
        <w:spacing w:line="360" w:lineRule="auto"/>
        <w:rPr>
          <w:rFonts w:hint="eastAsia" w:ascii="仿宋_GB2312" w:hAnsi="仿宋_GB2312" w:eastAsia="仿宋_GB2312" w:cs="仿宋_GB2312"/>
          <w:sz w:val="32"/>
          <w:szCs w:val="32"/>
        </w:rPr>
      </w:pPr>
    </w:p>
    <w:p w14:paraId="049A8B12">
      <w:pPr>
        <w:pStyle w:val="2"/>
        <w:keepNext w:val="0"/>
        <w:keepLines w:val="0"/>
        <w:spacing w:line="360" w:lineRule="auto"/>
        <w:rPr>
          <w:rFonts w:hint="eastAsia" w:ascii="仿宋_GB2312" w:hAnsi="仿宋_GB2312" w:eastAsia="仿宋_GB2312" w:cs="仿宋_GB2312"/>
          <w:sz w:val="32"/>
          <w:szCs w:val="32"/>
        </w:rPr>
      </w:pPr>
    </w:p>
    <w:p w14:paraId="0FD16737">
      <w:pPr>
        <w:pStyle w:val="2"/>
        <w:keepNext w:val="0"/>
        <w:keepLines w:val="0"/>
        <w:spacing w:line="360" w:lineRule="auto"/>
        <w:rPr>
          <w:rFonts w:hint="eastAsia" w:ascii="仿宋_GB2312" w:hAnsi="仿宋_GB2312" w:eastAsia="仿宋_GB2312" w:cs="仿宋_GB2312"/>
          <w:sz w:val="32"/>
          <w:szCs w:val="32"/>
        </w:rPr>
      </w:pPr>
    </w:p>
    <w:p w14:paraId="577144F8">
      <w:pPr>
        <w:pStyle w:val="2"/>
        <w:keepNext w:val="0"/>
        <w:keepLines w:val="0"/>
        <w:spacing w:line="360" w:lineRule="auto"/>
        <w:rPr>
          <w:rFonts w:hint="eastAsia" w:ascii="仿宋_GB2312" w:hAnsi="仿宋_GB2312" w:eastAsia="仿宋_GB2312" w:cs="仿宋_GB2312"/>
          <w:sz w:val="32"/>
          <w:szCs w:val="32"/>
        </w:rPr>
      </w:pPr>
    </w:p>
    <w:p w14:paraId="4AE41818">
      <w:pPr>
        <w:pStyle w:val="2"/>
        <w:keepNext w:val="0"/>
        <w:keepLines w:val="0"/>
        <w:spacing w:line="360" w:lineRule="auto"/>
        <w:rPr>
          <w:rFonts w:hint="eastAsia" w:ascii="仿宋_GB2312" w:hAnsi="仿宋_GB2312" w:eastAsia="仿宋_GB2312" w:cs="仿宋_GB2312"/>
          <w:sz w:val="32"/>
          <w:szCs w:val="32"/>
        </w:rPr>
      </w:pPr>
      <w:bookmarkStart w:id="330" w:name="_Toc24440"/>
    </w:p>
    <w:p w14:paraId="42D08FAA">
      <w:pPr>
        <w:spacing w:line="360" w:lineRule="auto"/>
        <w:rPr>
          <w:rFonts w:hint="eastAsia" w:ascii="仿宋_GB2312" w:hAnsi="仿宋_GB2312" w:eastAsia="仿宋_GB2312" w:cs="仿宋_GB2312"/>
          <w:sz w:val="32"/>
          <w:szCs w:val="32"/>
        </w:rPr>
      </w:pPr>
    </w:p>
    <w:p w14:paraId="7A08EF21">
      <w:pPr>
        <w:spacing w:line="360" w:lineRule="auto"/>
        <w:rPr>
          <w:rFonts w:hint="eastAsia" w:ascii="仿宋_GB2312" w:hAnsi="仿宋_GB2312" w:eastAsia="仿宋_GB2312" w:cs="仿宋_GB2312"/>
          <w:sz w:val="32"/>
          <w:szCs w:val="32"/>
        </w:rPr>
      </w:pPr>
    </w:p>
    <w:p w14:paraId="086206BD">
      <w:pPr>
        <w:spacing w:line="360" w:lineRule="auto"/>
        <w:jc w:val="center"/>
        <w:rPr>
          <w:rFonts w:hint="eastAsia" w:ascii="仿宋_GB2312" w:hAnsi="仿宋_GB2312" w:eastAsia="仿宋_GB2312" w:cs="仿宋_GB2312"/>
          <w:b/>
          <w:sz w:val="32"/>
          <w:szCs w:val="32"/>
        </w:rPr>
      </w:pPr>
    </w:p>
    <w:p w14:paraId="32F831A3">
      <w:pPr>
        <w:pStyle w:val="2"/>
        <w:keepNext w:val="0"/>
        <w:keepLines w:val="0"/>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附表1                     资格审查标准表</w:t>
      </w:r>
      <w:bookmarkEnd w:id="322"/>
      <w:bookmarkEnd w:id="330"/>
    </w:p>
    <w:tbl>
      <w:tblPr>
        <w:tblStyle w:val="27"/>
        <w:tblW w:w="11171" w:type="dxa"/>
        <w:tblInd w:w="-1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6405"/>
        <w:gridCol w:w="3195"/>
        <w:gridCol w:w="1132"/>
      </w:tblGrid>
      <w:tr w14:paraId="6384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39" w:type="dxa"/>
            <w:noWrap w:val="0"/>
            <w:vAlign w:val="center"/>
          </w:tcPr>
          <w:p w14:paraId="0B8E5C12">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序号</w:t>
            </w:r>
          </w:p>
        </w:tc>
        <w:tc>
          <w:tcPr>
            <w:tcW w:w="6405" w:type="dxa"/>
            <w:noWrap w:val="0"/>
            <w:vAlign w:val="center"/>
          </w:tcPr>
          <w:p w14:paraId="4AC792FD">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审查因素</w:t>
            </w:r>
          </w:p>
        </w:tc>
        <w:tc>
          <w:tcPr>
            <w:tcW w:w="3195" w:type="dxa"/>
            <w:noWrap w:val="0"/>
            <w:vAlign w:val="center"/>
          </w:tcPr>
          <w:p w14:paraId="47C0713C">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审查标准</w:t>
            </w:r>
          </w:p>
        </w:tc>
        <w:tc>
          <w:tcPr>
            <w:tcW w:w="1132" w:type="dxa"/>
            <w:noWrap w:val="0"/>
            <w:vAlign w:val="center"/>
          </w:tcPr>
          <w:p w14:paraId="61144EB3">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备注</w:t>
            </w:r>
          </w:p>
        </w:tc>
      </w:tr>
      <w:tr w14:paraId="11CC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5CB8CE7D">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Cs/>
                <w:kern w:val="0"/>
                <w:sz w:val="32"/>
                <w:szCs w:val="32"/>
              </w:rPr>
              <w:t>1</w:t>
            </w:r>
          </w:p>
        </w:tc>
        <w:tc>
          <w:tcPr>
            <w:tcW w:w="6405" w:type="dxa"/>
            <w:noWrap w:val="0"/>
            <w:vAlign w:val="center"/>
          </w:tcPr>
          <w:p w14:paraId="0D5CAEC0">
            <w:pPr>
              <w:widowControl/>
              <w:shd w:val="clear" w:color="auto" w:fill="FFFFFF"/>
              <w:spacing w:before="0" w:beforeAutospacing="0" w:after="0" w:afterAutospacing="0" w:line="240" w:lineRule="auto"/>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（1）法定代表人身份证或法定代表人授权委托书和委托代理人的身份证，法定代表人授权委托书应当与响应文件中所提供的相一致；</w:t>
            </w:r>
          </w:p>
          <w:p w14:paraId="39EDA83B">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2）①投标人为生产厂家须提供《食品生产许可证》、《食品经营许可证》,投标人为经销商则须提供《食品经营许可证》。②肉类物资供应商若为生产厂家或屠宰企业，须提供自有的《屠宰许可证》、《动物防疫条件合格证》，非生产厂家或屠宰企业须提供货物源头厂家的《屠宰许可证》、《动物防疫条件合格证》。</w:t>
            </w:r>
          </w:p>
        </w:tc>
        <w:tc>
          <w:tcPr>
            <w:tcW w:w="3195" w:type="dxa"/>
            <w:noWrap w:val="0"/>
            <w:vAlign w:val="center"/>
          </w:tcPr>
          <w:p w14:paraId="35E20D4C">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b/>
                <w:kern w:val="0"/>
                <w:sz w:val="32"/>
                <w:szCs w:val="32"/>
              </w:rPr>
              <w:t>上述证件须提供原件的扫描件并加盖公章或电子章，扫描内容须清晰可辨，上述证件齐全有效、满足需求的供应商为有效供应商；上述证件的公证件本次招标不予认可。以上资料为投标时开标查验的必备条件，必须上传至政采云，如果缺项则视为对招标文件资格审查内容的不响应，投标将被拒绝。</w:t>
            </w:r>
          </w:p>
        </w:tc>
        <w:tc>
          <w:tcPr>
            <w:tcW w:w="1132" w:type="dxa"/>
            <w:noWrap w:val="0"/>
            <w:vAlign w:val="center"/>
          </w:tcPr>
          <w:p w14:paraId="072078C5">
            <w:pPr>
              <w:tabs>
                <w:tab w:val="left" w:pos="0"/>
              </w:tabs>
              <w:adjustRightInd w:val="0"/>
              <w:snapToGrid w:val="0"/>
              <w:jc w:val="center"/>
              <w:rPr>
                <w:rFonts w:hint="eastAsia" w:ascii="仿宋" w:hAnsi="仿宋" w:eastAsia="仿宋" w:cs="仿宋"/>
                <w:b/>
                <w:kern w:val="0"/>
                <w:sz w:val="32"/>
                <w:szCs w:val="32"/>
              </w:rPr>
            </w:pPr>
          </w:p>
        </w:tc>
      </w:tr>
      <w:tr w14:paraId="5C4C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065F0C68">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6405" w:type="dxa"/>
            <w:noWrap w:val="0"/>
            <w:vAlign w:val="center"/>
          </w:tcPr>
          <w:p w14:paraId="79667EE2">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kern w:val="0"/>
                <w:sz w:val="32"/>
                <w:szCs w:val="32"/>
              </w:rPr>
              <w:t>供应商为企业法人应提供合法有效的标识有统一社会信用代码的营业执照；事业法人应提供事业单位法人证书；其他组织应提供合法登记证明文件；</w:t>
            </w:r>
          </w:p>
        </w:tc>
        <w:tc>
          <w:tcPr>
            <w:tcW w:w="3195" w:type="dxa"/>
            <w:noWrap w:val="0"/>
            <w:vAlign w:val="center"/>
          </w:tcPr>
          <w:p w14:paraId="6C18D2A6">
            <w:pPr>
              <w:adjustRightInd w:val="0"/>
              <w:snapToGrid w:val="0"/>
              <w:jc w:val="center"/>
              <w:rPr>
                <w:rFonts w:ascii="仿宋" w:hAnsi="仿宋" w:eastAsia="仿宋" w:cs="仿宋"/>
                <w:b/>
                <w:kern w:val="0"/>
                <w:sz w:val="32"/>
                <w:szCs w:val="32"/>
              </w:rPr>
            </w:pPr>
            <w:r>
              <w:rPr>
                <w:rFonts w:hint="eastAsia" w:ascii="仿宋" w:hAnsi="仿宋" w:eastAsia="仿宋" w:cs="仿宋"/>
                <w:kern w:val="0"/>
                <w:sz w:val="32"/>
                <w:szCs w:val="32"/>
              </w:rPr>
              <w:t>上传有效的营业执照扫描件</w:t>
            </w:r>
          </w:p>
        </w:tc>
        <w:tc>
          <w:tcPr>
            <w:tcW w:w="1132" w:type="dxa"/>
            <w:noWrap w:val="0"/>
            <w:vAlign w:val="center"/>
          </w:tcPr>
          <w:p w14:paraId="72FDF72F">
            <w:pPr>
              <w:tabs>
                <w:tab w:val="left" w:pos="0"/>
              </w:tabs>
              <w:adjustRightInd w:val="0"/>
              <w:snapToGrid w:val="0"/>
              <w:jc w:val="center"/>
              <w:rPr>
                <w:rFonts w:hint="eastAsia" w:ascii="仿宋" w:hAnsi="仿宋" w:eastAsia="仿宋" w:cs="仿宋"/>
                <w:b/>
                <w:kern w:val="0"/>
                <w:sz w:val="32"/>
                <w:szCs w:val="32"/>
              </w:rPr>
            </w:pPr>
          </w:p>
        </w:tc>
      </w:tr>
      <w:tr w14:paraId="6D6B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573FB3A8">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3</w:t>
            </w:r>
          </w:p>
        </w:tc>
        <w:tc>
          <w:tcPr>
            <w:tcW w:w="6405" w:type="dxa"/>
            <w:noWrap w:val="0"/>
            <w:vAlign w:val="center"/>
          </w:tcPr>
          <w:p w14:paraId="60536FEE">
            <w:pPr>
              <w:rPr>
                <w:rFonts w:hint="eastAsia" w:ascii="仿宋" w:hAnsi="仿宋" w:eastAsia="仿宋" w:cs="仿宋"/>
                <w:kern w:val="0"/>
                <w:sz w:val="32"/>
                <w:szCs w:val="32"/>
              </w:rPr>
            </w:pPr>
            <w:r>
              <w:rPr>
                <w:rFonts w:hint="eastAsia" w:ascii="仿宋" w:hAnsi="仿宋" w:eastAsia="仿宋" w:cs="仿宋"/>
                <w:kern w:val="0"/>
                <w:sz w:val="32"/>
                <w:szCs w:val="32"/>
                <w:lang w:eastAsia="zh-CN"/>
              </w:rPr>
              <w:t>法定代表人及被授权人近6个月内任意1个月社保缴纳证明；</w:t>
            </w:r>
          </w:p>
        </w:tc>
        <w:tc>
          <w:tcPr>
            <w:tcW w:w="3195" w:type="dxa"/>
            <w:noWrap w:val="0"/>
            <w:vAlign w:val="center"/>
          </w:tcPr>
          <w:p w14:paraId="043CBF82">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2E8AF4C5">
            <w:pPr>
              <w:tabs>
                <w:tab w:val="left" w:pos="0"/>
              </w:tabs>
              <w:adjustRightInd w:val="0"/>
              <w:snapToGrid w:val="0"/>
              <w:jc w:val="center"/>
              <w:rPr>
                <w:rFonts w:hint="eastAsia" w:ascii="仿宋" w:hAnsi="仿宋" w:eastAsia="仿宋" w:cs="仿宋"/>
                <w:kern w:val="0"/>
                <w:sz w:val="32"/>
                <w:szCs w:val="32"/>
              </w:rPr>
            </w:pPr>
          </w:p>
        </w:tc>
      </w:tr>
      <w:tr w14:paraId="7044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4AA57E03">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4</w:t>
            </w:r>
          </w:p>
        </w:tc>
        <w:tc>
          <w:tcPr>
            <w:tcW w:w="6405" w:type="dxa"/>
            <w:noWrap w:val="0"/>
            <w:vAlign w:val="center"/>
          </w:tcPr>
          <w:p w14:paraId="505957FF">
            <w:pPr>
              <w:rPr>
                <w:rFonts w:hint="eastAsia" w:ascii="仿宋" w:hAnsi="仿宋" w:eastAsia="仿宋" w:cs="仿宋"/>
                <w:sz w:val="32"/>
                <w:szCs w:val="32"/>
              </w:rPr>
            </w:pPr>
            <w:r>
              <w:rPr>
                <w:rFonts w:hint="eastAsia" w:ascii="仿宋" w:hAnsi="仿宋" w:eastAsia="仿宋" w:cs="仿宋"/>
                <w:kern w:val="0"/>
                <w:sz w:val="32"/>
                <w:szCs w:val="32"/>
              </w:rPr>
              <w:t>供应商提供2025年的财务审计报告（财务报表应包括资产负债表、利润表、损益表、现金流量表；成立时间至提交投标文件截止时间不足一年的可提供成立后任意时段的资产负债表），或其开标前三个月内基本存款账户开户银行出具的资信证明及基本存款账户开户许可证；</w:t>
            </w:r>
          </w:p>
        </w:tc>
        <w:tc>
          <w:tcPr>
            <w:tcW w:w="3195" w:type="dxa"/>
            <w:noWrap w:val="0"/>
            <w:vAlign w:val="center"/>
          </w:tcPr>
          <w:p w14:paraId="7093ADEE">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2DA90750">
            <w:pPr>
              <w:tabs>
                <w:tab w:val="left" w:pos="0"/>
              </w:tabs>
              <w:adjustRightInd w:val="0"/>
              <w:snapToGrid w:val="0"/>
              <w:jc w:val="center"/>
              <w:rPr>
                <w:rFonts w:hint="eastAsia" w:ascii="仿宋" w:hAnsi="仿宋" w:eastAsia="仿宋" w:cs="仿宋"/>
                <w:kern w:val="0"/>
                <w:sz w:val="32"/>
                <w:szCs w:val="32"/>
              </w:rPr>
            </w:pPr>
          </w:p>
        </w:tc>
      </w:tr>
      <w:tr w14:paraId="0B3A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5C9F5FFC">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5</w:t>
            </w:r>
          </w:p>
        </w:tc>
        <w:tc>
          <w:tcPr>
            <w:tcW w:w="6405" w:type="dxa"/>
            <w:noWrap w:val="0"/>
            <w:vAlign w:val="center"/>
          </w:tcPr>
          <w:p w14:paraId="0A3F8A1D">
            <w:pPr>
              <w:rPr>
                <w:rFonts w:hint="eastAsia" w:ascii="仿宋" w:hAnsi="仿宋" w:eastAsia="仿宋" w:cs="仿宋"/>
                <w:kern w:val="0"/>
                <w:sz w:val="32"/>
                <w:szCs w:val="32"/>
              </w:rPr>
            </w:pPr>
            <w:r>
              <w:rPr>
                <w:rFonts w:hint="eastAsia" w:ascii="仿宋" w:hAnsi="仿宋" w:eastAsia="仿宋" w:cs="仿宋"/>
                <w:kern w:val="0"/>
                <w:sz w:val="32"/>
                <w:szCs w:val="32"/>
              </w:rPr>
              <w:t>供应商提供近</w:t>
            </w:r>
            <w:r>
              <w:rPr>
                <w:rFonts w:hint="eastAsia" w:ascii="仿宋" w:hAnsi="仿宋" w:eastAsia="仿宋" w:cs="仿宋"/>
                <w:kern w:val="0"/>
                <w:sz w:val="32"/>
                <w:szCs w:val="32"/>
                <w:lang w:val="en-US" w:eastAsia="zh-CN"/>
              </w:rPr>
              <w:t>三个月</w:t>
            </w:r>
            <w:r>
              <w:rPr>
                <w:rFonts w:hint="eastAsia" w:ascii="仿宋" w:hAnsi="仿宋" w:eastAsia="仿宋" w:cs="仿宋"/>
                <w:kern w:val="0"/>
                <w:sz w:val="32"/>
                <w:szCs w:val="32"/>
              </w:rPr>
              <w:t>已缴纳的纳税证明或完税证明需加盖单位公章，依法免税的供应商应提供相关文件证明；</w:t>
            </w:r>
          </w:p>
        </w:tc>
        <w:tc>
          <w:tcPr>
            <w:tcW w:w="3195" w:type="dxa"/>
            <w:noWrap w:val="0"/>
            <w:vAlign w:val="center"/>
          </w:tcPr>
          <w:p w14:paraId="7D84A66E">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461EC15F">
            <w:pPr>
              <w:tabs>
                <w:tab w:val="left" w:pos="0"/>
              </w:tabs>
              <w:adjustRightInd w:val="0"/>
              <w:snapToGrid w:val="0"/>
              <w:jc w:val="center"/>
              <w:rPr>
                <w:rFonts w:hint="eastAsia" w:ascii="仿宋" w:hAnsi="仿宋" w:eastAsia="仿宋" w:cs="仿宋"/>
                <w:kern w:val="0"/>
                <w:sz w:val="32"/>
                <w:szCs w:val="32"/>
              </w:rPr>
            </w:pPr>
          </w:p>
        </w:tc>
      </w:tr>
      <w:tr w14:paraId="5D53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39" w:type="dxa"/>
            <w:noWrap w:val="0"/>
            <w:vAlign w:val="center"/>
          </w:tcPr>
          <w:p w14:paraId="04A82D51">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6</w:t>
            </w:r>
          </w:p>
        </w:tc>
        <w:tc>
          <w:tcPr>
            <w:tcW w:w="6405" w:type="dxa"/>
            <w:noWrap w:val="0"/>
            <w:vAlign w:val="center"/>
          </w:tcPr>
          <w:p w14:paraId="0BEA03AD">
            <w:pPr>
              <w:rPr>
                <w:rFonts w:hint="eastAsia" w:ascii="仿宋" w:hAnsi="仿宋" w:eastAsia="仿宋" w:cs="仿宋"/>
                <w:kern w:val="0"/>
                <w:sz w:val="32"/>
                <w:szCs w:val="32"/>
              </w:rPr>
            </w:pPr>
            <w:r>
              <w:rPr>
                <w:rFonts w:hint="eastAsia" w:ascii="仿宋" w:hAnsi="仿宋" w:eastAsia="仿宋" w:cs="仿宋"/>
                <w:kern w:val="0"/>
                <w:sz w:val="32"/>
                <w:szCs w:val="32"/>
              </w:rPr>
              <w:t>在经营活动中没有重大违法记录声明函</w:t>
            </w:r>
          </w:p>
        </w:tc>
        <w:tc>
          <w:tcPr>
            <w:tcW w:w="3195" w:type="dxa"/>
            <w:noWrap w:val="0"/>
            <w:vAlign w:val="center"/>
          </w:tcPr>
          <w:p w14:paraId="1AFB8AC1">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上传有效的声明函</w:t>
            </w:r>
          </w:p>
        </w:tc>
        <w:tc>
          <w:tcPr>
            <w:tcW w:w="1132" w:type="dxa"/>
            <w:noWrap w:val="0"/>
            <w:vAlign w:val="center"/>
          </w:tcPr>
          <w:p w14:paraId="2FB658A8">
            <w:pPr>
              <w:tabs>
                <w:tab w:val="left" w:pos="0"/>
              </w:tabs>
              <w:adjustRightInd w:val="0"/>
              <w:snapToGrid w:val="0"/>
              <w:jc w:val="center"/>
              <w:rPr>
                <w:rFonts w:hint="eastAsia" w:ascii="仿宋" w:hAnsi="仿宋" w:eastAsia="仿宋" w:cs="仿宋"/>
                <w:kern w:val="0"/>
                <w:sz w:val="32"/>
                <w:szCs w:val="32"/>
              </w:rPr>
            </w:pPr>
          </w:p>
        </w:tc>
      </w:tr>
      <w:tr w14:paraId="0AA5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39" w:type="dxa"/>
            <w:noWrap w:val="0"/>
            <w:vAlign w:val="center"/>
          </w:tcPr>
          <w:p w14:paraId="02FA195A">
            <w:pPr>
              <w:tabs>
                <w:tab w:val="left" w:pos="0"/>
              </w:tabs>
              <w:adjustRightInd w:val="0"/>
              <w:snapToGrid w:val="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w:t>
            </w:r>
          </w:p>
        </w:tc>
        <w:tc>
          <w:tcPr>
            <w:tcW w:w="6405" w:type="dxa"/>
            <w:noWrap w:val="0"/>
            <w:vAlign w:val="center"/>
          </w:tcPr>
          <w:p w14:paraId="32E678F5">
            <w:pPr>
              <w:rPr>
                <w:rFonts w:hint="eastAsia" w:ascii="仿宋" w:hAnsi="仿宋" w:eastAsia="仿宋" w:cs="仿宋"/>
                <w:kern w:val="0"/>
                <w:sz w:val="32"/>
                <w:szCs w:val="32"/>
              </w:rPr>
            </w:pPr>
            <w:r>
              <w:rPr>
                <w:rFonts w:hint="eastAsia" w:ascii="仿宋" w:hAnsi="仿宋" w:eastAsia="仿宋" w:cs="仿宋"/>
                <w:kern w:val="0"/>
                <w:sz w:val="32"/>
                <w:szCs w:val="32"/>
              </w:rPr>
              <w:t>供应商应为中小企业</w:t>
            </w:r>
          </w:p>
        </w:tc>
        <w:tc>
          <w:tcPr>
            <w:tcW w:w="3195" w:type="dxa"/>
            <w:noWrap w:val="0"/>
            <w:vAlign w:val="center"/>
          </w:tcPr>
          <w:p w14:paraId="106CF9F0">
            <w:pPr>
              <w:rPr>
                <w:rFonts w:hint="eastAsia" w:ascii="仿宋" w:hAnsi="仿宋" w:eastAsia="仿宋" w:cs="仿宋"/>
                <w:kern w:val="0"/>
                <w:sz w:val="32"/>
                <w:szCs w:val="32"/>
              </w:rPr>
            </w:pPr>
            <w:r>
              <w:rPr>
                <w:rFonts w:hint="eastAsia" w:ascii="仿宋" w:hAnsi="仿宋" w:eastAsia="仿宋" w:cs="仿宋"/>
                <w:kern w:val="0"/>
                <w:sz w:val="32"/>
                <w:szCs w:val="32"/>
              </w:rPr>
              <w:t>请根据要求单独上传《中小企业声明函》。格式以采购文件要求为准。</w:t>
            </w:r>
          </w:p>
        </w:tc>
        <w:tc>
          <w:tcPr>
            <w:tcW w:w="1132" w:type="dxa"/>
            <w:noWrap w:val="0"/>
            <w:vAlign w:val="center"/>
          </w:tcPr>
          <w:p w14:paraId="6CF02E7E">
            <w:pPr>
              <w:tabs>
                <w:tab w:val="left" w:pos="0"/>
              </w:tabs>
              <w:adjustRightInd w:val="0"/>
              <w:snapToGrid w:val="0"/>
              <w:jc w:val="center"/>
              <w:rPr>
                <w:rFonts w:hint="eastAsia" w:ascii="仿宋" w:hAnsi="仿宋" w:eastAsia="仿宋" w:cs="仿宋"/>
                <w:kern w:val="0"/>
                <w:sz w:val="32"/>
                <w:szCs w:val="32"/>
              </w:rPr>
            </w:pPr>
          </w:p>
        </w:tc>
      </w:tr>
    </w:tbl>
    <w:p w14:paraId="370FF3E3">
      <w:pPr>
        <w:pStyle w:val="2"/>
        <w:keepNext w:val="0"/>
        <w:keepLines w:val="0"/>
        <w:spacing w:line="360" w:lineRule="auto"/>
        <w:rPr>
          <w:rFonts w:hint="eastAsia" w:ascii="仿宋_GB2312" w:hAnsi="仿宋_GB2312" w:eastAsia="仿宋_GB2312" w:cs="仿宋_GB2312"/>
          <w:sz w:val="32"/>
          <w:szCs w:val="32"/>
        </w:rPr>
      </w:pPr>
    </w:p>
    <w:p w14:paraId="413CFC16">
      <w:pPr>
        <w:rPr>
          <w:rFonts w:hint="eastAsia" w:ascii="仿宋_GB2312" w:hAnsi="仿宋_GB2312" w:eastAsia="仿宋_GB2312" w:cs="仿宋_GB2312"/>
          <w:sz w:val="32"/>
          <w:szCs w:val="32"/>
        </w:rPr>
      </w:pPr>
    </w:p>
    <w:p w14:paraId="04CA7CEB">
      <w:pPr>
        <w:pStyle w:val="43"/>
        <w:rPr>
          <w:rFonts w:hint="eastAsia"/>
        </w:rPr>
      </w:pPr>
    </w:p>
    <w:p w14:paraId="40A4E4BE">
      <w:pPr>
        <w:pStyle w:val="2"/>
        <w:keepNext w:val="0"/>
        <w:keepLines w:val="0"/>
        <w:spacing w:line="360" w:lineRule="auto"/>
        <w:rPr>
          <w:rFonts w:hint="eastAsia" w:ascii="仿宋_GB2312" w:hAnsi="仿宋_GB2312" w:eastAsia="仿宋_GB2312" w:cs="仿宋_GB2312"/>
          <w:sz w:val="32"/>
          <w:szCs w:val="32"/>
        </w:rPr>
      </w:pPr>
    </w:p>
    <w:p w14:paraId="54749C57">
      <w:pPr>
        <w:pStyle w:val="2"/>
        <w:keepNext w:val="0"/>
        <w:keepLines w:val="0"/>
        <w:spacing w:line="360" w:lineRule="auto"/>
        <w:rPr>
          <w:rFonts w:hint="eastAsia" w:ascii="仿宋_GB2312" w:hAnsi="仿宋_GB2312" w:eastAsia="仿宋_GB2312" w:cs="仿宋_GB2312"/>
          <w:sz w:val="32"/>
          <w:szCs w:val="32"/>
        </w:rPr>
      </w:pPr>
    </w:p>
    <w:p w14:paraId="3D84E2E5">
      <w:pPr>
        <w:pStyle w:val="2"/>
        <w:keepNext w:val="0"/>
        <w:keepLines w:val="0"/>
        <w:spacing w:line="360" w:lineRule="auto"/>
        <w:rPr>
          <w:rFonts w:hint="eastAsia" w:ascii="仿宋_GB2312" w:hAnsi="仿宋_GB2312" w:eastAsia="仿宋_GB2312" w:cs="仿宋_GB2312"/>
          <w:sz w:val="32"/>
          <w:szCs w:val="32"/>
        </w:rPr>
      </w:pPr>
    </w:p>
    <w:p w14:paraId="49681164">
      <w:pPr>
        <w:rPr>
          <w:rFonts w:hint="eastAsia" w:ascii="仿宋_GB2312" w:hAnsi="仿宋_GB2312" w:eastAsia="仿宋_GB2312" w:cs="仿宋_GB2312"/>
          <w:sz w:val="32"/>
          <w:szCs w:val="32"/>
        </w:rPr>
      </w:pPr>
    </w:p>
    <w:p w14:paraId="45B20EF7">
      <w:pPr>
        <w:rPr>
          <w:rFonts w:hint="eastAsia" w:ascii="仿宋_GB2312" w:hAnsi="仿宋_GB2312" w:eastAsia="仿宋_GB2312" w:cs="仿宋_GB2312"/>
          <w:sz w:val="32"/>
          <w:szCs w:val="32"/>
        </w:rPr>
      </w:pPr>
    </w:p>
    <w:p w14:paraId="4CC82551">
      <w:pPr>
        <w:rPr>
          <w:rFonts w:hint="eastAsia" w:ascii="仿宋_GB2312" w:hAnsi="仿宋_GB2312" w:eastAsia="仿宋_GB2312" w:cs="仿宋_GB2312"/>
          <w:sz w:val="32"/>
          <w:szCs w:val="32"/>
        </w:rPr>
      </w:pPr>
    </w:p>
    <w:p w14:paraId="569B2D5C">
      <w:pPr>
        <w:rPr>
          <w:rFonts w:hint="eastAsia" w:ascii="仿宋_GB2312" w:hAnsi="仿宋_GB2312" w:eastAsia="仿宋_GB2312" w:cs="仿宋_GB2312"/>
          <w:sz w:val="32"/>
          <w:szCs w:val="32"/>
        </w:rPr>
      </w:pPr>
    </w:p>
    <w:p w14:paraId="01DFB96A">
      <w:pPr>
        <w:rPr>
          <w:rFonts w:hint="eastAsia" w:ascii="仿宋_GB2312" w:hAnsi="仿宋_GB2312" w:eastAsia="仿宋_GB2312" w:cs="仿宋_GB2312"/>
          <w:sz w:val="32"/>
          <w:szCs w:val="32"/>
        </w:rPr>
      </w:pPr>
    </w:p>
    <w:p w14:paraId="2623C508">
      <w:pPr>
        <w:rPr>
          <w:rFonts w:hint="eastAsia" w:ascii="仿宋_GB2312" w:hAnsi="仿宋_GB2312" w:eastAsia="仿宋_GB2312" w:cs="仿宋_GB2312"/>
          <w:sz w:val="32"/>
          <w:szCs w:val="32"/>
        </w:rPr>
      </w:pPr>
    </w:p>
    <w:p w14:paraId="029B4D4A">
      <w:pPr>
        <w:rPr>
          <w:rFonts w:hint="eastAsia" w:ascii="仿宋_GB2312" w:hAnsi="仿宋_GB2312" w:eastAsia="仿宋_GB2312" w:cs="仿宋_GB2312"/>
          <w:sz w:val="32"/>
          <w:szCs w:val="32"/>
        </w:rPr>
      </w:pPr>
    </w:p>
    <w:p w14:paraId="08DC2075">
      <w:pPr>
        <w:rPr>
          <w:rFonts w:hint="eastAsia" w:ascii="仿宋_GB2312" w:hAnsi="仿宋_GB2312" w:eastAsia="仿宋_GB2312" w:cs="仿宋_GB2312"/>
          <w:sz w:val="32"/>
          <w:szCs w:val="32"/>
        </w:rPr>
      </w:pPr>
    </w:p>
    <w:p w14:paraId="0C6A216B">
      <w:pPr>
        <w:rPr>
          <w:rFonts w:hint="eastAsia" w:ascii="仿宋_GB2312" w:hAnsi="仿宋_GB2312" w:eastAsia="仿宋_GB2312" w:cs="仿宋_GB2312"/>
          <w:sz w:val="32"/>
          <w:szCs w:val="32"/>
        </w:rPr>
      </w:pPr>
    </w:p>
    <w:p w14:paraId="45243F9A">
      <w:pPr>
        <w:rPr>
          <w:rFonts w:hint="eastAsia" w:ascii="仿宋_GB2312" w:hAnsi="仿宋_GB2312" w:eastAsia="仿宋_GB2312" w:cs="仿宋_GB2312"/>
          <w:sz w:val="32"/>
          <w:szCs w:val="32"/>
        </w:rPr>
      </w:pPr>
    </w:p>
    <w:p w14:paraId="084E6CF0">
      <w:pPr>
        <w:pStyle w:val="2"/>
        <w:keepNext w:val="0"/>
        <w:keepLines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附表2                    符合性审查标准表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077"/>
        <w:gridCol w:w="5556"/>
      </w:tblGrid>
      <w:tr w14:paraId="61B6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09" w:type="dxa"/>
            <w:noWrap w:val="0"/>
            <w:vAlign w:val="center"/>
          </w:tcPr>
          <w:p w14:paraId="239DE6B8">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序号</w:t>
            </w:r>
          </w:p>
        </w:tc>
        <w:tc>
          <w:tcPr>
            <w:tcW w:w="3077" w:type="dxa"/>
            <w:noWrap w:val="0"/>
            <w:vAlign w:val="center"/>
          </w:tcPr>
          <w:p w14:paraId="170AA52F">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审查项目</w:t>
            </w:r>
          </w:p>
        </w:tc>
        <w:tc>
          <w:tcPr>
            <w:tcW w:w="5556" w:type="dxa"/>
            <w:noWrap w:val="0"/>
            <w:vAlign w:val="center"/>
          </w:tcPr>
          <w:p w14:paraId="57B41FAA">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投标审查要求</w:t>
            </w:r>
          </w:p>
        </w:tc>
      </w:tr>
      <w:tr w14:paraId="4B89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9" w:type="dxa"/>
            <w:noWrap w:val="0"/>
            <w:vAlign w:val="center"/>
          </w:tcPr>
          <w:p w14:paraId="2EC04115">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w:t>
            </w:r>
          </w:p>
        </w:tc>
        <w:tc>
          <w:tcPr>
            <w:tcW w:w="3077" w:type="dxa"/>
            <w:noWrap w:val="0"/>
            <w:vAlign w:val="center"/>
          </w:tcPr>
          <w:p w14:paraId="1743A4BD">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签署、盖章</w:t>
            </w:r>
          </w:p>
        </w:tc>
        <w:tc>
          <w:tcPr>
            <w:tcW w:w="5556" w:type="dxa"/>
            <w:noWrap w:val="0"/>
            <w:vAlign w:val="center"/>
          </w:tcPr>
          <w:p w14:paraId="74F5018D">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投标文件按招标文件要求签署、盖章的</w:t>
            </w:r>
          </w:p>
        </w:tc>
      </w:tr>
      <w:tr w14:paraId="29EB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9" w:type="dxa"/>
            <w:noWrap w:val="0"/>
            <w:vAlign w:val="center"/>
          </w:tcPr>
          <w:p w14:paraId="38E0CFEA">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w:t>
            </w:r>
          </w:p>
        </w:tc>
        <w:tc>
          <w:tcPr>
            <w:tcW w:w="3077" w:type="dxa"/>
            <w:noWrap w:val="0"/>
            <w:vAlign w:val="center"/>
          </w:tcPr>
          <w:p w14:paraId="1DBAC7B5">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投标报价</w:t>
            </w:r>
          </w:p>
        </w:tc>
        <w:tc>
          <w:tcPr>
            <w:tcW w:w="5556" w:type="dxa"/>
            <w:noWrap w:val="0"/>
            <w:vAlign w:val="center"/>
          </w:tcPr>
          <w:p w14:paraId="55B24603">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投标人投标报价未超出采购预算或最高限价的</w:t>
            </w:r>
          </w:p>
        </w:tc>
      </w:tr>
      <w:tr w14:paraId="1E5D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09" w:type="dxa"/>
            <w:noWrap w:val="0"/>
            <w:vAlign w:val="center"/>
          </w:tcPr>
          <w:p w14:paraId="0410A564">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w:t>
            </w:r>
          </w:p>
        </w:tc>
        <w:tc>
          <w:tcPr>
            <w:tcW w:w="3077" w:type="dxa"/>
            <w:noWrap w:val="0"/>
            <w:vAlign w:val="center"/>
          </w:tcPr>
          <w:p w14:paraId="46865EED">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报价合理性</w:t>
            </w:r>
          </w:p>
        </w:tc>
        <w:tc>
          <w:tcPr>
            <w:tcW w:w="5556" w:type="dxa"/>
            <w:noWrap w:val="0"/>
            <w:vAlign w:val="center"/>
          </w:tcPr>
          <w:p w14:paraId="667A6E57">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投标人的报价无明显低于其他通过符合性审查投标人的报价，不影响产品质量或者能诚信履约的，且投标人可以证明其报价合理性的</w:t>
            </w:r>
          </w:p>
        </w:tc>
      </w:tr>
      <w:tr w14:paraId="7A2B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09" w:type="dxa"/>
            <w:noWrap w:val="0"/>
            <w:vAlign w:val="center"/>
          </w:tcPr>
          <w:p w14:paraId="339FB367">
            <w:pPr>
              <w:pStyle w:val="12"/>
              <w:tabs>
                <w:tab w:val="left" w:pos="567"/>
              </w:tabs>
              <w:spacing w:line="360" w:lineRule="auto"/>
              <w:jc w:val="center"/>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4</w:t>
            </w:r>
          </w:p>
        </w:tc>
        <w:tc>
          <w:tcPr>
            <w:tcW w:w="3077" w:type="dxa"/>
            <w:noWrap w:val="0"/>
            <w:vAlign w:val="center"/>
          </w:tcPr>
          <w:p w14:paraId="1B9C5DCA">
            <w:pPr>
              <w:pStyle w:val="12"/>
              <w:tabs>
                <w:tab w:val="left" w:pos="567"/>
              </w:tabs>
              <w:spacing w:line="360" w:lineRule="auto"/>
              <w:jc w:val="center"/>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投标保证金</w:t>
            </w:r>
          </w:p>
        </w:tc>
        <w:tc>
          <w:tcPr>
            <w:tcW w:w="5556" w:type="dxa"/>
            <w:noWrap w:val="0"/>
            <w:vAlign w:val="center"/>
          </w:tcPr>
          <w:p w14:paraId="077BD8BD">
            <w:pPr>
              <w:pStyle w:val="12"/>
              <w:tabs>
                <w:tab w:val="left" w:pos="567"/>
              </w:tabs>
              <w:spacing w:line="360" w:lineRule="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投标保证金提交或金额、形式完全符合招标文件要求的</w:t>
            </w:r>
          </w:p>
        </w:tc>
      </w:tr>
      <w:tr w14:paraId="66A1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09" w:type="dxa"/>
            <w:noWrap w:val="0"/>
            <w:vAlign w:val="center"/>
          </w:tcPr>
          <w:p w14:paraId="0561BCBA">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5</w:t>
            </w:r>
          </w:p>
        </w:tc>
        <w:tc>
          <w:tcPr>
            <w:tcW w:w="3077" w:type="dxa"/>
            <w:noWrap w:val="0"/>
            <w:vAlign w:val="center"/>
          </w:tcPr>
          <w:p w14:paraId="01B49728">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投标内容</w:t>
            </w:r>
          </w:p>
        </w:tc>
        <w:tc>
          <w:tcPr>
            <w:tcW w:w="5556" w:type="dxa"/>
            <w:noWrap w:val="0"/>
            <w:vAlign w:val="center"/>
          </w:tcPr>
          <w:p w14:paraId="0E10A38F">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投标内容未出现漏项或数量与要求不符或投标内容的技术指标未达到招标文件要求，未造成采购档次降低或影响采购性能、功能</w:t>
            </w:r>
          </w:p>
        </w:tc>
      </w:tr>
      <w:tr w14:paraId="1A6E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9" w:type="dxa"/>
            <w:noWrap w:val="0"/>
            <w:vAlign w:val="center"/>
          </w:tcPr>
          <w:p w14:paraId="53490E21">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6</w:t>
            </w:r>
          </w:p>
        </w:tc>
        <w:tc>
          <w:tcPr>
            <w:tcW w:w="3077" w:type="dxa"/>
            <w:noWrap w:val="0"/>
            <w:vAlign w:val="center"/>
          </w:tcPr>
          <w:p w14:paraId="652B90A6">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合同履行期限</w:t>
            </w:r>
          </w:p>
        </w:tc>
        <w:tc>
          <w:tcPr>
            <w:tcW w:w="5556" w:type="dxa"/>
            <w:noWrap w:val="0"/>
            <w:vAlign w:val="center"/>
          </w:tcPr>
          <w:p w14:paraId="09D12CEF">
            <w:pPr>
              <w:tabs>
                <w:tab w:val="left" w:pos="0"/>
              </w:tabs>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应满足招标文件中要求的合同履行期限</w:t>
            </w:r>
          </w:p>
        </w:tc>
      </w:tr>
      <w:tr w14:paraId="3E0A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09" w:type="dxa"/>
            <w:noWrap w:val="0"/>
            <w:vAlign w:val="center"/>
          </w:tcPr>
          <w:p w14:paraId="6325ACBF">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7</w:t>
            </w:r>
          </w:p>
        </w:tc>
        <w:tc>
          <w:tcPr>
            <w:tcW w:w="3077" w:type="dxa"/>
            <w:noWrap w:val="0"/>
            <w:vAlign w:val="center"/>
          </w:tcPr>
          <w:p w14:paraId="565738CD">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其它情形</w:t>
            </w:r>
          </w:p>
        </w:tc>
        <w:tc>
          <w:tcPr>
            <w:tcW w:w="5556" w:type="dxa"/>
            <w:noWrap w:val="0"/>
            <w:vAlign w:val="center"/>
          </w:tcPr>
          <w:p w14:paraId="348F70A1">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不存在其它不符合法律法规或招标文件规定的投标无效条款</w:t>
            </w:r>
          </w:p>
        </w:tc>
      </w:tr>
      <w:tr w14:paraId="2F4E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9" w:type="dxa"/>
            <w:noWrap w:val="0"/>
            <w:vAlign w:val="center"/>
          </w:tcPr>
          <w:p w14:paraId="19309F60">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w:t>
            </w:r>
          </w:p>
        </w:tc>
        <w:tc>
          <w:tcPr>
            <w:tcW w:w="3077" w:type="dxa"/>
            <w:noWrap w:val="0"/>
            <w:vAlign w:val="center"/>
          </w:tcPr>
          <w:p w14:paraId="39ECA5DA">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★为核心商务技术要求</w:t>
            </w:r>
          </w:p>
        </w:tc>
        <w:tc>
          <w:tcPr>
            <w:tcW w:w="5556" w:type="dxa"/>
            <w:noWrap w:val="0"/>
            <w:vAlign w:val="center"/>
          </w:tcPr>
          <w:p w14:paraId="768F1D6F">
            <w:pPr>
              <w:pStyle w:val="12"/>
              <w:tabs>
                <w:tab w:val="left" w:pos="567"/>
              </w:tabs>
              <w:spacing w:line="360" w:lineRule="auto"/>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★为核心商务技术要求(属于不允许偏离的实质性要求,投标人需实质性响应)供应商根据招标文件★项提供相关佐证资料或承诺函，承诺函格式自拟。</w:t>
            </w:r>
          </w:p>
        </w:tc>
      </w:tr>
    </w:tbl>
    <w:p w14:paraId="44C8DB8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 （1）上述各项中用“√”表示通过，“×”表示不通过； （2）上述各项中如有一项为“×”，则结论为“×”，表示该投标文件中存在重大偏差，不能通过初步评审；评委对某一分项评审认为不合格时，必须要写明原因。 （3）投标文件最终合格与否，以所有评委的评审意见中少数服从多数为原则定论。 （4）投标人请认真阅读和理解上述内容，避免投标文件中有违背上述审查标准之一的情况发生而造成投标被否决。</w:t>
      </w:r>
    </w:p>
    <w:p w14:paraId="6C46EDC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评标小组（签字）：   </w:t>
      </w:r>
    </w:p>
    <w:p w14:paraId="1753BA3D">
      <w:pPr>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注：未通过资格审查、符合性审查的投标文件，其投标文件作为无效投标文件，不进入下一步评审</w:t>
      </w:r>
      <w:bookmarkStart w:id="331" w:name="_Toc9700"/>
      <w:bookmarkStart w:id="332" w:name="_Toc45795253"/>
    </w:p>
    <w:p w14:paraId="1AEA78C4">
      <w:pPr>
        <w:pStyle w:val="2"/>
        <w:spacing w:line="360" w:lineRule="auto"/>
        <w:jc w:val="left"/>
        <w:rPr>
          <w:rFonts w:hint="eastAsia" w:ascii="仿宋_GB2312" w:hAnsi="仿宋_GB2312" w:eastAsia="仿宋_GB2312" w:cs="仿宋_GB2312"/>
          <w:color w:val="000000"/>
          <w:sz w:val="32"/>
          <w:szCs w:val="32"/>
        </w:rPr>
      </w:pPr>
    </w:p>
    <w:p w14:paraId="7E4992FA">
      <w:pPr>
        <w:pStyle w:val="2"/>
        <w:spacing w:line="360" w:lineRule="auto"/>
        <w:jc w:val="left"/>
        <w:rPr>
          <w:rFonts w:hint="eastAsia" w:ascii="仿宋_GB2312" w:hAnsi="仿宋_GB2312" w:eastAsia="仿宋_GB2312" w:cs="仿宋_GB2312"/>
          <w:color w:val="000000"/>
          <w:sz w:val="32"/>
          <w:szCs w:val="32"/>
        </w:rPr>
      </w:pPr>
    </w:p>
    <w:p w14:paraId="5612CC3E">
      <w:pPr>
        <w:rPr>
          <w:rFonts w:hint="eastAsia" w:ascii="仿宋_GB2312" w:hAnsi="仿宋_GB2312" w:eastAsia="仿宋_GB2312" w:cs="仿宋_GB2312"/>
          <w:color w:val="000000"/>
          <w:sz w:val="32"/>
          <w:szCs w:val="32"/>
        </w:rPr>
      </w:pPr>
    </w:p>
    <w:p w14:paraId="29EE9081">
      <w:pPr>
        <w:rPr>
          <w:rFonts w:hint="eastAsia" w:ascii="仿宋_GB2312" w:hAnsi="仿宋_GB2312" w:eastAsia="仿宋_GB2312" w:cs="仿宋_GB2312"/>
          <w:color w:val="000000"/>
          <w:sz w:val="32"/>
          <w:szCs w:val="32"/>
        </w:rPr>
      </w:pPr>
    </w:p>
    <w:p w14:paraId="45FB7D5C">
      <w:pPr>
        <w:rPr>
          <w:rFonts w:hint="eastAsia" w:ascii="仿宋_GB2312" w:hAnsi="仿宋_GB2312" w:eastAsia="仿宋_GB2312" w:cs="仿宋_GB2312"/>
          <w:color w:val="000000"/>
          <w:sz w:val="32"/>
          <w:szCs w:val="32"/>
        </w:rPr>
      </w:pPr>
    </w:p>
    <w:p w14:paraId="60488DA4">
      <w:pPr>
        <w:pStyle w:val="2"/>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附表3            </w:t>
      </w:r>
    </w:p>
    <w:p w14:paraId="7ACE687A">
      <w:pPr>
        <w:widowControl/>
        <w:shd w:val="clear" w:color="auto" w:fill="FFFFFF"/>
        <w:spacing w:before="0" w:beforeAutospacing="0" w:after="0" w:afterAutospacing="0" w:line="336" w:lineRule="auto"/>
        <w:ind w:firstLine="42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kern w:val="0"/>
          <w:sz w:val="32"/>
          <w:szCs w:val="32"/>
          <w:shd w:val="clear" w:color="auto" w:fill="FFFFFF"/>
          <w:lang w:val="en-US" w:eastAsia="zh-CN" w:bidi="ar-SA"/>
        </w:rPr>
        <w:t>二标段牛、羊肉类</w:t>
      </w:r>
      <w:r>
        <w:rPr>
          <w:rFonts w:hint="eastAsia" w:ascii="仿宋_GB2312" w:hAnsi="仿宋_GB2312" w:eastAsia="仿宋_GB2312" w:cs="仿宋_GB2312"/>
          <w:color w:val="000000"/>
          <w:sz w:val="32"/>
          <w:szCs w:val="32"/>
          <w:lang w:val="en-US" w:eastAsia="zh-CN"/>
        </w:rPr>
        <w:t>评分细则</w:t>
      </w:r>
      <w:bookmarkEnd w:id="331"/>
      <w:bookmarkEnd w:id="332"/>
    </w:p>
    <w:tbl>
      <w:tblPr>
        <w:tblStyle w:val="27"/>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686"/>
        <w:gridCol w:w="5989"/>
        <w:gridCol w:w="1608"/>
      </w:tblGrid>
      <w:tr w14:paraId="39F4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1" w:type="dxa"/>
            <w:gridSpan w:val="2"/>
            <w:noWrap w:val="0"/>
            <w:vAlign w:val="center"/>
          </w:tcPr>
          <w:p w14:paraId="03B22C5C">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评审</w:t>
            </w:r>
            <w:r>
              <w:rPr>
                <w:rFonts w:hint="eastAsia" w:ascii="仿宋" w:hAnsi="仿宋" w:eastAsia="仿宋" w:cs="仿宋"/>
                <w:color w:val="auto"/>
                <w:kern w:val="0"/>
                <w:sz w:val="32"/>
                <w:szCs w:val="32"/>
                <w:lang w:val="en-US" w:eastAsia="zh-CN"/>
              </w:rPr>
              <w:t>指标</w:t>
            </w:r>
          </w:p>
        </w:tc>
        <w:tc>
          <w:tcPr>
            <w:tcW w:w="5989" w:type="dxa"/>
            <w:noWrap w:val="0"/>
            <w:vAlign w:val="center"/>
          </w:tcPr>
          <w:p w14:paraId="2D22A0DB">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评分标准说明</w:t>
            </w:r>
          </w:p>
        </w:tc>
        <w:tc>
          <w:tcPr>
            <w:tcW w:w="1608" w:type="dxa"/>
            <w:noWrap w:val="0"/>
            <w:vAlign w:val="center"/>
          </w:tcPr>
          <w:p w14:paraId="765FDE82">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满分值（分）</w:t>
            </w:r>
          </w:p>
        </w:tc>
      </w:tr>
      <w:tr w14:paraId="7ADF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528" w:type="dxa"/>
            <w:gridSpan w:val="4"/>
            <w:noWrap w:val="0"/>
            <w:vAlign w:val="center"/>
          </w:tcPr>
          <w:p w14:paraId="276DC3C1">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一、价格部分30分</w:t>
            </w:r>
          </w:p>
        </w:tc>
      </w:tr>
      <w:tr w14:paraId="1D71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2931" w:type="dxa"/>
            <w:gridSpan w:val="2"/>
            <w:noWrap w:val="0"/>
            <w:vAlign w:val="center"/>
          </w:tcPr>
          <w:p w14:paraId="45964E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价格部分</w:t>
            </w:r>
          </w:p>
          <w:p w14:paraId="4C1621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权重</w:t>
            </w:r>
            <w:r>
              <w:rPr>
                <w:rFonts w:hint="eastAsia" w:ascii="仿宋" w:hAnsi="仿宋" w:eastAsia="仿宋" w:cs="仿宋"/>
                <w:color w:val="auto"/>
                <w:kern w:val="0"/>
                <w:sz w:val="32"/>
                <w:szCs w:val="32"/>
              </w:rPr>
              <w:t>30</w:t>
            </w:r>
            <w:r>
              <w:rPr>
                <w:rFonts w:hint="eastAsia" w:ascii="仿宋" w:hAnsi="仿宋" w:eastAsia="仿宋" w:cs="仿宋"/>
                <w:color w:val="auto"/>
                <w:kern w:val="0"/>
                <w:sz w:val="32"/>
                <w:szCs w:val="32"/>
                <w:lang w:val="en-US" w:eastAsia="zh-CN"/>
              </w:rPr>
              <w:t>%</w:t>
            </w:r>
          </w:p>
        </w:tc>
        <w:tc>
          <w:tcPr>
            <w:tcW w:w="5989" w:type="dxa"/>
            <w:noWrap w:val="0"/>
            <w:vAlign w:val="center"/>
          </w:tcPr>
          <w:p w14:paraId="1B094C71">
            <w:pPr>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sz w:val="32"/>
                <w:szCs w:val="32"/>
              </w:rPr>
            </w:pPr>
            <w:r>
              <w:rPr>
                <w:rFonts w:hint="eastAsia" w:ascii="仿宋" w:hAnsi="仿宋" w:eastAsia="仿宋" w:cs="仿宋"/>
                <w:sz w:val="32"/>
                <w:szCs w:val="32"/>
              </w:rPr>
              <w:t>价格分应当采用低价优先法计算，即满足招标文件要求且最终投标价格最低的有效投标报价为评标基准价，其价格分为满分。其他投标人的价格分统一按照下列公式计算：</w:t>
            </w:r>
          </w:p>
          <w:p w14:paraId="71093F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r>
              <w:rPr>
                <w:rFonts w:hint="eastAsia" w:ascii="仿宋" w:hAnsi="仿宋" w:eastAsia="仿宋" w:cs="仿宋"/>
                <w:sz w:val="32"/>
                <w:szCs w:val="32"/>
              </w:rPr>
              <w:t>投标报价得分=(评标基准价/投标报价)×100*30%</w:t>
            </w:r>
          </w:p>
        </w:tc>
        <w:tc>
          <w:tcPr>
            <w:tcW w:w="1608" w:type="dxa"/>
            <w:noWrap w:val="0"/>
            <w:vAlign w:val="center"/>
          </w:tcPr>
          <w:p w14:paraId="5DAD7042">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30</w:t>
            </w:r>
          </w:p>
        </w:tc>
      </w:tr>
      <w:tr w14:paraId="28D3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528" w:type="dxa"/>
            <w:gridSpan w:val="4"/>
            <w:noWrap w:val="0"/>
            <w:vAlign w:val="center"/>
          </w:tcPr>
          <w:p w14:paraId="106A9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二、商务、技术部分70分</w:t>
            </w:r>
          </w:p>
        </w:tc>
      </w:tr>
      <w:tr w14:paraId="2F78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restart"/>
            <w:noWrap w:val="0"/>
            <w:vAlign w:val="center"/>
          </w:tcPr>
          <w:p w14:paraId="7756DE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商务部分权重23%</w:t>
            </w:r>
          </w:p>
        </w:tc>
        <w:tc>
          <w:tcPr>
            <w:tcW w:w="1686" w:type="dxa"/>
            <w:noWrap w:val="0"/>
            <w:vAlign w:val="center"/>
          </w:tcPr>
          <w:p w14:paraId="65F748A2">
            <w:pPr>
              <w:pStyle w:val="73"/>
              <w:spacing w:line="360" w:lineRule="auto"/>
              <w:jc w:val="both"/>
              <w:rPr>
                <w:rFonts w:hint="eastAsia" w:ascii="仿宋" w:hAnsi="仿宋" w:eastAsia="仿宋" w:cs="仿宋"/>
                <w:color w:val="auto"/>
                <w:kern w:val="0"/>
                <w:sz w:val="32"/>
                <w:szCs w:val="32"/>
                <w:highlight w:val="none"/>
                <w:lang w:val="en-US" w:eastAsia="zh-CN" w:bidi="ar-SA"/>
              </w:rPr>
            </w:pPr>
          </w:p>
          <w:p w14:paraId="64DEDE93">
            <w:pPr>
              <w:spacing w:line="360" w:lineRule="auto"/>
              <w:jc w:val="center"/>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投标人信用评价</w:t>
            </w:r>
          </w:p>
        </w:tc>
        <w:tc>
          <w:tcPr>
            <w:tcW w:w="5989" w:type="dxa"/>
            <w:noWrap w:val="0"/>
            <w:vAlign w:val="top"/>
          </w:tcPr>
          <w:p w14:paraId="7EA8C92B">
            <w:pPr>
              <w:pStyle w:val="73"/>
              <w:spacing w:line="360" w:lineRule="auto"/>
              <w:ind w:left="42" w:leftChars="20" w:right="42" w:rightChars="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投标人202</w:t>
            </w:r>
            <w:r>
              <w:rPr>
                <w:rFonts w:hint="eastAsia" w:cs="仿宋"/>
                <w:kern w:val="2"/>
                <w:sz w:val="32"/>
                <w:szCs w:val="32"/>
                <w:lang w:val="en-US" w:eastAsia="zh-CN" w:bidi="ar-SA"/>
              </w:rPr>
              <w:t>3</w:t>
            </w:r>
            <w:r>
              <w:rPr>
                <w:rFonts w:hint="eastAsia" w:ascii="仿宋" w:hAnsi="仿宋" w:eastAsia="仿宋" w:cs="仿宋"/>
                <w:kern w:val="2"/>
                <w:sz w:val="32"/>
                <w:szCs w:val="32"/>
                <w:lang w:val="en-US" w:eastAsia="zh-CN" w:bidi="ar-SA"/>
              </w:rPr>
              <w:t>年</w:t>
            </w:r>
            <w:r>
              <w:rPr>
                <w:rFonts w:hint="eastAsia" w:cs="仿宋"/>
                <w:kern w:val="2"/>
                <w:sz w:val="32"/>
                <w:szCs w:val="32"/>
                <w:lang w:val="en-US" w:eastAsia="zh-CN" w:bidi="ar-SA"/>
              </w:rPr>
              <w:t>06</w:t>
            </w:r>
            <w:r>
              <w:rPr>
                <w:rFonts w:hint="eastAsia" w:ascii="仿宋" w:hAnsi="仿宋" w:eastAsia="仿宋" w:cs="仿宋"/>
                <w:kern w:val="2"/>
                <w:sz w:val="32"/>
                <w:szCs w:val="32"/>
                <w:lang w:val="en-US" w:eastAsia="zh-CN" w:bidi="ar-SA"/>
              </w:rPr>
              <w:t>月</w:t>
            </w:r>
            <w:r>
              <w:rPr>
                <w:rFonts w:hint="eastAsia" w:cs="仿宋"/>
                <w:kern w:val="2"/>
                <w:sz w:val="32"/>
                <w:szCs w:val="32"/>
                <w:lang w:val="en-US" w:eastAsia="zh-CN" w:bidi="ar-SA"/>
              </w:rPr>
              <w:t>01</w:t>
            </w:r>
            <w:r>
              <w:rPr>
                <w:rFonts w:hint="eastAsia" w:ascii="仿宋" w:hAnsi="仿宋" w:eastAsia="仿宋" w:cs="仿宋"/>
                <w:kern w:val="2"/>
                <w:sz w:val="32"/>
                <w:szCs w:val="32"/>
                <w:lang w:val="en-US" w:eastAsia="zh-CN" w:bidi="ar-SA"/>
              </w:rPr>
              <w:t>日以来具备良好的信用评价和履约诚信度：</w:t>
            </w:r>
          </w:p>
          <w:p w14:paraId="72BFADA1">
            <w:pPr>
              <w:pStyle w:val="73"/>
              <w:spacing w:line="360" w:lineRule="auto"/>
              <w:ind w:left="42" w:leftChars="20" w:right="42" w:rightChars="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1.响应招标文件的履约要求并提供承诺函的，得</w:t>
            </w:r>
            <w:r>
              <w:rPr>
                <w:rFonts w:hint="eastAsia" w:cs="仿宋"/>
                <w:kern w:val="2"/>
                <w:sz w:val="32"/>
                <w:szCs w:val="32"/>
                <w:lang w:val="en-US" w:eastAsia="zh-CN" w:bidi="ar-SA"/>
              </w:rPr>
              <w:t>1</w:t>
            </w:r>
            <w:r>
              <w:rPr>
                <w:rFonts w:hint="eastAsia" w:ascii="仿宋" w:hAnsi="仿宋" w:eastAsia="仿宋" w:cs="仿宋"/>
                <w:kern w:val="2"/>
                <w:sz w:val="32"/>
                <w:szCs w:val="32"/>
                <w:lang w:val="en-US" w:eastAsia="zh-CN" w:bidi="ar-SA"/>
              </w:rPr>
              <w:t>分，没有不得分；</w:t>
            </w:r>
          </w:p>
          <w:p w14:paraId="3B628177">
            <w:pPr>
              <w:pStyle w:val="73"/>
              <w:spacing w:line="360" w:lineRule="auto"/>
              <w:ind w:left="42" w:leftChars="20" w:right="42" w:rightChars="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2.提供履约证明资料且内容详细清楚并能够体现良好履约能力的，每份得1.5分，满分3分；</w:t>
            </w:r>
          </w:p>
          <w:p w14:paraId="42565B93">
            <w:pPr>
              <w:pStyle w:val="73"/>
              <w:spacing w:line="360" w:lineRule="auto"/>
              <w:ind w:left="42" w:leftChars="20" w:right="42" w:rightChars="20"/>
              <w:rPr>
                <w:rFonts w:hint="default"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注：证明资料包括甲方出具的项目评价意见表、项目验收单资料原件。</w:t>
            </w:r>
            <w:r>
              <w:rPr>
                <w:rFonts w:hint="eastAsia" w:cs="仿宋"/>
                <w:b/>
                <w:bCs/>
                <w:kern w:val="2"/>
                <w:sz w:val="32"/>
                <w:szCs w:val="32"/>
                <w:lang w:val="en-US" w:eastAsia="zh-CN" w:bidi="ar-SA"/>
              </w:rPr>
              <w:t>时间认定以</w:t>
            </w:r>
            <w:r>
              <w:rPr>
                <w:rFonts w:hint="eastAsia" w:ascii="仿宋" w:hAnsi="仿宋" w:eastAsia="仿宋" w:cs="仿宋"/>
                <w:b/>
                <w:bCs/>
                <w:kern w:val="2"/>
                <w:sz w:val="32"/>
                <w:szCs w:val="32"/>
                <w:lang w:val="en-US" w:eastAsia="zh-CN" w:bidi="ar-SA"/>
              </w:rPr>
              <w:t>评价意见表</w:t>
            </w:r>
            <w:r>
              <w:rPr>
                <w:rFonts w:hint="eastAsia" w:cs="仿宋"/>
                <w:b/>
                <w:bCs/>
                <w:kern w:val="2"/>
                <w:sz w:val="32"/>
                <w:szCs w:val="32"/>
                <w:lang w:val="en-US" w:eastAsia="zh-CN" w:bidi="ar-SA"/>
              </w:rPr>
              <w:t>落款时间为准</w:t>
            </w:r>
          </w:p>
        </w:tc>
        <w:tc>
          <w:tcPr>
            <w:tcW w:w="1608" w:type="dxa"/>
            <w:noWrap w:val="0"/>
            <w:vAlign w:val="center"/>
          </w:tcPr>
          <w:p w14:paraId="3E0D6011">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0-4</w:t>
            </w:r>
          </w:p>
        </w:tc>
      </w:tr>
      <w:tr w14:paraId="470E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continue"/>
            <w:noWrap w:val="0"/>
            <w:vAlign w:val="center"/>
          </w:tcPr>
          <w:p w14:paraId="7FA2AB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42A826AC">
            <w:pPr>
              <w:pStyle w:val="73"/>
              <w:spacing w:line="360" w:lineRule="auto"/>
              <w:jc w:val="center"/>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类似业绩</w:t>
            </w:r>
          </w:p>
        </w:tc>
        <w:tc>
          <w:tcPr>
            <w:tcW w:w="5989" w:type="dxa"/>
            <w:noWrap w:val="0"/>
            <w:vAlign w:val="top"/>
          </w:tcPr>
          <w:p w14:paraId="06B8337E">
            <w:pPr>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年</w:t>
            </w:r>
            <w:r>
              <w:rPr>
                <w:rFonts w:hint="eastAsia" w:ascii="仿宋" w:hAnsi="仿宋" w:eastAsia="仿宋" w:cs="仿宋"/>
                <w:color w:val="auto"/>
                <w:sz w:val="32"/>
                <w:szCs w:val="32"/>
                <w:highlight w:val="none"/>
                <w:lang w:val="en-US" w:eastAsia="zh-CN"/>
              </w:rPr>
              <w:t>06</w:t>
            </w:r>
            <w:r>
              <w:rPr>
                <w:rFonts w:hint="eastAsia" w:ascii="仿宋" w:hAnsi="仿宋" w:eastAsia="仿宋" w:cs="仿宋"/>
                <w:color w:val="auto"/>
                <w:sz w:val="32"/>
                <w:szCs w:val="32"/>
                <w:highlight w:val="none"/>
                <w:lang w:eastAsia="zh-CN"/>
              </w:rPr>
              <w:t>月</w:t>
            </w:r>
            <w:r>
              <w:rPr>
                <w:rFonts w:hint="eastAsia" w:ascii="仿宋" w:hAnsi="仿宋" w:eastAsia="仿宋" w:cs="仿宋"/>
                <w:color w:val="auto"/>
                <w:sz w:val="32"/>
                <w:szCs w:val="32"/>
                <w:highlight w:val="none"/>
                <w:lang w:val="en-US" w:eastAsia="zh-CN"/>
              </w:rPr>
              <w:t>01</w:t>
            </w:r>
            <w:r>
              <w:rPr>
                <w:rFonts w:hint="eastAsia" w:ascii="仿宋" w:hAnsi="仿宋" w:eastAsia="仿宋" w:cs="仿宋"/>
                <w:color w:val="auto"/>
                <w:sz w:val="32"/>
                <w:szCs w:val="32"/>
                <w:highlight w:val="none"/>
                <w:lang w:eastAsia="zh-CN"/>
              </w:rPr>
              <w:t>日起至今，投标人承揽过的类似业绩，业绩数量以采购合同为准，并同时提供对应项目的验收单（或甲方评价意见表）；每份业绩得</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lang w:eastAsia="zh-CN"/>
              </w:rPr>
              <w:t>分；满分</w:t>
            </w:r>
            <w:r>
              <w:rPr>
                <w:rFonts w:hint="eastAsia" w:ascii="仿宋" w:hAnsi="仿宋" w:eastAsia="仿宋" w:cs="仿宋"/>
                <w:color w:val="auto"/>
                <w:sz w:val="32"/>
                <w:szCs w:val="32"/>
                <w:highlight w:val="none"/>
                <w:lang w:val="en-US" w:eastAsia="zh-CN"/>
              </w:rPr>
              <w:t>4.5</w:t>
            </w:r>
            <w:r>
              <w:rPr>
                <w:rFonts w:hint="eastAsia" w:ascii="仿宋" w:hAnsi="仿宋" w:eastAsia="仿宋" w:cs="仿宋"/>
                <w:color w:val="auto"/>
                <w:sz w:val="32"/>
                <w:szCs w:val="32"/>
                <w:highlight w:val="none"/>
                <w:lang w:eastAsia="zh-CN"/>
              </w:rPr>
              <w:t>分；</w:t>
            </w:r>
          </w:p>
          <w:p w14:paraId="4853B38A">
            <w:pPr>
              <w:keepNext w:val="0"/>
              <w:keepLines w:val="0"/>
              <w:pageBreakBefore w:val="0"/>
              <w:kinsoku/>
              <w:wordWrap/>
              <w:overflowPunct/>
              <w:topLinePunct w:val="0"/>
              <w:autoSpaceDE/>
              <w:autoSpaceDN/>
              <w:bidi w:val="0"/>
              <w:adjustRightInd/>
              <w:snapToGrid w:val="0"/>
              <w:spacing w:line="360" w:lineRule="auto"/>
              <w:rPr>
                <w:rFonts w:hint="default" w:ascii="仿宋" w:hAnsi="仿宋" w:eastAsia="仿宋" w:cs="仿宋"/>
                <w:sz w:val="32"/>
                <w:szCs w:val="32"/>
                <w:highlight w:val="none"/>
                <w:lang w:val="en-US" w:eastAsia="zh-CN"/>
              </w:rPr>
            </w:pPr>
            <w:r>
              <w:rPr>
                <w:rFonts w:hint="eastAsia" w:ascii="仿宋" w:hAnsi="仿宋" w:eastAsia="仿宋" w:cs="仿宋"/>
                <w:b/>
                <w:bCs/>
                <w:color w:val="auto"/>
                <w:sz w:val="32"/>
                <w:szCs w:val="32"/>
                <w:highlight w:val="none"/>
                <w:lang w:eastAsia="zh-CN"/>
              </w:rPr>
              <w:t>注：业绩认定须</w:t>
            </w:r>
            <w:r>
              <w:rPr>
                <w:rFonts w:hint="eastAsia" w:ascii="仿宋" w:hAnsi="仿宋" w:eastAsia="仿宋" w:cs="仿宋"/>
                <w:b/>
                <w:bCs/>
                <w:color w:val="auto"/>
                <w:sz w:val="32"/>
                <w:szCs w:val="32"/>
                <w:highlight w:val="none"/>
                <w:lang w:val="en-US" w:eastAsia="zh-CN"/>
              </w:rPr>
              <w:t>提供</w:t>
            </w:r>
            <w:r>
              <w:rPr>
                <w:rFonts w:hint="eastAsia" w:ascii="仿宋" w:hAnsi="仿宋" w:eastAsia="仿宋" w:cs="仿宋"/>
                <w:b/>
                <w:bCs/>
                <w:color w:val="auto"/>
                <w:sz w:val="32"/>
                <w:szCs w:val="32"/>
                <w:highlight w:val="none"/>
                <w:lang w:eastAsia="zh-CN"/>
              </w:rPr>
              <w:t>中标通知书</w:t>
            </w:r>
            <w:r>
              <w:rPr>
                <w:rFonts w:hint="eastAsia" w:ascii="仿宋" w:hAnsi="仿宋" w:eastAsia="仿宋" w:cs="仿宋"/>
                <w:b/>
                <w:bCs/>
                <w:color w:val="auto"/>
                <w:sz w:val="32"/>
                <w:szCs w:val="32"/>
                <w:highlight w:val="none"/>
                <w:lang w:val="en-US" w:eastAsia="zh-CN"/>
              </w:rPr>
              <w:t>和</w:t>
            </w:r>
            <w:r>
              <w:rPr>
                <w:rFonts w:hint="eastAsia" w:ascii="仿宋" w:hAnsi="仿宋" w:eastAsia="仿宋" w:cs="仿宋"/>
                <w:b/>
                <w:bCs/>
                <w:color w:val="auto"/>
                <w:sz w:val="32"/>
                <w:szCs w:val="32"/>
                <w:highlight w:val="none"/>
                <w:lang w:eastAsia="zh-CN"/>
              </w:rPr>
              <w:t>采购合同及验收单（或甲方评价意见表）原件的直接扫描件，内容清晰可辨，否则不得分。</w:t>
            </w:r>
            <w:r>
              <w:rPr>
                <w:rFonts w:hint="eastAsia" w:ascii="仿宋" w:hAnsi="仿宋" w:eastAsia="仿宋" w:cs="仿宋"/>
                <w:b/>
                <w:bCs/>
                <w:color w:val="auto"/>
                <w:sz w:val="32"/>
                <w:szCs w:val="32"/>
                <w:highlight w:val="none"/>
                <w:lang w:val="en-US" w:eastAsia="zh-CN"/>
              </w:rPr>
              <w:t>时间认定以合同签订时间为准。</w:t>
            </w:r>
          </w:p>
        </w:tc>
        <w:tc>
          <w:tcPr>
            <w:tcW w:w="1608" w:type="dxa"/>
            <w:noWrap w:val="0"/>
            <w:vAlign w:val="center"/>
          </w:tcPr>
          <w:p w14:paraId="5D5BD8F9">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0-4.5</w:t>
            </w:r>
          </w:p>
        </w:tc>
      </w:tr>
      <w:tr w14:paraId="7554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continue"/>
            <w:noWrap w:val="0"/>
            <w:vAlign w:val="center"/>
          </w:tcPr>
          <w:p w14:paraId="6BF59F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30A24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车辆配送</w:t>
            </w:r>
          </w:p>
        </w:tc>
        <w:tc>
          <w:tcPr>
            <w:tcW w:w="5989" w:type="dxa"/>
            <w:noWrap w:val="0"/>
            <w:vAlign w:val="center"/>
          </w:tcPr>
          <w:p w14:paraId="627C2116">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为了保证产品质量保鲜不变质，投标单位需提供专业配送冷链运输车辆或箱式货车（不接受改装车），每提供一辆得1.5分，满分4.5分。</w:t>
            </w:r>
          </w:p>
          <w:p w14:paraId="4F8EB719">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注：须提供自有车辆的证明，包括车辆图片、车牌号、机动车辆行驶证或租赁合同，少一样证明不得分。</w:t>
            </w:r>
          </w:p>
        </w:tc>
        <w:tc>
          <w:tcPr>
            <w:tcW w:w="1608" w:type="dxa"/>
            <w:noWrap w:val="0"/>
            <w:vAlign w:val="center"/>
          </w:tcPr>
          <w:p w14:paraId="73221F29">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0-4.5</w:t>
            </w:r>
          </w:p>
        </w:tc>
      </w:tr>
      <w:tr w14:paraId="4F66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5" w:type="dxa"/>
            <w:vMerge w:val="continue"/>
            <w:noWrap w:val="0"/>
            <w:vAlign w:val="center"/>
          </w:tcPr>
          <w:p w14:paraId="6E2C8B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5885F8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highlight w:val="none"/>
                <w:lang w:val="en-US" w:eastAsia="zh-CN"/>
              </w:rPr>
              <w:t>人员配送</w:t>
            </w:r>
          </w:p>
        </w:tc>
        <w:tc>
          <w:tcPr>
            <w:tcW w:w="5989" w:type="dxa"/>
            <w:noWrap w:val="0"/>
            <w:vAlign w:val="center"/>
          </w:tcPr>
          <w:p w14:paraId="5E2BABD2">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投标单位拟投入本项目的配送人员,5 人及以上得 5 分,4 人得 3 分,2 人得 1分,1 人及以下不得分，未提供或者证明资料不全不得分。</w:t>
            </w:r>
          </w:p>
          <w:p w14:paraId="3EF7B201">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rPr>
            </w:pPr>
            <w:r>
              <w:rPr>
                <w:rFonts w:hint="eastAsia" w:ascii="仿宋" w:hAnsi="仿宋" w:eastAsia="仿宋" w:cs="仿宋"/>
                <w:b/>
                <w:bCs/>
                <w:color w:val="auto"/>
                <w:kern w:val="0"/>
                <w:sz w:val="32"/>
                <w:szCs w:val="32"/>
                <w:highlight w:val="none"/>
                <w:lang w:val="en-US" w:eastAsia="zh-CN"/>
              </w:rPr>
              <w:t>注：须提供以上人员的健康证、劳动合同及近半年任意三个月的社保证明材料。</w:t>
            </w:r>
          </w:p>
        </w:tc>
        <w:tc>
          <w:tcPr>
            <w:tcW w:w="1608" w:type="dxa"/>
            <w:noWrap w:val="0"/>
            <w:vAlign w:val="center"/>
          </w:tcPr>
          <w:p w14:paraId="382092DE">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0-5</w:t>
            </w:r>
          </w:p>
        </w:tc>
      </w:tr>
      <w:tr w14:paraId="57FE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5" w:type="dxa"/>
            <w:vMerge w:val="continue"/>
            <w:noWrap w:val="0"/>
            <w:vAlign w:val="center"/>
          </w:tcPr>
          <w:p w14:paraId="698C69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59DB44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仓储能力</w:t>
            </w:r>
          </w:p>
        </w:tc>
        <w:tc>
          <w:tcPr>
            <w:tcW w:w="5989" w:type="dxa"/>
            <w:noWrap w:val="0"/>
            <w:vAlign w:val="center"/>
          </w:tcPr>
          <w:p w14:paraId="03FA02EB">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投标人具有满足项目供货需求的仓储、存放、保鲜能力：</w:t>
            </w:r>
          </w:p>
          <w:p w14:paraId="2FBC3E42">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1.具有仓储场地的：</w:t>
            </w:r>
          </w:p>
          <w:p w14:paraId="0C7CC73C">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场地面积＞200㎡，得3分；</w:t>
            </w:r>
          </w:p>
          <w:p w14:paraId="12FE1D7B">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200㎡≥场地面积＞150㎡，得2分；</w:t>
            </w:r>
          </w:p>
          <w:p w14:paraId="1E614B9F">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150㎡≥场地面积＞100㎡，得1分；</w:t>
            </w:r>
          </w:p>
          <w:p w14:paraId="1E0E9A3E">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没有不得分；</w:t>
            </w:r>
          </w:p>
          <w:p w14:paraId="62E5A9B6">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2.承诺中标后仓储场地设在伊宁市范围内的，加2分。</w:t>
            </w:r>
          </w:p>
          <w:p w14:paraId="7A32782B">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注：场地以购房合同或租赁合同或其他能够证明该场地为投标人自有的相关证明文件为准</w:t>
            </w:r>
            <w:r>
              <w:rPr>
                <w:rFonts w:hint="eastAsia" w:ascii="仿宋" w:hAnsi="仿宋" w:eastAsia="仿宋" w:cs="仿宋"/>
                <w:color w:val="auto"/>
                <w:kern w:val="0"/>
                <w:sz w:val="32"/>
                <w:szCs w:val="32"/>
                <w:highlight w:val="none"/>
                <w:lang w:val="en-US" w:eastAsia="zh-CN"/>
              </w:rPr>
              <w:t>。</w:t>
            </w:r>
          </w:p>
        </w:tc>
        <w:tc>
          <w:tcPr>
            <w:tcW w:w="1608" w:type="dxa"/>
            <w:noWrap w:val="0"/>
            <w:vAlign w:val="center"/>
          </w:tcPr>
          <w:p w14:paraId="17876704">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0-5</w:t>
            </w:r>
          </w:p>
        </w:tc>
      </w:tr>
      <w:tr w14:paraId="25CC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5" w:type="dxa"/>
            <w:vMerge w:val="restart"/>
            <w:noWrap w:val="0"/>
            <w:vAlign w:val="center"/>
          </w:tcPr>
          <w:p w14:paraId="3FCCD8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2F2AA3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317790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23795C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7AB2CA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7BB8C4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19833E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23693A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507B94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6C19AB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31097A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15B968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1ABA19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039454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6D01F3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77FE21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647E12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2CF301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40EB2E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技术部分权重47%</w:t>
            </w:r>
          </w:p>
        </w:tc>
        <w:tc>
          <w:tcPr>
            <w:tcW w:w="1686" w:type="dxa"/>
            <w:noWrap w:val="0"/>
            <w:vAlign w:val="center"/>
          </w:tcPr>
          <w:p w14:paraId="66110C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472246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配送方案</w:t>
            </w:r>
          </w:p>
        </w:tc>
        <w:tc>
          <w:tcPr>
            <w:tcW w:w="5989" w:type="dxa"/>
            <w:noWrap w:val="0"/>
            <w:vAlign w:val="center"/>
          </w:tcPr>
          <w:p w14:paraId="1E83D7E4">
            <w:pPr>
              <w:keepNext w:val="0"/>
              <w:keepLines w:val="0"/>
              <w:pageBreakBefore w:val="0"/>
              <w:widowControl/>
              <w:numPr>
                <w:ilvl w:val="0"/>
                <w:numId w:val="55"/>
              </w:numPr>
              <w:kinsoku/>
              <w:wordWrap/>
              <w:overflowPunct/>
              <w:topLinePunct w:val="0"/>
              <w:autoSpaceDE/>
              <w:autoSpaceDN/>
              <w:bidi w:val="0"/>
              <w:adjustRightInd/>
              <w:snapToGrid/>
              <w:spacing w:before="117" w:line="360" w:lineRule="auto"/>
              <w:ind w:right="71"/>
              <w:jc w:val="both"/>
              <w:textAlignment w:val="baseline"/>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投标单位对货物的运输的具体方案；内容包括：①针对本项目的运输服务方案、正确处理、完美解决问题的方式；②针对项目运输方案实施提出措施建议，确保配送顺利完成。</w:t>
            </w:r>
            <w:r>
              <w:rPr>
                <w:rFonts w:hint="eastAsia" w:ascii="仿宋" w:hAnsi="仿宋" w:eastAsia="仿宋" w:cs="仿宋"/>
                <w:b/>
                <w:bCs/>
                <w:color w:val="auto"/>
                <w:kern w:val="0"/>
                <w:sz w:val="32"/>
                <w:szCs w:val="32"/>
                <w:highlight w:val="none"/>
                <w:lang w:val="en-US" w:eastAsia="zh-CN" w:bidi="ar-SA"/>
              </w:rPr>
              <w:t>注：提供一项得1分，本项满分2分，未提供不得分。</w:t>
            </w:r>
          </w:p>
          <w:p w14:paraId="7CB1E037">
            <w:pPr>
              <w:keepNext w:val="0"/>
              <w:keepLines w:val="0"/>
              <w:pageBreakBefore w:val="0"/>
              <w:widowControl/>
              <w:numPr>
                <w:ilvl w:val="0"/>
                <w:numId w:val="55"/>
              </w:numPr>
              <w:kinsoku/>
              <w:wordWrap/>
              <w:overflowPunct/>
              <w:topLinePunct w:val="0"/>
              <w:autoSpaceDE/>
              <w:autoSpaceDN/>
              <w:bidi w:val="0"/>
              <w:adjustRightInd/>
              <w:snapToGrid/>
              <w:spacing w:before="117" w:line="360" w:lineRule="auto"/>
              <w:ind w:right="71"/>
              <w:jc w:val="both"/>
              <w:textAlignment w:val="baseline"/>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投标单位对货物配送的具体方案；内容包括：①出入库管理②货物交接③配送时间安排。</w:t>
            </w:r>
            <w:r>
              <w:rPr>
                <w:rFonts w:hint="eastAsia" w:ascii="仿宋" w:hAnsi="仿宋" w:eastAsia="仿宋" w:cs="仿宋"/>
                <w:b/>
                <w:bCs/>
                <w:color w:val="auto"/>
                <w:kern w:val="0"/>
                <w:sz w:val="32"/>
                <w:szCs w:val="32"/>
                <w:highlight w:val="none"/>
                <w:lang w:val="en-US" w:eastAsia="zh-CN" w:bidi="ar-SA"/>
              </w:rPr>
              <w:t>注：提供一项得1分，本项满分3分，未提供不得分。</w:t>
            </w:r>
          </w:p>
          <w:p w14:paraId="25C9A0A8">
            <w:pPr>
              <w:keepNext w:val="0"/>
              <w:keepLines w:val="0"/>
              <w:pageBreakBefore w:val="0"/>
              <w:widowControl/>
              <w:numPr>
                <w:ilvl w:val="0"/>
                <w:numId w:val="55"/>
              </w:numPr>
              <w:kinsoku/>
              <w:wordWrap/>
              <w:overflowPunct/>
              <w:topLinePunct w:val="0"/>
              <w:autoSpaceDE/>
              <w:autoSpaceDN/>
              <w:bidi w:val="0"/>
              <w:adjustRightInd/>
              <w:snapToGrid/>
              <w:spacing w:before="182" w:line="360" w:lineRule="auto"/>
              <w:ind w:left="0" w:lef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投标单位对货物装卸的具体方案；内容包括：①货物装卸流程②货物装卸工具③货物装卸安全管理。</w:t>
            </w:r>
            <w:r>
              <w:rPr>
                <w:rFonts w:hint="eastAsia" w:ascii="仿宋" w:hAnsi="仿宋" w:eastAsia="仿宋" w:cs="仿宋"/>
                <w:b/>
                <w:bCs/>
                <w:color w:val="auto"/>
                <w:kern w:val="0"/>
                <w:sz w:val="32"/>
                <w:szCs w:val="32"/>
                <w:highlight w:val="none"/>
                <w:lang w:val="en-US" w:eastAsia="zh-CN" w:bidi="ar-SA"/>
              </w:rPr>
              <w:t>注：提供一项得1分，本项满分3 分，未提供不得分。</w:t>
            </w:r>
          </w:p>
          <w:p w14:paraId="6BDCB9C2">
            <w:pPr>
              <w:keepNext w:val="0"/>
              <w:keepLines w:val="0"/>
              <w:pageBreakBefore w:val="0"/>
              <w:widowControl/>
              <w:numPr>
                <w:ilvl w:val="0"/>
                <w:numId w:val="0"/>
              </w:numPr>
              <w:kinsoku/>
              <w:wordWrap/>
              <w:overflowPunct/>
              <w:topLinePunct w:val="0"/>
              <w:autoSpaceDE/>
              <w:autoSpaceDN/>
              <w:bidi w:val="0"/>
              <w:adjustRightInd/>
              <w:snapToGrid/>
              <w:spacing w:before="182" w:line="360" w:lineRule="auto"/>
              <w:ind w:lef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注：以上内容每项内容中每有一处内容缺陷扣0.5分(缺陷是指：存在不适用项目实际情况的情形、凭空编造、内容前后不一致、前后逻辑错误、涉及的规范及标准错误、地点区域错误、内容遗漏、不符合采购需求等)，扣完为止。</w:t>
            </w:r>
          </w:p>
        </w:tc>
        <w:tc>
          <w:tcPr>
            <w:tcW w:w="1608" w:type="dxa"/>
            <w:noWrap w:val="0"/>
            <w:vAlign w:val="center"/>
          </w:tcPr>
          <w:p w14:paraId="0C10DFD6">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0-8</w:t>
            </w:r>
          </w:p>
        </w:tc>
      </w:tr>
      <w:tr w14:paraId="3F35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5" w:type="dxa"/>
            <w:vMerge w:val="continue"/>
            <w:noWrap w:val="0"/>
            <w:vAlign w:val="center"/>
          </w:tcPr>
          <w:p w14:paraId="7C67F9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62181A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bidi="ar-SA"/>
              </w:rPr>
              <w:t>货源保障能力</w:t>
            </w:r>
          </w:p>
        </w:tc>
        <w:tc>
          <w:tcPr>
            <w:tcW w:w="5989" w:type="dxa"/>
            <w:noWrap w:val="0"/>
            <w:vAlign w:val="center"/>
          </w:tcPr>
          <w:p w14:paraId="35C2F693">
            <w:pPr>
              <w:keepNext w:val="0"/>
              <w:keepLines w:val="0"/>
              <w:pageBreakBefore w:val="0"/>
              <w:widowControl/>
              <w:numPr>
                <w:ilvl w:val="0"/>
                <w:numId w:val="0"/>
              </w:numPr>
              <w:kinsoku/>
              <w:wordWrap/>
              <w:overflowPunct/>
              <w:topLinePunct w:val="0"/>
              <w:autoSpaceDE/>
              <w:autoSpaceDN/>
              <w:bidi w:val="0"/>
              <w:adjustRightInd/>
              <w:snapToGrid/>
              <w:spacing w:before="182" w:line="360" w:lineRule="auto"/>
              <w:ind w:lef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货源保障能力包括：①确保所有货品的新鲜度措施；②配送途中质量保证的措施；③检测证书（报告）完备； ④缺送漏送的解决办法；⑤临时少量货品的及时送货措施；⑥对不合格货品、价格虚高的处罚办法。以上内容完整且完全满足项目要求得12分，每缺失一项内容扣2分，每项内容中每有一处内容缺陷扣1分(缺陷是指：存在不适用项目实际情况的情形、凭空编造、内容前后不一致、前后逻辑错误、涉及的规范及标准错误、地点区域错误、内容遗漏、不符合采购需求等)，扣完为止。</w:t>
            </w:r>
          </w:p>
        </w:tc>
        <w:tc>
          <w:tcPr>
            <w:tcW w:w="1608" w:type="dxa"/>
            <w:noWrap w:val="0"/>
            <w:vAlign w:val="center"/>
          </w:tcPr>
          <w:p w14:paraId="476B6827">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highlight w:val="none"/>
                <w:lang w:val="en-US" w:eastAsia="zh-CN"/>
              </w:rPr>
              <w:t>0-12</w:t>
            </w:r>
          </w:p>
        </w:tc>
      </w:tr>
      <w:tr w14:paraId="26B3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45" w:type="dxa"/>
            <w:vMerge w:val="continue"/>
            <w:noWrap w:val="0"/>
            <w:vAlign w:val="center"/>
          </w:tcPr>
          <w:p w14:paraId="7615B2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6420E5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rPr>
              <w:t>质量安全</w:t>
            </w:r>
          </w:p>
        </w:tc>
        <w:tc>
          <w:tcPr>
            <w:tcW w:w="5989" w:type="dxa"/>
            <w:noWrap w:val="0"/>
            <w:vAlign w:val="center"/>
          </w:tcPr>
          <w:p w14:paraId="6E3ADC52">
            <w:pPr>
              <w:keepNext w:val="0"/>
              <w:keepLines w:val="0"/>
              <w:pageBreakBefore w:val="0"/>
              <w:widowControl/>
              <w:numPr>
                <w:ilvl w:val="0"/>
                <w:numId w:val="56"/>
              </w:numPr>
              <w:kinsoku/>
              <w:wordWrap/>
              <w:overflowPunct/>
              <w:topLinePunct w:val="0"/>
              <w:autoSpaceDE/>
              <w:autoSpaceDN/>
              <w:bidi w:val="0"/>
              <w:adjustRightInd/>
              <w:snapToGrid/>
              <w:spacing w:before="117" w:line="360" w:lineRule="auto"/>
              <w:ind w:right="68" w:rightChars="0"/>
              <w:jc w:val="both"/>
              <w:textAlignment w:val="baseline"/>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针对质量安全控制的操作流程、下游控制流程以及安全控制的安全举措。（1）仓储安全管理内容包括：①具有仓储卫生管理制度②配置仓储安全设施（包括但不限于温度测量、湿度测量、挡鼠板、备用电机等，须提供照片相关证明材料）</w:t>
            </w:r>
            <w:r>
              <w:rPr>
                <w:rFonts w:hint="eastAsia" w:ascii="仿宋" w:hAnsi="仿宋" w:eastAsia="仿宋" w:cs="仿宋"/>
                <w:b/>
                <w:bCs/>
                <w:color w:val="auto"/>
                <w:kern w:val="0"/>
                <w:sz w:val="32"/>
                <w:szCs w:val="32"/>
                <w:highlight w:val="none"/>
                <w:lang w:val="en-US" w:eastAsia="zh-CN" w:bidi="ar-SA"/>
              </w:rPr>
              <w:t>注：提供一项得2.5分，本项满分5分，未提供不得分；</w:t>
            </w:r>
            <w:r>
              <w:rPr>
                <w:rFonts w:hint="eastAsia" w:ascii="仿宋" w:hAnsi="仿宋" w:eastAsia="仿宋" w:cs="仿宋"/>
                <w:color w:val="auto"/>
                <w:kern w:val="0"/>
                <w:sz w:val="32"/>
                <w:szCs w:val="32"/>
                <w:highlight w:val="none"/>
                <w:lang w:val="en-US" w:eastAsia="zh-CN" w:bidi="ar-SA"/>
              </w:rPr>
              <w:t>每有一处不具有合理性、不详尽或不能满足采购需求的扣0.5分；扣完为止。</w:t>
            </w:r>
          </w:p>
          <w:p w14:paraId="32F27820">
            <w:pPr>
              <w:keepNext w:val="0"/>
              <w:keepLines w:val="0"/>
              <w:pageBreakBefore w:val="0"/>
              <w:widowControl/>
              <w:numPr>
                <w:ilvl w:val="0"/>
                <w:numId w:val="56"/>
              </w:numPr>
              <w:kinsoku/>
              <w:wordWrap/>
              <w:overflowPunct/>
              <w:topLinePunct w:val="0"/>
              <w:autoSpaceDE/>
              <w:autoSpaceDN/>
              <w:bidi w:val="0"/>
              <w:adjustRightInd/>
              <w:snapToGrid/>
              <w:spacing w:before="117" w:line="360" w:lineRule="auto"/>
              <w:ind w:left="0" w:leftChars="0" w:right="68" w:righ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安全生产管理人员：至少配备1名安全生产管理人员且须提供健康证、劳动合同及近半年任意3个月的社保证明。</w:t>
            </w:r>
            <w:r>
              <w:rPr>
                <w:rFonts w:hint="eastAsia" w:ascii="仿宋" w:hAnsi="仿宋" w:eastAsia="仿宋" w:cs="仿宋"/>
                <w:b/>
                <w:bCs/>
                <w:color w:val="auto"/>
                <w:kern w:val="0"/>
                <w:sz w:val="32"/>
                <w:szCs w:val="32"/>
                <w:highlight w:val="none"/>
                <w:lang w:val="en-US" w:eastAsia="zh-CN" w:bidi="ar-SA"/>
              </w:rPr>
              <w:t>注：满足得2分，不提供证明材料不得分</w:t>
            </w:r>
          </w:p>
          <w:p w14:paraId="46C32CA2">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安全质量制度：①具有完善的安全制度②具有完善的安全标准。</w:t>
            </w:r>
            <w:r>
              <w:rPr>
                <w:rFonts w:hint="eastAsia" w:ascii="仿宋" w:hAnsi="仿宋" w:eastAsia="仿宋" w:cs="仿宋"/>
                <w:b/>
                <w:bCs/>
                <w:color w:val="auto"/>
                <w:kern w:val="0"/>
                <w:sz w:val="32"/>
                <w:szCs w:val="32"/>
                <w:highlight w:val="none"/>
                <w:lang w:val="en-US" w:eastAsia="zh-CN" w:bidi="ar-SA"/>
              </w:rPr>
              <w:t>注：提供一项得2.5分，本项满分5分，未提供不得分；每有一处不具有合理性、不详尽或不能满足采购需求的扣0.5分；扣完为止。</w:t>
            </w:r>
          </w:p>
        </w:tc>
        <w:tc>
          <w:tcPr>
            <w:tcW w:w="1608" w:type="dxa"/>
            <w:noWrap w:val="0"/>
            <w:vAlign w:val="center"/>
          </w:tcPr>
          <w:p w14:paraId="13A10129">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0-12</w:t>
            </w:r>
          </w:p>
        </w:tc>
      </w:tr>
      <w:tr w14:paraId="51FF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245" w:type="dxa"/>
            <w:vMerge w:val="continue"/>
            <w:noWrap w:val="0"/>
            <w:vAlign w:val="center"/>
          </w:tcPr>
          <w:p w14:paraId="20E604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265A71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服务质量</w:t>
            </w:r>
          </w:p>
        </w:tc>
        <w:tc>
          <w:tcPr>
            <w:tcW w:w="5989" w:type="dxa"/>
            <w:noWrap w:val="0"/>
            <w:vAlign w:val="center"/>
          </w:tcPr>
          <w:p w14:paraId="5712E455">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投标单位按项目理解制定详细服务方案，如每个环节合理安排专职人员推进各项工作有序开展，保证项目按计划交付的基本承诺内容，包括不限于：订单、到货、退换、报账。</w:t>
            </w:r>
          </w:p>
          <w:p w14:paraId="1D650597">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（1）投标单位须提供整个环节的流程图得1分，否则不得分；</w:t>
            </w:r>
          </w:p>
          <w:p w14:paraId="330B6E6E">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（2）投标单位对整个流程时间节点设置合理，提供时间节点计划得1分，否则不得分；</w:t>
            </w:r>
          </w:p>
          <w:p w14:paraId="2BC48BC3">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（3）每个环节服务人员的操作流程，提供操作流程得1分，否则不得分；</w:t>
            </w:r>
          </w:p>
          <w:p w14:paraId="346FBED9">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（4）投标单位至少配备1人负责协调退换货工作以及报账，须提供人员的劳动合同及近1个月的社保证明，提供资料齐全得1分，否则不得分。</w:t>
            </w:r>
          </w:p>
          <w:p w14:paraId="0083F8B1">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en-US" w:bidi="ar-SA"/>
              </w:rPr>
            </w:pPr>
            <w:r>
              <w:rPr>
                <w:rFonts w:hint="eastAsia" w:ascii="仿宋" w:hAnsi="仿宋" w:eastAsia="仿宋" w:cs="仿宋"/>
                <w:color w:val="auto"/>
                <w:kern w:val="0"/>
                <w:sz w:val="32"/>
                <w:szCs w:val="32"/>
                <w:highlight w:val="none"/>
                <w:lang w:val="en-US" w:eastAsia="zh-CN" w:bidi="ar-SA"/>
              </w:rPr>
              <w:t>注：以上每有一处不具有合理性、不详尽或不能满足采购需求的扣0.5分；扣完为止。</w:t>
            </w:r>
          </w:p>
        </w:tc>
        <w:tc>
          <w:tcPr>
            <w:tcW w:w="1608" w:type="dxa"/>
            <w:noWrap w:val="0"/>
            <w:vAlign w:val="center"/>
          </w:tcPr>
          <w:p w14:paraId="17DCEC21">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17EB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5" w:type="dxa"/>
            <w:vMerge w:val="continue"/>
            <w:noWrap w:val="0"/>
            <w:vAlign w:val="center"/>
          </w:tcPr>
          <w:p w14:paraId="382AC3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7B8FE8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应急措施</w:t>
            </w:r>
          </w:p>
        </w:tc>
        <w:tc>
          <w:tcPr>
            <w:tcW w:w="5989" w:type="dxa"/>
            <w:noWrap w:val="0"/>
            <w:vAlign w:val="center"/>
          </w:tcPr>
          <w:p w14:paraId="0C8DCD39">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应急采购措施方案包括在①急需大量物资配货方案②不合格货物的退货方案 ③零星增补供应保障情况，但不限于针对恶劣天气影响 ④重大节假日或活动等特殊情况制定应急处置方案。</w:t>
            </w:r>
          </w:p>
          <w:p w14:paraId="378B4308">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注：提供一项得1分,本项满分4分，不提供不得分；每有一处不具有合理性、不详尽或不能满足采购需求的扣0.5分；扣完为止。</w:t>
            </w:r>
          </w:p>
        </w:tc>
        <w:tc>
          <w:tcPr>
            <w:tcW w:w="1608" w:type="dxa"/>
            <w:noWrap w:val="0"/>
            <w:vAlign w:val="center"/>
          </w:tcPr>
          <w:p w14:paraId="7A1CC0CC">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4C9A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5" w:type="dxa"/>
            <w:vMerge w:val="continue"/>
            <w:noWrap w:val="0"/>
            <w:vAlign w:val="center"/>
          </w:tcPr>
          <w:p w14:paraId="363878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6FDA2A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售后服务</w:t>
            </w:r>
          </w:p>
        </w:tc>
        <w:tc>
          <w:tcPr>
            <w:tcW w:w="5989" w:type="dxa"/>
            <w:noWrap w:val="0"/>
            <w:vAlign w:val="center"/>
          </w:tcPr>
          <w:p w14:paraId="3D11D2FE">
            <w:pPr>
              <w:keepNext w:val="0"/>
              <w:keepLines w:val="0"/>
              <w:pageBreakBefore w:val="0"/>
              <w:widowControl/>
              <w:numPr>
                <w:ilvl w:val="0"/>
                <w:numId w:val="57"/>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投标人根据本项目需求提供详细的售后服务方案，内容包含但不限于：</w:t>
            </w:r>
          </w:p>
          <w:p w14:paraId="51412930">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①退换货及缺送漏送的处理方案；</w:t>
            </w:r>
          </w:p>
          <w:p w14:paraId="10607284">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②售后服务承诺以及响应时间等；</w:t>
            </w:r>
          </w:p>
          <w:p w14:paraId="06BA409E">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③有针对本项目的特殊情况（如专项行动、公共食品安全危机等）保证措施；</w:t>
            </w:r>
          </w:p>
          <w:p w14:paraId="01C8F524">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以上方案内容完整清晰明确、科学合理、提高售后能力且满足采购需求的得6分，每缺少内容且不完整的扣2分，每有一处不具有合理性、不详尽或不能满足采购需求的扣0.5分；扣完为止。</w:t>
            </w:r>
          </w:p>
          <w:p w14:paraId="30A732CB">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2、承诺承担所供商品质量、安全所致事件为完全责任得1分。</w:t>
            </w:r>
          </w:p>
        </w:tc>
        <w:tc>
          <w:tcPr>
            <w:tcW w:w="1608" w:type="dxa"/>
            <w:noWrap w:val="0"/>
            <w:vAlign w:val="center"/>
          </w:tcPr>
          <w:p w14:paraId="6F7FF630">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0-7</w:t>
            </w:r>
          </w:p>
        </w:tc>
      </w:tr>
    </w:tbl>
    <w:p w14:paraId="11DA454F">
      <w:pPr>
        <w:pStyle w:val="19"/>
        <w:spacing w:line="360" w:lineRule="auto"/>
        <w:jc w:val="both"/>
        <w:rPr>
          <w:rFonts w:hint="eastAsia" w:ascii="仿宋_GB2312" w:hAnsi="仿宋_GB2312" w:eastAsia="仿宋_GB2312" w:cs="仿宋_GB2312"/>
          <w:color w:val="auto"/>
          <w:sz w:val="32"/>
          <w:szCs w:val="32"/>
          <w:highlight w:val="none"/>
          <w:lang w:val="en-US" w:eastAsia="zh-CN"/>
        </w:rPr>
      </w:pPr>
    </w:p>
    <w:sectPr>
      <w:pgSz w:w="11905" w:h="16838"/>
      <w:pgMar w:top="1531" w:right="1531" w:bottom="1531" w:left="1531" w:header="1134" w:footer="1134" w:gutter="0"/>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Segoe UI Emoji">
    <w:panose1 w:val="020B0502040204020203"/>
    <w:charset w:val="00"/>
    <w:family w:val="auto"/>
    <w:pitch w:val="default"/>
    <w:sig w:usb0="00000001" w:usb1="02000000" w:usb2="00000000" w:usb3="00000000" w:csb0="000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7F94">
    <w:pPr>
      <w:pStyle w:val="16"/>
      <w:jc w:val="center"/>
    </w:pPr>
  </w:p>
  <w:p w14:paraId="08068D81">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34BBD">
    <w:pPr>
      <w:pStyle w:val="1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81AA">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CE16A5">
                          <w:pPr>
                            <w:pStyle w:val="16"/>
                            <w:jc w:val="center"/>
                          </w:pPr>
                          <w:r>
                            <w:fldChar w:fldCharType="begin"/>
                          </w:r>
                          <w:r>
                            <w:instrText xml:space="preserve">PAGE   \* MERGEFORMAT</w:instrText>
                          </w:r>
                          <w:r>
                            <w:fldChar w:fldCharType="separate"/>
                          </w:r>
                          <w:r>
                            <w:rPr>
                              <w:lang w:val="zh-CN"/>
                            </w:rPr>
                            <w:t>202</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A7I80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kA7I80BAACpAwAADgAAAAAAAAABACAAAAAeAQAAZHJzL2Uy&#10;b0RvYy54bWxQSwUGAAAAAAYABgBZAQAAXQUAAAAA&#10;">
              <v:fill on="f" focussize="0,0"/>
              <v:stroke on="f"/>
              <v:imagedata o:title=""/>
              <o:lock v:ext="edit" aspectratio="f"/>
              <v:textbox inset="0mm,0mm,0mm,0mm" style="mso-fit-shape-to-text:t;">
                <w:txbxContent>
                  <w:p w14:paraId="32CE16A5">
                    <w:pPr>
                      <w:pStyle w:val="16"/>
                      <w:jc w:val="center"/>
                    </w:pPr>
                    <w:r>
                      <w:fldChar w:fldCharType="begin"/>
                    </w:r>
                    <w:r>
                      <w:instrText xml:space="preserve">PAGE   \* MERGEFORMAT</w:instrText>
                    </w:r>
                    <w:r>
                      <w:fldChar w:fldCharType="separate"/>
                    </w:r>
                    <w:r>
                      <w:rPr>
                        <w:lang w:val="zh-CN"/>
                      </w:rPr>
                      <w:t>202</w:t>
                    </w:r>
                    <w:r>
                      <w:rPr>
                        <w:lang w:val="zh-CN"/>
                      </w:rPr>
                      <w:fldChar w:fldCharType="end"/>
                    </w:r>
                  </w:p>
                </w:txbxContent>
              </v:textbox>
            </v:shape>
          </w:pict>
        </mc:Fallback>
      </mc:AlternateContent>
    </w:r>
  </w:p>
  <w:p w14:paraId="1D0CAFD3">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EF9D">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561C1">
    <w:pPr>
      <w:pStyle w:val="17"/>
      <w:pBdr>
        <w:bottom w:val="none" w:color="auto" w:sz="0" w:space="1"/>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453B6">
    <w:pPr>
      <w:autoSpaceDE w:val="0"/>
      <w:autoSpaceDN w:val="0"/>
      <w:adjustRightInd w:val="0"/>
      <w:spacing w:line="360" w:lineRule="auto"/>
      <w:ind w:left="1470" w:hanging="1470" w:hangingChars="700"/>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0A54B1F"/>
    <w:multiLevelType w:val="singleLevel"/>
    <w:tmpl w:val="B0A54B1F"/>
    <w:lvl w:ilvl="0" w:tentative="0">
      <w:start w:val="15"/>
      <w:numFmt w:val="decimal"/>
      <w:suff w:val="nothing"/>
      <w:lvlText w:val="%1、"/>
      <w:lvlJc w:val="left"/>
    </w:lvl>
  </w:abstractNum>
  <w:abstractNum w:abstractNumId="12">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0600834"/>
    <w:multiLevelType w:val="singleLevel"/>
    <w:tmpl w:val="D0600834"/>
    <w:lvl w:ilvl="0" w:tentative="0">
      <w:start w:val="1"/>
      <w:numFmt w:val="decimal"/>
      <w:suff w:val="nothing"/>
      <w:lvlText w:val="%1、"/>
      <w:lvlJc w:val="left"/>
    </w:lvl>
  </w:abstractNum>
  <w:abstractNum w:abstractNumId="19">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0">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609AC39"/>
    <w:multiLevelType w:val="singleLevel"/>
    <w:tmpl w:val="0609AC39"/>
    <w:lvl w:ilvl="0" w:tentative="0">
      <w:start w:val="2"/>
      <w:numFmt w:val="chineseCounting"/>
      <w:suff w:val="nothing"/>
      <w:lvlText w:val="（%1）"/>
      <w:lvlJc w:val="left"/>
      <w:rPr>
        <w:rFonts w:hint="eastAsia"/>
      </w:rPr>
    </w:lvl>
  </w:abstractNum>
  <w:abstractNum w:abstractNumId="33">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8">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30954545"/>
    <w:multiLevelType w:val="singleLevel"/>
    <w:tmpl w:val="30954545"/>
    <w:lvl w:ilvl="0" w:tentative="0">
      <w:start w:val="1"/>
      <w:numFmt w:val="decimal"/>
      <w:suff w:val="nothing"/>
      <w:lvlText w:val="(%1)"/>
      <w:lvlJc w:val="left"/>
      <w:rPr>
        <w:rFonts w:hint="default"/>
        <w:b w:val="0"/>
        <w:bCs w:val="0"/>
      </w:rPr>
    </w:lvl>
  </w:abstractNum>
  <w:abstractNum w:abstractNumId="40">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495B9921"/>
    <w:multiLevelType w:val="singleLevel"/>
    <w:tmpl w:val="495B9921"/>
    <w:lvl w:ilvl="0" w:tentative="0">
      <w:start w:val="1"/>
      <w:numFmt w:val="decimal"/>
      <w:suff w:val="nothing"/>
      <w:lvlText w:val="%1、"/>
      <w:lvlJc w:val="left"/>
    </w:lvl>
  </w:abstractNum>
  <w:abstractNum w:abstractNumId="46">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57FDEF10"/>
    <w:multiLevelType w:val="multilevel"/>
    <w:tmpl w:val="57FDEF10"/>
    <w:lvl w:ilvl="0" w:tentative="0">
      <w:start w:val="1"/>
      <w:numFmt w:val="decimal"/>
      <w:lvlText w:val="24.4.%1"/>
      <w:lvlJc w:val="left"/>
      <w:pPr>
        <w:ind w:left="425" w:hanging="425"/>
      </w:pPr>
      <w:rPr>
        <w:rFonts w:hint="default" w:ascii="宋体" w:hAnsi="宋体" w:eastAsia="宋体" w:cs="宋体"/>
        <w:color w:val="auto"/>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50">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1">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6CE7ABAE"/>
    <w:multiLevelType w:val="singleLevel"/>
    <w:tmpl w:val="6CE7ABAE"/>
    <w:lvl w:ilvl="0" w:tentative="0">
      <w:start w:val="2"/>
      <w:numFmt w:val="decimal"/>
      <w:suff w:val="nothing"/>
      <w:lvlText w:val="%1、"/>
      <w:lvlJc w:val="left"/>
    </w:lvl>
  </w:abstractNum>
  <w:abstractNum w:abstractNumId="54">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53"/>
  </w:num>
  <w:num w:numId="2">
    <w:abstractNumId w:val="29"/>
  </w:num>
  <w:num w:numId="3">
    <w:abstractNumId w:val="37"/>
  </w:num>
  <w:num w:numId="4">
    <w:abstractNumId w:val="31"/>
  </w:num>
  <w:num w:numId="5">
    <w:abstractNumId w:val="35"/>
  </w:num>
  <w:num w:numId="6">
    <w:abstractNumId w:val="30"/>
  </w:num>
  <w:num w:numId="7">
    <w:abstractNumId w:val="38"/>
  </w:num>
  <w:num w:numId="8">
    <w:abstractNumId w:val="10"/>
  </w:num>
  <w:num w:numId="9">
    <w:abstractNumId w:val="44"/>
  </w:num>
  <w:num w:numId="10">
    <w:abstractNumId w:val="0"/>
  </w:num>
  <w:num w:numId="11">
    <w:abstractNumId w:val="7"/>
  </w:num>
  <w:num w:numId="12">
    <w:abstractNumId w:val="14"/>
  </w:num>
  <w:num w:numId="13">
    <w:abstractNumId w:val="36"/>
  </w:num>
  <w:num w:numId="14">
    <w:abstractNumId w:val="55"/>
  </w:num>
  <w:num w:numId="15">
    <w:abstractNumId w:val="48"/>
  </w:num>
  <w:num w:numId="16">
    <w:abstractNumId w:val="22"/>
  </w:num>
  <w:num w:numId="17">
    <w:abstractNumId w:val="1"/>
  </w:num>
  <w:num w:numId="18">
    <w:abstractNumId w:val="47"/>
  </w:num>
  <w:num w:numId="19">
    <w:abstractNumId w:val="8"/>
  </w:num>
  <w:num w:numId="20">
    <w:abstractNumId w:val="9"/>
  </w:num>
  <w:num w:numId="21">
    <w:abstractNumId w:val="12"/>
  </w:num>
  <w:num w:numId="22">
    <w:abstractNumId w:val="54"/>
  </w:num>
  <w:num w:numId="23">
    <w:abstractNumId w:val="52"/>
  </w:num>
  <w:num w:numId="24">
    <w:abstractNumId w:val="50"/>
  </w:num>
  <w:num w:numId="25">
    <w:abstractNumId w:val="49"/>
  </w:num>
  <w:num w:numId="26">
    <w:abstractNumId w:val="41"/>
  </w:num>
  <w:num w:numId="27">
    <w:abstractNumId w:val="40"/>
  </w:num>
  <w:num w:numId="28">
    <w:abstractNumId w:val="28"/>
  </w:num>
  <w:num w:numId="29">
    <w:abstractNumId w:val="5"/>
  </w:num>
  <w:num w:numId="30">
    <w:abstractNumId w:val="33"/>
  </w:num>
  <w:num w:numId="31">
    <w:abstractNumId w:val="25"/>
  </w:num>
  <w:num w:numId="32">
    <w:abstractNumId w:val="34"/>
  </w:num>
  <w:num w:numId="33">
    <w:abstractNumId w:val="24"/>
  </w:num>
  <w:num w:numId="34">
    <w:abstractNumId w:val="21"/>
  </w:num>
  <w:num w:numId="35">
    <w:abstractNumId w:val="42"/>
  </w:num>
  <w:num w:numId="36">
    <w:abstractNumId w:val="19"/>
  </w:num>
  <w:num w:numId="37">
    <w:abstractNumId w:val="51"/>
  </w:num>
  <w:num w:numId="38">
    <w:abstractNumId w:val="13"/>
  </w:num>
  <w:num w:numId="39">
    <w:abstractNumId w:val="6"/>
  </w:num>
  <w:num w:numId="40">
    <w:abstractNumId w:val="4"/>
  </w:num>
  <w:num w:numId="41">
    <w:abstractNumId w:val="15"/>
  </w:num>
  <w:num w:numId="42">
    <w:abstractNumId w:val="27"/>
  </w:num>
  <w:num w:numId="43">
    <w:abstractNumId w:val="46"/>
  </w:num>
  <w:num w:numId="44">
    <w:abstractNumId w:val="56"/>
  </w:num>
  <w:num w:numId="45">
    <w:abstractNumId w:val="2"/>
  </w:num>
  <w:num w:numId="46">
    <w:abstractNumId w:val="20"/>
  </w:num>
  <w:num w:numId="47">
    <w:abstractNumId w:val="17"/>
  </w:num>
  <w:num w:numId="48">
    <w:abstractNumId w:val="23"/>
  </w:num>
  <w:num w:numId="49">
    <w:abstractNumId w:val="43"/>
  </w:num>
  <w:num w:numId="50">
    <w:abstractNumId w:val="26"/>
  </w:num>
  <w:num w:numId="51">
    <w:abstractNumId w:val="16"/>
  </w:num>
  <w:num w:numId="52">
    <w:abstractNumId w:val="3"/>
  </w:num>
  <w:num w:numId="53">
    <w:abstractNumId w:val="32"/>
  </w:num>
  <w:num w:numId="54">
    <w:abstractNumId w:val="11"/>
  </w:num>
  <w:num w:numId="55">
    <w:abstractNumId w:val="39"/>
  </w:num>
  <w:num w:numId="56">
    <w:abstractNumId w:val="18"/>
  </w:num>
  <w:num w:numId="5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Y2UzYzhjZmU1OTg3ZDU3NjNkYTJjMTMxNGJkZjMifQ=="/>
    <w:docVar w:name="KSO_WPS_MARK_KEY" w:val="0049fd8d-ec39-492d-9389-813d853fb3ec"/>
  </w:docVars>
  <w:rsids>
    <w:rsidRoot w:val="004D745D"/>
    <w:rsid w:val="0002561E"/>
    <w:rsid w:val="000268AB"/>
    <w:rsid w:val="00040642"/>
    <w:rsid w:val="00062C58"/>
    <w:rsid w:val="000630E8"/>
    <w:rsid w:val="000755AA"/>
    <w:rsid w:val="000A1C5F"/>
    <w:rsid w:val="000D1780"/>
    <w:rsid w:val="000F7605"/>
    <w:rsid w:val="00124A8F"/>
    <w:rsid w:val="00131EFB"/>
    <w:rsid w:val="001445B4"/>
    <w:rsid w:val="00195545"/>
    <w:rsid w:val="002039FE"/>
    <w:rsid w:val="002232B4"/>
    <w:rsid w:val="002520CC"/>
    <w:rsid w:val="00255931"/>
    <w:rsid w:val="00271920"/>
    <w:rsid w:val="003916CF"/>
    <w:rsid w:val="003A52DA"/>
    <w:rsid w:val="003F6C93"/>
    <w:rsid w:val="004243B5"/>
    <w:rsid w:val="004B7BE0"/>
    <w:rsid w:val="004D4324"/>
    <w:rsid w:val="004D745D"/>
    <w:rsid w:val="005140A0"/>
    <w:rsid w:val="00536F1D"/>
    <w:rsid w:val="005A18F3"/>
    <w:rsid w:val="005D7312"/>
    <w:rsid w:val="00636825"/>
    <w:rsid w:val="006A122F"/>
    <w:rsid w:val="006A1773"/>
    <w:rsid w:val="006C5C9E"/>
    <w:rsid w:val="0075366B"/>
    <w:rsid w:val="007538CE"/>
    <w:rsid w:val="007C1288"/>
    <w:rsid w:val="00831EB2"/>
    <w:rsid w:val="0086078F"/>
    <w:rsid w:val="00883C54"/>
    <w:rsid w:val="009A078B"/>
    <w:rsid w:val="009A6B48"/>
    <w:rsid w:val="009F2A63"/>
    <w:rsid w:val="00A11027"/>
    <w:rsid w:val="00A338A6"/>
    <w:rsid w:val="00A4483F"/>
    <w:rsid w:val="00A758B8"/>
    <w:rsid w:val="00AC7EC5"/>
    <w:rsid w:val="00AD63BD"/>
    <w:rsid w:val="00B24090"/>
    <w:rsid w:val="00B62A93"/>
    <w:rsid w:val="00B95B2D"/>
    <w:rsid w:val="00BC3E67"/>
    <w:rsid w:val="00BF50F3"/>
    <w:rsid w:val="00C01EBD"/>
    <w:rsid w:val="00C106BE"/>
    <w:rsid w:val="00C16B46"/>
    <w:rsid w:val="00C33D60"/>
    <w:rsid w:val="00C85F20"/>
    <w:rsid w:val="00CA2485"/>
    <w:rsid w:val="00CC41B7"/>
    <w:rsid w:val="00CF1D1F"/>
    <w:rsid w:val="00D2762D"/>
    <w:rsid w:val="00D37E42"/>
    <w:rsid w:val="00D44368"/>
    <w:rsid w:val="00D931B2"/>
    <w:rsid w:val="00DD0E0A"/>
    <w:rsid w:val="00E35776"/>
    <w:rsid w:val="00EA0245"/>
    <w:rsid w:val="00EB23BF"/>
    <w:rsid w:val="00EF38D6"/>
    <w:rsid w:val="00F3014A"/>
    <w:rsid w:val="00F357CD"/>
    <w:rsid w:val="00F77098"/>
    <w:rsid w:val="00F96F6D"/>
    <w:rsid w:val="011D29D3"/>
    <w:rsid w:val="01585B53"/>
    <w:rsid w:val="01AE0890"/>
    <w:rsid w:val="01E21263"/>
    <w:rsid w:val="01FD4B08"/>
    <w:rsid w:val="020A1A6F"/>
    <w:rsid w:val="020A3493"/>
    <w:rsid w:val="022402D8"/>
    <w:rsid w:val="02887D36"/>
    <w:rsid w:val="028B69D5"/>
    <w:rsid w:val="02B7380B"/>
    <w:rsid w:val="02C74C71"/>
    <w:rsid w:val="02D63DA2"/>
    <w:rsid w:val="02D84AD3"/>
    <w:rsid w:val="032C04DE"/>
    <w:rsid w:val="039B6A7A"/>
    <w:rsid w:val="039D29C7"/>
    <w:rsid w:val="03B44D43"/>
    <w:rsid w:val="03C42B10"/>
    <w:rsid w:val="03D1540B"/>
    <w:rsid w:val="04284DF7"/>
    <w:rsid w:val="045A4620"/>
    <w:rsid w:val="04934A97"/>
    <w:rsid w:val="04C81EB4"/>
    <w:rsid w:val="04E86B91"/>
    <w:rsid w:val="052B7D68"/>
    <w:rsid w:val="052E063C"/>
    <w:rsid w:val="052E4DBA"/>
    <w:rsid w:val="053510ED"/>
    <w:rsid w:val="053C7EE8"/>
    <w:rsid w:val="05BB1EF6"/>
    <w:rsid w:val="05DD405D"/>
    <w:rsid w:val="062B6BB0"/>
    <w:rsid w:val="064C3C4E"/>
    <w:rsid w:val="065A4F71"/>
    <w:rsid w:val="06BE5447"/>
    <w:rsid w:val="06F92A76"/>
    <w:rsid w:val="0734362F"/>
    <w:rsid w:val="084618E3"/>
    <w:rsid w:val="08813251"/>
    <w:rsid w:val="088338E8"/>
    <w:rsid w:val="091B45C5"/>
    <w:rsid w:val="091B505B"/>
    <w:rsid w:val="09241EA7"/>
    <w:rsid w:val="096D7D04"/>
    <w:rsid w:val="09710ACA"/>
    <w:rsid w:val="09866FB3"/>
    <w:rsid w:val="099459C5"/>
    <w:rsid w:val="09BC676A"/>
    <w:rsid w:val="09BD0AC3"/>
    <w:rsid w:val="09F75AC8"/>
    <w:rsid w:val="0A2A15BD"/>
    <w:rsid w:val="0A2D5F61"/>
    <w:rsid w:val="0AA365D4"/>
    <w:rsid w:val="0ADD2F10"/>
    <w:rsid w:val="0ADD43C6"/>
    <w:rsid w:val="0B1A1187"/>
    <w:rsid w:val="0B29656B"/>
    <w:rsid w:val="0B5C2B1E"/>
    <w:rsid w:val="0B5D1218"/>
    <w:rsid w:val="0B6C4C4F"/>
    <w:rsid w:val="0BB256D2"/>
    <w:rsid w:val="0BBA6DAD"/>
    <w:rsid w:val="0BD61FD8"/>
    <w:rsid w:val="0BDB7443"/>
    <w:rsid w:val="0BF257E7"/>
    <w:rsid w:val="0C231BE3"/>
    <w:rsid w:val="0C3274C0"/>
    <w:rsid w:val="0C562952"/>
    <w:rsid w:val="0C9C64B3"/>
    <w:rsid w:val="0D103128"/>
    <w:rsid w:val="0D50335E"/>
    <w:rsid w:val="0D807ECA"/>
    <w:rsid w:val="0DC566A4"/>
    <w:rsid w:val="0DEC55AB"/>
    <w:rsid w:val="0DF769B1"/>
    <w:rsid w:val="0E230C39"/>
    <w:rsid w:val="0EB421D9"/>
    <w:rsid w:val="0EB45D35"/>
    <w:rsid w:val="0EEB675D"/>
    <w:rsid w:val="0EF32D02"/>
    <w:rsid w:val="0EFD09D9"/>
    <w:rsid w:val="0F21471A"/>
    <w:rsid w:val="0FA1458E"/>
    <w:rsid w:val="0FAE4599"/>
    <w:rsid w:val="0FC71A98"/>
    <w:rsid w:val="0FCC570D"/>
    <w:rsid w:val="0FCD5301"/>
    <w:rsid w:val="0FEE5277"/>
    <w:rsid w:val="10581D7E"/>
    <w:rsid w:val="10982A96"/>
    <w:rsid w:val="10C52A4F"/>
    <w:rsid w:val="10CA581C"/>
    <w:rsid w:val="10DC1574"/>
    <w:rsid w:val="113969C6"/>
    <w:rsid w:val="11771132"/>
    <w:rsid w:val="117B184C"/>
    <w:rsid w:val="1186727F"/>
    <w:rsid w:val="11A62133"/>
    <w:rsid w:val="1222036C"/>
    <w:rsid w:val="124318AA"/>
    <w:rsid w:val="125300E4"/>
    <w:rsid w:val="12695089"/>
    <w:rsid w:val="12737232"/>
    <w:rsid w:val="129739A4"/>
    <w:rsid w:val="129F1877"/>
    <w:rsid w:val="12A065E6"/>
    <w:rsid w:val="1307145F"/>
    <w:rsid w:val="1331143C"/>
    <w:rsid w:val="1345032A"/>
    <w:rsid w:val="134B39F9"/>
    <w:rsid w:val="13795061"/>
    <w:rsid w:val="13B77AAE"/>
    <w:rsid w:val="13DC7AA5"/>
    <w:rsid w:val="144933C4"/>
    <w:rsid w:val="14B35AE2"/>
    <w:rsid w:val="14B8780B"/>
    <w:rsid w:val="14D2098F"/>
    <w:rsid w:val="14DE5E10"/>
    <w:rsid w:val="15194501"/>
    <w:rsid w:val="151A7A0E"/>
    <w:rsid w:val="151F3D1C"/>
    <w:rsid w:val="15CF32C4"/>
    <w:rsid w:val="15EC1502"/>
    <w:rsid w:val="15ED0C83"/>
    <w:rsid w:val="164D4226"/>
    <w:rsid w:val="16BB21F0"/>
    <w:rsid w:val="16C65BD4"/>
    <w:rsid w:val="16D50F3F"/>
    <w:rsid w:val="16EA2E29"/>
    <w:rsid w:val="17066644"/>
    <w:rsid w:val="173D4519"/>
    <w:rsid w:val="179359CE"/>
    <w:rsid w:val="179424FA"/>
    <w:rsid w:val="17E66293"/>
    <w:rsid w:val="17F11DA8"/>
    <w:rsid w:val="17FE78E9"/>
    <w:rsid w:val="18461A87"/>
    <w:rsid w:val="1871436F"/>
    <w:rsid w:val="187273DD"/>
    <w:rsid w:val="187C3D68"/>
    <w:rsid w:val="18827DFA"/>
    <w:rsid w:val="189925AD"/>
    <w:rsid w:val="18A57411"/>
    <w:rsid w:val="18BA4824"/>
    <w:rsid w:val="18BD1268"/>
    <w:rsid w:val="19201045"/>
    <w:rsid w:val="197E6B9A"/>
    <w:rsid w:val="19F823A8"/>
    <w:rsid w:val="1A036844"/>
    <w:rsid w:val="1A0373FB"/>
    <w:rsid w:val="1A1E30CC"/>
    <w:rsid w:val="1A5A361C"/>
    <w:rsid w:val="1A845156"/>
    <w:rsid w:val="1AF220BF"/>
    <w:rsid w:val="1B7E7A42"/>
    <w:rsid w:val="1BA746BE"/>
    <w:rsid w:val="1C1A557B"/>
    <w:rsid w:val="1C1C5B40"/>
    <w:rsid w:val="1C790EA2"/>
    <w:rsid w:val="1CBB4733"/>
    <w:rsid w:val="1CCD3F1F"/>
    <w:rsid w:val="1CFE11EF"/>
    <w:rsid w:val="1D630766"/>
    <w:rsid w:val="1DA12814"/>
    <w:rsid w:val="1E0B405F"/>
    <w:rsid w:val="1E0F00DB"/>
    <w:rsid w:val="1E135B88"/>
    <w:rsid w:val="1E6E2AFC"/>
    <w:rsid w:val="1E8F3EF6"/>
    <w:rsid w:val="1F2D7B6A"/>
    <w:rsid w:val="1F6E1431"/>
    <w:rsid w:val="1F6F7E60"/>
    <w:rsid w:val="1F775289"/>
    <w:rsid w:val="1F8D474B"/>
    <w:rsid w:val="1F9B4B7A"/>
    <w:rsid w:val="1FB82B1F"/>
    <w:rsid w:val="1FD13B1D"/>
    <w:rsid w:val="1FD618FC"/>
    <w:rsid w:val="1FDA015E"/>
    <w:rsid w:val="20341B32"/>
    <w:rsid w:val="2049014C"/>
    <w:rsid w:val="205D4431"/>
    <w:rsid w:val="20BF6817"/>
    <w:rsid w:val="21046B4F"/>
    <w:rsid w:val="210C2083"/>
    <w:rsid w:val="210F11B6"/>
    <w:rsid w:val="211A5ECC"/>
    <w:rsid w:val="21321990"/>
    <w:rsid w:val="21342863"/>
    <w:rsid w:val="214804E7"/>
    <w:rsid w:val="21DE185B"/>
    <w:rsid w:val="21FC191D"/>
    <w:rsid w:val="22205764"/>
    <w:rsid w:val="222B5EB7"/>
    <w:rsid w:val="22486A69"/>
    <w:rsid w:val="22616361"/>
    <w:rsid w:val="22771648"/>
    <w:rsid w:val="22867DF2"/>
    <w:rsid w:val="22D77E03"/>
    <w:rsid w:val="22E31687"/>
    <w:rsid w:val="22E96105"/>
    <w:rsid w:val="23121327"/>
    <w:rsid w:val="23AE6E53"/>
    <w:rsid w:val="23C6058D"/>
    <w:rsid w:val="241B025E"/>
    <w:rsid w:val="24373E9F"/>
    <w:rsid w:val="243B67B0"/>
    <w:rsid w:val="24594FDD"/>
    <w:rsid w:val="24672DFE"/>
    <w:rsid w:val="247F3426"/>
    <w:rsid w:val="247F6640"/>
    <w:rsid w:val="24FB0BDF"/>
    <w:rsid w:val="25063990"/>
    <w:rsid w:val="252B0548"/>
    <w:rsid w:val="252D375F"/>
    <w:rsid w:val="25587DE6"/>
    <w:rsid w:val="25B46952"/>
    <w:rsid w:val="261908B2"/>
    <w:rsid w:val="262302AF"/>
    <w:rsid w:val="26263565"/>
    <w:rsid w:val="2666343C"/>
    <w:rsid w:val="26753BA5"/>
    <w:rsid w:val="26935AE1"/>
    <w:rsid w:val="26A55722"/>
    <w:rsid w:val="26FE220C"/>
    <w:rsid w:val="273F52CA"/>
    <w:rsid w:val="27520F90"/>
    <w:rsid w:val="276931ED"/>
    <w:rsid w:val="27E33F9B"/>
    <w:rsid w:val="2842528D"/>
    <w:rsid w:val="28437DE4"/>
    <w:rsid w:val="285D75ED"/>
    <w:rsid w:val="287B1BD9"/>
    <w:rsid w:val="28812EEF"/>
    <w:rsid w:val="29005CC7"/>
    <w:rsid w:val="2929146E"/>
    <w:rsid w:val="2943145A"/>
    <w:rsid w:val="29656DCC"/>
    <w:rsid w:val="2975638C"/>
    <w:rsid w:val="29A92FCA"/>
    <w:rsid w:val="29AC5B2F"/>
    <w:rsid w:val="29DE4CF7"/>
    <w:rsid w:val="29EC6874"/>
    <w:rsid w:val="2A3B4AC8"/>
    <w:rsid w:val="2A77438F"/>
    <w:rsid w:val="2A83359C"/>
    <w:rsid w:val="2A853E22"/>
    <w:rsid w:val="2AB60B33"/>
    <w:rsid w:val="2ABE1535"/>
    <w:rsid w:val="2B231E21"/>
    <w:rsid w:val="2B276251"/>
    <w:rsid w:val="2B4E2E20"/>
    <w:rsid w:val="2B5C0B7A"/>
    <w:rsid w:val="2BAF49D7"/>
    <w:rsid w:val="2BBE40F5"/>
    <w:rsid w:val="2BC46C03"/>
    <w:rsid w:val="2BD470A7"/>
    <w:rsid w:val="2C0A43BD"/>
    <w:rsid w:val="2C140573"/>
    <w:rsid w:val="2C735C00"/>
    <w:rsid w:val="2C7E52A0"/>
    <w:rsid w:val="2CA03577"/>
    <w:rsid w:val="2CB766F7"/>
    <w:rsid w:val="2CD94F5A"/>
    <w:rsid w:val="2D297497"/>
    <w:rsid w:val="2DAE231D"/>
    <w:rsid w:val="2DE41E6C"/>
    <w:rsid w:val="2DED7AAD"/>
    <w:rsid w:val="2E183793"/>
    <w:rsid w:val="2E415527"/>
    <w:rsid w:val="2E873790"/>
    <w:rsid w:val="2E877731"/>
    <w:rsid w:val="2E953458"/>
    <w:rsid w:val="2EA2760D"/>
    <w:rsid w:val="2EB01C1E"/>
    <w:rsid w:val="2ECC4F85"/>
    <w:rsid w:val="2ED26038"/>
    <w:rsid w:val="2EEC5850"/>
    <w:rsid w:val="2F1D0548"/>
    <w:rsid w:val="2F204FF5"/>
    <w:rsid w:val="2F7316F6"/>
    <w:rsid w:val="2FD55B62"/>
    <w:rsid w:val="2FE97E3B"/>
    <w:rsid w:val="2FF27415"/>
    <w:rsid w:val="2FF40230"/>
    <w:rsid w:val="303246CF"/>
    <w:rsid w:val="30697C39"/>
    <w:rsid w:val="3082362C"/>
    <w:rsid w:val="30A25EDE"/>
    <w:rsid w:val="30BE5574"/>
    <w:rsid w:val="31006665"/>
    <w:rsid w:val="31503A6C"/>
    <w:rsid w:val="317C59C6"/>
    <w:rsid w:val="318E7AE9"/>
    <w:rsid w:val="31AD0696"/>
    <w:rsid w:val="31C205E6"/>
    <w:rsid w:val="325B2CD1"/>
    <w:rsid w:val="3273487A"/>
    <w:rsid w:val="32B24F2C"/>
    <w:rsid w:val="32D2384E"/>
    <w:rsid w:val="32EC494E"/>
    <w:rsid w:val="32F85095"/>
    <w:rsid w:val="332A215C"/>
    <w:rsid w:val="332B3F69"/>
    <w:rsid w:val="334843CC"/>
    <w:rsid w:val="33723946"/>
    <w:rsid w:val="33802506"/>
    <w:rsid w:val="3392111C"/>
    <w:rsid w:val="33ED7A2D"/>
    <w:rsid w:val="33F51DC1"/>
    <w:rsid w:val="33F7090C"/>
    <w:rsid w:val="342655A2"/>
    <w:rsid w:val="342F1222"/>
    <w:rsid w:val="343727B9"/>
    <w:rsid w:val="343A1627"/>
    <w:rsid w:val="344A17B2"/>
    <w:rsid w:val="34611DF3"/>
    <w:rsid w:val="34666D77"/>
    <w:rsid w:val="34BB18DF"/>
    <w:rsid w:val="34BC593E"/>
    <w:rsid w:val="34C172EE"/>
    <w:rsid w:val="35492DCC"/>
    <w:rsid w:val="35836DF6"/>
    <w:rsid w:val="35984464"/>
    <w:rsid w:val="35E42426"/>
    <w:rsid w:val="361D0069"/>
    <w:rsid w:val="36392E40"/>
    <w:rsid w:val="36410489"/>
    <w:rsid w:val="36600766"/>
    <w:rsid w:val="36662444"/>
    <w:rsid w:val="367932A1"/>
    <w:rsid w:val="36BB706D"/>
    <w:rsid w:val="36C50230"/>
    <w:rsid w:val="36CD288E"/>
    <w:rsid w:val="37C83251"/>
    <w:rsid w:val="37DB1B36"/>
    <w:rsid w:val="37DE5A4E"/>
    <w:rsid w:val="38095824"/>
    <w:rsid w:val="382F0057"/>
    <w:rsid w:val="386717C0"/>
    <w:rsid w:val="38691290"/>
    <w:rsid w:val="38784439"/>
    <w:rsid w:val="3895798B"/>
    <w:rsid w:val="38AC16A8"/>
    <w:rsid w:val="38EA4F9B"/>
    <w:rsid w:val="38F110E6"/>
    <w:rsid w:val="39022224"/>
    <w:rsid w:val="39211E7C"/>
    <w:rsid w:val="3958538C"/>
    <w:rsid w:val="39AD284D"/>
    <w:rsid w:val="39EC248F"/>
    <w:rsid w:val="39FB1F96"/>
    <w:rsid w:val="3A35183F"/>
    <w:rsid w:val="3A8723CC"/>
    <w:rsid w:val="3AD6370D"/>
    <w:rsid w:val="3AFE45A9"/>
    <w:rsid w:val="3AFF4AFA"/>
    <w:rsid w:val="3B12309C"/>
    <w:rsid w:val="3B3C613D"/>
    <w:rsid w:val="3B4E6A46"/>
    <w:rsid w:val="3B554135"/>
    <w:rsid w:val="3B9C1459"/>
    <w:rsid w:val="3BC822BA"/>
    <w:rsid w:val="3BED7720"/>
    <w:rsid w:val="3C0817F8"/>
    <w:rsid w:val="3C4E0CC8"/>
    <w:rsid w:val="3C8376E6"/>
    <w:rsid w:val="3CBA20A0"/>
    <w:rsid w:val="3CC51B9D"/>
    <w:rsid w:val="3CD54FDA"/>
    <w:rsid w:val="3CD64F45"/>
    <w:rsid w:val="3CDD7527"/>
    <w:rsid w:val="3D19674D"/>
    <w:rsid w:val="3D2C1009"/>
    <w:rsid w:val="3D9425AC"/>
    <w:rsid w:val="3DAB63D2"/>
    <w:rsid w:val="3DAD7269"/>
    <w:rsid w:val="3DB30D2D"/>
    <w:rsid w:val="3DC329AA"/>
    <w:rsid w:val="3DD1764D"/>
    <w:rsid w:val="3E2A3832"/>
    <w:rsid w:val="3E5C0C91"/>
    <w:rsid w:val="3E8B7504"/>
    <w:rsid w:val="3E924A3A"/>
    <w:rsid w:val="3EDB6353"/>
    <w:rsid w:val="3F1730A2"/>
    <w:rsid w:val="3F8C5775"/>
    <w:rsid w:val="3FBC52EF"/>
    <w:rsid w:val="40087ED4"/>
    <w:rsid w:val="40122B01"/>
    <w:rsid w:val="40546445"/>
    <w:rsid w:val="406B009A"/>
    <w:rsid w:val="407C5D89"/>
    <w:rsid w:val="407C5FDC"/>
    <w:rsid w:val="40B27A77"/>
    <w:rsid w:val="41103EBE"/>
    <w:rsid w:val="4128697B"/>
    <w:rsid w:val="416A65A4"/>
    <w:rsid w:val="4185309F"/>
    <w:rsid w:val="41A15C12"/>
    <w:rsid w:val="420978AD"/>
    <w:rsid w:val="421309EA"/>
    <w:rsid w:val="42240501"/>
    <w:rsid w:val="42430FD4"/>
    <w:rsid w:val="424D5666"/>
    <w:rsid w:val="427174BE"/>
    <w:rsid w:val="4277558C"/>
    <w:rsid w:val="42AE2961"/>
    <w:rsid w:val="42F51E9D"/>
    <w:rsid w:val="43122A4F"/>
    <w:rsid w:val="436676EB"/>
    <w:rsid w:val="436E1D9B"/>
    <w:rsid w:val="438B6993"/>
    <w:rsid w:val="448B5355"/>
    <w:rsid w:val="45084376"/>
    <w:rsid w:val="452F3C74"/>
    <w:rsid w:val="453E6BD0"/>
    <w:rsid w:val="459920A5"/>
    <w:rsid w:val="45EE1F1D"/>
    <w:rsid w:val="45F13F14"/>
    <w:rsid w:val="45FD2CF9"/>
    <w:rsid w:val="45FD6CFD"/>
    <w:rsid w:val="46AF1AC2"/>
    <w:rsid w:val="47501092"/>
    <w:rsid w:val="477C35C2"/>
    <w:rsid w:val="477F0223"/>
    <w:rsid w:val="47874D28"/>
    <w:rsid w:val="47887784"/>
    <w:rsid w:val="47AA16A3"/>
    <w:rsid w:val="47C07F1D"/>
    <w:rsid w:val="47DF526B"/>
    <w:rsid w:val="47E464E1"/>
    <w:rsid w:val="47EE59A4"/>
    <w:rsid w:val="4805202E"/>
    <w:rsid w:val="489804DA"/>
    <w:rsid w:val="49530909"/>
    <w:rsid w:val="49CF51F6"/>
    <w:rsid w:val="4A041EBB"/>
    <w:rsid w:val="4A0D7887"/>
    <w:rsid w:val="4A132597"/>
    <w:rsid w:val="4A22313A"/>
    <w:rsid w:val="4A6C0323"/>
    <w:rsid w:val="4AB96B61"/>
    <w:rsid w:val="4B1E3E8D"/>
    <w:rsid w:val="4B545D45"/>
    <w:rsid w:val="4B800849"/>
    <w:rsid w:val="4B9D26F9"/>
    <w:rsid w:val="4BB328F5"/>
    <w:rsid w:val="4BB618E9"/>
    <w:rsid w:val="4BF90C50"/>
    <w:rsid w:val="4BFF3178"/>
    <w:rsid w:val="4C3605C6"/>
    <w:rsid w:val="4C800A2A"/>
    <w:rsid w:val="4C9F674F"/>
    <w:rsid w:val="4CA24E44"/>
    <w:rsid w:val="4D1C7CE2"/>
    <w:rsid w:val="4D3E287F"/>
    <w:rsid w:val="4D476B6B"/>
    <w:rsid w:val="4D7C1694"/>
    <w:rsid w:val="4D9571DB"/>
    <w:rsid w:val="4DDB2203"/>
    <w:rsid w:val="4E4A6596"/>
    <w:rsid w:val="4E586946"/>
    <w:rsid w:val="4E736C23"/>
    <w:rsid w:val="4E767F57"/>
    <w:rsid w:val="4E9844D8"/>
    <w:rsid w:val="4EEF40A5"/>
    <w:rsid w:val="4F05209E"/>
    <w:rsid w:val="4F351F9F"/>
    <w:rsid w:val="4F885092"/>
    <w:rsid w:val="4F8C3B89"/>
    <w:rsid w:val="4F9F1B0F"/>
    <w:rsid w:val="4FF80DD0"/>
    <w:rsid w:val="508E2130"/>
    <w:rsid w:val="509052E3"/>
    <w:rsid w:val="50AF54EA"/>
    <w:rsid w:val="519F4FB3"/>
    <w:rsid w:val="51A3460B"/>
    <w:rsid w:val="51A52CE0"/>
    <w:rsid w:val="51AD1A90"/>
    <w:rsid w:val="51D25A47"/>
    <w:rsid w:val="51D83680"/>
    <w:rsid w:val="520E24F1"/>
    <w:rsid w:val="521C2FA3"/>
    <w:rsid w:val="524B1ADA"/>
    <w:rsid w:val="52C376E8"/>
    <w:rsid w:val="52DE792F"/>
    <w:rsid w:val="535624E4"/>
    <w:rsid w:val="5371638D"/>
    <w:rsid w:val="53B536AF"/>
    <w:rsid w:val="53F200E2"/>
    <w:rsid w:val="53F47251"/>
    <w:rsid w:val="541E2BDE"/>
    <w:rsid w:val="547370C6"/>
    <w:rsid w:val="54793D50"/>
    <w:rsid w:val="547A0D72"/>
    <w:rsid w:val="54C64399"/>
    <w:rsid w:val="54CC5154"/>
    <w:rsid w:val="54E52CDB"/>
    <w:rsid w:val="54EE5BBD"/>
    <w:rsid w:val="55071EB1"/>
    <w:rsid w:val="55396727"/>
    <w:rsid w:val="55532D28"/>
    <w:rsid w:val="555675C0"/>
    <w:rsid w:val="55A504E4"/>
    <w:rsid w:val="55C3525E"/>
    <w:rsid w:val="55CA71B9"/>
    <w:rsid w:val="55EE796A"/>
    <w:rsid w:val="563A359D"/>
    <w:rsid w:val="56501D52"/>
    <w:rsid w:val="56C93DF1"/>
    <w:rsid w:val="56E60DBD"/>
    <w:rsid w:val="56FC234E"/>
    <w:rsid w:val="570478FE"/>
    <w:rsid w:val="574B2D4E"/>
    <w:rsid w:val="576A00F7"/>
    <w:rsid w:val="57F16C7F"/>
    <w:rsid w:val="58082C12"/>
    <w:rsid w:val="582B597E"/>
    <w:rsid w:val="584977FD"/>
    <w:rsid w:val="58511E7C"/>
    <w:rsid w:val="58984200"/>
    <w:rsid w:val="58E660B8"/>
    <w:rsid w:val="591D43C4"/>
    <w:rsid w:val="59207B25"/>
    <w:rsid w:val="595500D7"/>
    <w:rsid w:val="59657925"/>
    <w:rsid w:val="59BC6E5A"/>
    <w:rsid w:val="59E40804"/>
    <w:rsid w:val="5A27176C"/>
    <w:rsid w:val="5A2A085B"/>
    <w:rsid w:val="5A4E2167"/>
    <w:rsid w:val="5A750890"/>
    <w:rsid w:val="5AB05476"/>
    <w:rsid w:val="5AC30E2E"/>
    <w:rsid w:val="5AFA0244"/>
    <w:rsid w:val="5B723495"/>
    <w:rsid w:val="5B9B691A"/>
    <w:rsid w:val="5BA3015F"/>
    <w:rsid w:val="5C43724B"/>
    <w:rsid w:val="5C682135"/>
    <w:rsid w:val="5CFA1019"/>
    <w:rsid w:val="5D1523DC"/>
    <w:rsid w:val="5D564D89"/>
    <w:rsid w:val="5D7D2FEA"/>
    <w:rsid w:val="5DB1283B"/>
    <w:rsid w:val="5DD92B49"/>
    <w:rsid w:val="5DEF1EB3"/>
    <w:rsid w:val="5E364156"/>
    <w:rsid w:val="5E4E4F75"/>
    <w:rsid w:val="5EB76CB2"/>
    <w:rsid w:val="5F8D4FB7"/>
    <w:rsid w:val="5FB962D5"/>
    <w:rsid w:val="5FD90725"/>
    <w:rsid w:val="5FF616A2"/>
    <w:rsid w:val="601B0D3D"/>
    <w:rsid w:val="60440664"/>
    <w:rsid w:val="604B2B9F"/>
    <w:rsid w:val="608139CC"/>
    <w:rsid w:val="608B4B9C"/>
    <w:rsid w:val="60B80169"/>
    <w:rsid w:val="60D618C6"/>
    <w:rsid w:val="6105535C"/>
    <w:rsid w:val="614E0E03"/>
    <w:rsid w:val="6166423A"/>
    <w:rsid w:val="616D55C9"/>
    <w:rsid w:val="617A45EC"/>
    <w:rsid w:val="618A3466"/>
    <w:rsid w:val="620121B5"/>
    <w:rsid w:val="62067841"/>
    <w:rsid w:val="624D6221"/>
    <w:rsid w:val="625B3673"/>
    <w:rsid w:val="627C7AED"/>
    <w:rsid w:val="62996402"/>
    <w:rsid w:val="62ED6B99"/>
    <w:rsid w:val="631D6B7A"/>
    <w:rsid w:val="633534E8"/>
    <w:rsid w:val="63517B56"/>
    <w:rsid w:val="63625F7D"/>
    <w:rsid w:val="63DA4A6C"/>
    <w:rsid w:val="63EC14BE"/>
    <w:rsid w:val="641C5C65"/>
    <w:rsid w:val="64373C6C"/>
    <w:rsid w:val="6446136F"/>
    <w:rsid w:val="646E7959"/>
    <w:rsid w:val="647D5E76"/>
    <w:rsid w:val="64D47053"/>
    <w:rsid w:val="651D1F50"/>
    <w:rsid w:val="653B0AC5"/>
    <w:rsid w:val="65BC2F98"/>
    <w:rsid w:val="65CA4EE1"/>
    <w:rsid w:val="6654044A"/>
    <w:rsid w:val="66592469"/>
    <w:rsid w:val="67182CDE"/>
    <w:rsid w:val="67513297"/>
    <w:rsid w:val="67780823"/>
    <w:rsid w:val="67961104"/>
    <w:rsid w:val="67A27F96"/>
    <w:rsid w:val="67A47E91"/>
    <w:rsid w:val="67C21EE4"/>
    <w:rsid w:val="67E22141"/>
    <w:rsid w:val="688B35FB"/>
    <w:rsid w:val="689005C2"/>
    <w:rsid w:val="68BA6E79"/>
    <w:rsid w:val="68BB51BC"/>
    <w:rsid w:val="68BD7B31"/>
    <w:rsid w:val="68C07218"/>
    <w:rsid w:val="696F71F1"/>
    <w:rsid w:val="69726D67"/>
    <w:rsid w:val="69AF0748"/>
    <w:rsid w:val="69BD315D"/>
    <w:rsid w:val="69D501AF"/>
    <w:rsid w:val="69E74060"/>
    <w:rsid w:val="6A52585A"/>
    <w:rsid w:val="6A582B8E"/>
    <w:rsid w:val="6A72490A"/>
    <w:rsid w:val="6AAB1A1A"/>
    <w:rsid w:val="6AD00976"/>
    <w:rsid w:val="6B570E7E"/>
    <w:rsid w:val="6B7414E7"/>
    <w:rsid w:val="6B816AA3"/>
    <w:rsid w:val="6BEA3CBA"/>
    <w:rsid w:val="6C0D2F29"/>
    <w:rsid w:val="6C1379F3"/>
    <w:rsid w:val="6C23729E"/>
    <w:rsid w:val="6C2C3342"/>
    <w:rsid w:val="6CD24E7A"/>
    <w:rsid w:val="6D0C27FF"/>
    <w:rsid w:val="6DA57E98"/>
    <w:rsid w:val="6DC741A0"/>
    <w:rsid w:val="6DE02D21"/>
    <w:rsid w:val="6DEB6993"/>
    <w:rsid w:val="6DF1359C"/>
    <w:rsid w:val="6DF350A8"/>
    <w:rsid w:val="6E1A0886"/>
    <w:rsid w:val="6E781A51"/>
    <w:rsid w:val="6EC72CAC"/>
    <w:rsid w:val="6EE6509E"/>
    <w:rsid w:val="6F3F0FBC"/>
    <w:rsid w:val="6F420324"/>
    <w:rsid w:val="6FF60E93"/>
    <w:rsid w:val="701E3F32"/>
    <w:rsid w:val="703A53FC"/>
    <w:rsid w:val="707E2326"/>
    <w:rsid w:val="717E3F4B"/>
    <w:rsid w:val="719C2A2E"/>
    <w:rsid w:val="71B633FC"/>
    <w:rsid w:val="71C0515B"/>
    <w:rsid w:val="72356C99"/>
    <w:rsid w:val="724C02E6"/>
    <w:rsid w:val="727B1B10"/>
    <w:rsid w:val="72AC5157"/>
    <w:rsid w:val="72F86CBC"/>
    <w:rsid w:val="733C1156"/>
    <w:rsid w:val="74336552"/>
    <w:rsid w:val="7456013E"/>
    <w:rsid w:val="748E3F2E"/>
    <w:rsid w:val="75155029"/>
    <w:rsid w:val="75356FAC"/>
    <w:rsid w:val="75587EE6"/>
    <w:rsid w:val="75667FDD"/>
    <w:rsid w:val="7569715A"/>
    <w:rsid w:val="756C5068"/>
    <w:rsid w:val="764741F6"/>
    <w:rsid w:val="7685658D"/>
    <w:rsid w:val="768935A6"/>
    <w:rsid w:val="76FB6D7B"/>
    <w:rsid w:val="773504DF"/>
    <w:rsid w:val="77585FD1"/>
    <w:rsid w:val="77B565A5"/>
    <w:rsid w:val="77E70A98"/>
    <w:rsid w:val="77F547F3"/>
    <w:rsid w:val="78060B96"/>
    <w:rsid w:val="784F29CE"/>
    <w:rsid w:val="786D18CA"/>
    <w:rsid w:val="78A45B28"/>
    <w:rsid w:val="78AC1897"/>
    <w:rsid w:val="78D77A8A"/>
    <w:rsid w:val="79362FB2"/>
    <w:rsid w:val="797E4FE7"/>
    <w:rsid w:val="79982574"/>
    <w:rsid w:val="79C21DD2"/>
    <w:rsid w:val="79C73309"/>
    <w:rsid w:val="7A1054F4"/>
    <w:rsid w:val="7A552EF7"/>
    <w:rsid w:val="7AAB520E"/>
    <w:rsid w:val="7AAD0390"/>
    <w:rsid w:val="7AAF7060"/>
    <w:rsid w:val="7ABF6A78"/>
    <w:rsid w:val="7AFE5AFB"/>
    <w:rsid w:val="7B6B2630"/>
    <w:rsid w:val="7B6C0247"/>
    <w:rsid w:val="7BAB6FC2"/>
    <w:rsid w:val="7BB572E9"/>
    <w:rsid w:val="7BCC42E0"/>
    <w:rsid w:val="7C030CE9"/>
    <w:rsid w:val="7C0C5586"/>
    <w:rsid w:val="7C2E19A1"/>
    <w:rsid w:val="7C480A5D"/>
    <w:rsid w:val="7C7C3D2F"/>
    <w:rsid w:val="7CAF680C"/>
    <w:rsid w:val="7CBD5505"/>
    <w:rsid w:val="7CEF2EDE"/>
    <w:rsid w:val="7DB4751F"/>
    <w:rsid w:val="7E187791"/>
    <w:rsid w:val="7E794BBF"/>
    <w:rsid w:val="7EC56E34"/>
    <w:rsid w:val="7F1B67EE"/>
    <w:rsid w:val="7F224D4A"/>
    <w:rsid w:val="7F4719DD"/>
    <w:rsid w:val="7F7818B1"/>
    <w:rsid w:val="7FE535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outlineLvl w:val="2"/>
    </w:pPr>
    <w:rPr>
      <w:rFonts w:hint="default" w:ascii="Cambria" w:hAnsi="Cambria" w:eastAsia="Cambria" w:cs="Cambria"/>
      <w:b/>
      <w:kern w:val="0"/>
      <w:sz w:val="22"/>
      <w:szCs w:val="22"/>
      <w:lang w:val="en-US" w:eastAsia="zh-CN" w:bidi="ar"/>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List 3"/>
    <w:basedOn w:val="1"/>
    <w:qFormat/>
    <w:uiPriority w:val="0"/>
    <w:pPr>
      <w:ind w:left="100" w:leftChars="400" w:hanging="200" w:hangingChars="200"/>
      <w:contextualSpacing/>
    </w:pPr>
  </w:style>
  <w:style w:type="paragraph" w:styleId="8">
    <w:name w:val="Normal Indent"/>
    <w:basedOn w:val="1"/>
    <w:next w:val="1"/>
    <w:qFormat/>
    <w:uiPriority w:val="99"/>
    <w:pPr>
      <w:widowControl w:val="0"/>
      <w:adjustRightInd w:val="0"/>
      <w:spacing w:line="360" w:lineRule="atLeast"/>
      <w:ind w:firstLine="482"/>
    </w:pPr>
    <w:rPr>
      <w:color w:val="auto"/>
      <w:sz w:val="24"/>
    </w:rPr>
  </w:style>
  <w:style w:type="paragraph" w:styleId="9">
    <w:name w:val="caption"/>
    <w:basedOn w:val="1"/>
    <w:next w:val="1"/>
    <w:qFormat/>
    <w:uiPriority w:val="0"/>
    <w:pPr>
      <w:spacing w:before="152" w:after="160"/>
    </w:pPr>
    <w:rPr>
      <w:rFonts w:ascii="Arial" w:hAnsi="Arial" w:eastAsia="黑体" w:cs="Arial"/>
      <w:sz w:val="20"/>
    </w:rPr>
  </w:style>
  <w:style w:type="paragraph" w:styleId="10">
    <w:name w:val="annotation text"/>
    <w:basedOn w:val="1"/>
    <w:link w:val="35"/>
    <w:qFormat/>
    <w:uiPriority w:val="0"/>
    <w:pPr>
      <w:adjustRightInd w:val="0"/>
      <w:spacing w:line="360" w:lineRule="atLeast"/>
      <w:jc w:val="left"/>
      <w:textAlignment w:val="baseline"/>
    </w:pPr>
    <w:rPr>
      <w:kern w:val="0"/>
      <w:sz w:val="24"/>
    </w:rPr>
  </w:style>
  <w:style w:type="paragraph" w:styleId="11">
    <w:name w:val="Salutation"/>
    <w:basedOn w:val="1"/>
    <w:next w:val="1"/>
    <w:link w:val="36"/>
    <w:qFormat/>
    <w:uiPriority w:val="0"/>
    <w:rPr>
      <w:kern w:val="0"/>
      <w:sz w:val="24"/>
    </w:rPr>
  </w:style>
  <w:style w:type="paragraph" w:styleId="12">
    <w:name w:val="Body Text"/>
    <w:basedOn w:val="1"/>
    <w:link w:val="37"/>
    <w:qFormat/>
    <w:uiPriority w:val="0"/>
    <w:pPr>
      <w:spacing w:after="120"/>
    </w:pPr>
    <w:rPr>
      <w:kern w:val="0"/>
      <w:sz w:val="20"/>
      <w:szCs w:val="24"/>
    </w:rPr>
  </w:style>
  <w:style w:type="paragraph" w:styleId="13">
    <w:name w:val="Body Text Indent"/>
    <w:basedOn w:val="1"/>
    <w:qFormat/>
    <w:uiPriority w:val="99"/>
    <w:pPr>
      <w:adjustRightInd w:val="0"/>
      <w:snapToGrid w:val="0"/>
      <w:spacing w:line="460" w:lineRule="exact"/>
      <w:ind w:firstLine="560" w:firstLineChars="200"/>
    </w:pPr>
    <w:rPr>
      <w:rFonts w:ascii="仿宋_GB2312" w:hAnsi="Tahoma" w:eastAsia="仿宋_GB2312"/>
      <w:sz w:val="28"/>
    </w:rPr>
  </w:style>
  <w:style w:type="paragraph" w:styleId="14">
    <w:name w:val="List 2"/>
    <w:basedOn w:val="1"/>
    <w:qFormat/>
    <w:uiPriority w:val="0"/>
    <w:pPr>
      <w:ind w:left="100" w:leftChars="200" w:hanging="200" w:hangingChars="200"/>
    </w:pPr>
    <w:rPr>
      <w:szCs w:val="24"/>
    </w:rPr>
  </w:style>
  <w:style w:type="paragraph" w:styleId="15">
    <w:name w:val="Plain Text"/>
    <w:basedOn w:val="1"/>
    <w:link w:val="38"/>
    <w:qFormat/>
    <w:uiPriority w:val="0"/>
    <w:rPr>
      <w:rFonts w:ascii="宋体" w:hAnsi="Courier New"/>
      <w:kern w:val="0"/>
      <w:sz w:val="20"/>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628"/>
      </w:tabs>
      <w:spacing w:line="360" w:lineRule="auto"/>
    </w:pPr>
    <w:rPr>
      <w:szCs w:val="24"/>
    </w:rPr>
  </w:style>
  <w:style w:type="paragraph" w:styleId="19">
    <w:name w:val="footnote text"/>
    <w:basedOn w:val="1"/>
    <w:link w:val="41"/>
    <w:qFormat/>
    <w:uiPriority w:val="99"/>
    <w:pPr>
      <w:snapToGrid w:val="0"/>
      <w:jc w:val="left"/>
    </w:pPr>
    <w:rPr>
      <w:kern w:val="0"/>
      <w:sz w:val="18"/>
    </w:rPr>
  </w:style>
  <w:style w:type="paragraph" w:styleId="20">
    <w:name w:val="toc 2"/>
    <w:basedOn w:val="1"/>
    <w:next w:val="1"/>
    <w:qFormat/>
    <w:uiPriority w:val="0"/>
    <w:pPr>
      <w:adjustRightInd w:val="0"/>
      <w:spacing w:line="360" w:lineRule="auto"/>
      <w:ind w:left="240" w:firstLine="425"/>
      <w:jc w:val="left"/>
      <w:textAlignment w:val="baseline"/>
    </w:pPr>
    <w:rPr>
      <w:smallCaps/>
      <w:sz w:val="20"/>
    </w:rPr>
  </w:style>
  <w:style w:type="paragraph" w:styleId="21">
    <w:name w:val="Body Text 2"/>
    <w:basedOn w:val="1"/>
    <w:qFormat/>
    <w:uiPriority w:val="0"/>
    <w:pPr>
      <w:keepNext w:val="0"/>
      <w:keepLines w:val="0"/>
      <w:widowControl w:val="0"/>
      <w:suppressLineNumbers w:val="0"/>
      <w:spacing w:before="0" w:beforeAutospacing="0" w:after="0" w:afterAutospacing="0"/>
      <w:ind w:left="0" w:right="0"/>
      <w:jc w:val="both"/>
    </w:pPr>
    <w:rPr>
      <w:rFonts w:hint="default" w:ascii="楷体_GB2312" w:hAnsi="Copperplate Gothic Bold" w:eastAsia="楷体_GB2312" w:cs="Times New Roman"/>
      <w:kern w:val="2"/>
      <w:sz w:val="28"/>
      <w:szCs w:val="28"/>
      <w:lang w:val="en-US" w:eastAsia="zh-CN" w:bidi="ar"/>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link w:val="42"/>
    <w:qFormat/>
    <w:uiPriority w:val="10"/>
    <w:pPr>
      <w:adjustRightInd w:val="0"/>
      <w:snapToGrid w:val="0"/>
      <w:spacing w:before="120" w:after="120" w:line="520" w:lineRule="exact"/>
      <w:jc w:val="center"/>
      <w:outlineLvl w:val="0"/>
    </w:pPr>
    <w:rPr>
      <w:rFonts w:ascii="Cambria" w:hAnsi="Cambria"/>
      <w:b/>
      <w:bCs/>
      <w:kern w:val="0"/>
      <w:sz w:val="32"/>
      <w:szCs w:val="32"/>
    </w:rPr>
  </w:style>
  <w:style w:type="paragraph" w:styleId="25">
    <w:name w:val="Body Text First Indent"/>
    <w:basedOn w:val="12"/>
    <w:qFormat/>
    <w:uiPriority w:val="99"/>
    <w:pPr>
      <w:spacing w:after="120"/>
      <w:ind w:firstLine="420" w:firstLineChars="100"/>
    </w:pPr>
  </w:style>
  <w:style w:type="paragraph" w:styleId="26">
    <w:name w:val="Body Text First Indent 2"/>
    <w:basedOn w:val="13"/>
    <w:unhideWhenUsed/>
    <w:qFormat/>
    <w:uiPriority w:val="0"/>
    <w:pPr>
      <w:adjustRightInd/>
      <w:snapToGrid/>
      <w:spacing w:after="120" w:line="360" w:lineRule="auto"/>
      <w:ind w:left="420" w:leftChars="200" w:firstLine="420"/>
    </w:pPr>
    <w:rPr>
      <w:rFonts w:ascii="Calibri" w:hAnsi="Calibri" w:eastAsia="宋体"/>
      <w:sz w:val="24"/>
      <w:szCs w:val="2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ascii="Calibri" w:hAnsi="Calibri" w:eastAsia="宋体" w:cs="Times New Roman"/>
      <w:b/>
      <w:bCs/>
    </w:rPr>
  </w:style>
  <w:style w:type="character" w:styleId="31">
    <w:name w:val="Hyperlink"/>
    <w:basedOn w:val="29"/>
    <w:qFormat/>
    <w:uiPriority w:val="0"/>
    <w:rPr>
      <w:color w:val="0000FF"/>
      <w:u w:val="single"/>
    </w:rPr>
  </w:style>
  <w:style w:type="character" w:styleId="32">
    <w:name w:val="annotation reference"/>
    <w:basedOn w:val="29"/>
    <w:qFormat/>
    <w:uiPriority w:val="0"/>
    <w:rPr>
      <w:sz w:val="21"/>
      <w:szCs w:val="21"/>
    </w:rPr>
  </w:style>
  <w:style w:type="character" w:customStyle="1" w:styleId="33">
    <w:name w:val="标题 1 Char"/>
    <w:basedOn w:val="29"/>
    <w:link w:val="2"/>
    <w:qFormat/>
    <w:uiPriority w:val="0"/>
    <w:rPr>
      <w:rFonts w:ascii="Times New Roman" w:hAnsi="Times New Roman" w:eastAsia="宋体" w:cs="Times New Roman"/>
      <w:b/>
      <w:bCs/>
      <w:kern w:val="44"/>
      <w:sz w:val="44"/>
      <w:szCs w:val="44"/>
    </w:rPr>
  </w:style>
  <w:style w:type="character" w:customStyle="1" w:styleId="34">
    <w:name w:val="标题 2 Char"/>
    <w:basedOn w:val="29"/>
    <w:link w:val="3"/>
    <w:qFormat/>
    <w:uiPriority w:val="0"/>
    <w:rPr>
      <w:rFonts w:ascii="Arial" w:hAnsi="Arial" w:eastAsia="黑体" w:cs="Times New Roman"/>
      <w:b/>
      <w:bCs/>
      <w:sz w:val="32"/>
      <w:szCs w:val="32"/>
    </w:rPr>
  </w:style>
  <w:style w:type="character" w:customStyle="1" w:styleId="35">
    <w:name w:val="批注文字 Char"/>
    <w:link w:val="10"/>
    <w:qFormat/>
    <w:uiPriority w:val="0"/>
    <w:rPr>
      <w:rFonts w:ascii="Times New Roman" w:hAnsi="Times New Roman" w:eastAsia="宋体" w:cs="Times New Roman"/>
      <w:kern w:val="0"/>
      <w:sz w:val="24"/>
      <w:szCs w:val="20"/>
    </w:rPr>
  </w:style>
  <w:style w:type="character" w:customStyle="1" w:styleId="36">
    <w:name w:val="称呼 Char"/>
    <w:link w:val="11"/>
    <w:qFormat/>
    <w:uiPriority w:val="0"/>
    <w:rPr>
      <w:rFonts w:ascii="Times New Roman" w:hAnsi="Times New Roman" w:eastAsia="宋体" w:cs="Times New Roman"/>
      <w:sz w:val="24"/>
      <w:szCs w:val="20"/>
    </w:rPr>
  </w:style>
  <w:style w:type="character" w:customStyle="1" w:styleId="37">
    <w:name w:val="正文文本 Char"/>
    <w:link w:val="12"/>
    <w:qFormat/>
    <w:uiPriority w:val="0"/>
    <w:rPr>
      <w:rFonts w:eastAsia="宋体"/>
      <w:szCs w:val="24"/>
    </w:rPr>
  </w:style>
  <w:style w:type="character" w:customStyle="1" w:styleId="38">
    <w:name w:val="纯文本 Char1"/>
    <w:link w:val="15"/>
    <w:qFormat/>
    <w:uiPriority w:val="0"/>
    <w:rPr>
      <w:rFonts w:ascii="宋体" w:hAnsi="Courier New" w:eastAsia="宋体" w:cs="Times New Roman"/>
      <w:szCs w:val="20"/>
    </w:rPr>
  </w:style>
  <w:style w:type="character" w:customStyle="1" w:styleId="39">
    <w:name w:val="页脚 Char"/>
    <w:basedOn w:val="29"/>
    <w:link w:val="16"/>
    <w:qFormat/>
    <w:uiPriority w:val="0"/>
    <w:rPr>
      <w:rFonts w:ascii="Times New Roman" w:hAnsi="Times New Roman" w:eastAsia="宋体" w:cs="Times New Roman"/>
      <w:sz w:val="18"/>
      <w:szCs w:val="18"/>
    </w:rPr>
  </w:style>
  <w:style w:type="character" w:customStyle="1" w:styleId="40">
    <w:name w:val="页眉 Char"/>
    <w:basedOn w:val="29"/>
    <w:link w:val="17"/>
    <w:qFormat/>
    <w:uiPriority w:val="0"/>
    <w:rPr>
      <w:rFonts w:ascii="Times New Roman" w:hAnsi="Times New Roman" w:eastAsia="宋体" w:cs="Times New Roman"/>
      <w:sz w:val="18"/>
      <w:szCs w:val="18"/>
    </w:rPr>
  </w:style>
  <w:style w:type="character" w:customStyle="1" w:styleId="41">
    <w:name w:val="脚注文本 Char"/>
    <w:link w:val="19"/>
    <w:qFormat/>
    <w:uiPriority w:val="99"/>
    <w:rPr>
      <w:sz w:val="18"/>
    </w:rPr>
  </w:style>
  <w:style w:type="character" w:customStyle="1" w:styleId="42">
    <w:name w:val="标题 Char2"/>
    <w:link w:val="24"/>
    <w:qFormat/>
    <w:uiPriority w:val="10"/>
    <w:rPr>
      <w:rFonts w:ascii="Cambria" w:hAnsi="Cambria"/>
      <w:b/>
      <w:bCs/>
      <w:sz w:val="32"/>
      <w:szCs w:val="32"/>
    </w:rPr>
  </w:style>
  <w:style w:type="paragraph" w:customStyle="1" w:styleId="43">
    <w:name w:val="样式 正文缩进 + 首行缩进:  2 字符"/>
    <w:basedOn w:val="8"/>
    <w:qFormat/>
    <w:uiPriority w:val="0"/>
    <w:pPr>
      <w:spacing w:line="360" w:lineRule="auto"/>
      <w:ind w:firstLine="200"/>
    </w:pPr>
    <w:rPr>
      <w:rFonts w:ascii="Times New Roman" w:hAnsi="Times New Roman" w:eastAsia="宋体" w:cs="Times New Roman"/>
    </w:rPr>
  </w:style>
  <w:style w:type="character" w:customStyle="1" w:styleId="44">
    <w:name w:val="15"/>
    <w:qFormat/>
    <w:uiPriority w:val="0"/>
    <w:rPr>
      <w:rFonts w:hint="default" w:ascii="Times New Roman" w:hAnsi="Times New Roman" w:cs="Times New Roman"/>
    </w:rPr>
  </w:style>
  <w:style w:type="character" w:customStyle="1" w:styleId="45">
    <w:name w:val="称呼 Char1"/>
    <w:basedOn w:val="29"/>
    <w:semiHidden/>
    <w:qFormat/>
    <w:uiPriority w:val="99"/>
    <w:rPr>
      <w:rFonts w:ascii="Times New Roman" w:hAnsi="Times New Roman" w:eastAsia="宋体" w:cs="Times New Roman"/>
      <w:szCs w:val="20"/>
    </w:rPr>
  </w:style>
  <w:style w:type="character" w:customStyle="1" w:styleId="46">
    <w:name w:val="标题 3 Char Char"/>
    <w:qFormat/>
    <w:uiPriority w:val="0"/>
    <w:rPr>
      <w:rFonts w:ascii="黑体" w:eastAsia="黑体"/>
      <w:bCs/>
      <w:sz w:val="30"/>
    </w:rPr>
  </w:style>
  <w:style w:type="character" w:customStyle="1" w:styleId="47">
    <w:name w:val="标题 Char"/>
    <w:qFormat/>
    <w:uiPriority w:val="0"/>
    <w:rPr>
      <w:rFonts w:ascii="黑体"/>
      <w:b/>
      <w:snapToGrid w:val="0"/>
      <w:sz w:val="44"/>
    </w:rPr>
  </w:style>
  <w:style w:type="character" w:customStyle="1" w:styleId="48">
    <w:name w:val="页脚 Char1"/>
    <w:basedOn w:val="29"/>
    <w:semiHidden/>
    <w:qFormat/>
    <w:uiPriority w:val="99"/>
    <w:rPr>
      <w:sz w:val="18"/>
      <w:szCs w:val="18"/>
    </w:rPr>
  </w:style>
  <w:style w:type="character" w:customStyle="1" w:styleId="49">
    <w:name w:val="font41"/>
    <w:basedOn w:val="29"/>
    <w:qFormat/>
    <w:uiPriority w:val="0"/>
    <w:rPr>
      <w:rFonts w:hint="eastAsia" w:ascii="宋体" w:hAnsi="宋体" w:eastAsia="宋体" w:cs="宋体"/>
      <w:color w:val="000000"/>
      <w:sz w:val="20"/>
      <w:szCs w:val="20"/>
      <w:u w:val="none"/>
    </w:rPr>
  </w:style>
  <w:style w:type="character" w:customStyle="1" w:styleId="50">
    <w:name w:val="NormalCharacter"/>
    <w:qFormat/>
    <w:uiPriority w:val="0"/>
    <w:rPr>
      <w:rFonts w:ascii="Times New Roman" w:hAnsi="Times New Roman" w:eastAsia="宋体" w:cs="Times New Roman"/>
      <w:kern w:val="2"/>
      <w:sz w:val="21"/>
      <w:lang w:val="en-US" w:eastAsia="zh-CN" w:bidi="ar-SA"/>
    </w:rPr>
  </w:style>
  <w:style w:type="character" w:customStyle="1" w:styleId="51">
    <w:name w:val="标题1"/>
    <w:qFormat/>
    <w:uiPriority w:val="0"/>
  </w:style>
  <w:style w:type="character" w:customStyle="1" w:styleId="52">
    <w:name w:val="标题 1 Char1"/>
    <w:qFormat/>
    <w:uiPriority w:val="0"/>
    <w:rPr>
      <w:rFonts w:ascii="Times New Roman" w:hAnsi="Times New Roman" w:eastAsia="宋体" w:cs="Times New Roman"/>
      <w:sz w:val="28"/>
      <w:szCs w:val="28"/>
    </w:rPr>
  </w:style>
  <w:style w:type="character" w:customStyle="1" w:styleId="53">
    <w:name w:val="标题 3 Char"/>
    <w:qFormat/>
    <w:uiPriority w:val="0"/>
    <w:rPr>
      <w:rFonts w:eastAsia="宋体"/>
      <w:b/>
      <w:bCs/>
      <w:kern w:val="2"/>
      <w:sz w:val="32"/>
      <w:szCs w:val="32"/>
      <w:lang w:val="en-US" w:eastAsia="zh-CN" w:bidi="ar-SA"/>
    </w:rPr>
  </w:style>
  <w:style w:type="character" w:customStyle="1" w:styleId="54">
    <w:name w:val="批注文字 Char1"/>
    <w:basedOn w:val="29"/>
    <w:semiHidden/>
    <w:qFormat/>
    <w:uiPriority w:val="99"/>
    <w:rPr>
      <w:rFonts w:ascii="Times New Roman" w:hAnsi="Times New Roman" w:eastAsia="宋体" w:cs="Times New Roman"/>
      <w:szCs w:val="20"/>
    </w:rPr>
  </w:style>
  <w:style w:type="character" w:customStyle="1" w:styleId="55">
    <w:name w:val="font61"/>
    <w:basedOn w:val="29"/>
    <w:qFormat/>
    <w:uiPriority w:val="0"/>
    <w:rPr>
      <w:rFonts w:hint="eastAsia" w:ascii="微软雅黑" w:hAnsi="微软雅黑" w:eastAsia="微软雅黑" w:cs="微软雅黑"/>
      <w:b/>
      <w:color w:val="000000"/>
      <w:sz w:val="21"/>
      <w:szCs w:val="21"/>
      <w:u w:val="none"/>
    </w:rPr>
  </w:style>
  <w:style w:type="character" w:customStyle="1" w:styleId="56">
    <w:name w:val="font71"/>
    <w:basedOn w:val="29"/>
    <w:qFormat/>
    <w:uiPriority w:val="0"/>
    <w:rPr>
      <w:rFonts w:ascii="Wingdings 2" w:hAnsi="Wingdings 2" w:eastAsia="Wingdings 2" w:cs="Wingdings 2"/>
      <w:color w:val="000000"/>
      <w:sz w:val="20"/>
      <w:szCs w:val="20"/>
      <w:u w:val="none"/>
    </w:rPr>
  </w:style>
  <w:style w:type="character" w:customStyle="1" w:styleId="57">
    <w:name w:val="脚注文本 Char1"/>
    <w:basedOn w:val="29"/>
    <w:semiHidden/>
    <w:qFormat/>
    <w:uiPriority w:val="99"/>
    <w:rPr>
      <w:rFonts w:ascii="Times New Roman" w:hAnsi="Times New Roman" w:eastAsia="宋体" w:cs="Times New Roman"/>
      <w:sz w:val="18"/>
      <w:szCs w:val="18"/>
    </w:rPr>
  </w:style>
  <w:style w:type="character" w:customStyle="1" w:styleId="58">
    <w:name w:val="font81"/>
    <w:basedOn w:val="29"/>
    <w:qFormat/>
    <w:uiPriority w:val="0"/>
    <w:rPr>
      <w:rFonts w:hint="default" w:ascii="Wingdings 2" w:hAnsi="Wingdings 2" w:eastAsia="Wingdings 2" w:cs="Wingdings 2"/>
      <w:color w:val="000000"/>
      <w:sz w:val="20"/>
      <w:szCs w:val="20"/>
      <w:u w:val="none"/>
    </w:rPr>
  </w:style>
  <w:style w:type="character" w:customStyle="1" w:styleId="59">
    <w:name w:val="Default Text Char Char"/>
    <w:link w:val="60"/>
    <w:qFormat/>
    <w:uiPriority w:val="0"/>
    <w:rPr>
      <w:rFonts w:ascii="Calibri" w:hAnsi="Calibri"/>
      <w:color w:val="000000"/>
      <w:kern w:val="2"/>
      <w:sz w:val="24"/>
      <w:szCs w:val="22"/>
      <w:lang w:val="en-US" w:eastAsia="zh-CN" w:bidi="ar-SA"/>
    </w:rPr>
  </w:style>
  <w:style w:type="paragraph" w:customStyle="1" w:styleId="60">
    <w:name w:val="Default Text"/>
    <w:link w:val="59"/>
    <w:qFormat/>
    <w:uiPriority w:val="0"/>
    <w:pPr>
      <w:widowControl w:val="0"/>
      <w:autoSpaceDE w:val="0"/>
      <w:autoSpaceDN w:val="0"/>
      <w:adjustRightInd w:val="0"/>
    </w:pPr>
    <w:rPr>
      <w:rFonts w:ascii="Calibri" w:hAnsi="Calibri" w:eastAsia="宋体" w:cs="Times New Roman"/>
      <w:color w:val="000000"/>
      <w:kern w:val="2"/>
      <w:sz w:val="24"/>
      <w:szCs w:val="22"/>
      <w:lang w:val="en-US" w:eastAsia="zh-CN" w:bidi="ar-SA"/>
    </w:rPr>
  </w:style>
  <w:style w:type="character" w:customStyle="1" w:styleId="61">
    <w:name w:val="标题 Char1"/>
    <w:basedOn w:val="29"/>
    <w:qFormat/>
    <w:uiPriority w:val="10"/>
    <w:rPr>
      <w:rFonts w:ascii="Cambria" w:hAnsi="Cambria" w:eastAsia="宋体" w:cs="Times New Roman"/>
      <w:b/>
      <w:bCs/>
      <w:sz w:val="32"/>
      <w:szCs w:val="32"/>
    </w:rPr>
  </w:style>
  <w:style w:type="character" w:customStyle="1" w:styleId="62">
    <w:name w:val="纯文本 Char"/>
    <w:basedOn w:val="29"/>
    <w:semiHidden/>
    <w:qFormat/>
    <w:uiPriority w:val="99"/>
    <w:rPr>
      <w:rFonts w:ascii="宋体" w:hAnsi="Courier New" w:eastAsia="宋体" w:cs="Courier New"/>
      <w:szCs w:val="21"/>
    </w:rPr>
  </w:style>
  <w:style w:type="character" w:customStyle="1" w:styleId="63">
    <w:name w:val="正文文本 Char1"/>
    <w:basedOn w:val="29"/>
    <w:semiHidden/>
    <w:qFormat/>
    <w:uiPriority w:val="99"/>
    <w:rPr>
      <w:rFonts w:ascii="Times New Roman" w:hAnsi="Times New Roman" w:eastAsia="宋体" w:cs="Times New Roman"/>
      <w:szCs w:val="20"/>
    </w:rPr>
  </w:style>
  <w:style w:type="character" w:customStyle="1" w:styleId="64">
    <w:name w:val="正文缩进2格 Char"/>
    <w:link w:val="65"/>
    <w:qFormat/>
    <w:uiPriority w:val="0"/>
    <w:rPr>
      <w:rFonts w:ascii="仿宋_GB2312" w:hAnsi="宋体" w:eastAsia="仿宋_GB2312"/>
      <w:kern w:val="2"/>
      <w:sz w:val="31"/>
      <w:szCs w:val="28"/>
    </w:rPr>
  </w:style>
  <w:style w:type="paragraph" w:customStyle="1" w:styleId="65">
    <w:name w:val="正文缩进2格"/>
    <w:basedOn w:val="1"/>
    <w:link w:val="64"/>
    <w:qFormat/>
    <w:uiPriority w:val="0"/>
    <w:pPr>
      <w:spacing w:line="600" w:lineRule="exact"/>
      <w:ind w:firstLine="639" w:firstLineChars="206"/>
    </w:pPr>
    <w:rPr>
      <w:rFonts w:ascii="仿宋_GB2312" w:hAnsi="宋体" w:eastAsia="仿宋_GB2312"/>
      <w:sz w:val="31"/>
      <w:szCs w:val="28"/>
    </w:rPr>
  </w:style>
  <w:style w:type="character" w:customStyle="1" w:styleId="66">
    <w:name w:val="font11"/>
    <w:basedOn w:val="29"/>
    <w:qFormat/>
    <w:uiPriority w:val="0"/>
    <w:rPr>
      <w:rFonts w:hint="eastAsia" w:ascii="宋体" w:hAnsi="宋体" w:eastAsia="宋体" w:cs="宋体"/>
      <w:color w:val="000000"/>
      <w:sz w:val="24"/>
      <w:szCs w:val="24"/>
      <w:u w:val="none"/>
    </w:rPr>
  </w:style>
  <w:style w:type="character" w:customStyle="1" w:styleId="67">
    <w:name w:val="font01"/>
    <w:basedOn w:val="29"/>
    <w:qFormat/>
    <w:uiPriority w:val="0"/>
    <w:rPr>
      <w:rFonts w:hint="eastAsia" w:ascii="宋体" w:hAnsi="宋体" w:eastAsia="宋体" w:cs="宋体"/>
      <w:color w:val="000000"/>
      <w:sz w:val="24"/>
      <w:szCs w:val="24"/>
      <w:u w:val="none"/>
    </w:rPr>
  </w:style>
  <w:style w:type="paragraph" w:customStyle="1" w:styleId="6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9">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È¡ÀÊ¡ÎÄ¡À¾"/>
    <w:basedOn w:val="1"/>
    <w:qFormat/>
    <w:uiPriority w:val="99"/>
    <w:pPr>
      <w:overflowPunct w:val="0"/>
      <w:autoSpaceDE w:val="0"/>
      <w:autoSpaceDN w:val="0"/>
      <w:textAlignment w:val="baseline"/>
    </w:pPr>
    <w:rPr>
      <w:rFonts w:ascii="Calibri" w:hAnsi="Calibri"/>
      <w:sz w:val="24"/>
    </w:rPr>
  </w:style>
  <w:style w:type="paragraph" w:customStyle="1" w:styleId="7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72">
    <w:name w:val="首行缩进"/>
    <w:basedOn w:val="1"/>
    <w:qFormat/>
    <w:uiPriority w:val="99"/>
    <w:pPr>
      <w:ind w:firstLine="480" w:firstLineChars="200"/>
    </w:pPr>
    <w:rPr>
      <w:lang w:val="zh-CN"/>
    </w:rPr>
  </w:style>
  <w:style w:type="paragraph" w:customStyle="1" w:styleId="73">
    <w:name w:val="Table Text"/>
    <w:basedOn w:val="1"/>
    <w:semiHidden/>
    <w:qFormat/>
    <w:uiPriority w:val="0"/>
    <w:rPr>
      <w:rFonts w:ascii="仿宋" w:hAnsi="仿宋" w:eastAsia="仿宋" w:cs="仿宋"/>
      <w:sz w:val="28"/>
      <w:szCs w:val="28"/>
      <w:lang w:val="en-US" w:eastAsia="en-US" w:bidi="ar-SA"/>
    </w:rPr>
  </w:style>
  <w:style w:type="paragraph" w:styleId="74">
    <w:name w:val="List Paragraph"/>
    <w:basedOn w:val="1"/>
    <w:qFormat/>
    <w:uiPriority w:val="99"/>
    <w:pPr>
      <w:ind w:firstLine="420" w:firstLineChars="200"/>
    </w:pPr>
  </w:style>
  <w:style w:type="paragraph" w:customStyle="1" w:styleId="75">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76">
    <w:name w:val="列出段落1"/>
    <w:basedOn w:val="1"/>
    <w:qFormat/>
    <w:uiPriority w:val="34"/>
    <w:pPr>
      <w:ind w:firstLine="420" w:firstLineChars="200"/>
    </w:pPr>
  </w:style>
  <w:style w:type="paragraph" w:customStyle="1" w:styleId="7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78">
    <w:name w:val="索引 11"/>
    <w:basedOn w:val="1"/>
    <w:next w:val="1"/>
    <w:qFormat/>
    <w:uiPriority w:val="0"/>
    <w:pPr>
      <w:spacing w:line="360" w:lineRule="auto"/>
    </w:pPr>
    <w:rPr>
      <w:rFonts w:ascii="仿宋_GB2312" w:eastAsia="仿宋_GB2312"/>
      <w:sz w:val="24"/>
      <w:szCs w:val="20"/>
    </w:rPr>
  </w:style>
  <w:style w:type="paragraph" w:customStyle="1" w:styleId="79">
    <w:name w:val="_Style 2"/>
    <w:basedOn w:val="2"/>
    <w:next w:val="1"/>
    <w:qFormat/>
    <w:uiPriority w:val="39"/>
    <w:pPr>
      <w:widowControl/>
      <w:spacing w:before="480" w:line="276" w:lineRule="auto"/>
      <w:jc w:val="left"/>
      <w:outlineLvl w:val="9"/>
    </w:pPr>
    <w:rPr>
      <w:rFonts w:ascii="Cambria" w:hAnsi="Cambria"/>
      <w:b w:val="0"/>
      <w:color w:val="365F91"/>
      <w:kern w:val="0"/>
      <w:szCs w:val="28"/>
    </w:rPr>
  </w:style>
  <w:style w:type="paragraph" w:customStyle="1" w:styleId="8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缩进1"/>
    <w:basedOn w:val="1"/>
    <w:qFormat/>
    <w:uiPriority w:val="0"/>
    <w:pPr>
      <w:ind w:firstLine="420" w:firstLineChars="200"/>
    </w:pPr>
  </w:style>
  <w:style w:type="paragraph" w:customStyle="1" w:styleId="82">
    <w:name w:val="其他"/>
    <w:basedOn w:val="1"/>
    <w:qFormat/>
    <w:uiPriority w:val="0"/>
    <w:pPr>
      <w:shd w:val="clear" w:color="auto" w:fill="FFFFFF"/>
      <w:spacing w:line="303" w:lineRule="exact"/>
      <w:jc w:val="left"/>
    </w:pPr>
    <w:rPr>
      <w:rFonts w:ascii="黑体" w:hAnsi="黑体" w:eastAsia="黑体" w:cs="黑体"/>
      <w:sz w:val="19"/>
      <w:szCs w:val="19"/>
      <w:lang w:val="zh-CN" w:bidi="zh-CN"/>
    </w:rPr>
  </w:style>
  <w:style w:type="paragraph" w:styleId="83">
    <w:name w:val="No Spacing"/>
    <w:qFormat/>
    <w:uiPriority w:val="1"/>
    <w:pPr>
      <w:widowControl w:val="0"/>
    </w:pPr>
    <w:rPr>
      <w:rFonts w:ascii="宋体" w:hAnsi="宋体" w:eastAsia="宋体" w:cs="Times New Roman"/>
      <w:kern w:val="2"/>
      <w:sz w:val="21"/>
      <w:szCs w:val="22"/>
      <w:lang w:val="en-US" w:eastAsia="zh-CN" w:bidi="ar-SA"/>
    </w:rPr>
  </w:style>
  <w:style w:type="paragraph" w:customStyle="1" w:styleId="84">
    <w:name w:val="标题 1 New"/>
    <w:qFormat/>
    <w:uiPriority w:val="0"/>
    <w:pPr>
      <w:keepNext/>
      <w:jc w:val="center"/>
      <w:outlineLvl w:val="0"/>
    </w:pPr>
    <w:rPr>
      <w:rFonts w:ascii="Times New Roman" w:hAnsi="Times New Roman" w:eastAsia="宋体" w:cs="Times New Roman"/>
      <w:sz w:val="28"/>
      <w:szCs w:val="28"/>
      <w:lang w:val="en-US" w:eastAsia="zh-CN" w:bidi="ar-SA"/>
    </w:r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纯文本1"/>
    <w:basedOn w:val="1"/>
    <w:qFormat/>
    <w:uiPriority w:val="0"/>
    <w:rPr>
      <w:rFonts w:ascii="宋体" w:hAnsi="Courier New" w:eastAsia="宋体" w:cs="Times New Roman"/>
      <w:szCs w:val="22"/>
    </w:rPr>
  </w:style>
  <w:style w:type="paragraph" w:customStyle="1" w:styleId="87">
    <w:name w:val="默认段落字体 Para Char Char Char Char Char Char Char Char Char Char"/>
    <w:basedOn w:val="1"/>
    <w:qFormat/>
    <w:uiPriority w:val="0"/>
    <w:rPr>
      <w:rFonts w:ascii="Tahoma" w:hAnsi="Tahoma"/>
      <w:sz w:val="24"/>
    </w:rPr>
  </w:style>
  <w:style w:type="table" w:customStyle="1" w:styleId="88">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89">
    <w:name w:val="cf01"/>
    <w:basedOn w:val="29"/>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120</Pages>
  <Words>4667</Words>
  <Characters>5264</Characters>
  <Lines>590</Lines>
  <Paragraphs>166</Paragraphs>
  <TotalTime>15</TotalTime>
  <ScaleCrop>false</ScaleCrop>
  <LinksUpToDate>false</LinksUpToDate>
  <CharactersWithSpaces>5398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正版用户</dc:creator>
  <cp:lastModifiedBy>黄新新</cp:lastModifiedBy>
  <cp:lastPrinted>2026-04-29T03:04:00Z</cp:lastPrinted>
  <dcterms:modified xsi:type="dcterms:W3CDTF">2026-06-04T11:29:21Z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32756B9ED1B34EF58F941C7A7479A9F9_13</vt:lpwstr>
  </property>
  <property fmtid="{D5CDD505-2E9C-101B-9397-08002B2CF9AE}" pid="4" name="KSOTemplateDocerSaveRecord">
    <vt:lpwstr>eyJoZGlkIjoiMmI3OGJjOGFkOTA0ZWQ5ZDQ3Yjg1ODBmMWRkYjA4MDQiLCJ1c2VySWQiOiIyNjk4Mzk3MDEifQ==</vt:lpwstr>
  </property>
</Properties>
</file>