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44E23">
      <w:pPr>
        <w:pStyle w:val="15"/>
        <w:pageBreakBefore w:val="0"/>
        <w:kinsoku/>
        <w:bidi w:val="0"/>
        <w:spacing w:line="360" w:lineRule="auto"/>
        <w:jc w:val="center"/>
        <w:rPr>
          <w:rFonts w:hint="eastAsia" w:ascii="仿宋" w:hAnsi="仿宋" w:eastAsia="仿宋" w:cs="仿宋"/>
          <w:b/>
          <w:color w:val="auto"/>
          <w:kern w:val="2"/>
          <w:sz w:val="52"/>
          <w:szCs w:val="52"/>
          <w:highlight w:val="none"/>
          <w:lang w:val="en-US" w:eastAsia="zh-CN" w:bidi="ar-SA"/>
        </w:rPr>
      </w:pPr>
    </w:p>
    <w:p w14:paraId="0F6ED769">
      <w:pPr>
        <w:pStyle w:val="15"/>
        <w:pageBreakBefore w:val="0"/>
        <w:kinsoku/>
        <w:bidi w:val="0"/>
        <w:spacing w:line="360" w:lineRule="auto"/>
        <w:jc w:val="center"/>
        <w:rPr>
          <w:rFonts w:hint="eastAsia" w:ascii="仿宋" w:hAnsi="仿宋" w:eastAsia="仿宋" w:cs="仿宋"/>
          <w:b/>
          <w:bCs/>
          <w:color w:val="auto"/>
          <w:sz w:val="52"/>
          <w:szCs w:val="52"/>
          <w:highlight w:val="none"/>
          <w:lang w:val="en-US" w:bidi="ar-SA"/>
        </w:rPr>
      </w:pPr>
      <w:r>
        <w:rPr>
          <w:rFonts w:hint="eastAsia" w:ascii="仿宋" w:hAnsi="仿宋" w:eastAsia="仿宋" w:cs="仿宋"/>
          <w:b/>
          <w:color w:val="auto"/>
          <w:kern w:val="2"/>
          <w:sz w:val="60"/>
          <w:szCs w:val="60"/>
          <w:highlight w:val="none"/>
          <w:lang w:val="en-US" w:eastAsia="zh-CN" w:bidi="ar-SA"/>
        </w:rPr>
        <w:t>昆明市第一人民医院设备更新项目-超声类设备（二）</w:t>
      </w:r>
    </w:p>
    <w:p w14:paraId="5EFDC637">
      <w:pPr>
        <w:pStyle w:val="15"/>
        <w:pageBreakBefore w:val="0"/>
        <w:kinsoku/>
        <w:bidi w:val="0"/>
        <w:spacing w:line="360" w:lineRule="auto"/>
        <w:rPr>
          <w:rFonts w:hint="eastAsia" w:ascii="仿宋" w:hAnsi="仿宋" w:eastAsia="仿宋" w:cs="仿宋"/>
          <w:color w:val="auto"/>
          <w:highlight w:val="none"/>
          <w:lang w:val="en-US" w:bidi="ar-SA"/>
        </w:rPr>
      </w:pPr>
    </w:p>
    <w:p w14:paraId="542A2E8D">
      <w:pPr>
        <w:pageBreakBefore w:val="0"/>
        <w:kinsoku/>
        <w:bidi w:val="0"/>
        <w:spacing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招标文件</w:t>
      </w:r>
    </w:p>
    <w:p w14:paraId="6BE09F73">
      <w:pPr>
        <w:pStyle w:val="15"/>
        <w:pageBreakBefore w:val="0"/>
        <w:kinsoku/>
        <w:bidi w:val="0"/>
        <w:spacing w:line="360" w:lineRule="auto"/>
        <w:rPr>
          <w:rFonts w:hint="eastAsia" w:ascii="仿宋" w:hAnsi="仿宋" w:eastAsia="仿宋" w:cs="仿宋"/>
          <w:color w:val="auto"/>
          <w:highlight w:val="none"/>
          <w:lang w:val="en-US" w:bidi="ar-SA"/>
        </w:rPr>
      </w:pPr>
    </w:p>
    <w:p w14:paraId="21FB7897">
      <w:pPr>
        <w:pStyle w:val="15"/>
        <w:pageBreakBefore w:val="0"/>
        <w:kinsoku/>
        <w:bidi w:val="0"/>
        <w:spacing w:line="360" w:lineRule="auto"/>
        <w:rPr>
          <w:rFonts w:hint="eastAsia" w:ascii="仿宋" w:hAnsi="仿宋" w:eastAsia="仿宋" w:cs="仿宋"/>
          <w:color w:val="auto"/>
          <w:highlight w:val="none"/>
          <w:lang w:val="en-US" w:bidi="ar-SA"/>
        </w:rPr>
      </w:pPr>
    </w:p>
    <w:p w14:paraId="6BA08914">
      <w:pPr>
        <w:pStyle w:val="15"/>
        <w:pageBreakBefore w:val="0"/>
        <w:kinsoku/>
        <w:bidi w:val="0"/>
        <w:spacing w:line="360" w:lineRule="auto"/>
        <w:rPr>
          <w:rFonts w:hint="eastAsia" w:ascii="仿宋" w:hAnsi="仿宋" w:eastAsia="仿宋" w:cs="仿宋"/>
          <w:color w:val="auto"/>
          <w:highlight w:val="none"/>
          <w:lang w:val="en-US" w:bidi="ar-SA"/>
        </w:rPr>
      </w:pPr>
    </w:p>
    <w:p w14:paraId="351F6C58">
      <w:pPr>
        <w:pStyle w:val="15"/>
        <w:pageBreakBefore w:val="0"/>
        <w:kinsoku/>
        <w:bidi w:val="0"/>
        <w:spacing w:line="360" w:lineRule="auto"/>
        <w:rPr>
          <w:rFonts w:hint="eastAsia" w:ascii="仿宋" w:hAnsi="仿宋" w:eastAsia="仿宋" w:cs="仿宋"/>
          <w:color w:val="auto"/>
          <w:highlight w:val="none"/>
          <w:lang w:val="en-US" w:bidi="ar-SA"/>
        </w:rPr>
      </w:pPr>
    </w:p>
    <w:p w14:paraId="008F1C54">
      <w:pPr>
        <w:pStyle w:val="15"/>
        <w:pageBreakBefore w:val="0"/>
        <w:kinsoku/>
        <w:bidi w:val="0"/>
        <w:spacing w:line="360" w:lineRule="auto"/>
        <w:rPr>
          <w:rFonts w:hint="eastAsia" w:ascii="仿宋" w:hAnsi="仿宋" w:eastAsia="仿宋" w:cs="仿宋"/>
          <w:color w:val="auto"/>
          <w:highlight w:val="none"/>
          <w:lang w:val="en-US" w:bidi="ar-SA"/>
        </w:rPr>
      </w:pPr>
    </w:p>
    <w:p w14:paraId="5F03F715">
      <w:pPr>
        <w:pStyle w:val="15"/>
        <w:pageBreakBefore w:val="0"/>
        <w:kinsoku/>
        <w:bidi w:val="0"/>
        <w:spacing w:line="360" w:lineRule="auto"/>
        <w:rPr>
          <w:rFonts w:hint="eastAsia" w:ascii="仿宋" w:hAnsi="仿宋" w:eastAsia="仿宋" w:cs="仿宋"/>
          <w:color w:val="auto"/>
          <w:highlight w:val="none"/>
          <w:lang w:val="en-US" w:bidi="ar-SA"/>
        </w:rPr>
      </w:pPr>
    </w:p>
    <w:p w14:paraId="3E64A70C">
      <w:pPr>
        <w:pStyle w:val="15"/>
        <w:pageBreakBefore w:val="0"/>
        <w:kinsoku/>
        <w:bidi w:val="0"/>
        <w:spacing w:line="360" w:lineRule="auto"/>
        <w:rPr>
          <w:rFonts w:hint="eastAsia" w:ascii="仿宋" w:hAnsi="仿宋" w:eastAsia="仿宋" w:cs="仿宋"/>
          <w:color w:val="auto"/>
          <w:highlight w:val="none"/>
          <w:lang w:val="en-US" w:bidi="ar-SA"/>
        </w:rPr>
      </w:pPr>
    </w:p>
    <w:p w14:paraId="1641E545">
      <w:pPr>
        <w:pageBreakBefore w:val="0"/>
        <w:kinsoku/>
        <w:bidi w:val="0"/>
        <w:spacing w:line="360" w:lineRule="auto"/>
        <w:rPr>
          <w:rFonts w:hint="eastAsia" w:ascii="仿宋" w:hAnsi="仿宋" w:eastAsia="仿宋" w:cs="仿宋"/>
          <w:b/>
          <w:color w:val="auto"/>
          <w:sz w:val="30"/>
          <w:szCs w:val="30"/>
          <w:highlight w:val="none"/>
          <w:u w:val="single"/>
          <w:lang w:eastAsia="zh-CN"/>
        </w:rPr>
      </w:pPr>
      <w:r>
        <w:rPr>
          <w:rFonts w:hint="eastAsia" w:ascii="仿宋" w:hAnsi="仿宋" w:eastAsia="仿宋" w:cs="仿宋"/>
          <w:b/>
          <w:color w:val="auto"/>
          <w:sz w:val="30"/>
          <w:szCs w:val="30"/>
          <w:highlight w:val="none"/>
        </w:rPr>
        <w:t>项目名称：</w:t>
      </w:r>
      <w:r>
        <w:rPr>
          <w:rFonts w:hint="eastAsia" w:ascii="仿宋" w:hAnsi="仿宋" w:eastAsia="仿宋" w:cs="仿宋"/>
          <w:b/>
          <w:color w:val="auto"/>
          <w:sz w:val="30"/>
          <w:szCs w:val="30"/>
          <w:highlight w:val="none"/>
          <w:u w:val="single"/>
          <w:lang w:eastAsia="zh-CN"/>
        </w:rPr>
        <w:t>昆明市第一人民医院设备更新项目-超声类设备（二）</w:t>
      </w:r>
    </w:p>
    <w:p w14:paraId="2DAD4882">
      <w:pPr>
        <w:pageBreakBefore w:val="0"/>
        <w:kinsoku/>
        <w:bidi w:val="0"/>
        <w:spacing w:line="360" w:lineRule="auto"/>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rPr>
        <w:t>项目编号：</w:t>
      </w:r>
      <w:bookmarkStart w:id="0" w:name="_Hlk146645559"/>
      <w:r>
        <w:rPr>
          <w:rFonts w:hint="eastAsia" w:ascii="仿宋" w:hAnsi="仿宋" w:eastAsia="仿宋" w:cs="仿宋"/>
          <w:b/>
          <w:color w:val="auto"/>
          <w:sz w:val="30"/>
          <w:szCs w:val="30"/>
          <w:highlight w:val="none"/>
          <w:u w:val="single"/>
          <w:lang w:eastAsia="zh-CN"/>
        </w:rPr>
        <w:t>KMZC2026-G1-00957-YNZZ-0074</w:t>
      </w:r>
      <w:r>
        <w:rPr>
          <w:rFonts w:hint="eastAsia" w:ascii="仿宋" w:hAnsi="仿宋" w:eastAsia="仿宋" w:cs="仿宋"/>
          <w:b/>
          <w:color w:val="auto"/>
          <w:sz w:val="30"/>
          <w:szCs w:val="30"/>
          <w:highlight w:val="none"/>
          <w:u w:val="single"/>
          <w:lang w:val="en-US" w:eastAsia="zh-CN"/>
        </w:rPr>
        <w:t>/</w:t>
      </w:r>
      <w:r>
        <w:rPr>
          <w:rFonts w:hint="eastAsia" w:ascii="仿宋" w:hAnsi="仿宋" w:eastAsia="仿宋" w:cs="仿宋"/>
          <w:b/>
          <w:color w:val="auto"/>
          <w:sz w:val="30"/>
          <w:szCs w:val="30"/>
          <w:highlight w:val="none"/>
          <w:u w:val="single"/>
          <w:lang w:eastAsia="zh-CN"/>
        </w:rPr>
        <w:t>YNZZ202605-112</w:t>
      </w:r>
    </w:p>
    <w:p w14:paraId="7ADC273A">
      <w:pPr>
        <w:pageBreakBefore w:val="0"/>
        <w:kinsoku/>
        <w:bidi w:val="0"/>
        <w:spacing w:line="360" w:lineRule="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采购人：</w:t>
      </w:r>
      <w:r>
        <w:rPr>
          <w:rFonts w:hint="eastAsia" w:ascii="仿宋" w:hAnsi="仿宋" w:eastAsia="仿宋" w:cs="仿宋"/>
          <w:b/>
          <w:color w:val="auto"/>
          <w:sz w:val="30"/>
          <w:szCs w:val="30"/>
          <w:highlight w:val="none"/>
          <w:u w:val="single"/>
          <w:lang w:eastAsia="zh-CN"/>
        </w:rPr>
        <w:t>昆明市第一人民医院</w:t>
      </w:r>
    </w:p>
    <w:p w14:paraId="0165532B">
      <w:pPr>
        <w:pageBreakBefore w:val="0"/>
        <w:kinsoku/>
        <w:bidi w:val="0"/>
        <w:spacing w:line="360" w:lineRule="auto"/>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采购代理机构：</w:t>
      </w:r>
      <w:r>
        <w:rPr>
          <w:rFonts w:hint="eastAsia" w:ascii="仿宋" w:hAnsi="仿宋" w:eastAsia="仿宋" w:cs="仿宋"/>
          <w:b/>
          <w:color w:val="auto"/>
          <w:sz w:val="30"/>
          <w:szCs w:val="30"/>
          <w:highlight w:val="none"/>
          <w:u w:val="single"/>
        </w:rPr>
        <w:t>云南中招招标有限公司</w:t>
      </w:r>
    </w:p>
    <w:bookmarkEnd w:id="0"/>
    <w:p w14:paraId="4082921C">
      <w:pPr>
        <w:pageBreakBefore w:val="0"/>
        <w:kinsoku/>
        <w:bidi w:val="0"/>
        <w:spacing w:line="360" w:lineRule="auto"/>
        <w:rPr>
          <w:rFonts w:hint="eastAsia" w:ascii="仿宋" w:hAnsi="仿宋" w:eastAsia="仿宋" w:cs="仿宋"/>
          <w:color w:val="auto"/>
          <w:highlight w:val="none"/>
        </w:rPr>
      </w:pPr>
    </w:p>
    <w:p w14:paraId="4F961949">
      <w:pPr>
        <w:pageBreakBefore w:val="0"/>
        <w:kinsoku/>
        <w:bidi w:val="0"/>
        <w:spacing w:line="360" w:lineRule="auto"/>
        <w:rPr>
          <w:rFonts w:hint="eastAsia" w:ascii="仿宋" w:hAnsi="仿宋" w:eastAsia="仿宋" w:cs="仿宋"/>
          <w:color w:val="auto"/>
          <w:highlight w:val="none"/>
        </w:rPr>
      </w:pPr>
    </w:p>
    <w:p w14:paraId="07B56AC8">
      <w:pPr>
        <w:pageBreakBefore w:val="0"/>
        <w:kinsoku/>
        <w:bidi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二〇二</w:t>
      </w: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rPr>
        <w:t>年</w:t>
      </w:r>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rPr>
        <w:t>月</w:t>
      </w:r>
    </w:p>
    <w:p w14:paraId="25997473">
      <w:pPr>
        <w:pStyle w:val="149"/>
        <w:pageBreakBefore w:val="0"/>
        <w:tabs>
          <w:tab w:val="left" w:pos="3472"/>
          <w:tab w:val="center" w:pos="4819"/>
        </w:tabs>
        <w:kinsoku/>
        <w:bidi w:val="0"/>
        <w:spacing w:line="360" w:lineRule="auto"/>
        <w:jc w:val="center"/>
        <w:outlineLvl w:val="0"/>
        <w:rPr>
          <w:rFonts w:hint="eastAsia" w:ascii="仿宋" w:hAnsi="仿宋" w:eastAsia="仿宋" w:cs="仿宋"/>
          <w:color w:val="auto"/>
          <w:kern w:val="2"/>
          <w:sz w:val="40"/>
          <w:szCs w:val="44"/>
          <w:highlight w:val="none"/>
          <w:lang w:val="zh-CN"/>
        </w:rPr>
      </w:pPr>
      <w:bookmarkStart w:id="1" w:name="_Toc30372"/>
      <w:bookmarkStart w:id="2" w:name="_Toc25264"/>
      <w:r>
        <w:rPr>
          <w:rFonts w:hint="eastAsia" w:ascii="仿宋" w:hAnsi="仿宋" w:eastAsia="仿宋" w:cs="仿宋"/>
          <w:color w:val="auto"/>
          <w:highlight w:val="none"/>
          <w:lang w:val="zh-CN"/>
        </w:rPr>
        <w:br w:type="page"/>
      </w:r>
      <w:bookmarkEnd w:id="1"/>
      <w:bookmarkEnd w:id="2"/>
      <w:bookmarkStart w:id="3" w:name="_Toc5696"/>
      <w:bookmarkStart w:id="4" w:name="_Toc24316"/>
      <w:bookmarkStart w:id="5" w:name="_Toc27354"/>
      <w:bookmarkStart w:id="6" w:name="_Toc12121"/>
      <w:bookmarkStart w:id="7" w:name="_Toc15327"/>
      <w:bookmarkStart w:id="8" w:name="_Toc84"/>
      <w:bookmarkStart w:id="9" w:name="_Toc7794"/>
      <w:bookmarkStart w:id="10" w:name="_Toc20962"/>
      <w:r>
        <w:rPr>
          <w:rFonts w:hint="eastAsia" w:ascii="仿宋" w:hAnsi="仿宋" w:eastAsia="仿宋" w:cs="仿宋"/>
          <w:color w:val="auto"/>
          <w:kern w:val="2"/>
          <w:sz w:val="40"/>
          <w:szCs w:val="44"/>
          <w:highlight w:val="none"/>
          <w:lang w:val="zh-CN"/>
        </w:rPr>
        <w:t>目</w:t>
      </w:r>
      <w:r>
        <w:rPr>
          <w:rFonts w:hint="eastAsia" w:ascii="仿宋" w:hAnsi="仿宋" w:eastAsia="仿宋" w:cs="仿宋"/>
          <w:color w:val="auto"/>
          <w:kern w:val="2"/>
          <w:sz w:val="40"/>
          <w:szCs w:val="44"/>
          <w:highlight w:val="none"/>
        </w:rPr>
        <w:t xml:space="preserve"> </w:t>
      </w:r>
      <w:r>
        <w:rPr>
          <w:rFonts w:hint="eastAsia" w:ascii="仿宋" w:hAnsi="仿宋" w:eastAsia="仿宋" w:cs="仿宋"/>
          <w:color w:val="auto"/>
          <w:kern w:val="2"/>
          <w:sz w:val="40"/>
          <w:szCs w:val="44"/>
          <w:highlight w:val="none"/>
          <w:lang w:val="zh-CN"/>
        </w:rPr>
        <w:t>录</w:t>
      </w:r>
      <w:bookmarkEnd w:id="3"/>
      <w:bookmarkEnd w:id="4"/>
      <w:bookmarkEnd w:id="5"/>
      <w:bookmarkEnd w:id="6"/>
      <w:bookmarkEnd w:id="7"/>
      <w:bookmarkEnd w:id="8"/>
      <w:bookmarkEnd w:id="9"/>
      <w:bookmarkEnd w:id="10"/>
    </w:p>
    <w:p w14:paraId="5A834238">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kern w:val="0"/>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TOC \o "1-2" \h \u </w:instrText>
      </w:r>
      <w:r>
        <w:rPr>
          <w:rFonts w:hint="eastAsia" w:ascii="仿宋" w:hAnsi="仿宋" w:eastAsia="仿宋" w:cs="仿宋"/>
          <w:color w:val="auto"/>
          <w:kern w:val="0"/>
          <w:sz w:val="24"/>
          <w:szCs w:val="24"/>
          <w:highlight w:val="none"/>
          <w:lang w:val="zh-CN"/>
        </w:rPr>
        <w:fldChar w:fldCharType="separate"/>
      </w: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_Toc21988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第一章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_Toc21988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B12A091">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_Toc25181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_Toc25181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76DBEE2">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_Toc16163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二、申请人的资格要求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_Toc16163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6FBE841">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_Toc32554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三、获取招标文件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_Toc32554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F88F9C1">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_Toc25915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四、提交投标文件截止时间、开标时间和地点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_Toc25915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4B3C87C">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_Toc1286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五、公告期限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7CC6C82">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_Toc8798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六、其他补充事宜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_Toc8798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32644BF">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_Toc15386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七、对本次招标提出询问，请按以下方式联系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_Toc15386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C62EB40">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_Toc8650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 xml:space="preserve">第二章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_Toc8650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62F1B44">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_Toc32641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_Toc32641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0E86264">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_Toc951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须知正文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0104304">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_Toc497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2F8BB6F">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_Toc32223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2.招标文件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_Toc32223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01409C5">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_Toc8369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3.投标文件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_Toc8369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DF9BAD5">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_Toc17687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4.投标</w:t>
      </w:r>
      <w:r>
        <w:rPr>
          <w:rFonts w:hint="eastAsia" w:ascii="仿宋" w:hAnsi="仿宋" w:eastAsia="仿宋" w:cs="仿宋"/>
          <w:sz w:val="24"/>
          <w:szCs w:val="24"/>
        </w:rPr>
        <w:tab/>
      </w:r>
      <w:bookmarkStart w:id="880" w:name="_GoBack"/>
      <w:bookmarkEnd w:id="880"/>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_Toc17687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98BD726">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_Toc32581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5.开标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_Toc32581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DC1C0E7">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_Toc12491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6.资格审查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_Toc12491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4AA8145">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_Toc14711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7.评标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_Toc14711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A5821BB">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_Toc20328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8.中标和合同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_Toc20328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32D5D258">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_Toc9893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9.纪律和监督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_Toc9893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302880A3">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_Toc6897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10.质疑与投诉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_Toc6897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E94EFA5">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_Toc16505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11.是否采用电子化招标投标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_Toc16505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8457A3E">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_Toc14157 </w:instrText>
      </w:r>
      <w:r>
        <w:rPr>
          <w:rFonts w:hint="eastAsia" w:ascii="仿宋" w:hAnsi="仿宋" w:eastAsia="仿宋" w:cs="仿宋"/>
          <w:sz w:val="24"/>
          <w:szCs w:val="24"/>
          <w:highlight w:val="none"/>
          <w:lang w:val="zh-CN"/>
        </w:rPr>
        <w:fldChar w:fldCharType="separate"/>
      </w:r>
      <w:r>
        <w:rPr>
          <w:rFonts w:hint="eastAsia" w:ascii="仿宋" w:hAnsi="仿宋" w:eastAsia="仿宋" w:cs="仿宋"/>
          <w:bCs w:val="0"/>
          <w:sz w:val="24"/>
          <w:szCs w:val="24"/>
          <w:highlight w:val="none"/>
        </w:rPr>
        <w:t>12.法律责任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_Toc14157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46597141">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_Toc4220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13.政府采购政策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_Toc4220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65F4983">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_Toc12316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14.需要补充的其他内容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_Toc12316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464B2103">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_Toc25378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_Toc25378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8451FD6">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_Toc6672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1.评标机构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_Toc6672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587397DD">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_Toc13368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2.采购人或者采购代理机构职责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_Toc13368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8F418F7">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_Toc10218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3.评标委员会职责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_Toc10218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3661866">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_Toc18140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4.评标纪律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_Toc18140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CC1BC1B">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_Toc15532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5.评标原则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_Toc15532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5213776D">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_Toc5494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6.评标程序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_Toc5494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505345B">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_Toc1495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第四章 合同基本条款及格式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7CDF0408">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_Toc2092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第五章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_Toc2092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50717E01">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_Toc31667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投标文件格式说明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_Toc31667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6226F6E3">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_Toc4793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一、资格审查部分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_Toc4793 \h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2EB8310C">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_Toc5443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二、技术部分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_Toc5443 \h </w:instrText>
      </w:r>
      <w:r>
        <w:rPr>
          <w:rFonts w:hint="eastAsia" w:ascii="仿宋" w:hAnsi="仿宋" w:eastAsia="仿宋" w:cs="仿宋"/>
          <w:sz w:val="24"/>
          <w:szCs w:val="24"/>
        </w:rPr>
        <w:fldChar w:fldCharType="separate"/>
      </w:r>
      <w:r>
        <w:rPr>
          <w:rFonts w:hint="eastAsia" w:ascii="仿宋" w:hAnsi="仿宋" w:eastAsia="仿宋" w:cs="仿宋"/>
          <w:sz w:val="24"/>
          <w:szCs w:val="24"/>
        </w:rPr>
        <w:t>72</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3A9C9656">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_Toc8579 </w:instrText>
      </w:r>
      <w:r>
        <w:rPr>
          <w:rFonts w:hint="eastAsia" w:ascii="仿宋" w:hAnsi="仿宋" w:eastAsia="仿宋" w:cs="仿宋"/>
          <w:sz w:val="24"/>
          <w:szCs w:val="24"/>
          <w:highlight w:val="none"/>
          <w:lang w:val="zh-CN"/>
        </w:rPr>
        <w:fldChar w:fldCharType="separate"/>
      </w:r>
      <w:r>
        <w:rPr>
          <w:rFonts w:hint="eastAsia" w:ascii="仿宋" w:hAnsi="仿宋" w:eastAsia="仿宋" w:cs="仿宋"/>
          <w:bCs/>
          <w:sz w:val="24"/>
          <w:szCs w:val="24"/>
          <w:highlight w:val="none"/>
        </w:rPr>
        <w:t>三、商务部分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_Toc8579 \h </w:instrText>
      </w:r>
      <w:r>
        <w:rPr>
          <w:rFonts w:hint="eastAsia" w:ascii="仿宋" w:hAnsi="仿宋" w:eastAsia="仿宋" w:cs="仿宋"/>
          <w:sz w:val="24"/>
          <w:szCs w:val="24"/>
        </w:rPr>
        <w:fldChar w:fldCharType="separate"/>
      </w:r>
      <w:r>
        <w:rPr>
          <w:rFonts w:hint="eastAsia" w:ascii="仿宋" w:hAnsi="仿宋" w:eastAsia="仿宋" w:cs="仿宋"/>
          <w:sz w:val="24"/>
          <w:szCs w:val="24"/>
        </w:rPr>
        <w:t>76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43597A80">
      <w:pPr>
        <w:pStyle w:val="30"/>
        <w:tabs>
          <w:tab w:val="right" w:leader="dot" w:pos="9740"/>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_Toc16663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四、招标文件要求或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认为需要提交的其他资料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_Toc16663 \h </w:instrText>
      </w:r>
      <w:r>
        <w:rPr>
          <w:rFonts w:hint="eastAsia" w:ascii="仿宋" w:hAnsi="仿宋" w:eastAsia="仿宋" w:cs="仿宋"/>
          <w:sz w:val="24"/>
          <w:szCs w:val="24"/>
        </w:rPr>
        <w:fldChar w:fldCharType="separate"/>
      </w:r>
      <w:r>
        <w:rPr>
          <w:rFonts w:hint="eastAsia" w:ascii="仿宋" w:hAnsi="仿宋" w:eastAsia="仿宋" w:cs="仿宋"/>
          <w:sz w:val="24"/>
          <w:szCs w:val="24"/>
        </w:rPr>
        <w:t>95</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02E88EDC">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_Toc21908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rPr>
        <w:t xml:space="preserve">第六章 </w:t>
      </w:r>
      <w:r>
        <w:rPr>
          <w:rFonts w:hint="eastAsia" w:ascii="仿宋" w:hAnsi="仿宋" w:eastAsia="仿宋" w:cs="仿宋"/>
          <w:sz w:val="24"/>
          <w:szCs w:val="24"/>
          <w:highlight w:val="none"/>
        </w:rPr>
        <w:t>采购需求及要求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_Toc21908 \h </w:instrText>
      </w:r>
      <w:r>
        <w:rPr>
          <w:rFonts w:hint="eastAsia" w:ascii="仿宋" w:hAnsi="仿宋" w:eastAsia="仿宋" w:cs="仿宋"/>
          <w:sz w:val="24"/>
          <w:szCs w:val="24"/>
        </w:rPr>
        <w:fldChar w:fldCharType="separate"/>
      </w:r>
      <w:r>
        <w:rPr>
          <w:rFonts w:hint="eastAsia" w:ascii="仿宋" w:hAnsi="仿宋" w:eastAsia="仿宋" w:cs="仿宋"/>
          <w:sz w:val="24"/>
          <w:szCs w:val="24"/>
        </w:rPr>
        <w:t>96</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140DBF37">
      <w:pPr>
        <w:pStyle w:val="27"/>
        <w:tabs>
          <w:tab w:val="right" w:leader="dot" w:pos="9740"/>
          <w:tab w:val="clear" w:pos="9736"/>
        </w:tabs>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lang w:val="zh-CN"/>
        </w:rPr>
        <w:fldChar w:fldCharType="begin"/>
      </w:r>
      <w:r>
        <w:rPr>
          <w:rFonts w:hint="eastAsia" w:ascii="仿宋" w:hAnsi="仿宋" w:eastAsia="仿宋" w:cs="仿宋"/>
          <w:sz w:val="24"/>
          <w:szCs w:val="24"/>
          <w:highlight w:val="none"/>
          <w:lang w:val="zh-CN"/>
        </w:rPr>
        <w:instrText xml:space="preserve"> HYPERLINK \l _Toc15841 </w:instrText>
      </w:r>
      <w:r>
        <w:rPr>
          <w:rFonts w:hint="eastAsia" w:ascii="仿宋" w:hAnsi="仿宋" w:eastAsia="仿宋" w:cs="仿宋"/>
          <w:sz w:val="24"/>
          <w:szCs w:val="24"/>
          <w:highlight w:val="none"/>
          <w:lang w:val="zh-CN"/>
        </w:rPr>
        <w:fldChar w:fldCharType="separate"/>
      </w:r>
      <w:r>
        <w:rPr>
          <w:rFonts w:hint="eastAsia" w:ascii="仿宋" w:hAnsi="仿宋" w:eastAsia="仿宋" w:cs="仿宋"/>
          <w:sz w:val="24"/>
          <w:szCs w:val="24"/>
          <w:highlight w:val="none"/>
        </w:rPr>
        <w:t>第七章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_Toc15841 \h </w:instrText>
      </w:r>
      <w:r>
        <w:rPr>
          <w:rFonts w:hint="eastAsia" w:ascii="仿宋" w:hAnsi="仿宋" w:eastAsia="仿宋" w:cs="仿宋"/>
          <w:sz w:val="24"/>
          <w:szCs w:val="24"/>
        </w:rPr>
        <w:fldChar w:fldCharType="separate"/>
      </w:r>
      <w:r>
        <w:rPr>
          <w:rFonts w:hint="eastAsia" w:ascii="仿宋" w:hAnsi="仿宋" w:eastAsia="仿宋" w:cs="仿宋"/>
          <w:sz w:val="24"/>
          <w:szCs w:val="24"/>
        </w:rPr>
        <w:t>125</w:t>
      </w:r>
      <w:r>
        <w:rPr>
          <w:rFonts w:hint="eastAsia" w:ascii="仿宋" w:hAnsi="仿宋" w:eastAsia="仿宋" w:cs="仿宋"/>
          <w:sz w:val="24"/>
          <w:szCs w:val="24"/>
        </w:rPr>
        <w:fldChar w:fldCharType="end"/>
      </w:r>
      <w:r>
        <w:rPr>
          <w:rFonts w:hint="eastAsia" w:ascii="仿宋" w:hAnsi="仿宋" w:eastAsia="仿宋" w:cs="仿宋"/>
          <w:color w:val="auto"/>
          <w:sz w:val="24"/>
          <w:szCs w:val="24"/>
          <w:highlight w:val="none"/>
          <w:lang w:val="zh-CN"/>
        </w:rPr>
        <w:fldChar w:fldCharType="end"/>
      </w:r>
    </w:p>
    <w:p w14:paraId="48E7554D">
      <w:pPr>
        <w:pageBreakBefore w:val="0"/>
        <w:kinsoku/>
        <w:bidi w:val="0"/>
        <w:spacing w:line="360" w:lineRule="auto"/>
        <w:jc w:val="center"/>
        <w:rPr>
          <w:rFonts w:hint="eastAsia" w:ascii="仿宋" w:hAnsi="仿宋" w:eastAsia="仿宋" w:cs="仿宋"/>
          <w:color w:val="auto"/>
          <w:highlight w:val="none"/>
          <w:lang w:val="zh-CN"/>
        </w:rPr>
      </w:pPr>
      <w:r>
        <w:rPr>
          <w:rFonts w:hint="eastAsia" w:ascii="仿宋" w:hAnsi="仿宋" w:eastAsia="仿宋" w:cs="仿宋"/>
          <w:color w:val="auto"/>
          <w:sz w:val="24"/>
          <w:szCs w:val="24"/>
          <w:highlight w:val="none"/>
          <w:lang w:val="zh-CN"/>
        </w:rPr>
        <w:fldChar w:fldCharType="end"/>
      </w:r>
    </w:p>
    <w:p w14:paraId="61A2E9A2">
      <w:pPr>
        <w:pageBreakBefore w:val="0"/>
        <w:widowControl/>
        <w:kinsoku/>
        <w:bidi w:val="0"/>
        <w:adjustRightInd w:val="0"/>
        <w:snapToGrid w:val="0"/>
        <w:spacing w:line="360" w:lineRule="auto"/>
        <w:ind w:firstLine="643" w:firstLineChars="200"/>
        <w:jc w:val="left"/>
        <w:rPr>
          <w:rFonts w:hint="eastAsia" w:ascii="仿宋" w:hAnsi="仿宋" w:eastAsia="仿宋" w:cs="仿宋"/>
          <w:b/>
          <w:color w:val="auto"/>
          <w:sz w:val="32"/>
          <w:highlight w:val="none"/>
          <w:lang w:bidi="ar"/>
        </w:rPr>
      </w:pPr>
    </w:p>
    <w:p w14:paraId="4B0FBA50">
      <w:pPr>
        <w:pageBreakBefore w:val="0"/>
        <w:kinsoku/>
        <w:bidi w:val="0"/>
        <w:spacing w:line="360" w:lineRule="auto"/>
        <w:rPr>
          <w:rFonts w:hint="eastAsia" w:ascii="仿宋" w:hAnsi="仿宋" w:eastAsia="仿宋" w:cs="仿宋"/>
          <w:color w:val="auto"/>
          <w:highlight w:val="none"/>
        </w:rPr>
      </w:pPr>
    </w:p>
    <w:p w14:paraId="102A58C7">
      <w:pPr>
        <w:pageBreakBefore w:val="0"/>
        <w:kinsoku/>
        <w:bidi w:val="0"/>
        <w:spacing w:line="360" w:lineRule="auto"/>
        <w:rPr>
          <w:rFonts w:hint="eastAsia" w:ascii="仿宋" w:hAnsi="仿宋" w:eastAsia="仿宋" w:cs="仿宋"/>
          <w:color w:val="auto"/>
          <w:highlight w:val="none"/>
        </w:rPr>
      </w:pPr>
    </w:p>
    <w:p w14:paraId="171FD2FE">
      <w:pPr>
        <w:pageBreakBefore w:val="0"/>
        <w:kinsoku/>
        <w:bidi w:val="0"/>
        <w:spacing w:line="360" w:lineRule="auto"/>
        <w:jc w:val="left"/>
        <w:rPr>
          <w:rFonts w:hint="eastAsia" w:ascii="仿宋" w:hAnsi="仿宋" w:eastAsia="仿宋" w:cs="仿宋"/>
          <w:color w:val="auto"/>
          <w:highlight w:val="none"/>
        </w:rPr>
        <w:sectPr>
          <w:headerReference r:id="rId4" w:type="first"/>
          <w:footerReference r:id="rId5" w:type="first"/>
          <w:headerReference r:id="rId3" w:type="default"/>
          <w:pgSz w:w="11906" w:h="16838"/>
          <w:pgMar w:top="1440" w:right="1083" w:bottom="1440" w:left="1083" w:header="850" w:footer="1077" w:gutter="0"/>
          <w:pgBorders>
            <w:top w:val="none" w:sz="0" w:space="0"/>
            <w:left w:val="none" w:sz="0" w:space="0"/>
            <w:bottom w:val="none" w:sz="0" w:space="0"/>
            <w:right w:val="none" w:sz="0" w:space="0"/>
          </w:pgBorders>
          <w:pgNumType w:start="0"/>
          <w:cols w:space="720" w:num="1"/>
          <w:titlePg/>
          <w:rtlGutter w:val="0"/>
          <w:docGrid w:type="lines" w:linePitch="312" w:charSpace="0"/>
        </w:sectPr>
      </w:pPr>
    </w:p>
    <w:p w14:paraId="5B7B5915">
      <w:pPr>
        <w:pStyle w:val="2"/>
        <w:pageBreakBefore w:val="0"/>
        <w:tabs>
          <w:tab w:val="center" w:pos="4873"/>
        </w:tabs>
        <w:kinsoku/>
        <w:bidi w:val="0"/>
        <w:spacing w:line="360" w:lineRule="auto"/>
        <w:jc w:val="center"/>
        <w:rPr>
          <w:rFonts w:hint="eastAsia" w:ascii="仿宋" w:hAnsi="仿宋" w:eastAsia="仿宋" w:cs="仿宋"/>
          <w:color w:val="auto"/>
          <w:highlight w:val="none"/>
        </w:rPr>
      </w:pPr>
      <w:bookmarkStart w:id="11" w:name="_Toc6794"/>
      <w:bookmarkStart w:id="12" w:name="_Toc6457"/>
      <w:bookmarkStart w:id="13" w:name="_Toc28704"/>
      <w:bookmarkStart w:id="14" w:name="_Toc71734668"/>
      <w:bookmarkStart w:id="15" w:name="_Toc3845"/>
      <w:bookmarkStart w:id="16" w:name="_Toc21988"/>
      <w:bookmarkStart w:id="17" w:name="_Toc5289"/>
      <w:bookmarkStart w:id="18" w:name="_Toc14470"/>
      <w:r>
        <w:rPr>
          <w:rFonts w:hint="eastAsia" w:ascii="仿宋" w:hAnsi="仿宋" w:eastAsia="仿宋" w:cs="仿宋"/>
          <w:color w:val="auto"/>
          <w:highlight w:val="none"/>
        </w:rPr>
        <w:t>第一章 招标公告</w:t>
      </w:r>
      <w:bookmarkEnd w:id="11"/>
      <w:bookmarkEnd w:id="12"/>
      <w:bookmarkEnd w:id="13"/>
      <w:bookmarkEnd w:id="14"/>
      <w:bookmarkEnd w:id="15"/>
      <w:bookmarkEnd w:id="16"/>
      <w:bookmarkEnd w:id="17"/>
      <w:bookmarkEnd w:id="18"/>
    </w:p>
    <w:p w14:paraId="0028D899">
      <w:pPr>
        <w:pageBreakBefore w:val="0"/>
        <w:kinsoku/>
        <w:bidi w:val="0"/>
        <w:spacing w:before="156" w:beforeLines="50" w:line="360" w:lineRule="auto"/>
        <w:jc w:val="center"/>
        <w:rPr>
          <w:rFonts w:hint="eastAsia" w:ascii="仿宋" w:hAnsi="仿宋" w:eastAsia="仿宋" w:cs="仿宋"/>
          <w:b/>
          <w:bCs/>
          <w:color w:val="auto"/>
          <w:sz w:val="30"/>
          <w:szCs w:val="30"/>
          <w:highlight w:val="none"/>
        </w:rPr>
      </w:pPr>
      <w:bookmarkStart w:id="19" w:name="_Hlk50554037"/>
      <w:bookmarkStart w:id="20" w:name="_Hlk20137286"/>
      <w:r>
        <w:rPr>
          <w:rFonts w:hint="eastAsia" w:ascii="仿宋" w:hAnsi="仿宋" w:eastAsia="仿宋" w:cs="仿宋"/>
          <w:b/>
          <w:bCs/>
          <w:color w:val="auto"/>
          <w:sz w:val="32"/>
          <w:szCs w:val="32"/>
          <w:highlight w:val="none"/>
          <w:lang w:eastAsia="zh-CN"/>
        </w:rPr>
        <w:t>昆明市第一人民医院设备更新项目-超声类设备（二）</w:t>
      </w:r>
      <w:r>
        <w:rPr>
          <w:rFonts w:hint="eastAsia" w:ascii="仿宋" w:hAnsi="仿宋" w:eastAsia="仿宋" w:cs="仿宋"/>
          <w:b/>
          <w:bCs/>
          <w:color w:val="auto"/>
          <w:sz w:val="32"/>
          <w:szCs w:val="32"/>
          <w:highlight w:val="none"/>
        </w:rPr>
        <w:t>公开招标公告</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2DD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000" w:type="pct"/>
            <w:noWrap w:val="0"/>
            <w:vAlign w:val="top"/>
          </w:tcPr>
          <w:p w14:paraId="230FF44A">
            <w:pPr>
              <w:keepNext w:val="0"/>
              <w:keepLines w:val="0"/>
              <w:pageBreakBefore w:val="0"/>
              <w:suppressLineNumbers w:val="0"/>
              <w:kinsoku/>
              <w:bidi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bookmarkStart w:id="21" w:name="_Hlk20135437"/>
            <w:r>
              <w:rPr>
                <w:rFonts w:hint="eastAsia" w:ascii="仿宋" w:hAnsi="仿宋" w:eastAsia="仿宋" w:cs="仿宋"/>
                <w:color w:val="auto"/>
                <w:sz w:val="21"/>
                <w:szCs w:val="21"/>
                <w:highlight w:val="none"/>
              </w:rPr>
              <w:t>项目概况</w:t>
            </w:r>
          </w:p>
          <w:p w14:paraId="212FCF07">
            <w:pPr>
              <w:keepNext w:val="0"/>
              <w:keepLines w:val="0"/>
              <w:pageBreakBefore w:val="0"/>
              <w:suppressLineNumbers w:val="0"/>
              <w:kinsoku/>
              <w:bidi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昆明市第一人民医院设备更新项目-超声类设备（二）的潜在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应在政采云平台（https://www.zcygov.cn/），凭企业数字证书（CA）在网上获取招标文件，并于202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06月16日13：30分</w:t>
            </w:r>
            <w:r>
              <w:rPr>
                <w:rFonts w:hint="eastAsia" w:ascii="仿宋" w:hAnsi="仿宋" w:eastAsia="仿宋" w:cs="仿宋"/>
                <w:color w:val="auto"/>
                <w:sz w:val="21"/>
                <w:szCs w:val="21"/>
                <w:highlight w:val="none"/>
              </w:rPr>
              <w:t>（北京时间）</w:t>
            </w:r>
            <w:r>
              <w:rPr>
                <w:rFonts w:hint="eastAsia" w:ascii="仿宋" w:hAnsi="仿宋" w:eastAsia="仿宋" w:cs="仿宋"/>
                <w:color w:val="auto"/>
                <w:sz w:val="21"/>
                <w:szCs w:val="21"/>
                <w:highlight w:val="none"/>
              </w:rPr>
              <w:t>前递交投标文件。</w:t>
            </w:r>
          </w:p>
        </w:tc>
      </w:tr>
      <w:bookmarkEnd w:id="21"/>
    </w:tbl>
    <w:p w14:paraId="7884B83C">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22" w:name="_Toc25055"/>
      <w:bookmarkStart w:id="23" w:name="_Toc25181"/>
      <w:bookmarkStart w:id="24" w:name="_Toc27939"/>
      <w:bookmarkStart w:id="25" w:name="_Toc27802"/>
      <w:bookmarkStart w:id="26" w:name="_Toc7664"/>
      <w:bookmarkStart w:id="27" w:name="_Toc7932"/>
      <w:bookmarkStart w:id="28" w:name="_Toc8270"/>
      <w:bookmarkStart w:id="29" w:name="_Toc2426"/>
      <w:bookmarkStart w:id="30" w:name="_Toc19915"/>
      <w:bookmarkStart w:id="31" w:name="_Toc3431"/>
      <w:bookmarkStart w:id="32" w:name="_Toc4912"/>
      <w:bookmarkStart w:id="33" w:name="_Toc71734669"/>
      <w:bookmarkStart w:id="34" w:name="_Toc8029"/>
      <w:r>
        <w:rPr>
          <w:rFonts w:hint="eastAsia" w:ascii="仿宋" w:hAnsi="仿宋" w:eastAsia="仿宋" w:cs="仿宋"/>
          <w:b/>
          <w:color w:val="auto"/>
          <w:sz w:val="21"/>
          <w:szCs w:val="21"/>
          <w:highlight w:val="none"/>
        </w:rPr>
        <w:t>一、项目基本情况</w:t>
      </w:r>
      <w:bookmarkEnd w:id="22"/>
      <w:bookmarkEnd w:id="23"/>
      <w:bookmarkEnd w:id="24"/>
      <w:bookmarkEnd w:id="25"/>
      <w:bookmarkEnd w:id="26"/>
      <w:bookmarkEnd w:id="27"/>
      <w:bookmarkEnd w:id="28"/>
      <w:bookmarkEnd w:id="29"/>
      <w:bookmarkEnd w:id="30"/>
      <w:bookmarkEnd w:id="31"/>
      <w:bookmarkEnd w:id="32"/>
      <w:bookmarkEnd w:id="33"/>
      <w:bookmarkEnd w:id="34"/>
    </w:p>
    <w:p w14:paraId="08FD6A8B">
      <w:pPr>
        <w:pageBreakBefore w:val="0"/>
        <w:kinsoku/>
        <w:bidi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1.项目编号：</w:t>
      </w:r>
      <w:r>
        <w:rPr>
          <w:rFonts w:hint="eastAsia" w:ascii="仿宋" w:hAnsi="仿宋" w:eastAsia="仿宋" w:cs="仿宋"/>
          <w:color w:val="auto"/>
          <w:sz w:val="21"/>
          <w:szCs w:val="21"/>
          <w:highlight w:val="none"/>
          <w:lang w:eastAsia="zh-CN"/>
        </w:rPr>
        <w:t>KMZC2026-G1-00957-YNZZ-0074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YNZZ202605-112</w:t>
      </w:r>
    </w:p>
    <w:p w14:paraId="1FE945D7">
      <w:pPr>
        <w:pageBreakBefore w:val="0"/>
        <w:kinsoku/>
        <w:bidi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2.项目名称：</w:t>
      </w:r>
      <w:bookmarkStart w:id="35" w:name="_Hlk57456899"/>
      <w:r>
        <w:rPr>
          <w:rFonts w:hint="eastAsia" w:ascii="仿宋" w:hAnsi="仿宋" w:eastAsia="仿宋" w:cs="仿宋"/>
          <w:color w:val="auto"/>
          <w:sz w:val="21"/>
          <w:szCs w:val="21"/>
          <w:highlight w:val="none"/>
          <w:lang w:eastAsia="zh-CN"/>
        </w:rPr>
        <w:t>昆明市第一人民医院设备更新项目-超声类设备（二）</w:t>
      </w:r>
    </w:p>
    <w:p w14:paraId="49917633">
      <w:pPr>
        <w:pageBreakBefore w:val="0"/>
        <w:kinsoku/>
        <w:bidi w:val="0"/>
        <w:spacing w:line="360" w:lineRule="auto"/>
        <w:ind w:firstLine="420" w:firstLineChars="200"/>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bidi="ar"/>
        </w:rPr>
        <w:t>3.预算金额</w:t>
      </w:r>
      <w:bookmarkStart w:id="36" w:name="_Hlk106285845"/>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9,000,000.00</w:t>
      </w:r>
      <w:r>
        <w:rPr>
          <w:rFonts w:hint="eastAsia" w:ascii="仿宋" w:hAnsi="仿宋" w:eastAsia="仿宋" w:cs="仿宋"/>
          <w:color w:val="auto"/>
          <w:sz w:val="21"/>
          <w:szCs w:val="21"/>
          <w:highlight w:val="none"/>
          <w:lang w:eastAsia="zh-CN" w:bidi="ar"/>
        </w:rPr>
        <w:t>元，</w:t>
      </w:r>
      <w:r>
        <w:rPr>
          <w:rFonts w:hint="eastAsia" w:ascii="仿宋" w:hAnsi="仿宋" w:eastAsia="仿宋" w:cs="仿宋"/>
          <w:color w:val="auto"/>
          <w:sz w:val="21"/>
          <w:szCs w:val="21"/>
          <w:highlight w:val="none"/>
          <w:lang w:val="en-US" w:eastAsia="zh-CN" w:bidi="ar"/>
        </w:rPr>
        <w:t>其中1标段：</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6,000,000.00元，2标段：</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3,000,000.00元。</w:t>
      </w:r>
    </w:p>
    <w:bookmarkEnd w:id="36"/>
    <w:p w14:paraId="766DAD80">
      <w:pPr>
        <w:pageBreakBefore w:val="0"/>
        <w:kinsoku/>
        <w:bidi w:val="0"/>
        <w:spacing w:line="360" w:lineRule="auto"/>
        <w:ind w:firstLine="420" w:firstLineChars="20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bidi="ar"/>
        </w:rPr>
        <w:t>4.最高限价</w:t>
      </w:r>
      <w:r>
        <w:rPr>
          <w:rFonts w:hint="eastAsia" w:ascii="仿宋" w:hAnsi="仿宋" w:eastAsia="仿宋" w:cs="仿宋"/>
          <w:color w:val="auto"/>
          <w:sz w:val="21"/>
          <w:szCs w:val="21"/>
          <w:highlight w:val="none"/>
          <w:lang w:val="en-US" w:eastAsia="zh-CN" w:bidi="ar"/>
        </w:rPr>
        <w:t>：</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9,000,000.00</w:t>
      </w:r>
      <w:r>
        <w:rPr>
          <w:rFonts w:hint="eastAsia" w:ascii="仿宋" w:hAnsi="仿宋" w:eastAsia="仿宋" w:cs="仿宋"/>
          <w:color w:val="auto"/>
          <w:sz w:val="21"/>
          <w:szCs w:val="21"/>
          <w:highlight w:val="none"/>
          <w:lang w:eastAsia="zh-CN" w:bidi="ar"/>
        </w:rPr>
        <w:t>元，</w:t>
      </w:r>
      <w:r>
        <w:rPr>
          <w:rFonts w:hint="eastAsia" w:ascii="仿宋" w:hAnsi="仿宋" w:eastAsia="仿宋" w:cs="仿宋"/>
          <w:color w:val="auto"/>
          <w:sz w:val="21"/>
          <w:szCs w:val="21"/>
          <w:highlight w:val="none"/>
          <w:lang w:val="en-US" w:eastAsia="zh-CN" w:bidi="ar"/>
        </w:rPr>
        <w:t>其中1标段：</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6,000,000.00元，2标段：</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3,000,000.00元。</w:t>
      </w:r>
    </w:p>
    <w:p w14:paraId="3D8025E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w:t>
      </w:r>
    </w:p>
    <w:tbl>
      <w:tblPr>
        <w:tblStyle w:val="36"/>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157"/>
        <w:gridCol w:w="3286"/>
        <w:gridCol w:w="825"/>
        <w:gridCol w:w="825"/>
        <w:gridCol w:w="2464"/>
        <w:gridCol w:w="1371"/>
      </w:tblGrid>
      <w:tr w14:paraId="21B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0" w:hRule="atLeast"/>
          <w:jc w:val="center"/>
        </w:trPr>
        <w:tc>
          <w:tcPr>
            <w:tcW w:w="583" w:type="pct"/>
            <w:shd w:val="clear" w:color="auto" w:fill="FFFFFF"/>
            <w:noWrap w:val="0"/>
            <w:vAlign w:val="center"/>
          </w:tcPr>
          <w:p w14:paraId="14118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标段号</w:t>
            </w:r>
          </w:p>
        </w:tc>
        <w:tc>
          <w:tcPr>
            <w:tcW w:w="1655" w:type="pct"/>
            <w:shd w:val="clear" w:color="auto" w:fill="FFFFFF"/>
            <w:noWrap w:val="0"/>
            <w:vAlign w:val="center"/>
          </w:tcPr>
          <w:p w14:paraId="5BFBCD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项目（标的）名称</w:t>
            </w:r>
          </w:p>
        </w:tc>
        <w:tc>
          <w:tcPr>
            <w:tcW w:w="415" w:type="pct"/>
            <w:shd w:val="clear" w:color="auto" w:fill="FFFFFF"/>
            <w:noWrap/>
            <w:vAlign w:val="center"/>
          </w:tcPr>
          <w:p w14:paraId="2ABC0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数量</w:t>
            </w:r>
          </w:p>
        </w:tc>
        <w:tc>
          <w:tcPr>
            <w:tcW w:w="415" w:type="pct"/>
            <w:shd w:val="clear" w:color="auto" w:fill="FFFFFF"/>
            <w:noWrap/>
            <w:vAlign w:val="center"/>
          </w:tcPr>
          <w:p w14:paraId="762A66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单位</w:t>
            </w:r>
          </w:p>
        </w:tc>
        <w:tc>
          <w:tcPr>
            <w:tcW w:w="1240" w:type="pct"/>
            <w:shd w:val="clear" w:color="auto" w:fill="FFFFFF"/>
            <w:noWrap/>
            <w:vAlign w:val="center"/>
          </w:tcPr>
          <w:p w14:paraId="68858A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单价限价（元）</w:t>
            </w:r>
          </w:p>
        </w:tc>
        <w:tc>
          <w:tcPr>
            <w:tcW w:w="690" w:type="pct"/>
            <w:shd w:val="clear" w:color="auto" w:fill="FFFFFF"/>
            <w:noWrap/>
            <w:vAlign w:val="center"/>
          </w:tcPr>
          <w:p w14:paraId="0E7747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是否进口</w:t>
            </w:r>
          </w:p>
        </w:tc>
      </w:tr>
      <w:tr w14:paraId="6121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0" w:hRule="atLeast"/>
          <w:jc w:val="center"/>
        </w:trPr>
        <w:tc>
          <w:tcPr>
            <w:tcW w:w="583" w:type="pct"/>
            <w:shd w:val="clear" w:color="auto" w:fill="FFFFFF"/>
            <w:noWrap w:val="0"/>
            <w:vAlign w:val="center"/>
          </w:tcPr>
          <w:p w14:paraId="2B45D8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1标段</w:t>
            </w:r>
          </w:p>
        </w:tc>
        <w:tc>
          <w:tcPr>
            <w:tcW w:w="3287" w:type="dxa"/>
            <w:shd w:val="clear" w:color="auto" w:fill="FFFFFF"/>
            <w:noWrap w:val="0"/>
            <w:vAlign w:val="center"/>
          </w:tcPr>
          <w:p w14:paraId="4A3A24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全数字化高档心脏彩色多普勒超声诊断仪</w:t>
            </w:r>
          </w:p>
        </w:tc>
        <w:tc>
          <w:tcPr>
            <w:tcW w:w="825" w:type="dxa"/>
            <w:shd w:val="clear" w:color="auto" w:fill="FFFFFF"/>
            <w:noWrap/>
            <w:vAlign w:val="center"/>
          </w:tcPr>
          <w:p w14:paraId="2A4AED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2</w:t>
            </w:r>
          </w:p>
        </w:tc>
        <w:tc>
          <w:tcPr>
            <w:tcW w:w="825" w:type="dxa"/>
            <w:shd w:val="clear" w:color="auto" w:fill="FFFFFF"/>
            <w:noWrap/>
            <w:vAlign w:val="center"/>
          </w:tcPr>
          <w:p w14:paraId="6DD397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台</w:t>
            </w:r>
          </w:p>
        </w:tc>
        <w:tc>
          <w:tcPr>
            <w:tcW w:w="2464" w:type="dxa"/>
            <w:shd w:val="clear" w:color="auto" w:fill="FFFFFF"/>
            <w:noWrap/>
            <w:vAlign w:val="center"/>
          </w:tcPr>
          <w:p w14:paraId="1259BD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3,000,000.00</w:t>
            </w:r>
          </w:p>
        </w:tc>
        <w:tc>
          <w:tcPr>
            <w:tcW w:w="690" w:type="pct"/>
            <w:shd w:val="clear" w:color="auto" w:fill="FFFFFF"/>
            <w:noWrap/>
            <w:vAlign w:val="center"/>
          </w:tcPr>
          <w:p w14:paraId="765727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否</w:t>
            </w:r>
          </w:p>
        </w:tc>
      </w:tr>
      <w:tr w14:paraId="3F79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0" w:hRule="atLeast"/>
          <w:jc w:val="center"/>
        </w:trPr>
        <w:tc>
          <w:tcPr>
            <w:tcW w:w="583" w:type="pct"/>
            <w:shd w:val="clear" w:color="auto" w:fill="FFFFFF"/>
            <w:noWrap w:val="0"/>
            <w:vAlign w:val="center"/>
          </w:tcPr>
          <w:p w14:paraId="6604A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bookmarkStart w:id="37" w:name="_Hlk53208656"/>
            <w:r>
              <w:rPr>
                <w:rFonts w:hint="eastAsia" w:ascii="仿宋" w:hAnsi="仿宋" w:eastAsia="仿宋" w:cs="仿宋"/>
                <w:color w:val="auto"/>
                <w:kern w:val="2"/>
                <w:sz w:val="21"/>
                <w:szCs w:val="21"/>
                <w:highlight w:val="none"/>
                <w:lang w:val="en-US" w:eastAsia="zh-CN" w:bidi="ar"/>
              </w:rPr>
              <w:t>2标段</w:t>
            </w:r>
          </w:p>
        </w:tc>
        <w:tc>
          <w:tcPr>
            <w:tcW w:w="3287" w:type="dxa"/>
            <w:shd w:val="clear" w:color="auto" w:fill="FFFFFF"/>
            <w:noWrap w:val="0"/>
            <w:vAlign w:val="center"/>
          </w:tcPr>
          <w:p w14:paraId="435563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全数字化高端彩色多普勒超声诊断仪</w:t>
            </w:r>
          </w:p>
        </w:tc>
        <w:tc>
          <w:tcPr>
            <w:tcW w:w="825" w:type="dxa"/>
            <w:shd w:val="clear" w:color="auto" w:fill="FFFFFF"/>
            <w:noWrap/>
            <w:vAlign w:val="center"/>
          </w:tcPr>
          <w:p w14:paraId="2E3C78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default"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1</w:t>
            </w:r>
          </w:p>
        </w:tc>
        <w:tc>
          <w:tcPr>
            <w:tcW w:w="825" w:type="dxa"/>
            <w:shd w:val="clear" w:color="auto" w:fill="FFFFFF"/>
            <w:noWrap/>
            <w:vAlign w:val="center"/>
          </w:tcPr>
          <w:p w14:paraId="03E014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台</w:t>
            </w:r>
          </w:p>
        </w:tc>
        <w:tc>
          <w:tcPr>
            <w:tcW w:w="2464" w:type="dxa"/>
            <w:shd w:val="clear" w:color="auto" w:fill="FFFFFF"/>
            <w:noWrap/>
            <w:vAlign w:val="center"/>
          </w:tcPr>
          <w:p w14:paraId="588386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color w:val="auto"/>
                <w:kern w:val="2"/>
                <w:sz w:val="21"/>
                <w:szCs w:val="21"/>
                <w:highlight w:val="none"/>
                <w:lang w:val="en-US" w:eastAsia="zh-CN" w:bidi="ar"/>
              </w:rPr>
              <w:t>3,000,000.00</w:t>
            </w:r>
          </w:p>
        </w:tc>
        <w:tc>
          <w:tcPr>
            <w:tcW w:w="690" w:type="pct"/>
            <w:shd w:val="clear" w:color="auto" w:fill="FFFFFF"/>
            <w:noWrap/>
            <w:vAlign w:val="center"/>
          </w:tcPr>
          <w:p w14:paraId="0F4D7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否</w:t>
            </w:r>
          </w:p>
        </w:tc>
      </w:tr>
    </w:tbl>
    <w:p w14:paraId="303C419B">
      <w:pPr>
        <w:pageBreakBefore w:val="0"/>
        <w:numPr>
          <w:ilvl w:val="0"/>
          <w:numId w:val="0"/>
        </w:numPr>
        <w:kinsoku/>
        <w:bidi w:val="0"/>
        <w:spacing w:line="360" w:lineRule="auto"/>
        <w:ind w:firstLine="422"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本项目共设</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个标段</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必须对</w:t>
      </w:r>
      <w:r>
        <w:rPr>
          <w:rFonts w:hint="eastAsia" w:ascii="仿宋" w:hAnsi="仿宋" w:eastAsia="仿宋" w:cs="仿宋"/>
          <w:b/>
          <w:bCs/>
          <w:color w:val="auto"/>
          <w:sz w:val="21"/>
          <w:szCs w:val="21"/>
          <w:highlight w:val="none"/>
          <w:lang w:val="en-US" w:eastAsia="zh-CN"/>
        </w:rPr>
        <w:t>所投标段</w:t>
      </w:r>
      <w:r>
        <w:rPr>
          <w:rFonts w:hint="eastAsia" w:ascii="仿宋" w:hAnsi="仿宋" w:eastAsia="仿宋" w:cs="仿宋"/>
          <w:b/>
          <w:bCs/>
          <w:color w:val="auto"/>
          <w:sz w:val="21"/>
          <w:szCs w:val="21"/>
          <w:highlight w:val="none"/>
        </w:rPr>
        <w:t>所有内容进行完整报价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不得出现缺项</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漏项</w:t>
      </w:r>
      <w:r>
        <w:rPr>
          <w:rFonts w:hint="eastAsia" w:ascii="仿宋" w:hAnsi="仿宋" w:eastAsia="仿宋" w:cs="仿宋"/>
          <w:b/>
          <w:bCs/>
          <w:color w:val="auto"/>
          <w:sz w:val="21"/>
          <w:szCs w:val="21"/>
          <w:highlight w:val="none"/>
          <w:lang w:val="en-US" w:eastAsia="zh-CN"/>
        </w:rPr>
        <w:t>或无报价情况，否则按无效投标处理。</w:t>
      </w:r>
    </w:p>
    <w:p w14:paraId="506F9A66">
      <w:pPr>
        <w:pageBreakBefore w:val="0"/>
        <w:numPr>
          <w:ilvl w:val="0"/>
          <w:numId w:val="0"/>
        </w:numPr>
        <w:kinsoku/>
        <w:bidi w:val="0"/>
        <w:spacing w:line="360" w:lineRule="auto"/>
        <w:ind w:firstLine="420" w:firstLineChars="200"/>
        <w:rPr>
          <w:rFonts w:hint="eastAsia" w:ascii="仿宋" w:hAnsi="仿宋" w:eastAsia="仿宋" w:cs="仿宋"/>
          <w:color w:val="auto"/>
          <w:sz w:val="21"/>
          <w:szCs w:val="21"/>
          <w:highlight w:val="none"/>
          <w:lang w:bidi="ar"/>
        </w:rPr>
      </w:pPr>
      <w:r>
        <w:rPr>
          <w:rFonts w:hint="eastAsia" w:ascii="仿宋" w:hAnsi="仿宋" w:eastAsia="仿宋" w:cs="仿宋"/>
          <w:color w:val="auto"/>
          <w:kern w:val="2"/>
          <w:sz w:val="21"/>
          <w:szCs w:val="21"/>
          <w:lang w:val="en-US" w:eastAsia="zh-CN" w:bidi="ar"/>
        </w:rPr>
        <w:t>6.</w:t>
      </w:r>
      <w:r>
        <w:rPr>
          <w:rFonts w:hint="eastAsia" w:ascii="仿宋" w:hAnsi="仿宋" w:eastAsia="仿宋" w:cs="仿宋"/>
          <w:color w:val="auto"/>
          <w:sz w:val="21"/>
          <w:szCs w:val="21"/>
          <w:highlight w:val="none"/>
        </w:rPr>
        <w:t>合同履行期限：</w:t>
      </w:r>
      <w:bookmarkStart w:id="38" w:name="_Hlk71729127"/>
      <w:r>
        <w:rPr>
          <w:rFonts w:hint="eastAsia" w:ascii="仿宋" w:hAnsi="仿宋" w:eastAsia="仿宋" w:cs="仿宋"/>
          <w:color w:val="auto"/>
          <w:sz w:val="21"/>
          <w:szCs w:val="21"/>
          <w:highlight w:val="none"/>
          <w:lang w:val="en-US" w:eastAsia="zh-CN"/>
        </w:rPr>
        <w:t>根据设备的质保期确定，自验收合格之日起至质保期结束，期间提供设备维修、零部件更换及技术支持。</w:t>
      </w:r>
    </w:p>
    <w:p w14:paraId="3C55D1E6">
      <w:pPr>
        <w:pageBreakBefore w:val="0"/>
        <w:numPr>
          <w:ilvl w:val="0"/>
          <w:numId w:val="0"/>
        </w:numPr>
        <w:kinsoku/>
        <w:bidi w:val="0"/>
        <w:spacing w:line="360" w:lineRule="auto"/>
        <w:ind w:firstLine="420" w:firstLineChars="200"/>
        <w:rPr>
          <w:rFonts w:hint="eastAsia" w:ascii="仿宋" w:hAnsi="仿宋" w:eastAsia="仿宋" w:cs="仿宋"/>
          <w:color w:val="auto"/>
          <w:sz w:val="21"/>
          <w:szCs w:val="21"/>
          <w:highlight w:val="none"/>
          <w:lang w:bidi="ar"/>
        </w:rPr>
      </w:pPr>
      <w:r>
        <w:rPr>
          <w:rFonts w:hint="eastAsia" w:ascii="仿宋" w:hAnsi="仿宋" w:eastAsia="仿宋" w:cs="仿宋"/>
          <w:color w:val="auto"/>
          <w:kern w:val="2"/>
          <w:sz w:val="21"/>
          <w:szCs w:val="21"/>
          <w:lang w:val="en-US" w:eastAsia="zh-CN" w:bidi="ar"/>
        </w:rPr>
        <w:t>7.</w:t>
      </w:r>
      <w:r>
        <w:rPr>
          <w:rFonts w:hint="eastAsia" w:ascii="仿宋" w:hAnsi="仿宋" w:eastAsia="仿宋" w:cs="仿宋"/>
          <w:color w:val="auto"/>
          <w:sz w:val="21"/>
          <w:szCs w:val="21"/>
          <w:highlight w:val="none"/>
          <w:lang w:val="en-US" w:eastAsia="zh-CN" w:bidi="ar"/>
        </w:rPr>
        <w:t>交货地点：昆明市第一人民医院指定地点。</w:t>
      </w:r>
    </w:p>
    <w:p w14:paraId="71638484">
      <w:pPr>
        <w:pageBreakBefore w:val="0"/>
        <w:numPr>
          <w:ilvl w:val="0"/>
          <w:numId w:val="0"/>
        </w:numPr>
        <w:kinsoku/>
        <w:bidi w:val="0"/>
        <w:spacing w:line="360" w:lineRule="auto"/>
        <w:ind w:firstLine="420" w:firstLineChars="200"/>
        <w:rPr>
          <w:rFonts w:hint="eastAsia" w:ascii="仿宋" w:hAnsi="仿宋" w:eastAsia="仿宋" w:cs="仿宋"/>
          <w:color w:val="auto"/>
          <w:sz w:val="21"/>
          <w:szCs w:val="21"/>
          <w:highlight w:val="none"/>
          <w:lang w:eastAsia="zh-CN" w:bidi="ar"/>
        </w:rPr>
      </w:pPr>
      <w:r>
        <w:rPr>
          <w:rFonts w:hint="eastAsia" w:ascii="仿宋" w:hAnsi="仿宋" w:eastAsia="仿宋" w:cs="仿宋"/>
          <w:color w:val="auto"/>
          <w:kern w:val="2"/>
          <w:sz w:val="21"/>
          <w:szCs w:val="21"/>
          <w:highlight w:val="none"/>
          <w:lang w:val="en-US" w:eastAsia="zh-CN" w:bidi="ar-SA"/>
        </w:rPr>
        <w:t>8.</w:t>
      </w:r>
      <w:r>
        <w:rPr>
          <w:rFonts w:hint="eastAsia" w:ascii="仿宋" w:hAnsi="仿宋" w:eastAsia="仿宋" w:cs="仿宋"/>
          <w:color w:val="auto"/>
          <w:sz w:val="21"/>
          <w:szCs w:val="21"/>
          <w:highlight w:val="none"/>
          <w:lang w:val="en-US" w:eastAsia="zh-CN" w:bidi="ar"/>
        </w:rPr>
        <w:t>交货方式：中标方</w:t>
      </w:r>
      <w:r>
        <w:rPr>
          <w:rFonts w:hint="eastAsia" w:ascii="仿宋" w:hAnsi="仿宋" w:eastAsia="仿宋" w:cs="仿宋"/>
          <w:color w:val="auto"/>
          <w:sz w:val="21"/>
          <w:szCs w:val="21"/>
          <w:highlight w:val="none"/>
          <w:lang w:eastAsia="zh-CN" w:bidi="ar"/>
        </w:rPr>
        <w:t>应在合同生效后</w:t>
      </w:r>
      <w:r>
        <w:rPr>
          <w:rFonts w:hint="eastAsia" w:ascii="仿宋" w:hAnsi="仿宋" w:eastAsia="仿宋" w:cs="仿宋"/>
          <w:color w:val="auto"/>
          <w:sz w:val="21"/>
          <w:szCs w:val="21"/>
          <w:highlight w:val="none"/>
          <w:lang w:val="en-US" w:eastAsia="zh-CN" w:bidi="ar"/>
        </w:rPr>
        <w:t>约定的期限内</w:t>
      </w:r>
      <w:r>
        <w:rPr>
          <w:rFonts w:hint="eastAsia" w:ascii="仿宋" w:hAnsi="仿宋" w:eastAsia="仿宋" w:cs="仿宋"/>
          <w:color w:val="auto"/>
          <w:sz w:val="21"/>
          <w:szCs w:val="21"/>
          <w:highlight w:val="none"/>
          <w:lang w:eastAsia="zh-CN" w:bidi="ar"/>
        </w:rPr>
        <w:t>,在</w:t>
      </w:r>
      <w:r>
        <w:rPr>
          <w:rFonts w:hint="eastAsia" w:ascii="仿宋" w:hAnsi="仿宋" w:eastAsia="仿宋" w:cs="仿宋"/>
          <w:color w:val="auto"/>
          <w:sz w:val="21"/>
          <w:szCs w:val="21"/>
          <w:highlight w:val="none"/>
          <w:lang w:val="en-US" w:eastAsia="zh-CN" w:bidi="ar"/>
        </w:rPr>
        <w:t>医院</w:t>
      </w:r>
      <w:r>
        <w:rPr>
          <w:rFonts w:hint="eastAsia" w:ascii="仿宋" w:hAnsi="仿宋" w:eastAsia="仿宋" w:cs="仿宋"/>
          <w:color w:val="auto"/>
          <w:sz w:val="21"/>
          <w:szCs w:val="21"/>
          <w:highlight w:val="none"/>
          <w:lang w:eastAsia="zh-CN" w:bidi="ar"/>
        </w:rPr>
        <w:t>指定地点交付货物。</w:t>
      </w:r>
    </w:p>
    <w:p w14:paraId="406BB339">
      <w:pPr>
        <w:pageBreakBefore w:val="0"/>
        <w:numPr>
          <w:ilvl w:val="0"/>
          <w:numId w:val="0"/>
        </w:numPr>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9.</w:t>
      </w:r>
      <w:r>
        <w:rPr>
          <w:rFonts w:hint="eastAsia" w:ascii="仿宋" w:hAnsi="仿宋" w:eastAsia="仿宋" w:cs="仿宋"/>
          <w:color w:val="auto"/>
          <w:sz w:val="21"/>
          <w:szCs w:val="21"/>
          <w:highlight w:val="none"/>
        </w:rPr>
        <w:t>本项目不接受联合体投标。</w:t>
      </w:r>
    </w:p>
    <w:bookmarkEnd w:id="35"/>
    <w:bookmarkEnd w:id="37"/>
    <w:bookmarkEnd w:id="38"/>
    <w:p w14:paraId="02F14ABD">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39" w:name="_Toc3303"/>
      <w:bookmarkStart w:id="40" w:name="_Toc16019"/>
      <w:bookmarkStart w:id="41" w:name="_Toc10422"/>
      <w:bookmarkStart w:id="42" w:name="_Toc21708"/>
      <w:bookmarkStart w:id="43" w:name="_Toc4103"/>
      <w:bookmarkStart w:id="44" w:name="_Toc16163"/>
      <w:bookmarkStart w:id="45" w:name="_Toc668"/>
      <w:bookmarkStart w:id="46" w:name="_Toc24971"/>
      <w:bookmarkStart w:id="47" w:name="_Toc2957"/>
      <w:bookmarkStart w:id="48" w:name="_Toc15498"/>
      <w:bookmarkStart w:id="49" w:name="_Toc31976"/>
      <w:bookmarkStart w:id="50" w:name="_Toc71734670"/>
      <w:r>
        <w:rPr>
          <w:rFonts w:hint="eastAsia" w:ascii="仿宋" w:hAnsi="仿宋" w:eastAsia="仿宋" w:cs="仿宋"/>
          <w:b/>
          <w:color w:val="auto"/>
          <w:sz w:val="21"/>
          <w:szCs w:val="21"/>
          <w:highlight w:val="none"/>
        </w:rPr>
        <w:t>二、申请人的资格要求</w:t>
      </w:r>
      <w:bookmarkEnd w:id="39"/>
      <w:bookmarkEnd w:id="40"/>
      <w:bookmarkEnd w:id="41"/>
      <w:bookmarkEnd w:id="42"/>
      <w:bookmarkEnd w:id="43"/>
      <w:bookmarkEnd w:id="44"/>
      <w:bookmarkEnd w:id="45"/>
      <w:bookmarkEnd w:id="46"/>
      <w:bookmarkEnd w:id="47"/>
      <w:bookmarkEnd w:id="48"/>
      <w:bookmarkEnd w:id="49"/>
      <w:bookmarkEnd w:id="50"/>
    </w:p>
    <w:p w14:paraId="1C3458C0">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bookmarkStart w:id="51" w:name="_Hlk57457090"/>
      <w:bookmarkStart w:id="52" w:name="_Hlk53208677"/>
      <w:r>
        <w:rPr>
          <w:rFonts w:hint="eastAsia" w:ascii="仿宋" w:hAnsi="仿宋" w:eastAsia="仿宋" w:cs="仿宋"/>
          <w:color w:val="auto"/>
          <w:sz w:val="21"/>
          <w:szCs w:val="21"/>
          <w:highlight w:val="none"/>
          <w:lang w:eastAsia="zh-CN"/>
        </w:rPr>
        <w:t>1.满足《中华人民共和国政府采购法》第二十二条规定；</w:t>
      </w:r>
    </w:p>
    <w:p w14:paraId="54A98259">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1.1具有独立承担民事责任的能力：供应商须在中华人民共和国境内注册，提供法人或者其他组织的营业执照等证明文件；</w:t>
      </w:r>
      <w:r>
        <w:rPr>
          <w:rFonts w:hint="eastAsia" w:ascii="仿宋" w:hAnsi="仿宋" w:eastAsia="仿宋" w:cs="仿宋"/>
          <w:color w:val="auto"/>
          <w:sz w:val="21"/>
          <w:szCs w:val="21"/>
          <w:highlight w:val="none"/>
          <w:lang w:val="en-US" w:eastAsia="zh-CN"/>
        </w:rPr>
        <w:t>若为自然人的，提供自然人的身份证明</w:t>
      </w:r>
      <w:r>
        <w:rPr>
          <w:rFonts w:hint="eastAsia" w:ascii="仿宋" w:hAnsi="仿宋" w:eastAsia="仿宋" w:cs="仿宋"/>
          <w:color w:val="auto"/>
          <w:sz w:val="21"/>
          <w:szCs w:val="21"/>
          <w:highlight w:val="none"/>
          <w:lang w:eastAsia="zh-CN"/>
        </w:rPr>
        <w:t>（加盖供应商公章）。</w:t>
      </w:r>
    </w:p>
    <w:p w14:paraId="08C487AD">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1.2具有良好的商业信誉和健全的财务会计制度，内容可为以下三者之一：</w:t>
      </w:r>
    </w:p>
    <w:p w14:paraId="4C34EA88">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①</w:t>
      </w:r>
      <w:r>
        <w:rPr>
          <w:rFonts w:hint="eastAsia" w:ascii="仿宋" w:hAnsi="仿宋" w:eastAsia="仿宋" w:cs="仿宋"/>
          <w:color w:val="auto"/>
          <w:sz w:val="21"/>
          <w:szCs w:val="21"/>
          <w:highlight w:val="none"/>
          <w:lang w:eastAsia="zh-CN"/>
        </w:rPr>
        <w:t>提供2023年-2025年任意1个年度经第三方审计的审计报告及财务报表(至少包括资产负债表、利润表、现金流量表)如供应商执行的财政部门印发的会计制度或准则有其他要求的，以其要求为准；新成立不满1年的供应商提供自成立至今的财务报表（复印件加盖供应商公章）；</w:t>
      </w:r>
    </w:p>
    <w:p w14:paraId="3DBE46A2">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lang w:eastAsia="zh-CN"/>
        </w:rPr>
        <w:t>提供自投标文件提交截止时间前1年内基本开户银行出具的资信证明，新成立不满1年的企业可提供成立以来的财务报表或银行资信证明，不能提供的须作出相应说明</w:t>
      </w:r>
      <w:r>
        <w:rPr>
          <w:rFonts w:hint="eastAsia" w:ascii="仿宋" w:hAnsi="仿宋" w:eastAsia="仿宋" w:cs="仿宋"/>
          <w:color w:val="auto"/>
          <w:sz w:val="21"/>
          <w:szCs w:val="21"/>
          <w:highlight w:val="none"/>
          <w:lang w:val="en-US" w:eastAsia="zh-CN"/>
        </w:rPr>
        <w:t>（加盖供应商公章）</w:t>
      </w:r>
      <w:r>
        <w:rPr>
          <w:rFonts w:hint="eastAsia" w:ascii="仿宋" w:hAnsi="仿宋" w:eastAsia="仿宋" w:cs="仿宋"/>
          <w:color w:val="auto"/>
          <w:sz w:val="21"/>
          <w:szCs w:val="21"/>
          <w:highlight w:val="none"/>
          <w:lang w:eastAsia="zh-CN"/>
        </w:rPr>
        <w:t>。</w:t>
      </w:r>
    </w:p>
    <w:p w14:paraId="36E81419">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③</w:t>
      </w:r>
      <w:r>
        <w:rPr>
          <w:rFonts w:hint="eastAsia" w:ascii="仿宋" w:hAnsi="仿宋" w:eastAsia="仿宋" w:cs="仿宋"/>
          <w:color w:val="auto"/>
          <w:sz w:val="21"/>
          <w:szCs w:val="21"/>
          <w:highlight w:val="none"/>
          <w:lang w:eastAsia="zh-CN"/>
        </w:rPr>
        <w:t>提供财政部门认可的政府采购专业担保机构出具的投标担保函（加盖供应商公章）</w:t>
      </w:r>
      <w:r>
        <w:rPr>
          <w:rFonts w:hint="eastAsia" w:ascii="仿宋" w:hAnsi="仿宋" w:eastAsia="仿宋" w:cs="仿宋"/>
          <w:color w:val="auto"/>
          <w:sz w:val="21"/>
          <w:szCs w:val="21"/>
          <w:highlight w:val="none"/>
          <w:lang w:val="en-US" w:eastAsia="zh-CN"/>
        </w:rPr>
        <w:t>。</w:t>
      </w:r>
    </w:p>
    <w:p w14:paraId="53C24815">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1.3具有履行合同所必需的设备和专业技术能力：提供供应商具有履行合同所必需的设备和专业技术能力证明材料（加盖供应商公章）或书面声明（加盖供应商公章）；</w:t>
      </w:r>
    </w:p>
    <w:p w14:paraId="2B36F52F">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1.4具有依法缴纳税收和社会保障资金的良好记录：①提供供应商缴税所属时间在2025年01月至本项目提交投标文件截止时间前任意1个月的税务局税收通用缴款书或银行电子缴税（费）凭证或税务局出具纳税情况的相关证明，依法免税或免缴的，应提供相关证明文件（扫描件加盖供应商公章）或说明（加盖供应商公章），新成立未满1个月的供应商，依法免税或免缴的，应提供相关证明文件（扫描件加盖供应商公章）或说明（加盖供应商公章）；②提供供应商缴费所属时间在2025年01月至本项目提交投标文件截止时间前任意</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个月的社会保险费缴款书或银行电子缴税（费）凭证或社保管理部门出具的有效的缴款证明，依法免缴的，应提供依法免缴的相关证明文件（扫描件加盖供应商公章）或说明（加盖供应商公章），新成立未满</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个月的供应商，依法免缴的，应提供依法免缴的相关证明文件（扫描件加盖供应商公章）或说明（加盖供应商公章）。</w:t>
      </w:r>
    </w:p>
    <w:p w14:paraId="2F4FBAF4">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加盖供应商公章）；</w:t>
      </w:r>
    </w:p>
    <w:p w14:paraId="1389F473">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lang w:eastAsia="zh-CN"/>
        </w:rPr>
        <w:t>重大违法记录是指供应商因违法经营受到刑事处罚或者责令停产停业、吊销许可证或者执照、较大数额罚款（200万元以上罚款）等行政处罚。</w:t>
      </w:r>
    </w:p>
    <w:p w14:paraId="0C913B0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1.6法律、行政法规规定的其他条件：</w:t>
      </w:r>
    </w:p>
    <w:p w14:paraId="7C547C9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1.6.1单位负责人为同一人或者存在直接控股、管理关系的不同供应商，不得参加同一合同项下的政府采购活动（提供承诺函加盖供应商公章）；</w:t>
      </w:r>
    </w:p>
    <w:p w14:paraId="6B5173F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1.6.2为本采购项目提供整体设计、规范编制或者项目管理、监理、检测等服务的供应商，不得再参加本采购项目的其他采购活动的书面声明（提供书面声明函加盖供应商公章）；</w:t>
      </w:r>
    </w:p>
    <w:p w14:paraId="3AB27ED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1.6.3供应商在“信用中国”网站（www.creditchina.gov.cn）中未被列入失信被执行人、重大税收违法失信主体名单、政府采购严重违法失信行为记录名单（查询时间为开标当天，查询结果以采购人、采购代理机构查询结果为准，并将查询记录和证据留存，供应商无需提供查询结果）；</w:t>
      </w:r>
    </w:p>
    <w:p w14:paraId="17ABC93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1.6.4供应商在中国政府采购网（www.ccgp.gov.cn）政府采购严重违法失信行为记录名单中无不良信息记录（被禁止在一定期限内参加采购活动但期限届满的，或仅被处于非较大数额罚款的除外，查询时间为开标当天，查询结果以采购人、采购代理机构查询结果为准，并将查询记录和证据留存，供应商无需提供查询结果）；</w:t>
      </w:r>
    </w:p>
    <w:p w14:paraId="5EA85205">
      <w:pPr>
        <w:pageBreakBefore w:val="0"/>
        <w:kinsoku/>
        <w:bidi w:val="0"/>
        <w:spacing w:line="360" w:lineRule="auto"/>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2.落实政府采购政策需满足的资格要求：</w:t>
      </w:r>
      <w:r>
        <w:rPr>
          <w:rFonts w:hint="eastAsia" w:ascii="仿宋" w:hAnsi="仿宋" w:eastAsia="仿宋" w:cs="仿宋"/>
          <w:color w:val="auto"/>
          <w:sz w:val="21"/>
          <w:szCs w:val="21"/>
          <w:highlight w:val="none"/>
          <w:lang w:val="en-US" w:eastAsia="zh-CN"/>
        </w:rPr>
        <w:t>无。</w:t>
      </w:r>
    </w:p>
    <w:p w14:paraId="60191568">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3.本项目的特定资格要求：</w:t>
      </w:r>
    </w:p>
    <w:p w14:paraId="70786905">
      <w:pPr>
        <w:pageBreakBefore w:val="0"/>
        <w:kinsoku/>
        <w:bidi w:val="0"/>
        <w:spacing w:line="360" w:lineRule="auto"/>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供应商如果是代理商或经销商且所投产品为医疗器械的，须提供医疗器械经营许可证/备案，所投产品制造商医疗器械生产许可证、所投产品的医疗器械注册证及附件；供应商如果是制造商且所投产品为医疗器械，须提供医疗器械生产许可证、所投产品的医疗器械注册证及附件。医疗器械生产或经营许可证生产或经营范围须覆盖所投第二、三类医疗器械（根据中华人民共和国国务院令第739号《医疗器械监督管理条例》和国家药品监督管理总局《医疗器械分类目录》的规定，在《医疗器械分类目录》内的产品必须按照《医疗器械监督管理条例》的要求提供，其他不在《医疗器械分类目录》内的不作强行要求）提供相关证明资料。</w:t>
      </w:r>
    </w:p>
    <w:p w14:paraId="2AED8FB5">
      <w:pPr>
        <w:pageBreakBefore w:val="0"/>
        <w:kinsoku/>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3.2本项目不接受进口产品。</w:t>
      </w:r>
    </w:p>
    <w:bookmarkEnd w:id="51"/>
    <w:bookmarkEnd w:id="52"/>
    <w:p w14:paraId="24D9A59A">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53" w:name="_Toc26035"/>
      <w:bookmarkStart w:id="54" w:name="_Toc14064"/>
      <w:bookmarkStart w:id="55" w:name="_Toc14278"/>
      <w:bookmarkStart w:id="56" w:name="_Toc5138"/>
      <w:bookmarkStart w:id="57" w:name="_Toc19514"/>
      <w:bookmarkStart w:id="58" w:name="_Toc17404"/>
      <w:bookmarkStart w:id="59" w:name="_Toc71734671"/>
      <w:bookmarkStart w:id="60" w:name="_Toc14970"/>
      <w:bookmarkStart w:id="61" w:name="_Toc32554"/>
      <w:bookmarkStart w:id="62" w:name="_Toc8425"/>
      <w:bookmarkStart w:id="63" w:name="_Toc12592"/>
      <w:bookmarkStart w:id="64" w:name="_Toc24852"/>
      <w:r>
        <w:rPr>
          <w:rFonts w:hint="eastAsia" w:ascii="仿宋" w:hAnsi="仿宋" w:eastAsia="仿宋" w:cs="仿宋"/>
          <w:b/>
          <w:color w:val="auto"/>
          <w:sz w:val="21"/>
          <w:szCs w:val="21"/>
          <w:highlight w:val="none"/>
        </w:rPr>
        <w:t>三、获取招标文件</w:t>
      </w:r>
      <w:bookmarkEnd w:id="53"/>
      <w:bookmarkEnd w:id="54"/>
      <w:bookmarkEnd w:id="55"/>
      <w:bookmarkEnd w:id="56"/>
      <w:bookmarkEnd w:id="57"/>
      <w:bookmarkEnd w:id="58"/>
      <w:bookmarkEnd w:id="59"/>
      <w:bookmarkEnd w:id="60"/>
      <w:bookmarkEnd w:id="61"/>
      <w:bookmarkEnd w:id="62"/>
      <w:bookmarkEnd w:id="63"/>
      <w:bookmarkEnd w:id="64"/>
    </w:p>
    <w:p w14:paraId="383F2A7F">
      <w:pPr>
        <w:pageBreakBefore w:val="0"/>
        <w:kinsoku/>
        <w:bidi w:val="0"/>
        <w:spacing w:line="360" w:lineRule="auto"/>
        <w:ind w:firstLine="540"/>
        <w:rPr>
          <w:rFonts w:hint="eastAsia" w:ascii="仿宋" w:hAnsi="仿宋" w:eastAsia="仿宋" w:cs="仿宋"/>
          <w:color w:val="auto"/>
          <w:sz w:val="21"/>
          <w:szCs w:val="21"/>
          <w:highlight w:val="none"/>
        </w:rPr>
      </w:pPr>
      <w:bookmarkStart w:id="65" w:name="_Hlk56085552"/>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22</w:t>
      </w:r>
      <w:r>
        <w:rPr>
          <w:rFonts w:hint="eastAsia" w:ascii="仿宋" w:hAnsi="仿宋" w:eastAsia="仿宋" w:cs="仿宋"/>
          <w:color w:val="auto"/>
          <w:sz w:val="21"/>
          <w:szCs w:val="21"/>
          <w:highlight w:val="none"/>
        </w:rPr>
        <w:t>日至202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06</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01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rPr>
        <w:t>，每天上午06:00至12:00，下午12：00至23:59（北京时间，法定节假日除外）</w:t>
      </w:r>
    </w:p>
    <w:p w14:paraId="4B90EE3D">
      <w:pPr>
        <w:pageBreakBefore w:val="0"/>
        <w:kinsoku/>
        <w:bidi w:val="0"/>
        <w:spacing w:line="360" w:lineRule="auto"/>
        <w:ind w:firstLine="5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2.地点：“政采云”平台（http://www.zcygov.cn）（操作路径：登录“政采云”平台-项目采购-获取采购文件 -找到本项目-点击“申请获取采购文件”）</w:t>
      </w:r>
    </w:p>
    <w:p w14:paraId="7CAA821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式：有意参加投标的供应商需要在政采云平台办理数字证书(CA)。完成数字证书(CA)办理后，供应商需要在政采云平台绑定数字证书(CA)，并在平台上获取采购文件和其他相关采购资料。注：CA办理链接：http://yzt.ynsmartcert.cn/cms/yztynzz.html或者https://middle.zcygov.cn/ca/apply/list?_app_=zcy.sys需要注意的是，如果供应商之前已经在云南CA在线数字证书办理网注册并办理了企业数字证书(CA)，则可以直接进行绑定，无需重复办理。此外，供应商在政采云平台办理的其他CA也可以直接使用，无需重复办理。如有问题可拨打政采云客户服务热线95763进行咨询，数字证书问题可咨询云南壹证通CA：0871-67276028(紧急可拨19988166369)。</w:t>
      </w:r>
    </w:p>
    <w:p w14:paraId="4972C208">
      <w:pPr>
        <w:pageBreakBefore w:val="0"/>
        <w:kinsoku/>
        <w:bidi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4.售价（元）：0</w:t>
      </w:r>
    </w:p>
    <w:bookmarkEnd w:id="65"/>
    <w:p w14:paraId="4C1F3A1E">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66" w:name="_Toc10858"/>
      <w:bookmarkStart w:id="67" w:name="_Toc6201"/>
      <w:bookmarkStart w:id="68" w:name="_Toc4572"/>
      <w:bookmarkStart w:id="69" w:name="_Toc22842"/>
      <w:bookmarkStart w:id="70" w:name="_Toc30632"/>
      <w:bookmarkStart w:id="71" w:name="_Toc22360"/>
      <w:bookmarkStart w:id="72" w:name="_Toc30531"/>
      <w:bookmarkStart w:id="73" w:name="_Toc7086"/>
      <w:bookmarkStart w:id="74" w:name="_Toc8808"/>
      <w:bookmarkStart w:id="75" w:name="_Toc25915"/>
      <w:bookmarkStart w:id="76" w:name="_Toc71734672"/>
      <w:bookmarkStart w:id="77" w:name="_Toc4157"/>
      <w:r>
        <w:rPr>
          <w:rFonts w:hint="eastAsia" w:ascii="仿宋" w:hAnsi="仿宋" w:eastAsia="仿宋" w:cs="仿宋"/>
          <w:b/>
          <w:color w:val="auto"/>
          <w:sz w:val="21"/>
          <w:szCs w:val="21"/>
          <w:highlight w:val="none"/>
        </w:rPr>
        <w:t>四、提交投标文件截止时间、开标时间和地点</w:t>
      </w:r>
      <w:bookmarkEnd w:id="66"/>
      <w:bookmarkEnd w:id="67"/>
      <w:bookmarkEnd w:id="68"/>
      <w:bookmarkEnd w:id="69"/>
      <w:bookmarkEnd w:id="70"/>
      <w:bookmarkEnd w:id="71"/>
      <w:bookmarkEnd w:id="72"/>
      <w:bookmarkEnd w:id="73"/>
      <w:bookmarkEnd w:id="74"/>
      <w:bookmarkEnd w:id="75"/>
      <w:bookmarkEnd w:id="76"/>
      <w:bookmarkEnd w:id="77"/>
    </w:p>
    <w:p w14:paraId="63B4369D">
      <w:pPr>
        <w:pageBreakBefore w:val="0"/>
        <w:kinsoku/>
        <w:bidi w:val="0"/>
        <w:spacing w:line="360" w:lineRule="auto"/>
        <w:ind w:firstLine="540"/>
        <w:rPr>
          <w:rFonts w:hint="eastAsia" w:ascii="仿宋" w:hAnsi="仿宋" w:eastAsia="仿宋" w:cs="仿宋"/>
          <w:color w:val="auto"/>
          <w:sz w:val="21"/>
          <w:szCs w:val="21"/>
          <w:highlight w:val="none"/>
        </w:rPr>
      </w:pPr>
      <w:bookmarkStart w:id="78" w:name="_Hlk56085616"/>
      <w:bookmarkStart w:id="79" w:name="_Hlk56085605"/>
      <w:bookmarkStart w:id="80" w:name="_Hlk57457194"/>
      <w:r>
        <w:rPr>
          <w:rFonts w:hint="eastAsia" w:ascii="仿宋" w:hAnsi="仿宋" w:eastAsia="仿宋" w:cs="仿宋"/>
          <w:color w:val="auto"/>
          <w:sz w:val="21"/>
          <w:szCs w:val="21"/>
          <w:highlight w:val="none"/>
        </w:rPr>
        <w:t>提交投标文件截止时间：</w:t>
      </w:r>
      <w:bookmarkEnd w:id="78"/>
      <w:r>
        <w:rPr>
          <w:rFonts w:hint="eastAsia" w:ascii="仿宋" w:hAnsi="仿宋" w:eastAsia="仿宋" w:cs="仿宋"/>
          <w:color w:val="auto"/>
          <w:sz w:val="21"/>
          <w:szCs w:val="21"/>
          <w:highlight w:val="none"/>
        </w:rPr>
        <w:t>2026年06月16日13：30分（北京时间）。</w:t>
      </w:r>
    </w:p>
    <w:p w14:paraId="4AD8E168">
      <w:pPr>
        <w:pageBreakBefore w:val="0"/>
        <w:kinsoku/>
        <w:bidi w:val="0"/>
        <w:spacing w:line="360" w:lineRule="auto"/>
        <w:ind w:firstLine="5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开标时间：同投标文件截止时间。</w:t>
      </w:r>
    </w:p>
    <w:p w14:paraId="0AE575EE">
      <w:pPr>
        <w:pageBreakBefore w:val="0"/>
        <w:kinsoku/>
        <w:bidi w:val="0"/>
        <w:spacing w:line="360" w:lineRule="auto"/>
        <w:ind w:firstLine="5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w:t>
      </w:r>
      <w:bookmarkEnd w:id="79"/>
      <w:r>
        <w:rPr>
          <w:rFonts w:hint="eastAsia" w:ascii="仿宋" w:hAnsi="仿宋" w:eastAsia="仿宋" w:cs="仿宋"/>
          <w:color w:val="auto"/>
          <w:sz w:val="21"/>
          <w:szCs w:val="21"/>
          <w:highlight w:val="none"/>
        </w:rPr>
        <w:t>政采云平台（http：//www.zcygov.cn）</w:t>
      </w:r>
    </w:p>
    <w:bookmarkEnd w:id="80"/>
    <w:p w14:paraId="3AC769F4">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81" w:name="_Toc1553"/>
      <w:bookmarkStart w:id="82" w:name="_Toc10097"/>
      <w:bookmarkStart w:id="83" w:name="_Toc9040"/>
      <w:bookmarkStart w:id="84" w:name="_Toc23483"/>
      <w:bookmarkStart w:id="85" w:name="_Toc21421"/>
      <w:bookmarkStart w:id="86" w:name="_Toc23966"/>
      <w:bookmarkStart w:id="87" w:name="_Toc4950"/>
      <w:bookmarkStart w:id="88" w:name="_Toc1286"/>
      <w:bookmarkStart w:id="89" w:name="_Toc71734673"/>
      <w:bookmarkStart w:id="90" w:name="_Toc12955"/>
      <w:bookmarkStart w:id="91" w:name="_Toc5403"/>
      <w:bookmarkStart w:id="92" w:name="_Toc27614"/>
      <w:r>
        <w:rPr>
          <w:rFonts w:hint="eastAsia" w:ascii="仿宋" w:hAnsi="仿宋" w:eastAsia="仿宋" w:cs="仿宋"/>
          <w:b/>
          <w:color w:val="auto"/>
          <w:sz w:val="21"/>
          <w:szCs w:val="21"/>
          <w:highlight w:val="none"/>
        </w:rPr>
        <w:t>五、公告期限</w:t>
      </w:r>
      <w:bookmarkEnd w:id="81"/>
      <w:bookmarkEnd w:id="82"/>
      <w:bookmarkEnd w:id="83"/>
      <w:bookmarkEnd w:id="84"/>
      <w:bookmarkEnd w:id="85"/>
      <w:bookmarkEnd w:id="86"/>
      <w:bookmarkEnd w:id="87"/>
      <w:bookmarkEnd w:id="88"/>
      <w:bookmarkEnd w:id="89"/>
      <w:bookmarkEnd w:id="90"/>
      <w:bookmarkEnd w:id="91"/>
      <w:bookmarkEnd w:id="92"/>
    </w:p>
    <w:p w14:paraId="657621CE">
      <w:pPr>
        <w:pageBreakBefore w:val="0"/>
        <w:kinsoku/>
        <w:bidi w:val="0"/>
        <w:spacing w:line="360" w:lineRule="auto"/>
        <w:ind w:firstLine="420" w:firstLineChars="200"/>
        <w:rPr>
          <w:rFonts w:hint="eastAsia" w:ascii="仿宋" w:hAnsi="仿宋" w:eastAsia="仿宋" w:cs="仿宋"/>
          <w:color w:val="auto"/>
          <w:sz w:val="21"/>
          <w:szCs w:val="21"/>
          <w:highlight w:val="none"/>
        </w:rPr>
      </w:pPr>
      <w:bookmarkStart w:id="93" w:name="_Hlk57457200"/>
      <w:r>
        <w:rPr>
          <w:rFonts w:hint="eastAsia" w:ascii="仿宋" w:hAnsi="仿宋" w:eastAsia="仿宋" w:cs="仿宋"/>
          <w:color w:val="auto"/>
          <w:sz w:val="21"/>
          <w:szCs w:val="21"/>
          <w:highlight w:val="none"/>
        </w:rPr>
        <w:t>自本公告发布之日起5个工作日。</w:t>
      </w:r>
    </w:p>
    <w:bookmarkEnd w:id="93"/>
    <w:p w14:paraId="749C5385">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bookmarkStart w:id="94" w:name="_Toc840"/>
      <w:bookmarkStart w:id="95" w:name="_Toc71734674"/>
      <w:bookmarkStart w:id="96" w:name="_Toc3467"/>
      <w:bookmarkStart w:id="97" w:name="_Toc8798"/>
      <w:bookmarkStart w:id="98" w:name="_Toc21740"/>
      <w:bookmarkStart w:id="99" w:name="_Toc29963"/>
      <w:bookmarkStart w:id="100" w:name="_Toc7385"/>
      <w:bookmarkStart w:id="101" w:name="_Toc30819"/>
      <w:bookmarkStart w:id="102" w:name="_Toc27134"/>
      <w:bookmarkStart w:id="103" w:name="_Toc26039"/>
      <w:bookmarkStart w:id="104" w:name="_Toc7748"/>
      <w:bookmarkStart w:id="105" w:name="_Toc3261"/>
      <w:r>
        <w:rPr>
          <w:rFonts w:hint="eastAsia" w:ascii="仿宋" w:hAnsi="仿宋" w:eastAsia="仿宋" w:cs="仿宋"/>
          <w:b/>
          <w:color w:val="auto"/>
          <w:sz w:val="21"/>
          <w:szCs w:val="21"/>
          <w:highlight w:val="none"/>
        </w:rPr>
        <w:t>六、其他补充事宜</w:t>
      </w:r>
      <w:bookmarkEnd w:id="94"/>
      <w:bookmarkEnd w:id="95"/>
      <w:bookmarkEnd w:id="96"/>
      <w:bookmarkEnd w:id="97"/>
      <w:bookmarkEnd w:id="98"/>
      <w:bookmarkEnd w:id="99"/>
      <w:bookmarkEnd w:id="100"/>
      <w:bookmarkEnd w:id="101"/>
      <w:bookmarkEnd w:id="102"/>
      <w:bookmarkEnd w:id="103"/>
      <w:bookmarkEnd w:id="104"/>
      <w:bookmarkEnd w:id="105"/>
    </w:p>
    <w:p w14:paraId="1795895D">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bookmarkStart w:id="106" w:name="_Hlk57457223"/>
      <w:bookmarkStart w:id="107" w:name="_Toc32208"/>
      <w:bookmarkStart w:id="108" w:name="_Toc71734675"/>
      <w:bookmarkStart w:id="109" w:name="_Toc30057"/>
      <w:bookmarkStart w:id="110" w:name="_Toc20580"/>
      <w:bookmarkStart w:id="111" w:name="_Toc25923"/>
      <w:bookmarkStart w:id="112" w:name="_Toc29191"/>
      <w:bookmarkStart w:id="113" w:name="_Toc13587"/>
      <w:bookmarkStart w:id="114" w:name="_Toc28410"/>
      <w:bookmarkStart w:id="115" w:name="_Toc15386"/>
      <w:bookmarkStart w:id="116" w:name="_Toc7697"/>
      <w:bookmarkStart w:id="117" w:name="_Toc31780"/>
      <w:r>
        <w:rPr>
          <w:rFonts w:hint="eastAsia" w:ascii="仿宋" w:hAnsi="仿宋" w:eastAsia="仿宋" w:cs="仿宋"/>
          <w:bCs/>
          <w:sz w:val="21"/>
          <w:szCs w:val="21"/>
          <w:highlight w:val="none"/>
        </w:rPr>
        <w:t>开标方式：网上开标</w:t>
      </w:r>
    </w:p>
    <w:p w14:paraId="36DD79F2">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是否需要缴纳投标保证金：是</w:t>
      </w:r>
    </w:p>
    <w:p w14:paraId="73031584">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保证金金额：</w:t>
      </w:r>
      <w:r>
        <w:rPr>
          <w:rFonts w:hint="eastAsia" w:ascii="仿宋" w:hAnsi="仿宋" w:eastAsia="仿宋" w:cs="仿宋"/>
          <w:bCs/>
          <w:sz w:val="21"/>
          <w:szCs w:val="21"/>
          <w:highlight w:val="none"/>
          <w:lang w:val="en-US" w:eastAsia="zh-CN"/>
        </w:rPr>
        <w:t>1标段</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¥60000.00</w:t>
      </w:r>
      <w:r>
        <w:rPr>
          <w:rFonts w:hint="eastAsia" w:ascii="仿宋" w:hAnsi="仿宋" w:eastAsia="仿宋" w:cs="仿宋"/>
          <w:bCs/>
          <w:sz w:val="21"/>
          <w:szCs w:val="21"/>
          <w:highlight w:val="none"/>
        </w:rPr>
        <w:t>元（</w:t>
      </w:r>
      <w:r>
        <w:rPr>
          <w:rFonts w:hint="eastAsia" w:ascii="仿宋" w:hAnsi="仿宋" w:eastAsia="仿宋" w:cs="仿宋"/>
          <w:bCs/>
          <w:sz w:val="21"/>
          <w:szCs w:val="21"/>
          <w:highlight w:val="none"/>
          <w:lang w:val="en-US" w:eastAsia="zh-CN"/>
        </w:rPr>
        <w:t>大写：人民币陆万元整</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2标段</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¥30000.00</w:t>
      </w:r>
      <w:r>
        <w:rPr>
          <w:rFonts w:hint="eastAsia" w:ascii="仿宋" w:hAnsi="仿宋" w:eastAsia="仿宋" w:cs="仿宋"/>
          <w:bCs/>
          <w:sz w:val="21"/>
          <w:szCs w:val="21"/>
          <w:highlight w:val="none"/>
        </w:rPr>
        <w:t>元（</w:t>
      </w:r>
      <w:r>
        <w:rPr>
          <w:rFonts w:hint="eastAsia" w:ascii="仿宋" w:hAnsi="仿宋" w:eastAsia="仿宋" w:cs="仿宋"/>
          <w:bCs/>
          <w:sz w:val="21"/>
          <w:szCs w:val="21"/>
          <w:highlight w:val="none"/>
          <w:lang w:val="en-US" w:eastAsia="zh-CN"/>
        </w:rPr>
        <w:t>大写：人民币叁万元整</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eastAsia="zh-CN"/>
        </w:rPr>
        <w:t>。</w:t>
      </w:r>
    </w:p>
    <w:p w14:paraId="6A153D02">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保证金缴纳方式：支票、汇票、本票、保函、电汇、转账、现金支票、银行汇票或者金融机构、担保机构出具的保函等非现金形式</w:t>
      </w:r>
      <w:r>
        <w:rPr>
          <w:rFonts w:hint="eastAsia" w:ascii="仿宋" w:hAnsi="仿宋" w:eastAsia="仿宋" w:cs="仿宋"/>
          <w:bCs/>
          <w:sz w:val="21"/>
          <w:szCs w:val="21"/>
          <w:highlight w:val="none"/>
          <w:lang w:eastAsia="zh-CN"/>
        </w:rPr>
        <w:t>。</w:t>
      </w:r>
    </w:p>
    <w:p w14:paraId="7F92C7A7">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rPr>
        <w:t xml:space="preserve">    保证金缴纳截止时间：2026年06月16日13：30分（北京时间）</w:t>
      </w:r>
    </w:p>
    <w:p w14:paraId="63B8C3B3">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其他：1.本次采购公告在“云南省政府采购网”上发布。请各位</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在递交投标（响应）文件前随时查看，以获取最新的消息。</w:t>
      </w:r>
    </w:p>
    <w:p w14:paraId="58AE3311">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2.本次项目采用全流程电子化采购方式，各</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认真学习云南省政府采购电子交易平台（政采云）发布的相关操作手册。操作手册查询链接：https://helpcenter.zcygov.cn/document/#/document/dashboard?siteCode=yunnan。如有疑问联系95763。（1）</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注册。</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须在云南省政府采购电子交易平台注册后，方可参与项目。操作路径：云南省政府采购电子交易平台-业务支持-用户注册-</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模块。（2）CA数字证书办理。</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须办理有效CA数字证书。申领链接：https://middle.zcygov.cn/ca/apply/choose。（3）CA数字证书绑定。</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进行CA绑定。操作路径：云南省政府采购电子交易平台-我的工作台-系统管理-ca管理-ca绑定。（4）采购文件获取。</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须下载投标（响应）客户端，通过客户端编制投标（响应）文件，并线上递交。投标客户端下载路径：https://market.zcygov.cn/application-market/#/download/list（6）开评标。</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须在项目指定的开标时间前，提前登录政府采购电子交易平台，并在规定时间内完成解密，如</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 xml:space="preserve">因自身原因，无法在规定时间内解密的，自行承担后果（如：设备故障、浏览器故障、未安装相关驱动、网络故障、加密CA与解密CA不一致等）。操作路径：云南省政府采购电子交易平台-我的工作台-项目采购-开标评标-进入开标大厅。 </w:t>
      </w:r>
    </w:p>
    <w:p w14:paraId="0DEDFDA6">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lang w:val="en-US" w:eastAsia="zh-CN"/>
        </w:rPr>
        <w:t>3</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 xml:space="preserve">在投标前务必认真阅读本招标文件全部内容，招标文件如有变更、补充等，将在招标公告发布平台发布。 </w:t>
      </w:r>
    </w:p>
    <w:p w14:paraId="32C9E0C8">
      <w:pPr>
        <w:keepNext w:val="0"/>
        <w:keepLines w:val="0"/>
        <w:pageBreakBefore w:val="0"/>
        <w:widowControl w:val="0"/>
        <w:tabs>
          <w:tab w:val="left" w:pos="840"/>
        </w:tabs>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bCs/>
          <w:spacing w:val="10"/>
          <w:sz w:val="21"/>
          <w:szCs w:val="21"/>
          <w:highlight w:val="none"/>
        </w:rPr>
      </w:pPr>
      <w:r>
        <w:rPr>
          <w:rFonts w:hint="eastAsia" w:ascii="仿宋" w:hAnsi="仿宋" w:eastAsia="仿宋" w:cs="仿宋"/>
          <w:bCs/>
          <w:sz w:val="21"/>
          <w:szCs w:val="21"/>
          <w:highlight w:val="none"/>
          <w:lang w:val="en-US" w:eastAsia="zh-CN"/>
        </w:rPr>
        <w:t>4</w:t>
      </w:r>
      <w:r>
        <w:rPr>
          <w:rFonts w:hint="eastAsia" w:ascii="仿宋" w:hAnsi="仿宋" w:eastAsia="仿宋" w:cs="仿宋"/>
          <w:bCs/>
          <w:sz w:val="21"/>
          <w:szCs w:val="21"/>
          <w:highlight w:val="none"/>
        </w:rPr>
        <w:t>.未尽事宜，详见本项目招标文件。</w:t>
      </w:r>
    </w:p>
    <w:bookmarkEnd w:id="106"/>
    <w:p w14:paraId="33856708">
      <w:pPr>
        <w:keepNext/>
        <w:keepLines/>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七、对本次招标提出询问，请按以下方式联系</w:t>
      </w:r>
      <w:bookmarkEnd w:id="107"/>
      <w:bookmarkEnd w:id="108"/>
      <w:bookmarkEnd w:id="109"/>
      <w:bookmarkEnd w:id="110"/>
      <w:bookmarkEnd w:id="111"/>
      <w:bookmarkEnd w:id="112"/>
      <w:bookmarkEnd w:id="113"/>
      <w:bookmarkEnd w:id="114"/>
      <w:bookmarkEnd w:id="115"/>
      <w:bookmarkEnd w:id="116"/>
      <w:bookmarkEnd w:id="117"/>
    </w:p>
    <w:p w14:paraId="0A8C5755">
      <w:pPr>
        <w:pageBreakBefore w:val="0"/>
        <w:kinsoku/>
        <w:overflowPunct/>
        <w:topLinePunct w:val="0"/>
        <w:bidi w:val="0"/>
        <w:spacing w:line="360" w:lineRule="auto"/>
        <w:ind w:firstLine="230" w:firstLineChars="100"/>
        <w:rPr>
          <w:rFonts w:hint="eastAsia" w:ascii="仿宋" w:hAnsi="仿宋" w:eastAsia="仿宋" w:cs="仿宋"/>
          <w:bCs/>
          <w:color w:val="auto"/>
          <w:spacing w:val="10"/>
          <w:sz w:val="21"/>
          <w:szCs w:val="21"/>
          <w:highlight w:val="none"/>
        </w:rPr>
      </w:pPr>
      <w:r>
        <w:rPr>
          <w:rFonts w:hint="eastAsia" w:ascii="仿宋" w:hAnsi="仿宋" w:eastAsia="仿宋" w:cs="仿宋"/>
          <w:bCs/>
          <w:color w:val="auto"/>
          <w:spacing w:val="10"/>
          <w:sz w:val="21"/>
          <w:szCs w:val="21"/>
          <w:highlight w:val="none"/>
        </w:rPr>
        <w:t>1.采购人信息</w:t>
      </w:r>
    </w:p>
    <w:p w14:paraId="3B848D1E">
      <w:pPr>
        <w:pageBreakBefore w:val="0"/>
        <w:kinsoku/>
        <w:overflowPunct/>
        <w:topLinePunct w:val="0"/>
        <w:bidi w:val="0"/>
        <w:spacing w:line="360" w:lineRule="auto"/>
        <w:ind w:firstLine="411" w:firstLineChars="19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名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称：昆明市第一人民医院</w:t>
      </w:r>
    </w:p>
    <w:p w14:paraId="501F20E5">
      <w:pPr>
        <w:pageBreakBefore w:val="0"/>
        <w:kinsoku/>
        <w:overflowPunct/>
        <w:topLinePunct w:val="0"/>
        <w:bidi w:val="0"/>
        <w:spacing w:line="360" w:lineRule="auto"/>
        <w:ind w:firstLine="411" w:firstLineChars="196"/>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lang w:val="en-US" w:eastAsia="zh-CN"/>
        </w:rPr>
        <w:t>昆明市青年路504号 北京路1228号</w:t>
      </w:r>
    </w:p>
    <w:p w14:paraId="51584B64">
      <w:pPr>
        <w:pageBreakBefore w:val="0"/>
        <w:kinsoku/>
        <w:overflowPunct/>
        <w:topLinePunct w:val="0"/>
        <w:bidi w:val="0"/>
        <w:spacing w:line="360" w:lineRule="auto"/>
        <w:ind w:firstLine="411" w:firstLineChars="196"/>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联系人：梁老师   </w:t>
      </w:r>
    </w:p>
    <w:p w14:paraId="5A278838">
      <w:pPr>
        <w:pageBreakBefore w:val="0"/>
        <w:kinsoku/>
        <w:overflowPunct/>
        <w:topLinePunct w:val="0"/>
        <w:bidi w:val="0"/>
        <w:spacing w:line="360" w:lineRule="auto"/>
        <w:ind w:firstLine="411" w:firstLineChars="196"/>
        <w:rPr>
          <w:rFonts w:hint="eastAsia" w:ascii="仿宋" w:hAnsi="仿宋" w:eastAsia="仿宋" w:cs="仿宋"/>
          <w:bCs/>
          <w:color w:val="auto"/>
          <w:spacing w:val="10"/>
          <w:sz w:val="21"/>
          <w:szCs w:val="21"/>
          <w:highlight w:val="none"/>
          <w:lang w:val="en-US" w:eastAsia="zh-CN"/>
        </w:rPr>
      </w:pPr>
      <w:r>
        <w:rPr>
          <w:rFonts w:hint="eastAsia" w:ascii="仿宋" w:hAnsi="仿宋" w:eastAsia="仿宋" w:cs="仿宋"/>
          <w:color w:val="auto"/>
          <w:sz w:val="21"/>
          <w:szCs w:val="21"/>
          <w:highlight w:val="none"/>
        </w:rPr>
        <w:t>联系电话：0871-67390661</w:t>
      </w:r>
    </w:p>
    <w:p w14:paraId="3118E5D8">
      <w:pPr>
        <w:pageBreakBefore w:val="0"/>
        <w:kinsoku/>
        <w:overflowPunct/>
        <w:topLinePunct w:val="0"/>
        <w:bidi w:val="0"/>
        <w:spacing w:line="360" w:lineRule="auto"/>
        <w:ind w:firstLine="411" w:firstLineChars="196"/>
        <w:rPr>
          <w:rFonts w:hint="eastAsia" w:ascii="仿宋" w:hAnsi="仿宋" w:eastAsia="仿宋" w:cs="仿宋"/>
          <w:color w:val="auto"/>
          <w:sz w:val="21"/>
          <w:szCs w:val="21"/>
          <w:highlight w:val="none"/>
        </w:rPr>
      </w:pPr>
    </w:p>
    <w:p w14:paraId="0FC774F7">
      <w:pPr>
        <w:pageBreakBefore w:val="0"/>
        <w:kinsoku/>
        <w:overflowPunct/>
        <w:topLinePunct w:val="0"/>
        <w:bidi w:val="0"/>
        <w:spacing w:line="360" w:lineRule="auto"/>
        <w:ind w:firstLine="210" w:firstLine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w:t>
      </w:r>
    </w:p>
    <w:p w14:paraId="11FDB126">
      <w:pPr>
        <w:pageBreakBefore w:val="0"/>
        <w:kinsoku/>
        <w:overflowPunct/>
        <w:topLinePunct w:val="0"/>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名 称：云南中招招标有限公司 </w:t>
      </w:r>
    </w:p>
    <w:p w14:paraId="5D3C4D3A">
      <w:pPr>
        <w:pageBreakBefore w:val="0"/>
        <w:kinsoku/>
        <w:overflowPunct/>
        <w:topLinePunct w:val="0"/>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址：昆明市五华区王筇路176号绿地创海大厦21层</w:t>
      </w:r>
    </w:p>
    <w:p w14:paraId="0D5EFFAC">
      <w:pPr>
        <w:pageBreakBefore w:val="0"/>
        <w:kinsoku/>
        <w:overflowPunct/>
        <w:topLinePunct w:val="0"/>
        <w:bidi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联系方式：0871-68308282、68308030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683080</w:t>
      </w:r>
      <w:r>
        <w:rPr>
          <w:rFonts w:hint="eastAsia" w:ascii="仿宋" w:hAnsi="仿宋" w:eastAsia="仿宋" w:cs="仿宋"/>
          <w:color w:val="auto"/>
          <w:sz w:val="21"/>
          <w:szCs w:val="21"/>
          <w:highlight w:val="none"/>
          <w:lang w:val="en-US" w:eastAsia="zh-CN"/>
        </w:rPr>
        <w:t>50</w:t>
      </w:r>
    </w:p>
    <w:p w14:paraId="43EAA093">
      <w:pPr>
        <w:pageBreakBefore w:val="0"/>
        <w:kinsoku/>
        <w:overflowPunct/>
        <w:topLinePunct w:val="0"/>
        <w:bidi w:val="0"/>
        <w:spacing w:line="360" w:lineRule="auto"/>
        <w:ind w:firstLine="230" w:firstLineChars="100"/>
        <w:rPr>
          <w:rFonts w:hint="eastAsia" w:ascii="仿宋" w:hAnsi="仿宋" w:eastAsia="仿宋" w:cs="仿宋"/>
          <w:bCs/>
          <w:color w:val="auto"/>
          <w:spacing w:val="10"/>
          <w:sz w:val="21"/>
          <w:szCs w:val="21"/>
          <w:highlight w:val="none"/>
        </w:rPr>
      </w:pPr>
    </w:p>
    <w:p w14:paraId="0F5F365E">
      <w:pPr>
        <w:pageBreakBefore w:val="0"/>
        <w:kinsoku/>
        <w:overflowPunct/>
        <w:topLinePunct w:val="0"/>
        <w:bidi w:val="0"/>
        <w:spacing w:line="360" w:lineRule="auto"/>
        <w:ind w:firstLine="230" w:firstLineChars="100"/>
        <w:rPr>
          <w:rFonts w:hint="eastAsia" w:ascii="仿宋" w:hAnsi="仿宋" w:eastAsia="仿宋" w:cs="仿宋"/>
          <w:bCs/>
          <w:color w:val="auto"/>
          <w:spacing w:val="10"/>
          <w:sz w:val="21"/>
          <w:szCs w:val="21"/>
          <w:highlight w:val="none"/>
        </w:rPr>
      </w:pPr>
      <w:r>
        <w:rPr>
          <w:rFonts w:hint="eastAsia" w:ascii="仿宋" w:hAnsi="仿宋" w:eastAsia="仿宋" w:cs="仿宋"/>
          <w:bCs/>
          <w:color w:val="auto"/>
          <w:spacing w:val="10"/>
          <w:sz w:val="21"/>
          <w:szCs w:val="21"/>
          <w:highlight w:val="none"/>
        </w:rPr>
        <w:t>3.项目联系方式</w:t>
      </w:r>
    </w:p>
    <w:p w14:paraId="30B603EB">
      <w:pPr>
        <w:pageBreakBefore w:val="0"/>
        <w:kinsoku/>
        <w:overflowPunct/>
        <w:topLinePunct w:val="0"/>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项目联系人：周金辉、</w:t>
      </w:r>
      <w:r>
        <w:rPr>
          <w:rFonts w:hint="eastAsia" w:ascii="仿宋" w:hAnsi="仿宋" w:eastAsia="仿宋" w:cs="仿宋"/>
          <w:color w:val="auto"/>
          <w:sz w:val="21"/>
          <w:szCs w:val="21"/>
          <w:highlight w:val="none"/>
          <w:lang w:val="en-US" w:eastAsia="zh-CN"/>
        </w:rPr>
        <w:t>李宇姮</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王石林、</w:t>
      </w:r>
      <w:r>
        <w:rPr>
          <w:rFonts w:hint="eastAsia" w:ascii="仿宋" w:hAnsi="仿宋" w:eastAsia="仿宋" w:cs="仿宋"/>
          <w:color w:val="auto"/>
          <w:sz w:val="21"/>
          <w:szCs w:val="21"/>
          <w:highlight w:val="none"/>
        </w:rPr>
        <w:t>张俊、张广闻、果磊、张雪丽</w:t>
      </w:r>
    </w:p>
    <w:p w14:paraId="6A7071AB">
      <w:pPr>
        <w:pageBreakBefore w:val="0"/>
        <w:kinsoku/>
        <w:overflowPunct/>
        <w:topLinePunct w:val="0"/>
        <w:bidi w:val="0"/>
        <w:spacing w:line="360" w:lineRule="auto"/>
        <w:ind w:firstLine="42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1"/>
          <w:szCs w:val="21"/>
          <w:highlight w:val="none"/>
        </w:rPr>
        <w:t>电      话：0871-68308282、68308030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683080</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-63</w:t>
      </w:r>
      <w:r>
        <w:rPr>
          <w:rFonts w:hint="eastAsia" w:ascii="仿宋" w:hAnsi="仿宋" w:eastAsia="仿宋" w:cs="仿宋"/>
          <w:color w:val="auto"/>
          <w:sz w:val="21"/>
          <w:szCs w:val="21"/>
          <w:highlight w:val="none"/>
          <w:lang w:val="en-US" w:eastAsia="zh-CN"/>
        </w:rPr>
        <w:t>3</w:t>
      </w:r>
    </w:p>
    <w:bookmarkEnd w:id="19"/>
    <w:bookmarkEnd w:id="20"/>
    <w:p w14:paraId="109E9390">
      <w:pPr>
        <w:pStyle w:val="2"/>
        <w:pageBreakBefore w:val="0"/>
        <w:kinsoku/>
        <w:bidi w:val="0"/>
        <w:spacing w:line="360" w:lineRule="auto"/>
        <w:jc w:val="center"/>
        <w:rPr>
          <w:rFonts w:hint="eastAsia" w:ascii="仿宋" w:hAnsi="仿宋" w:eastAsia="仿宋" w:cs="仿宋"/>
          <w:color w:val="auto"/>
          <w:highlight w:val="none"/>
        </w:rPr>
      </w:pPr>
      <w:bookmarkStart w:id="118" w:name="_Toc6791"/>
      <w:bookmarkStart w:id="119" w:name="_Toc21775"/>
      <w:bookmarkStart w:id="120" w:name="_Toc7536"/>
      <w:bookmarkStart w:id="121" w:name="_Toc20319"/>
      <w:bookmarkStart w:id="122" w:name="_Toc71734676"/>
      <w:bookmarkStart w:id="123" w:name="_Toc20708"/>
      <w:bookmarkStart w:id="124" w:name="_Toc12004"/>
      <w:r>
        <w:rPr>
          <w:rFonts w:hint="eastAsia" w:ascii="仿宋" w:hAnsi="仿宋" w:eastAsia="仿宋" w:cs="仿宋"/>
          <w:color w:val="auto"/>
          <w:highlight w:val="none"/>
        </w:rPr>
        <w:br w:type="page"/>
      </w:r>
      <w:bookmarkStart w:id="125" w:name="_Toc8650"/>
      <w:r>
        <w:rPr>
          <w:rFonts w:hint="eastAsia" w:ascii="仿宋" w:hAnsi="仿宋" w:eastAsia="仿宋" w:cs="仿宋"/>
          <w:color w:val="auto"/>
          <w:highlight w:val="none"/>
        </w:rPr>
        <w:t xml:space="preserve">第二章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须知</w:t>
      </w:r>
      <w:bookmarkEnd w:id="118"/>
      <w:bookmarkEnd w:id="119"/>
      <w:bookmarkEnd w:id="120"/>
      <w:bookmarkEnd w:id="121"/>
      <w:bookmarkEnd w:id="122"/>
      <w:bookmarkEnd w:id="123"/>
      <w:bookmarkEnd w:id="124"/>
      <w:bookmarkEnd w:id="125"/>
    </w:p>
    <w:p w14:paraId="02A5A87C">
      <w:pPr>
        <w:pStyle w:val="3"/>
        <w:pageBreakBefore w:val="0"/>
        <w:kinsoku/>
        <w:bidi w:val="0"/>
        <w:spacing w:after="0" w:line="360" w:lineRule="auto"/>
        <w:jc w:val="center"/>
        <w:rPr>
          <w:rFonts w:hint="eastAsia" w:ascii="仿宋" w:hAnsi="仿宋" w:eastAsia="仿宋" w:cs="仿宋"/>
          <w:color w:val="auto"/>
          <w:sz w:val="28"/>
          <w:szCs w:val="28"/>
          <w:highlight w:val="none"/>
        </w:rPr>
      </w:pPr>
      <w:bookmarkStart w:id="126" w:name="_Toc17336"/>
      <w:bookmarkStart w:id="127" w:name="_Toc10643"/>
      <w:bookmarkStart w:id="128" w:name="_Toc27760"/>
      <w:bookmarkStart w:id="129" w:name="_Toc32641"/>
      <w:bookmarkStart w:id="130" w:name="_Toc71734677"/>
      <w:bookmarkStart w:id="131" w:name="_Toc20239"/>
      <w:bookmarkStart w:id="132" w:name="_Toc496"/>
      <w:bookmarkStart w:id="133" w:name="_Toc23697"/>
      <w:bookmarkStart w:id="134" w:name="_Toc12392"/>
      <w:bookmarkStart w:id="135" w:name="_Toc21350"/>
      <w:bookmarkStart w:id="136" w:name="_Toc9674"/>
      <w:bookmarkStart w:id="137" w:name="_Toc2434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须知前附表</w:t>
      </w:r>
      <w:bookmarkEnd w:id="126"/>
      <w:bookmarkEnd w:id="127"/>
      <w:bookmarkEnd w:id="128"/>
      <w:bookmarkEnd w:id="129"/>
      <w:bookmarkEnd w:id="130"/>
      <w:bookmarkEnd w:id="131"/>
      <w:bookmarkEnd w:id="132"/>
      <w:bookmarkEnd w:id="133"/>
      <w:bookmarkEnd w:id="134"/>
      <w:bookmarkEnd w:id="135"/>
      <w:bookmarkEnd w:id="136"/>
      <w:bookmarkEnd w:id="13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523"/>
        <w:gridCol w:w="7392"/>
      </w:tblGrid>
      <w:tr w14:paraId="5BD5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CEE643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1523" w:type="dxa"/>
            <w:noWrap w:val="0"/>
            <w:vAlign w:val="center"/>
          </w:tcPr>
          <w:p w14:paraId="7F973744">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条款内容</w:t>
            </w:r>
          </w:p>
        </w:tc>
        <w:tc>
          <w:tcPr>
            <w:tcW w:w="7392" w:type="dxa"/>
            <w:noWrap w:val="0"/>
            <w:vAlign w:val="center"/>
          </w:tcPr>
          <w:p w14:paraId="5855C6C5">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14:paraId="2D44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387F4AC1">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w:t>
            </w:r>
          </w:p>
        </w:tc>
        <w:tc>
          <w:tcPr>
            <w:tcW w:w="1523" w:type="dxa"/>
            <w:noWrap w:val="0"/>
            <w:vAlign w:val="center"/>
          </w:tcPr>
          <w:p w14:paraId="4F014342">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7392" w:type="dxa"/>
            <w:noWrap w:val="0"/>
            <w:vAlign w:val="center"/>
          </w:tcPr>
          <w:p w14:paraId="35A7EF89">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昆明市第一人民医院设备更新项目-超声类设备（二）</w:t>
            </w:r>
          </w:p>
        </w:tc>
      </w:tr>
      <w:tr w14:paraId="6AF0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31E518E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w:t>
            </w:r>
          </w:p>
        </w:tc>
        <w:tc>
          <w:tcPr>
            <w:tcW w:w="1523" w:type="dxa"/>
            <w:noWrap w:val="0"/>
            <w:vAlign w:val="center"/>
          </w:tcPr>
          <w:p w14:paraId="0B58BA7A">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p>
        </w:tc>
        <w:tc>
          <w:tcPr>
            <w:tcW w:w="7392" w:type="dxa"/>
            <w:noWrap w:val="0"/>
            <w:vAlign w:val="center"/>
          </w:tcPr>
          <w:p w14:paraId="01EB8206">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KMZC2026-G1-00957-YNZZ-0074/YNZZ202605-112</w:t>
            </w:r>
          </w:p>
        </w:tc>
      </w:tr>
      <w:tr w14:paraId="33D4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D9F2282">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w:t>
            </w:r>
          </w:p>
        </w:tc>
        <w:tc>
          <w:tcPr>
            <w:tcW w:w="1523" w:type="dxa"/>
            <w:noWrap w:val="0"/>
            <w:vAlign w:val="center"/>
          </w:tcPr>
          <w:p w14:paraId="5BB6FA4E">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p>
        </w:tc>
        <w:tc>
          <w:tcPr>
            <w:tcW w:w="7392" w:type="dxa"/>
            <w:noWrap w:val="0"/>
            <w:vAlign w:val="center"/>
          </w:tcPr>
          <w:p w14:paraId="551FACFF">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昆明市第一人民医院</w:t>
            </w:r>
          </w:p>
          <w:p w14:paraId="16E9B2F4">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lang w:val="en-US" w:eastAsia="zh-CN"/>
              </w:rPr>
              <w:t>昆明市青年路504号 北京路1228号</w:t>
            </w:r>
          </w:p>
          <w:p w14:paraId="5ECB98AA">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联系人：梁老师   </w:t>
            </w:r>
          </w:p>
          <w:p w14:paraId="067F4329">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联系电话：0871-67390661</w:t>
            </w:r>
          </w:p>
        </w:tc>
      </w:tr>
      <w:tr w14:paraId="7C80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7AAC923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w:t>
            </w:r>
          </w:p>
        </w:tc>
        <w:tc>
          <w:tcPr>
            <w:tcW w:w="1523" w:type="dxa"/>
            <w:noWrap w:val="0"/>
            <w:vAlign w:val="center"/>
          </w:tcPr>
          <w:p w14:paraId="6FA631EB">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w:t>
            </w:r>
          </w:p>
        </w:tc>
        <w:tc>
          <w:tcPr>
            <w:tcW w:w="7392" w:type="dxa"/>
            <w:noWrap w:val="0"/>
            <w:vAlign w:val="center"/>
          </w:tcPr>
          <w:p w14:paraId="23D3B63D">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名称：云南中招招标有限公司 </w:t>
            </w:r>
          </w:p>
          <w:p w14:paraId="09AF76B6">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地址：昆明市五华区王筇路176号绿地创海大厦21层</w:t>
            </w:r>
          </w:p>
          <w:p w14:paraId="2E7BBE3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联系方式：0871-68308282、68308030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683080</w:t>
            </w:r>
            <w:r>
              <w:rPr>
                <w:rFonts w:hint="eastAsia" w:ascii="仿宋" w:hAnsi="仿宋" w:eastAsia="仿宋" w:cs="仿宋"/>
                <w:color w:val="auto"/>
                <w:sz w:val="21"/>
                <w:szCs w:val="21"/>
                <w:highlight w:val="none"/>
                <w:lang w:val="en-US" w:eastAsia="zh-CN"/>
              </w:rPr>
              <w:t>50</w:t>
            </w:r>
          </w:p>
          <w:p w14:paraId="4EE631F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项目联系人：周金辉、李宇姮、王石林、张俊、张广闻、果磊、张雪丽</w:t>
            </w:r>
          </w:p>
          <w:p w14:paraId="57FFD97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电话：0871-68308282、68308030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683080</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-63</w:t>
            </w:r>
            <w:r>
              <w:rPr>
                <w:rFonts w:hint="eastAsia" w:ascii="仿宋" w:hAnsi="仿宋" w:eastAsia="仿宋" w:cs="仿宋"/>
                <w:color w:val="auto"/>
                <w:sz w:val="21"/>
                <w:szCs w:val="21"/>
                <w:highlight w:val="none"/>
                <w:lang w:val="en-US" w:eastAsia="zh-CN"/>
              </w:rPr>
              <w:t>3</w:t>
            </w:r>
          </w:p>
        </w:tc>
      </w:tr>
      <w:tr w14:paraId="24C4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71C46DC">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1.1.5</w:t>
            </w:r>
          </w:p>
        </w:tc>
        <w:tc>
          <w:tcPr>
            <w:tcW w:w="1523" w:type="dxa"/>
            <w:noWrap w:val="0"/>
            <w:vAlign w:val="center"/>
          </w:tcPr>
          <w:p w14:paraId="33F1C79E">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7392" w:type="dxa"/>
            <w:noWrap w:val="0"/>
            <w:vAlign w:val="center"/>
          </w:tcPr>
          <w:p w14:paraId="169D26AB">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详见招标文件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第六章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采购需求及要求</w:t>
            </w:r>
            <w:r>
              <w:rPr>
                <w:rFonts w:hint="eastAsia" w:ascii="仿宋" w:hAnsi="仿宋" w:eastAsia="仿宋" w:cs="仿宋"/>
                <w:color w:val="auto"/>
                <w:sz w:val="21"/>
                <w:szCs w:val="21"/>
                <w:highlight w:val="none"/>
                <w:lang w:eastAsia="zh-CN"/>
              </w:rPr>
              <w:t>”。</w:t>
            </w:r>
          </w:p>
        </w:tc>
      </w:tr>
      <w:tr w14:paraId="2194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3B3D56B4">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w:t>
            </w:r>
          </w:p>
        </w:tc>
        <w:tc>
          <w:tcPr>
            <w:tcW w:w="1523" w:type="dxa"/>
            <w:noWrap w:val="0"/>
            <w:vAlign w:val="center"/>
          </w:tcPr>
          <w:p w14:paraId="56938EAC">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合同履行期限</w:t>
            </w:r>
          </w:p>
        </w:tc>
        <w:tc>
          <w:tcPr>
            <w:tcW w:w="7392" w:type="dxa"/>
            <w:noWrap w:val="0"/>
            <w:vAlign w:val="center"/>
          </w:tcPr>
          <w:p w14:paraId="3946B72B">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根据设备的质保期确定，自验收合格之日起至质保期结束，期间提供设备维修、零部件更换及技术支持。</w:t>
            </w:r>
          </w:p>
        </w:tc>
      </w:tr>
      <w:tr w14:paraId="21FE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205554FC">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1.1.7</w:t>
            </w:r>
          </w:p>
        </w:tc>
        <w:tc>
          <w:tcPr>
            <w:tcW w:w="1523" w:type="dxa"/>
            <w:noWrap w:val="0"/>
            <w:vAlign w:val="center"/>
          </w:tcPr>
          <w:p w14:paraId="03713E30">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bidi="ar"/>
              </w:rPr>
              <w:t>交货方式</w:t>
            </w:r>
          </w:p>
        </w:tc>
        <w:tc>
          <w:tcPr>
            <w:tcW w:w="7392" w:type="dxa"/>
            <w:noWrap w:val="0"/>
            <w:vAlign w:val="center"/>
          </w:tcPr>
          <w:p w14:paraId="2A39134B">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bidi="ar"/>
              </w:rPr>
              <w:t>中标方</w:t>
            </w:r>
            <w:r>
              <w:rPr>
                <w:rFonts w:hint="eastAsia" w:ascii="仿宋" w:hAnsi="仿宋" w:eastAsia="仿宋" w:cs="仿宋"/>
                <w:color w:val="auto"/>
                <w:sz w:val="21"/>
                <w:szCs w:val="21"/>
                <w:highlight w:val="none"/>
                <w:lang w:eastAsia="zh-CN" w:bidi="ar"/>
              </w:rPr>
              <w:t>应在合同生效后</w:t>
            </w:r>
            <w:r>
              <w:rPr>
                <w:rFonts w:hint="eastAsia" w:ascii="仿宋" w:hAnsi="仿宋" w:eastAsia="仿宋" w:cs="仿宋"/>
                <w:color w:val="auto"/>
                <w:sz w:val="21"/>
                <w:szCs w:val="21"/>
                <w:highlight w:val="none"/>
                <w:lang w:val="en-US" w:eastAsia="zh-CN" w:bidi="ar"/>
              </w:rPr>
              <w:t>约定的期限内</w:t>
            </w:r>
            <w:r>
              <w:rPr>
                <w:rFonts w:hint="eastAsia" w:ascii="仿宋" w:hAnsi="仿宋" w:eastAsia="仿宋" w:cs="仿宋"/>
                <w:color w:val="auto"/>
                <w:sz w:val="21"/>
                <w:szCs w:val="21"/>
                <w:highlight w:val="none"/>
                <w:lang w:eastAsia="zh-CN" w:bidi="ar"/>
              </w:rPr>
              <w:t>,在</w:t>
            </w:r>
            <w:r>
              <w:rPr>
                <w:rFonts w:hint="eastAsia" w:ascii="仿宋" w:hAnsi="仿宋" w:eastAsia="仿宋" w:cs="仿宋"/>
                <w:color w:val="auto"/>
                <w:sz w:val="21"/>
                <w:szCs w:val="21"/>
                <w:highlight w:val="none"/>
                <w:lang w:val="en-US" w:eastAsia="zh-CN" w:bidi="ar"/>
              </w:rPr>
              <w:t>医院</w:t>
            </w:r>
            <w:r>
              <w:rPr>
                <w:rFonts w:hint="eastAsia" w:ascii="仿宋" w:hAnsi="仿宋" w:eastAsia="仿宋" w:cs="仿宋"/>
                <w:color w:val="auto"/>
                <w:sz w:val="21"/>
                <w:szCs w:val="21"/>
                <w:highlight w:val="none"/>
                <w:lang w:eastAsia="zh-CN" w:bidi="ar"/>
              </w:rPr>
              <w:t>指定地点交付货物。</w:t>
            </w:r>
          </w:p>
        </w:tc>
      </w:tr>
      <w:tr w14:paraId="0F67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BB16FE8">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1.1.8</w:t>
            </w:r>
          </w:p>
        </w:tc>
        <w:tc>
          <w:tcPr>
            <w:tcW w:w="1523" w:type="dxa"/>
            <w:noWrap w:val="0"/>
            <w:vAlign w:val="center"/>
          </w:tcPr>
          <w:p w14:paraId="67E3634D">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c>
          <w:tcPr>
            <w:tcW w:w="7392" w:type="dxa"/>
            <w:noWrap w:val="0"/>
            <w:vAlign w:val="center"/>
          </w:tcPr>
          <w:p w14:paraId="2082ED9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昆明市第一人民医院指定地点。</w:t>
            </w:r>
          </w:p>
        </w:tc>
      </w:tr>
      <w:tr w14:paraId="2A3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56F820C">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w:t>
            </w:r>
          </w:p>
        </w:tc>
        <w:tc>
          <w:tcPr>
            <w:tcW w:w="1523" w:type="dxa"/>
            <w:noWrap w:val="0"/>
            <w:vAlign w:val="center"/>
          </w:tcPr>
          <w:p w14:paraId="00DC1292">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资金落实情况</w:t>
            </w:r>
          </w:p>
        </w:tc>
        <w:tc>
          <w:tcPr>
            <w:tcW w:w="7392" w:type="dxa"/>
            <w:noWrap w:val="0"/>
            <w:vAlign w:val="center"/>
          </w:tcPr>
          <w:p w14:paraId="5DB4EBFB">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资金已落实</w:t>
            </w:r>
            <w:r>
              <w:rPr>
                <w:rFonts w:hint="eastAsia" w:ascii="仿宋" w:hAnsi="仿宋" w:eastAsia="仿宋" w:cs="仿宋"/>
                <w:color w:val="auto"/>
                <w:sz w:val="21"/>
                <w:szCs w:val="21"/>
                <w:highlight w:val="none"/>
                <w:lang w:eastAsia="zh-CN"/>
              </w:rPr>
              <w:t>。</w:t>
            </w:r>
          </w:p>
        </w:tc>
      </w:tr>
      <w:tr w14:paraId="2214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41" w:type="dxa"/>
            <w:noWrap w:val="0"/>
            <w:vAlign w:val="center"/>
          </w:tcPr>
          <w:p w14:paraId="4E30D4A9">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w:t>
            </w:r>
          </w:p>
        </w:tc>
        <w:tc>
          <w:tcPr>
            <w:tcW w:w="1523" w:type="dxa"/>
            <w:noWrap w:val="0"/>
            <w:vAlign w:val="center"/>
          </w:tcPr>
          <w:p w14:paraId="57ABB137">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采购预算</w:t>
            </w:r>
          </w:p>
        </w:tc>
        <w:tc>
          <w:tcPr>
            <w:tcW w:w="7392" w:type="dxa"/>
            <w:noWrap w:val="0"/>
            <w:vAlign w:val="center"/>
          </w:tcPr>
          <w:p w14:paraId="7B8BA0B9">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¥9,000,000.00元，其中1标段：¥6,000,000.00元，2标段：¥3,000,000.00元。</w:t>
            </w:r>
          </w:p>
        </w:tc>
      </w:tr>
      <w:tr w14:paraId="2E35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35DAC3B">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w:t>
            </w:r>
          </w:p>
        </w:tc>
        <w:tc>
          <w:tcPr>
            <w:tcW w:w="1523" w:type="dxa"/>
            <w:noWrap w:val="0"/>
            <w:vAlign w:val="center"/>
          </w:tcPr>
          <w:p w14:paraId="62AD7190">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p>
        </w:tc>
        <w:tc>
          <w:tcPr>
            <w:tcW w:w="7392" w:type="dxa"/>
            <w:noWrap w:val="0"/>
            <w:vAlign w:val="center"/>
          </w:tcPr>
          <w:p w14:paraId="3F20C71A">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¥9,000,000.00元，其中1标段：¥6,000,000.00元，2标段：¥3,000,000.00元。</w:t>
            </w:r>
          </w:p>
        </w:tc>
      </w:tr>
      <w:tr w14:paraId="2A30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5ABEED8A">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1523" w:type="dxa"/>
            <w:noWrap w:val="0"/>
            <w:vAlign w:val="center"/>
          </w:tcPr>
          <w:p w14:paraId="4C4ADBD4">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代理服务费</w:t>
            </w:r>
          </w:p>
        </w:tc>
        <w:tc>
          <w:tcPr>
            <w:tcW w:w="7392" w:type="dxa"/>
            <w:noWrap w:val="0"/>
            <w:vAlign w:val="center"/>
          </w:tcPr>
          <w:p w14:paraId="23F857A8">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按照</w:t>
            </w:r>
            <w:r>
              <w:rPr>
                <w:rFonts w:hint="eastAsia" w:ascii="仿宋" w:hAnsi="仿宋" w:eastAsia="仿宋" w:cs="仿宋"/>
                <w:color w:val="auto"/>
                <w:highlight w:val="none"/>
                <w:lang w:val="en-US" w:eastAsia="zh-CN"/>
              </w:rPr>
              <w:t>下表</w:t>
            </w:r>
            <w:r>
              <w:rPr>
                <w:rFonts w:hint="eastAsia" w:ascii="仿宋" w:hAnsi="仿宋" w:eastAsia="仿宋" w:cs="仿宋"/>
                <w:color w:val="auto"/>
                <w:highlight w:val="none"/>
              </w:rPr>
              <w:t>1所列收费标准作为基准价下浮20％向中标人收取。</w:t>
            </w:r>
          </w:p>
          <w:tbl>
            <w:tblPr>
              <w:tblStyle w:val="3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05"/>
              <w:gridCol w:w="1552"/>
              <w:gridCol w:w="1552"/>
              <w:gridCol w:w="1552"/>
            </w:tblGrid>
            <w:tr w14:paraId="26360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232C9D4C">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中标金额（元）</w:t>
                  </w:r>
                </w:p>
              </w:tc>
              <w:tc>
                <w:tcPr>
                  <w:tcW w:w="0" w:type="auto"/>
                  <w:shd w:val="solid" w:color="FFFFFF" w:fill="auto"/>
                  <w:noWrap w:val="0"/>
                  <w:tcMar>
                    <w:top w:w="30" w:type="dxa"/>
                    <w:left w:w="150" w:type="dxa"/>
                    <w:bottom w:w="30" w:type="dxa"/>
                    <w:right w:w="150" w:type="dxa"/>
                  </w:tcMar>
                  <w:vAlign w:val="center"/>
                </w:tcPr>
                <w:p w14:paraId="141B74E6">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货物招标</w:t>
                  </w:r>
                </w:p>
              </w:tc>
              <w:tc>
                <w:tcPr>
                  <w:tcW w:w="0" w:type="auto"/>
                  <w:shd w:val="solid" w:color="FFFFFF" w:fill="auto"/>
                  <w:noWrap w:val="0"/>
                  <w:tcMar>
                    <w:top w:w="30" w:type="dxa"/>
                    <w:left w:w="150" w:type="dxa"/>
                    <w:bottom w:w="30" w:type="dxa"/>
                    <w:right w:w="150" w:type="dxa"/>
                  </w:tcMar>
                  <w:vAlign w:val="center"/>
                </w:tcPr>
                <w:p w14:paraId="3BA9FF13">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服务招标</w:t>
                  </w:r>
                </w:p>
              </w:tc>
              <w:tc>
                <w:tcPr>
                  <w:tcW w:w="0" w:type="auto"/>
                  <w:shd w:val="solid" w:color="FFFFFF" w:fill="auto"/>
                  <w:noWrap w:val="0"/>
                  <w:tcMar>
                    <w:top w:w="30" w:type="dxa"/>
                    <w:left w:w="150" w:type="dxa"/>
                    <w:bottom w:w="30" w:type="dxa"/>
                    <w:right w:w="150" w:type="dxa"/>
                  </w:tcMar>
                  <w:vAlign w:val="center"/>
                </w:tcPr>
                <w:p w14:paraId="33105730">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工程招标</w:t>
                  </w:r>
                </w:p>
              </w:tc>
            </w:tr>
            <w:tr w14:paraId="3828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343C937F">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100万以下</w:t>
                  </w:r>
                </w:p>
              </w:tc>
              <w:tc>
                <w:tcPr>
                  <w:tcW w:w="0" w:type="auto"/>
                  <w:shd w:val="solid" w:color="FFFFFF" w:fill="auto"/>
                  <w:noWrap w:val="0"/>
                  <w:tcMar>
                    <w:top w:w="30" w:type="dxa"/>
                    <w:left w:w="150" w:type="dxa"/>
                    <w:bottom w:w="30" w:type="dxa"/>
                    <w:right w:w="150" w:type="dxa"/>
                  </w:tcMar>
                  <w:vAlign w:val="center"/>
                </w:tcPr>
                <w:p w14:paraId="76517EDD">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0" w:type="auto"/>
                  <w:shd w:val="solid" w:color="FFFFFF" w:fill="auto"/>
                  <w:noWrap w:val="0"/>
                  <w:tcMar>
                    <w:top w:w="30" w:type="dxa"/>
                    <w:left w:w="150" w:type="dxa"/>
                    <w:bottom w:w="30" w:type="dxa"/>
                    <w:right w:w="150" w:type="dxa"/>
                  </w:tcMar>
                  <w:vAlign w:val="center"/>
                </w:tcPr>
                <w:p w14:paraId="1324B54E">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0" w:type="auto"/>
                  <w:shd w:val="solid" w:color="FFFFFF" w:fill="auto"/>
                  <w:noWrap w:val="0"/>
                  <w:tcMar>
                    <w:top w:w="30" w:type="dxa"/>
                    <w:left w:w="150" w:type="dxa"/>
                    <w:bottom w:w="30" w:type="dxa"/>
                    <w:right w:w="150" w:type="dxa"/>
                  </w:tcMar>
                  <w:vAlign w:val="center"/>
                </w:tcPr>
                <w:p w14:paraId="6AB5A859">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r>
            <w:tr w14:paraId="61A15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5AD480C3">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100万-500万</w:t>
                  </w:r>
                </w:p>
              </w:tc>
              <w:tc>
                <w:tcPr>
                  <w:tcW w:w="0" w:type="auto"/>
                  <w:shd w:val="solid" w:color="FFFFFF" w:fill="auto"/>
                  <w:noWrap w:val="0"/>
                  <w:tcMar>
                    <w:top w:w="30" w:type="dxa"/>
                    <w:left w:w="150" w:type="dxa"/>
                    <w:bottom w:w="30" w:type="dxa"/>
                    <w:right w:w="150" w:type="dxa"/>
                  </w:tcMar>
                  <w:vAlign w:val="center"/>
                </w:tcPr>
                <w:p w14:paraId="25D988A0">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0" w:type="auto"/>
                  <w:shd w:val="solid" w:color="FFFFFF" w:fill="auto"/>
                  <w:noWrap w:val="0"/>
                  <w:tcMar>
                    <w:top w:w="30" w:type="dxa"/>
                    <w:left w:w="150" w:type="dxa"/>
                    <w:bottom w:w="30" w:type="dxa"/>
                    <w:right w:w="150" w:type="dxa"/>
                  </w:tcMar>
                  <w:vAlign w:val="center"/>
                </w:tcPr>
                <w:p w14:paraId="18909947">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0" w:type="auto"/>
                  <w:shd w:val="solid" w:color="FFFFFF" w:fill="auto"/>
                  <w:noWrap w:val="0"/>
                  <w:tcMar>
                    <w:top w:w="30" w:type="dxa"/>
                    <w:left w:w="150" w:type="dxa"/>
                    <w:bottom w:w="30" w:type="dxa"/>
                    <w:right w:w="150" w:type="dxa"/>
                  </w:tcMar>
                  <w:vAlign w:val="center"/>
                </w:tcPr>
                <w:p w14:paraId="43AA8F68">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0.7%</w:t>
                  </w:r>
                </w:p>
              </w:tc>
            </w:tr>
            <w:tr w14:paraId="4DF68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0D19B67B">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500万-1000万</w:t>
                  </w:r>
                </w:p>
              </w:tc>
              <w:tc>
                <w:tcPr>
                  <w:tcW w:w="0" w:type="auto"/>
                  <w:shd w:val="solid" w:color="FFFFFF" w:fill="auto"/>
                  <w:noWrap w:val="0"/>
                  <w:tcMar>
                    <w:top w:w="30" w:type="dxa"/>
                    <w:left w:w="150" w:type="dxa"/>
                    <w:bottom w:w="30" w:type="dxa"/>
                    <w:right w:w="150" w:type="dxa"/>
                  </w:tcMar>
                  <w:vAlign w:val="center"/>
                </w:tcPr>
                <w:p w14:paraId="23CB37AF">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0" w:type="auto"/>
                  <w:shd w:val="solid" w:color="FFFFFF" w:fill="auto"/>
                  <w:noWrap w:val="0"/>
                  <w:tcMar>
                    <w:top w:w="30" w:type="dxa"/>
                    <w:left w:w="150" w:type="dxa"/>
                    <w:bottom w:w="30" w:type="dxa"/>
                    <w:right w:w="150" w:type="dxa"/>
                  </w:tcMar>
                  <w:vAlign w:val="center"/>
                </w:tcPr>
                <w:p w14:paraId="5F3BDFF0">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0.45%</w:t>
                  </w:r>
                </w:p>
              </w:tc>
              <w:tc>
                <w:tcPr>
                  <w:tcW w:w="0" w:type="auto"/>
                  <w:shd w:val="solid" w:color="FFFFFF" w:fill="auto"/>
                  <w:noWrap w:val="0"/>
                  <w:tcMar>
                    <w:top w:w="30" w:type="dxa"/>
                    <w:left w:w="150" w:type="dxa"/>
                    <w:bottom w:w="30" w:type="dxa"/>
                    <w:right w:w="150" w:type="dxa"/>
                  </w:tcMar>
                  <w:vAlign w:val="center"/>
                </w:tcPr>
                <w:p w14:paraId="4A804A24">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0.55%</w:t>
                  </w:r>
                </w:p>
              </w:tc>
            </w:tr>
            <w:tr w14:paraId="6FB92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2D176F29">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1000万-5000万</w:t>
                  </w:r>
                </w:p>
              </w:tc>
              <w:tc>
                <w:tcPr>
                  <w:tcW w:w="0" w:type="auto"/>
                  <w:shd w:val="solid" w:color="FFFFFF" w:fill="auto"/>
                  <w:noWrap w:val="0"/>
                  <w:tcMar>
                    <w:top w:w="30" w:type="dxa"/>
                    <w:left w:w="150" w:type="dxa"/>
                    <w:bottom w:w="30" w:type="dxa"/>
                    <w:right w:w="150" w:type="dxa"/>
                  </w:tcMar>
                  <w:vAlign w:val="center"/>
                </w:tcPr>
                <w:p w14:paraId="2F1CEACD">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c>
                <w:tcPr>
                  <w:tcW w:w="0" w:type="auto"/>
                  <w:shd w:val="solid" w:color="FFFFFF" w:fill="auto"/>
                  <w:noWrap w:val="0"/>
                  <w:tcMar>
                    <w:top w:w="30" w:type="dxa"/>
                    <w:left w:w="150" w:type="dxa"/>
                    <w:bottom w:w="30" w:type="dxa"/>
                    <w:right w:w="150" w:type="dxa"/>
                  </w:tcMar>
                  <w:vAlign w:val="center"/>
                </w:tcPr>
                <w:p w14:paraId="17C5190A">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0" w:type="auto"/>
                  <w:shd w:val="solid" w:color="FFFFFF" w:fill="auto"/>
                  <w:noWrap w:val="0"/>
                  <w:tcMar>
                    <w:top w:w="30" w:type="dxa"/>
                    <w:left w:w="150" w:type="dxa"/>
                    <w:bottom w:w="30" w:type="dxa"/>
                    <w:right w:w="150" w:type="dxa"/>
                  </w:tcMar>
                  <w:vAlign w:val="center"/>
                </w:tcPr>
                <w:p w14:paraId="25D37D1E">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0.35%</w:t>
                  </w:r>
                </w:p>
              </w:tc>
            </w:tr>
            <w:tr w14:paraId="01307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21BA7194">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5000万-1亿</w:t>
                  </w:r>
                </w:p>
              </w:tc>
              <w:tc>
                <w:tcPr>
                  <w:tcW w:w="0" w:type="auto"/>
                  <w:shd w:val="solid" w:color="FFFFFF" w:fill="auto"/>
                  <w:noWrap w:val="0"/>
                  <w:tcMar>
                    <w:top w:w="30" w:type="dxa"/>
                    <w:left w:w="150" w:type="dxa"/>
                    <w:bottom w:w="30" w:type="dxa"/>
                    <w:right w:w="150" w:type="dxa"/>
                  </w:tcMar>
                  <w:vAlign w:val="center"/>
                </w:tcPr>
                <w:p w14:paraId="731AE0D7">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0" w:type="auto"/>
                  <w:shd w:val="solid" w:color="FFFFFF" w:fill="auto"/>
                  <w:noWrap w:val="0"/>
                  <w:tcMar>
                    <w:top w:w="30" w:type="dxa"/>
                    <w:left w:w="150" w:type="dxa"/>
                    <w:bottom w:w="30" w:type="dxa"/>
                    <w:right w:w="150" w:type="dxa"/>
                  </w:tcMar>
                  <w:vAlign w:val="center"/>
                </w:tcPr>
                <w:p w14:paraId="07AAED1C">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0.1%</w:t>
                  </w:r>
                </w:p>
              </w:tc>
              <w:tc>
                <w:tcPr>
                  <w:tcW w:w="0" w:type="auto"/>
                  <w:shd w:val="solid" w:color="FFFFFF" w:fill="auto"/>
                  <w:noWrap w:val="0"/>
                  <w:tcMar>
                    <w:top w:w="30" w:type="dxa"/>
                    <w:left w:w="150" w:type="dxa"/>
                    <w:bottom w:w="30" w:type="dxa"/>
                    <w:right w:w="150" w:type="dxa"/>
                  </w:tcMar>
                  <w:vAlign w:val="center"/>
                </w:tcPr>
                <w:p w14:paraId="17680C0B">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0.2%</w:t>
                  </w:r>
                </w:p>
              </w:tc>
            </w:tr>
            <w:tr w14:paraId="22B57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7EC050C6">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1亿-5亿</w:t>
                  </w:r>
                </w:p>
              </w:tc>
              <w:tc>
                <w:tcPr>
                  <w:tcW w:w="0" w:type="auto"/>
                  <w:shd w:val="solid" w:color="FFFFFF" w:fill="auto"/>
                  <w:noWrap w:val="0"/>
                  <w:tcMar>
                    <w:top w:w="30" w:type="dxa"/>
                    <w:left w:w="150" w:type="dxa"/>
                    <w:bottom w:w="30" w:type="dxa"/>
                    <w:right w:w="150" w:type="dxa"/>
                  </w:tcMar>
                  <w:vAlign w:val="center"/>
                </w:tcPr>
                <w:p w14:paraId="4EEB6C44">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c>
                <w:tcPr>
                  <w:tcW w:w="0" w:type="auto"/>
                  <w:shd w:val="solid" w:color="FFFFFF" w:fill="auto"/>
                  <w:noWrap w:val="0"/>
                  <w:tcMar>
                    <w:top w:w="30" w:type="dxa"/>
                    <w:left w:w="150" w:type="dxa"/>
                    <w:bottom w:w="30" w:type="dxa"/>
                    <w:right w:w="150" w:type="dxa"/>
                  </w:tcMar>
                  <w:vAlign w:val="center"/>
                </w:tcPr>
                <w:p w14:paraId="2FC7D442">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c>
                <w:tcPr>
                  <w:tcW w:w="0" w:type="auto"/>
                  <w:shd w:val="solid" w:color="FFFFFF" w:fill="auto"/>
                  <w:noWrap w:val="0"/>
                  <w:tcMar>
                    <w:top w:w="30" w:type="dxa"/>
                    <w:left w:w="150" w:type="dxa"/>
                    <w:bottom w:w="30" w:type="dxa"/>
                    <w:right w:w="150" w:type="dxa"/>
                  </w:tcMar>
                  <w:vAlign w:val="center"/>
                </w:tcPr>
                <w:p w14:paraId="2E6E46A0">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r>
            <w:tr w14:paraId="2A2AD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0C7716B9">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5亿-10亿</w:t>
                  </w:r>
                </w:p>
              </w:tc>
              <w:tc>
                <w:tcPr>
                  <w:tcW w:w="0" w:type="auto"/>
                  <w:shd w:val="solid" w:color="FFFFFF" w:fill="auto"/>
                  <w:noWrap w:val="0"/>
                  <w:tcMar>
                    <w:top w:w="30" w:type="dxa"/>
                    <w:left w:w="150" w:type="dxa"/>
                    <w:bottom w:w="30" w:type="dxa"/>
                    <w:right w:w="150" w:type="dxa"/>
                  </w:tcMar>
                  <w:vAlign w:val="center"/>
                </w:tcPr>
                <w:p w14:paraId="0BCE2448">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c>
                <w:tcPr>
                  <w:tcW w:w="0" w:type="auto"/>
                  <w:shd w:val="solid" w:color="FFFFFF" w:fill="auto"/>
                  <w:noWrap w:val="0"/>
                  <w:tcMar>
                    <w:top w:w="30" w:type="dxa"/>
                    <w:left w:w="150" w:type="dxa"/>
                    <w:bottom w:w="30" w:type="dxa"/>
                    <w:right w:w="150" w:type="dxa"/>
                  </w:tcMar>
                  <w:vAlign w:val="center"/>
                </w:tcPr>
                <w:p w14:paraId="0F28CFB8">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c>
                <w:tcPr>
                  <w:tcW w:w="0" w:type="auto"/>
                  <w:shd w:val="solid" w:color="FFFFFF" w:fill="auto"/>
                  <w:noWrap w:val="0"/>
                  <w:tcMar>
                    <w:top w:w="30" w:type="dxa"/>
                    <w:left w:w="150" w:type="dxa"/>
                    <w:bottom w:w="30" w:type="dxa"/>
                    <w:right w:w="150" w:type="dxa"/>
                  </w:tcMar>
                  <w:vAlign w:val="center"/>
                </w:tcPr>
                <w:p w14:paraId="4A2D4F6B">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r>
            <w:tr w14:paraId="16904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3E78BAC8">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10亿-50亿</w:t>
                  </w:r>
                </w:p>
              </w:tc>
              <w:tc>
                <w:tcPr>
                  <w:tcW w:w="0" w:type="auto"/>
                  <w:shd w:val="solid" w:color="FFFFFF" w:fill="auto"/>
                  <w:noWrap w:val="0"/>
                  <w:tcMar>
                    <w:top w:w="30" w:type="dxa"/>
                    <w:left w:w="150" w:type="dxa"/>
                    <w:bottom w:w="30" w:type="dxa"/>
                    <w:right w:w="150" w:type="dxa"/>
                  </w:tcMar>
                  <w:vAlign w:val="center"/>
                </w:tcPr>
                <w:p w14:paraId="5EE447C7">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c>
                <w:tcPr>
                  <w:tcW w:w="0" w:type="auto"/>
                  <w:shd w:val="solid" w:color="FFFFFF" w:fill="auto"/>
                  <w:noWrap w:val="0"/>
                  <w:tcMar>
                    <w:top w:w="30" w:type="dxa"/>
                    <w:left w:w="150" w:type="dxa"/>
                    <w:bottom w:w="30" w:type="dxa"/>
                    <w:right w:w="150" w:type="dxa"/>
                  </w:tcMar>
                  <w:vAlign w:val="center"/>
                </w:tcPr>
                <w:p w14:paraId="0A5823B1">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c>
                <w:tcPr>
                  <w:tcW w:w="0" w:type="auto"/>
                  <w:shd w:val="solid" w:color="FFFFFF" w:fill="auto"/>
                  <w:noWrap w:val="0"/>
                  <w:tcMar>
                    <w:top w:w="30" w:type="dxa"/>
                    <w:left w:w="150" w:type="dxa"/>
                    <w:bottom w:w="30" w:type="dxa"/>
                    <w:right w:w="150" w:type="dxa"/>
                  </w:tcMar>
                  <w:vAlign w:val="center"/>
                </w:tcPr>
                <w:p w14:paraId="36E76381">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r>
            <w:tr w14:paraId="46F46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1346ED73">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50亿-100亿</w:t>
                  </w:r>
                </w:p>
              </w:tc>
              <w:tc>
                <w:tcPr>
                  <w:tcW w:w="0" w:type="auto"/>
                  <w:shd w:val="solid" w:color="FFFFFF" w:fill="auto"/>
                  <w:noWrap w:val="0"/>
                  <w:tcMar>
                    <w:top w:w="30" w:type="dxa"/>
                    <w:left w:w="150" w:type="dxa"/>
                    <w:bottom w:w="30" w:type="dxa"/>
                    <w:right w:w="150" w:type="dxa"/>
                  </w:tcMar>
                  <w:vAlign w:val="center"/>
                </w:tcPr>
                <w:p w14:paraId="79338179">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c>
                <w:tcPr>
                  <w:tcW w:w="0" w:type="auto"/>
                  <w:shd w:val="solid" w:color="FFFFFF" w:fill="auto"/>
                  <w:noWrap w:val="0"/>
                  <w:tcMar>
                    <w:top w:w="30" w:type="dxa"/>
                    <w:left w:w="150" w:type="dxa"/>
                    <w:bottom w:w="30" w:type="dxa"/>
                    <w:right w:w="150" w:type="dxa"/>
                  </w:tcMar>
                  <w:vAlign w:val="center"/>
                </w:tcPr>
                <w:p w14:paraId="75E163A0">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c>
                <w:tcPr>
                  <w:tcW w:w="0" w:type="auto"/>
                  <w:shd w:val="solid" w:color="FFFFFF" w:fill="auto"/>
                  <w:noWrap w:val="0"/>
                  <w:tcMar>
                    <w:top w:w="30" w:type="dxa"/>
                    <w:left w:w="150" w:type="dxa"/>
                    <w:bottom w:w="30" w:type="dxa"/>
                    <w:right w:w="150" w:type="dxa"/>
                  </w:tcMar>
                  <w:vAlign w:val="center"/>
                </w:tcPr>
                <w:p w14:paraId="3BA2DDAF">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r>
            <w:tr w14:paraId="3BAD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solid" w:color="FFFFFF" w:fill="auto"/>
                  <w:noWrap w:val="0"/>
                  <w:tcMar>
                    <w:top w:w="30" w:type="dxa"/>
                    <w:left w:w="150" w:type="dxa"/>
                    <w:bottom w:w="30" w:type="dxa"/>
                    <w:right w:w="150" w:type="dxa"/>
                  </w:tcMar>
                  <w:vAlign w:val="center"/>
                </w:tcPr>
                <w:p w14:paraId="0281D0B8">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100亿以上</w:t>
                  </w:r>
                </w:p>
              </w:tc>
              <w:tc>
                <w:tcPr>
                  <w:tcW w:w="0" w:type="auto"/>
                  <w:shd w:val="solid" w:color="FFFFFF" w:fill="auto"/>
                  <w:noWrap w:val="0"/>
                  <w:tcMar>
                    <w:top w:w="30" w:type="dxa"/>
                    <w:left w:w="150" w:type="dxa"/>
                    <w:bottom w:w="30" w:type="dxa"/>
                    <w:right w:w="150" w:type="dxa"/>
                  </w:tcMar>
                  <w:vAlign w:val="center"/>
                </w:tcPr>
                <w:p w14:paraId="0B33B70F">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c>
                <w:tcPr>
                  <w:tcW w:w="0" w:type="auto"/>
                  <w:shd w:val="solid" w:color="FFFFFF" w:fill="auto"/>
                  <w:noWrap w:val="0"/>
                  <w:tcMar>
                    <w:top w:w="30" w:type="dxa"/>
                    <w:left w:w="150" w:type="dxa"/>
                    <w:bottom w:w="30" w:type="dxa"/>
                    <w:right w:w="150" w:type="dxa"/>
                  </w:tcMar>
                  <w:vAlign w:val="center"/>
                </w:tcPr>
                <w:p w14:paraId="2962B665">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c>
                <w:tcPr>
                  <w:tcW w:w="0" w:type="auto"/>
                  <w:shd w:val="solid" w:color="FFFFFF" w:fill="auto"/>
                  <w:noWrap w:val="0"/>
                  <w:tcMar>
                    <w:top w:w="30" w:type="dxa"/>
                    <w:left w:w="150" w:type="dxa"/>
                    <w:bottom w:w="30" w:type="dxa"/>
                    <w:right w:w="150" w:type="dxa"/>
                  </w:tcMar>
                  <w:vAlign w:val="center"/>
                </w:tcPr>
                <w:p w14:paraId="417862F6">
                  <w:pPr>
                    <w:keepNext w:val="0"/>
                    <w:keepLines w:val="0"/>
                    <w:pageBreakBefore w:val="0"/>
                    <w:suppressLineNumbers w:val="0"/>
                    <w:kinsoku/>
                    <w:wordWrap w:val="0"/>
                    <w:overflowPunct/>
                    <w:bidi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r>
            <w:tr w14:paraId="574E9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gridSpan w:val="4"/>
                  <w:shd w:val="solid" w:color="FFFFFF" w:fill="auto"/>
                  <w:noWrap w:val="0"/>
                  <w:tcMar>
                    <w:top w:w="30" w:type="dxa"/>
                    <w:left w:w="150" w:type="dxa"/>
                    <w:bottom w:w="30" w:type="dxa"/>
                    <w:right w:w="150" w:type="dxa"/>
                  </w:tcMar>
                  <w:vAlign w:val="center"/>
                </w:tcPr>
                <w:p w14:paraId="16843F0A">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完成一次招标投标全流程按各标段中标金额比例计算各标段招标代理服务费。一个项目（各标段累计）的代理费（或服务费）最高限额：货物为350万元、服务为300万元、工程为450万元。</w:t>
                  </w:r>
                </w:p>
              </w:tc>
            </w:tr>
          </w:tbl>
          <w:p w14:paraId="45271D13">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中标服务费缴费账户信息如下：</w:t>
            </w:r>
          </w:p>
          <w:p w14:paraId="0A838586">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账户名称：云南中招招标有限公司</w:t>
            </w:r>
          </w:p>
          <w:p w14:paraId="704FD042">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开 户 行：招商银行昆明分行科创园支行</w:t>
            </w:r>
          </w:p>
          <w:p w14:paraId="6459C54A">
            <w:pPr>
              <w:keepNext w:val="0"/>
              <w:keepLines w:val="0"/>
              <w:pageBreakBefore w:val="0"/>
              <w:suppressLineNumbers w:val="0"/>
              <w:kinsoku/>
              <w:wordWrap w:val="0"/>
              <w:overflowPunct/>
              <w:bidi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开户</w:t>
            </w:r>
            <w:r>
              <w:rPr>
                <w:rFonts w:hint="eastAsia" w:ascii="仿宋" w:hAnsi="仿宋" w:eastAsia="仿宋" w:cs="仿宋"/>
                <w:color w:val="auto"/>
                <w:highlight w:val="none"/>
                <w:lang w:val="en-US" w:eastAsia="zh-CN"/>
              </w:rPr>
              <w:t>账</w:t>
            </w:r>
            <w:r>
              <w:rPr>
                <w:rFonts w:hint="eastAsia" w:ascii="仿宋" w:hAnsi="仿宋" w:eastAsia="仿宋" w:cs="仿宋"/>
                <w:color w:val="auto"/>
                <w:highlight w:val="none"/>
              </w:rPr>
              <w:t>号：871908043810101</w:t>
            </w:r>
          </w:p>
        </w:tc>
      </w:tr>
      <w:tr w14:paraId="1677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DFB605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w:t>
            </w:r>
          </w:p>
        </w:tc>
        <w:tc>
          <w:tcPr>
            <w:tcW w:w="1523" w:type="dxa"/>
            <w:noWrap w:val="0"/>
            <w:vAlign w:val="center"/>
          </w:tcPr>
          <w:p w14:paraId="3B6E38DF">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的资格条件</w:t>
            </w:r>
          </w:p>
        </w:tc>
        <w:tc>
          <w:tcPr>
            <w:tcW w:w="7392" w:type="dxa"/>
            <w:noWrap w:val="0"/>
            <w:vAlign w:val="center"/>
          </w:tcPr>
          <w:p w14:paraId="3AB418D1">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同第一章“</w:t>
            </w:r>
            <w:r>
              <w:rPr>
                <w:rFonts w:hint="eastAsia" w:ascii="仿宋" w:hAnsi="仿宋" w:eastAsia="仿宋" w:cs="仿宋"/>
                <w:color w:val="auto"/>
                <w:sz w:val="21"/>
                <w:szCs w:val="21"/>
                <w:highlight w:val="none"/>
                <w:lang w:val="en-US" w:eastAsia="zh-CN"/>
              </w:rPr>
              <w:t xml:space="preserve"> 招标公告 </w:t>
            </w:r>
            <w:r>
              <w:rPr>
                <w:rFonts w:hint="eastAsia" w:ascii="仿宋" w:hAnsi="仿宋" w:eastAsia="仿宋" w:cs="仿宋"/>
                <w:color w:val="auto"/>
                <w:sz w:val="21"/>
                <w:szCs w:val="21"/>
                <w:highlight w:val="none"/>
              </w:rPr>
              <w:t>二、申请人的资格要求”</w:t>
            </w:r>
            <w:r>
              <w:rPr>
                <w:rFonts w:hint="eastAsia" w:ascii="仿宋" w:hAnsi="仿宋" w:eastAsia="仿宋" w:cs="仿宋"/>
                <w:color w:val="auto"/>
                <w:sz w:val="21"/>
                <w:szCs w:val="21"/>
                <w:highlight w:val="none"/>
                <w:lang w:eastAsia="zh-CN"/>
              </w:rPr>
              <w:t>。</w:t>
            </w:r>
          </w:p>
        </w:tc>
      </w:tr>
      <w:tr w14:paraId="3FBE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5737AFF9">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w:t>
            </w:r>
          </w:p>
        </w:tc>
        <w:tc>
          <w:tcPr>
            <w:tcW w:w="1523" w:type="dxa"/>
            <w:noWrap w:val="0"/>
            <w:vAlign w:val="center"/>
          </w:tcPr>
          <w:p w14:paraId="5A939B29">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是否接受联合体投标</w:t>
            </w:r>
          </w:p>
        </w:tc>
        <w:tc>
          <w:tcPr>
            <w:tcW w:w="7392" w:type="dxa"/>
            <w:noWrap w:val="0"/>
            <w:vAlign w:val="center"/>
          </w:tcPr>
          <w:p w14:paraId="7749F18A">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是</w:t>
            </w:r>
          </w:p>
          <w:p w14:paraId="1DD02F12">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否</w:t>
            </w:r>
          </w:p>
        </w:tc>
      </w:tr>
      <w:tr w14:paraId="3BE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3A226131">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1.4.5</w:t>
            </w:r>
          </w:p>
        </w:tc>
        <w:tc>
          <w:tcPr>
            <w:tcW w:w="1523" w:type="dxa"/>
            <w:noWrap w:val="0"/>
            <w:vAlign w:val="center"/>
          </w:tcPr>
          <w:p w14:paraId="34AC32EC">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项目属性和类别</w:t>
            </w:r>
          </w:p>
        </w:tc>
        <w:tc>
          <w:tcPr>
            <w:tcW w:w="7392" w:type="dxa"/>
            <w:noWrap w:val="0"/>
            <w:vAlign w:val="center"/>
          </w:tcPr>
          <w:p w14:paraId="3718F1AB">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项目属性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 xml:space="preserve">货物           </w:t>
            </w: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服务</w:t>
            </w:r>
          </w:p>
          <w:p w14:paraId="54E51FFF">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项目类别</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 xml:space="preserve">信息化项目     </w:t>
            </w: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非信息化项目</w:t>
            </w:r>
          </w:p>
        </w:tc>
      </w:tr>
      <w:tr w14:paraId="471B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7D17EC1A">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w:t>
            </w:r>
          </w:p>
        </w:tc>
        <w:tc>
          <w:tcPr>
            <w:tcW w:w="1523" w:type="dxa"/>
            <w:noWrap w:val="0"/>
            <w:vAlign w:val="center"/>
          </w:tcPr>
          <w:p w14:paraId="4FBF364D">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采购人是否组织现场踏勘</w:t>
            </w:r>
          </w:p>
        </w:tc>
        <w:tc>
          <w:tcPr>
            <w:tcW w:w="7392" w:type="dxa"/>
            <w:noWrap w:val="0"/>
            <w:vAlign w:val="center"/>
          </w:tcPr>
          <w:p w14:paraId="38319537">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组织</w:t>
            </w:r>
          </w:p>
          <w:p w14:paraId="4B66A871">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踏勘时间：</w:t>
            </w:r>
            <w:r>
              <w:rPr>
                <w:rFonts w:hint="eastAsia" w:ascii="仿宋" w:hAnsi="仿宋" w:eastAsia="仿宋" w:cs="仿宋"/>
                <w:color w:val="auto"/>
                <w:sz w:val="21"/>
                <w:szCs w:val="21"/>
                <w:highlight w:val="none"/>
                <w:u w:val="single"/>
              </w:rPr>
              <w:t>/</w:t>
            </w:r>
          </w:p>
          <w:p w14:paraId="43194A26">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踏勘地点：</w:t>
            </w:r>
            <w:r>
              <w:rPr>
                <w:rFonts w:hint="eastAsia" w:ascii="仿宋" w:hAnsi="仿宋" w:eastAsia="仿宋" w:cs="仿宋"/>
                <w:color w:val="auto"/>
                <w:sz w:val="21"/>
                <w:szCs w:val="21"/>
                <w:highlight w:val="none"/>
                <w:u w:val="single"/>
              </w:rPr>
              <w:t>/</w:t>
            </w:r>
          </w:p>
          <w:p w14:paraId="0450239C">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single"/>
              </w:rPr>
              <w:t>/</w:t>
            </w:r>
          </w:p>
          <w:p w14:paraId="20D21622">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w:t>
            </w:r>
          </w:p>
          <w:p w14:paraId="3180A605">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不组织，</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自行踏勘</w:t>
            </w:r>
            <w:r>
              <w:rPr>
                <w:rFonts w:hint="eastAsia" w:ascii="仿宋" w:hAnsi="仿宋" w:eastAsia="仿宋" w:cs="仿宋"/>
                <w:color w:val="auto"/>
                <w:sz w:val="21"/>
                <w:szCs w:val="21"/>
                <w:highlight w:val="none"/>
                <w:lang w:eastAsia="zh-CN"/>
              </w:rPr>
              <w:t>。</w:t>
            </w:r>
          </w:p>
        </w:tc>
      </w:tr>
      <w:tr w14:paraId="3AA9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78430261">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w:t>
            </w:r>
          </w:p>
        </w:tc>
        <w:tc>
          <w:tcPr>
            <w:tcW w:w="1523" w:type="dxa"/>
            <w:noWrap w:val="0"/>
            <w:vAlign w:val="center"/>
          </w:tcPr>
          <w:p w14:paraId="273C487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采购人是否召开招标答疑会</w:t>
            </w:r>
          </w:p>
        </w:tc>
        <w:tc>
          <w:tcPr>
            <w:tcW w:w="7392" w:type="dxa"/>
            <w:noWrap w:val="0"/>
            <w:vAlign w:val="center"/>
          </w:tcPr>
          <w:p w14:paraId="000A2A5C">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召开</w:t>
            </w:r>
          </w:p>
          <w:p w14:paraId="0182C43A">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答疑会时间：</w:t>
            </w:r>
            <w:r>
              <w:rPr>
                <w:rFonts w:hint="eastAsia" w:ascii="仿宋" w:hAnsi="仿宋" w:eastAsia="仿宋" w:cs="仿宋"/>
                <w:color w:val="auto"/>
                <w:sz w:val="21"/>
                <w:szCs w:val="21"/>
                <w:highlight w:val="none"/>
                <w:u w:val="single"/>
              </w:rPr>
              <w:t>/</w:t>
            </w:r>
          </w:p>
          <w:p w14:paraId="2DA087DC">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答疑会地点：</w:t>
            </w:r>
            <w:r>
              <w:rPr>
                <w:rFonts w:hint="eastAsia" w:ascii="仿宋" w:hAnsi="仿宋" w:eastAsia="仿宋" w:cs="仿宋"/>
                <w:color w:val="auto"/>
                <w:sz w:val="21"/>
                <w:szCs w:val="21"/>
                <w:highlight w:val="none"/>
                <w:u w:val="single"/>
              </w:rPr>
              <w:t>/</w:t>
            </w:r>
          </w:p>
          <w:p w14:paraId="7D0DBEC4">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提交问题的时间：</w:t>
            </w:r>
            <w:r>
              <w:rPr>
                <w:rFonts w:hint="eastAsia" w:ascii="仿宋" w:hAnsi="仿宋" w:eastAsia="仿宋" w:cs="仿宋"/>
                <w:color w:val="auto"/>
                <w:sz w:val="21"/>
                <w:szCs w:val="21"/>
                <w:highlight w:val="none"/>
                <w:u w:val="single"/>
              </w:rPr>
              <w:t>投标截止时间前15天</w:t>
            </w:r>
            <w:r>
              <w:rPr>
                <w:rFonts w:hint="eastAsia" w:ascii="仿宋" w:hAnsi="仿宋" w:eastAsia="仿宋" w:cs="仿宋"/>
                <w:color w:val="auto"/>
                <w:sz w:val="21"/>
                <w:szCs w:val="21"/>
                <w:highlight w:val="none"/>
                <w:u w:val="single"/>
                <w:lang w:eastAsia="zh-CN"/>
              </w:rPr>
              <w:t>。</w:t>
            </w:r>
          </w:p>
          <w:p w14:paraId="0FF449BD">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提交问题的形式：</w:t>
            </w:r>
            <w:r>
              <w:rPr>
                <w:rFonts w:hint="eastAsia" w:ascii="仿宋" w:hAnsi="仿宋" w:eastAsia="仿宋" w:cs="仿宋"/>
                <w:color w:val="auto"/>
                <w:sz w:val="21"/>
                <w:szCs w:val="21"/>
                <w:highlight w:val="none"/>
                <w:u w:val="single"/>
              </w:rPr>
              <w:t>书面形式</w:t>
            </w:r>
            <w:r>
              <w:rPr>
                <w:rFonts w:hint="eastAsia" w:ascii="仿宋" w:hAnsi="仿宋" w:eastAsia="仿宋" w:cs="仿宋"/>
                <w:color w:val="auto"/>
                <w:sz w:val="21"/>
                <w:szCs w:val="21"/>
                <w:highlight w:val="none"/>
                <w:u w:val="single"/>
                <w:lang w:eastAsia="zh-CN"/>
              </w:rPr>
              <w:t>。</w:t>
            </w:r>
          </w:p>
          <w:p w14:paraId="4504F2EA">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不召开</w:t>
            </w:r>
          </w:p>
        </w:tc>
      </w:tr>
      <w:tr w14:paraId="44F8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12B64F8">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1.10.1</w:t>
            </w:r>
          </w:p>
        </w:tc>
        <w:tc>
          <w:tcPr>
            <w:tcW w:w="1523" w:type="dxa"/>
            <w:noWrap w:val="0"/>
            <w:vAlign w:val="center"/>
          </w:tcPr>
          <w:p w14:paraId="637BD1A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采购人是否允许分包</w:t>
            </w:r>
          </w:p>
        </w:tc>
        <w:tc>
          <w:tcPr>
            <w:tcW w:w="7392" w:type="dxa"/>
            <w:noWrap w:val="0"/>
            <w:vAlign w:val="center"/>
          </w:tcPr>
          <w:p w14:paraId="34B50897">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允许：</w:t>
            </w:r>
          </w:p>
          <w:p w14:paraId="41B003D0">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非主体、非关键性工作内容包括：</w:t>
            </w:r>
            <w:r>
              <w:rPr>
                <w:rFonts w:hint="eastAsia" w:ascii="仿宋" w:hAnsi="仿宋" w:eastAsia="仿宋" w:cs="仿宋"/>
                <w:color w:val="auto"/>
                <w:sz w:val="21"/>
                <w:szCs w:val="21"/>
                <w:highlight w:val="none"/>
                <w:u w:val="single"/>
              </w:rPr>
              <w:t>/</w:t>
            </w:r>
          </w:p>
          <w:p w14:paraId="3874CEFB">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分包金额要求：</w:t>
            </w:r>
            <w:r>
              <w:rPr>
                <w:rFonts w:hint="eastAsia" w:ascii="仿宋" w:hAnsi="仿宋" w:eastAsia="仿宋" w:cs="仿宋"/>
                <w:color w:val="auto"/>
                <w:sz w:val="21"/>
                <w:szCs w:val="21"/>
                <w:highlight w:val="none"/>
                <w:u w:val="single"/>
              </w:rPr>
              <w:t xml:space="preserve">/ </w:t>
            </w:r>
          </w:p>
          <w:p w14:paraId="0FFA02CF">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对分包人的资质要求：</w:t>
            </w:r>
            <w:r>
              <w:rPr>
                <w:rFonts w:hint="eastAsia" w:ascii="仿宋" w:hAnsi="仿宋" w:eastAsia="仿宋" w:cs="仿宋"/>
                <w:color w:val="auto"/>
                <w:sz w:val="21"/>
                <w:szCs w:val="21"/>
                <w:highlight w:val="none"/>
                <w:u w:val="single"/>
              </w:rPr>
              <w:t>/</w:t>
            </w:r>
          </w:p>
          <w:p w14:paraId="13DEE5A6">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不允许</w:t>
            </w:r>
          </w:p>
        </w:tc>
      </w:tr>
      <w:tr w14:paraId="43D8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92F68BD">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w:t>
            </w:r>
          </w:p>
        </w:tc>
        <w:tc>
          <w:tcPr>
            <w:tcW w:w="1523" w:type="dxa"/>
            <w:noWrap w:val="0"/>
            <w:vAlign w:val="center"/>
          </w:tcPr>
          <w:p w14:paraId="1E595A65">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样品要求</w:t>
            </w:r>
          </w:p>
        </w:tc>
        <w:tc>
          <w:tcPr>
            <w:tcW w:w="7392" w:type="dxa"/>
            <w:noWrap w:val="0"/>
            <w:vAlign w:val="center"/>
          </w:tcPr>
          <w:p w14:paraId="58FB4911">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是否要求提交样品：</w:t>
            </w:r>
          </w:p>
          <w:p w14:paraId="61FFE33A">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要求：/</w:t>
            </w:r>
          </w:p>
          <w:p w14:paraId="6B955406">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不要求</w:t>
            </w:r>
          </w:p>
          <w:p w14:paraId="3339B300">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是否要求随样品提交检测报告：/</w:t>
            </w:r>
          </w:p>
          <w:p w14:paraId="16573FB7">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要求：/</w:t>
            </w:r>
          </w:p>
          <w:p w14:paraId="1A6E0AA6">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bookmarkStart w:id="138" w:name="OLE_LINK11"/>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不要求</w:t>
            </w:r>
            <w:bookmarkEnd w:id="138"/>
          </w:p>
        </w:tc>
      </w:tr>
      <w:tr w14:paraId="4DA8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68363AA">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1523" w:type="dxa"/>
            <w:noWrap w:val="0"/>
            <w:vAlign w:val="center"/>
          </w:tcPr>
          <w:p w14:paraId="3A26E0A6">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构成招标文件的其他资料</w:t>
            </w:r>
          </w:p>
        </w:tc>
        <w:tc>
          <w:tcPr>
            <w:tcW w:w="7392" w:type="dxa"/>
            <w:noWrap w:val="0"/>
            <w:vAlign w:val="center"/>
          </w:tcPr>
          <w:p w14:paraId="067A7FC4">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对招标文件作出的澄清、修改或更正公告及补遗文件（若有）</w:t>
            </w:r>
            <w:r>
              <w:rPr>
                <w:rFonts w:hint="eastAsia" w:ascii="仿宋" w:hAnsi="仿宋" w:eastAsia="仿宋" w:cs="仿宋"/>
                <w:color w:val="auto"/>
                <w:sz w:val="21"/>
                <w:szCs w:val="21"/>
                <w:highlight w:val="none"/>
                <w:lang w:eastAsia="zh-CN"/>
              </w:rPr>
              <w:t>。</w:t>
            </w:r>
          </w:p>
        </w:tc>
      </w:tr>
      <w:tr w14:paraId="6873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669A79A">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p>
        </w:tc>
        <w:tc>
          <w:tcPr>
            <w:tcW w:w="1523" w:type="dxa"/>
            <w:noWrap w:val="0"/>
            <w:vAlign w:val="center"/>
          </w:tcPr>
          <w:p w14:paraId="14538E64">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招标文件澄清截止时间</w:t>
            </w:r>
          </w:p>
        </w:tc>
        <w:tc>
          <w:tcPr>
            <w:tcW w:w="7392" w:type="dxa"/>
            <w:noWrap w:val="0"/>
            <w:vAlign w:val="center"/>
          </w:tcPr>
          <w:p w14:paraId="0F152A41">
            <w:pPr>
              <w:keepNext w:val="0"/>
              <w:keepLines w:val="0"/>
              <w:pageBreakBefore w:val="0"/>
              <w:suppressLineNumbers w:val="0"/>
              <w:kinsoku/>
              <w:wordWrap w:val="0"/>
              <w:overflowPunct/>
              <w:topLine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招标文件澄清截止时间：采购人或者采购代理机构应当在投标截止时间至少15日前，以书面形式通知所有获取招标文件的潜在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；不足15日的，采购人或者采购代理机构应当顺延提交投标文件的截止时间</w:t>
            </w:r>
            <w:r>
              <w:rPr>
                <w:rFonts w:hint="eastAsia" w:ascii="仿宋" w:hAnsi="仿宋" w:eastAsia="仿宋" w:cs="仿宋"/>
                <w:color w:val="auto"/>
                <w:sz w:val="21"/>
                <w:szCs w:val="21"/>
                <w:highlight w:val="none"/>
                <w:lang w:eastAsia="zh-CN"/>
              </w:rPr>
              <w:t>。</w:t>
            </w:r>
          </w:p>
        </w:tc>
      </w:tr>
      <w:tr w14:paraId="02F1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7E54A3E">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w:t>
            </w:r>
          </w:p>
        </w:tc>
        <w:tc>
          <w:tcPr>
            <w:tcW w:w="1523" w:type="dxa"/>
            <w:noWrap w:val="0"/>
            <w:vAlign w:val="center"/>
          </w:tcPr>
          <w:p w14:paraId="2425CC7F">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招标文件修改发出的形式</w:t>
            </w:r>
          </w:p>
        </w:tc>
        <w:tc>
          <w:tcPr>
            <w:tcW w:w="7392" w:type="dxa"/>
            <w:noWrap w:val="0"/>
            <w:vAlign w:val="center"/>
          </w:tcPr>
          <w:p w14:paraId="243D75C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在原招标公告发布媒体上发布澄清公告</w:t>
            </w:r>
            <w:r>
              <w:rPr>
                <w:rFonts w:hint="eastAsia" w:ascii="仿宋" w:hAnsi="仿宋" w:eastAsia="仿宋" w:cs="仿宋"/>
                <w:color w:val="auto"/>
                <w:sz w:val="21"/>
                <w:szCs w:val="21"/>
                <w:highlight w:val="none"/>
                <w:lang w:eastAsia="zh-CN"/>
              </w:rPr>
              <w:t>。</w:t>
            </w:r>
          </w:p>
        </w:tc>
      </w:tr>
      <w:tr w14:paraId="100A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095C74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w:t>
            </w:r>
          </w:p>
        </w:tc>
        <w:tc>
          <w:tcPr>
            <w:tcW w:w="1523" w:type="dxa"/>
            <w:noWrap w:val="0"/>
            <w:vAlign w:val="center"/>
          </w:tcPr>
          <w:p w14:paraId="52084EA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确认收到招标文件修改</w:t>
            </w:r>
          </w:p>
        </w:tc>
        <w:tc>
          <w:tcPr>
            <w:tcW w:w="7392" w:type="dxa"/>
            <w:noWrap w:val="0"/>
            <w:vAlign w:val="center"/>
          </w:tcPr>
          <w:p w14:paraId="035FAFAC">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时间：24小时</w:t>
            </w:r>
          </w:p>
          <w:p w14:paraId="2F7D0A89">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形式：书面形式</w:t>
            </w:r>
          </w:p>
        </w:tc>
      </w:tr>
      <w:tr w14:paraId="2A3B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AC6B569">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w:t>
            </w:r>
          </w:p>
        </w:tc>
        <w:tc>
          <w:tcPr>
            <w:tcW w:w="1523" w:type="dxa"/>
            <w:noWrap w:val="0"/>
            <w:vAlign w:val="center"/>
          </w:tcPr>
          <w:p w14:paraId="1CAD6F6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构成投标文件的其他材料</w:t>
            </w:r>
          </w:p>
        </w:tc>
        <w:tc>
          <w:tcPr>
            <w:tcW w:w="7392" w:type="dxa"/>
            <w:noWrap w:val="0"/>
            <w:vAlign w:val="center"/>
          </w:tcPr>
          <w:p w14:paraId="357FAC47">
            <w:pPr>
              <w:keepNext w:val="0"/>
              <w:keepLines w:val="0"/>
              <w:pageBreakBefore w:val="0"/>
              <w:suppressLineNumbers w:val="0"/>
              <w:kinsoku/>
              <w:wordWrap w:val="0"/>
              <w:overflowPunct/>
              <w:topLine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本招标文件“采购需求及要求”中要求提供的其他资料</w:t>
            </w:r>
            <w:r>
              <w:rPr>
                <w:rFonts w:hint="eastAsia" w:ascii="仿宋" w:hAnsi="仿宋" w:eastAsia="仿宋" w:cs="仿宋"/>
                <w:color w:val="auto"/>
                <w:sz w:val="21"/>
                <w:szCs w:val="21"/>
                <w:highlight w:val="none"/>
                <w:lang w:eastAsia="zh-CN"/>
              </w:rPr>
              <w:t>。</w:t>
            </w:r>
          </w:p>
          <w:p w14:paraId="7A158279">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招标文件要求或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认为需要提交的其他资料。</w:t>
            </w:r>
          </w:p>
          <w:p w14:paraId="5A3519CA">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在评标过程中作出的符合法律法规和招标文件规定的澄清、说明或者补正。</w:t>
            </w:r>
          </w:p>
        </w:tc>
      </w:tr>
      <w:tr w14:paraId="4762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033723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w:t>
            </w:r>
          </w:p>
        </w:tc>
        <w:tc>
          <w:tcPr>
            <w:tcW w:w="1523" w:type="dxa"/>
            <w:noWrap w:val="0"/>
            <w:vAlign w:val="center"/>
          </w:tcPr>
          <w:p w14:paraId="0BE298F8">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7392" w:type="dxa"/>
            <w:noWrap w:val="0"/>
            <w:vAlign w:val="center"/>
          </w:tcPr>
          <w:p w14:paraId="59A3F98D">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从提交投标文件的截止之日起计算 </w:t>
            </w: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日历日。</w:t>
            </w:r>
          </w:p>
        </w:tc>
      </w:tr>
      <w:tr w14:paraId="2236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6AA5A5B">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w:t>
            </w:r>
          </w:p>
        </w:tc>
        <w:tc>
          <w:tcPr>
            <w:tcW w:w="1523" w:type="dxa"/>
            <w:noWrap w:val="0"/>
            <w:vAlign w:val="center"/>
          </w:tcPr>
          <w:p w14:paraId="2F66C719">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7392" w:type="dxa"/>
            <w:noWrap w:val="0"/>
            <w:vAlign w:val="center"/>
          </w:tcPr>
          <w:p w14:paraId="4D2DE389">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投标保证金按如下要求提交：</w:t>
            </w:r>
          </w:p>
          <w:p w14:paraId="75CE94BB">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w:t>
            </w:r>
            <w:r>
              <w:rPr>
                <w:rFonts w:hint="eastAsia" w:ascii="仿宋" w:hAnsi="仿宋" w:eastAsia="仿宋" w:cs="仿宋"/>
                <w:bCs/>
                <w:color w:val="auto"/>
                <w:sz w:val="21"/>
                <w:szCs w:val="21"/>
                <w:highlight w:val="none"/>
                <w:lang w:bidi="ar"/>
              </w:rPr>
              <w:t>支票、汇票、本票、保函或者网银转账、电汇等形式，且必须从</w:t>
            </w:r>
            <w:r>
              <w:rPr>
                <w:rFonts w:hint="eastAsia" w:ascii="仿宋" w:hAnsi="仿宋" w:eastAsia="仿宋" w:cs="仿宋"/>
                <w:bCs/>
                <w:color w:val="auto"/>
                <w:sz w:val="21"/>
                <w:szCs w:val="21"/>
                <w:highlight w:val="none"/>
                <w:lang w:eastAsia="zh-CN" w:bidi="ar"/>
              </w:rPr>
              <w:t>供应商</w:t>
            </w:r>
            <w:r>
              <w:rPr>
                <w:rFonts w:hint="eastAsia" w:ascii="仿宋" w:hAnsi="仿宋" w:eastAsia="仿宋" w:cs="仿宋"/>
                <w:bCs/>
                <w:color w:val="auto"/>
                <w:sz w:val="21"/>
                <w:szCs w:val="21"/>
                <w:highlight w:val="none"/>
                <w:lang w:bidi="ar"/>
              </w:rPr>
              <w:t>的基本账户划出。</w:t>
            </w:r>
          </w:p>
          <w:p w14:paraId="75A68982">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rPr>
              <w:t>投标保证金金额</w:t>
            </w:r>
            <w:r>
              <w:rPr>
                <w:rFonts w:hint="eastAsia" w:ascii="仿宋" w:hAnsi="仿宋" w:eastAsia="仿宋" w:cs="仿宋"/>
                <w:color w:val="auto"/>
                <w:sz w:val="21"/>
                <w:szCs w:val="21"/>
                <w:highlight w:val="none"/>
                <w:u w:val="none"/>
                <w:lang w:val="en-US" w:eastAsia="zh-CN"/>
              </w:rPr>
              <w:t>：</w:t>
            </w:r>
          </w:p>
          <w:p w14:paraId="61F2C665">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Cs/>
                <w:sz w:val="21"/>
                <w:szCs w:val="21"/>
                <w:highlight w:val="none"/>
                <w:lang w:val="en-US" w:eastAsia="zh-CN"/>
              </w:rPr>
              <w:t>1标段</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¥60000.00</w:t>
            </w:r>
            <w:r>
              <w:rPr>
                <w:rFonts w:hint="eastAsia" w:ascii="仿宋" w:hAnsi="仿宋" w:eastAsia="仿宋" w:cs="仿宋"/>
                <w:bCs/>
                <w:sz w:val="21"/>
                <w:szCs w:val="21"/>
                <w:highlight w:val="none"/>
              </w:rPr>
              <w:t>元（</w:t>
            </w:r>
            <w:r>
              <w:rPr>
                <w:rFonts w:hint="eastAsia" w:ascii="仿宋" w:hAnsi="仿宋" w:eastAsia="仿宋" w:cs="仿宋"/>
                <w:bCs/>
                <w:sz w:val="21"/>
                <w:szCs w:val="21"/>
                <w:highlight w:val="none"/>
                <w:lang w:val="en-US" w:eastAsia="zh-CN"/>
              </w:rPr>
              <w:t>大写：人民币陆万元整</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2标段</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¥30000.00</w:t>
            </w:r>
            <w:r>
              <w:rPr>
                <w:rFonts w:hint="eastAsia" w:ascii="仿宋" w:hAnsi="仿宋" w:eastAsia="仿宋" w:cs="仿宋"/>
                <w:bCs/>
                <w:sz w:val="21"/>
                <w:szCs w:val="21"/>
                <w:highlight w:val="none"/>
              </w:rPr>
              <w:t>元（</w:t>
            </w:r>
            <w:r>
              <w:rPr>
                <w:rFonts w:hint="eastAsia" w:ascii="仿宋" w:hAnsi="仿宋" w:eastAsia="仿宋" w:cs="仿宋"/>
                <w:bCs/>
                <w:sz w:val="21"/>
                <w:szCs w:val="21"/>
                <w:highlight w:val="none"/>
                <w:lang w:val="en-US" w:eastAsia="zh-CN"/>
              </w:rPr>
              <w:t>大写：人民币叁万元整</w:t>
            </w:r>
            <w:r>
              <w:rPr>
                <w:rFonts w:hint="eastAsia" w:ascii="仿宋" w:hAnsi="仿宋" w:eastAsia="仿宋" w:cs="仿宋"/>
                <w:bCs/>
                <w:sz w:val="21"/>
                <w:szCs w:val="21"/>
                <w:highlight w:val="none"/>
              </w:rPr>
              <w:t>）</w:t>
            </w:r>
            <w:r>
              <w:rPr>
                <w:rFonts w:hint="eastAsia" w:ascii="仿宋" w:hAnsi="仿宋" w:eastAsia="仿宋" w:cs="仿宋"/>
                <w:b/>
                <w:bCs/>
                <w:color w:val="auto"/>
                <w:sz w:val="21"/>
                <w:szCs w:val="21"/>
                <w:highlight w:val="none"/>
              </w:rPr>
              <w:t>（汇款备注：</w:t>
            </w:r>
            <w:r>
              <w:rPr>
                <w:rFonts w:hint="eastAsia" w:ascii="仿宋" w:hAnsi="仿宋" w:eastAsia="仿宋" w:cs="仿宋"/>
                <w:b/>
                <w:bCs/>
                <w:color w:val="auto"/>
                <w:sz w:val="21"/>
                <w:szCs w:val="21"/>
                <w:highlight w:val="none"/>
                <w:lang w:val="en-US" w:eastAsia="zh-CN"/>
              </w:rPr>
              <w:t>YNZZ202605-112+标段号</w:t>
            </w:r>
            <w:r>
              <w:rPr>
                <w:rFonts w:hint="eastAsia" w:ascii="仿宋" w:hAnsi="仿宋" w:eastAsia="仿宋" w:cs="仿宋"/>
                <w:b/>
                <w:bCs/>
                <w:color w:val="auto"/>
                <w:sz w:val="21"/>
                <w:szCs w:val="21"/>
                <w:highlight w:val="none"/>
              </w:rPr>
              <w:t>保证金）</w:t>
            </w:r>
          </w:p>
          <w:p w14:paraId="30C3B1F1">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保证金递交截止时间同投标文件递交截止时间。到账时间以项目专项账户实际到账时间为准，未按时到账的保证金视为未提交。</w:t>
            </w:r>
          </w:p>
          <w:p w14:paraId="0D9B345A">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（一）网银转账</w:t>
            </w:r>
          </w:p>
          <w:p w14:paraId="549A3213">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保证金账户信息：</w:t>
            </w:r>
          </w:p>
          <w:p w14:paraId="23E0FE8B">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户名：云南中招招标有限公司</w:t>
            </w:r>
          </w:p>
          <w:p w14:paraId="59BEDA78">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账号：1340 7333 8045</w:t>
            </w:r>
          </w:p>
          <w:p w14:paraId="6BAECCF2">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开户银行：中国银行股份有限公司昆明市海源北路支行</w:t>
            </w:r>
          </w:p>
          <w:p w14:paraId="7887F940">
            <w:pPr>
              <w:pStyle w:val="63"/>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（二）采用支票、汇票、本票提交的，供应商应将支票、汇票、本票扫描件附于投标文件中。</w:t>
            </w:r>
          </w:p>
          <w:p w14:paraId="1DD05A5F">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05A1EA13">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保证金退还方式：保证金退还时，不退现金。以网上银行的方式将保证金退还至供应商原提交账户，未中标人的投标保证金在中标通知书发出之日起5个工作日内退还，中标人的投标保证金在合同签订之日起5个工作日内退还。请</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准确提供公司账户信息。</w:t>
            </w:r>
          </w:p>
          <w:p w14:paraId="61EB2520">
            <w:pPr>
              <w:keepNext w:val="0"/>
              <w:keepLines w:val="0"/>
              <w:pageBreakBefore w:val="0"/>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（2）本账户为云南中招招标有限公司保证金专属账户，</w:t>
            </w:r>
            <w:r>
              <w:rPr>
                <w:rFonts w:hint="eastAsia" w:ascii="仿宋" w:hAnsi="仿宋" w:eastAsia="仿宋" w:cs="仿宋"/>
                <w:b w:val="0"/>
                <w:bCs w:val="0"/>
                <w:color w:val="auto"/>
                <w:sz w:val="21"/>
                <w:szCs w:val="21"/>
                <w:highlight w:val="none"/>
                <w:lang w:eastAsia="zh-CN"/>
              </w:rPr>
              <w:t>其他</w:t>
            </w:r>
            <w:r>
              <w:rPr>
                <w:rFonts w:hint="eastAsia" w:ascii="仿宋" w:hAnsi="仿宋" w:eastAsia="仿宋" w:cs="仿宋"/>
                <w:b w:val="0"/>
                <w:bCs w:val="0"/>
                <w:color w:val="auto"/>
                <w:sz w:val="21"/>
                <w:szCs w:val="21"/>
                <w:highlight w:val="none"/>
              </w:rPr>
              <w:t>款项（成交服务费/采购代理费）则交到基本户（招商银行昆明分行科创园支行）。</w:t>
            </w:r>
          </w:p>
          <w:p w14:paraId="642A8CD0">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（3）保证金缴纳后可联系我公司财务确认到账情况，财务电话：0871-68308282、68308050-625、626</w:t>
            </w:r>
          </w:p>
          <w:p w14:paraId="729AE16F">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（三）投标保证金采用银行保函方式的：</w:t>
            </w:r>
            <w:r>
              <w:rPr>
                <w:rFonts w:hint="eastAsia" w:ascii="仿宋" w:hAnsi="仿宋" w:eastAsia="仿宋" w:cs="仿宋"/>
                <w:color w:val="auto"/>
                <w:kern w:val="0"/>
                <w:sz w:val="21"/>
                <w:szCs w:val="21"/>
                <w:highlight w:val="none"/>
                <w:lang w:bidi="ar"/>
              </w:rPr>
              <w:t>保函</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应是</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，受益人应是采购人，保证人应是</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基本账号的开户银行。银行保函应正确填写受益人和</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的全称，并与招标文件规定的项目名称相一致，以免造成投标无效。当</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违反政府采购法律法规规章等规定且符合保证金不予退回情形的，由银行按照银行保函合同对采购人代偿投标保证金。</w:t>
            </w:r>
          </w:p>
          <w:p w14:paraId="0DD2986C">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lang w:bidi="ar"/>
              </w:rPr>
              <w:t>（四）投标保证金采用电子保险保函方式的：</w:t>
            </w:r>
            <w:r>
              <w:rPr>
                <w:rFonts w:hint="eastAsia" w:ascii="仿宋" w:hAnsi="仿宋" w:eastAsia="仿宋" w:cs="仿宋"/>
                <w:color w:val="auto"/>
                <w:kern w:val="0"/>
                <w:sz w:val="21"/>
                <w:szCs w:val="21"/>
                <w:highlight w:val="none"/>
                <w:lang w:bidi="ar"/>
              </w:rPr>
              <w:t>在投标保证保险中，</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为投保人，采购人为被保险人。当</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违反法律法规且符合投标保证金不予退回情形的，由保险公司按照保险合同对采购人代偿投标保证金金额</w:t>
            </w:r>
            <w:r>
              <w:rPr>
                <w:rFonts w:hint="eastAsia" w:ascii="仿宋" w:hAnsi="仿宋" w:eastAsia="仿宋" w:cs="仿宋"/>
                <w:color w:val="auto"/>
                <w:sz w:val="21"/>
                <w:szCs w:val="21"/>
                <w:highlight w:val="none"/>
              </w:rPr>
              <w:t>。</w:t>
            </w:r>
          </w:p>
          <w:p w14:paraId="11477F05">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以银行保函或者保证保险方式缴纳的保证金由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自行联系出函机构进行办理。</w:t>
            </w:r>
          </w:p>
          <w:p w14:paraId="5076169F">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注：</w:t>
            </w:r>
            <w:r>
              <w:rPr>
                <w:rFonts w:hint="eastAsia" w:ascii="仿宋" w:hAnsi="仿宋" w:eastAsia="仿宋" w:cs="仿宋"/>
                <w:b/>
                <w:bCs/>
                <w:color w:val="auto"/>
                <w:sz w:val="21"/>
                <w:szCs w:val="21"/>
                <w:highlight w:val="none"/>
              </w:rPr>
              <w:t>有下列情形之一的</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投标保证金将不予退还</w:t>
            </w:r>
            <w:r>
              <w:rPr>
                <w:rFonts w:hint="eastAsia" w:ascii="仿宋" w:hAnsi="仿宋" w:eastAsia="仿宋" w:cs="仿宋"/>
                <w:b/>
                <w:bCs/>
                <w:color w:val="auto"/>
                <w:sz w:val="21"/>
                <w:szCs w:val="21"/>
                <w:highlight w:val="none"/>
                <w:lang w:eastAsia="zh-CN"/>
              </w:rPr>
              <w:t>：</w:t>
            </w:r>
          </w:p>
          <w:p w14:paraId="569CD5A4">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串通投标或有视为串通投标情形之一的；</w:t>
            </w:r>
          </w:p>
          <w:p w14:paraId="58748BEC">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提供虚假材料；</w:t>
            </w:r>
          </w:p>
          <w:p w14:paraId="28839D0D">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采取不正当手段诋毁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排挤其他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p>
          <w:p w14:paraId="5F948A21">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（4）投标截止时间后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在投标有效期内撤销投标文件；</w:t>
            </w:r>
          </w:p>
          <w:p w14:paraId="0B63D5E3">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（5）中标人有下列情形之一的</w:t>
            </w:r>
            <w:r>
              <w:rPr>
                <w:rFonts w:hint="eastAsia" w:ascii="仿宋" w:hAnsi="仿宋" w:eastAsia="仿宋" w:cs="仿宋"/>
                <w:color w:val="auto"/>
                <w:sz w:val="21"/>
                <w:szCs w:val="21"/>
                <w:highlight w:val="none"/>
                <w:lang w:eastAsia="zh-CN"/>
              </w:rPr>
              <w:t>：</w:t>
            </w:r>
          </w:p>
          <w:p w14:paraId="0C6E7636">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a.除不可抗力外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因中标人自身原因未在中标通知书要求的期限内与采购人签订政府采购合同；</w:t>
            </w:r>
          </w:p>
          <w:p w14:paraId="7CA962DE">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b.未按照招标文件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投标文件的约定签订政府采购合同。</w:t>
            </w:r>
          </w:p>
          <w:p w14:paraId="0CA4EC13">
            <w:pPr>
              <w:keepNext w:val="0"/>
              <w:keepLines w:val="0"/>
              <w:pageBreakBefore w:val="0"/>
              <w:widowControl/>
              <w:suppressLineNumbers w:val="0"/>
              <w:kinsoku/>
              <w:wordWrap w:val="0"/>
              <w:overflow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若上述投标保证金不予退还情形给采购人（采购代理机构）造成损失</w:t>
            </w:r>
            <w:bookmarkStart w:id="139" w:name="_Toc24394_WPSOffice_Level2"/>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则</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还</w:t>
            </w:r>
            <w:bookmarkEnd w:id="139"/>
            <w:r>
              <w:rPr>
                <w:rFonts w:hint="eastAsia" w:ascii="仿宋" w:hAnsi="仿宋" w:eastAsia="仿宋" w:cs="仿宋"/>
                <w:color w:val="auto"/>
                <w:sz w:val="21"/>
                <w:szCs w:val="21"/>
                <w:highlight w:val="none"/>
              </w:rPr>
              <w:t>要承担相应的赔偿责任。</w:t>
            </w:r>
          </w:p>
        </w:tc>
      </w:tr>
      <w:tr w14:paraId="2730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A60227A">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3.5.7</w:t>
            </w:r>
          </w:p>
        </w:tc>
        <w:tc>
          <w:tcPr>
            <w:tcW w:w="1523" w:type="dxa"/>
            <w:noWrap w:val="0"/>
            <w:vAlign w:val="center"/>
          </w:tcPr>
          <w:p w14:paraId="3DC408D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签章、签字或盖章要求</w:t>
            </w:r>
          </w:p>
        </w:tc>
        <w:tc>
          <w:tcPr>
            <w:tcW w:w="7392" w:type="dxa"/>
            <w:noWrap w:val="0"/>
            <w:vAlign w:val="center"/>
          </w:tcPr>
          <w:p w14:paraId="5BEF2520">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按照投标文件格式，采用单位和个人数字证书电子签章及电子签名：投标文件需要企业、法定代表人电子签章及电子签名。</w:t>
            </w:r>
          </w:p>
        </w:tc>
      </w:tr>
      <w:tr w14:paraId="25D7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5A5AE6DE">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4.2.1</w:t>
            </w:r>
          </w:p>
        </w:tc>
        <w:tc>
          <w:tcPr>
            <w:tcW w:w="1523" w:type="dxa"/>
            <w:noWrap w:val="0"/>
            <w:vAlign w:val="center"/>
          </w:tcPr>
          <w:p w14:paraId="6BB1EFAD">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w:t>
            </w:r>
          </w:p>
        </w:tc>
        <w:tc>
          <w:tcPr>
            <w:tcW w:w="7392" w:type="dxa"/>
            <w:noWrap w:val="0"/>
            <w:vAlign w:val="center"/>
          </w:tcPr>
          <w:p w14:paraId="50E4005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第一章招标公告</w:t>
            </w:r>
            <w:r>
              <w:rPr>
                <w:rFonts w:hint="eastAsia" w:ascii="仿宋" w:hAnsi="仿宋" w:eastAsia="仿宋" w:cs="仿宋"/>
                <w:color w:val="auto"/>
                <w:sz w:val="21"/>
                <w:szCs w:val="21"/>
                <w:highlight w:val="none"/>
                <w:lang w:eastAsia="zh-CN"/>
              </w:rPr>
              <w:t>”。</w:t>
            </w:r>
          </w:p>
        </w:tc>
      </w:tr>
      <w:tr w14:paraId="530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1E99B233">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4.2.2</w:t>
            </w:r>
          </w:p>
        </w:tc>
        <w:tc>
          <w:tcPr>
            <w:tcW w:w="1523" w:type="dxa"/>
            <w:noWrap w:val="0"/>
            <w:vAlign w:val="center"/>
          </w:tcPr>
          <w:p w14:paraId="798FD5BD">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递交投标文件地点</w:t>
            </w:r>
          </w:p>
        </w:tc>
        <w:tc>
          <w:tcPr>
            <w:tcW w:w="7392" w:type="dxa"/>
            <w:noWrap w:val="0"/>
            <w:vAlign w:val="center"/>
          </w:tcPr>
          <w:p w14:paraId="100F50C4">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第一章招标公告</w:t>
            </w:r>
            <w:r>
              <w:rPr>
                <w:rFonts w:hint="eastAsia" w:ascii="仿宋" w:hAnsi="仿宋" w:eastAsia="仿宋" w:cs="仿宋"/>
                <w:color w:val="auto"/>
                <w:sz w:val="21"/>
                <w:szCs w:val="21"/>
                <w:highlight w:val="none"/>
                <w:lang w:eastAsia="zh-CN"/>
              </w:rPr>
              <w:t>”。</w:t>
            </w:r>
          </w:p>
        </w:tc>
      </w:tr>
      <w:tr w14:paraId="686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07E2618">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4.2.3</w:t>
            </w:r>
          </w:p>
        </w:tc>
        <w:tc>
          <w:tcPr>
            <w:tcW w:w="1523" w:type="dxa"/>
            <w:noWrap w:val="0"/>
            <w:vAlign w:val="center"/>
          </w:tcPr>
          <w:p w14:paraId="3DE1A2A9">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是否退还已递交的投标文件</w:t>
            </w:r>
          </w:p>
        </w:tc>
        <w:tc>
          <w:tcPr>
            <w:tcW w:w="7392" w:type="dxa"/>
            <w:noWrap w:val="0"/>
            <w:vAlign w:val="center"/>
          </w:tcPr>
          <w:p w14:paraId="1636A763">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□是，退还时间：/</w:t>
            </w:r>
          </w:p>
          <w:p w14:paraId="36056711">
            <w:pPr>
              <w:keepNext w:val="0"/>
              <w:keepLines w:val="0"/>
              <w:pageBreakBefore w:val="0"/>
              <w:suppressLineNumbers w:val="0"/>
              <w:kinsoku/>
              <w:wordWrap w:val="0"/>
              <w:overflowPunct/>
              <w:topLinePunct/>
              <w:bidi w:val="0"/>
              <w:spacing w:before="0" w:beforeAutospacing="0" w:after="0" w:afterAutospacing="0" w:line="360" w:lineRule="auto"/>
              <w:ind w:left="0" w:right="0"/>
              <w:rPr>
                <w:rFonts w:hint="eastAsia" w:ascii="仿宋" w:hAnsi="仿宋" w:eastAsia="仿宋" w:cs="仿宋"/>
                <w:color w:val="auto"/>
                <w:sz w:val="21"/>
                <w:szCs w:val="21"/>
                <w:highlight w:val="none"/>
              </w:rPr>
            </w:pPr>
            <w:bookmarkStart w:id="140" w:name="OLE_LINK12"/>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否</w:t>
            </w:r>
            <w:bookmarkEnd w:id="140"/>
          </w:p>
        </w:tc>
      </w:tr>
      <w:tr w14:paraId="207F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580C3DA">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w:t>
            </w:r>
          </w:p>
        </w:tc>
        <w:tc>
          <w:tcPr>
            <w:tcW w:w="1523" w:type="dxa"/>
            <w:noWrap w:val="0"/>
            <w:vAlign w:val="center"/>
          </w:tcPr>
          <w:p w14:paraId="55073286">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开标时间和地点</w:t>
            </w:r>
          </w:p>
        </w:tc>
        <w:tc>
          <w:tcPr>
            <w:tcW w:w="7392" w:type="dxa"/>
            <w:noWrap w:val="0"/>
            <w:vAlign w:val="center"/>
          </w:tcPr>
          <w:p w14:paraId="4C5DF6D5">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开标时间：同投标文件提交截止时间；</w:t>
            </w:r>
          </w:p>
          <w:p w14:paraId="59A2663C">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开标地点：政采云平台（http：//www.zcygov.cn）</w:t>
            </w:r>
          </w:p>
          <w:p w14:paraId="14CAB0C9">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D1A4D39">
            <w:pPr>
              <w:keepNext w:val="0"/>
              <w:keepLines w:val="0"/>
              <w:pageBreakBefore w:val="0"/>
              <w:numPr>
                <w:ilvl w:val="0"/>
                <w:numId w:val="0"/>
              </w:numPr>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无需到现场开标。</w:t>
            </w:r>
          </w:p>
          <w:p w14:paraId="21DBBDC4">
            <w:pPr>
              <w:keepNext w:val="0"/>
              <w:keepLines w:val="0"/>
              <w:pageBreakBefore w:val="0"/>
              <w:numPr>
                <w:ilvl w:val="0"/>
                <w:numId w:val="0"/>
              </w:numPr>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照本项目采购文件和"政采云"平台的要求编制、加密后在投标文件提交截止时间前上传至"政采云"平台，按《供应商操作指南》（https://edu.zcygov.cn/luban/yunnan-dzjy-gys?utm=a0017.b3687.48.18.4b09ec80cbc911edb8a97356c5970511）完成远程投标文件解密等相关操作。投标文件提交截止时间前未完成投标文件上传的，视为撤回投标文件。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未在规定时间完成投标文件解密，则视为无效投标，不再进入评标阶段。供应商在"政采云"平台提交电子版投标文件时，请填写参加远程采购活动经办人联系方式。</w:t>
            </w:r>
          </w:p>
        </w:tc>
      </w:tr>
      <w:tr w14:paraId="31C3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4BC56209">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7.2.1</w:t>
            </w:r>
          </w:p>
        </w:tc>
        <w:tc>
          <w:tcPr>
            <w:tcW w:w="1523" w:type="dxa"/>
            <w:noWrap w:val="0"/>
            <w:vAlign w:val="center"/>
          </w:tcPr>
          <w:p w14:paraId="499B6ED5">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评标委员会的组建</w:t>
            </w:r>
          </w:p>
        </w:tc>
        <w:tc>
          <w:tcPr>
            <w:tcW w:w="7392" w:type="dxa"/>
            <w:noWrap w:val="0"/>
            <w:vAlign w:val="center"/>
          </w:tcPr>
          <w:p w14:paraId="67A154D7">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评标委员会构成：评标委员会由采购人代表和评审专家组成，成员人数为5人以上单数，其中评审专家不得少于成员总数的三分之二。</w:t>
            </w:r>
          </w:p>
          <w:p w14:paraId="1CBE4ACD">
            <w:pPr>
              <w:keepNext w:val="0"/>
              <w:keepLines w:val="0"/>
              <w:pageBreakBefore w:val="0"/>
              <w:suppressLineNumbers w:val="0"/>
              <w:kinsoku/>
              <w:wordWrap w:val="0"/>
              <w:overflowPunct/>
              <w:autoSpaceDE w:val="0"/>
              <w:autoSpaceDN w:val="0"/>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评标专家确定方式：财政部门设立的评审专家库中随机抽取评审专家。</w:t>
            </w:r>
          </w:p>
        </w:tc>
      </w:tr>
      <w:tr w14:paraId="5614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4F2D285">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7.3.2</w:t>
            </w:r>
          </w:p>
        </w:tc>
        <w:tc>
          <w:tcPr>
            <w:tcW w:w="1523" w:type="dxa"/>
            <w:noWrap w:val="0"/>
            <w:vAlign w:val="center"/>
          </w:tcPr>
          <w:p w14:paraId="19BC5AD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评标委员会推荐中标候选人的人数</w:t>
            </w:r>
          </w:p>
        </w:tc>
        <w:tc>
          <w:tcPr>
            <w:tcW w:w="7392" w:type="dxa"/>
            <w:noWrap w:val="0"/>
            <w:vAlign w:val="center"/>
          </w:tcPr>
          <w:p w14:paraId="79C8F8C6">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lang w:eastAsia="zh-CN"/>
              </w:rPr>
            </w:pPr>
            <w:r>
              <w:rPr>
                <w:rFonts w:hint="eastAsia" w:ascii="仿宋" w:hAnsi="仿宋" w:eastAsia="仿宋" w:cs="仿宋"/>
                <w:color w:val="auto"/>
                <w:spacing w:val="-2"/>
                <w:kern w:val="2"/>
                <w:sz w:val="21"/>
                <w:szCs w:val="21"/>
                <w:highlight w:val="none"/>
              </w:rPr>
              <w:t>3名</w:t>
            </w:r>
            <w:r>
              <w:rPr>
                <w:rFonts w:hint="eastAsia" w:ascii="仿宋" w:hAnsi="仿宋" w:eastAsia="仿宋" w:cs="仿宋"/>
                <w:color w:val="auto"/>
                <w:spacing w:val="-2"/>
                <w:kern w:val="2"/>
                <w:sz w:val="21"/>
                <w:szCs w:val="21"/>
                <w:highlight w:val="none"/>
                <w:lang w:eastAsia="zh-CN"/>
              </w:rPr>
              <w:t>。</w:t>
            </w:r>
          </w:p>
        </w:tc>
      </w:tr>
      <w:tr w14:paraId="4A21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2F86EB9D">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8.1</w:t>
            </w:r>
          </w:p>
        </w:tc>
        <w:tc>
          <w:tcPr>
            <w:tcW w:w="1523" w:type="dxa"/>
            <w:noWrap w:val="0"/>
            <w:vAlign w:val="center"/>
          </w:tcPr>
          <w:p w14:paraId="4C07BC2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是否授权评标委员会确定中标人</w:t>
            </w:r>
          </w:p>
        </w:tc>
        <w:tc>
          <w:tcPr>
            <w:tcW w:w="7392" w:type="dxa"/>
            <w:noWrap w:val="0"/>
            <w:vAlign w:val="center"/>
          </w:tcPr>
          <w:p w14:paraId="45CC2624">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pacing w:val="-2"/>
                <w:kern w:val="2"/>
                <w:sz w:val="21"/>
                <w:szCs w:val="21"/>
                <w:highlight w:val="none"/>
              </w:rPr>
              <w:t>是</w:t>
            </w:r>
          </w:p>
          <w:p w14:paraId="107820ED">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pacing w:val="-2"/>
                <w:kern w:val="2"/>
                <w:sz w:val="21"/>
                <w:szCs w:val="21"/>
                <w:highlight w:val="none"/>
              </w:rPr>
              <w:t>否</w:t>
            </w:r>
          </w:p>
        </w:tc>
      </w:tr>
      <w:tr w14:paraId="3668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0DD2BEFE">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8.3.2</w:t>
            </w:r>
          </w:p>
        </w:tc>
        <w:tc>
          <w:tcPr>
            <w:tcW w:w="1523" w:type="dxa"/>
            <w:noWrap w:val="0"/>
            <w:vAlign w:val="center"/>
          </w:tcPr>
          <w:p w14:paraId="5CFF095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中标公告媒体及期限</w:t>
            </w:r>
          </w:p>
        </w:tc>
        <w:tc>
          <w:tcPr>
            <w:tcW w:w="7392" w:type="dxa"/>
            <w:noWrap w:val="0"/>
            <w:vAlign w:val="center"/>
          </w:tcPr>
          <w:p w14:paraId="3DBE6FEF">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lang w:eastAsia="zh-CN"/>
              </w:rPr>
            </w:pPr>
            <w:r>
              <w:rPr>
                <w:rFonts w:hint="eastAsia" w:ascii="仿宋" w:hAnsi="仿宋" w:eastAsia="仿宋" w:cs="仿宋"/>
                <w:color w:val="auto"/>
                <w:spacing w:val="-2"/>
                <w:kern w:val="2"/>
                <w:sz w:val="21"/>
                <w:szCs w:val="21"/>
                <w:highlight w:val="none"/>
              </w:rPr>
              <w:t>公告媒介：与招标公告发布媒介一致</w:t>
            </w:r>
            <w:r>
              <w:rPr>
                <w:rFonts w:hint="eastAsia" w:ascii="仿宋" w:hAnsi="仿宋" w:eastAsia="仿宋" w:cs="仿宋"/>
                <w:color w:val="auto"/>
                <w:spacing w:val="-2"/>
                <w:kern w:val="2"/>
                <w:sz w:val="21"/>
                <w:szCs w:val="21"/>
                <w:highlight w:val="none"/>
                <w:lang w:eastAsia="zh-CN"/>
              </w:rPr>
              <w:t>。</w:t>
            </w:r>
          </w:p>
          <w:p w14:paraId="26D8E6DC">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lang w:eastAsia="zh-CN"/>
              </w:rPr>
            </w:pPr>
            <w:r>
              <w:rPr>
                <w:rFonts w:hint="eastAsia" w:ascii="仿宋" w:hAnsi="仿宋" w:eastAsia="仿宋" w:cs="仿宋"/>
                <w:color w:val="auto"/>
                <w:spacing w:val="-2"/>
                <w:kern w:val="2"/>
                <w:sz w:val="21"/>
                <w:szCs w:val="21"/>
                <w:highlight w:val="none"/>
              </w:rPr>
              <w:t>公告期限：1个工作日</w:t>
            </w:r>
            <w:r>
              <w:rPr>
                <w:rFonts w:hint="eastAsia" w:ascii="仿宋" w:hAnsi="仿宋" w:eastAsia="仿宋" w:cs="仿宋"/>
                <w:color w:val="auto"/>
                <w:spacing w:val="-2"/>
                <w:kern w:val="2"/>
                <w:sz w:val="21"/>
                <w:szCs w:val="21"/>
                <w:highlight w:val="none"/>
                <w:lang w:eastAsia="zh-CN"/>
              </w:rPr>
              <w:t>。</w:t>
            </w:r>
          </w:p>
        </w:tc>
      </w:tr>
      <w:tr w14:paraId="4840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7563EB9C">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8.6.1</w:t>
            </w:r>
          </w:p>
        </w:tc>
        <w:tc>
          <w:tcPr>
            <w:tcW w:w="1523" w:type="dxa"/>
            <w:noWrap w:val="0"/>
            <w:vAlign w:val="center"/>
          </w:tcPr>
          <w:p w14:paraId="11E38A63">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是否要求提交履约保证金</w:t>
            </w:r>
          </w:p>
        </w:tc>
        <w:tc>
          <w:tcPr>
            <w:tcW w:w="7392" w:type="dxa"/>
            <w:noWrap w:val="0"/>
            <w:vAlign w:val="center"/>
          </w:tcPr>
          <w:p w14:paraId="47DE1431">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rPr>
            </w:pPr>
            <w:r>
              <w:rPr>
                <w:rFonts w:hint="eastAsia" w:ascii="仿宋" w:hAnsi="仿宋" w:eastAsia="仿宋" w:cs="仿宋"/>
                <w:color w:val="auto"/>
                <w:spacing w:val="-2"/>
                <w:kern w:val="2"/>
                <w:sz w:val="21"/>
                <w:szCs w:val="21"/>
                <w:highlight w:val="none"/>
              </w:rPr>
              <w:sym w:font="Wingdings 2" w:char="0052"/>
            </w:r>
            <w:r>
              <w:rPr>
                <w:rFonts w:hint="eastAsia" w:ascii="仿宋" w:hAnsi="仿宋" w:eastAsia="仿宋" w:cs="仿宋"/>
                <w:color w:val="auto"/>
                <w:spacing w:val="-2"/>
                <w:kern w:val="2"/>
                <w:sz w:val="21"/>
                <w:szCs w:val="21"/>
                <w:highlight w:val="none"/>
              </w:rPr>
              <w:t>不要求</w:t>
            </w:r>
          </w:p>
          <w:p w14:paraId="0750E99D">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pacing w:val="-2"/>
                <w:kern w:val="2"/>
                <w:sz w:val="21"/>
                <w:szCs w:val="21"/>
                <w:highlight w:val="none"/>
              </w:rPr>
            </w:pPr>
            <w:r>
              <w:rPr>
                <w:rFonts w:hint="eastAsia" w:ascii="仿宋" w:hAnsi="仿宋" w:eastAsia="仿宋" w:cs="仿宋"/>
                <w:strike w:val="0"/>
                <w:dstrike w:val="0"/>
                <w:color w:val="auto"/>
                <w:spacing w:val="-2"/>
                <w:kern w:val="2"/>
                <w:sz w:val="21"/>
                <w:szCs w:val="21"/>
                <w:highlight w:val="none"/>
                <w:lang w:eastAsia="zh-CN"/>
              </w:rPr>
              <w:t>□</w:t>
            </w:r>
            <w:r>
              <w:rPr>
                <w:rFonts w:hint="eastAsia" w:ascii="仿宋" w:hAnsi="仿宋" w:eastAsia="仿宋" w:cs="仿宋"/>
                <w:strike w:val="0"/>
                <w:dstrike w:val="0"/>
                <w:color w:val="auto"/>
                <w:spacing w:val="-2"/>
                <w:kern w:val="2"/>
                <w:sz w:val="21"/>
                <w:szCs w:val="21"/>
                <w:highlight w:val="none"/>
              </w:rPr>
              <w:t>要求</w:t>
            </w:r>
          </w:p>
        </w:tc>
      </w:tr>
      <w:tr w14:paraId="6E85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66B18CA">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523" w:type="dxa"/>
            <w:noWrap w:val="0"/>
            <w:vAlign w:val="center"/>
          </w:tcPr>
          <w:p w14:paraId="1BED71B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是否采用电子化招标投标</w:t>
            </w:r>
          </w:p>
        </w:tc>
        <w:tc>
          <w:tcPr>
            <w:tcW w:w="7392" w:type="dxa"/>
            <w:noWrap w:val="0"/>
            <w:vAlign w:val="center"/>
          </w:tcPr>
          <w:p w14:paraId="0603A3DC">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pacing w:val="-2"/>
                <w:kern w:val="2"/>
                <w:sz w:val="21"/>
                <w:szCs w:val="21"/>
                <w:highlight w:val="none"/>
              </w:rPr>
              <w:t>是：</w:t>
            </w: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第一章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招标公告</w:t>
            </w:r>
            <w:r>
              <w:rPr>
                <w:rFonts w:hint="eastAsia" w:ascii="仿宋" w:hAnsi="仿宋" w:eastAsia="仿宋" w:cs="仿宋"/>
                <w:color w:val="auto"/>
                <w:sz w:val="21"/>
                <w:szCs w:val="21"/>
                <w:highlight w:val="none"/>
                <w:lang w:eastAsia="zh-CN"/>
              </w:rPr>
              <w:t>”</w:t>
            </w:r>
          </w:p>
          <w:p w14:paraId="0BE88FC2">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pacing w:val="-2"/>
                <w:kern w:val="2"/>
                <w:sz w:val="21"/>
                <w:szCs w:val="21"/>
                <w:highlight w:val="none"/>
              </w:rPr>
              <w:t>否：本项目非电子化招投标项目，</w:t>
            </w:r>
            <w:r>
              <w:rPr>
                <w:rFonts w:hint="eastAsia" w:ascii="仿宋" w:hAnsi="仿宋" w:eastAsia="仿宋" w:cs="仿宋"/>
                <w:color w:val="auto"/>
                <w:spacing w:val="-2"/>
                <w:kern w:val="2"/>
                <w:sz w:val="21"/>
                <w:szCs w:val="21"/>
                <w:highlight w:val="none"/>
                <w:lang w:eastAsia="zh-CN"/>
              </w:rPr>
              <w:t>供应商</w:t>
            </w:r>
            <w:r>
              <w:rPr>
                <w:rFonts w:hint="eastAsia" w:ascii="仿宋" w:hAnsi="仿宋" w:eastAsia="仿宋" w:cs="仿宋"/>
                <w:color w:val="auto"/>
                <w:spacing w:val="-2"/>
                <w:kern w:val="2"/>
                <w:sz w:val="21"/>
                <w:szCs w:val="21"/>
                <w:highlight w:val="none"/>
              </w:rPr>
              <w:t>无需遵照招标文件中有关电子化招标投标的内容及规定。</w:t>
            </w:r>
          </w:p>
        </w:tc>
      </w:tr>
      <w:tr w14:paraId="5108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restart"/>
            <w:noWrap w:val="0"/>
            <w:vAlign w:val="center"/>
          </w:tcPr>
          <w:p w14:paraId="1CE6F61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bookmarkStart w:id="141" w:name="_Hlk140159526"/>
            <w:r>
              <w:rPr>
                <w:rFonts w:hint="eastAsia" w:ascii="仿宋" w:hAnsi="仿宋" w:eastAsia="仿宋" w:cs="仿宋"/>
                <w:color w:val="auto"/>
                <w:sz w:val="21"/>
                <w:szCs w:val="21"/>
                <w:highlight w:val="none"/>
              </w:rPr>
              <w:t>13</w:t>
            </w:r>
          </w:p>
        </w:tc>
        <w:tc>
          <w:tcPr>
            <w:tcW w:w="8915" w:type="dxa"/>
            <w:gridSpan w:val="2"/>
            <w:noWrap w:val="0"/>
            <w:vAlign w:val="center"/>
          </w:tcPr>
          <w:p w14:paraId="5A8C127A">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政府采购政策</w:t>
            </w:r>
            <w:bookmarkEnd w:id="141"/>
          </w:p>
        </w:tc>
      </w:tr>
      <w:tr w14:paraId="7E39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1CB6DA32">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00CFE88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w:t>
            </w:r>
          </w:p>
        </w:tc>
        <w:tc>
          <w:tcPr>
            <w:tcW w:w="7392" w:type="dxa"/>
            <w:noWrap w:val="0"/>
            <w:vAlign w:val="center"/>
          </w:tcPr>
          <w:p w14:paraId="3ECE661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小型和微型企业价格扣除评分优惠政策</w:t>
            </w:r>
          </w:p>
          <w:p w14:paraId="637FD1FA">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是否适用于本项目：</w:t>
            </w:r>
            <w:r>
              <w:rPr>
                <w:rFonts w:hint="eastAsia" w:ascii="仿宋" w:hAnsi="仿宋" w:eastAsia="仿宋" w:cs="仿宋"/>
                <w:bCs/>
                <w:color w:val="auto"/>
                <w:sz w:val="21"/>
                <w:szCs w:val="21"/>
                <w:highlight w:val="none"/>
              </w:rPr>
              <w:sym w:font="Wingdings 2" w:char="0052"/>
            </w:r>
            <w:r>
              <w:rPr>
                <w:rFonts w:hint="eastAsia" w:ascii="仿宋" w:hAnsi="仿宋" w:eastAsia="仿宋" w:cs="仿宋"/>
                <w:bCs/>
                <w:color w:val="auto"/>
                <w:sz w:val="21"/>
                <w:szCs w:val="21"/>
                <w:highlight w:val="none"/>
              </w:rPr>
              <w:t>适用 □不适用。</w:t>
            </w:r>
          </w:p>
          <w:p w14:paraId="6A71D72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政府采购促进中小企业发展管理办法》（财库〔2020〕46号）、《关于进一步加大政府采购支持中小企业力度的通知》（财库〔2022〕19号），对符合规定的小微企业报价给予10%的扣除，用扣除后的价格参加评审。符合条件的供应商应根据下表内容填写《中小企业声明函》：</w:t>
            </w:r>
          </w:p>
          <w:p w14:paraId="3B833BF3">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采购标的对应的中小企业划分标准所属行业：本项目所属行业为</w:t>
            </w:r>
            <w:r>
              <w:rPr>
                <w:rFonts w:hint="eastAsia" w:ascii="仿宋" w:hAnsi="仿宋" w:eastAsia="仿宋" w:cs="仿宋"/>
                <w:b/>
                <w:color w:val="auto"/>
                <w:sz w:val="21"/>
                <w:szCs w:val="21"/>
                <w:highlight w:val="none"/>
                <w:lang w:val="en-US" w:eastAsia="zh-CN"/>
              </w:rPr>
              <w:t>工</w:t>
            </w:r>
            <w:r>
              <w:rPr>
                <w:rFonts w:hint="eastAsia" w:ascii="仿宋" w:hAnsi="仿宋" w:eastAsia="仿宋" w:cs="仿宋"/>
                <w:b/>
                <w:color w:val="auto"/>
                <w:sz w:val="21"/>
                <w:szCs w:val="21"/>
                <w:highlight w:val="none"/>
                <w:lang w:eastAsia="zh-CN"/>
              </w:rPr>
              <w:t>业，符合条件的供应商应根据《关于印发中小企业划型标准规定的通知》中</w:t>
            </w:r>
            <w:r>
              <w:rPr>
                <w:rFonts w:hint="eastAsia" w:ascii="仿宋" w:hAnsi="仿宋" w:eastAsia="仿宋" w:cs="仿宋"/>
                <w:b/>
                <w:color w:val="auto"/>
                <w:sz w:val="21"/>
                <w:szCs w:val="21"/>
                <w:highlight w:val="none"/>
                <w:lang w:val="en-US" w:eastAsia="zh-CN"/>
              </w:rPr>
              <w:t>工</w:t>
            </w:r>
            <w:r>
              <w:rPr>
                <w:rFonts w:hint="eastAsia" w:ascii="仿宋" w:hAnsi="仿宋" w:eastAsia="仿宋" w:cs="仿宋"/>
                <w:b/>
                <w:color w:val="auto"/>
                <w:sz w:val="21"/>
                <w:szCs w:val="21"/>
                <w:highlight w:val="none"/>
                <w:lang w:eastAsia="zh-CN"/>
              </w:rPr>
              <w:t>业划型标准进行划型。</w:t>
            </w:r>
          </w:p>
          <w:p w14:paraId="49ED928E">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71ACB43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①中小企业提供《中小企业声明函》时，标的名称须根据本次采购标的名称逐项填写。</w:t>
            </w:r>
          </w:p>
          <w:p w14:paraId="7B850CA2">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②</w:t>
            </w:r>
            <w:r>
              <w:rPr>
                <w:rFonts w:hint="eastAsia" w:ascii="仿宋" w:hAnsi="仿宋" w:eastAsia="仿宋" w:cs="仿宋"/>
                <w:b/>
                <w:color w:val="auto"/>
                <w:sz w:val="21"/>
                <w:szCs w:val="21"/>
                <w:highlight w:val="none"/>
                <w:lang w:eastAsia="zh-CN"/>
              </w:rPr>
              <w:t>供应商</w:t>
            </w:r>
            <w:r>
              <w:rPr>
                <w:rFonts w:hint="eastAsia" w:ascii="仿宋" w:hAnsi="仿宋" w:eastAsia="仿宋" w:cs="仿宋"/>
                <w:b/>
                <w:color w:val="auto"/>
                <w:sz w:val="21"/>
                <w:szCs w:val="21"/>
                <w:highlight w:val="none"/>
              </w:rPr>
              <w:t>提供声明函内容不实的，属于提供虚假材料谋取中标、成交，依照《中华人民共和国政府采购法》等国家有关规定追究相应责任。</w:t>
            </w:r>
          </w:p>
          <w:p w14:paraId="55A76AFE">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③中标人享受本办法（财库〔2020〕46号）规定的中小企业扶持政策的，采购代理机构随中标结果公开中标人的《中小企业声明函》，接受社会监督。</w:t>
            </w:r>
          </w:p>
          <w:p w14:paraId="511D65F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监狱企业价格扣除评分优惠政策</w:t>
            </w:r>
          </w:p>
          <w:p w14:paraId="4F124C73">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是否适用于本项目：</w:t>
            </w:r>
            <w:r>
              <w:rPr>
                <w:rFonts w:hint="eastAsia" w:ascii="仿宋" w:hAnsi="仿宋" w:eastAsia="仿宋" w:cs="仿宋"/>
                <w:bCs/>
                <w:color w:val="auto"/>
                <w:sz w:val="21"/>
                <w:szCs w:val="21"/>
                <w:highlight w:val="none"/>
              </w:rPr>
              <w:sym w:font="Wingdings 2" w:char="0052"/>
            </w:r>
            <w:r>
              <w:rPr>
                <w:rFonts w:hint="eastAsia" w:ascii="仿宋" w:hAnsi="仿宋" w:eastAsia="仿宋" w:cs="仿宋"/>
                <w:bCs/>
                <w:color w:val="auto"/>
                <w:sz w:val="21"/>
                <w:szCs w:val="21"/>
                <w:highlight w:val="none"/>
              </w:rPr>
              <w:t>适用 □不适用。</w:t>
            </w:r>
          </w:p>
          <w:p w14:paraId="6659164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根据《关于政府采购支持监狱企业发展有关问题的通知》（财库[2014]68号）的规定，监狱企业参与本项目投标时，视同小型、微型企业享受价格扣除等优惠政策。</w:t>
            </w:r>
          </w:p>
          <w:p w14:paraId="42B2BD1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注：监狱企业参加政府采购活动时，应当提供由省级以上监狱管理局、戒毒管理局(含新疆生产建设兵团)出具的属于监狱企业的证明文件。</w:t>
            </w:r>
          </w:p>
          <w:p w14:paraId="035816C3">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残疾人福利性单位价格扣除优惠政策</w:t>
            </w:r>
          </w:p>
          <w:p w14:paraId="32921CA4">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是否适用于本项目：</w:t>
            </w:r>
            <w:r>
              <w:rPr>
                <w:rFonts w:hint="eastAsia" w:ascii="仿宋" w:hAnsi="仿宋" w:eastAsia="仿宋" w:cs="仿宋"/>
                <w:bCs/>
                <w:color w:val="auto"/>
                <w:sz w:val="21"/>
                <w:szCs w:val="21"/>
                <w:highlight w:val="none"/>
              </w:rPr>
              <w:sym w:font="Wingdings 2" w:char="0052"/>
            </w:r>
            <w:r>
              <w:rPr>
                <w:rFonts w:hint="eastAsia" w:ascii="仿宋" w:hAnsi="仿宋" w:eastAsia="仿宋" w:cs="仿宋"/>
                <w:bCs/>
                <w:color w:val="auto"/>
                <w:sz w:val="21"/>
                <w:szCs w:val="21"/>
                <w:highlight w:val="none"/>
              </w:rPr>
              <w:t>适用 □不适用。</w:t>
            </w:r>
          </w:p>
          <w:p w14:paraId="15403CEC">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根据《关于促进残疾人就业政府采购政策的通知》（财库[2017]141号）的规定，残疾人福利性单位参与本项目投标时，视同小型、微型企业享受价格扣除等优惠政策。</w:t>
            </w:r>
          </w:p>
          <w:p w14:paraId="09F6AD9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残疾人福利性单位在参加政府采购活动时，应当提供《残疾人福利性单位声明函》，并对声明的真实性负责。中标、中标人为残疾人福利性单位的，采购人或者其委托的采购代理机构应当随中标、中标结果同时公告其《残疾人福利性单位声明函》，接受社会监督。《残疾人福利性单位声明函》格式详见招标文件第七章附件</w:t>
            </w:r>
          </w:p>
          <w:p w14:paraId="669E1A76">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4</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节能环保</w:t>
            </w:r>
          </w:p>
          <w:p w14:paraId="6A3A938D">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是否适用于本项目：</w:t>
            </w:r>
            <w:r>
              <w:rPr>
                <w:rFonts w:hint="eastAsia" w:ascii="仿宋" w:hAnsi="仿宋" w:eastAsia="仿宋" w:cs="仿宋"/>
                <w:bCs/>
                <w:color w:val="auto"/>
                <w:sz w:val="21"/>
                <w:szCs w:val="21"/>
                <w:highlight w:val="none"/>
              </w:rPr>
              <w:sym w:font="Wingdings 2" w:char="0052"/>
            </w:r>
            <w:r>
              <w:rPr>
                <w:rFonts w:hint="eastAsia" w:ascii="仿宋" w:hAnsi="仿宋" w:eastAsia="仿宋" w:cs="仿宋"/>
                <w:bCs/>
                <w:color w:val="auto"/>
                <w:sz w:val="21"/>
                <w:szCs w:val="21"/>
                <w:highlight w:val="none"/>
              </w:rPr>
              <w:t>适用□不适用。</w:t>
            </w:r>
          </w:p>
          <w:p w14:paraId="5B5D212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若所投产品为节能产品、环境标志产品且能提供有效的认证证书，在技术评审时按评标办法中相应条款得分。</w:t>
            </w:r>
          </w:p>
          <w:p w14:paraId="154B4C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节能产品、环境标志产品清单可通过中国政府采购网（http://www.ccgp.gov.cn/）、国家发展改革委网站（http://hzs.ndrc.gov.cn/）查阅、下载；国家环境保护部网（http://www.sepa.gov.cn/）查阅、下载。</w:t>
            </w:r>
          </w:p>
          <w:p w14:paraId="22FD16E0">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5</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对符合本国产品标准的产品给予价格扣除评分优惠政策</w:t>
            </w:r>
          </w:p>
          <w:p w14:paraId="604F639C">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是否适用于本项目：</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适用 </w:t>
            </w:r>
            <w:r>
              <w:rPr>
                <w:rFonts w:hint="eastAsia" w:ascii="仿宋" w:hAnsi="仿宋" w:eastAsia="仿宋" w:cs="仿宋"/>
                <w:b w:val="0"/>
                <w:bCs/>
                <w:color w:val="auto"/>
                <w:sz w:val="21"/>
                <w:szCs w:val="21"/>
                <w:highlight w:val="none"/>
              </w:rPr>
              <w:sym w:font="Wingdings 2" w:char="0052"/>
            </w:r>
            <w:r>
              <w:rPr>
                <w:rFonts w:hint="eastAsia" w:ascii="仿宋" w:hAnsi="仿宋" w:eastAsia="仿宋" w:cs="仿宋"/>
                <w:b w:val="0"/>
                <w:bCs/>
                <w:color w:val="auto"/>
                <w:sz w:val="21"/>
                <w:szCs w:val="21"/>
                <w:highlight w:val="none"/>
              </w:rPr>
              <w:t>不适用。</w:t>
            </w:r>
          </w:p>
          <w:p w14:paraId="0B5839CC">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根据《国务院办公厅关于在政府采购中实施本国产品标准及相关政策的通知》（国办发〔2025〕34号）及《财政部关于贯彻落实&lt;国务院办公厅关于在政府采购中实施本国产品标准及相关政策的通知&gt;的意见》（财库〔2025〕30号）</w:t>
            </w:r>
            <w:r>
              <w:rPr>
                <w:rFonts w:hint="eastAsia" w:ascii="仿宋" w:hAnsi="仿宋" w:eastAsia="仿宋" w:cs="仿宋"/>
                <w:b w:val="0"/>
                <w:bCs/>
                <w:color w:val="auto"/>
                <w:sz w:val="21"/>
                <w:szCs w:val="21"/>
                <w:highlight w:val="none"/>
                <w:lang w:val="en-US" w:eastAsia="zh-CN"/>
              </w:rPr>
              <w:t>的</w:t>
            </w:r>
            <w:r>
              <w:rPr>
                <w:rFonts w:hint="eastAsia" w:ascii="仿宋" w:hAnsi="仿宋" w:eastAsia="仿宋" w:cs="仿宋"/>
                <w:b w:val="0"/>
                <w:bCs/>
                <w:color w:val="auto"/>
                <w:sz w:val="21"/>
                <w:szCs w:val="21"/>
                <w:highlight w:val="none"/>
              </w:rPr>
              <w:t>相关规定，政府采购活动中既有本国产品又有非本国产品参与竞争的，依法对本国产品给予价格评审优惠，对本国产品的报价给予20%的价格扣除，用扣除后的价格参与评审。</w:t>
            </w:r>
          </w:p>
          <w:p w14:paraId="154D6261">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5B107C6">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7141A0DC">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①</w:t>
            </w:r>
            <w:r>
              <w:rPr>
                <w:rFonts w:hint="eastAsia" w:ascii="仿宋" w:hAnsi="仿宋" w:eastAsia="仿宋" w:cs="仿宋"/>
                <w:b/>
                <w:color w:val="auto"/>
                <w:sz w:val="21"/>
                <w:szCs w:val="21"/>
                <w:highlight w:val="none"/>
              </w:rPr>
              <w:t>供应商对其提供的产品出具《关于符合本国产品标准的声明函》或财政部会同有关部门规定的有关证明文件。出具符合要求的《声明函》</w:t>
            </w:r>
            <w:r>
              <w:rPr>
                <w:rFonts w:hint="eastAsia" w:ascii="仿宋" w:hAnsi="仿宋" w:eastAsia="仿宋" w:cs="仿宋"/>
                <w:b/>
                <w:color w:val="auto"/>
                <w:sz w:val="21"/>
                <w:szCs w:val="21"/>
                <w:highlight w:val="none"/>
                <w:lang w:val="en-US" w:eastAsia="zh-CN"/>
              </w:rPr>
              <w:t>或《承诺函》或</w:t>
            </w:r>
            <w:r>
              <w:rPr>
                <w:rFonts w:hint="eastAsia" w:ascii="仿宋" w:hAnsi="仿宋" w:eastAsia="仿宋" w:cs="仿宋"/>
                <w:b/>
                <w:color w:val="auto"/>
                <w:sz w:val="21"/>
                <w:szCs w:val="21"/>
                <w:highlight w:val="none"/>
              </w:rPr>
              <w:t>有关证明文件的，该产品视为本国产品。未能提供《声明函》</w:t>
            </w:r>
            <w:r>
              <w:rPr>
                <w:rFonts w:hint="eastAsia" w:ascii="仿宋" w:hAnsi="仿宋" w:eastAsia="仿宋" w:cs="仿宋"/>
                <w:b/>
                <w:color w:val="auto"/>
                <w:sz w:val="21"/>
                <w:szCs w:val="21"/>
                <w:highlight w:val="none"/>
                <w:lang w:val="en-US" w:eastAsia="zh-CN"/>
              </w:rPr>
              <w:t>或《承诺函》</w:t>
            </w:r>
            <w:r>
              <w:rPr>
                <w:rFonts w:hint="eastAsia" w:ascii="仿宋" w:hAnsi="仿宋" w:eastAsia="仿宋" w:cs="仿宋"/>
                <w:b/>
                <w:color w:val="auto"/>
                <w:sz w:val="21"/>
                <w:szCs w:val="21"/>
                <w:highlight w:val="none"/>
              </w:rPr>
              <w:t>或</w:t>
            </w:r>
            <w:r>
              <w:rPr>
                <w:rFonts w:hint="eastAsia" w:ascii="仿宋" w:hAnsi="仿宋" w:eastAsia="仿宋" w:cs="仿宋"/>
                <w:b/>
                <w:color w:val="auto"/>
                <w:sz w:val="21"/>
                <w:szCs w:val="21"/>
                <w:highlight w:val="none"/>
                <w:lang w:val="en-US" w:eastAsia="zh-CN"/>
              </w:rPr>
              <w:t>有关证明文件</w:t>
            </w:r>
            <w:r>
              <w:rPr>
                <w:rFonts w:hint="eastAsia" w:ascii="仿宋" w:hAnsi="仿宋" w:eastAsia="仿宋" w:cs="仿宋"/>
                <w:b/>
                <w:color w:val="auto"/>
                <w:sz w:val="21"/>
                <w:szCs w:val="21"/>
                <w:highlight w:val="none"/>
              </w:rPr>
              <w:t>不足以证明符合本国产品标准的，不享受对本国产品</w:t>
            </w:r>
            <w:r>
              <w:rPr>
                <w:rFonts w:hint="eastAsia" w:ascii="仿宋" w:hAnsi="仿宋" w:eastAsia="仿宋" w:cs="仿宋"/>
                <w:b/>
                <w:color w:val="auto"/>
                <w:sz w:val="21"/>
                <w:szCs w:val="21"/>
                <w:highlight w:val="none"/>
                <w:lang w:val="en-US" w:eastAsia="zh-CN"/>
              </w:rPr>
              <w:t>标准</w:t>
            </w:r>
            <w:r>
              <w:rPr>
                <w:rFonts w:hint="eastAsia" w:ascii="仿宋" w:hAnsi="仿宋" w:eastAsia="仿宋" w:cs="仿宋"/>
                <w:b/>
                <w:color w:val="auto"/>
                <w:sz w:val="21"/>
                <w:szCs w:val="21"/>
                <w:highlight w:val="none"/>
              </w:rPr>
              <w:t>的政府采购支持政策。供应商提供虚假《声明函》</w:t>
            </w:r>
            <w:r>
              <w:rPr>
                <w:rFonts w:hint="eastAsia" w:ascii="仿宋" w:hAnsi="仿宋" w:eastAsia="仿宋" w:cs="仿宋"/>
                <w:b/>
                <w:color w:val="auto"/>
                <w:sz w:val="21"/>
                <w:szCs w:val="21"/>
                <w:highlight w:val="none"/>
                <w:lang w:val="en-US" w:eastAsia="zh-CN"/>
              </w:rPr>
              <w:t>或《承诺函》</w:t>
            </w:r>
            <w:r>
              <w:rPr>
                <w:rFonts w:hint="eastAsia" w:ascii="仿宋" w:hAnsi="仿宋" w:eastAsia="仿宋" w:cs="仿宋"/>
                <w:b/>
                <w:color w:val="auto"/>
                <w:sz w:val="21"/>
                <w:szCs w:val="21"/>
                <w:highlight w:val="none"/>
              </w:rPr>
              <w:t>、虚假证明文件谋取中标、成交的，依照《中华人民共和国政府采购法》等法律法规规定追究相应责任。</w:t>
            </w:r>
          </w:p>
          <w:p w14:paraId="410E5619">
            <w:pPr>
              <w:pStyle w:val="138"/>
              <w:keepNext w:val="0"/>
              <w:keepLines w:val="0"/>
              <w:pageBreakBefore w:val="0"/>
              <w:suppressLineNumbers w:val="0"/>
              <w:kinsoku/>
              <w:wordWrap w:val="0"/>
              <w:overflowPunct/>
              <w:bidi w:val="0"/>
              <w:snapToGrid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②在分产品的中国境内生产的组件成本占比，以及对特定产品的关键组件、关键工序相关要求实施前，符合在中国境内生产条件的产品在政府采购活动中视同本国产品。</w:t>
            </w:r>
          </w:p>
          <w:p w14:paraId="48D6D1F2">
            <w:pPr>
              <w:pStyle w:val="138"/>
              <w:keepNext w:val="0"/>
              <w:keepLines w:val="0"/>
              <w:pageBreakBefore w:val="0"/>
              <w:numPr>
                <w:ilvl w:val="0"/>
                <w:numId w:val="0"/>
              </w:numPr>
              <w:suppressLineNumbers w:val="0"/>
              <w:kinsoku/>
              <w:wordWrap w:val="0"/>
              <w:overflowPunct/>
              <w:bidi w:val="0"/>
              <w:snapToGrid w:val="0"/>
              <w:spacing w:before="0" w:beforeAutospacing="0" w:after="0" w:afterAutospacing="0" w:line="360" w:lineRule="auto"/>
              <w:ind w:left="0" w:leftChars="0" w:right="0" w:rightChars="0"/>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lang w:val="en-US" w:eastAsia="zh-CN" w:bidi="ar-SA"/>
              </w:rPr>
              <w:t>6</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b/>
                <w:color w:val="auto"/>
                <w:kern w:val="2"/>
                <w:sz w:val="21"/>
                <w:szCs w:val="21"/>
                <w:highlight w:val="none"/>
              </w:rPr>
              <w:t>强制采购节能产品: /</w:t>
            </w:r>
          </w:p>
        </w:tc>
      </w:tr>
      <w:tr w14:paraId="624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restart"/>
            <w:noWrap w:val="0"/>
            <w:vAlign w:val="center"/>
          </w:tcPr>
          <w:p w14:paraId="04F1E835">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8915" w:type="dxa"/>
            <w:gridSpan w:val="2"/>
            <w:noWrap w:val="0"/>
            <w:vAlign w:val="center"/>
          </w:tcPr>
          <w:p w14:paraId="73E1497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需要补充的其他内容</w:t>
            </w:r>
          </w:p>
        </w:tc>
      </w:tr>
      <w:tr w14:paraId="5A88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32206C5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69E8BA11">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中标候选资格推选方式</w:t>
            </w:r>
          </w:p>
        </w:tc>
        <w:tc>
          <w:tcPr>
            <w:tcW w:w="7392" w:type="dxa"/>
            <w:noWrap w:val="0"/>
            <w:vAlign w:val="center"/>
          </w:tcPr>
          <w:p w14:paraId="1A15CF1E">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第三章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评标办法</w:t>
            </w:r>
            <w:r>
              <w:rPr>
                <w:rFonts w:hint="eastAsia" w:ascii="仿宋" w:hAnsi="仿宋" w:eastAsia="仿宋" w:cs="仿宋"/>
                <w:color w:val="auto"/>
                <w:sz w:val="21"/>
                <w:szCs w:val="21"/>
                <w:highlight w:val="none"/>
                <w:lang w:eastAsia="zh-CN"/>
              </w:rPr>
              <w:t>”</w:t>
            </w:r>
          </w:p>
        </w:tc>
      </w:tr>
      <w:tr w14:paraId="6187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16A2EBFB">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69F9AE6E">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实质性要求和条件</w:t>
            </w:r>
          </w:p>
        </w:tc>
        <w:tc>
          <w:tcPr>
            <w:tcW w:w="7392" w:type="dxa"/>
            <w:noWrap w:val="0"/>
            <w:vAlign w:val="center"/>
          </w:tcPr>
          <w:p w14:paraId="24E5E0EF">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第三章</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评标办法”符合性评审标准规定的内容及本招标文件中标注★号的其他条款为实质性要求和条件，不满足任何一条将导致投标无效。请各</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仔细阅读符合性评审标准和★号条款。</w:t>
            </w:r>
          </w:p>
        </w:tc>
      </w:tr>
      <w:tr w14:paraId="608C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6AB18142">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34E2DDE8">
            <w:pPr>
              <w:keepNext w:val="0"/>
              <w:keepLines w:val="0"/>
              <w:pageBreakBefore w:val="0"/>
              <w:suppressLineNumbers w:val="0"/>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信用查询具体要求</w:t>
            </w:r>
          </w:p>
        </w:tc>
        <w:tc>
          <w:tcPr>
            <w:tcW w:w="7392" w:type="dxa"/>
            <w:noWrap w:val="0"/>
            <w:vAlign w:val="center"/>
          </w:tcPr>
          <w:p w14:paraId="68643C80">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 w:val="21"/>
                <w:szCs w:val="21"/>
                <w:highlight w:val="none"/>
              </w:rPr>
              <w:t>信用信息查询渠道：信用中国网站、中国政府采购网；</w:t>
            </w:r>
          </w:p>
          <w:p w14:paraId="7B8E62F1">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 w:val="21"/>
                <w:szCs w:val="21"/>
                <w:highlight w:val="none"/>
              </w:rPr>
              <w:t>信用信息查询截止时点：同投标截止时间，评标开始前；</w:t>
            </w:r>
          </w:p>
          <w:p w14:paraId="51324D58">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 w:val="21"/>
                <w:szCs w:val="21"/>
                <w:highlight w:val="none"/>
              </w:rPr>
              <w:t>信用信息查询记录和证据留存具体方式：采购人、采购代理机构将经查询存在不良信用记录的潜在供应商查询结果证明材料作为查询记录和证据，与其他采购文件一并保存，供应商无需提供信用查询记录；</w:t>
            </w:r>
          </w:p>
          <w:p w14:paraId="50677D1D">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b/>
                <w:color w:val="auto"/>
                <w:sz w:val="21"/>
                <w:szCs w:val="21"/>
                <w:highlight w:val="none"/>
                <w:lang w:eastAsia="zh-CN"/>
              </w:rPr>
              <w:t>.</w:t>
            </w:r>
            <w:r>
              <w:rPr>
                <w:rFonts w:hint="eastAsia" w:ascii="仿宋" w:hAnsi="仿宋" w:eastAsia="仿宋" w:cs="仿宋"/>
                <w:color w:val="auto"/>
                <w:sz w:val="21"/>
                <w:szCs w:val="21"/>
                <w:highlight w:val="none"/>
              </w:rPr>
              <w:t>信用信息的使用规则：本政府采购项目的供应商在信用信息查询截止时点（含）之前列入失信被执行人、重大税收违法案件当事人名单、政府采购严重违法失信行为记录名单及其他不符合《中华人民共和国政府采购法》第二十二条规定条件的供应商，拒绝其参与政府采购活动。</w:t>
            </w:r>
          </w:p>
        </w:tc>
      </w:tr>
      <w:tr w14:paraId="419B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4C7D2116">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782BE5B2">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追加合同金额</w:t>
            </w:r>
          </w:p>
        </w:tc>
        <w:tc>
          <w:tcPr>
            <w:tcW w:w="7392" w:type="dxa"/>
            <w:noWrap w:val="0"/>
            <w:vAlign w:val="center"/>
          </w:tcPr>
          <w:p w14:paraId="208ACE22">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shd w:val="clear" w:color="auto" w:fill="FFFFFF"/>
              </w:rPr>
              <w:t>政府采购合同履行中，采购人需追加与合同标的相同的货物、工程或者服务的，在不改变合同其他条款的前提下，可以与中标人协商签订补充合同，但所有补充合同的采购金额不得超过原合同采购金额的百分之十。</w:t>
            </w:r>
          </w:p>
        </w:tc>
      </w:tr>
      <w:tr w14:paraId="4F8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6600A13D">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0A7DB320">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其他要求</w:t>
            </w:r>
          </w:p>
        </w:tc>
        <w:tc>
          <w:tcPr>
            <w:tcW w:w="7392" w:type="dxa"/>
            <w:noWrap w:val="0"/>
            <w:vAlign w:val="center"/>
          </w:tcPr>
          <w:p w14:paraId="319687A7">
            <w:pPr>
              <w:keepNext w:val="0"/>
              <w:keepLines w:val="0"/>
              <w:pageBreakBefore w:val="0"/>
              <w:suppressLineNumbers w:val="0"/>
              <w:kinsoku/>
              <w:wordWrap w:val="0"/>
              <w:overflowPunct/>
              <w:bidi w:val="0"/>
              <w:spacing w:before="0" w:beforeAutospacing="0" w:after="0" w:afterAutospacing="0" w:line="360" w:lineRule="auto"/>
              <w:ind w:left="0" w:right="0"/>
              <w:rPr>
                <w:rFonts w:hint="eastAsia" w:ascii="仿宋" w:hAnsi="仿宋" w:eastAsia="仿宋" w:cs="仿宋"/>
                <w:color w:val="auto"/>
                <w:sz w:val="21"/>
                <w:szCs w:val="21"/>
                <w:highlight w:val="none"/>
                <w:shd w:val="clear" w:color="auto" w:fill="FFFFFF"/>
                <w:lang w:val="en-US" w:eastAsia="zh-CN"/>
              </w:rPr>
            </w:pPr>
            <w:r>
              <w:rPr>
                <w:rFonts w:hint="eastAsia" w:ascii="仿宋" w:hAnsi="仿宋" w:eastAsia="仿宋" w:cs="仿宋"/>
                <w:color w:val="auto"/>
                <w:sz w:val="21"/>
                <w:szCs w:val="21"/>
                <w:highlight w:val="none"/>
                <w:shd w:val="clear" w:color="auto" w:fill="FFFFFF"/>
                <w:lang w:val="en-US" w:eastAsia="zh-CN"/>
              </w:rPr>
              <w:t>无。</w:t>
            </w:r>
          </w:p>
        </w:tc>
      </w:tr>
      <w:tr w14:paraId="59C5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restart"/>
            <w:noWrap w:val="0"/>
            <w:vAlign w:val="center"/>
          </w:tcPr>
          <w:p w14:paraId="5395D239">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bookmarkStart w:id="142" w:name="_Toc9292"/>
            <w:bookmarkStart w:id="143" w:name="_Toc920"/>
            <w:bookmarkStart w:id="144" w:name="_Toc71734678"/>
            <w:r>
              <w:rPr>
                <w:rFonts w:hint="eastAsia" w:ascii="仿宋" w:hAnsi="仿宋" w:eastAsia="仿宋" w:cs="仿宋"/>
                <w:color w:val="auto"/>
                <w:sz w:val="21"/>
                <w:szCs w:val="21"/>
                <w:highlight w:val="none"/>
                <w:lang w:val="en-US" w:eastAsia="zh-CN"/>
              </w:rPr>
              <w:t>15</w:t>
            </w:r>
          </w:p>
        </w:tc>
        <w:tc>
          <w:tcPr>
            <w:tcW w:w="1523" w:type="dxa"/>
            <w:noWrap w:val="0"/>
            <w:vAlign w:val="center"/>
          </w:tcPr>
          <w:p w14:paraId="62AE2072">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承诺提醒</w:t>
            </w:r>
          </w:p>
        </w:tc>
        <w:tc>
          <w:tcPr>
            <w:tcW w:w="7392" w:type="dxa"/>
            <w:noWrap w:val="0"/>
            <w:vAlign w:val="center"/>
          </w:tcPr>
          <w:p w14:paraId="28BB1D5A">
            <w:pPr>
              <w:pStyle w:val="15"/>
              <w:keepNext w:val="0"/>
              <w:keepLines w:val="0"/>
              <w:pageBreakBefore w:val="0"/>
              <w:suppressLineNumbers w:val="0"/>
              <w:kinsoku/>
              <w:wordWrap w:val="0"/>
              <w:overflowPunct/>
              <w:topLinePunct/>
              <w:bidi w:val="0"/>
              <w:spacing w:before="0" w:beforeAutospacing="0" w:after="0" w:afterAutospacing="0" w:line="360" w:lineRule="auto"/>
              <w:ind w:left="0" w:right="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kern w:val="2"/>
                <w:sz w:val="21"/>
                <w:szCs w:val="21"/>
                <w:highlight w:val="none"/>
                <w:lang w:bidi="ar-SA"/>
              </w:rPr>
              <w:t>关于</w:t>
            </w: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color w:val="auto"/>
                <w:kern w:val="2"/>
                <w:sz w:val="21"/>
                <w:szCs w:val="21"/>
                <w:highlight w:val="none"/>
                <w:lang w:bidi="ar-SA"/>
              </w:rPr>
              <w:t>针对本项目提出的相关资格或实质性要求的承诺（包括但不限于依法缴纳税收和社会保障资金），项目采购活动结束后，采购人或</w:t>
            </w:r>
            <w:r>
              <w:rPr>
                <w:rFonts w:hint="eastAsia" w:ascii="仿宋" w:hAnsi="仿宋" w:eastAsia="仿宋" w:cs="仿宋"/>
                <w:color w:val="auto"/>
                <w:kern w:val="2"/>
                <w:sz w:val="21"/>
                <w:szCs w:val="21"/>
                <w:highlight w:val="none"/>
                <w:lang w:eastAsia="zh-CN" w:bidi="ar-SA"/>
              </w:rPr>
              <w:t>采购代理机构</w:t>
            </w:r>
            <w:r>
              <w:rPr>
                <w:rFonts w:hint="eastAsia" w:ascii="仿宋" w:hAnsi="仿宋" w:eastAsia="仿宋" w:cs="仿宋"/>
                <w:color w:val="auto"/>
                <w:kern w:val="2"/>
                <w:sz w:val="21"/>
                <w:szCs w:val="21"/>
                <w:highlight w:val="none"/>
                <w:lang w:bidi="ar-SA"/>
              </w:rPr>
              <w:t>如有必要将核实</w:t>
            </w:r>
            <w:r>
              <w:rPr>
                <w:rFonts w:hint="eastAsia" w:ascii="仿宋" w:hAnsi="仿宋" w:eastAsia="仿宋" w:cs="仿宋"/>
                <w:color w:val="auto"/>
                <w:kern w:val="2"/>
                <w:sz w:val="21"/>
                <w:szCs w:val="21"/>
                <w:highlight w:val="none"/>
                <w:lang w:val="en-US" w:eastAsia="zh-CN" w:bidi="ar-SA"/>
              </w:rPr>
              <w:t>供应商</w:t>
            </w:r>
            <w:r>
              <w:rPr>
                <w:rFonts w:hint="eastAsia" w:ascii="仿宋" w:hAnsi="仿宋" w:eastAsia="仿宋" w:cs="仿宋"/>
                <w:color w:val="auto"/>
                <w:kern w:val="2"/>
                <w:sz w:val="21"/>
                <w:szCs w:val="21"/>
                <w:highlight w:val="none"/>
                <w:lang w:bidi="ar-SA"/>
              </w:rPr>
              <w:t>所作承诺真实性，如提供虚假承诺将报告监管部门严肃追究法律责任。</w:t>
            </w:r>
          </w:p>
        </w:tc>
      </w:tr>
      <w:tr w14:paraId="58D4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5412BF88">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2A0A17DE">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采购文件的解释</w:t>
            </w:r>
          </w:p>
        </w:tc>
        <w:tc>
          <w:tcPr>
            <w:tcW w:w="7392" w:type="dxa"/>
            <w:noWrap w:val="0"/>
            <w:vAlign w:val="center"/>
          </w:tcPr>
          <w:p w14:paraId="653056B1">
            <w:pPr>
              <w:keepNext w:val="0"/>
              <w:keepLines w:val="0"/>
              <w:pageBreakBefore w:val="0"/>
              <w:suppressLineNumbers w:val="0"/>
              <w:kinsoku/>
              <w:wordWrap w:val="0"/>
              <w:overflowPunct/>
              <w:topLinePunct/>
              <w:bidi w:val="0"/>
              <w:spacing w:before="0" w:beforeAutospacing="0" w:after="0" w:afterAutospacing="0" w:line="360" w:lineRule="auto"/>
              <w:ind w:left="0" w:right="0"/>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招标公告、</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或</w:t>
            </w:r>
            <w:r>
              <w:rPr>
                <w:rFonts w:hint="eastAsia" w:ascii="仿宋" w:hAnsi="仿宋" w:eastAsia="仿宋" w:cs="仿宋"/>
                <w:color w:val="auto"/>
                <w:sz w:val="21"/>
                <w:szCs w:val="21"/>
                <w:highlight w:val="none"/>
                <w:lang w:eastAsia="zh-CN"/>
              </w:rPr>
              <w:t>采购代理机构</w:t>
            </w:r>
            <w:r>
              <w:rPr>
                <w:rFonts w:hint="eastAsia" w:ascii="仿宋" w:hAnsi="仿宋" w:eastAsia="仿宋" w:cs="仿宋"/>
                <w:color w:val="auto"/>
                <w:sz w:val="21"/>
                <w:szCs w:val="21"/>
                <w:highlight w:val="none"/>
              </w:rPr>
              <w:t>负责解释。</w:t>
            </w:r>
          </w:p>
        </w:tc>
      </w:tr>
      <w:tr w14:paraId="323A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vMerge w:val="continue"/>
            <w:noWrap w:val="0"/>
            <w:vAlign w:val="center"/>
          </w:tcPr>
          <w:p w14:paraId="78FCF152">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1523" w:type="dxa"/>
            <w:noWrap w:val="0"/>
            <w:vAlign w:val="center"/>
          </w:tcPr>
          <w:p w14:paraId="4CC96E9D">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定义</w:t>
            </w:r>
          </w:p>
        </w:tc>
        <w:tc>
          <w:tcPr>
            <w:tcW w:w="7392" w:type="dxa"/>
            <w:noWrap w:val="0"/>
            <w:vAlign w:val="center"/>
          </w:tcPr>
          <w:p w14:paraId="5A9AC357">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1</w:t>
            </w: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0"/>
                <w:sz w:val="21"/>
                <w:szCs w:val="21"/>
                <w:highlight w:val="none"/>
                <w:lang w:bidi="ar"/>
              </w:rPr>
              <w:t>原件：</w:t>
            </w:r>
            <w:r>
              <w:rPr>
                <w:rFonts w:hint="eastAsia" w:ascii="仿宋" w:hAnsi="仿宋" w:eastAsia="仿宋" w:cs="仿宋"/>
                <w:color w:val="auto"/>
                <w:kern w:val="0"/>
                <w:sz w:val="21"/>
                <w:szCs w:val="21"/>
                <w:highlight w:val="none"/>
                <w:lang w:bidi="ar"/>
              </w:rPr>
              <w:t>最初产生的区别于复制件的原始文件或文件的原本。相关网站中标公告网页下载文件或截图并注明网址。</w:t>
            </w:r>
          </w:p>
          <w:p w14:paraId="5252795F">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val="zh-CN" w:bidi="ar"/>
              </w:rPr>
            </w:pPr>
            <w:r>
              <w:rPr>
                <w:rFonts w:hint="eastAsia" w:ascii="仿宋" w:hAnsi="仿宋" w:eastAsia="仿宋" w:cs="仿宋"/>
                <w:b/>
                <w:bCs/>
                <w:color w:val="auto"/>
                <w:kern w:val="0"/>
                <w:sz w:val="21"/>
                <w:szCs w:val="21"/>
                <w:highlight w:val="none"/>
                <w:lang w:val="zh-CN" w:bidi="ar"/>
              </w:rPr>
              <w:t>2</w:t>
            </w: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0"/>
                <w:sz w:val="21"/>
                <w:szCs w:val="21"/>
                <w:highlight w:val="none"/>
                <w:lang w:bidi="ar"/>
              </w:rPr>
              <w:t>书面形式：</w:t>
            </w:r>
            <w:r>
              <w:rPr>
                <w:rFonts w:hint="eastAsia" w:ascii="仿宋" w:hAnsi="仿宋" w:eastAsia="仿宋" w:cs="仿宋"/>
                <w:color w:val="auto"/>
                <w:kern w:val="0"/>
                <w:sz w:val="21"/>
                <w:szCs w:val="21"/>
                <w:highlight w:val="none"/>
                <w:lang w:bidi="ar"/>
              </w:rPr>
              <w:t>包括文字的打印或复印件、传真、信函、电传、电报、电子邮件等可以有形地表现所载内容的形式。</w:t>
            </w:r>
          </w:p>
          <w:p w14:paraId="6A3BB2EF">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val="zh-CN" w:bidi="ar"/>
              </w:rPr>
            </w:pPr>
            <w:r>
              <w:rPr>
                <w:rFonts w:hint="eastAsia" w:ascii="仿宋" w:hAnsi="仿宋" w:eastAsia="仿宋" w:cs="仿宋"/>
                <w:b/>
                <w:bCs/>
                <w:color w:val="auto"/>
                <w:kern w:val="0"/>
                <w:sz w:val="21"/>
                <w:szCs w:val="21"/>
                <w:highlight w:val="none"/>
                <w:lang w:val="zh-CN" w:bidi="ar"/>
              </w:rPr>
              <w:t>3</w:t>
            </w: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0"/>
                <w:sz w:val="21"/>
                <w:szCs w:val="21"/>
                <w:highlight w:val="none"/>
                <w:lang w:bidi="ar"/>
              </w:rPr>
              <w:t>证明文件的清晰度和可读性</w:t>
            </w:r>
            <w:r>
              <w:rPr>
                <w:rFonts w:hint="eastAsia" w:ascii="仿宋" w:hAnsi="仿宋" w:eastAsia="仿宋" w:cs="仿宋"/>
                <w:color w:val="auto"/>
                <w:kern w:val="0"/>
                <w:sz w:val="21"/>
                <w:szCs w:val="21"/>
                <w:highlight w:val="none"/>
                <w:lang w:bidi="ar"/>
              </w:rPr>
              <w:t>：</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所提供的证明文件应清晰、完整地表达信息，并保证文本和图表的清晰度和可读性。如果证明文件因未提供或因无法辨识确认无法正确表达信息、阅读困难等情况的发生，</w:t>
            </w:r>
            <w:r>
              <w:rPr>
                <w:rFonts w:hint="eastAsia" w:ascii="仿宋" w:hAnsi="仿宋" w:eastAsia="仿宋" w:cs="仿宋"/>
                <w:color w:val="auto"/>
                <w:sz w:val="21"/>
                <w:szCs w:val="21"/>
                <w:highlight w:val="none"/>
              </w:rPr>
              <w:t>则评标委员会有权视具体情形评分时予以处理，乃至作出不利于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的认定</w:t>
            </w:r>
            <w:r>
              <w:rPr>
                <w:rFonts w:hint="eastAsia" w:ascii="仿宋" w:hAnsi="仿宋" w:eastAsia="仿宋" w:cs="仿宋"/>
                <w:color w:val="auto"/>
                <w:kern w:val="0"/>
                <w:sz w:val="21"/>
                <w:szCs w:val="21"/>
                <w:highlight w:val="none"/>
                <w:lang w:bidi="ar"/>
              </w:rPr>
              <w:t>。</w:t>
            </w:r>
          </w:p>
          <w:p w14:paraId="655D7A58">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4</w:t>
            </w:r>
            <w:r>
              <w:rPr>
                <w:rFonts w:hint="eastAsia" w:ascii="仿宋" w:hAnsi="仿宋" w:eastAsia="仿宋" w:cs="仿宋"/>
                <w:b/>
                <w:color w:val="auto"/>
                <w:sz w:val="21"/>
                <w:szCs w:val="21"/>
                <w:highlight w:val="none"/>
                <w:lang w:eastAsia="zh-CN"/>
              </w:rPr>
              <w:t>.</w:t>
            </w:r>
            <w:r>
              <w:rPr>
                <w:rFonts w:hint="eastAsia" w:ascii="仿宋" w:hAnsi="仿宋" w:eastAsia="仿宋" w:cs="仿宋"/>
                <w:b/>
                <w:bCs/>
                <w:color w:val="auto"/>
                <w:kern w:val="0"/>
                <w:sz w:val="21"/>
                <w:szCs w:val="21"/>
                <w:highlight w:val="none"/>
                <w:lang w:bidi="ar"/>
              </w:rPr>
              <w:t>证明文件的完整性：</w:t>
            </w: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所提供的证明文件应保证文件完整，包括所有必要的页码和附件。如有多份复印件，应确保每份复制品均为完整的副本。</w:t>
            </w:r>
          </w:p>
        </w:tc>
      </w:tr>
      <w:tr w14:paraId="6FCD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1" w:type="dxa"/>
            <w:noWrap w:val="0"/>
            <w:vAlign w:val="center"/>
          </w:tcPr>
          <w:p w14:paraId="6D7B11DE">
            <w:pPr>
              <w:keepNext w:val="0"/>
              <w:keepLines w:val="0"/>
              <w:pageBreakBefore w:val="0"/>
              <w:suppressLineNumbers w:val="0"/>
              <w:shd w:val="clear" w:color="auto" w:fill="FFFFFF"/>
              <w:kinsoku/>
              <w:wordWrap w:val="0"/>
              <w:overflow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1523" w:type="dxa"/>
            <w:noWrap w:val="0"/>
            <w:vAlign w:val="center"/>
          </w:tcPr>
          <w:p w14:paraId="40CC73C8">
            <w:pPr>
              <w:keepNext w:val="0"/>
              <w:keepLines w:val="0"/>
              <w:pageBreakBefore w:val="0"/>
              <w:suppressLineNumbers w:val="0"/>
              <w:kinsoku/>
              <w:wordWrap w:val="0"/>
              <w:overflowPunct/>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进口产品的说明</w:t>
            </w:r>
          </w:p>
        </w:tc>
        <w:tc>
          <w:tcPr>
            <w:tcW w:w="7392" w:type="dxa"/>
            <w:noWrap w:val="0"/>
            <w:vAlign w:val="center"/>
          </w:tcPr>
          <w:p w14:paraId="2C0CC9E8">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
                <w:color w:val="auto"/>
                <w:sz w:val="21"/>
                <w:szCs w:val="21"/>
                <w:highlight w:val="none"/>
                <w:lang w:eastAsia="zh-CN"/>
              </w:rPr>
              <w:t>.</w:t>
            </w:r>
            <w:r>
              <w:rPr>
                <w:rFonts w:hint="eastAsia" w:ascii="仿宋" w:hAnsi="仿宋" w:eastAsia="仿宋" w:cs="仿宋"/>
                <w:bCs/>
                <w:color w:val="auto"/>
                <w:sz w:val="21"/>
                <w:szCs w:val="21"/>
                <w:highlight w:val="none"/>
              </w:rPr>
              <w:t>进口产品是指通过中国海关报关验放进入中国境内且产自关境外的产品。</w:t>
            </w:r>
          </w:p>
          <w:p w14:paraId="4592FE1F">
            <w:pPr>
              <w:keepNext w:val="0"/>
              <w:keepLines w:val="0"/>
              <w:pageBreakBefore w:val="0"/>
              <w:suppressLineNumbers w:val="0"/>
              <w:kinsoku/>
              <w:wordWrap w:val="0"/>
              <w:overflowPunct/>
              <w:topLinePunct/>
              <w:bidi w:val="0"/>
              <w:spacing w:before="0" w:beforeAutospacing="0" w:after="0" w:afterAutospacing="0" w:line="360" w:lineRule="auto"/>
              <w:ind w:left="0" w:right="0"/>
              <w:jc w:val="left"/>
              <w:rPr>
                <w:rFonts w:hint="eastAsia" w:ascii="仿宋" w:hAnsi="仿宋" w:eastAsia="仿宋" w:cs="仿宋"/>
                <w:b/>
                <w:bCs/>
                <w:color w:val="auto"/>
                <w:kern w:val="0"/>
                <w:sz w:val="21"/>
                <w:szCs w:val="21"/>
                <w:highlight w:val="none"/>
                <w:lang w:bidi="ar"/>
              </w:rPr>
            </w:pPr>
            <w:r>
              <w:rPr>
                <w:rFonts w:hint="eastAsia" w:ascii="仿宋" w:hAnsi="仿宋" w:eastAsia="仿宋" w:cs="仿宋"/>
                <w:bCs/>
                <w:color w:val="auto"/>
                <w:sz w:val="21"/>
                <w:szCs w:val="21"/>
                <w:highlight w:val="none"/>
              </w:rPr>
              <w:t>2</w:t>
            </w:r>
            <w:r>
              <w:rPr>
                <w:rFonts w:hint="eastAsia" w:ascii="仿宋" w:hAnsi="仿宋" w:eastAsia="仿宋" w:cs="仿宋"/>
                <w:b/>
                <w:color w:val="auto"/>
                <w:sz w:val="21"/>
                <w:szCs w:val="21"/>
                <w:highlight w:val="none"/>
                <w:lang w:eastAsia="zh-CN"/>
              </w:rPr>
              <w:t>.</w:t>
            </w:r>
            <w:r>
              <w:rPr>
                <w:rFonts w:hint="eastAsia" w:ascii="仿宋" w:hAnsi="仿宋" w:eastAsia="仿宋" w:cs="仿宋"/>
                <w:bCs/>
                <w:color w:val="auto"/>
                <w:sz w:val="21"/>
                <w:szCs w:val="21"/>
                <w:highlight w:val="none"/>
              </w:rPr>
              <w:t>零配件全部进口或者部分进口，在国内组装成成品的产品不属于进口产品。国内组装后的品牌，属于国产产品。</w:t>
            </w:r>
          </w:p>
        </w:tc>
      </w:tr>
    </w:tbl>
    <w:p w14:paraId="0DE7D3E4">
      <w:pPr>
        <w:pageBreakBefore w:val="0"/>
        <w:kinsoku/>
        <w:bidi w:val="0"/>
        <w:spacing w:line="360" w:lineRule="auto"/>
        <w:rPr>
          <w:rFonts w:hint="eastAsia" w:ascii="仿宋" w:hAnsi="仿宋" w:eastAsia="仿宋" w:cs="仿宋"/>
          <w:color w:val="auto"/>
          <w:sz w:val="28"/>
          <w:szCs w:val="28"/>
          <w:highlight w:val="none"/>
        </w:rPr>
      </w:pPr>
    </w:p>
    <w:p w14:paraId="352395DB">
      <w:pPr>
        <w:pStyle w:val="3"/>
        <w:pageBreakBefore w:val="0"/>
        <w:kinsoku/>
        <w:bidi w:val="0"/>
        <w:spacing w:after="0" w:line="360" w:lineRule="auto"/>
        <w:jc w:val="center"/>
        <w:rPr>
          <w:rFonts w:hint="eastAsia" w:ascii="仿宋" w:hAnsi="仿宋" w:eastAsia="仿宋" w:cs="仿宋"/>
          <w:color w:val="auto"/>
          <w:sz w:val="28"/>
          <w:szCs w:val="28"/>
          <w:highlight w:val="none"/>
        </w:rPr>
      </w:pPr>
      <w:bookmarkStart w:id="145" w:name="_Toc19141"/>
      <w:bookmarkStart w:id="146" w:name="_Toc8857"/>
      <w:bookmarkStart w:id="147" w:name="_Toc29754"/>
      <w:bookmarkStart w:id="148" w:name="_Toc11829"/>
      <w:bookmarkStart w:id="149" w:name="_Toc22177"/>
      <w:bookmarkStart w:id="150" w:name="_Toc810"/>
      <w:bookmarkStart w:id="151" w:name="_Toc14820"/>
      <w:bookmarkStart w:id="152" w:name="_Toc7792"/>
      <w:r>
        <w:rPr>
          <w:rFonts w:hint="eastAsia" w:ascii="仿宋" w:hAnsi="仿宋" w:eastAsia="仿宋" w:cs="仿宋"/>
          <w:color w:val="auto"/>
          <w:sz w:val="28"/>
          <w:szCs w:val="28"/>
          <w:highlight w:val="none"/>
        </w:rPr>
        <w:br w:type="page"/>
      </w:r>
      <w:bookmarkStart w:id="153" w:name="_Toc951"/>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须知正文</w:t>
      </w:r>
      <w:bookmarkEnd w:id="142"/>
      <w:bookmarkEnd w:id="143"/>
      <w:bookmarkEnd w:id="144"/>
      <w:bookmarkEnd w:id="145"/>
      <w:bookmarkEnd w:id="146"/>
      <w:bookmarkEnd w:id="147"/>
      <w:bookmarkEnd w:id="148"/>
      <w:bookmarkEnd w:id="149"/>
      <w:bookmarkEnd w:id="150"/>
      <w:bookmarkEnd w:id="151"/>
      <w:bookmarkEnd w:id="152"/>
      <w:bookmarkEnd w:id="153"/>
    </w:p>
    <w:p w14:paraId="513BD01B">
      <w:pPr>
        <w:pStyle w:val="3"/>
        <w:pageBreakBefore w:val="0"/>
        <w:kinsoku/>
        <w:bidi w:val="0"/>
        <w:spacing w:after="0" w:line="360" w:lineRule="auto"/>
        <w:rPr>
          <w:rFonts w:hint="eastAsia" w:ascii="仿宋" w:hAnsi="仿宋" w:eastAsia="仿宋" w:cs="仿宋"/>
          <w:color w:val="auto"/>
          <w:sz w:val="21"/>
          <w:szCs w:val="21"/>
          <w:highlight w:val="none"/>
        </w:rPr>
      </w:pPr>
      <w:bookmarkStart w:id="154" w:name="_Toc31945"/>
      <w:bookmarkStart w:id="155" w:name="_Toc5090"/>
      <w:bookmarkStart w:id="156" w:name="_Toc9302"/>
      <w:bookmarkStart w:id="157" w:name="_Toc19276"/>
      <w:bookmarkStart w:id="158" w:name="_Toc27421"/>
      <w:bookmarkStart w:id="159" w:name="_Toc28330"/>
      <w:bookmarkStart w:id="160" w:name="_Toc71734679"/>
      <w:bookmarkStart w:id="161" w:name="_Toc25079"/>
      <w:bookmarkStart w:id="162" w:name="_Toc16820"/>
      <w:bookmarkStart w:id="163" w:name="_Toc31373"/>
      <w:bookmarkStart w:id="164" w:name="_Toc18256"/>
      <w:bookmarkStart w:id="165" w:name="_Toc497"/>
      <w:r>
        <w:rPr>
          <w:rFonts w:hint="eastAsia" w:ascii="仿宋" w:hAnsi="仿宋" w:eastAsia="仿宋" w:cs="仿宋"/>
          <w:color w:val="auto"/>
          <w:sz w:val="21"/>
          <w:szCs w:val="21"/>
          <w:highlight w:val="none"/>
        </w:rPr>
        <w:t>1.总则</w:t>
      </w:r>
      <w:bookmarkEnd w:id="154"/>
      <w:bookmarkEnd w:id="155"/>
      <w:bookmarkEnd w:id="156"/>
      <w:bookmarkEnd w:id="157"/>
      <w:bookmarkEnd w:id="158"/>
      <w:bookmarkEnd w:id="159"/>
      <w:bookmarkEnd w:id="160"/>
      <w:bookmarkEnd w:id="161"/>
      <w:bookmarkEnd w:id="162"/>
      <w:bookmarkEnd w:id="163"/>
      <w:bookmarkEnd w:id="164"/>
      <w:bookmarkEnd w:id="165"/>
    </w:p>
    <w:p w14:paraId="312C324A">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66" w:name="_Toc6314"/>
      <w:bookmarkStart w:id="167" w:name="_Toc71734680"/>
      <w:bookmarkStart w:id="168" w:name="_Toc102136443"/>
      <w:bookmarkStart w:id="169" w:name="_Toc13057"/>
      <w:r>
        <w:rPr>
          <w:rFonts w:hint="eastAsia" w:ascii="仿宋" w:hAnsi="仿宋" w:eastAsia="仿宋" w:cs="仿宋"/>
          <w:color w:val="auto"/>
          <w:sz w:val="21"/>
          <w:szCs w:val="21"/>
          <w:highlight w:val="none"/>
        </w:rPr>
        <w:t>1.1项目概况</w:t>
      </w:r>
      <w:bookmarkEnd w:id="166"/>
      <w:bookmarkEnd w:id="167"/>
      <w:bookmarkEnd w:id="168"/>
      <w:bookmarkEnd w:id="169"/>
    </w:p>
    <w:p w14:paraId="44C68D11">
      <w:pPr>
        <w:pageBreakBefore w:val="0"/>
        <w:kinsoku/>
        <w:bidi w:val="0"/>
        <w:spacing w:line="360" w:lineRule="auto"/>
        <w:ind w:firstLine="210" w:firstLineChars="100"/>
        <w:rPr>
          <w:rFonts w:hint="eastAsia" w:ascii="仿宋" w:hAnsi="仿宋" w:eastAsia="仿宋" w:cs="仿宋"/>
          <w:color w:val="auto"/>
          <w:sz w:val="21"/>
          <w:szCs w:val="21"/>
          <w:highlight w:val="none"/>
        </w:rPr>
      </w:pPr>
      <w:bookmarkStart w:id="170" w:name="_Toc71734681"/>
      <w:bookmarkStart w:id="171" w:name="_Toc19803"/>
      <w:bookmarkStart w:id="172" w:name="_Toc2864"/>
      <w:bookmarkStart w:id="173" w:name="_Toc102136444"/>
      <w:r>
        <w:rPr>
          <w:rFonts w:hint="eastAsia" w:ascii="仿宋" w:hAnsi="仿宋" w:eastAsia="仿宋" w:cs="仿宋"/>
          <w:color w:val="auto"/>
          <w:sz w:val="21"/>
          <w:szCs w:val="21"/>
          <w:highlight w:val="none"/>
        </w:rPr>
        <w:t>1.1.1项目名称：详见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0A5091F1">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1.1.2项目编号：详见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24CBD053">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1.1.3采购人：详见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4E896E2A">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1.1.4采购代理</w:t>
      </w:r>
      <w:r>
        <w:rPr>
          <w:rFonts w:hint="eastAsia" w:ascii="仿宋" w:hAnsi="仿宋" w:eastAsia="仿宋" w:cs="仿宋"/>
          <w:color w:val="auto"/>
          <w:sz w:val="21"/>
          <w:szCs w:val="21"/>
          <w:highlight w:val="none"/>
          <w:lang w:val="en-US" w:eastAsia="zh-CN"/>
        </w:rPr>
        <w:t>机构</w:t>
      </w: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193FA491">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1.1.5采购需求：详见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34A02E90">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1.1.6合同履行期限：详见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01D93AA9">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1.1.7</w:t>
      </w:r>
      <w:r>
        <w:rPr>
          <w:rFonts w:hint="eastAsia" w:ascii="仿宋" w:hAnsi="仿宋" w:eastAsia="仿宋" w:cs="仿宋"/>
          <w:color w:val="auto"/>
          <w:sz w:val="21"/>
          <w:szCs w:val="21"/>
          <w:highlight w:val="none"/>
          <w:lang w:val="en-US" w:eastAsia="zh-CN"/>
        </w:rPr>
        <w:t>交货方式</w:t>
      </w:r>
      <w:r>
        <w:rPr>
          <w:rFonts w:hint="eastAsia" w:ascii="仿宋" w:hAnsi="仿宋" w:eastAsia="仿宋" w:cs="仿宋"/>
          <w:color w:val="auto"/>
          <w:sz w:val="21"/>
          <w:szCs w:val="21"/>
          <w:highlight w:val="none"/>
        </w:rPr>
        <w:t>：详见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23253264">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1.1.8交货地点：详见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2413843F">
      <w:pPr>
        <w:pStyle w:val="4"/>
        <w:pageBreakBefore w:val="0"/>
        <w:kinsoku/>
        <w:bidi w:val="0"/>
        <w:spacing w:before="0" w:after="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1.2资金落实情况、采购预算及最高限价</w:t>
      </w:r>
      <w:bookmarkEnd w:id="170"/>
      <w:bookmarkEnd w:id="171"/>
      <w:bookmarkEnd w:id="172"/>
      <w:bookmarkEnd w:id="173"/>
    </w:p>
    <w:p w14:paraId="52C31979">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1.2.1资金落实情况：详见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2CD869FB">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1.2.2采购预算：详见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4F93EBB2">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1.2.3最高限价：详见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5EF521F3">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74" w:name="_Toc102136445"/>
      <w:bookmarkStart w:id="175" w:name="_Toc8218"/>
      <w:bookmarkStart w:id="176" w:name="_Toc32404"/>
      <w:bookmarkStart w:id="177" w:name="_Toc71734682"/>
      <w:r>
        <w:rPr>
          <w:rFonts w:hint="eastAsia" w:ascii="仿宋" w:hAnsi="仿宋" w:eastAsia="仿宋" w:cs="仿宋"/>
          <w:color w:val="auto"/>
          <w:sz w:val="21"/>
          <w:szCs w:val="21"/>
          <w:highlight w:val="none"/>
        </w:rPr>
        <w:t>1.3投标需要承担的费用及风险</w:t>
      </w:r>
      <w:bookmarkEnd w:id="174"/>
      <w:bookmarkEnd w:id="175"/>
      <w:bookmarkEnd w:id="176"/>
      <w:bookmarkEnd w:id="177"/>
    </w:p>
    <w:p w14:paraId="450B1BA4">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应承担所有与编写和提交投标文件有关的费用，不论投标的结果如何，采购人或采购代理</w:t>
      </w:r>
      <w:r>
        <w:rPr>
          <w:rFonts w:hint="eastAsia" w:ascii="仿宋" w:hAnsi="仿宋" w:eastAsia="仿宋" w:cs="仿宋"/>
          <w:color w:val="auto"/>
          <w:sz w:val="21"/>
          <w:szCs w:val="21"/>
          <w:highlight w:val="none"/>
          <w:lang w:val="en-US" w:eastAsia="zh-CN"/>
        </w:rPr>
        <w:t>机构</w:t>
      </w:r>
      <w:r>
        <w:rPr>
          <w:rFonts w:hint="eastAsia" w:ascii="仿宋" w:hAnsi="仿宋" w:eastAsia="仿宋" w:cs="仿宋"/>
          <w:color w:val="auto"/>
          <w:sz w:val="21"/>
          <w:szCs w:val="21"/>
          <w:highlight w:val="none"/>
        </w:rPr>
        <w:t>在任何情况下均无义务和责任承担这些费用。</w:t>
      </w:r>
    </w:p>
    <w:p w14:paraId="5519CA94">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1.3.2代理服务费：详见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10BEE584">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1.3.3投标风险承担：由于投标给</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造成的人身伤害或财产损失的，由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自行承担。</w:t>
      </w:r>
    </w:p>
    <w:p w14:paraId="7FEB133D">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78" w:name="_Toc15273"/>
      <w:bookmarkStart w:id="179" w:name="_Toc71734683"/>
      <w:bookmarkStart w:id="180" w:name="_Toc11061"/>
      <w:bookmarkStart w:id="181" w:name="_Toc102136446"/>
      <w:r>
        <w:rPr>
          <w:rFonts w:hint="eastAsia" w:ascii="仿宋" w:hAnsi="仿宋" w:eastAsia="仿宋" w:cs="仿宋"/>
          <w:color w:val="auto"/>
          <w:sz w:val="21"/>
          <w:szCs w:val="21"/>
          <w:highlight w:val="none"/>
        </w:rPr>
        <w:t>1.4对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的要求</w:t>
      </w:r>
      <w:bookmarkEnd w:id="178"/>
      <w:bookmarkEnd w:id="179"/>
      <w:bookmarkEnd w:id="180"/>
      <w:bookmarkEnd w:id="181"/>
    </w:p>
    <w:p w14:paraId="47AE9400">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的资格条件：详见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5B6E2E62">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1.4.2是否接受联合体投标：详见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须知前附表。如为接受联合体投标的，联合体</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除须符合本章第1.4.1条规定外，还须满足以下条件：</w:t>
      </w:r>
    </w:p>
    <w:p w14:paraId="514421E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（1）联合体各方应按招标文件提供的格式签订联合体协议书，明确联合体牵头人和各方权利义务，并承诺就中标项目向采购人承担连带责任；</w:t>
      </w:r>
    </w:p>
    <w:p w14:paraId="48A46A4D">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（2）联合体中有同类资质的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按照联合体分工承担相同工作的，应当按照资质等级较低的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确定资质等级；</w:t>
      </w:r>
    </w:p>
    <w:p w14:paraId="4203C716">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（3）以联合体形式参加政府采购活动的，联合体各方不得再单独参加或者与其他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另外组成联合体参加同一合同段下的政府采购活动。</w:t>
      </w:r>
    </w:p>
    <w:p w14:paraId="5441B8AE">
      <w:pPr>
        <w:pageBreakBefore w:val="0"/>
        <w:kinsoku/>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存在下列情况之一的，投标无效：</w:t>
      </w:r>
    </w:p>
    <w:p w14:paraId="2222FF4D">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（1）未按照招标文件的规定提交投标保证金的；</w:t>
      </w:r>
    </w:p>
    <w:p w14:paraId="358718AD">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（2）投标文件未按招标文件要求签署、盖章的；</w:t>
      </w:r>
    </w:p>
    <w:p w14:paraId="29A6D060">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（3）不具备招标文件中规定的资格要求的；</w:t>
      </w:r>
    </w:p>
    <w:p w14:paraId="651D6518">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（4）报价超过招标文件中规定的预算金额或者最高限价的；</w:t>
      </w:r>
    </w:p>
    <w:p w14:paraId="2CCD69B2">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（5）投标文件含有采购人不能接受的附加条件的；</w:t>
      </w:r>
    </w:p>
    <w:p w14:paraId="0FA5836A">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（6）法律、法规和招标文件规定的其他无效情形。</w:t>
      </w:r>
    </w:p>
    <w:p w14:paraId="38C9EE6A">
      <w:pPr>
        <w:pageBreakBefore w:val="0"/>
        <w:kinsoku/>
        <w:bidi w:val="0"/>
        <w:spacing w:line="360" w:lineRule="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1.4.4有下列情形之一的，视为</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串通投标，其投标无效：</w:t>
      </w:r>
    </w:p>
    <w:p w14:paraId="023D73C1">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的投标文件由同一单位或者个人编制；</w:t>
      </w:r>
    </w:p>
    <w:p w14:paraId="207FB52A">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委托同一单位或者个人办理投标事宜；</w:t>
      </w:r>
    </w:p>
    <w:p w14:paraId="2BC1584F">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的投标文件载明的项目管理成员或者联系人员为同一人；</w:t>
      </w:r>
    </w:p>
    <w:p w14:paraId="1ACAFE27">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的投标文件异常一致或投标报价呈规律性差异；</w:t>
      </w:r>
    </w:p>
    <w:p w14:paraId="4F213E38">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的投标文件相互混装；</w:t>
      </w:r>
    </w:p>
    <w:p w14:paraId="1568FA76">
      <w:pPr>
        <w:pageBreakBefore w:val="0"/>
        <w:kinsoku/>
        <w:bidi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（6）不同</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的投标保证金从同一单位或者个人的账户转出。</w:t>
      </w:r>
    </w:p>
    <w:p w14:paraId="1CF6E3A2">
      <w:pPr>
        <w:pageBreakBefore w:val="0"/>
        <w:kinsoku/>
        <w:bidi w:val="0"/>
        <w:spacing w:line="360" w:lineRule="auto"/>
        <w:ind w:firstLine="210" w:firstLineChars="1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1.4.5“</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须知前附表”中说明本项目属于政府购买服务的，</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不得为公益一类事业单位或使用事业编制且由财政拨款保障的群团组织。</w:t>
      </w:r>
    </w:p>
    <w:p w14:paraId="46FE8B56">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82" w:name="_Toc102136447"/>
      <w:bookmarkStart w:id="183" w:name="_Toc524"/>
      <w:bookmarkStart w:id="184" w:name="_Toc71734684"/>
      <w:bookmarkStart w:id="185" w:name="_Toc6616"/>
      <w:r>
        <w:rPr>
          <w:rFonts w:hint="eastAsia" w:ascii="仿宋" w:hAnsi="仿宋" w:eastAsia="仿宋" w:cs="仿宋"/>
          <w:color w:val="auto"/>
          <w:sz w:val="21"/>
          <w:szCs w:val="21"/>
          <w:highlight w:val="none"/>
        </w:rPr>
        <w:t>1.5保密</w:t>
      </w:r>
      <w:bookmarkEnd w:id="182"/>
      <w:bookmarkEnd w:id="183"/>
      <w:bookmarkEnd w:id="184"/>
      <w:bookmarkEnd w:id="185"/>
    </w:p>
    <w:p w14:paraId="520688A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参与本次政府采购活动的各方应对招标文件和投标文件中的商业和技术等秘密保密，违者应对由此造成的后果承担法律责任。</w:t>
      </w:r>
    </w:p>
    <w:p w14:paraId="2A2E5E28">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86" w:name="_Toc9824"/>
      <w:bookmarkStart w:id="187" w:name="_Toc71734685"/>
      <w:bookmarkStart w:id="188" w:name="_Toc5512"/>
      <w:bookmarkStart w:id="189" w:name="_Toc102136448"/>
      <w:r>
        <w:rPr>
          <w:rFonts w:hint="eastAsia" w:ascii="仿宋" w:hAnsi="仿宋" w:eastAsia="仿宋" w:cs="仿宋"/>
          <w:color w:val="auto"/>
          <w:sz w:val="21"/>
          <w:szCs w:val="21"/>
          <w:highlight w:val="none"/>
        </w:rPr>
        <w:t>1.6语言文字</w:t>
      </w:r>
      <w:bookmarkEnd w:id="186"/>
      <w:bookmarkEnd w:id="187"/>
      <w:bookmarkEnd w:id="188"/>
      <w:bookmarkEnd w:id="189"/>
    </w:p>
    <w:p w14:paraId="3B79BB2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提交的投标文件以及</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与云南中招招标有限公司就有关投标的所有来往函电均应使用中文。</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可以提交用其他语言的资料，但有关的段落必须翻译成中文，在有差异和矛盾时以中文为准。字体要便于辨识，以正楷、宋体为好。</w:t>
      </w:r>
    </w:p>
    <w:p w14:paraId="25B179A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用非中文版印刷的服务说明书、技术资料、资格资质证书等，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应提供符合中国有关法律、法规的中文译本，并以采购人最终确认的中文译本为准。</w:t>
      </w:r>
    </w:p>
    <w:p w14:paraId="5AAD2FFD">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90" w:name="_Toc71734686"/>
      <w:bookmarkStart w:id="191" w:name="_Toc102136449"/>
      <w:bookmarkStart w:id="192" w:name="_Toc19163"/>
      <w:bookmarkStart w:id="193" w:name="_Toc7195"/>
      <w:r>
        <w:rPr>
          <w:rFonts w:hint="eastAsia" w:ascii="仿宋" w:hAnsi="仿宋" w:eastAsia="仿宋" w:cs="仿宋"/>
          <w:color w:val="auto"/>
          <w:sz w:val="21"/>
          <w:szCs w:val="21"/>
          <w:highlight w:val="none"/>
        </w:rPr>
        <w:t>1.7计量单位</w:t>
      </w:r>
      <w:bookmarkEnd w:id="190"/>
      <w:bookmarkEnd w:id="191"/>
      <w:bookmarkEnd w:id="192"/>
      <w:bookmarkEnd w:id="193"/>
    </w:p>
    <w:p w14:paraId="5428768F">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投标文件中所使用的度量衡单位，除招标文件中有特殊要求外，一律用公制。</w:t>
      </w:r>
    </w:p>
    <w:p w14:paraId="6E73070E">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94" w:name="_Toc27175"/>
      <w:bookmarkStart w:id="195" w:name="_Toc71734687"/>
      <w:bookmarkStart w:id="196" w:name="_Toc306"/>
      <w:bookmarkStart w:id="197" w:name="_Toc102136450"/>
      <w:r>
        <w:rPr>
          <w:rFonts w:hint="eastAsia" w:ascii="仿宋" w:hAnsi="仿宋" w:eastAsia="仿宋" w:cs="仿宋"/>
          <w:color w:val="auto"/>
          <w:sz w:val="21"/>
          <w:szCs w:val="21"/>
          <w:highlight w:val="none"/>
        </w:rPr>
        <w:t>1.8现场踏勘</w:t>
      </w:r>
      <w:bookmarkEnd w:id="194"/>
      <w:bookmarkEnd w:id="195"/>
      <w:bookmarkEnd w:id="196"/>
      <w:bookmarkEnd w:id="197"/>
    </w:p>
    <w:p w14:paraId="1454135E">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1.8.1采购人是否组织现场踏勘：详见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须知前附表。如采购人组织现场踏勘，</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应遵守如下规定：</w:t>
      </w:r>
    </w:p>
    <w:p w14:paraId="7E3D36D6">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须知前附表规定的时间和地点到现场进行踏勘；</w:t>
      </w:r>
    </w:p>
    <w:p w14:paraId="44869BC7">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现场踏勘所发生的费用由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自行承担；</w:t>
      </w:r>
    </w:p>
    <w:p w14:paraId="3805329F">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（3）除采购人原因外，由于现场踏勘给</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造成的人身伤害或财产损失的，由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自行承担；</w:t>
      </w:r>
    </w:p>
    <w:p w14:paraId="6D7D5BA2">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（4）采购人不对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据此作出的判断和决策负责。</w:t>
      </w:r>
    </w:p>
    <w:p w14:paraId="1D2A0156">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198" w:name="_Toc11943"/>
      <w:bookmarkStart w:id="199" w:name="_Toc102136451"/>
      <w:bookmarkStart w:id="200" w:name="_Toc71734688"/>
      <w:bookmarkStart w:id="201" w:name="_Toc10824"/>
      <w:r>
        <w:rPr>
          <w:rFonts w:hint="eastAsia" w:ascii="仿宋" w:hAnsi="仿宋" w:eastAsia="仿宋" w:cs="仿宋"/>
          <w:color w:val="auto"/>
          <w:sz w:val="21"/>
          <w:szCs w:val="21"/>
          <w:highlight w:val="none"/>
        </w:rPr>
        <w:t>1.9招标答疑会</w:t>
      </w:r>
      <w:bookmarkEnd w:id="198"/>
      <w:bookmarkEnd w:id="199"/>
      <w:bookmarkEnd w:id="200"/>
      <w:bookmarkEnd w:id="201"/>
    </w:p>
    <w:p w14:paraId="5C223E51">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1.9.1采购人是否召开答疑会：详见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须知前附表。如采购人召开答疑会的，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应遵守如下规定：</w:t>
      </w:r>
    </w:p>
    <w:p w14:paraId="76D5377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须知前附表规定的时间和形式将提出的问题送达采购人，以便采购人在会议期间澄清；</w:t>
      </w:r>
    </w:p>
    <w:p w14:paraId="0987C04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不得以任何形式扰乱答疑会秩序。</w:t>
      </w:r>
    </w:p>
    <w:p w14:paraId="6D4EB1E2">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1.9.2采购人对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提出问题的澄清，以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须知前附表规定的形式通知所有登记参与本项目的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，该澄清内容为招标文件的组成部分。</w:t>
      </w:r>
    </w:p>
    <w:p w14:paraId="4E5AE44C">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02" w:name="_Toc102136452"/>
      <w:bookmarkStart w:id="203" w:name="_Toc6510"/>
      <w:bookmarkStart w:id="204" w:name="_Toc25703"/>
      <w:bookmarkStart w:id="205" w:name="_Toc71734689"/>
      <w:r>
        <w:rPr>
          <w:rFonts w:hint="eastAsia" w:ascii="仿宋" w:hAnsi="仿宋" w:eastAsia="仿宋" w:cs="仿宋"/>
          <w:color w:val="auto"/>
          <w:sz w:val="21"/>
          <w:szCs w:val="21"/>
          <w:highlight w:val="none"/>
        </w:rPr>
        <w:t>1.10分包</w:t>
      </w:r>
      <w:bookmarkEnd w:id="202"/>
      <w:bookmarkEnd w:id="203"/>
      <w:bookmarkEnd w:id="204"/>
      <w:bookmarkEnd w:id="205"/>
    </w:p>
    <w:p w14:paraId="557DEF0A">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1.10.1采购人是否允许分包：详见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须知前附表。如采购人允许分包的，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应遵守如下规定：</w:t>
      </w:r>
    </w:p>
    <w:p w14:paraId="2E09B9E2">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拟在中标后将中标项目的非主体、非关键性工作分包的，应当在投标文件中载明分包承担主体，分包承担主体应当具备相应资质条件且不得再次分包；</w:t>
      </w:r>
    </w:p>
    <w:p w14:paraId="16FBA0A7">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须知前附表规定的非主体、非关键性工作外的其他工作不得分包。</w:t>
      </w:r>
    </w:p>
    <w:p w14:paraId="55823564">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06" w:name="_Toc71734690"/>
      <w:bookmarkStart w:id="207" w:name="_Toc9143"/>
      <w:bookmarkStart w:id="208" w:name="_Toc102136453"/>
      <w:bookmarkStart w:id="209" w:name="_Toc2265"/>
      <w:r>
        <w:rPr>
          <w:rFonts w:hint="eastAsia" w:ascii="仿宋" w:hAnsi="仿宋" w:eastAsia="仿宋" w:cs="仿宋"/>
          <w:color w:val="auto"/>
          <w:sz w:val="21"/>
          <w:szCs w:val="21"/>
          <w:highlight w:val="none"/>
        </w:rPr>
        <w:t>1.11样品</w:t>
      </w:r>
      <w:bookmarkEnd w:id="206"/>
      <w:bookmarkEnd w:id="207"/>
      <w:bookmarkEnd w:id="208"/>
      <w:bookmarkEnd w:id="209"/>
    </w:p>
    <w:p w14:paraId="4905CA22">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1.11.1采购人是否要求提供样品：详见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须知前附表。如采购人要求提供样品的，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须知前附表要求提交。</w:t>
      </w:r>
    </w:p>
    <w:p w14:paraId="150309EE">
      <w:pPr>
        <w:pageBreakBefore w:val="0"/>
        <w:kinsoku/>
        <w:bidi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1.11.2采购人是否要求随样品提交检测报告：详见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须知前附表。如采购人要求随样品提交检测报告的，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须知前附表要求提交。</w:t>
      </w:r>
    </w:p>
    <w:p w14:paraId="0DD19BF5">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10" w:name="_Toc71734691"/>
      <w:bookmarkStart w:id="211" w:name="_Toc2738"/>
      <w:bookmarkStart w:id="212" w:name="_Toc102136454"/>
      <w:bookmarkStart w:id="213" w:name="_Toc2628"/>
      <w:r>
        <w:rPr>
          <w:rFonts w:hint="eastAsia" w:ascii="仿宋" w:hAnsi="仿宋" w:eastAsia="仿宋" w:cs="仿宋"/>
          <w:color w:val="auto"/>
          <w:sz w:val="21"/>
          <w:szCs w:val="21"/>
          <w:highlight w:val="none"/>
        </w:rPr>
        <w:t>1.12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须知前附表中的符号定义</w:t>
      </w:r>
      <w:bookmarkEnd w:id="210"/>
      <w:bookmarkEnd w:id="211"/>
      <w:bookmarkEnd w:id="212"/>
      <w:bookmarkEnd w:id="213"/>
    </w:p>
    <w:p w14:paraId="72C768B5">
      <w:pPr>
        <w:pageBreakBefore w:val="0"/>
        <w:kinsoku/>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rPr>
        <w:sym w:font="Wingdings 2" w:char="0052"/>
      </w:r>
      <w:r>
        <w:rPr>
          <w:rFonts w:hint="eastAsia" w:ascii="仿宋" w:hAnsi="仿宋" w:eastAsia="仿宋" w:cs="仿宋"/>
          <w:color w:val="auto"/>
          <w:sz w:val="21"/>
          <w:szCs w:val="21"/>
          <w:highlight w:val="none"/>
        </w:rPr>
        <w:t>”代表选择，“□”代表未选择。</w:t>
      </w:r>
    </w:p>
    <w:p w14:paraId="36451EF1">
      <w:pPr>
        <w:pStyle w:val="3"/>
        <w:pageBreakBefore w:val="0"/>
        <w:kinsoku/>
        <w:bidi w:val="0"/>
        <w:spacing w:after="0" w:line="360" w:lineRule="auto"/>
        <w:rPr>
          <w:rFonts w:hint="eastAsia" w:ascii="仿宋" w:hAnsi="仿宋" w:eastAsia="仿宋" w:cs="仿宋"/>
          <w:color w:val="auto"/>
          <w:sz w:val="21"/>
          <w:szCs w:val="21"/>
          <w:highlight w:val="none"/>
        </w:rPr>
      </w:pPr>
      <w:bookmarkStart w:id="214" w:name="_Toc18788"/>
      <w:bookmarkStart w:id="215" w:name="_Toc21432"/>
      <w:bookmarkStart w:id="216" w:name="_Toc22084"/>
      <w:bookmarkStart w:id="217" w:name="_Toc2635"/>
      <w:bookmarkStart w:id="218" w:name="_Toc71734692"/>
      <w:bookmarkStart w:id="219" w:name="_Toc12310"/>
      <w:bookmarkStart w:id="220" w:name="_Toc17459"/>
      <w:bookmarkStart w:id="221" w:name="_Toc7188"/>
      <w:bookmarkStart w:id="222" w:name="_Toc1622"/>
      <w:bookmarkStart w:id="223" w:name="_Toc21291"/>
      <w:bookmarkStart w:id="224" w:name="_Toc3622"/>
      <w:bookmarkStart w:id="225" w:name="_Toc32223"/>
      <w:r>
        <w:rPr>
          <w:rFonts w:hint="eastAsia" w:ascii="仿宋" w:hAnsi="仿宋" w:eastAsia="仿宋" w:cs="仿宋"/>
          <w:color w:val="auto"/>
          <w:sz w:val="21"/>
          <w:szCs w:val="21"/>
          <w:highlight w:val="none"/>
        </w:rPr>
        <w:t>2.招标文件</w:t>
      </w:r>
      <w:bookmarkEnd w:id="214"/>
      <w:bookmarkEnd w:id="215"/>
      <w:bookmarkEnd w:id="216"/>
      <w:bookmarkEnd w:id="217"/>
      <w:bookmarkEnd w:id="218"/>
      <w:bookmarkEnd w:id="219"/>
      <w:bookmarkEnd w:id="220"/>
      <w:bookmarkEnd w:id="221"/>
      <w:bookmarkEnd w:id="222"/>
      <w:bookmarkEnd w:id="223"/>
      <w:bookmarkEnd w:id="224"/>
      <w:bookmarkEnd w:id="225"/>
    </w:p>
    <w:p w14:paraId="7A2885D3">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26" w:name="_Toc31876"/>
      <w:bookmarkStart w:id="227" w:name="_Toc102136456"/>
      <w:bookmarkStart w:id="228" w:name="_Toc5296"/>
      <w:bookmarkStart w:id="229" w:name="_Toc71734693"/>
      <w:r>
        <w:rPr>
          <w:rFonts w:hint="eastAsia" w:ascii="仿宋" w:hAnsi="仿宋" w:eastAsia="仿宋" w:cs="仿宋"/>
          <w:color w:val="auto"/>
          <w:sz w:val="21"/>
          <w:szCs w:val="21"/>
          <w:highlight w:val="none"/>
        </w:rPr>
        <w:t>2.1招标文件的组成</w:t>
      </w:r>
      <w:bookmarkEnd w:id="226"/>
      <w:bookmarkEnd w:id="227"/>
      <w:bookmarkEnd w:id="228"/>
      <w:bookmarkEnd w:id="229"/>
    </w:p>
    <w:p w14:paraId="3507248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第一章 投标邀请（招标公告）</w:t>
      </w:r>
    </w:p>
    <w:p w14:paraId="4C95651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第二章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w:t>
      </w:r>
    </w:p>
    <w:p w14:paraId="50A8761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第三章 评标办法</w:t>
      </w:r>
    </w:p>
    <w:p w14:paraId="5B188B2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第四章 合同基本条款及格式</w:t>
      </w:r>
    </w:p>
    <w:p w14:paraId="2654213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第五章 投标文件格式</w:t>
      </w:r>
    </w:p>
    <w:p w14:paraId="18E3D59E">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第六章 采购需求及要求</w:t>
      </w:r>
    </w:p>
    <w:p w14:paraId="7DDAD10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第七章 附件</w:t>
      </w:r>
    </w:p>
    <w:p w14:paraId="56308F92">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注：对招标文件作出的澄清、修改属招标文件的组成部分。</w:t>
      </w:r>
    </w:p>
    <w:p w14:paraId="57E12072">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30" w:name="_Toc32548"/>
      <w:bookmarkStart w:id="231" w:name="_Toc102136457"/>
      <w:bookmarkStart w:id="232" w:name="_Toc71734694"/>
      <w:bookmarkStart w:id="233" w:name="_Toc1478"/>
      <w:r>
        <w:rPr>
          <w:rFonts w:hint="eastAsia" w:ascii="仿宋" w:hAnsi="仿宋" w:eastAsia="仿宋" w:cs="仿宋"/>
          <w:color w:val="auto"/>
          <w:sz w:val="21"/>
          <w:szCs w:val="21"/>
          <w:highlight w:val="none"/>
        </w:rPr>
        <w:t>2.2招标文件的澄清</w:t>
      </w:r>
      <w:bookmarkEnd w:id="230"/>
      <w:bookmarkEnd w:id="231"/>
      <w:bookmarkEnd w:id="232"/>
      <w:bookmarkEnd w:id="233"/>
    </w:p>
    <w:p w14:paraId="44637A8D">
      <w:pPr>
        <w:pageBreakBefore w:val="0"/>
        <w:kinsoku/>
        <w:bidi w:val="0"/>
        <w:spacing w:line="360" w:lineRule="auto"/>
        <w:ind w:firstLine="488"/>
        <w:rPr>
          <w:rFonts w:hint="eastAsia" w:ascii="仿宋" w:hAnsi="仿宋" w:eastAsia="仿宋" w:cs="仿宋"/>
          <w:color w:val="auto"/>
          <w:sz w:val="21"/>
          <w:szCs w:val="21"/>
          <w:highlight w:val="none"/>
        </w:rPr>
      </w:pPr>
      <w:bookmarkStart w:id="234" w:name="_Toc15945"/>
      <w:bookmarkStart w:id="235" w:name="_Toc6841"/>
      <w:bookmarkStart w:id="236" w:name="_Toc71734695"/>
      <w:bookmarkStart w:id="237" w:name="_Toc102136458"/>
      <w:r>
        <w:rPr>
          <w:rFonts w:hint="eastAsia" w:ascii="仿宋" w:hAnsi="仿宋" w:eastAsia="仿宋" w:cs="仿宋"/>
          <w:color w:val="auto"/>
          <w:sz w:val="21"/>
          <w:szCs w:val="21"/>
          <w:highlight w:val="none"/>
        </w:rPr>
        <w:t>2.2.1任何要求对招标文件进行澄清的潜在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，均以书面形式通知采购代理机构。采购代理机构收到的对招标文件的澄清要求均以书面形式予以答复，同时将书面答复通知每个购买招标文件的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，答复中包括所问问题，但不包括问题的来源；逾期提交的疑问问题将不予回答。</w:t>
      </w:r>
    </w:p>
    <w:p w14:paraId="3CBE0EC7">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2.2.2澄清或者修改的内容可能影响投标文件编制的，采购人或者采购代理机构应当在投标截止时间至少15日前，以书面形式通知所有获取招标文件的潜在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；不足15日的，采购人或者采购代理机构应当顺延提交投标文件的截止时间。</w:t>
      </w:r>
    </w:p>
    <w:bookmarkEnd w:id="234"/>
    <w:bookmarkEnd w:id="235"/>
    <w:bookmarkEnd w:id="236"/>
    <w:bookmarkEnd w:id="237"/>
    <w:p w14:paraId="53EEE4C7">
      <w:pPr>
        <w:pStyle w:val="3"/>
        <w:pageBreakBefore w:val="0"/>
        <w:kinsoku/>
        <w:bidi w:val="0"/>
        <w:spacing w:after="0" w:line="360" w:lineRule="auto"/>
        <w:rPr>
          <w:rFonts w:hint="eastAsia" w:ascii="仿宋" w:hAnsi="仿宋" w:eastAsia="仿宋" w:cs="仿宋"/>
          <w:color w:val="auto"/>
          <w:sz w:val="21"/>
          <w:szCs w:val="21"/>
          <w:highlight w:val="none"/>
        </w:rPr>
      </w:pPr>
      <w:bookmarkStart w:id="238" w:name="_Toc11103"/>
      <w:bookmarkStart w:id="239" w:name="_Toc71734696"/>
      <w:bookmarkStart w:id="240" w:name="_Toc8369"/>
      <w:bookmarkStart w:id="241" w:name="_Toc18984"/>
      <w:bookmarkStart w:id="242" w:name="_Toc22170"/>
      <w:bookmarkStart w:id="243" w:name="_Toc2102"/>
      <w:bookmarkStart w:id="244" w:name="_Toc27756"/>
      <w:bookmarkStart w:id="245" w:name="_Toc393"/>
      <w:bookmarkStart w:id="246" w:name="_Toc14738"/>
      <w:bookmarkStart w:id="247" w:name="_Toc11728"/>
      <w:bookmarkStart w:id="248" w:name="_Toc4051"/>
      <w:bookmarkStart w:id="249" w:name="_Toc11019"/>
      <w:r>
        <w:rPr>
          <w:rFonts w:hint="eastAsia" w:ascii="仿宋" w:hAnsi="仿宋" w:eastAsia="仿宋" w:cs="仿宋"/>
          <w:color w:val="auto"/>
          <w:sz w:val="21"/>
          <w:szCs w:val="21"/>
          <w:highlight w:val="none"/>
        </w:rPr>
        <w:t>3.投标文件</w:t>
      </w:r>
      <w:bookmarkEnd w:id="238"/>
      <w:bookmarkEnd w:id="239"/>
      <w:bookmarkEnd w:id="240"/>
      <w:bookmarkEnd w:id="241"/>
      <w:bookmarkEnd w:id="242"/>
      <w:bookmarkEnd w:id="243"/>
      <w:bookmarkEnd w:id="244"/>
      <w:bookmarkEnd w:id="245"/>
      <w:bookmarkEnd w:id="246"/>
      <w:bookmarkEnd w:id="247"/>
      <w:bookmarkEnd w:id="248"/>
      <w:bookmarkEnd w:id="249"/>
    </w:p>
    <w:p w14:paraId="5AAE7857">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50" w:name="_Toc71734697"/>
      <w:bookmarkStart w:id="251" w:name="_Toc102136460"/>
      <w:bookmarkStart w:id="252" w:name="_Toc12910"/>
      <w:bookmarkStart w:id="253" w:name="_Toc10383"/>
      <w:r>
        <w:rPr>
          <w:rFonts w:hint="eastAsia" w:ascii="仿宋" w:hAnsi="仿宋" w:eastAsia="仿宋" w:cs="仿宋"/>
          <w:color w:val="auto"/>
          <w:sz w:val="21"/>
          <w:szCs w:val="21"/>
          <w:highlight w:val="none"/>
        </w:rPr>
        <w:t>3.1 投标文件的组成</w:t>
      </w:r>
      <w:bookmarkEnd w:id="250"/>
      <w:bookmarkEnd w:id="251"/>
      <w:bookmarkEnd w:id="252"/>
      <w:bookmarkEnd w:id="253"/>
    </w:p>
    <w:p w14:paraId="339430A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应按招标文件规定的内容和格式编制并提交投标文件，投标文件应包括以下内容：</w:t>
      </w:r>
    </w:p>
    <w:p w14:paraId="2EA9D8C9">
      <w:pPr>
        <w:pageBreakBefore w:val="0"/>
        <w:kinsoku/>
        <w:bidi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一、资格审查部分，见投标文件格式资格审查部分；</w:t>
      </w:r>
    </w:p>
    <w:p w14:paraId="4B40D1CF">
      <w:pPr>
        <w:pageBreakBefore w:val="0"/>
        <w:kinsoku/>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二、技术部分，见投标文件格式技术部分；</w:t>
      </w:r>
    </w:p>
    <w:p w14:paraId="24949819">
      <w:pPr>
        <w:pageBreakBefore w:val="0"/>
        <w:kinsoku/>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三、商务部分，见投标文件格式商务部分；</w:t>
      </w:r>
    </w:p>
    <w:p w14:paraId="744B6F9D">
      <w:pPr>
        <w:pageBreakBefore w:val="0"/>
        <w:kinsoku/>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四、招标文件要求或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认为需要提交的其他资料；</w:t>
      </w:r>
    </w:p>
    <w:p w14:paraId="787A4D6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在评标过程中作出的符合法律法规和招标文件规定的澄清、说明或者补正属投标文件的组成部分。</w:t>
      </w:r>
    </w:p>
    <w:p w14:paraId="4115BB02">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54" w:name="_Toc15287"/>
      <w:bookmarkStart w:id="255" w:name="_Toc102136461"/>
      <w:bookmarkStart w:id="256" w:name="_Toc71734698"/>
      <w:bookmarkStart w:id="257" w:name="_Toc23944"/>
      <w:r>
        <w:rPr>
          <w:rFonts w:hint="eastAsia" w:ascii="仿宋" w:hAnsi="仿宋" w:eastAsia="仿宋" w:cs="仿宋"/>
          <w:color w:val="auto"/>
          <w:sz w:val="21"/>
          <w:szCs w:val="21"/>
          <w:highlight w:val="none"/>
        </w:rPr>
        <w:t>3.2 投标报价</w:t>
      </w:r>
      <w:bookmarkEnd w:id="254"/>
      <w:bookmarkEnd w:id="255"/>
      <w:bookmarkEnd w:id="256"/>
      <w:bookmarkEnd w:id="257"/>
    </w:p>
    <w:p w14:paraId="15B7C208">
      <w:pPr>
        <w:pageBreakBefore w:val="0"/>
        <w:kinsoku/>
        <w:bidi w:val="0"/>
        <w:spacing w:line="360" w:lineRule="auto"/>
        <w:ind w:firstLine="488"/>
        <w:rPr>
          <w:rFonts w:hint="eastAsia" w:ascii="仿宋" w:hAnsi="仿宋" w:eastAsia="仿宋" w:cs="仿宋"/>
          <w:color w:val="auto"/>
          <w:sz w:val="21"/>
          <w:szCs w:val="21"/>
          <w:highlight w:val="none"/>
        </w:rPr>
      </w:pPr>
      <w:bookmarkStart w:id="258" w:name="_Toc71734699"/>
      <w:bookmarkStart w:id="259" w:name="_Toc19267"/>
      <w:bookmarkStart w:id="260" w:name="_Toc26670"/>
      <w:bookmarkStart w:id="261" w:name="_Toc102136462"/>
      <w:r>
        <w:rPr>
          <w:rFonts w:hint="eastAsia" w:ascii="仿宋" w:hAnsi="仿宋" w:eastAsia="仿宋" w:cs="仿宋"/>
          <w:color w:val="auto"/>
          <w:sz w:val="21"/>
          <w:szCs w:val="21"/>
          <w:highlight w:val="none"/>
        </w:rPr>
        <w:t>3.2.1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应按第五章“投标文件格式”的要求在投标书中进行报价并填写分项报价表。</w:t>
      </w:r>
    </w:p>
    <w:p w14:paraId="715B18FE">
      <w:pPr>
        <w:pStyle w:val="19"/>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应充分了解该项目的总体情况以及影响投标报价的其他要素，按国家或行业现行技术经济标准、定额及规范，自行测算出满足招标要求的投标货物的竞争性报价。</w:t>
      </w:r>
      <w:r>
        <w:rPr>
          <w:rFonts w:hint="eastAsia" w:ascii="仿宋" w:hAnsi="仿宋" w:eastAsia="仿宋" w:cs="仿宋"/>
          <w:b/>
          <w:color w:val="auto"/>
          <w:sz w:val="21"/>
          <w:szCs w:val="21"/>
          <w:highlight w:val="none"/>
        </w:rPr>
        <w:t>投标报价</w:t>
      </w:r>
      <w:r>
        <w:rPr>
          <w:rFonts w:hint="eastAsia" w:ascii="仿宋" w:hAnsi="仿宋" w:eastAsia="仿宋" w:cs="仿宋"/>
          <w:color w:val="auto"/>
          <w:sz w:val="21"/>
          <w:szCs w:val="21"/>
          <w:highlight w:val="none"/>
        </w:rPr>
        <w:t>包括但不仅限于货物的出厂价、随机备品备件、运杂费、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技术服务费、保证期内缺陷的修复补救费用、设备维修零部件更换</w:t>
      </w:r>
      <w:r>
        <w:rPr>
          <w:rFonts w:hint="eastAsia" w:ascii="仿宋" w:hAnsi="仿宋" w:eastAsia="仿宋" w:cs="仿宋"/>
          <w:color w:val="auto"/>
          <w:sz w:val="21"/>
          <w:szCs w:val="21"/>
          <w:highlight w:val="none"/>
          <w:lang w:val="en-US" w:eastAsia="zh-CN"/>
        </w:rPr>
        <w:t>费用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市场价格变化的风险费用、利润、税金等响应招标文件所有技术、商务要求的价格总和，该报价应考虑市场风险、政策性风险、汇率风险等因素，并能保证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完成履行合同所需的全部工作，此价格在合同签订后不得调整。</w:t>
      </w:r>
    </w:p>
    <w:p w14:paraId="4511290D">
      <w:pPr>
        <w:pStyle w:val="19"/>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①货物的</w:t>
      </w:r>
      <w:r>
        <w:rPr>
          <w:rFonts w:hint="eastAsia" w:ascii="仿宋" w:hAnsi="仿宋" w:eastAsia="仿宋" w:cs="仿宋"/>
          <w:b/>
          <w:color w:val="auto"/>
          <w:sz w:val="21"/>
          <w:szCs w:val="21"/>
          <w:highlight w:val="none"/>
        </w:rPr>
        <w:t>出厂价</w:t>
      </w:r>
      <w:r>
        <w:rPr>
          <w:rFonts w:hint="eastAsia" w:ascii="仿宋" w:hAnsi="仿宋" w:eastAsia="仿宋" w:cs="仿宋"/>
          <w:color w:val="auto"/>
          <w:sz w:val="21"/>
          <w:szCs w:val="21"/>
          <w:highlight w:val="none"/>
        </w:rPr>
        <w:t>指制造厂生产的，满足招标要求及符合国家质量检测标准的货物的价格。包括但不仅限于产品的设计费、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取得生产制造投标货物所需的图纸或为采购人提供所生产货物的图纸和技术资料的费用、生产所需的材料费、加工费、辅助材料费、专用工具费、废品损失费、外购配套件费、包装费、利润和税金等费用。还包括必不可少的部件、标准备件、专用工具</w:t>
      </w:r>
      <w:r>
        <w:rPr>
          <w:rFonts w:hint="eastAsia" w:ascii="仿宋" w:hAnsi="仿宋" w:eastAsia="仿宋" w:cs="仿宋"/>
          <w:bCs/>
          <w:color w:val="auto"/>
          <w:sz w:val="21"/>
          <w:szCs w:val="21"/>
          <w:highlight w:val="none"/>
        </w:rPr>
        <w:t>的价格</w:t>
      </w:r>
      <w:r>
        <w:rPr>
          <w:rFonts w:hint="eastAsia" w:ascii="仿宋" w:hAnsi="仿宋" w:eastAsia="仿宋" w:cs="仿宋"/>
          <w:color w:val="auto"/>
          <w:sz w:val="21"/>
          <w:szCs w:val="21"/>
          <w:highlight w:val="none"/>
        </w:rPr>
        <w:t>。</w:t>
      </w:r>
    </w:p>
    <w:p w14:paraId="360914F4">
      <w:pPr>
        <w:pStyle w:val="19"/>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②进口组部件、元器件或全进口产品的全部费用须折合成人民币报价，并注明进口件的原产地，交货时需提供商检证明。汇率风险由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自行承担。</w:t>
      </w:r>
    </w:p>
    <w:p w14:paraId="126F675D">
      <w:pPr>
        <w:pStyle w:val="19"/>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w:t>
      </w:r>
      <w:r>
        <w:rPr>
          <w:rFonts w:hint="eastAsia" w:ascii="仿宋" w:hAnsi="仿宋" w:eastAsia="仿宋" w:cs="仿宋"/>
          <w:b/>
          <w:color w:val="auto"/>
          <w:sz w:val="21"/>
          <w:szCs w:val="21"/>
          <w:highlight w:val="none"/>
        </w:rPr>
        <w:t>运杂费用</w:t>
      </w:r>
      <w:r>
        <w:rPr>
          <w:rFonts w:hint="eastAsia" w:ascii="仿宋" w:hAnsi="仿宋" w:eastAsia="仿宋" w:cs="仿宋"/>
          <w:color w:val="auto"/>
          <w:sz w:val="21"/>
          <w:szCs w:val="21"/>
          <w:highlight w:val="none"/>
        </w:rPr>
        <w:t>：即投标货物到交货地点前的所有费用，包括铁路或公路运费、提货及转运费用、短途运费、包装费、装卸费用、加固费用、保险费等。</w:t>
      </w:r>
    </w:p>
    <w:p w14:paraId="2629C50E">
      <w:pPr>
        <w:pStyle w:val="19"/>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w:t>
      </w:r>
      <w:r>
        <w:rPr>
          <w:rFonts w:hint="eastAsia" w:ascii="仿宋" w:hAnsi="仿宋" w:eastAsia="仿宋" w:cs="仿宋"/>
          <w:b/>
          <w:color w:val="auto"/>
          <w:sz w:val="21"/>
          <w:szCs w:val="21"/>
          <w:highlight w:val="none"/>
        </w:rPr>
        <w:t>技术服务费用</w:t>
      </w:r>
      <w:r>
        <w:rPr>
          <w:rFonts w:hint="eastAsia" w:ascii="仿宋" w:hAnsi="仿宋" w:eastAsia="仿宋" w:cs="仿宋"/>
          <w:color w:val="auto"/>
          <w:sz w:val="21"/>
          <w:szCs w:val="21"/>
          <w:highlight w:val="none"/>
        </w:rPr>
        <w:t>包括：设计联络费用、现场服务（包括安装和调试费用）和人员培训的费用、技术资料费以及技术咨询协调费用等。</w:t>
      </w:r>
    </w:p>
    <w:p w14:paraId="7AA1152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3.2.3采购人设有最高投标限价的，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的投标报价不得超过最高投标限价，最高投标限价在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须知前附表中载明。</w:t>
      </w:r>
    </w:p>
    <w:p w14:paraId="67F9E05D">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3.2.4报价应为一次性人民币含税价（元），包括货物成本价及伴随的服务内容、利润、运费、保险、税收、安装、代理服务费等所有费用。投标报价应为人民币报价，其他货币报价为无效报价。</w:t>
      </w:r>
    </w:p>
    <w:p w14:paraId="19AC5B82">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★3.2.5 任何有选择的报价将不予接受，每种服务（货物）只允许有一个报价，否则被视为非实质性响应招标文件。</w:t>
      </w:r>
    </w:p>
    <w:p w14:paraId="097A3A47">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3.2.6 投标报价表中标明的单价在合同执行过程中是固定不变的，不得以任何理由予以变更。以可调整的价格提交的投标将被视为非实质性响应招标文件。</w:t>
      </w:r>
    </w:p>
    <w:p w14:paraId="6CDAF89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3.2.7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不得哄抬报价，也不应低于成本价报价，否则一经查实，将被视为非实质性响应招标文件。</w:t>
      </w:r>
    </w:p>
    <w:p w14:paraId="3671FECA">
      <w:pPr>
        <w:pStyle w:val="4"/>
        <w:pageBreakBefore w:val="0"/>
        <w:kinsoku/>
        <w:bidi w:val="0"/>
        <w:spacing w:before="0" w:after="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 投标有效期</w:t>
      </w:r>
      <w:bookmarkEnd w:id="258"/>
      <w:bookmarkEnd w:id="259"/>
      <w:bookmarkEnd w:id="260"/>
      <w:bookmarkEnd w:id="261"/>
    </w:p>
    <w:p w14:paraId="251298B8">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3.3.1投标有效期：详见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60761CE8">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3.3.2在投标有效期内，</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撤销或修改其投标文件的，应承担招标文件和法律规定的责任。</w:t>
      </w:r>
    </w:p>
    <w:p w14:paraId="48B1E7E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3.3.3出现特殊情况需要延长投标有效期的，采购人以书面形式通知所有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延长投标有效期。</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应予以书面答复，同意延长的，应相应延长其投标保证金的有效期，但不得要求或被允许修改其投标文件；</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拒绝延长的，其投标失效，但</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有权收回其投标保证金。</w:t>
      </w:r>
    </w:p>
    <w:p w14:paraId="2712FDE2">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62" w:name="_Toc24263"/>
      <w:bookmarkStart w:id="263" w:name="_Toc102136463"/>
      <w:bookmarkStart w:id="264" w:name="_Toc71734700"/>
      <w:bookmarkStart w:id="265" w:name="_Toc23698"/>
      <w:r>
        <w:rPr>
          <w:rFonts w:hint="eastAsia" w:ascii="仿宋" w:hAnsi="仿宋" w:eastAsia="仿宋" w:cs="仿宋"/>
          <w:color w:val="auto"/>
          <w:sz w:val="21"/>
          <w:szCs w:val="21"/>
          <w:highlight w:val="none"/>
        </w:rPr>
        <w:t>3.4 投标保证金</w:t>
      </w:r>
      <w:bookmarkEnd w:id="262"/>
      <w:bookmarkEnd w:id="263"/>
      <w:bookmarkEnd w:id="264"/>
      <w:bookmarkEnd w:id="265"/>
    </w:p>
    <w:p w14:paraId="702BD50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在递交投标文件的同时，应按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须知前附表规定的金额、形式递交投标保证金。联合体投标的，其投标保证金可以由牵头人递交，是否接受联合体投标详见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50F1736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不按本章第3.4.1项要求提交投标保证金的，其投标将被视为无效投标。</w:t>
      </w:r>
    </w:p>
    <w:p w14:paraId="4C646D8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3.4.3采购人或者采购代理机构应当自中标通知书发出之日起5个工作日内退还未中标人的投标保证金，自采购合同签订之日起5个工作日内退还中标人的投标保证金。</w:t>
      </w:r>
    </w:p>
    <w:p w14:paraId="6D9DC47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3.4.4有下列情形之一的，投标保证金将不予退还：</w:t>
      </w:r>
    </w:p>
    <w:p w14:paraId="368CA7A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在投标有效期内撤销投标文件；</w:t>
      </w:r>
    </w:p>
    <w:p w14:paraId="290DF57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（2）中标人在收到中标通知书后，无正当理由不与采购人订立合同，在签订合同时向采购人提出附加条件；</w:t>
      </w:r>
    </w:p>
    <w:p w14:paraId="606D9EE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（3）发生</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须知前附表规定的其他可以不予退还投标保证金的情形。</w:t>
      </w:r>
    </w:p>
    <w:p w14:paraId="54163967">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66" w:name="_Toc22484"/>
      <w:bookmarkStart w:id="267" w:name="_Toc102136464"/>
      <w:bookmarkStart w:id="268" w:name="_Toc71734701"/>
      <w:bookmarkStart w:id="269" w:name="_Toc18479"/>
      <w:r>
        <w:rPr>
          <w:rFonts w:hint="eastAsia" w:ascii="仿宋" w:hAnsi="仿宋" w:eastAsia="仿宋" w:cs="仿宋"/>
          <w:color w:val="auto"/>
          <w:sz w:val="21"/>
          <w:szCs w:val="21"/>
          <w:highlight w:val="none"/>
        </w:rPr>
        <w:t>3.5投标文件的编制</w:t>
      </w:r>
      <w:bookmarkEnd w:id="266"/>
      <w:bookmarkEnd w:id="267"/>
      <w:bookmarkEnd w:id="268"/>
      <w:bookmarkEnd w:id="269"/>
    </w:p>
    <w:p w14:paraId="1AA14BC6">
      <w:pPr>
        <w:pageBreakBefore w:val="0"/>
        <w:kinsoku/>
        <w:bidi w:val="0"/>
        <w:spacing w:line="360" w:lineRule="auto"/>
        <w:ind w:firstLine="488"/>
        <w:rPr>
          <w:rFonts w:hint="eastAsia" w:ascii="仿宋" w:hAnsi="仿宋" w:eastAsia="仿宋" w:cs="仿宋"/>
          <w:color w:val="auto"/>
          <w:sz w:val="21"/>
          <w:szCs w:val="21"/>
          <w:highlight w:val="none"/>
        </w:rPr>
      </w:pPr>
      <w:bookmarkStart w:id="270" w:name="_Toc31511"/>
      <w:bookmarkStart w:id="271" w:name="_Toc23660"/>
      <w:bookmarkStart w:id="272" w:name="_Toc8396"/>
      <w:bookmarkStart w:id="273" w:name="_Toc71734702"/>
      <w:bookmarkStart w:id="274" w:name="_Toc16582"/>
      <w:bookmarkStart w:id="275" w:name="_Toc6783"/>
      <w:bookmarkStart w:id="276" w:name="_Toc5670"/>
      <w:bookmarkStart w:id="277" w:name="_Toc2119"/>
      <w:bookmarkStart w:id="278" w:name="_Toc17987"/>
      <w:r>
        <w:rPr>
          <w:rFonts w:hint="eastAsia" w:ascii="仿宋" w:hAnsi="仿宋" w:eastAsia="仿宋" w:cs="仿宋"/>
          <w:color w:val="auto"/>
          <w:sz w:val="21"/>
          <w:szCs w:val="21"/>
          <w:highlight w:val="none"/>
        </w:rPr>
        <w:t>3.5.1投标文件全部采用电子文档，</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应安装客户端软件—“政采云电子交易客户端”，并按照招标文件和政采云电子交易平台的要求编制，编制后应进行电子签名及加密。</w:t>
      </w:r>
    </w:p>
    <w:p w14:paraId="597E6353">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★3.5.2如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提交的电子标书不符合要求或开标时无法读取导入或解密，其投标文件将不予受理。</w:t>
      </w:r>
    </w:p>
    <w:p w14:paraId="1B56E67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3.5.3投标文件应尽量避免涂改、行间插字或删除。如果出现上述情况，改动之处应加盖单位章或由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的法定代表人或其委托代理人签字确认。</w:t>
      </w:r>
    </w:p>
    <w:p w14:paraId="39DEDF0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★3.5.4关键内容字迹潦草、表达不清、未按要求填写而导致非唯一理解,造成非实质性响应的将会被视为未实质性响应招标文件的投标文件。</w:t>
      </w:r>
    </w:p>
    <w:p w14:paraId="74B0BC4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3.5.5投标文件中提供的资料（扫描件），内容必须清晰可辨，若内容模糊，无法辨识，均视为未提供。</w:t>
      </w:r>
    </w:p>
    <w:p w14:paraId="45C1398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★3.5.6投标文件中对招标文件商务条款及技术要求的应答出现完全或绝大部分复制招标文件要求的，视为未实质性响应招标文件的投标文件。</w:t>
      </w:r>
    </w:p>
    <w:p w14:paraId="0BECC1AB">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3.5.7按照投标文件格式，采用单位和个人数字证书电子签章及电子签名：投标文件需要企业、法定代表人电子签章及电子签名。</w:t>
      </w:r>
    </w:p>
    <w:p w14:paraId="0C1BEFE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3.5.8投标文件应按照第五章“投标文件格式“进行编写。</w:t>
      </w:r>
    </w:p>
    <w:p w14:paraId="59103A8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3.5.9投标文件应当对招标文件有关采购需求的实质性内容</w:t>
      </w:r>
      <w:r>
        <w:rPr>
          <w:rFonts w:hint="eastAsia" w:ascii="仿宋" w:hAnsi="仿宋" w:eastAsia="仿宋" w:cs="仿宋"/>
          <w:color w:val="auto"/>
          <w:sz w:val="21"/>
          <w:szCs w:val="21"/>
          <w:highlight w:val="none"/>
          <w:lang w:val="en-US" w:eastAsia="zh-CN"/>
        </w:rPr>
        <w:t>做</w:t>
      </w:r>
      <w:r>
        <w:rPr>
          <w:rFonts w:hint="eastAsia" w:ascii="仿宋" w:hAnsi="仿宋" w:eastAsia="仿宋" w:cs="仿宋"/>
          <w:color w:val="auto"/>
          <w:sz w:val="21"/>
          <w:szCs w:val="21"/>
          <w:highlight w:val="none"/>
        </w:rPr>
        <w:t>出响应。投标文件在满足招标文件实质性要求的基础上，可以提出比招标文件要求更有利于采购人的承诺。</w:t>
      </w:r>
    </w:p>
    <w:p w14:paraId="0B269782">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79" w:name="_Toc17687"/>
      <w:bookmarkStart w:id="280" w:name="_Toc8520"/>
      <w:bookmarkStart w:id="281" w:name="_Toc1227"/>
      <w:r>
        <w:rPr>
          <w:rFonts w:hint="eastAsia" w:ascii="仿宋" w:hAnsi="仿宋" w:eastAsia="仿宋" w:cs="仿宋"/>
          <w:color w:val="auto"/>
          <w:sz w:val="21"/>
          <w:szCs w:val="21"/>
          <w:highlight w:val="none"/>
        </w:rPr>
        <w:t>2.3 招标文件的修改</w:t>
      </w:r>
    </w:p>
    <w:p w14:paraId="53D8FAA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2.3.1采购人以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须知前附表规定的形式修改招标文件，并通知所有已获取招标文件的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。修改招标文件的时间距本章4.2.1项规定的投标截止时间不足15日的，并且修改内容可能影响投标文件编制的，将相应延长投标截止时间。</w:t>
      </w:r>
    </w:p>
    <w:p w14:paraId="434E22F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收到修改内容后，应按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须知前附表规定的时间和形式通知采购人，确认已收到该修改。</w:t>
      </w:r>
    </w:p>
    <w:p w14:paraId="79DA149B">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应在投标截止时间前及时登录政采云平台（https://www.zcygov.cn/）中查看有关该工程招标文件的答疑、补遗内容。否则，后果自负。</w:t>
      </w:r>
    </w:p>
    <w:p w14:paraId="1C4FFE51">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2.3.4招标文件澄清、招标文件修改文件内容均以网上电子文件为准，当招标文件、招标文件澄清、招标文件修改文件内容前后相互矛盾时，以最后发出的为准。</w:t>
      </w:r>
    </w:p>
    <w:p w14:paraId="4BF6CE97">
      <w:pPr>
        <w:pStyle w:val="3"/>
        <w:pageBreakBefore w:val="0"/>
        <w:kinsoku/>
        <w:bidi w:val="0"/>
        <w:spacing w:after="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w:t>
      </w:r>
      <w:bookmarkEnd w:id="270"/>
      <w:bookmarkEnd w:id="271"/>
      <w:bookmarkEnd w:id="272"/>
      <w:bookmarkEnd w:id="273"/>
      <w:bookmarkEnd w:id="274"/>
      <w:bookmarkEnd w:id="275"/>
      <w:bookmarkEnd w:id="276"/>
      <w:bookmarkEnd w:id="277"/>
      <w:bookmarkEnd w:id="278"/>
      <w:bookmarkEnd w:id="279"/>
      <w:bookmarkEnd w:id="280"/>
      <w:bookmarkEnd w:id="281"/>
    </w:p>
    <w:p w14:paraId="125C5032">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82" w:name="_Toc102136466"/>
      <w:bookmarkStart w:id="283" w:name="_Toc71734703"/>
      <w:bookmarkStart w:id="284" w:name="_Toc9004"/>
      <w:bookmarkStart w:id="285" w:name="_Toc8120"/>
      <w:r>
        <w:rPr>
          <w:rFonts w:hint="eastAsia" w:ascii="仿宋" w:hAnsi="仿宋" w:eastAsia="仿宋" w:cs="仿宋"/>
          <w:color w:val="auto"/>
          <w:sz w:val="21"/>
          <w:szCs w:val="21"/>
          <w:highlight w:val="none"/>
        </w:rPr>
        <w:t>4.1投标文件的密封与标识</w:t>
      </w:r>
      <w:bookmarkEnd w:id="282"/>
      <w:bookmarkEnd w:id="283"/>
      <w:bookmarkEnd w:id="284"/>
      <w:bookmarkEnd w:id="285"/>
    </w:p>
    <w:p w14:paraId="0B17A100">
      <w:pPr>
        <w:pageBreakBefore w:val="0"/>
        <w:kinsoku/>
        <w:bidi w:val="0"/>
        <w:spacing w:line="360" w:lineRule="auto"/>
        <w:ind w:firstLine="488"/>
        <w:rPr>
          <w:rFonts w:hint="eastAsia" w:ascii="仿宋" w:hAnsi="仿宋" w:eastAsia="仿宋" w:cs="仿宋"/>
          <w:color w:val="auto"/>
          <w:sz w:val="21"/>
          <w:szCs w:val="21"/>
          <w:highlight w:val="none"/>
        </w:rPr>
      </w:pPr>
      <w:bookmarkStart w:id="286" w:name="_Toc71734704"/>
      <w:bookmarkStart w:id="287" w:name="_Toc1551"/>
      <w:bookmarkStart w:id="288" w:name="_Toc102136467"/>
      <w:bookmarkStart w:id="289" w:name="_Toc22356"/>
      <w:r>
        <w:rPr>
          <w:rFonts w:hint="eastAsia" w:ascii="仿宋" w:hAnsi="仿宋" w:eastAsia="仿宋" w:cs="仿宋"/>
          <w:color w:val="auto"/>
          <w:sz w:val="21"/>
          <w:szCs w:val="21"/>
          <w:highlight w:val="none"/>
        </w:rPr>
        <w:t>4.1.1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进行电子交易应安装客户端软件—“政采云电子交易客户端”，并按照招标文件和电子交易平台的要求编制并加密投标文件。采购人未按规定加密的投标文件，电子交易平台将拒收并提示。</w:t>
      </w:r>
    </w:p>
    <w:p w14:paraId="5B3F8DC8">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4.1.2使用“政采云电子交易客户端”需要提前申领CA数字证书。</w:t>
      </w:r>
    </w:p>
    <w:p w14:paraId="3AF76A21">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4.1.3为确保网上操作合法、有效和安全，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应当在投标文件提交截止时间前完成在“政府采购云平台”的身份认证，确保在电子交易过程中能够对相关数据电文进行加密和使用电子签名。</w:t>
      </w:r>
    </w:p>
    <w:p w14:paraId="10E5147C">
      <w:pPr>
        <w:pStyle w:val="4"/>
        <w:pageBreakBefore w:val="0"/>
        <w:kinsoku/>
        <w:bidi w:val="0"/>
        <w:spacing w:before="0" w:after="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 投标文件的递交</w:t>
      </w:r>
      <w:bookmarkEnd w:id="286"/>
      <w:bookmarkEnd w:id="287"/>
      <w:bookmarkEnd w:id="288"/>
      <w:bookmarkEnd w:id="289"/>
    </w:p>
    <w:p w14:paraId="51E686D2">
      <w:pPr>
        <w:pStyle w:val="19"/>
        <w:pageBreakBefore w:val="0"/>
        <w:kinsoku/>
        <w:bidi w:val="0"/>
        <w:spacing w:line="360" w:lineRule="auto"/>
        <w:ind w:firstLine="420" w:firstLineChars="200"/>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4.2.1投标文件的提交/上传不得迟于“</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须知前附表</w:t>
      </w:r>
      <w:r>
        <w:rPr>
          <w:rFonts w:hint="eastAsia" w:ascii="仿宋" w:hAnsi="仿宋" w:eastAsia="仿宋" w:cs="仿宋"/>
          <w:color w:val="auto"/>
          <w:sz w:val="21"/>
          <w:szCs w:val="21"/>
          <w:highlight w:val="none"/>
        </w:rPr>
        <w:t>”规定的提交投标文件截止时间。</w:t>
      </w:r>
      <w:r>
        <w:rPr>
          <w:rFonts w:hint="eastAsia" w:ascii="仿宋" w:hAnsi="仿宋" w:eastAsia="仿宋" w:cs="仿宋"/>
          <w:b/>
          <w:color w:val="auto"/>
          <w:sz w:val="21"/>
          <w:szCs w:val="21"/>
          <w:highlight w:val="none"/>
        </w:rPr>
        <w:t>逾期送达/上传的投标文件，将被拒收。</w:t>
      </w:r>
    </w:p>
    <w:p w14:paraId="1B69B0FA">
      <w:pPr>
        <w:pStyle w:val="19"/>
        <w:pageBreakBefore w:val="0"/>
        <w:kinsoku/>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必须在规定时间内将投标文件提交到“</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须知前附表</w:t>
      </w:r>
      <w:r>
        <w:rPr>
          <w:rFonts w:hint="eastAsia" w:ascii="仿宋" w:hAnsi="仿宋" w:eastAsia="仿宋" w:cs="仿宋"/>
          <w:color w:val="auto"/>
          <w:sz w:val="21"/>
          <w:szCs w:val="21"/>
          <w:highlight w:val="none"/>
        </w:rPr>
        <w:t>”规定的地点。</w:t>
      </w:r>
    </w:p>
    <w:p w14:paraId="4B8E743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4.2.3除“</w:t>
      </w:r>
      <w:r>
        <w:rPr>
          <w:rFonts w:hint="eastAsia" w:ascii="仿宋" w:hAnsi="仿宋" w:eastAsia="仿宋" w:cs="仿宋"/>
          <w:b/>
          <w:color w:val="auto"/>
          <w:sz w:val="21"/>
          <w:szCs w:val="21"/>
          <w:highlight w:val="none"/>
          <w:lang w:eastAsia="zh-CN"/>
        </w:rPr>
        <w:t>供应商</w:t>
      </w:r>
      <w:r>
        <w:rPr>
          <w:rFonts w:hint="eastAsia" w:ascii="仿宋" w:hAnsi="仿宋" w:eastAsia="仿宋" w:cs="仿宋"/>
          <w:b/>
          <w:color w:val="auto"/>
          <w:sz w:val="21"/>
          <w:szCs w:val="21"/>
          <w:highlight w:val="none"/>
        </w:rPr>
        <w:t>须知前附表</w:t>
      </w:r>
      <w:r>
        <w:rPr>
          <w:rFonts w:hint="eastAsia" w:ascii="仿宋" w:hAnsi="仿宋" w:eastAsia="仿宋" w:cs="仿宋"/>
          <w:color w:val="auto"/>
          <w:sz w:val="21"/>
          <w:szCs w:val="21"/>
          <w:highlight w:val="none"/>
        </w:rPr>
        <w:t>”另有规定外，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所递交的投标文件不予退还。</w:t>
      </w:r>
    </w:p>
    <w:p w14:paraId="48E88416">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290" w:name="_Toc6156"/>
      <w:bookmarkStart w:id="291" w:name="_Toc102136468"/>
      <w:bookmarkStart w:id="292" w:name="_Toc10542"/>
      <w:bookmarkStart w:id="293" w:name="_Toc71734705"/>
      <w:r>
        <w:rPr>
          <w:rFonts w:hint="eastAsia" w:ascii="仿宋" w:hAnsi="仿宋" w:eastAsia="仿宋" w:cs="仿宋"/>
          <w:color w:val="auto"/>
          <w:sz w:val="21"/>
          <w:szCs w:val="21"/>
          <w:highlight w:val="none"/>
        </w:rPr>
        <w:t>4.3投标文件的修改与撤回</w:t>
      </w:r>
      <w:bookmarkEnd w:id="290"/>
      <w:bookmarkEnd w:id="291"/>
      <w:bookmarkEnd w:id="292"/>
      <w:bookmarkEnd w:id="293"/>
    </w:p>
    <w:p w14:paraId="7330CFF9">
      <w:pPr>
        <w:pageBreakBefore w:val="0"/>
        <w:kinsoku/>
        <w:bidi w:val="0"/>
        <w:spacing w:line="360" w:lineRule="auto"/>
        <w:ind w:firstLine="488"/>
        <w:rPr>
          <w:rFonts w:hint="eastAsia" w:ascii="仿宋" w:hAnsi="仿宋" w:eastAsia="仿宋" w:cs="仿宋"/>
          <w:color w:val="auto"/>
          <w:sz w:val="21"/>
          <w:szCs w:val="21"/>
          <w:highlight w:val="none"/>
        </w:rPr>
      </w:pPr>
      <w:bookmarkStart w:id="294" w:name="_Toc20986"/>
      <w:bookmarkStart w:id="295" w:name="_Toc18305"/>
      <w:bookmarkStart w:id="296" w:name="_Toc1079"/>
      <w:bookmarkStart w:id="297" w:name="_Toc15366"/>
      <w:bookmarkStart w:id="298" w:name="_Toc1833"/>
      <w:bookmarkStart w:id="299" w:name="_Toc71734706"/>
      <w:bookmarkStart w:id="300" w:name="_Toc23856"/>
      <w:bookmarkStart w:id="301" w:name="_Toc29692"/>
      <w:bookmarkStart w:id="302" w:name="_Toc18461"/>
      <w:r>
        <w:rPr>
          <w:rFonts w:hint="eastAsia" w:ascii="仿宋" w:hAnsi="仿宋" w:eastAsia="仿宋" w:cs="仿宋"/>
          <w:color w:val="auto"/>
          <w:sz w:val="21"/>
          <w:szCs w:val="21"/>
          <w:highlight w:val="none"/>
        </w:rPr>
        <w:t>4.3.1在本章第4.2.1项规定的投标截止时间前，</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可以修改或撤回已递交的投标文件。</w:t>
      </w:r>
    </w:p>
    <w:p w14:paraId="780B735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修改或撤回已递交投标文件的通知，应按照本章第3.5.3项的要求加盖电子印章。</w:t>
      </w:r>
    </w:p>
    <w:p w14:paraId="6E9D01E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在投标截止时间前撤回已提交的投标文件的，采购人或者采购代理机构应当自收到</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书面撤回通知之日起5个工作日内，退还已收取的投标保证金，但因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自身原因导致无法及时退还的除外。</w:t>
      </w:r>
    </w:p>
    <w:p w14:paraId="0EFDE77C">
      <w:pPr>
        <w:pStyle w:val="3"/>
        <w:pageBreakBefore w:val="0"/>
        <w:kinsoku/>
        <w:bidi w:val="0"/>
        <w:spacing w:after="0" w:line="360" w:lineRule="auto"/>
        <w:rPr>
          <w:rFonts w:hint="eastAsia" w:ascii="仿宋" w:hAnsi="仿宋" w:eastAsia="仿宋" w:cs="仿宋"/>
          <w:color w:val="auto"/>
          <w:sz w:val="21"/>
          <w:szCs w:val="21"/>
          <w:highlight w:val="none"/>
        </w:rPr>
      </w:pPr>
      <w:bookmarkStart w:id="303" w:name="_Toc20954"/>
      <w:bookmarkStart w:id="304" w:name="_Toc26162"/>
      <w:bookmarkStart w:id="305" w:name="_Toc32581"/>
      <w:r>
        <w:rPr>
          <w:rFonts w:hint="eastAsia" w:ascii="仿宋" w:hAnsi="仿宋" w:eastAsia="仿宋" w:cs="仿宋"/>
          <w:color w:val="auto"/>
          <w:sz w:val="21"/>
          <w:szCs w:val="21"/>
          <w:highlight w:val="none"/>
        </w:rPr>
        <w:t>5.开标</w:t>
      </w:r>
      <w:bookmarkEnd w:id="294"/>
      <w:bookmarkEnd w:id="295"/>
      <w:bookmarkEnd w:id="296"/>
      <w:bookmarkEnd w:id="297"/>
      <w:bookmarkEnd w:id="298"/>
      <w:bookmarkEnd w:id="299"/>
      <w:bookmarkEnd w:id="300"/>
      <w:bookmarkEnd w:id="301"/>
      <w:bookmarkEnd w:id="302"/>
      <w:bookmarkEnd w:id="303"/>
      <w:bookmarkEnd w:id="304"/>
      <w:bookmarkEnd w:id="305"/>
    </w:p>
    <w:p w14:paraId="11AC0975">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bookmarkStart w:id="306" w:name="_Toc71734707"/>
      <w:bookmarkStart w:id="307" w:name="_Toc22444"/>
      <w:bookmarkStart w:id="308" w:name="_Toc20361"/>
      <w:bookmarkStart w:id="309" w:name="_Toc102136470"/>
      <w:r>
        <w:rPr>
          <w:rFonts w:hint="eastAsia" w:ascii="仿宋" w:hAnsi="仿宋" w:eastAsia="仿宋" w:cs="仿宋"/>
          <w:color w:val="auto"/>
          <w:sz w:val="21"/>
          <w:szCs w:val="21"/>
          <w:highlight w:val="none"/>
        </w:rPr>
        <w:t>5.1开标时间和地点</w:t>
      </w:r>
      <w:bookmarkEnd w:id="306"/>
      <w:bookmarkEnd w:id="307"/>
      <w:bookmarkEnd w:id="308"/>
      <w:bookmarkEnd w:id="309"/>
    </w:p>
    <w:p w14:paraId="3873A9D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采购人在本章第4.2.1项规定的投标截止时间（开标时间）和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须知前附表规定的地点进行开标。</w:t>
      </w:r>
    </w:p>
    <w:p w14:paraId="0DE09A0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不足3家的，不得开标。</w:t>
      </w:r>
    </w:p>
    <w:p w14:paraId="7BA35A09">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bookmarkStart w:id="310" w:name="_Toc26504"/>
      <w:bookmarkStart w:id="311" w:name="_Toc71734708"/>
      <w:bookmarkStart w:id="312" w:name="_Toc25237"/>
      <w:bookmarkStart w:id="313" w:name="_Toc102136471"/>
      <w:r>
        <w:rPr>
          <w:rFonts w:hint="eastAsia" w:ascii="仿宋" w:hAnsi="仿宋" w:eastAsia="仿宋" w:cs="仿宋"/>
          <w:color w:val="auto"/>
          <w:sz w:val="21"/>
          <w:szCs w:val="21"/>
          <w:highlight w:val="none"/>
        </w:rPr>
        <w:t>5.2开标程序</w:t>
      </w:r>
      <w:bookmarkEnd w:id="310"/>
      <w:bookmarkEnd w:id="311"/>
      <w:bookmarkEnd w:id="312"/>
      <w:bookmarkEnd w:id="313"/>
    </w:p>
    <w:p w14:paraId="6670DF5D">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开标会由采购代理机构主持，具体流程如下：</w:t>
      </w:r>
    </w:p>
    <w:p w14:paraId="1383B651">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（1）采购代理机构依托电子交易平台发起开始解密指令，</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须使用加密时所用的CA锁按平台提示和招标文件的规定登录到“政采云”平台电子开标大厅签到，并在发起解密指令之时起30分钟内完成对电子投标文件在线解密。</w:t>
      </w:r>
    </w:p>
    <w:p w14:paraId="2185E248">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（2）发起解密指令之时起5分钟内</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还未进行解密的，代理机构可通知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未预留联系方式或预留联系方式无效，导致代理机构无法联系到</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进行解密的，视为撤回投标文件。</w:t>
      </w:r>
    </w:p>
    <w:p w14:paraId="3FBBA803">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成功解密投标文件，但未在“政采云”电子开标大厅参加开标的，视同认可开标过程和结果，由此产生的后果由</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自行负责。</w:t>
      </w:r>
    </w:p>
    <w:p w14:paraId="3CFF0D52">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5.4开标工作人员将做开标记录。</w:t>
      </w:r>
    </w:p>
    <w:p w14:paraId="71AC7A1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5.5</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代表对开标过程和开标记录有疑义，以及认为采购人、采购代理机构相关工作人员有需要回避的情形的，应在线提出询问或者回避申请。采购人、采购代理机构对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代表提出的询问或者回避申请应当及时处理。</w:t>
      </w:r>
    </w:p>
    <w:p w14:paraId="78F3CF4C">
      <w:pPr>
        <w:pStyle w:val="3"/>
        <w:pageBreakBefore w:val="0"/>
        <w:kinsoku/>
        <w:bidi w:val="0"/>
        <w:spacing w:after="0" w:line="360" w:lineRule="auto"/>
        <w:rPr>
          <w:rFonts w:hint="eastAsia" w:ascii="仿宋" w:hAnsi="仿宋" w:eastAsia="仿宋" w:cs="仿宋"/>
          <w:color w:val="auto"/>
          <w:sz w:val="21"/>
          <w:szCs w:val="21"/>
          <w:highlight w:val="none"/>
        </w:rPr>
      </w:pPr>
      <w:bookmarkStart w:id="314" w:name="_Toc22778"/>
      <w:bookmarkStart w:id="315" w:name="_Toc8832"/>
      <w:bookmarkStart w:id="316" w:name="_Toc23067"/>
      <w:bookmarkStart w:id="317" w:name="_Toc27255"/>
      <w:bookmarkStart w:id="318" w:name="_Toc21110"/>
      <w:bookmarkStart w:id="319" w:name="_Toc12491"/>
      <w:bookmarkStart w:id="320" w:name="_Toc2147"/>
      <w:bookmarkStart w:id="321" w:name="_Toc22340"/>
      <w:bookmarkStart w:id="322" w:name="_Toc29665"/>
      <w:bookmarkStart w:id="323" w:name="_Toc11099"/>
      <w:bookmarkStart w:id="324" w:name="_Toc71734710"/>
      <w:bookmarkStart w:id="325" w:name="_Toc25201"/>
      <w:r>
        <w:rPr>
          <w:rFonts w:hint="eastAsia" w:ascii="仿宋" w:hAnsi="仿宋" w:eastAsia="仿宋" w:cs="仿宋"/>
          <w:color w:val="auto"/>
          <w:sz w:val="21"/>
          <w:szCs w:val="21"/>
          <w:highlight w:val="none"/>
        </w:rPr>
        <w:t>6.资格审查</w:t>
      </w:r>
      <w:bookmarkEnd w:id="314"/>
      <w:bookmarkEnd w:id="315"/>
      <w:bookmarkEnd w:id="316"/>
      <w:bookmarkEnd w:id="317"/>
      <w:bookmarkEnd w:id="318"/>
      <w:bookmarkEnd w:id="319"/>
      <w:bookmarkEnd w:id="320"/>
      <w:bookmarkEnd w:id="321"/>
      <w:bookmarkEnd w:id="322"/>
      <w:bookmarkEnd w:id="323"/>
      <w:bookmarkEnd w:id="324"/>
      <w:bookmarkEnd w:id="325"/>
    </w:p>
    <w:p w14:paraId="05BA295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根据《政府采购货物和服务招标投标管理办法》（财政部令第87号）规定，开标结束后，采购人或者采购代理机构应当依法对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的资格进行审查。</w:t>
      </w:r>
    </w:p>
    <w:p w14:paraId="521A72FB">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不足3家的，不得评标。</w:t>
      </w:r>
    </w:p>
    <w:p w14:paraId="30DD7A0F">
      <w:pPr>
        <w:pStyle w:val="3"/>
        <w:pageBreakBefore w:val="0"/>
        <w:kinsoku/>
        <w:bidi w:val="0"/>
        <w:spacing w:after="0" w:line="360" w:lineRule="auto"/>
        <w:rPr>
          <w:rFonts w:hint="eastAsia" w:ascii="仿宋" w:hAnsi="仿宋" w:eastAsia="仿宋" w:cs="仿宋"/>
          <w:color w:val="auto"/>
          <w:sz w:val="21"/>
          <w:szCs w:val="21"/>
          <w:highlight w:val="none"/>
        </w:rPr>
      </w:pPr>
      <w:bookmarkStart w:id="326" w:name="_Toc25127"/>
      <w:bookmarkStart w:id="327" w:name="_Toc15671"/>
      <w:bookmarkStart w:id="328" w:name="_Toc20788"/>
      <w:bookmarkStart w:id="329" w:name="_Toc71734711"/>
      <w:bookmarkStart w:id="330" w:name="_Toc9844"/>
      <w:bookmarkStart w:id="331" w:name="_Toc4011"/>
      <w:bookmarkStart w:id="332" w:name="_Toc11589"/>
      <w:bookmarkStart w:id="333" w:name="_Toc6064"/>
      <w:bookmarkStart w:id="334" w:name="_Toc14711"/>
      <w:bookmarkStart w:id="335" w:name="_Toc26289"/>
      <w:bookmarkStart w:id="336" w:name="_Toc32183"/>
      <w:bookmarkStart w:id="337" w:name="_Toc31274"/>
      <w:r>
        <w:rPr>
          <w:rFonts w:hint="eastAsia" w:ascii="仿宋" w:hAnsi="仿宋" w:eastAsia="仿宋" w:cs="仿宋"/>
          <w:color w:val="auto"/>
          <w:sz w:val="21"/>
          <w:szCs w:val="21"/>
          <w:highlight w:val="none"/>
        </w:rPr>
        <w:t>7.评标</w:t>
      </w:r>
      <w:bookmarkEnd w:id="326"/>
      <w:bookmarkEnd w:id="327"/>
      <w:bookmarkEnd w:id="328"/>
      <w:bookmarkEnd w:id="329"/>
      <w:bookmarkEnd w:id="330"/>
      <w:bookmarkEnd w:id="331"/>
      <w:bookmarkEnd w:id="332"/>
      <w:bookmarkEnd w:id="333"/>
      <w:bookmarkEnd w:id="334"/>
      <w:bookmarkEnd w:id="335"/>
      <w:bookmarkEnd w:id="336"/>
      <w:bookmarkEnd w:id="337"/>
    </w:p>
    <w:p w14:paraId="269015BD">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338" w:name="_Toc102136475"/>
      <w:bookmarkStart w:id="339" w:name="_Toc20103"/>
      <w:bookmarkStart w:id="340" w:name="_Toc7130"/>
      <w:bookmarkStart w:id="341" w:name="_Toc71734712"/>
      <w:r>
        <w:rPr>
          <w:rFonts w:hint="eastAsia" w:ascii="仿宋" w:hAnsi="仿宋" w:eastAsia="仿宋" w:cs="仿宋"/>
          <w:color w:val="auto"/>
          <w:sz w:val="21"/>
          <w:szCs w:val="21"/>
          <w:highlight w:val="none"/>
        </w:rPr>
        <w:t>7.1评标原则</w:t>
      </w:r>
      <w:bookmarkEnd w:id="338"/>
      <w:bookmarkEnd w:id="339"/>
      <w:bookmarkEnd w:id="340"/>
      <w:bookmarkEnd w:id="341"/>
    </w:p>
    <w:p w14:paraId="5E8188A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评标活动遵循公平、公正、科学和择优的原则。</w:t>
      </w:r>
    </w:p>
    <w:p w14:paraId="6F21A95A">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342" w:name="_Toc4118"/>
      <w:bookmarkStart w:id="343" w:name="_Toc4585"/>
      <w:bookmarkStart w:id="344" w:name="_Toc102136477"/>
      <w:bookmarkStart w:id="345" w:name="_Toc71734714"/>
      <w:r>
        <w:rPr>
          <w:rFonts w:hint="eastAsia" w:ascii="仿宋" w:hAnsi="仿宋" w:eastAsia="仿宋" w:cs="仿宋"/>
          <w:color w:val="auto"/>
          <w:sz w:val="21"/>
          <w:szCs w:val="21"/>
          <w:highlight w:val="none"/>
        </w:rPr>
        <w:t>7.2评标委员会</w:t>
      </w:r>
      <w:bookmarkEnd w:id="342"/>
      <w:bookmarkEnd w:id="343"/>
      <w:bookmarkEnd w:id="344"/>
      <w:bookmarkEnd w:id="345"/>
    </w:p>
    <w:p w14:paraId="134B0C3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7.2.1评标委员会由采购人代表以及有关技术、经济等方面的专家组成。评标委员会成员人数以及技术、经济等方面专家的确定方式详见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14B61BA5">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7.2.2采购人委派代表参加评标委员会的，要向采购代理机构出具授权函。</w:t>
      </w:r>
    </w:p>
    <w:p w14:paraId="7DBBCD4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7.2.3评标委员会成员有下列情形之一的，应当回避：</w:t>
      </w:r>
    </w:p>
    <w:p w14:paraId="6D018895">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主要负责人的近亲属；</w:t>
      </w:r>
    </w:p>
    <w:p w14:paraId="310A85BE">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（2）项目主管部门或者行政监督部门的人员；</w:t>
      </w:r>
    </w:p>
    <w:p w14:paraId="6BA211BB">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有经济利益关系，可能影响对投标公正评审的；</w:t>
      </w:r>
    </w:p>
    <w:p w14:paraId="5D68E3B1">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（4）曾因在招标、评标以及其他与招标投标有关活动中从事违法行为而受过行政处罚或刑事处罚的；</w:t>
      </w:r>
    </w:p>
    <w:p w14:paraId="1795430C">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有其他利害关系。</w:t>
      </w:r>
    </w:p>
    <w:p w14:paraId="216E70AD">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7.2.4评标过程中，评标委员会成员有回避事由、擅离职守或者因健康等原因不能继续评标的，采购人有权更换。被更换的评标委员会成员作出的评审结论无效，由更换后的评标委员会成员重新进行评审。</w:t>
      </w:r>
    </w:p>
    <w:p w14:paraId="5332B0DF">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346" w:name="_Toc15917"/>
      <w:bookmarkStart w:id="347" w:name="_Toc102136476"/>
      <w:bookmarkStart w:id="348" w:name="_Toc14781"/>
      <w:bookmarkStart w:id="349" w:name="_Toc71734713"/>
      <w:r>
        <w:rPr>
          <w:rFonts w:hint="eastAsia" w:ascii="仿宋" w:hAnsi="仿宋" w:eastAsia="仿宋" w:cs="仿宋"/>
          <w:color w:val="auto"/>
          <w:sz w:val="21"/>
          <w:szCs w:val="21"/>
          <w:highlight w:val="none"/>
        </w:rPr>
        <w:t>7.3评标</w:t>
      </w:r>
      <w:bookmarkEnd w:id="346"/>
      <w:bookmarkEnd w:id="347"/>
      <w:bookmarkEnd w:id="348"/>
      <w:bookmarkEnd w:id="349"/>
    </w:p>
    <w:p w14:paraId="7C44EEF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7.3.1评标委员会按照第三章“评标办法”规定的方法、评审因素、标准和程序对投标文件进行评审。第三章“评标办法”没有规定的方法、评审因素和标准，不作为评标依据。</w:t>
      </w:r>
    </w:p>
    <w:p w14:paraId="122E1E4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7.3.2评标完成后，评标委员会应当向采购人提交书面评标报告和中标候选人名单。评标委员会推荐中标候选人的人数见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0AEE46C2">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7.3.3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6F152F3C">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★7.3.4有下列情形之一的，视为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串通投标，其投标无效：</w:t>
      </w:r>
    </w:p>
    <w:p w14:paraId="52CC4DB7">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的投标文件由同一单位或者个人编制；</w:t>
      </w:r>
    </w:p>
    <w:p w14:paraId="00A4EAF2">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委托同一单位或者个人办理投标事宜；</w:t>
      </w:r>
    </w:p>
    <w:p w14:paraId="14BA4148">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的投标文件载明的项目管理成员或者联系人员为同一人；</w:t>
      </w:r>
    </w:p>
    <w:p w14:paraId="1EEED548">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的投标文件异常一致或者投标报价呈规律性差异；</w:t>
      </w:r>
    </w:p>
    <w:p w14:paraId="36488FFD">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的投标文件相互混装；</w:t>
      </w:r>
    </w:p>
    <w:p w14:paraId="39A8B49B">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的投标保证金从同一单位或者个人的账户转出。</w:t>
      </w:r>
    </w:p>
    <w:p w14:paraId="57D5FC58">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7.3.5提供相同品牌产品且通过资格审查、符合性审查的不同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参加同一招标项目包投标的，按一家</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计算，评审后得分最高的同品牌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获得中标人推荐资格；评审得分相同的，评标委员会将依次按技术部分得分高优先、价格部分得分高优先、商务部分得分高优先的顺序确定；所有得分均相等的，采取随机抽取方式确定，其他同品牌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不作为中标候选人。</w:t>
      </w:r>
    </w:p>
    <w:p w14:paraId="6E4BDED2">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7.3.6 若单个项目（包）为非单一产品采购项目，对于招标文件规定的核心产品，多家</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提供的核心产品品牌有一项品牌相同的，按7.3.5款规定处理。</w:t>
      </w:r>
    </w:p>
    <w:p w14:paraId="31F32FF0">
      <w:pPr>
        <w:pageBreakBefore w:val="0"/>
        <w:kinsoku/>
        <w:wordWrap w:val="0"/>
        <w:topLinePunct/>
        <w:bidi w:val="0"/>
        <w:spacing w:line="360" w:lineRule="auto"/>
        <w:ind w:firstLine="420" w:firstLineChars="200"/>
        <w:jc w:val="left"/>
        <w:outlineLvl w:val="2"/>
        <w:rPr>
          <w:rFonts w:hint="eastAsia" w:ascii="仿宋" w:hAnsi="仿宋" w:eastAsia="仿宋" w:cs="仿宋"/>
          <w:color w:val="auto"/>
          <w:sz w:val="21"/>
          <w:szCs w:val="21"/>
          <w:highlight w:val="none"/>
        </w:rPr>
      </w:pPr>
      <w:bookmarkStart w:id="350" w:name="_Toc5367"/>
      <w:bookmarkStart w:id="351" w:name="_Toc22518"/>
      <w:bookmarkStart w:id="352" w:name="_Toc9494"/>
      <w:bookmarkStart w:id="353" w:name="_Toc21194"/>
      <w:bookmarkStart w:id="354" w:name="_Toc16178"/>
      <w:bookmarkStart w:id="355" w:name="_Toc6485"/>
      <w:bookmarkStart w:id="356" w:name="_Toc6529"/>
      <w:bookmarkStart w:id="357" w:name="_Toc3588"/>
      <w:bookmarkStart w:id="358" w:name="_Toc8099"/>
      <w:bookmarkStart w:id="359" w:name="_Toc3363"/>
      <w:bookmarkStart w:id="360" w:name="_Toc30610"/>
      <w:bookmarkStart w:id="361" w:name="_Toc5045"/>
      <w:bookmarkStart w:id="362" w:name="_Toc14962"/>
      <w:bookmarkStart w:id="363" w:name="_Toc16997"/>
      <w:bookmarkStart w:id="364" w:name="_Toc19990"/>
      <w:bookmarkStart w:id="365" w:name="_Toc28517"/>
      <w:bookmarkStart w:id="366" w:name="_Toc20099"/>
      <w:r>
        <w:rPr>
          <w:rFonts w:hint="eastAsia" w:ascii="仿宋" w:hAnsi="仿宋" w:eastAsia="仿宋" w:cs="仿宋"/>
          <w:color w:val="auto"/>
          <w:sz w:val="21"/>
          <w:szCs w:val="21"/>
          <w:highlight w:val="none"/>
        </w:rPr>
        <w:t>★7.4在招标采购中，出现下列情形之一的，应予废标：</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F196E6">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（1）符合专业条件的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或者对招标文件作实质响应的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不足 3 家的；</w:t>
      </w:r>
    </w:p>
    <w:p w14:paraId="71AC2D0E">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（2）出现影响采购公正的违法、违规行为的；</w:t>
      </w:r>
    </w:p>
    <w:p w14:paraId="2696F360">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的报价均超过了采购预算，采购人不能支付的；</w:t>
      </w:r>
    </w:p>
    <w:p w14:paraId="686E93C4">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（4）因重大变故，采购任务取消的。</w:t>
      </w:r>
    </w:p>
    <w:p w14:paraId="6C94BCFA">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提供虚假材料、串通等违法违规行为的，要及时向采购人或政府采购主管</w:t>
      </w:r>
      <w:r>
        <w:rPr>
          <w:rFonts w:hint="eastAsia" w:ascii="仿宋" w:hAnsi="仿宋" w:eastAsia="仿宋" w:cs="仿宋"/>
          <w:color w:val="auto"/>
          <w:sz w:val="21"/>
          <w:szCs w:val="21"/>
          <w:highlight w:val="none"/>
          <w:lang w:val="en-US" w:eastAsia="zh-CN"/>
        </w:rPr>
        <w:t>部门</w:t>
      </w:r>
      <w:r>
        <w:rPr>
          <w:rFonts w:hint="eastAsia" w:ascii="仿宋" w:hAnsi="仿宋" w:eastAsia="仿宋" w:cs="仿宋"/>
          <w:color w:val="auto"/>
          <w:sz w:val="21"/>
          <w:szCs w:val="21"/>
          <w:highlight w:val="none"/>
        </w:rPr>
        <w:t>报告。</w:t>
      </w:r>
    </w:p>
    <w:p w14:paraId="7DF8707D">
      <w:pPr>
        <w:pStyle w:val="3"/>
        <w:pageBreakBefore w:val="0"/>
        <w:kinsoku/>
        <w:bidi w:val="0"/>
        <w:spacing w:after="0" w:line="360" w:lineRule="auto"/>
        <w:rPr>
          <w:rFonts w:hint="eastAsia" w:ascii="仿宋" w:hAnsi="仿宋" w:eastAsia="仿宋" w:cs="仿宋"/>
          <w:color w:val="auto"/>
          <w:sz w:val="21"/>
          <w:szCs w:val="21"/>
          <w:highlight w:val="none"/>
        </w:rPr>
      </w:pPr>
      <w:bookmarkStart w:id="367" w:name="_Toc71734715"/>
      <w:bookmarkStart w:id="368" w:name="_Toc21253"/>
      <w:bookmarkStart w:id="369" w:name="_Toc17994"/>
      <w:bookmarkStart w:id="370" w:name="_Toc11048"/>
      <w:bookmarkStart w:id="371" w:name="_Toc2850"/>
      <w:bookmarkStart w:id="372" w:name="_Toc8986"/>
      <w:bookmarkStart w:id="373" w:name="_Toc7624"/>
      <w:bookmarkStart w:id="374" w:name="_Toc16107"/>
      <w:bookmarkStart w:id="375" w:name="_Toc20328"/>
      <w:bookmarkStart w:id="376" w:name="_Toc13971"/>
      <w:bookmarkStart w:id="377" w:name="_Toc30283"/>
      <w:bookmarkStart w:id="378" w:name="_Toc28328"/>
      <w:r>
        <w:rPr>
          <w:rFonts w:hint="eastAsia" w:ascii="仿宋" w:hAnsi="仿宋" w:eastAsia="仿宋" w:cs="仿宋"/>
          <w:color w:val="auto"/>
          <w:sz w:val="21"/>
          <w:szCs w:val="21"/>
          <w:highlight w:val="none"/>
        </w:rPr>
        <w:t>8.中标和合同</w:t>
      </w:r>
      <w:bookmarkEnd w:id="367"/>
      <w:bookmarkEnd w:id="368"/>
      <w:bookmarkEnd w:id="369"/>
      <w:bookmarkEnd w:id="370"/>
      <w:bookmarkEnd w:id="371"/>
      <w:bookmarkEnd w:id="372"/>
      <w:bookmarkEnd w:id="373"/>
      <w:bookmarkEnd w:id="374"/>
      <w:bookmarkEnd w:id="375"/>
      <w:bookmarkEnd w:id="376"/>
      <w:bookmarkEnd w:id="377"/>
      <w:bookmarkEnd w:id="378"/>
    </w:p>
    <w:p w14:paraId="52E5F885">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379" w:name="_Toc71734716"/>
      <w:bookmarkStart w:id="380" w:name="_Toc102136479"/>
      <w:bookmarkStart w:id="381" w:name="_Toc15196"/>
      <w:bookmarkStart w:id="382" w:name="_Toc13404"/>
      <w:bookmarkStart w:id="383" w:name="_Toc11838"/>
      <w:bookmarkStart w:id="384" w:name="_Toc2172"/>
      <w:bookmarkStart w:id="385" w:name="_Toc9739"/>
      <w:bookmarkStart w:id="386" w:name="_Toc13095"/>
      <w:bookmarkStart w:id="387" w:name="_Toc30808"/>
      <w:bookmarkStart w:id="388" w:name="_Toc17779"/>
      <w:bookmarkStart w:id="389" w:name="_Toc71734722"/>
      <w:bookmarkStart w:id="390" w:name="_Toc10727"/>
      <w:bookmarkStart w:id="391" w:name="_Toc17405"/>
      <w:r>
        <w:rPr>
          <w:rFonts w:hint="eastAsia" w:ascii="仿宋" w:hAnsi="仿宋" w:eastAsia="仿宋" w:cs="仿宋"/>
          <w:color w:val="auto"/>
          <w:sz w:val="21"/>
          <w:szCs w:val="21"/>
          <w:highlight w:val="none"/>
        </w:rPr>
        <w:t>8.1</w:t>
      </w:r>
      <w:bookmarkEnd w:id="379"/>
      <w:bookmarkEnd w:id="380"/>
      <w:bookmarkEnd w:id="381"/>
      <w:bookmarkEnd w:id="382"/>
      <w:r>
        <w:rPr>
          <w:rFonts w:hint="eastAsia" w:ascii="仿宋" w:hAnsi="仿宋" w:eastAsia="仿宋" w:cs="仿宋"/>
          <w:color w:val="auto"/>
          <w:sz w:val="21"/>
          <w:szCs w:val="21"/>
          <w:highlight w:val="none"/>
        </w:rPr>
        <w:t>授权评标委员会确定中标人</w:t>
      </w:r>
    </w:p>
    <w:p w14:paraId="073035E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须知前附表的规定，采购人或采购人授权的评标委员会依法确定中标人。</w:t>
      </w:r>
      <w:bookmarkStart w:id="392" w:name="_Toc27383"/>
      <w:bookmarkStart w:id="393" w:name="_Toc32665"/>
      <w:bookmarkStart w:id="394" w:name="_Toc29865"/>
      <w:bookmarkStart w:id="395" w:name="_Toc6758"/>
      <w:bookmarkStart w:id="396" w:name="_Toc28286"/>
      <w:bookmarkStart w:id="397" w:name="_Toc14560"/>
      <w:bookmarkStart w:id="398" w:name="_Toc22747"/>
      <w:bookmarkStart w:id="399" w:name="_Toc6062"/>
      <w:bookmarkStart w:id="400" w:name="_Toc5448"/>
      <w:bookmarkStart w:id="401" w:name="_Toc22135"/>
      <w:bookmarkStart w:id="402" w:name="_Toc13585"/>
      <w:bookmarkStart w:id="403" w:name="_Toc9537"/>
      <w:bookmarkStart w:id="404" w:name="_Toc11595"/>
      <w:bookmarkStart w:id="405" w:name="_Toc16840"/>
      <w:bookmarkStart w:id="406" w:name="_Toc17332"/>
      <w:bookmarkStart w:id="407" w:name="_Toc12421"/>
    </w:p>
    <w:p w14:paraId="72E6A060">
      <w:pPr>
        <w:pageBreakBefore w:val="0"/>
        <w:kinsoku/>
        <w:bidi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8.2 中标人的确定</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72A0DD3">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8.2.1采购代理机构应当在评标结束之日起2个工作日内将评标报告送采购人确认。</w:t>
      </w:r>
    </w:p>
    <w:p w14:paraId="500B25F6">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8.2.2采购人应当在收到评标报告之日起5个工作日内，在评标报告中推荐的中标候选人中按顺序确定中标人。</w:t>
      </w:r>
    </w:p>
    <w:p w14:paraId="358259ED">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408" w:name="_Toc71734717"/>
      <w:bookmarkStart w:id="409" w:name="_Toc693"/>
      <w:bookmarkStart w:id="410" w:name="_Toc102136480"/>
      <w:bookmarkStart w:id="411" w:name="_Toc25292"/>
      <w:r>
        <w:rPr>
          <w:rFonts w:hint="eastAsia" w:ascii="仿宋" w:hAnsi="仿宋" w:eastAsia="仿宋" w:cs="仿宋"/>
          <w:color w:val="auto"/>
          <w:sz w:val="21"/>
          <w:szCs w:val="21"/>
          <w:highlight w:val="none"/>
        </w:rPr>
        <w:t>8.3中标公告</w:t>
      </w:r>
      <w:bookmarkEnd w:id="408"/>
      <w:bookmarkEnd w:id="409"/>
      <w:bookmarkEnd w:id="410"/>
      <w:bookmarkEnd w:id="411"/>
    </w:p>
    <w:p w14:paraId="1EC4F7D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8.3.1采购人或者采购代理机构应当自中标人确定之日起2个工作日内，按照</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须知前附表规定的省级以上财政部门指定的媒介和期限公告中标结果，招标文件应当随中标结果同时公告。</w:t>
      </w:r>
    </w:p>
    <w:p w14:paraId="49C313C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8.3.2中标公告媒体及期限详见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55A1CF11">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412" w:name="_Toc102136482"/>
      <w:bookmarkStart w:id="413" w:name="_Toc28079"/>
      <w:bookmarkStart w:id="414" w:name="_Toc23423"/>
      <w:bookmarkStart w:id="415" w:name="_Toc71734719"/>
      <w:r>
        <w:rPr>
          <w:rFonts w:hint="eastAsia" w:ascii="仿宋" w:hAnsi="仿宋" w:eastAsia="仿宋" w:cs="仿宋"/>
          <w:color w:val="auto"/>
          <w:sz w:val="21"/>
          <w:szCs w:val="21"/>
          <w:highlight w:val="none"/>
        </w:rPr>
        <w:t>8.4中标通知</w:t>
      </w:r>
      <w:bookmarkEnd w:id="412"/>
      <w:bookmarkEnd w:id="413"/>
      <w:bookmarkEnd w:id="414"/>
      <w:bookmarkEnd w:id="415"/>
    </w:p>
    <w:p w14:paraId="42C7C6F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在本章第3.3.1项规定的投标有效期内，在公告中标结果的同时，采购人或者采购代理机构应当向中标人发出中标通知书；对未通过资格审查的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，应当告知其未通过的原因。同时应当告知未中标人本人的评审得分与排序。</w:t>
      </w:r>
    </w:p>
    <w:p w14:paraId="3581E7A8">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416" w:name="_Toc24941"/>
      <w:bookmarkStart w:id="417" w:name="_Toc71734718"/>
      <w:bookmarkStart w:id="418" w:name="_Toc11650"/>
      <w:bookmarkStart w:id="419" w:name="_Toc102136481"/>
      <w:r>
        <w:rPr>
          <w:rFonts w:hint="eastAsia" w:ascii="仿宋" w:hAnsi="仿宋" w:eastAsia="仿宋" w:cs="仿宋"/>
          <w:color w:val="auto"/>
          <w:sz w:val="21"/>
          <w:szCs w:val="21"/>
          <w:highlight w:val="none"/>
        </w:rPr>
        <w:t>8.5中标结果质疑</w:t>
      </w:r>
      <w:bookmarkEnd w:id="416"/>
      <w:bookmarkEnd w:id="417"/>
      <w:bookmarkEnd w:id="418"/>
      <w:bookmarkEnd w:id="419"/>
    </w:p>
    <w:p w14:paraId="6AD8FA9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对中标结果有质疑的，应当在中标结果公告期限届满之日起七个工作日内提出。采购人应当在收到</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的书面质疑后七个工作日内作出答复，并以书面形式通知质疑</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，但答复的内容不得涉及商业秘密。</w:t>
      </w:r>
    </w:p>
    <w:p w14:paraId="53592EC4">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420" w:name="_Toc13984"/>
      <w:bookmarkStart w:id="421" w:name="_Toc15259"/>
      <w:bookmarkStart w:id="422" w:name="_Toc71734720"/>
      <w:bookmarkStart w:id="423" w:name="_Toc102136483"/>
      <w:r>
        <w:rPr>
          <w:rFonts w:hint="eastAsia" w:ascii="仿宋" w:hAnsi="仿宋" w:eastAsia="仿宋" w:cs="仿宋"/>
          <w:color w:val="auto"/>
          <w:sz w:val="21"/>
          <w:szCs w:val="21"/>
          <w:highlight w:val="none"/>
        </w:rPr>
        <w:t>8.6履约保证金</w:t>
      </w:r>
      <w:bookmarkEnd w:id="420"/>
      <w:bookmarkEnd w:id="421"/>
      <w:bookmarkEnd w:id="422"/>
      <w:bookmarkEnd w:id="423"/>
    </w:p>
    <w:p w14:paraId="2B7E7833">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8.6.1 在签订合同前，中标人应按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须知前附表规定的形式、金额向采购人提交履约保证金。联合体中标的，其履约保证金以联合体各方或者联合体牵头人的名义提交。否则，视为放弃中标项目，投标保证金将不予退还。</w:t>
      </w:r>
    </w:p>
    <w:p w14:paraId="2B53436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8.6.2 中标人不能按本章第8.6.1项要求提交履约保证金，视为放弃中标，其投标保证金不予退还，给采购人造成的损失超过投标保证金数额的，中标人还应当对超过部分予以赔偿。</w:t>
      </w:r>
    </w:p>
    <w:p w14:paraId="24F2316B">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8.6.3签订合同后，如中标人不按双方签订合同约定履约，则没收其全部履约保证金，履约保证金不足以赔偿损失的，按实际损失赔偿。</w:t>
      </w:r>
    </w:p>
    <w:p w14:paraId="6D74516D">
      <w:pPr>
        <w:pStyle w:val="4"/>
        <w:pageBreakBefore w:val="0"/>
        <w:kinsoku/>
        <w:bidi w:val="0"/>
        <w:spacing w:before="0" w:after="0" w:line="360" w:lineRule="auto"/>
        <w:rPr>
          <w:rFonts w:hint="eastAsia" w:ascii="仿宋" w:hAnsi="仿宋" w:eastAsia="仿宋" w:cs="仿宋"/>
          <w:color w:val="auto"/>
          <w:sz w:val="21"/>
          <w:szCs w:val="21"/>
          <w:highlight w:val="none"/>
        </w:rPr>
      </w:pPr>
      <w:bookmarkStart w:id="424" w:name="_Toc1955"/>
      <w:bookmarkStart w:id="425" w:name="_Toc71734721"/>
      <w:bookmarkStart w:id="426" w:name="_Toc30193"/>
      <w:bookmarkStart w:id="427" w:name="_Toc102136484"/>
      <w:r>
        <w:rPr>
          <w:rFonts w:hint="eastAsia" w:ascii="仿宋" w:hAnsi="仿宋" w:eastAsia="仿宋" w:cs="仿宋"/>
          <w:color w:val="auto"/>
          <w:sz w:val="21"/>
          <w:szCs w:val="21"/>
          <w:highlight w:val="none"/>
        </w:rPr>
        <w:t>8.7 签订合同</w:t>
      </w:r>
      <w:bookmarkEnd w:id="424"/>
      <w:bookmarkEnd w:id="425"/>
      <w:bookmarkEnd w:id="426"/>
      <w:bookmarkEnd w:id="427"/>
    </w:p>
    <w:p w14:paraId="34C26D6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8.7.1采购人应当自中标通知书发出之日起30日内，按照招标文件和中标人投标文件的规定，与中标人签订书面合同。所签订的合同不得对招标文件</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明确的事项和中标人投标文件作实质性修改。采购人不得向中标人提出任何不合理的要求作为签订合同的条件。</w:t>
      </w:r>
    </w:p>
    <w:p w14:paraId="1386E6E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8.7.2中标通知书发出后，采购人不得违法改变中标结果，中标人无正当理由不得放弃中标。</w:t>
      </w:r>
    </w:p>
    <w:p w14:paraId="3426BE0D">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8.7.3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35CB8774">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8.7.4政府采购合同履行中，采购人需追加与合同标的相同的货物的，在不改变合同其他条款的前提下，可以与中标人协商签订补充合同，但所有补充合同的采购金额不得超过原合同采购金额的10%。</w:t>
      </w:r>
    </w:p>
    <w:p w14:paraId="648D646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8.7.5联合体中标的，联合体各方应当共同与采购人签订合同，就中标项目向采购人承担连带责任。</w:t>
      </w:r>
    </w:p>
    <w:p w14:paraId="37CE22A1">
      <w:pPr>
        <w:pStyle w:val="3"/>
        <w:pageBreakBefore w:val="0"/>
        <w:kinsoku/>
        <w:bidi w:val="0"/>
        <w:spacing w:after="0" w:line="360" w:lineRule="auto"/>
        <w:rPr>
          <w:rFonts w:hint="eastAsia" w:ascii="仿宋" w:hAnsi="仿宋" w:eastAsia="仿宋" w:cs="仿宋"/>
          <w:color w:val="auto"/>
          <w:sz w:val="21"/>
          <w:szCs w:val="21"/>
          <w:highlight w:val="none"/>
        </w:rPr>
      </w:pPr>
      <w:bookmarkStart w:id="428" w:name="_Toc1531"/>
      <w:bookmarkStart w:id="429" w:name="_Toc9893"/>
      <w:bookmarkStart w:id="430" w:name="_Toc14921"/>
      <w:r>
        <w:rPr>
          <w:rFonts w:hint="eastAsia" w:ascii="仿宋" w:hAnsi="仿宋" w:eastAsia="仿宋" w:cs="仿宋"/>
          <w:color w:val="auto"/>
          <w:sz w:val="21"/>
          <w:szCs w:val="21"/>
          <w:highlight w:val="none"/>
        </w:rPr>
        <w:t>9.纪律和监督</w:t>
      </w:r>
      <w:bookmarkEnd w:id="383"/>
      <w:bookmarkEnd w:id="384"/>
      <w:bookmarkEnd w:id="385"/>
      <w:bookmarkEnd w:id="386"/>
      <w:bookmarkEnd w:id="387"/>
      <w:bookmarkEnd w:id="388"/>
      <w:bookmarkEnd w:id="389"/>
      <w:bookmarkEnd w:id="390"/>
      <w:bookmarkEnd w:id="391"/>
      <w:bookmarkEnd w:id="428"/>
      <w:bookmarkEnd w:id="429"/>
      <w:bookmarkEnd w:id="430"/>
    </w:p>
    <w:p w14:paraId="3E5D3606">
      <w:pPr>
        <w:pageBreakBefore w:val="0"/>
        <w:kinsoku/>
        <w:bidi w:val="0"/>
        <w:spacing w:line="360" w:lineRule="auto"/>
        <w:rPr>
          <w:rFonts w:hint="eastAsia" w:ascii="仿宋" w:hAnsi="仿宋" w:eastAsia="仿宋" w:cs="仿宋"/>
          <w:color w:val="auto"/>
          <w:sz w:val="21"/>
          <w:szCs w:val="21"/>
          <w:highlight w:val="none"/>
        </w:rPr>
      </w:pPr>
      <w:bookmarkStart w:id="431" w:name="_Toc4425006"/>
      <w:bookmarkStart w:id="432" w:name="_Toc71734727"/>
      <w:r>
        <w:rPr>
          <w:rFonts w:hint="eastAsia" w:ascii="仿宋" w:hAnsi="仿宋" w:eastAsia="仿宋" w:cs="仿宋"/>
          <w:color w:val="auto"/>
          <w:sz w:val="21"/>
          <w:szCs w:val="21"/>
          <w:highlight w:val="none"/>
        </w:rPr>
        <w:t>9.1对采购人</w:t>
      </w:r>
      <w:bookmarkEnd w:id="431"/>
      <w:r>
        <w:rPr>
          <w:rFonts w:hint="eastAsia" w:ascii="仿宋" w:hAnsi="仿宋" w:eastAsia="仿宋" w:cs="仿宋"/>
          <w:color w:val="auto"/>
          <w:sz w:val="21"/>
          <w:szCs w:val="21"/>
          <w:highlight w:val="none"/>
        </w:rPr>
        <w:t>、采购代理机构的纪律要求</w:t>
      </w:r>
    </w:p>
    <w:p w14:paraId="43FC9E46">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（1）采购人不得向</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索要或者接受其给予的赠品、回扣或者与采购无关的其他商品、服务；</w:t>
      </w:r>
    </w:p>
    <w:p w14:paraId="2694586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（2）采购代理机构不得与采购人、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恶意串通操纵政府采购活动；</w:t>
      </w:r>
    </w:p>
    <w:p w14:paraId="38C3CA9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（3）采购代理机构工作人员不得接受采购人或者</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组织的宴请、旅游、娱乐，不得收受礼品、现金、有价证券等，不得向采购人或者</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报销应当由个人承担的费用；</w:t>
      </w:r>
    </w:p>
    <w:p w14:paraId="09FD554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（4）采购代理机构及其分支机构不得在所代理的采购项目中投标或者代理投标，不得为所代理的采购项目的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参加本项目提供投标咨询;</w:t>
      </w:r>
    </w:p>
    <w:p w14:paraId="2CC64F2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（5）采购人员及相关人员与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有利害关系的，必须回避；</w:t>
      </w:r>
    </w:p>
    <w:p w14:paraId="66378648">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法律法规规定的情形。</w:t>
      </w:r>
    </w:p>
    <w:p w14:paraId="5FC12E7B">
      <w:pPr>
        <w:pageBreakBefore w:val="0"/>
        <w:kinsoku/>
        <w:bidi w:val="0"/>
        <w:spacing w:line="360" w:lineRule="auto"/>
        <w:rPr>
          <w:rFonts w:hint="eastAsia" w:ascii="仿宋" w:hAnsi="仿宋" w:eastAsia="仿宋" w:cs="仿宋"/>
          <w:color w:val="auto"/>
          <w:sz w:val="21"/>
          <w:szCs w:val="21"/>
          <w:highlight w:val="none"/>
        </w:rPr>
      </w:pPr>
      <w:bookmarkStart w:id="433" w:name="_Toc4425007"/>
      <w:r>
        <w:rPr>
          <w:rFonts w:hint="eastAsia" w:ascii="仿宋" w:hAnsi="仿宋" w:eastAsia="仿宋" w:cs="仿宋"/>
          <w:color w:val="auto"/>
          <w:sz w:val="21"/>
          <w:szCs w:val="21"/>
          <w:highlight w:val="none"/>
        </w:rPr>
        <w:t>9.2对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的纪律要求</w:t>
      </w:r>
      <w:bookmarkEnd w:id="433"/>
    </w:p>
    <w:p w14:paraId="2AEE4D0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不得相互串通投标或者与采购人串通投标，不得向采购人或者评标委员会成员行贿谋取中标，不得以他人名义投标或者以其他方式弄虚作假骗取中标；</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不得以任何方式干扰、影响评标工作；</w:t>
      </w:r>
    </w:p>
    <w:p w14:paraId="6DA0738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法律法规规定的情形。</w:t>
      </w:r>
    </w:p>
    <w:p w14:paraId="7EE00E94">
      <w:pPr>
        <w:pageBreakBefore w:val="0"/>
        <w:kinsoku/>
        <w:bidi w:val="0"/>
        <w:spacing w:line="360" w:lineRule="auto"/>
        <w:rPr>
          <w:rFonts w:hint="eastAsia" w:ascii="仿宋" w:hAnsi="仿宋" w:eastAsia="仿宋" w:cs="仿宋"/>
          <w:color w:val="auto"/>
          <w:sz w:val="21"/>
          <w:szCs w:val="21"/>
          <w:highlight w:val="none"/>
        </w:rPr>
      </w:pPr>
      <w:bookmarkStart w:id="434" w:name="_Toc4425008"/>
      <w:r>
        <w:rPr>
          <w:rFonts w:hint="eastAsia" w:ascii="仿宋" w:hAnsi="仿宋" w:eastAsia="仿宋" w:cs="仿宋"/>
          <w:color w:val="auto"/>
          <w:sz w:val="21"/>
          <w:szCs w:val="21"/>
          <w:highlight w:val="none"/>
        </w:rPr>
        <w:t>9.3对评标委员会成员的纪律要求</w:t>
      </w:r>
      <w:bookmarkEnd w:id="434"/>
    </w:p>
    <w:p w14:paraId="25A0B75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（1）评标委员会及其成员不得有下列行为：</w:t>
      </w:r>
    </w:p>
    <w:p w14:paraId="1ADA72B9">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1）确定参与评标至评标结束前私自接触</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p>
    <w:p w14:paraId="5B667881">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2）接受</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提出的与投标文件不一致的澄清或者说明；</w:t>
      </w:r>
    </w:p>
    <w:p w14:paraId="5EB51AD6">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3）违反评标纪律发表倾向性意见或者征询采购人的倾向性意见；</w:t>
      </w:r>
    </w:p>
    <w:p w14:paraId="1BEC8BBB">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4）对需要专业判断的主观评审因素协商评分；</w:t>
      </w:r>
    </w:p>
    <w:p w14:paraId="61E2ACC2">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5）在评标过程中擅离职守，影响评标程序正常进行的；</w:t>
      </w:r>
    </w:p>
    <w:p w14:paraId="6AF096FF">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6）记录、复制或者带走任何评标资料；</w:t>
      </w:r>
    </w:p>
    <w:p w14:paraId="6A7734A0">
      <w:pPr>
        <w:pageBreakBefore w:val="0"/>
        <w:kinsoku/>
        <w:bidi w:val="0"/>
        <w:spacing w:line="360" w:lineRule="auto"/>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7）其他不遵守评标纪律的行为。</w:t>
      </w:r>
    </w:p>
    <w:p w14:paraId="351F38C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评标委员会成员有前款第1）至</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）项行为之一的，其评审意见无效，并不得获取评审劳务报酬和报销异地评审差旅费。</w:t>
      </w:r>
    </w:p>
    <w:p w14:paraId="11E3301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（2）评审专家发现本人与参加采购活动的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有利害关系的,应当主动提出回避；</w:t>
      </w:r>
    </w:p>
    <w:p w14:paraId="747D4FD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法律法规规定的情形。</w:t>
      </w:r>
    </w:p>
    <w:p w14:paraId="17D7CDB3">
      <w:pPr>
        <w:pageBreakBefore w:val="0"/>
        <w:kinsoku/>
        <w:bidi w:val="0"/>
        <w:spacing w:line="360" w:lineRule="auto"/>
        <w:rPr>
          <w:rFonts w:hint="eastAsia" w:ascii="仿宋" w:hAnsi="仿宋" w:eastAsia="仿宋" w:cs="仿宋"/>
          <w:color w:val="auto"/>
          <w:sz w:val="21"/>
          <w:szCs w:val="21"/>
          <w:highlight w:val="none"/>
        </w:rPr>
      </w:pPr>
      <w:bookmarkStart w:id="435" w:name="_Toc4425009"/>
      <w:r>
        <w:rPr>
          <w:rFonts w:hint="eastAsia" w:ascii="仿宋" w:hAnsi="仿宋" w:eastAsia="仿宋" w:cs="仿宋"/>
          <w:color w:val="auto"/>
          <w:sz w:val="21"/>
          <w:szCs w:val="21"/>
          <w:highlight w:val="none"/>
        </w:rPr>
        <w:t>9.4对评标活动有关的工作人员的纪律要求</w:t>
      </w:r>
      <w:bookmarkEnd w:id="435"/>
    </w:p>
    <w:p w14:paraId="3B066AC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A0459E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法律法规规定的情形。</w:t>
      </w:r>
    </w:p>
    <w:p w14:paraId="5FB9A63C">
      <w:pPr>
        <w:pStyle w:val="3"/>
        <w:pageBreakBefore w:val="0"/>
        <w:kinsoku/>
        <w:bidi w:val="0"/>
        <w:spacing w:after="0" w:line="360" w:lineRule="auto"/>
        <w:rPr>
          <w:rFonts w:hint="eastAsia" w:ascii="仿宋" w:hAnsi="仿宋" w:eastAsia="仿宋" w:cs="仿宋"/>
          <w:color w:val="auto"/>
          <w:sz w:val="21"/>
          <w:szCs w:val="21"/>
          <w:highlight w:val="none"/>
        </w:rPr>
      </w:pPr>
      <w:bookmarkStart w:id="436" w:name="_Toc29913"/>
      <w:bookmarkStart w:id="437" w:name="_Toc22477"/>
      <w:bookmarkStart w:id="438" w:name="_Toc10927"/>
      <w:bookmarkStart w:id="439" w:name="_Toc6897"/>
      <w:bookmarkStart w:id="440" w:name="_Toc6702"/>
      <w:bookmarkStart w:id="441" w:name="_Toc11310"/>
      <w:bookmarkStart w:id="442" w:name="_Toc18014"/>
      <w:bookmarkStart w:id="443" w:name="_Toc6980"/>
      <w:bookmarkStart w:id="444" w:name="_Toc31087"/>
      <w:bookmarkStart w:id="445" w:name="_Toc22042"/>
      <w:bookmarkStart w:id="446" w:name="_Toc11986"/>
      <w:r>
        <w:rPr>
          <w:rFonts w:hint="eastAsia" w:ascii="仿宋" w:hAnsi="仿宋" w:eastAsia="仿宋" w:cs="仿宋"/>
          <w:color w:val="auto"/>
          <w:sz w:val="21"/>
          <w:szCs w:val="21"/>
          <w:highlight w:val="none"/>
        </w:rPr>
        <w:t>10.质疑与投诉</w:t>
      </w:r>
      <w:bookmarkEnd w:id="432"/>
      <w:bookmarkEnd w:id="436"/>
      <w:bookmarkEnd w:id="437"/>
      <w:bookmarkEnd w:id="438"/>
      <w:bookmarkEnd w:id="439"/>
      <w:bookmarkEnd w:id="440"/>
      <w:bookmarkEnd w:id="441"/>
      <w:bookmarkEnd w:id="442"/>
      <w:bookmarkEnd w:id="443"/>
      <w:bookmarkEnd w:id="444"/>
      <w:bookmarkEnd w:id="445"/>
      <w:bookmarkEnd w:id="446"/>
    </w:p>
    <w:p w14:paraId="046D716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10.1供应商认为招标文件、采购过程、中标或成交结果使自己的合法权益受到损害的，可以在知道或者应知其权益受到损害之日起七个工作日内，以书面形式向采购人、采购代理机构提出质疑。供应商在法定质疑期内一次性提出针对同一采购程序环节的质疑，代理公司、采购人不多次接受同一采购程序环节的质疑。提出质疑的供应商（以下简称质疑供应商）应当是参与所质疑项目采购活动的供应商。潜在供应商已依法获取其可质疑的采购文件的，可以对该文件提出质疑。</w:t>
      </w:r>
    </w:p>
    <w:p w14:paraId="40BD9F7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“知道或者应知其权益受到损害之日”是指：</w:t>
      </w:r>
    </w:p>
    <w:p w14:paraId="199EDFB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（一）对可以质疑的采购文件提出质疑的，为收到采购文件之日或者采购文件公告期限届满之日；</w:t>
      </w:r>
    </w:p>
    <w:p w14:paraId="4B81B5F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（二）对采购过程提出质疑的，为各采购程序环节结束之日；</w:t>
      </w:r>
    </w:p>
    <w:p w14:paraId="5830183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（三）对中标或者成交结果提出质疑的，为中标或者成交结果公告期限届满之日。</w:t>
      </w:r>
    </w:p>
    <w:p w14:paraId="7AB4F231">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10.2质疑内容不得含有虚假、恶意成分。当事人对自己提出的主张，有责任提供证据，提出质疑时应同时提交相关证据材料和注明事实的确切来源。</w:t>
      </w:r>
    </w:p>
    <w:p w14:paraId="7773BD3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10.3供应商提供的质疑函应符合中华人民共和国财政部第94号令《政府采购质疑和投诉办法》的规定。供应商提供的质疑函（质疑函应当使用中文。相关当事人提供外文书证或者外国语视听资料的，应当附有中文译本，由翻译机构盖章或者翻译人员签名。）应当包括以下主要内容：</w:t>
      </w:r>
    </w:p>
    <w:p w14:paraId="366DA8B3">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（1）供应商的姓名或者名称、地址、邮编、联系人及联系电话；</w:t>
      </w:r>
    </w:p>
    <w:p w14:paraId="67E9EE0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（2）质疑项目的名称、编号；</w:t>
      </w:r>
    </w:p>
    <w:p w14:paraId="4924882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（3）具体、明确的质疑事项和与质疑事项相关的请求；</w:t>
      </w:r>
    </w:p>
    <w:p w14:paraId="6836365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（4）事实依据；</w:t>
      </w:r>
    </w:p>
    <w:p w14:paraId="31F2F271">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（5）必要的法律依据；</w:t>
      </w:r>
    </w:p>
    <w:p w14:paraId="3B01E72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（6）提出质疑的日期。</w:t>
      </w:r>
    </w:p>
    <w:p w14:paraId="2D07512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10.4供应商为自然人的，应当由本人签字；供应商为法人或者其他组织的，应当由法定代表人、主要负责人，或者其授权代表签字或者盖章，并加盖公章。</w:t>
      </w:r>
    </w:p>
    <w:p w14:paraId="7FA9211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质疑书实行实名制，并提交由法定代表人或其授权代理人签字并加盖单位章的原件。</w:t>
      </w:r>
    </w:p>
    <w:p w14:paraId="43C57BA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接收质疑函的方式：书面方式；</w:t>
      </w:r>
    </w:p>
    <w:p w14:paraId="73F7867B">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接收质疑函的部门：云南中招招标有限公司；</w:t>
      </w:r>
    </w:p>
    <w:p w14:paraId="4B37E95C">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联系人：周金辉、李宇姮、</w:t>
      </w:r>
      <w:r>
        <w:rPr>
          <w:rFonts w:hint="eastAsia" w:ascii="仿宋" w:hAnsi="仿宋" w:eastAsia="仿宋" w:cs="仿宋"/>
          <w:color w:val="auto"/>
          <w:sz w:val="21"/>
          <w:szCs w:val="21"/>
          <w:highlight w:val="none"/>
          <w:lang w:val="en-US" w:eastAsia="zh-CN"/>
        </w:rPr>
        <w:t>王石林、</w:t>
      </w:r>
      <w:r>
        <w:rPr>
          <w:rFonts w:hint="eastAsia" w:ascii="仿宋" w:hAnsi="仿宋" w:eastAsia="仿宋" w:cs="仿宋"/>
          <w:color w:val="auto"/>
          <w:sz w:val="21"/>
          <w:szCs w:val="21"/>
          <w:highlight w:val="none"/>
        </w:rPr>
        <w:t>张俊、张广闻、果磊、张雪丽</w:t>
      </w:r>
    </w:p>
    <w:p w14:paraId="0A38094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联系电话：0871-68308050-</w:t>
      </w:r>
      <w:r>
        <w:rPr>
          <w:rFonts w:hint="eastAsia" w:ascii="仿宋" w:hAnsi="仿宋" w:eastAsia="仿宋" w:cs="仿宋"/>
          <w:color w:val="auto"/>
          <w:sz w:val="21"/>
          <w:szCs w:val="21"/>
          <w:highlight w:val="none"/>
          <w:lang w:val="en-US" w:eastAsia="zh-CN"/>
        </w:rPr>
        <w:t>633</w:t>
      </w:r>
      <w:r>
        <w:rPr>
          <w:rFonts w:hint="eastAsia" w:ascii="仿宋" w:hAnsi="仿宋" w:eastAsia="仿宋" w:cs="仿宋"/>
          <w:color w:val="auto"/>
          <w:sz w:val="21"/>
          <w:szCs w:val="21"/>
          <w:highlight w:val="none"/>
        </w:rPr>
        <w:t>；</w:t>
      </w:r>
    </w:p>
    <w:p w14:paraId="1D2A45F8">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通讯地址：昆明市五华区王筇路176号绿地创海大厦21层。</w:t>
      </w:r>
    </w:p>
    <w:p w14:paraId="5349725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10.5采购人、采购代理机构将在收到供应商的书面质疑后七个工作日内</w:t>
      </w:r>
      <w:r>
        <w:rPr>
          <w:rFonts w:hint="eastAsia" w:ascii="仿宋" w:hAnsi="仿宋" w:eastAsia="仿宋" w:cs="仿宋"/>
          <w:color w:val="auto"/>
          <w:sz w:val="21"/>
          <w:szCs w:val="21"/>
          <w:highlight w:val="none"/>
          <w:lang w:val="en-US" w:eastAsia="zh-CN"/>
        </w:rPr>
        <w:t>作</w:t>
      </w:r>
      <w:r>
        <w:rPr>
          <w:rFonts w:hint="eastAsia" w:ascii="仿宋" w:hAnsi="仿宋" w:eastAsia="仿宋" w:cs="仿宋"/>
          <w:color w:val="auto"/>
          <w:sz w:val="21"/>
          <w:szCs w:val="21"/>
          <w:highlight w:val="none"/>
        </w:rPr>
        <w:t>出答复，并以书面形式通知质疑供应商和其他有关供应商，质疑答复的内容不涉及商业秘密。</w:t>
      </w:r>
    </w:p>
    <w:p w14:paraId="5B308AC3">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10.6参与政府采购活动的供应商对评审过程、中标或者成交结果提出质疑的，采购人或采购代理机构可以组织原评标委员会协助答复质疑事项，并依据评标委员会出具的意见进行答复。质疑答复导致中标结果改变的，采购人或采购代理机构应当将相关情况书面报财政部门备案。</w:t>
      </w:r>
    </w:p>
    <w:p w14:paraId="597D53A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10.7投诉人必须首先经过质疑程序，在对采购人、采购代理机构的答复不满意，或者采购人、采购代理机构未在规定的时间内</w:t>
      </w:r>
      <w:r>
        <w:rPr>
          <w:rFonts w:hint="eastAsia" w:ascii="仿宋" w:hAnsi="仿宋" w:eastAsia="仿宋" w:cs="仿宋"/>
          <w:color w:val="auto"/>
          <w:sz w:val="21"/>
          <w:szCs w:val="21"/>
          <w:highlight w:val="none"/>
          <w:lang w:val="en-US" w:eastAsia="zh-CN"/>
        </w:rPr>
        <w:t>作</w:t>
      </w:r>
      <w:r>
        <w:rPr>
          <w:rFonts w:hint="eastAsia" w:ascii="仿宋" w:hAnsi="仿宋" w:eastAsia="仿宋" w:cs="仿宋"/>
          <w:color w:val="auto"/>
          <w:sz w:val="21"/>
          <w:szCs w:val="21"/>
          <w:highlight w:val="none"/>
        </w:rPr>
        <w:t>出答复的，可以在答复期满后十五个工作日内书面向政府采购监督管理部门投诉。</w:t>
      </w:r>
    </w:p>
    <w:p w14:paraId="405A2816">
      <w:pPr>
        <w:pStyle w:val="3"/>
        <w:pageBreakBefore w:val="0"/>
        <w:kinsoku/>
        <w:bidi w:val="0"/>
        <w:spacing w:after="0" w:line="360" w:lineRule="auto"/>
        <w:rPr>
          <w:rFonts w:hint="eastAsia" w:ascii="仿宋" w:hAnsi="仿宋" w:eastAsia="仿宋" w:cs="仿宋"/>
          <w:color w:val="auto"/>
          <w:sz w:val="21"/>
          <w:szCs w:val="21"/>
          <w:highlight w:val="none"/>
        </w:rPr>
      </w:pPr>
      <w:bookmarkStart w:id="447" w:name="_Toc11207"/>
      <w:bookmarkStart w:id="448" w:name="_Toc17089"/>
      <w:bookmarkStart w:id="449" w:name="_Toc71734728"/>
      <w:bookmarkStart w:id="450" w:name="_Toc13231"/>
      <w:bookmarkStart w:id="451" w:name="_Toc16505"/>
      <w:bookmarkStart w:id="452" w:name="_Toc27522"/>
      <w:bookmarkStart w:id="453" w:name="_Toc30399"/>
      <w:bookmarkStart w:id="454" w:name="_Toc15163"/>
      <w:bookmarkStart w:id="455" w:name="_Toc18884"/>
      <w:bookmarkStart w:id="456" w:name="_Toc6998"/>
      <w:bookmarkStart w:id="457" w:name="_Toc1037"/>
      <w:bookmarkStart w:id="458" w:name="_Toc22781"/>
      <w:r>
        <w:rPr>
          <w:rFonts w:hint="eastAsia" w:ascii="仿宋" w:hAnsi="仿宋" w:eastAsia="仿宋" w:cs="仿宋"/>
          <w:color w:val="auto"/>
          <w:sz w:val="21"/>
          <w:szCs w:val="21"/>
          <w:highlight w:val="none"/>
        </w:rPr>
        <w:t>11.是否采用电子化招标投标</w:t>
      </w:r>
      <w:bookmarkEnd w:id="447"/>
      <w:bookmarkEnd w:id="448"/>
      <w:bookmarkEnd w:id="449"/>
      <w:bookmarkEnd w:id="450"/>
      <w:bookmarkEnd w:id="451"/>
      <w:bookmarkEnd w:id="452"/>
      <w:bookmarkEnd w:id="453"/>
      <w:bookmarkEnd w:id="454"/>
      <w:bookmarkEnd w:id="455"/>
      <w:bookmarkEnd w:id="456"/>
      <w:bookmarkEnd w:id="457"/>
      <w:bookmarkEnd w:id="458"/>
    </w:p>
    <w:p w14:paraId="1DD4584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本采购项目是否采用电子招标投标方式：详见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481C9CC0">
      <w:pPr>
        <w:pStyle w:val="3"/>
        <w:pageBreakBefore w:val="0"/>
        <w:kinsoku/>
        <w:bidi w:val="0"/>
        <w:spacing w:line="360" w:lineRule="auto"/>
        <w:jc w:val="left"/>
        <w:rPr>
          <w:rFonts w:hint="eastAsia" w:ascii="仿宋" w:hAnsi="仿宋" w:eastAsia="仿宋" w:cs="仿宋"/>
          <w:bCs w:val="0"/>
          <w:color w:val="auto"/>
          <w:sz w:val="21"/>
          <w:szCs w:val="21"/>
          <w:highlight w:val="none"/>
        </w:rPr>
      </w:pPr>
      <w:bookmarkStart w:id="459" w:name="_Toc14157"/>
      <w:bookmarkStart w:id="460" w:name="_Toc2626"/>
      <w:bookmarkStart w:id="461" w:name="_Toc9091"/>
      <w:bookmarkStart w:id="462" w:name="_Toc5501"/>
      <w:bookmarkStart w:id="463" w:name="_Toc9703"/>
      <w:bookmarkStart w:id="464" w:name="_Toc19247"/>
      <w:bookmarkStart w:id="465" w:name="_Toc78216452"/>
      <w:bookmarkStart w:id="466" w:name="_Toc30277"/>
      <w:bookmarkStart w:id="467" w:name="_Toc4443"/>
      <w:bookmarkStart w:id="468" w:name="_Toc8009"/>
      <w:bookmarkStart w:id="469" w:name="_Toc23831"/>
      <w:bookmarkStart w:id="470" w:name="_Toc17509"/>
      <w:r>
        <w:rPr>
          <w:rFonts w:hint="eastAsia" w:ascii="仿宋" w:hAnsi="仿宋" w:eastAsia="仿宋" w:cs="仿宋"/>
          <w:bCs w:val="0"/>
          <w:color w:val="auto"/>
          <w:sz w:val="21"/>
          <w:szCs w:val="21"/>
          <w:highlight w:val="none"/>
        </w:rPr>
        <w:t>12.法律责任</w:t>
      </w:r>
      <w:bookmarkEnd w:id="459"/>
      <w:bookmarkEnd w:id="460"/>
      <w:bookmarkEnd w:id="461"/>
      <w:bookmarkEnd w:id="462"/>
      <w:bookmarkEnd w:id="463"/>
      <w:bookmarkEnd w:id="464"/>
      <w:bookmarkEnd w:id="465"/>
      <w:bookmarkEnd w:id="466"/>
      <w:bookmarkEnd w:id="467"/>
      <w:bookmarkEnd w:id="468"/>
      <w:bookmarkEnd w:id="469"/>
      <w:bookmarkEnd w:id="470"/>
    </w:p>
    <w:p w14:paraId="5098569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12.1采购人有下列情形之一的，依法追究法律责任：</w:t>
      </w:r>
    </w:p>
    <w:p w14:paraId="2CD2D5DA">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（1）违反本办法第六条第二款规定的；</w:t>
      </w:r>
    </w:p>
    <w:p w14:paraId="068496F0">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（2）未在规定时间内确定中标人的；</w:t>
      </w:r>
    </w:p>
    <w:p w14:paraId="0E6EB02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（3）向中标人提出不合理要求作为签订合同条件的；</w:t>
      </w:r>
    </w:p>
    <w:p w14:paraId="0D760FE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（4）法律法规规定的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情形。</w:t>
      </w:r>
    </w:p>
    <w:p w14:paraId="505629E1">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12.2采购代理机构</w:t>
      </w:r>
    </w:p>
    <w:p w14:paraId="608CE7A3">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（1）非法干预采购评审活动；</w:t>
      </w:r>
    </w:p>
    <w:p w14:paraId="3A4738F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（2）擅自终止招标活动的；</w:t>
      </w:r>
    </w:p>
    <w:p w14:paraId="2235E40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（3）未按照规定进行开标和组织评标的；</w:t>
      </w:r>
    </w:p>
    <w:p w14:paraId="0CB6DF4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（4）未妥善保存采购文件的；</w:t>
      </w:r>
    </w:p>
    <w:p w14:paraId="0ED1F9D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（5）法律法规规定的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情形。</w:t>
      </w:r>
    </w:p>
    <w:p w14:paraId="37402642">
      <w:pPr>
        <w:pageBreakBefore w:val="0"/>
        <w:kinsoku/>
        <w:bidi w:val="0"/>
        <w:spacing w:line="360" w:lineRule="auto"/>
        <w:ind w:firstLine="488"/>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12.3</w:t>
      </w:r>
      <w:r>
        <w:rPr>
          <w:rFonts w:hint="eastAsia" w:ascii="仿宋" w:hAnsi="仿宋" w:eastAsia="仿宋" w:cs="仿宋"/>
          <w:color w:val="auto"/>
          <w:sz w:val="21"/>
          <w:szCs w:val="21"/>
          <w:highlight w:val="none"/>
          <w:lang w:eastAsia="zh-CN"/>
        </w:rPr>
        <w:t>供应商</w:t>
      </w:r>
    </w:p>
    <w:p w14:paraId="4E7549C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有下列情形之一的，依法追究法律责任：</w:t>
      </w:r>
    </w:p>
    <w:p w14:paraId="07244693">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（1）向评标委员会、竞争性谈判小组或者询价小组成员行贿或者提供其他不正当利益；</w:t>
      </w:r>
    </w:p>
    <w:p w14:paraId="26ED88FE">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（2）中标或者成交后无正当理由拒不与采购人签订政府采购合同；</w:t>
      </w:r>
    </w:p>
    <w:p w14:paraId="3C9594E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（3）未按照采购文件确定的事项签订政府采购合同；</w:t>
      </w:r>
    </w:p>
    <w:p w14:paraId="658C460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（4）将政府采购合同转包；</w:t>
      </w:r>
    </w:p>
    <w:p w14:paraId="1ADC1C7D">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（5）提供假冒伪劣产品；</w:t>
      </w:r>
    </w:p>
    <w:p w14:paraId="29A0AF1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（6）擅自变更、中止或者终止政府采购合同；</w:t>
      </w:r>
    </w:p>
    <w:p w14:paraId="1BA01A38">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（7）法律法规规定的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情形。</w:t>
      </w:r>
    </w:p>
    <w:p w14:paraId="51F46A1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12.4评标委员会成员有下列情形的,列入不良行为记录：</w:t>
      </w:r>
    </w:p>
    <w:p w14:paraId="2FAFD0DB">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（1）未按照采购文件规定的评审程序、评审方法和评审标准进行独立评审;</w:t>
      </w:r>
    </w:p>
    <w:p w14:paraId="52C589E6">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（2）泄露评审文件、评审情况;</w:t>
      </w:r>
    </w:p>
    <w:p w14:paraId="30ADBFE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存在利害关系未回避;</w:t>
      </w:r>
    </w:p>
    <w:p w14:paraId="7969279F">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（4）收受采购人、采购代理机构、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贿赂或者获取其他不正当利益;</w:t>
      </w:r>
    </w:p>
    <w:p w14:paraId="60D36F99">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（5）拒不履行配合答复</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询问、质疑、投诉等法定义务;</w:t>
      </w:r>
    </w:p>
    <w:p w14:paraId="31CB6E64">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（6）以评审专家身份从事有损政府采购公信力的活动；</w:t>
      </w:r>
    </w:p>
    <w:p w14:paraId="5BEFC935">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（7）法律法规规定的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情形。</w:t>
      </w:r>
    </w:p>
    <w:p w14:paraId="30F1346C">
      <w:pPr>
        <w:pStyle w:val="3"/>
        <w:pageBreakBefore w:val="0"/>
        <w:kinsoku/>
        <w:bidi w:val="0"/>
        <w:spacing w:after="0" w:line="360" w:lineRule="auto"/>
        <w:rPr>
          <w:rFonts w:hint="eastAsia" w:ascii="仿宋" w:hAnsi="仿宋" w:eastAsia="仿宋" w:cs="仿宋"/>
          <w:color w:val="auto"/>
          <w:sz w:val="21"/>
          <w:szCs w:val="21"/>
          <w:highlight w:val="none"/>
        </w:rPr>
      </w:pPr>
      <w:bookmarkStart w:id="471" w:name="_Toc5587"/>
      <w:bookmarkStart w:id="472" w:name="_Toc4220"/>
      <w:bookmarkStart w:id="473" w:name="_Toc349"/>
      <w:bookmarkStart w:id="474" w:name="_Toc19632"/>
      <w:bookmarkStart w:id="475" w:name="_Toc915"/>
      <w:bookmarkStart w:id="476" w:name="_Toc21294"/>
      <w:bookmarkStart w:id="477" w:name="_Toc615"/>
      <w:bookmarkStart w:id="478" w:name="_Toc27727"/>
      <w:bookmarkStart w:id="479" w:name="_Toc23635"/>
      <w:r>
        <w:rPr>
          <w:rFonts w:hint="eastAsia" w:ascii="仿宋" w:hAnsi="仿宋" w:eastAsia="仿宋" w:cs="仿宋"/>
          <w:color w:val="auto"/>
          <w:sz w:val="21"/>
          <w:szCs w:val="21"/>
          <w:highlight w:val="none"/>
        </w:rPr>
        <w:t>13.政府采购政策</w:t>
      </w:r>
      <w:bookmarkEnd w:id="471"/>
      <w:bookmarkEnd w:id="472"/>
      <w:bookmarkEnd w:id="473"/>
      <w:bookmarkEnd w:id="474"/>
      <w:bookmarkEnd w:id="475"/>
      <w:bookmarkEnd w:id="476"/>
      <w:bookmarkEnd w:id="477"/>
      <w:bookmarkEnd w:id="478"/>
      <w:bookmarkEnd w:id="479"/>
    </w:p>
    <w:p w14:paraId="3CBC403D">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具体要求详见</w:t>
      </w:r>
      <w:r>
        <w:rPr>
          <w:rFonts w:hint="eastAsia" w:ascii="仿宋" w:hAnsi="仿宋" w:eastAsia="仿宋" w:cs="仿宋"/>
          <w:b/>
          <w:bCs/>
          <w:color w:val="auto"/>
          <w:kern w:val="0"/>
          <w:sz w:val="21"/>
          <w:szCs w:val="21"/>
          <w:highlight w:val="none"/>
          <w:lang w:eastAsia="zh-CN"/>
        </w:rPr>
        <w:t>供应商</w:t>
      </w:r>
      <w:r>
        <w:rPr>
          <w:rFonts w:hint="eastAsia" w:ascii="仿宋" w:hAnsi="仿宋" w:eastAsia="仿宋" w:cs="仿宋"/>
          <w:b/>
          <w:bCs/>
          <w:color w:val="auto"/>
          <w:kern w:val="0"/>
          <w:sz w:val="21"/>
          <w:szCs w:val="21"/>
          <w:highlight w:val="none"/>
        </w:rPr>
        <w:t>须知前附表第13项 需要补充的其他内容</w:t>
      </w:r>
    </w:p>
    <w:p w14:paraId="4FE89D21">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13.1关于中小企业</w:t>
      </w:r>
    </w:p>
    <w:p w14:paraId="45A93CD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13.1.1根据《关于印发&lt;政府采购促进中小企业发展管理办法&gt;的通知》（财库〔2020〕46 号） 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C80F30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13.1.2在政府采购活动中，供应商提供的货物、工程或者服务符合下列情形的，享受中小企业扶持政策：</w:t>
      </w:r>
    </w:p>
    <w:p w14:paraId="64E99C03">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（一）在货物采购项目中，货物由中小企业制造，即货物由中小企业生产且使用该中小企业商号或者注册商标；</w:t>
      </w:r>
    </w:p>
    <w:p w14:paraId="181A22A7">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（二）在工程采购项目中，工程由中小企业承建，即工程施工单位为中小企业；</w:t>
      </w:r>
    </w:p>
    <w:p w14:paraId="68616010">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（三）在服务采购项目中，服务由中小企业承接，即提供服务的人员为中小企业依照《中华人民共和国劳动合同法》订立劳动合同的从业人员。</w:t>
      </w:r>
    </w:p>
    <w:p w14:paraId="428D560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在货物采购项目中，供应商提供的货物既有中小企业制造货物，也有大型企业制造货物的，不享受本办法规定的中小企业扶持政策。</w:t>
      </w:r>
    </w:p>
    <w:p w14:paraId="4DB8DED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以联合体形式参加政府采购活动，联合体各方均为中小企业的，联合体视同中小企业。其中，联合体各方均为小微企业的，联合体视同小微企业。</w:t>
      </w:r>
    </w:p>
    <w:p w14:paraId="79E87D7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13.1.3依据《政府采购促进中小企业发展管理办法》（财库〔2020〕46号）规定享受扶持政策获得政府采购合同的，小微企业不得将合同分包给大中型企业，中型企业不得将合同分包给大型企业。</w:t>
      </w:r>
    </w:p>
    <w:p w14:paraId="097BA0F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13.1.4中小企业参加政府采购活动，应当出具本办法规定的《中小企业声明函》（后附），否则不得享受相关中小企业扶持政策。</w:t>
      </w:r>
    </w:p>
    <w:p w14:paraId="3CE0310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13.1.5根据</w:t>
      </w:r>
      <w:r>
        <w:rPr>
          <w:rFonts w:hint="eastAsia" w:ascii="仿宋" w:hAnsi="仿宋" w:eastAsia="仿宋" w:cs="仿宋"/>
          <w:color w:val="auto"/>
          <w:spacing w:val="-1"/>
          <w:kern w:val="0"/>
          <w:sz w:val="21"/>
          <w:szCs w:val="21"/>
          <w:highlight w:val="none"/>
        </w:rPr>
        <w:t>《关于进一步加大政府采购支持中小企业力度的通知》（财库〔2022〕19号），</w:t>
      </w:r>
      <w:r>
        <w:rPr>
          <w:rFonts w:hint="eastAsia" w:ascii="仿宋" w:hAnsi="仿宋" w:eastAsia="仿宋" w:cs="仿宋"/>
          <w:color w:val="auto"/>
          <w:kern w:val="0"/>
          <w:sz w:val="21"/>
          <w:szCs w:val="21"/>
          <w:highlight w:val="none"/>
        </w:rPr>
        <w:t>本项目针对小微企业报价给予 10%的扣除，用扣除后的价格参与评审。残疾人福利性单位属于小型、微型企业、监狱企业的，不重复享受政策。</w:t>
      </w:r>
    </w:p>
    <w:p w14:paraId="2AB35EAD">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13.1.6《关于印发中小企业划型标准规定的通知》（工信部联企业〔2011〕300号）中小企业划型标准规定节选：</w:t>
      </w:r>
    </w:p>
    <w:p w14:paraId="60BF5091">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四、各行业划型标准为：</w:t>
      </w:r>
    </w:p>
    <w:p w14:paraId="218E51E4">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14D4CE0">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DAB208C">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F2CFB6">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E2B9865">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A181CE">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1A7E6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83B2A6">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DC862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32231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80E8D5">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976FEE">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91995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724B0A">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E5A8AFA">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9FBC5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A8E67C9">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13.2关于残疾人福利性单位：</w:t>
      </w:r>
    </w:p>
    <w:p w14:paraId="7905D6FD">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13.2.1根据《关于促进残疾人就业政府采购政策的通知》（财库〔2017〕141号）的规定，享受政府采购支持政策的残疾人福利性单位应当同时满足以下条件：</w:t>
      </w:r>
    </w:p>
    <w:p w14:paraId="15DD312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（一）安置的残疾人占本单位在职职工人数的比例不低于25%（含25%），并且安置的残疾人人数不少于10人（含10人）；</w:t>
      </w:r>
    </w:p>
    <w:p w14:paraId="77392232">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（二）依法与安置的每位残疾人签订了一年以上（含一年）的劳动合同或服务协议；</w:t>
      </w:r>
    </w:p>
    <w:p w14:paraId="63CA62D4">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（三）为安置的每位残疾人按月足额缴纳了基本养老保险、基本医疗保险、失业保险、工伤保险和生育保险等社会保险费；</w:t>
      </w:r>
    </w:p>
    <w:p w14:paraId="707B98A4">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（四）通过银行等金融机构向安置的每位残疾人，按月支付了不低于单位所在区县适用的经省级人民政府批准的月最低工资标准的工资；</w:t>
      </w:r>
    </w:p>
    <w:p w14:paraId="1B90FABB">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（五）提供本单位制造的货物、承担的工程或者服务（以下简称产品），或者提供其他残疾人福利性单位制造的货物（不包括使用非残疾人福利性单位注册商标的货物）。</w:t>
      </w:r>
    </w:p>
    <w:p w14:paraId="27711107">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E04D4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13.2.2符合条件的残疾人福利性单位在参加政府采购活动时，应当按《三部门联合发布关于促进残疾人就业政府采购政策的通知》（财库〔2017〕141号）提供规定的《残疾人福利性单位声明函》，并对声明的真实性负责。</w:t>
      </w:r>
    </w:p>
    <w:p w14:paraId="0D1A6440">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13.2.3本项目针对残疾人福利性单位产品的价格给予10%的扣除，</w:t>
      </w:r>
      <w:bookmarkStart w:id="480" w:name="_Hlk92451014"/>
      <w:r>
        <w:rPr>
          <w:rFonts w:hint="eastAsia" w:ascii="仿宋" w:hAnsi="仿宋" w:eastAsia="仿宋" w:cs="仿宋"/>
          <w:color w:val="auto"/>
          <w:kern w:val="0"/>
          <w:sz w:val="21"/>
          <w:szCs w:val="21"/>
          <w:highlight w:val="none"/>
        </w:rPr>
        <w:t>用扣除后的价格参与评审。残疾人福利性单位属于小型、微型企业、监狱企业的，不重复享受政策。</w:t>
      </w:r>
      <w:bookmarkEnd w:id="480"/>
    </w:p>
    <w:p w14:paraId="493F57E3">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13.3关于监狱企业：</w:t>
      </w:r>
    </w:p>
    <w:p w14:paraId="695B7CD7">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13.3.1 依照&lt;财政部、司法部关于政府采购支持监狱企业发展有关问题的通知&gt;（财库〔2014〕68号）之规定，监狱企业应当符合以下条件：</w:t>
      </w:r>
    </w:p>
    <w:p w14:paraId="558E488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E0BE98">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13.3.3 监狱企业参加政府采购活动时，视同小型、微型企业，应当提供由省级以上监狱管理局、戒毒管理局（含新疆生产建设兵团）出具的属于监狱企业的证明文件。</w:t>
      </w:r>
    </w:p>
    <w:p w14:paraId="39F5C80A">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13.3.4在政府采购活动中，监狱企业视同小型、微型企业，享受预留份额、评审中价格扣除等   政府采购促进中小企业发展的政府采购政策。</w:t>
      </w:r>
    </w:p>
    <w:p w14:paraId="692DEE1D">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13.4关于节能产品及环境标志产品</w:t>
      </w:r>
    </w:p>
    <w:p w14:paraId="2C6831ED">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13.4.1供应商提供经国家认定的节能产品或环保产品须提供有效证明材料方可获得加分。</w:t>
      </w:r>
    </w:p>
    <w:p w14:paraId="78F79447">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13.4.2节能产品是指列入财政部和发展改革委公布的《关于印发节能产品政府采购品目清单的  通知》（财库〔2019〕19 号）《节能产品政府采购品目清单》中的产品，其中以标注的政府强制采购产品。</w:t>
      </w:r>
    </w:p>
    <w:p w14:paraId="554DB14B">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13.4.3环境标志产品是指列入财政部和生态环境部公布的《关于印发环境标志产品政府采购品  目清单的通知》（财库〔2019〕18 号）《环境标志产品政府采购品目清单》中的产品。</w:t>
      </w:r>
    </w:p>
    <w:p w14:paraId="4BB48576">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13.4.4产品属于节能产品或环境标志产品的，供应商需在投标文件中提供产品经国家确定的参   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86EEA93">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13.4.5供应商应在投标文件中提供所投标产品国家确定的认证机构出具的、处于有效期之内的节能产品、环境标志产品认证证书，否则不予认可。</w:t>
      </w:r>
    </w:p>
    <w:p w14:paraId="65657DEE">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13.4.6《节能产品政府采购品目清单》及《环境标志产品政府采购品目清单》可通过中国政府采购网（http://www.ccgp.gov.cn/ ）查阅、下载。认证机构名录如若以现行最新规定为准。</w:t>
      </w:r>
    </w:p>
    <w:p w14:paraId="7B9595F3">
      <w:pPr>
        <w:pageBreakBefore w:val="0"/>
        <w:kinsoku/>
        <w:bidi w:val="0"/>
        <w:spacing w:before="156" w:beforeLines="50" w:line="360" w:lineRule="auto"/>
        <w:ind w:firstLine="422" w:firstLineChars="200"/>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13.5关于本国产品标准</w:t>
      </w:r>
      <w:r>
        <w:rPr>
          <w:rFonts w:hint="eastAsia" w:ascii="仿宋" w:hAnsi="仿宋" w:eastAsia="仿宋" w:cs="仿宋"/>
          <w:b/>
          <w:bCs/>
          <w:color w:val="auto"/>
          <w:kern w:val="0"/>
          <w:sz w:val="21"/>
          <w:szCs w:val="21"/>
          <w:highlight w:val="none"/>
          <w:lang w:val="en-US" w:eastAsia="zh-CN"/>
        </w:rPr>
        <w:t>及相关政策</w:t>
      </w:r>
    </w:p>
    <w:p w14:paraId="4087900F">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根据《国务院办公厅关于在政府采购中实施本国产品标准及相关政策的通知》（国办发〔2025〕34号）及《财政部关于贯彻落实&lt;国务院办公厅关于在政府采购中实施本国产品标准及相关政策的通知&gt;的意见》（财库〔2025〕30号）相关规定。</w:t>
      </w:r>
    </w:p>
    <w:p w14:paraId="6266B80E">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ADF757">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7364350">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6F354A78">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6BD261">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87368BE">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13.6中小企业、本国产品政策叠加适用规则</w:t>
      </w:r>
    </w:p>
    <w:p w14:paraId="299AA7C9">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一、货物类项目单一产品采购。政府采购项目非专门面向中小企业采购，供应商提供产品既有本国产品又有非本国产品参与竞争的。</w:t>
      </w:r>
    </w:p>
    <w:p w14:paraId="37E583EB">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情形一：（单一产品）既有本国产品又有非本国产品</w:t>
      </w:r>
    </w:p>
    <w:tbl>
      <w:tblPr>
        <w:tblStyle w:val="166"/>
        <w:tblW w:w="50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156"/>
        <w:gridCol w:w="1028"/>
        <w:gridCol w:w="1368"/>
        <w:gridCol w:w="1792"/>
        <w:gridCol w:w="2229"/>
        <w:gridCol w:w="1588"/>
      </w:tblGrid>
      <w:tr w14:paraId="6B04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3" w:type="pct"/>
            <w:noWrap w:val="0"/>
            <w:vAlign w:val="center"/>
          </w:tcPr>
          <w:p w14:paraId="5BD14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供应商</w:t>
            </w:r>
          </w:p>
        </w:tc>
        <w:tc>
          <w:tcPr>
            <w:tcW w:w="589" w:type="pct"/>
            <w:noWrap w:val="0"/>
            <w:vAlign w:val="center"/>
          </w:tcPr>
          <w:p w14:paraId="6BCF5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总报价</w:t>
            </w:r>
          </w:p>
          <w:p w14:paraId="32337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（万元）</w:t>
            </w:r>
          </w:p>
        </w:tc>
        <w:tc>
          <w:tcPr>
            <w:tcW w:w="524" w:type="pct"/>
            <w:noWrap w:val="0"/>
            <w:vAlign w:val="center"/>
          </w:tcPr>
          <w:p w14:paraId="4352A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企业类型</w:t>
            </w:r>
          </w:p>
        </w:tc>
        <w:tc>
          <w:tcPr>
            <w:tcW w:w="698" w:type="pct"/>
            <w:noWrap w:val="0"/>
            <w:vAlign w:val="center"/>
          </w:tcPr>
          <w:p w14:paraId="47D48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小微企业10%价格折扣</w:t>
            </w:r>
          </w:p>
        </w:tc>
        <w:tc>
          <w:tcPr>
            <w:tcW w:w="914" w:type="pct"/>
            <w:noWrap w:val="0"/>
            <w:vAlign w:val="center"/>
          </w:tcPr>
          <w:p w14:paraId="3076B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是否全部为本国产品</w:t>
            </w:r>
          </w:p>
        </w:tc>
        <w:tc>
          <w:tcPr>
            <w:tcW w:w="1138" w:type="pct"/>
            <w:noWrap w:val="0"/>
            <w:vAlign w:val="center"/>
          </w:tcPr>
          <w:p w14:paraId="670C0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是否享受本国产品20%的价格折扣</w:t>
            </w:r>
          </w:p>
        </w:tc>
        <w:tc>
          <w:tcPr>
            <w:tcW w:w="810" w:type="pct"/>
            <w:noWrap w:val="0"/>
            <w:vAlign w:val="center"/>
          </w:tcPr>
          <w:p w14:paraId="35E47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最终报价</w:t>
            </w:r>
          </w:p>
          <w:p w14:paraId="2AF02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 万元）</w:t>
            </w:r>
          </w:p>
        </w:tc>
      </w:tr>
      <w:tr w14:paraId="417D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3" w:type="pct"/>
            <w:noWrap w:val="0"/>
            <w:vAlign w:val="center"/>
          </w:tcPr>
          <w:p w14:paraId="2AD2D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A</w:t>
            </w:r>
          </w:p>
        </w:tc>
        <w:tc>
          <w:tcPr>
            <w:tcW w:w="589" w:type="pct"/>
            <w:noWrap w:val="0"/>
            <w:vAlign w:val="center"/>
          </w:tcPr>
          <w:p w14:paraId="48426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524" w:type="pct"/>
            <w:noWrap w:val="0"/>
            <w:vAlign w:val="center"/>
          </w:tcPr>
          <w:p w14:paraId="0E831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大型</w:t>
            </w:r>
          </w:p>
        </w:tc>
        <w:tc>
          <w:tcPr>
            <w:tcW w:w="698" w:type="pct"/>
            <w:noWrap w:val="0"/>
            <w:vAlign w:val="center"/>
          </w:tcPr>
          <w:p w14:paraId="71806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914" w:type="pct"/>
            <w:noWrap w:val="0"/>
            <w:vAlign w:val="center"/>
          </w:tcPr>
          <w:p w14:paraId="1EB7B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1138" w:type="pct"/>
            <w:noWrap w:val="0"/>
            <w:vAlign w:val="center"/>
          </w:tcPr>
          <w:p w14:paraId="42FAC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810" w:type="pct"/>
            <w:noWrap w:val="0"/>
            <w:vAlign w:val="center"/>
          </w:tcPr>
          <w:p w14:paraId="3FB40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100-100*20%=80</w:t>
            </w:r>
          </w:p>
        </w:tc>
      </w:tr>
      <w:tr w14:paraId="261B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3" w:type="pct"/>
            <w:noWrap w:val="0"/>
            <w:vAlign w:val="center"/>
          </w:tcPr>
          <w:p w14:paraId="1D0E7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B</w:t>
            </w:r>
          </w:p>
        </w:tc>
        <w:tc>
          <w:tcPr>
            <w:tcW w:w="589" w:type="pct"/>
            <w:noWrap w:val="0"/>
            <w:vAlign w:val="center"/>
          </w:tcPr>
          <w:p w14:paraId="02842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524" w:type="pct"/>
            <w:noWrap w:val="0"/>
            <w:vAlign w:val="center"/>
          </w:tcPr>
          <w:p w14:paraId="44925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中型</w:t>
            </w:r>
          </w:p>
        </w:tc>
        <w:tc>
          <w:tcPr>
            <w:tcW w:w="698" w:type="pct"/>
            <w:noWrap w:val="0"/>
            <w:vAlign w:val="center"/>
          </w:tcPr>
          <w:p w14:paraId="0AFE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914" w:type="pct"/>
            <w:noWrap w:val="0"/>
            <w:vAlign w:val="center"/>
          </w:tcPr>
          <w:p w14:paraId="0B76F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1138" w:type="pct"/>
            <w:noWrap w:val="0"/>
            <w:vAlign w:val="center"/>
          </w:tcPr>
          <w:p w14:paraId="21CED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810" w:type="pct"/>
            <w:noWrap w:val="0"/>
            <w:vAlign w:val="center"/>
          </w:tcPr>
          <w:p w14:paraId="7B2B5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r>
      <w:tr w14:paraId="2FF4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3" w:type="pct"/>
            <w:noWrap w:val="0"/>
            <w:vAlign w:val="center"/>
          </w:tcPr>
          <w:p w14:paraId="0DA6B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C</w:t>
            </w:r>
          </w:p>
        </w:tc>
        <w:tc>
          <w:tcPr>
            <w:tcW w:w="589" w:type="pct"/>
            <w:noWrap w:val="0"/>
            <w:vAlign w:val="center"/>
          </w:tcPr>
          <w:p w14:paraId="4547A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524" w:type="pct"/>
            <w:noWrap w:val="0"/>
            <w:vAlign w:val="center"/>
          </w:tcPr>
          <w:p w14:paraId="745E5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小型</w:t>
            </w:r>
          </w:p>
        </w:tc>
        <w:tc>
          <w:tcPr>
            <w:tcW w:w="698" w:type="pct"/>
            <w:noWrap w:val="0"/>
            <w:vAlign w:val="center"/>
          </w:tcPr>
          <w:p w14:paraId="30349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914" w:type="pct"/>
            <w:noWrap w:val="0"/>
            <w:vAlign w:val="center"/>
          </w:tcPr>
          <w:p w14:paraId="68EB7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1138" w:type="pct"/>
            <w:noWrap w:val="0"/>
            <w:vAlign w:val="center"/>
          </w:tcPr>
          <w:p w14:paraId="301D8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810" w:type="pct"/>
            <w:noWrap w:val="0"/>
            <w:vAlign w:val="center"/>
          </w:tcPr>
          <w:p w14:paraId="68BE1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100-100*10%-100*20%=70</w:t>
            </w:r>
          </w:p>
        </w:tc>
      </w:tr>
      <w:tr w14:paraId="68491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23" w:type="pct"/>
            <w:noWrap w:val="0"/>
            <w:vAlign w:val="center"/>
          </w:tcPr>
          <w:p w14:paraId="1D9AF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D</w:t>
            </w:r>
          </w:p>
        </w:tc>
        <w:tc>
          <w:tcPr>
            <w:tcW w:w="589" w:type="pct"/>
            <w:noWrap w:val="0"/>
            <w:vAlign w:val="center"/>
          </w:tcPr>
          <w:p w14:paraId="15F6F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524" w:type="pct"/>
            <w:noWrap w:val="0"/>
            <w:vAlign w:val="center"/>
          </w:tcPr>
          <w:p w14:paraId="283461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微型</w:t>
            </w:r>
          </w:p>
        </w:tc>
        <w:tc>
          <w:tcPr>
            <w:tcW w:w="698" w:type="pct"/>
            <w:noWrap w:val="0"/>
            <w:vAlign w:val="center"/>
          </w:tcPr>
          <w:p w14:paraId="2ECC3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是</w:t>
            </w:r>
          </w:p>
        </w:tc>
        <w:tc>
          <w:tcPr>
            <w:tcW w:w="914" w:type="pct"/>
            <w:noWrap w:val="0"/>
            <w:vAlign w:val="center"/>
          </w:tcPr>
          <w:p w14:paraId="11E3A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1138" w:type="pct"/>
            <w:noWrap w:val="0"/>
            <w:vAlign w:val="center"/>
          </w:tcPr>
          <w:p w14:paraId="1BF68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否</w:t>
            </w:r>
          </w:p>
        </w:tc>
        <w:tc>
          <w:tcPr>
            <w:tcW w:w="810" w:type="pct"/>
            <w:noWrap w:val="0"/>
            <w:vAlign w:val="center"/>
          </w:tcPr>
          <w:p w14:paraId="74DC3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100-100*10%=90</w:t>
            </w:r>
          </w:p>
        </w:tc>
      </w:tr>
    </w:tbl>
    <w:p w14:paraId="48CC3C40">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二、货物类项目多种产品采购。政府采购项目非专门面向中小企业采购，供应商提供产品既有本国产品又有非本国产品参与竞争的。</w:t>
      </w:r>
    </w:p>
    <w:p w14:paraId="1561BFB8">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情形二：（多种产品）既有本国产品又有非本国产品</w:t>
      </w:r>
    </w:p>
    <w:tbl>
      <w:tblPr>
        <w:tblStyle w:val="166"/>
        <w:tblW w:w="501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3"/>
        <w:gridCol w:w="872"/>
        <w:gridCol w:w="798"/>
        <w:gridCol w:w="1270"/>
        <w:gridCol w:w="1273"/>
        <w:gridCol w:w="1749"/>
        <w:gridCol w:w="1749"/>
        <w:gridCol w:w="1589"/>
      </w:tblGrid>
      <w:tr w14:paraId="49D9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noWrap w:val="0"/>
            <w:vAlign w:val="center"/>
          </w:tcPr>
          <w:p w14:paraId="6E20D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供应商</w:t>
            </w:r>
          </w:p>
        </w:tc>
        <w:tc>
          <w:tcPr>
            <w:tcW w:w="446" w:type="pct"/>
            <w:noWrap w:val="0"/>
            <w:vAlign w:val="center"/>
          </w:tcPr>
          <w:p w14:paraId="5A5F6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总报价（万元）</w:t>
            </w:r>
          </w:p>
        </w:tc>
        <w:tc>
          <w:tcPr>
            <w:tcW w:w="408" w:type="pct"/>
            <w:noWrap w:val="0"/>
            <w:vAlign w:val="center"/>
          </w:tcPr>
          <w:p w14:paraId="7B0C5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企业类型</w:t>
            </w:r>
          </w:p>
        </w:tc>
        <w:tc>
          <w:tcPr>
            <w:tcW w:w="649" w:type="pct"/>
            <w:noWrap w:val="0"/>
            <w:vAlign w:val="center"/>
          </w:tcPr>
          <w:p w14:paraId="60782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小微企业 10%价格折扣</w:t>
            </w:r>
          </w:p>
        </w:tc>
        <w:tc>
          <w:tcPr>
            <w:tcW w:w="651" w:type="pct"/>
            <w:noWrap w:val="0"/>
            <w:vAlign w:val="center"/>
          </w:tcPr>
          <w:p w14:paraId="1AE29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是否全部为本国产品</w:t>
            </w:r>
          </w:p>
        </w:tc>
        <w:tc>
          <w:tcPr>
            <w:tcW w:w="894" w:type="pct"/>
            <w:noWrap w:val="0"/>
            <w:vAlign w:val="center"/>
          </w:tcPr>
          <w:p w14:paraId="5F371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本国产品成本之和占比是否≥80%</w:t>
            </w:r>
          </w:p>
        </w:tc>
        <w:tc>
          <w:tcPr>
            <w:tcW w:w="894" w:type="pct"/>
            <w:noWrap w:val="0"/>
            <w:vAlign w:val="center"/>
          </w:tcPr>
          <w:p w14:paraId="3C6C0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是否享受本国产品 20%的价格折扣</w:t>
            </w:r>
          </w:p>
        </w:tc>
        <w:tc>
          <w:tcPr>
            <w:tcW w:w="812" w:type="pct"/>
            <w:noWrap w:val="0"/>
            <w:vAlign w:val="center"/>
          </w:tcPr>
          <w:p w14:paraId="791CF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最终报价</w:t>
            </w:r>
          </w:p>
          <w:p w14:paraId="034AC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 万元）</w:t>
            </w:r>
          </w:p>
        </w:tc>
      </w:tr>
      <w:tr w14:paraId="72BC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shd w:val="clear" w:color="auto" w:fill="auto"/>
            <w:noWrap w:val="0"/>
            <w:vAlign w:val="center"/>
          </w:tcPr>
          <w:p w14:paraId="10922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A</w:t>
            </w:r>
          </w:p>
        </w:tc>
        <w:tc>
          <w:tcPr>
            <w:tcW w:w="446" w:type="pct"/>
            <w:shd w:val="clear" w:color="auto" w:fill="auto"/>
            <w:noWrap w:val="0"/>
            <w:vAlign w:val="center"/>
          </w:tcPr>
          <w:p w14:paraId="7F1E6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noWrap w:val="0"/>
            <w:vAlign w:val="center"/>
          </w:tcPr>
          <w:p w14:paraId="0006A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大型</w:t>
            </w:r>
          </w:p>
        </w:tc>
        <w:tc>
          <w:tcPr>
            <w:tcW w:w="649" w:type="pct"/>
            <w:shd w:val="clear" w:color="auto" w:fill="auto"/>
            <w:noWrap w:val="0"/>
            <w:vAlign w:val="center"/>
          </w:tcPr>
          <w:p w14:paraId="417CC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651" w:type="pct"/>
            <w:shd w:val="clear" w:color="auto" w:fill="auto"/>
            <w:noWrap w:val="0"/>
            <w:vAlign w:val="center"/>
          </w:tcPr>
          <w:p w14:paraId="5FE2B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0960C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51190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12" w:type="pct"/>
            <w:shd w:val="clear" w:color="auto" w:fill="auto"/>
            <w:noWrap w:val="0"/>
            <w:vAlign w:val="center"/>
          </w:tcPr>
          <w:p w14:paraId="7CBCE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100-100*20%=80</w:t>
            </w:r>
          </w:p>
        </w:tc>
      </w:tr>
      <w:tr w14:paraId="4D90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shd w:val="clear" w:color="auto" w:fill="auto"/>
            <w:noWrap w:val="0"/>
            <w:vAlign w:val="center"/>
          </w:tcPr>
          <w:p w14:paraId="4D1A8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B</w:t>
            </w:r>
          </w:p>
        </w:tc>
        <w:tc>
          <w:tcPr>
            <w:tcW w:w="446" w:type="pct"/>
            <w:shd w:val="clear" w:color="auto" w:fill="auto"/>
            <w:noWrap w:val="0"/>
            <w:vAlign w:val="center"/>
          </w:tcPr>
          <w:p w14:paraId="1123A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noWrap w:val="0"/>
            <w:vAlign w:val="center"/>
          </w:tcPr>
          <w:p w14:paraId="28BD3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中型</w:t>
            </w:r>
          </w:p>
        </w:tc>
        <w:tc>
          <w:tcPr>
            <w:tcW w:w="649" w:type="pct"/>
            <w:shd w:val="clear" w:color="auto" w:fill="auto"/>
            <w:noWrap w:val="0"/>
            <w:vAlign w:val="center"/>
          </w:tcPr>
          <w:p w14:paraId="40382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651" w:type="pct"/>
            <w:shd w:val="clear" w:color="auto" w:fill="auto"/>
            <w:noWrap w:val="0"/>
            <w:vAlign w:val="center"/>
          </w:tcPr>
          <w:p w14:paraId="7E84B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894" w:type="pct"/>
            <w:shd w:val="clear" w:color="auto" w:fill="auto"/>
            <w:noWrap w:val="0"/>
            <w:vAlign w:val="center"/>
          </w:tcPr>
          <w:p w14:paraId="03767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45675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12" w:type="pct"/>
            <w:shd w:val="clear" w:color="auto" w:fill="auto"/>
            <w:noWrap w:val="0"/>
            <w:vAlign w:val="center"/>
          </w:tcPr>
          <w:p w14:paraId="55DA0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100-100*20%=80</w:t>
            </w:r>
          </w:p>
        </w:tc>
      </w:tr>
      <w:tr w14:paraId="520F8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shd w:val="clear" w:color="auto" w:fill="auto"/>
            <w:noWrap w:val="0"/>
            <w:vAlign w:val="center"/>
          </w:tcPr>
          <w:p w14:paraId="290DE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C</w:t>
            </w:r>
          </w:p>
        </w:tc>
        <w:tc>
          <w:tcPr>
            <w:tcW w:w="446" w:type="pct"/>
            <w:shd w:val="clear" w:color="auto" w:fill="auto"/>
            <w:noWrap w:val="0"/>
            <w:vAlign w:val="center"/>
          </w:tcPr>
          <w:p w14:paraId="03220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noWrap w:val="0"/>
            <w:vAlign w:val="center"/>
          </w:tcPr>
          <w:p w14:paraId="4BF0B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中型</w:t>
            </w:r>
          </w:p>
        </w:tc>
        <w:tc>
          <w:tcPr>
            <w:tcW w:w="649" w:type="pct"/>
            <w:shd w:val="clear" w:color="auto" w:fill="auto"/>
            <w:noWrap w:val="0"/>
            <w:vAlign w:val="center"/>
          </w:tcPr>
          <w:p w14:paraId="47AAD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651" w:type="pct"/>
            <w:shd w:val="clear" w:color="auto" w:fill="auto"/>
            <w:noWrap w:val="0"/>
            <w:vAlign w:val="center"/>
          </w:tcPr>
          <w:p w14:paraId="428B5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894" w:type="pct"/>
            <w:shd w:val="clear" w:color="auto" w:fill="auto"/>
            <w:noWrap w:val="0"/>
            <w:vAlign w:val="center"/>
          </w:tcPr>
          <w:p w14:paraId="61BAF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894" w:type="pct"/>
            <w:shd w:val="clear" w:color="auto" w:fill="auto"/>
            <w:noWrap w:val="0"/>
            <w:vAlign w:val="center"/>
          </w:tcPr>
          <w:p w14:paraId="13561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812" w:type="pct"/>
            <w:shd w:val="clear" w:color="auto" w:fill="auto"/>
            <w:noWrap w:val="0"/>
            <w:vAlign w:val="center"/>
          </w:tcPr>
          <w:p w14:paraId="23E8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r>
      <w:tr w14:paraId="715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shd w:val="clear" w:color="auto" w:fill="auto"/>
            <w:noWrap w:val="0"/>
            <w:vAlign w:val="center"/>
          </w:tcPr>
          <w:p w14:paraId="0345D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D</w:t>
            </w:r>
          </w:p>
        </w:tc>
        <w:tc>
          <w:tcPr>
            <w:tcW w:w="446" w:type="pct"/>
            <w:shd w:val="clear" w:color="auto" w:fill="auto"/>
            <w:noWrap w:val="0"/>
            <w:vAlign w:val="center"/>
          </w:tcPr>
          <w:p w14:paraId="6FF0A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noWrap w:val="0"/>
            <w:vAlign w:val="center"/>
          </w:tcPr>
          <w:p w14:paraId="64C67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小型</w:t>
            </w:r>
          </w:p>
        </w:tc>
        <w:tc>
          <w:tcPr>
            <w:tcW w:w="649" w:type="pct"/>
            <w:shd w:val="clear" w:color="auto" w:fill="auto"/>
            <w:noWrap w:val="0"/>
            <w:vAlign w:val="center"/>
          </w:tcPr>
          <w:p w14:paraId="6336C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651" w:type="pct"/>
            <w:shd w:val="clear" w:color="auto" w:fill="auto"/>
            <w:noWrap w:val="0"/>
            <w:vAlign w:val="center"/>
          </w:tcPr>
          <w:p w14:paraId="7833F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556F7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462C3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12" w:type="pct"/>
            <w:shd w:val="clear" w:color="auto" w:fill="auto"/>
            <w:noWrap w:val="0"/>
            <w:vAlign w:val="center"/>
          </w:tcPr>
          <w:p w14:paraId="2F16E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100-100*10%-100</w:t>
            </w:r>
          </w:p>
          <w:p w14:paraId="082B6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*20%=70</w:t>
            </w:r>
          </w:p>
        </w:tc>
      </w:tr>
      <w:tr w14:paraId="2E09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pct"/>
            <w:shd w:val="clear" w:color="auto" w:fill="auto"/>
            <w:noWrap w:val="0"/>
            <w:vAlign w:val="center"/>
          </w:tcPr>
          <w:p w14:paraId="17AC3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E</w:t>
            </w:r>
          </w:p>
        </w:tc>
        <w:tc>
          <w:tcPr>
            <w:tcW w:w="446" w:type="pct"/>
            <w:shd w:val="clear" w:color="auto" w:fill="auto"/>
            <w:noWrap w:val="0"/>
            <w:vAlign w:val="center"/>
          </w:tcPr>
          <w:p w14:paraId="45D43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noWrap w:val="0"/>
            <w:vAlign w:val="center"/>
          </w:tcPr>
          <w:p w14:paraId="03C61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小型</w:t>
            </w:r>
          </w:p>
        </w:tc>
        <w:tc>
          <w:tcPr>
            <w:tcW w:w="649" w:type="pct"/>
            <w:shd w:val="clear" w:color="auto" w:fill="auto"/>
            <w:noWrap w:val="0"/>
            <w:vAlign w:val="center"/>
          </w:tcPr>
          <w:p w14:paraId="6A769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651" w:type="pct"/>
            <w:shd w:val="clear" w:color="auto" w:fill="auto"/>
            <w:noWrap w:val="0"/>
            <w:vAlign w:val="center"/>
          </w:tcPr>
          <w:p w14:paraId="36160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894" w:type="pct"/>
            <w:shd w:val="clear" w:color="auto" w:fill="auto"/>
            <w:noWrap w:val="0"/>
            <w:vAlign w:val="center"/>
          </w:tcPr>
          <w:p w14:paraId="0A326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94" w:type="pct"/>
            <w:shd w:val="clear" w:color="auto" w:fill="auto"/>
            <w:noWrap w:val="0"/>
            <w:vAlign w:val="center"/>
          </w:tcPr>
          <w:p w14:paraId="1CAE1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812" w:type="pct"/>
            <w:shd w:val="clear" w:color="auto" w:fill="auto"/>
            <w:noWrap w:val="0"/>
            <w:vAlign w:val="center"/>
          </w:tcPr>
          <w:p w14:paraId="6E865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100-100*10%-100</w:t>
            </w:r>
          </w:p>
          <w:p w14:paraId="1E8E4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*20%=70</w:t>
            </w:r>
          </w:p>
        </w:tc>
      </w:tr>
      <w:tr w14:paraId="648D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shd w:val="clear" w:color="auto" w:fill="auto"/>
            <w:vAlign w:val="center"/>
          </w:tcPr>
          <w:p w14:paraId="1E03E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F</w:t>
            </w:r>
          </w:p>
        </w:tc>
        <w:tc>
          <w:tcPr>
            <w:tcW w:w="446" w:type="pct"/>
            <w:shd w:val="clear" w:color="auto" w:fill="auto"/>
            <w:vAlign w:val="center"/>
          </w:tcPr>
          <w:p w14:paraId="78F71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w:t>
            </w:r>
          </w:p>
        </w:tc>
        <w:tc>
          <w:tcPr>
            <w:tcW w:w="408" w:type="pct"/>
            <w:shd w:val="clear" w:color="auto" w:fill="auto"/>
            <w:vAlign w:val="center"/>
          </w:tcPr>
          <w:p w14:paraId="2DD27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微型</w:t>
            </w:r>
          </w:p>
        </w:tc>
        <w:tc>
          <w:tcPr>
            <w:tcW w:w="649" w:type="pct"/>
            <w:shd w:val="clear" w:color="auto" w:fill="auto"/>
            <w:vAlign w:val="center"/>
          </w:tcPr>
          <w:p w14:paraId="227F2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是</w:t>
            </w:r>
          </w:p>
        </w:tc>
        <w:tc>
          <w:tcPr>
            <w:tcW w:w="651" w:type="pct"/>
            <w:shd w:val="clear" w:color="auto" w:fill="auto"/>
            <w:vAlign w:val="center"/>
          </w:tcPr>
          <w:p w14:paraId="645E0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0" w:type="auto"/>
            <w:shd w:val="clear" w:color="auto" w:fill="auto"/>
            <w:vAlign w:val="center"/>
          </w:tcPr>
          <w:p w14:paraId="070D6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0" w:type="auto"/>
            <w:shd w:val="clear" w:color="auto" w:fill="auto"/>
            <w:vAlign w:val="center"/>
          </w:tcPr>
          <w:p w14:paraId="6E652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否</w:t>
            </w:r>
          </w:p>
        </w:tc>
        <w:tc>
          <w:tcPr>
            <w:tcW w:w="0" w:type="auto"/>
            <w:shd w:val="clear" w:color="auto" w:fill="auto"/>
            <w:vAlign w:val="center"/>
          </w:tcPr>
          <w:p w14:paraId="5131E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100-100*10%=90</w:t>
            </w:r>
          </w:p>
        </w:tc>
      </w:tr>
    </w:tbl>
    <w:p w14:paraId="40D31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三、服务类项目涉及单一产品采购。政府采购项目非专门面向中小企业采购，供应商提供产品既有本国产品又有非本国产品参与竞争的。</w:t>
      </w:r>
    </w:p>
    <w:p w14:paraId="2C12F2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sz w:val="21"/>
          <w:szCs w:val="21"/>
          <w:lang w:val="en-US" w:eastAsia="zh-CN"/>
        </w:rPr>
        <w:t>情形三：（单一产品）既有本国产品又有非本国产品</w:t>
      </w:r>
    </w:p>
    <w:tbl>
      <w:tblPr>
        <w:tblStyle w:val="166"/>
        <w:tblW w:w="503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856"/>
        <w:gridCol w:w="1065"/>
        <w:gridCol w:w="1017"/>
        <w:gridCol w:w="1580"/>
        <w:gridCol w:w="1265"/>
        <w:gridCol w:w="1696"/>
        <w:gridCol w:w="1794"/>
      </w:tblGrid>
      <w:tr w14:paraId="02650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9" w:type="pct"/>
            <w:noWrap w:val="0"/>
            <w:vAlign w:val="top"/>
          </w:tcPr>
          <w:p w14:paraId="11E0B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供应商</w:t>
            </w:r>
          </w:p>
        </w:tc>
        <w:tc>
          <w:tcPr>
            <w:tcW w:w="436" w:type="pct"/>
            <w:noWrap w:val="0"/>
            <w:vAlign w:val="top"/>
          </w:tcPr>
          <w:p w14:paraId="061A4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总报价(万元）</w:t>
            </w:r>
          </w:p>
        </w:tc>
        <w:tc>
          <w:tcPr>
            <w:tcW w:w="542" w:type="pct"/>
            <w:noWrap w:val="0"/>
            <w:vAlign w:val="top"/>
          </w:tcPr>
          <w:p w14:paraId="05481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货物报价（万元）</w:t>
            </w:r>
          </w:p>
        </w:tc>
        <w:tc>
          <w:tcPr>
            <w:tcW w:w="517" w:type="pct"/>
            <w:noWrap w:val="0"/>
            <w:vAlign w:val="top"/>
          </w:tcPr>
          <w:p w14:paraId="5FC3D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企业类型</w:t>
            </w:r>
          </w:p>
        </w:tc>
        <w:tc>
          <w:tcPr>
            <w:tcW w:w="804" w:type="pct"/>
            <w:noWrap w:val="0"/>
            <w:vAlign w:val="top"/>
          </w:tcPr>
          <w:p w14:paraId="3D195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小微企业10%价格折扣</w:t>
            </w:r>
          </w:p>
        </w:tc>
        <w:tc>
          <w:tcPr>
            <w:tcW w:w="643" w:type="pct"/>
            <w:noWrap w:val="0"/>
            <w:vAlign w:val="top"/>
          </w:tcPr>
          <w:p w14:paraId="70B4A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是否全部为本国产品</w:t>
            </w:r>
          </w:p>
        </w:tc>
        <w:tc>
          <w:tcPr>
            <w:tcW w:w="863" w:type="pct"/>
            <w:noWrap w:val="0"/>
            <w:vAlign w:val="top"/>
          </w:tcPr>
          <w:p w14:paraId="21E5E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是否享受本国产品20%的价格折扣</w:t>
            </w:r>
          </w:p>
        </w:tc>
        <w:tc>
          <w:tcPr>
            <w:tcW w:w="913" w:type="pct"/>
            <w:noWrap w:val="0"/>
            <w:vAlign w:val="top"/>
          </w:tcPr>
          <w:p w14:paraId="01F93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最终报价</w:t>
            </w:r>
          </w:p>
          <w:p w14:paraId="3330E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 万元）</w:t>
            </w:r>
          </w:p>
        </w:tc>
      </w:tr>
      <w:tr w14:paraId="3974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9" w:type="pct"/>
            <w:noWrap w:val="0"/>
            <w:vAlign w:val="center"/>
          </w:tcPr>
          <w:p w14:paraId="1F5F0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A</w:t>
            </w:r>
          </w:p>
        </w:tc>
        <w:tc>
          <w:tcPr>
            <w:tcW w:w="436" w:type="pct"/>
            <w:noWrap w:val="0"/>
            <w:vAlign w:val="center"/>
          </w:tcPr>
          <w:p w14:paraId="4C131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542" w:type="pct"/>
            <w:noWrap w:val="0"/>
            <w:vAlign w:val="center"/>
          </w:tcPr>
          <w:p w14:paraId="03C99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517" w:type="pct"/>
            <w:noWrap w:val="0"/>
            <w:vAlign w:val="center"/>
          </w:tcPr>
          <w:p w14:paraId="4DD06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大型</w:t>
            </w:r>
          </w:p>
        </w:tc>
        <w:tc>
          <w:tcPr>
            <w:tcW w:w="804" w:type="pct"/>
            <w:noWrap w:val="0"/>
            <w:vAlign w:val="center"/>
          </w:tcPr>
          <w:p w14:paraId="54541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643" w:type="pct"/>
            <w:noWrap w:val="0"/>
            <w:vAlign w:val="center"/>
          </w:tcPr>
          <w:p w14:paraId="62CF2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863" w:type="pct"/>
            <w:noWrap w:val="0"/>
            <w:vAlign w:val="center"/>
          </w:tcPr>
          <w:p w14:paraId="5321F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913" w:type="pct"/>
            <w:noWrap w:val="0"/>
            <w:vAlign w:val="center"/>
          </w:tcPr>
          <w:p w14:paraId="2C2E4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100-20*20%=96</w:t>
            </w:r>
          </w:p>
        </w:tc>
      </w:tr>
      <w:tr w14:paraId="0521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9" w:type="pct"/>
            <w:noWrap w:val="0"/>
            <w:vAlign w:val="center"/>
          </w:tcPr>
          <w:p w14:paraId="335ED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B</w:t>
            </w:r>
          </w:p>
        </w:tc>
        <w:tc>
          <w:tcPr>
            <w:tcW w:w="436" w:type="pct"/>
            <w:noWrap w:val="0"/>
            <w:vAlign w:val="center"/>
          </w:tcPr>
          <w:p w14:paraId="7DECF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542" w:type="pct"/>
            <w:noWrap w:val="0"/>
            <w:vAlign w:val="center"/>
          </w:tcPr>
          <w:p w14:paraId="6F71D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517" w:type="pct"/>
            <w:noWrap w:val="0"/>
            <w:vAlign w:val="center"/>
          </w:tcPr>
          <w:p w14:paraId="1466A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中型</w:t>
            </w:r>
          </w:p>
        </w:tc>
        <w:tc>
          <w:tcPr>
            <w:tcW w:w="804" w:type="pct"/>
            <w:noWrap w:val="0"/>
            <w:vAlign w:val="center"/>
          </w:tcPr>
          <w:p w14:paraId="0A781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643" w:type="pct"/>
            <w:noWrap w:val="0"/>
            <w:vAlign w:val="center"/>
          </w:tcPr>
          <w:p w14:paraId="29EDD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863" w:type="pct"/>
            <w:noWrap w:val="0"/>
            <w:vAlign w:val="center"/>
          </w:tcPr>
          <w:p w14:paraId="45D9D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913" w:type="pct"/>
            <w:noWrap w:val="0"/>
            <w:vAlign w:val="center"/>
          </w:tcPr>
          <w:p w14:paraId="6CFD7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r>
      <w:tr w14:paraId="646E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9" w:type="pct"/>
            <w:noWrap w:val="0"/>
            <w:vAlign w:val="center"/>
          </w:tcPr>
          <w:p w14:paraId="1ABF1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C</w:t>
            </w:r>
          </w:p>
        </w:tc>
        <w:tc>
          <w:tcPr>
            <w:tcW w:w="436" w:type="pct"/>
            <w:noWrap w:val="0"/>
            <w:vAlign w:val="center"/>
          </w:tcPr>
          <w:p w14:paraId="23C3F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542" w:type="pct"/>
            <w:noWrap w:val="0"/>
            <w:vAlign w:val="center"/>
          </w:tcPr>
          <w:p w14:paraId="5B85F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517" w:type="pct"/>
            <w:noWrap w:val="0"/>
            <w:vAlign w:val="center"/>
          </w:tcPr>
          <w:p w14:paraId="3E162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小型</w:t>
            </w:r>
          </w:p>
        </w:tc>
        <w:tc>
          <w:tcPr>
            <w:tcW w:w="804" w:type="pct"/>
            <w:noWrap w:val="0"/>
            <w:vAlign w:val="center"/>
          </w:tcPr>
          <w:p w14:paraId="53326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643" w:type="pct"/>
            <w:noWrap w:val="0"/>
            <w:vAlign w:val="center"/>
          </w:tcPr>
          <w:p w14:paraId="336B8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863" w:type="pct"/>
            <w:noWrap w:val="0"/>
            <w:vAlign w:val="center"/>
          </w:tcPr>
          <w:p w14:paraId="1E18D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913" w:type="pct"/>
            <w:noWrap w:val="0"/>
            <w:vAlign w:val="center"/>
          </w:tcPr>
          <w:p w14:paraId="69D1A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100-100*10%-20*20%=86</w:t>
            </w:r>
          </w:p>
        </w:tc>
      </w:tr>
      <w:tr w14:paraId="0DEB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9" w:type="pct"/>
            <w:noWrap w:val="0"/>
            <w:vAlign w:val="center"/>
          </w:tcPr>
          <w:p w14:paraId="3768B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D</w:t>
            </w:r>
          </w:p>
        </w:tc>
        <w:tc>
          <w:tcPr>
            <w:tcW w:w="436" w:type="pct"/>
            <w:noWrap w:val="0"/>
            <w:vAlign w:val="center"/>
          </w:tcPr>
          <w:p w14:paraId="4B875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542" w:type="pct"/>
            <w:noWrap w:val="0"/>
            <w:vAlign w:val="center"/>
          </w:tcPr>
          <w:p w14:paraId="1E69A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517" w:type="pct"/>
            <w:noWrap w:val="0"/>
            <w:vAlign w:val="center"/>
          </w:tcPr>
          <w:p w14:paraId="0861D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微型</w:t>
            </w:r>
          </w:p>
        </w:tc>
        <w:tc>
          <w:tcPr>
            <w:tcW w:w="804" w:type="pct"/>
            <w:noWrap w:val="0"/>
            <w:vAlign w:val="center"/>
          </w:tcPr>
          <w:p w14:paraId="57858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643" w:type="pct"/>
            <w:noWrap w:val="0"/>
            <w:vAlign w:val="center"/>
          </w:tcPr>
          <w:p w14:paraId="79B1B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863" w:type="pct"/>
            <w:noWrap w:val="0"/>
            <w:vAlign w:val="center"/>
          </w:tcPr>
          <w:p w14:paraId="7F40C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913" w:type="pct"/>
            <w:noWrap w:val="0"/>
            <w:vAlign w:val="center"/>
          </w:tcPr>
          <w:p w14:paraId="3157A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100-100*10%=90</w:t>
            </w:r>
          </w:p>
        </w:tc>
      </w:tr>
    </w:tbl>
    <w:p w14:paraId="2F88C998">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四、服务类项目涉及多种产品采购。政府采购项目非专门面向中小企业采购，供应商提供产品既有本国产品又有非本国产品参与竞争的。</w:t>
      </w:r>
    </w:p>
    <w:p w14:paraId="3993B20B">
      <w:pPr>
        <w:pageBreakBefore w:val="0"/>
        <w:kinsoku/>
        <w:bidi w:val="0"/>
        <w:spacing w:before="156" w:beforeLines="50"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情形四：（多种产品）既有本国产品又有非本国产品</w:t>
      </w:r>
    </w:p>
    <w:tbl>
      <w:tblPr>
        <w:tblStyle w:val="166"/>
        <w:tblW w:w="97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913"/>
        <w:gridCol w:w="1076"/>
        <w:gridCol w:w="755"/>
        <w:gridCol w:w="1189"/>
        <w:gridCol w:w="1035"/>
        <w:gridCol w:w="1459"/>
        <w:gridCol w:w="1303"/>
        <w:gridCol w:w="1562"/>
      </w:tblGrid>
      <w:tr w14:paraId="6C6D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2CF1E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供应商</w:t>
            </w:r>
          </w:p>
        </w:tc>
        <w:tc>
          <w:tcPr>
            <w:tcW w:w="913" w:type="dxa"/>
            <w:noWrap w:val="0"/>
            <w:vAlign w:val="center"/>
          </w:tcPr>
          <w:p w14:paraId="6C478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总报价(万元）</w:t>
            </w:r>
          </w:p>
        </w:tc>
        <w:tc>
          <w:tcPr>
            <w:tcW w:w="1076" w:type="dxa"/>
            <w:noWrap w:val="0"/>
            <w:vAlign w:val="center"/>
          </w:tcPr>
          <w:p w14:paraId="087A4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货物报价(万元）</w:t>
            </w:r>
          </w:p>
        </w:tc>
        <w:tc>
          <w:tcPr>
            <w:tcW w:w="755" w:type="dxa"/>
            <w:noWrap w:val="0"/>
            <w:vAlign w:val="center"/>
          </w:tcPr>
          <w:p w14:paraId="775D0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企业类型</w:t>
            </w:r>
          </w:p>
        </w:tc>
        <w:tc>
          <w:tcPr>
            <w:tcW w:w="1189" w:type="dxa"/>
            <w:noWrap w:val="0"/>
            <w:vAlign w:val="center"/>
          </w:tcPr>
          <w:p w14:paraId="61C57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小微企业</w:t>
            </w:r>
          </w:p>
          <w:p w14:paraId="2AC02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10%价格折扣</w:t>
            </w:r>
          </w:p>
        </w:tc>
        <w:tc>
          <w:tcPr>
            <w:tcW w:w="1035" w:type="dxa"/>
            <w:noWrap w:val="0"/>
            <w:vAlign w:val="center"/>
          </w:tcPr>
          <w:p w14:paraId="1871E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是否全部为本国产品</w:t>
            </w:r>
          </w:p>
        </w:tc>
        <w:tc>
          <w:tcPr>
            <w:tcW w:w="1459" w:type="dxa"/>
            <w:noWrap w:val="0"/>
            <w:vAlign w:val="center"/>
          </w:tcPr>
          <w:p w14:paraId="0961E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本国产品成本之和占比是否≥80%</w:t>
            </w:r>
          </w:p>
        </w:tc>
        <w:tc>
          <w:tcPr>
            <w:tcW w:w="1303" w:type="dxa"/>
            <w:noWrap w:val="0"/>
            <w:vAlign w:val="center"/>
          </w:tcPr>
          <w:p w14:paraId="5B234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是否享受本国产品20%的价格折扣</w:t>
            </w:r>
          </w:p>
        </w:tc>
        <w:tc>
          <w:tcPr>
            <w:tcW w:w="1562" w:type="dxa"/>
            <w:noWrap w:val="0"/>
            <w:vAlign w:val="center"/>
          </w:tcPr>
          <w:p w14:paraId="75BE3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最终报价</w:t>
            </w:r>
          </w:p>
          <w:p w14:paraId="64DFA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（万元）</w:t>
            </w:r>
          </w:p>
        </w:tc>
      </w:tr>
      <w:tr w14:paraId="648A9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52636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A</w:t>
            </w:r>
          </w:p>
        </w:tc>
        <w:tc>
          <w:tcPr>
            <w:tcW w:w="913" w:type="dxa"/>
            <w:noWrap w:val="0"/>
            <w:vAlign w:val="center"/>
          </w:tcPr>
          <w:p w14:paraId="4A9F5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0C0E5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1E9B0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大型</w:t>
            </w:r>
          </w:p>
        </w:tc>
        <w:tc>
          <w:tcPr>
            <w:tcW w:w="1189" w:type="dxa"/>
            <w:noWrap w:val="0"/>
            <w:vAlign w:val="center"/>
          </w:tcPr>
          <w:p w14:paraId="03711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035" w:type="dxa"/>
            <w:noWrap w:val="0"/>
            <w:vAlign w:val="center"/>
          </w:tcPr>
          <w:p w14:paraId="79CEF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459" w:type="dxa"/>
            <w:noWrap w:val="0"/>
            <w:vAlign w:val="center"/>
          </w:tcPr>
          <w:p w14:paraId="318C2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303" w:type="dxa"/>
            <w:noWrap w:val="0"/>
            <w:vAlign w:val="center"/>
          </w:tcPr>
          <w:p w14:paraId="0E1D2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562" w:type="dxa"/>
            <w:noWrap w:val="0"/>
            <w:vAlign w:val="center"/>
          </w:tcPr>
          <w:p w14:paraId="10C7B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100-20*20% =96</w:t>
            </w:r>
          </w:p>
        </w:tc>
      </w:tr>
      <w:tr w14:paraId="49E7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52736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B</w:t>
            </w:r>
          </w:p>
        </w:tc>
        <w:tc>
          <w:tcPr>
            <w:tcW w:w="913" w:type="dxa"/>
            <w:noWrap w:val="0"/>
            <w:vAlign w:val="center"/>
          </w:tcPr>
          <w:p w14:paraId="22BA3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5557D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55BC8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中型</w:t>
            </w:r>
          </w:p>
        </w:tc>
        <w:tc>
          <w:tcPr>
            <w:tcW w:w="1189" w:type="dxa"/>
            <w:noWrap w:val="0"/>
            <w:vAlign w:val="center"/>
          </w:tcPr>
          <w:p w14:paraId="14527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035" w:type="dxa"/>
            <w:noWrap w:val="0"/>
            <w:vAlign w:val="center"/>
          </w:tcPr>
          <w:p w14:paraId="575A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459" w:type="dxa"/>
            <w:noWrap w:val="0"/>
            <w:vAlign w:val="center"/>
          </w:tcPr>
          <w:p w14:paraId="150B9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303" w:type="dxa"/>
            <w:noWrap w:val="0"/>
            <w:vAlign w:val="center"/>
          </w:tcPr>
          <w:p w14:paraId="7D129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562" w:type="dxa"/>
            <w:noWrap w:val="0"/>
            <w:vAlign w:val="center"/>
          </w:tcPr>
          <w:p w14:paraId="30D87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100-20*20% =96</w:t>
            </w:r>
          </w:p>
        </w:tc>
      </w:tr>
      <w:tr w14:paraId="4651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39B6C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C</w:t>
            </w:r>
          </w:p>
        </w:tc>
        <w:tc>
          <w:tcPr>
            <w:tcW w:w="913" w:type="dxa"/>
            <w:noWrap w:val="0"/>
            <w:vAlign w:val="center"/>
          </w:tcPr>
          <w:p w14:paraId="6D424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68221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71186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中型</w:t>
            </w:r>
          </w:p>
        </w:tc>
        <w:tc>
          <w:tcPr>
            <w:tcW w:w="1189" w:type="dxa"/>
            <w:noWrap w:val="0"/>
            <w:vAlign w:val="center"/>
          </w:tcPr>
          <w:p w14:paraId="3E6A7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035" w:type="dxa"/>
            <w:noWrap w:val="0"/>
            <w:vAlign w:val="center"/>
          </w:tcPr>
          <w:p w14:paraId="75721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459" w:type="dxa"/>
            <w:noWrap w:val="0"/>
            <w:vAlign w:val="center"/>
          </w:tcPr>
          <w:p w14:paraId="6C449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303" w:type="dxa"/>
            <w:noWrap w:val="0"/>
            <w:vAlign w:val="center"/>
          </w:tcPr>
          <w:p w14:paraId="07B19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562" w:type="dxa"/>
            <w:noWrap w:val="0"/>
            <w:vAlign w:val="center"/>
          </w:tcPr>
          <w:p w14:paraId="2C324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r>
      <w:tr w14:paraId="2F51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3386F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D</w:t>
            </w:r>
          </w:p>
        </w:tc>
        <w:tc>
          <w:tcPr>
            <w:tcW w:w="913" w:type="dxa"/>
            <w:noWrap w:val="0"/>
            <w:vAlign w:val="center"/>
          </w:tcPr>
          <w:p w14:paraId="4A37B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3E068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1C1AD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小型</w:t>
            </w:r>
          </w:p>
        </w:tc>
        <w:tc>
          <w:tcPr>
            <w:tcW w:w="1189" w:type="dxa"/>
            <w:noWrap w:val="0"/>
            <w:vAlign w:val="center"/>
          </w:tcPr>
          <w:p w14:paraId="2238C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035" w:type="dxa"/>
            <w:noWrap w:val="0"/>
            <w:vAlign w:val="center"/>
          </w:tcPr>
          <w:p w14:paraId="65643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459" w:type="dxa"/>
            <w:noWrap w:val="0"/>
            <w:vAlign w:val="center"/>
          </w:tcPr>
          <w:p w14:paraId="4BF66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303" w:type="dxa"/>
            <w:noWrap w:val="0"/>
            <w:vAlign w:val="center"/>
          </w:tcPr>
          <w:p w14:paraId="283F0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562" w:type="dxa"/>
            <w:noWrap w:val="0"/>
            <w:vAlign w:val="center"/>
          </w:tcPr>
          <w:p w14:paraId="04EF4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100-100*10</w:t>
            </w:r>
          </w:p>
          <w:p w14:paraId="3D7CF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%-20*20%=8</w:t>
            </w:r>
          </w:p>
          <w:p w14:paraId="19133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6</w:t>
            </w:r>
          </w:p>
        </w:tc>
      </w:tr>
      <w:tr w14:paraId="59D4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4E971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E</w:t>
            </w:r>
          </w:p>
        </w:tc>
        <w:tc>
          <w:tcPr>
            <w:tcW w:w="913" w:type="dxa"/>
            <w:noWrap w:val="0"/>
            <w:vAlign w:val="center"/>
          </w:tcPr>
          <w:p w14:paraId="416B8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78167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22D7D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小型</w:t>
            </w:r>
          </w:p>
        </w:tc>
        <w:tc>
          <w:tcPr>
            <w:tcW w:w="1189" w:type="dxa"/>
            <w:noWrap w:val="0"/>
            <w:vAlign w:val="center"/>
          </w:tcPr>
          <w:p w14:paraId="3710C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035" w:type="dxa"/>
            <w:noWrap w:val="0"/>
            <w:vAlign w:val="center"/>
          </w:tcPr>
          <w:p w14:paraId="62158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459" w:type="dxa"/>
            <w:noWrap w:val="0"/>
            <w:vAlign w:val="center"/>
          </w:tcPr>
          <w:p w14:paraId="04928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303" w:type="dxa"/>
            <w:noWrap w:val="0"/>
            <w:vAlign w:val="center"/>
          </w:tcPr>
          <w:p w14:paraId="43D32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562" w:type="dxa"/>
            <w:noWrap w:val="0"/>
            <w:vAlign w:val="center"/>
          </w:tcPr>
          <w:p w14:paraId="73FD8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100-100*10</w:t>
            </w:r>
          </w:p>
          <w:p w14:paraId="3949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%-20*20%=86</w:t>
            </w:r>
          </w:p>
        </w:tc>
      </w:tr>
      <w:tr w14:paraId="56DA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51" w:type="dxa"/>
            <w:noWrap w:val="0"/>
            <w:vAlign w:val="center"/>
          </w:tcPr>
          <w:p w14:paraId="03E49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F</w:t>
            </w:r>
          </w:p>
        </w:tc>
        <w:tc>
          <w:tcPr>
            <w:tcW w:w="913" w:type="dxa"/>
            <w:noWrap w:val="0"/>
            <w:vAlign w:val="center"/>
          </w:tcPr>
          <w:p w14:paraId="7C2B3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w:t>
            </w:r>
          </w:p>
        </w:tc>
        <w:tc>
          <w:tcPr>
            <w:tcW w:w="1076" w:type="dxa"/>
            <w:noWrap w:val="0"/>
            <w:vAlign w:val="center"/>
          </w:tcPr>
          <w:p w14:paraId="241AF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20</w:t>
            </w:r>
          </w:p>
        </w:tc>
        <w:tc>
          <w:tcPr>
            <w:tcW w:w="755" w:type="dxa"/>
            <w:noWrap w:val="0"/>
            <w:vAlign w:val="center"/>
          </w:tcPr>
          <w:p w14:paraId="66B67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微型</w:t>
            </w:r>
          </w:p>
        </w:tc>
        <w:tc>
          <w:tcPr>
            <w:tcW w:w="1189" w:type="dxa"/>
            <w:noWrap w:val="0"/>
            <w:vAlign w:val="center"/>
          </w:tcPr>
          <w:p w14:paraId="4D4C9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是</w:t>
            </w:r>
          </w:p>
        </w:tc>
        <w:tc>
          <w:tcPr>
            <w:tcW w:w="1035" w:type="dxa"/>
            <w:noWrap w:val="0"/>
            <w:vAlign w:val="center"/>
          </w:tcPr>
          <w:p w14:paraId="76B2F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459" w:type="dxa"/>
            <w:noWrap w:val="0"/>
            <w:vAlign w:val="center"/>
          </w:tcPr>
          <w:p w14:paraId="506D3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303" w:type="dxa"/>
            <w:noWrap w:val="0"/>
            <w:vAlign w:val="center"/>
          </w:tcPr>
          <w:p w14:paraId="2FE32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否</w:t>
            </w:r>
          </w:p>
        </w:tc>
        <w:tc>
          <w:tcPr>
            <w:tcW w:w="1562" w:type="dxa"/>
            <w:noWrap w:val="0"/>
            <w:vAlign w:val="center"/>
          </w:tcPr>
          <w:p w14:paraId="0FFD5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100-100*10%=90</w:t>
            </w:r>
          </w:p>
        </w:tc>
      </w:tr>
    </w:tbl>
    <w:p w14:paraId="13FF8AF9">
      <w:pPr>
        <w:pStyle w:val="3"/>
        <w:pageBreakBefore w:val="0"/>
        <w:kinsoku/>
        <w:bidi w:val="0"/>
        <w:spacing w:after="0" w:line="360" w:lineRule="auto"/>
        <w:rPr>
          <w:rFonts w:hint="eastAsia" w:ascii="仿宋" w:hAnsi="仿宋" w:eastAsia="仿宋" w:cs="仿宋"/>
          <w:color w:val="auto"/>
          <w:sz w:val="21"/>
          <w:szCs w:val="21"/>
          <w:highlight w:val="none"/>
        </w:rPr>
      </w:pPr>
      <w:bookmarkStart w:id="481" w:name="_Toc24166"/>
      <w:bookmarkStart w:id="482" w:name="_Toc12551"/>
      <w:bookmarkStart w:id="483" w:name="_Toc22722"/>
      <w:bookmarkStart w:id="484" w:name="_Toc16200"/>
      <w:bookmarkStart w:id="485" w:name="_Toc20228"/>
      <w:bookmarkStart w:id="486" w:name="_Toc12316"/>
      <w:bookmarkStart w:id="487" w:name="_Toc7746"/>
      <w:bookmarkStart w:id="488" w:name="_Toc9388"/>
      <w:bookmarkStart w:id="489" w:name="_Toc18335"/>
      <w:bookmarkStart w:id="490" w:name="_Toc2518"/>
      <w:bookmarkStart w:id="491" w:name="_Toc20185"/>
      <w:bookmarkStart w:id="492" w:name="_Toc71734729"/>
      <w:bookmarkStart w:id="493" w:name="_Toc2683"/>
      <w:bookmarkStart w:id="494" w:name="_Toc12372"/>
      <w:bookmarkStart w:id="495" w:name="_Toc24485"/>
      <w:bookmarkStart w:id="496" w:name="_Toc3085"/>
      <w:bookmarkStart w:id="497" w:name="_Toc10364"/>
      <w:r>
        <w:rPr>
          <w:rFonts w:hint="eastAsia" w:ascii="仿宋" w:hAnsi="仿宋" w:eastAsia="仿宋" w:cs="仿宋"/>
          <w:color w:val="auto"/>
          <w:sz w:val="21"/>
          <w:szCs w:val="21"/>
          <w:highlight w:val="none"/>
        </w:rPr>
        <w:t>14.需要补充的其他内容</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9027D28">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14.1中标人应在接受“中标通知书”前向采购代理机构一次付清代理服务费，代理机构向中标人收取代理服务费。</w:t>
      </w:r>
    </w:p>
    <w:p w14:paraId="3BEC72E0">
      <w:pPr>
        <w:pageBreakBefore w:val="0"/>
        <w:kinsoku/>
        <w:wordWrap w:val="0"/>
        <w:topLinePunct/>
        <w:bidi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14.2投标文件全部采用电子文档，除</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须知前附表另有规定外，投标文件所附证书证件均为原件扫描件。</w:t>
      </w:r>
    </w:p>
    <w:p w14:paraId="40B88B02">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14.3需要补充的其他内容：详见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p>
    <w:p w14:paraId="5FABBE52">
      <w:pPr>
        <w:pStyle w:val="2"/>
        <w:pageBreakBefore w:val="0"/>
        <w:tabs>
          <w:tab w:val="left" w:pos="2809"/>
          <w:tab w:val="center" w:pos="4819"/>
        </w:tabs>
        <w:kinsoku/>
        <w:bidi w:val="0"/>
        <w:spacing w:line="360" w:lineRule="auto"/>
        <w:jc w:val="center"/>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rPr>
        <w:br w:type="page"/>
      </w:r>
      <w:bookmarkStart w:id="498" w:name="_Toc10191"/>
      <w:bookmarkStart w:id="499" w:name="_Toc9536"/>
      <w:bookmarkStart w:id="500" w:name="_Toc25378"/>
      <w:bookmarkStart w:id="501" w:name="_Toc17083"/>
      <w:bookmarkStart w:id="502" w:name="_Toc30574"/>
      <w:bookmarkStart w:id="503" w:name="_Toc71734730"/>
      <w:bookmarkStart w:id="504" w:name="_Toc1654"/>
      <w:bookmarkStart w:id="505" w:name="_Toc1029"/>
      <w:r>
        <w:rPr>
          <w:rFonts w:hint="eastAsia" w:ascii="仿宋" w:hAnsi="仿宋" w:eastAsia="仿宋" w:cs="仿宋"/>
          <w:color w:val="auto"/>
          <w:highlight w:val="none"/>
        </w:rPr>
        <w:t>第三章 评标办法</w:t>
      </w:r>
      <w:bookmarkEnd w:id="498"/>
      <w:bookmarkEnd w:id="499"/>
      <w:bookmarkEnd w:id="500"/>
      <w:bookmarkEnd w:id="501"/>
      <w:bookmarkEnd w:id="502"/>
      <w:bookmarkEnd w:id="503"/>
      <w:bookmarkEnd w:id="504"/>
      <w:bookmarkEnd w:id="505"/>
    </w:p>
    <w:p w14:paraId="3F5BB6F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根据《中华人民共和国政府采购法》《中华人民共和国政府采购法实施条例》</w:t>
      </w:r>
      <w:r>
        <w:rPr>
          <w:rFonts w:hint="eastAsia" w:ascii="仿宋" w:hAnsi="仿宋" w:eastAsia="仿宋" w:cs="仿宋"/>
          <w:color w:val="auto"/>
          <w:spacing w:val="10"/>
          <w:sz w:val="21"/>
          <w:szCs w:val="21"/>
          <w:highlight w:val="none"/>
        </w:rPr>
        <w:t>《政府采购货物和服务采购投标管理办法》（财政部令第87号）等相关法律、法规和规章的规定</w:t>
      </w:r>
      <w:r>
        <w:rPr>
          <w:rFonts w:hint="eastAsia" w:ascii="仿宋" w:hAnsi="仿宋" w:eastAsia="仿宋" w:cs="仿宋"/>
          <w:color w:val="auto"/>
          <w:sz w:val="21"/>
          <w:szCs w:val="21"/>
          <w:highlight w:val="none"/>
        </w:rPr>
        <w:t>制定本办法。</w:t>
      </w:r>
    </w:p>
    <w:p w14:paraId="4A1B4BE9">
      <w:pPr>
        <w:pStyle w:val="3"/>
        <w:pageBreakBefore w:val="0"/>
        <w:kinsoku/>
        <w:bidi w:val="0"/>
        <w:spacing w:after="0" w:line="360" w:lineRule="auto"/>
        <w:rPr>
          <w:rFonts w:hint="eastAsia" w:ascii="仿宋" w:hAnsi="仿宋" w:eastAsia="仿宋" w:cs="仿宋"/>
          <w:color w:val="auto"/>
          <w:sz w:val="21"/>
          <w:szCs w:val="21"/>
          <w:highlight w:val="none"/>
        </w:rPr>
      </w:pPr>
      <w:bookmarkStart w:id="506" w:name="_Toc21654"/>
      <w:bookmarkStart w:id="507" w:name="_Toc23316"/>
      <w:bookmarkStart w:id="508" w:name="_Toc6672"/>
      <w:bookmarkStart w:id="509" w:name="_Toc13624"/>
      <w:bookmarkStart w:id="510" w:name="_Toc71734731"/>
      <w:bookmarkStart w:id="511" w:name="_Toc15350"/>
      <w:bookmarkStart w:id="512" w:name="_Toc27758"/>
      <w:bookmarkStart w:id="513" w:name="_Toc7310"/>
      <w:bookmarkStart w:id="514" w:name="_Toc10031"/>
      <w:bookmarkStart w:id="515" w:name="_Toc5184"/>
      <w:bookmarkStart w:id="516" w:name="_Toc3066"/>
      <w:bookmarkStart w:id="517" w:name="_Toc17770"/>
      <w:bookmarkStart w:id="518" w:name="_Toc6813"/>
      <w:bookmarkStart w:id="519" w:name="_Toc3606"/>
      <w:bookmarkStart w:id="520" w:name="_Toc17645"/>
      <w:bookmarkStart w:id="521" w:name="_Toc7077"/>
      <w:bookmarkStart w:id="522" w:name="_Toc16109"/>
      <w:r>
        <w:rPr>
          <w:rFonts w:hint="eastAsia" w:ascii="仿宋" w:hAnsi="仿宋" w:eastAsia="仿宋" w:cs="仿宋"/>
          <w:color w:val="auto"/>
          <w:sz w:val="21"/>
          <w:szCs w:val="21"/>
          <w:highlight w:val="none"/>
        </w:rPr>
        <w:t>1.评标机构</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7069807">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评标机构为评标委员会，评委委员会由采购人代表和评审专家组成，成员人数为5人及以上单数，其中评审专家不得少于成员总数的三分之二。</w:t>
      </w:r>
    </w:p>
    <w:p w14:paraId="47BA2220">
      <w:pPr>
        <w:pStyle w:val="3"/>
        <w:pageBreakBefore w:val="0"/>
        <w:kinsoku/>
        <w:bidi w:val="0"/>
        <w:spacing w:after="0" w:line="360" w:lineRule="auto"/>
        <w:rPr>
          <w:rFonts w:hint="eastAsia" w:ascii="仿宋" w:hAnsi="仿宋" w:eastAsia="仿宋" w:cs="仿宋"/>
          <w:color w:val="auto"/>
          <w:sz w:val="21"/>
          <w:szCs w:val="21"/>
          <w:highlight w:val="none"/>
        </w:rPr>
      </w:pPr>
      <w:bookmarkStart w:id="523" w:name="_Toc6171"/>
      <w:bookmarkStart w:id="524" w:name="_Toc26181"/>
      <w:bookmarkStart w:id="525" w:name="_Toc26979"/>
      <w:bookmarkStart w:id="526" w:name="_Toc7611"/>
      <w:bookmarkStart w:id="527" w:name="_Toc13453"/>
      <w:bookmarkStart w:id="528" w:name="_Toc71734732"/>
      <w:bookmarkStart w:id="529" w:name="_Toc8380"/>
      <w:bookmarkStart w:id="530" w:name="_Toc13020"/>
      <w:bookmarkStart w:id="531" w:name="_Toc13368"/>
      <w:bookmarkStart w:id="532" w:name="_Toc19138"/>
      <w:bookmarkStart w:id="533" w:name="_Toc1126"/>
      <w:bookmarkStart w:id="534" w:name="_Toc22083"/>
      <w:bookmarkStart w:id="535" w:name="_Toc28705"/>
      <w:bookmarkStart w:id="536" w:name="_Toc16069"/>
      <w:bookmarkStart w:id="537" w:name="_Toc8226"/>
      <w:bookmarkStart w:id="538" w:name="_Toc32642"/>
      <w:bookmarkStart w:id="539" w:name="_Toc573"/>
      <w:r>
        <w:rPr>
          <w:rFonts w:hint="eastAsia" w:ascii="仿宋" w:hAnsi="仿宋" w:eastAsia="仿宋" w:cs="仿宋"/>
          <w:color w:val="auto"/>
          <w:sz w:val="21"/>
          <w:szCs w:val="21"/>
          <w:highlight w:val="none"/>
        </w:rPr>
        <w:t>2.采购人或者采购代理机构职责</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03EABCF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采购人或者采购代理机构负责组织评标工作，并履行下列职责：</w:t>
      </w:r>
    </w:p>
    <w:p w14:paraId="431BD1E6">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（1）核对评审专家身份和采购人代表授权函，对评审专家在政府采购活动中的职责履行情况予以记录，并及时将有关违法违规行为向财政部门报告；</w:t>
      </w:r>
    </w:p>
    <w:p w14:paraId="6D6D0DE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（2）宣布评标纪律；</w:t>
      </w:r>
    </w:p>
    <w:p w14:paraId="15F23E6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（3）公布</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名单，告知评审专家应当回避的情形；</w:t>
      </w:r>
    </w:p>
    <w:p w14:paraId="09DBDAB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（4）组织评标委员会推选评标组长、采购人代表不得担任组长；</w:t>
      </w:r>
    </w:p>
    <w:p w14:paraId="265357C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（5）在评标期间采取必要的通讯管理措施，保证评标活动不受外界干扰；</w:t>
      </w:r>
    </w:p>
    <w:p w14:paraId="77CE03B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（6）根据评标委员会的要求介绍政府采购相关政策法规、招标文件；</w:t>
      </w:r>
    </w:p>
    <w:p w14:paraId="4A24E7AF">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14:paraId="732D3A9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（8）核对评标结果，有《政府采购货物和服务招标投标管理办法》（财政部令第87号）第六十四条规定情形的，要求评标委员会复核或者书面说明理由，评标委员会拒绝的，应予记录并向本级财政部门报告；</w:t>
      </w:r>
    </w:p>
    <w:p w14:paraId="37F4160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（9）评审工作完成后，按照规定向评审专家支付劳务报酬和异地评审差旅费，不得向评审专家以外的其他人员支付评审劳务报酬；</w:t>
      </w:r>
    </w:p>
    <w:p w14:paraId="51D02D0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（10）处理与评标有关的其他事项。</w:t>
      </w:r>
    </w:p>
    <w:p w14:paraId="15B21BB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采购人可以在评标前说明项目背景和采购需求，说明内容不得含有歧视性、倾向性意见，不得超出招标文件所述范围。说明应当提交书面材料，并随招标文件一并存档。</w:t>
      </w:r>
    </w:p>
    <w:p w14:paraId="7CCA160D">
      <w:pPr>
        <w:pStyle w:val="3"/>
        <w:pageBreakBefore w:val="0"/>
        <w:kinsoku/>
        <w:bidi w:val="0"/>
        <w:spacing w:after="0" w:line="360" w:lineRule="auto"/>
        <w:rPr>
          <w:rFonts w:hint="eastAsia" w:ascii="仿宋" w:hAnsi="仿宋" w:eastAsia="仿宋" w:cs="仿宋"/>
          <w:color w:val="auto"/>
          <w:sz w:val="21"/>
          <w:szCs w:val="21"/>
          <w:highlight w:val="none"/>
        </w:rPr>
      </w:pPr>
      <w:bookmarkStart w:id="540" w:name="_Toc3274"/>
      <w:bookmarkStart w:id="541" w:name="_Toc16464"/>
      <w:bookmarkStart w:id="542" w:name="_Toc30788"/>
      <w:bookmarkStart w:id="543" w:name="_Toc32380"/>
      <w:bookmarkStart w:id="544" w:name="_Toc969"/>
      <w:bookmarkStart w:id="545" w:name="_Toc19029"/>
      <w:bookmarkStart w:id="546" w:name="_Toc8683"/>
      <w:bookmarkStart w:id="547" w:name="_Toc17272"/>
      <w:bookmarkStart w:id="548" w:name="_Toc22110"/>
      <w:bookmarkStart w:id="549" w:name="_Toc12878"/>
      <w:bookmarkStart w:id="550" w:name="_Toc22495"/>
      <w:bookmarkStart w:id="551" w:name="_Toc71734733"/>
      <w:bookmarkStart w:id="552" w:name="_Toc10218"/>
      <w:bookmarkStart w:id="553" w:name="_Toc12697"/>
      <w:bookmarkStart w:id="554" w:name="_Toc502"/>
      <w:bookmarkStart w:id="555" w:name="_Toc16718"/>
      <w:bookmarkStart w:id="556" w:name="_Toc7951"/>
      <w:r>
        <w:rPr>
          <w:rFonts w:hint="eastAsia" w:ascii="仿宋" w:hAnsi="仿宋" w:eastAsia="仿宋" w:cs="仿宋"/>
          <w:color w:val="auto"/>
          <w:sz w:val="21"/>
          <w:szCs w:val="21"/>
          <w:highlight w:val="none"/>
        </w:rPr>
        <w:t>3.评标委员会职责</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426853D">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评标委员会负责具体评标事务，并独立履行下列职责：</w:t>
      </w:r>
    </w:p>
    <w:p w14:paraId="1C7EEEC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（1）审查、评价投标文件是否符合招标文件的商务、技术等实质性要求；</w:t>
      </w:r>
    </w:p>
    <w:p w14:paraId="52CD40C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对投标文件有关事项作出澄清或者说明；</w:t>
      </w:r>
    </w:p>
    <w:p w14:paraId="031A822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（3）对投标文件进行比较和评价；</w:t>
      </w:r>
    </w:p>
    <w:p w14:paraId="538D2ED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（4）确定中标候选人名单，或根据采购人委托直接确定中标人；</w:t>
      </w:r>
    </w:p>
    <w:p w14:paraId="43B5E3E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（5）向采购人、采购代理机构或者有关部门报告评标中发现的违法行为。</w:t>
      </w:r>
    </w:p>
    <w:p w14:paraId="779D3B64">
      <w:pPr>
        <w:pStyle w:val="3"/>
        <w:pageBreakBefore w:val="0"/>
        <w:kinsoku/>
        <w:bidi w:val="0"/>
        <w:spacing w:after="0" w:line="360" w:lineRule="auto"/>
        <w:rPr>
          <w:rFonts w:hint="eastAsia" w:ascii="仿宋" w:hAnsi="仿宋" w:eastAsia="仿宋" w:cs="仿宋"/>
          <w:color w:val="auto"/>
          <w:sz w:val="21"/>
          <w:szCs w:val="21"/>
          <w:highlight w:val="none"/>
        </w:rPr>
      </w:pPr>
      <w:bookmarkStart w:id="557" w:name="_Toc28104"/>
      <w:bookmarkStart w:id="558" w:name="_Toc21509"/>
      <w:bookmarkStart w:id="559" w:name="_Toc10055"/>
      <w:bookmarkStart w:id="560" w:name="_Toc13448"/>
      <w:bookmarkStart w:id="561" w:name="_Toc17684"/>
      <w:bookmarkStart w:id="562" w:name="_Toc4936"/>
      <w:bookmarkStart w:id="563" w:name="_Toc15164"/>
      <w:bookmarkStart w:id="564" w:name="_Toc11539"/>
      <w:bookmarkStart w:id="565" w:name="_Toc18140"/>
      <w:bookmarkStart w:id="566" w:name="_Toc71734734"/>
      <w:bookmarkStart w:id="567" w:name="_Toc12583"/>
      <w:bookmarkStart w:id="568" w:name="_Toc30580"/>
      <w:bookmarkStart w:id="569" w:name="_Toc23066"/>
      <w:bookmarkStart w:id="570" w:name="_Toc27667"/>
      <w:bookmarkStart w:id="571" w:name="_Toc29002"/>
      <w:bookmarkStart w:id="572" w:name="_Toc21442"/>
      <w:bookmarkStart w:id="573" w:name="_Toc6534"/>
      <w:r>
        <w:rPr>
          <w:rFonts w:hint="eastAsia" w:ascii="仿宋" w:hAnsi="仿宋" w:eastAsia="仿宋" w:cs="仿宋"/>
          <w:color w:val="auto"/>
          <w:sz w:val="21"/>
          <w:szCs w:val="21"/>
          <w:highlight w:val="none"/>
        </w:rPr>
        <w:t>4.评标纪律</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478E2AF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（1）对评标内容和评标过程要严格保密，不得向</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或与该过程无关的其</w:t>
      </w:r>
      <w:r>
        <w:rPr>
          <w:rFonts w:hint="eastAsia" w:ascii="仿宋" w:hAnsi="仿宋" w:eastAsia="仿宋" w:cs="仿宋"/>
          <w:color w:val="auto"/>
          <w:sz w:val="21"/>
          <w:szCs w:val="21"/>
          <w:highlight w:val="none"/>
          <w:lang w:eastAsia="zh-CN"/>
        </w:rPr>
        <w:t>他</w:t>
      </w:r>
      <w:r>
        <w:rPr>
          <w:rFonts w:hint="eastAsia" w:ascii="仿宋" w:hAnsi="仿宋" w:eastAsia="仿宋" w:cs="仿宋"/>
          <w:color w:val="auto"/>
          <w:sz w:val="21"/>
          <w:szCs w:val="21"/>
          <w:highlight w:val="none"/>
        </w:rPr>
        <w:t>人员泄露。</w:t>
      </w:r>
    </w:p>
    <w:p w14:paraId="379FBE13">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（2）评标期间的一切资料，包括评标意见、评标记录和评标结论，一律不得向外传和泄露。</w:t>
      </w:r>
    </w:p>
    <w:p w14:paraId="01542BF2">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（3）任何属于投标文件审查、澄清、评价和评价的资料，不得向</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或与该过程无关的</w:t>
      </w:r>
      <w:r>
        <w:rPr>
          <w:rFonts w:hint="eastAsia" w:ascii="仿宋" w:hAnsi="仿宋" w:eastAsia="仿宋" w:cs="仿宋"/>
          <w:color w:val="auto"/>
          <w:sz w:val="21"/>
          <w:szCs w:val="21"/>
          <w:highlight w:val="none"/>
          <w:lang w:val="en-US" w:eastAsia="zh-CN"/>
        </w:rPr>
        <w:t>他</w:t>
      </w:r>
      <w:r>
        <w:rPr>
          <w:rFonts w:hint="eastAsia" w:ascii="仿宋" w:hAnsi="仿宋" w:eastAsia="仿宋" w:cs="仿宋"/>
          <w:color w:val="auto"/>
          <w:sz w:val="21"/>
          <w:szCs w:val="21"/>
          <w:highlight w:val="none"/>
        </w:rPr>
        <w:t>泄露。</w:t>
      </w:r>
    </w:p>
    <w:p w14:paraId="241DE8D7">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（4）所有资料（包括招标文件、投标文件、评标表格及各种文字记录）在评标结束后均应分别整理、存档备查，任何人不得复制和保留。</w:t>
      </w:r>
    </w:p>
    <w:p w14:paraId="361B22F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（5）评标期间，未经允许评标委员会以外的任何单位或部门不得参加评标和采访评标工作。</w:t>
      </w:r>
    </w:p>
    <w:p w14:paraId="6725DD2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（6）评标期间，评标人员不得外出，确需外出时应事先请假。</w:t>
      </w:r>
    </w:p>
    <w:p w14:paraId="68E7A5C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（7）评标期间，所有与会人员不得私自以任何方式和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进行联系，需要询问、澄清的问题由评标委员会统一组织办理。</w:t>
      </w:r>
    </w:p>
    <w:p w14:paraId="442CDC9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（8）评标结束后，与会人员不得向外界透露评标人员的评标意见，如因此造成的后果由责任者承担。</w:t>
      </w:r>
    </w:p>
    <w:p w14:paraId="121A8BAB">
      <w:pPr>
        <w:pStyle w:val="3"/>
        <w:pageBreakBefore w:val="0"/>
        <w:kinsoku/>
        <w:bidi w:val="0"/>
        <w:spacing w:after="0" w:line="360" w:lineRule="auto"/>
        <w:rPr>
          <w:rFonts w:hint="eastAsia" w:ascii="仿宋" w:hAnsi="仿宋" w:eastAsia="仿宋" w:cs="仿宋"/>
          <w:color w:val="auto"/>
          <w:sz w:val="21"/>
          <w:szCs w:val="21"/>
          <w:highlight w:val="none"/>
        </w:rPr>
      </w:pPr>
      <w:bookmarkStart w:id="574" w:name="_Toc2709"/>
      <w:bookmarkStart w:id="575" w:name="_Toc20561"/>
      <w:bookmarkStart w:id="576" w:name="_Toc16616"/>
      <w:bookmarkStart w:id="577" w:name="_Toc71734735"/>
      <w:bookmarkStart w:id="578" w:name="_Toc4691"/>
      <w:bookmarkStart w:id="579" w:name="_Toc59"/>
      <w:bookmarkStart w:id="580" w:name="_Toc14842"/>
      <w:bookmarkStart w:id="581" w:name="_Toc4404"/>
      <w:bookmarkStart w:id="582" w:name="_Toc284"/>
      <w:bookmarkStart w:id="583" w:name="_Toc6229"/>
      <w:bookmarkStart w:id="584" w:name="_Toc15532"/>
      <w:bookmarkStart w:id="585" w:name="_Toc28317"/>
      <w:bookmarkStart w:id="586" w:name="_Toc21347"/>
      <w:bookmarkStart w:id="587" w:name="_Toc29896"/>
      <w:bookmarkStart w:id="588" w:name="_Toc3556"/>
      <w:bookmarkStart w:id="589" w:name="_Toc15967"/>
      <w:bookmarkStart w:id="590" w:name="_Toc6451"/>
      <w:r>
        <w:rPr>
          <w:rFonts w:hint="eastAsia" w:ascii="仿宋" w:hAnsi="仿宋" w:eastAsia="仿宋" w:cs="仿宋"/>
          <w:color w:val="auto"/>
          <w:sz w:val="21"/>
          <w:szCs w:val="21"/>
          <w:highlight w:val="none"/>
        </w:rPr>
        <w:t>5.评标原则</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1148AC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评标将遵循下列原则：</w:t>
      </w:r>
    </w:p>
    <w:p w14:paraId="2ABFB633">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（1）坚持公平、公正、科学、择优的原则，本着实事求是的精神，不带任何主观意愿和偏见，认真负责地做好评标工作，公平、公正地对待每一个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p>
    <w:p w14:paraId="1CFBF538">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（2）全面分析，综合评审。</w:t>
      </w:r>
    </w:p>
    <w:p w14:paraId="3DE64A8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（3）评标只对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的投标文件进行评审，投标文件以外的资料、信息不应作为评标的依据。</w:t>
      </w:r>
    </w:p>
    <w:p w14:paraId="6C154A57">
      <w:pPr>
        <w:pStyle w:val="3"/>
        <w:pageBreakBefore w:val="0"/>
        <w:kinsoku/>
        <w:bidi w:val="0"/>
        <w:spacing w:after="0" w:line="360" w:lineRule="auto"/>
        <w:rPr>
          <w:rFonts w:hint="eastAsia" w:ascii="仿宋" w:hAnsi="仿宋" w:eastAsia="仿宋" w:cs="仿宋"/>
          <w:color w:val="auto"/>
          <w:sz w:val="21"/>
          <w:szCs w:val="21"/>
          <w:highlight w:val="none"/>
        </w:rPr>
      </w:pPr>
      <w:bookmarkStart w:id="591" w:name="_Toc27558"/>
      <w:bookmarkStart w:id="592" w:name="_Toc14862"/>
      <w:bookmarkStart w:id="593" w:name="_Toc31510"/>
      <w:bookmarkStart w:id="594" w:name="_Toc8819"/>
      <w:bookmarkStart w:id="595" w:name="_Toc4816"/>
      <w:bookmarkStart w:id="596" w:name="_Toc2887"/>
      <w:bookmarkStart w:id="597" w:name="_Toc16863"/>
      <w:bookmarkStart w:id="598" w:name="_Toc29454"/>
      <w:bookmarkStart w:id="599" w:name="_Toc26325"/>
      <w:bookmarkStart w:id="600" w:name="_Toc982"/>
      <w:bookmarkStart w:id="601" w:name="_Toc337"/>
      <w:bookmarkStart w:id="602" w:name="_Toc29055"/>
      <w:bookmarkStart w:id="603" w:name="_Toc5494"/>
      <w:bookmarkStart w:id="604" w:name="_Toc15379"/>
      <w:bookmarkStart w:id="605" w:name="_Toc31935"/>
      <w:bookmarkStart w:id="606" w:name="_Toc71734736"/>
      <w:bookmarkStart w:id="607" w:name="_Toc24582"/>
      <w:r>
        <w:rPr>
          <w:rFonts w:hint="eastAsia" w:ascii="仿宋" w:hAnsi="仿宋" w:eastAsia="仿宋" w:cs="仿宋"/>
          <w:color w:val="auto"/>
          <w:sz w:val="21"/>
          <w:szCs w:val="21"/>
          <w:highlight w:val="none"/>
        </w:rPr>
        <w:t>6.评标程序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55BBA82A">
      <w:pPr>
        <w:pageBreakBefore w:val="0"/>
        <w:kinsoku/>
        <w:bidi w:val="0"/>
        <w:spacing w:line="360" w:lineRule="auto"/>
        <w:ind w:firstLine="420" w:firstLineChars="200"/>
        <w:rPr>
          <w:rFonts w:hint="eastAsia" w:ascii="仿宋" w:hAnsi="仿宋" w:eastAsia="仿宋" w:cs="仿宋"/>
          <w:color w:val="auto"/>
          <w:sz w:val="21"/>
          <w:szCs w:val="21"/>
          <w:highlight w:val="none"/>
        </w:rPr>
      </w:pPr>
      <w:bookmarkStart w:id="608" w:name="OLE_LINK7"/>
      <w:bookmarkStart w:id="609" w:name="OLE_LINK9"/>
      <w:r>
        <w:rPr>
          <w:rFonts w:hint="eastAsia" w:ascii="仿宋" w:hAnsi="仿宋" w:eastAsia="仿宋" w:cs="仿宋"/>
          <w:color w:val="auto"/>
          <w:sz w:val="21"/>
          <w:szCs w:val="21"/>
          <w:highlight w:val="none"/>
        </w:rPr>
        <w:t>6.1本次招标所采用的评标办法为《政府采购货物和服务招标投标管理办法》（财政部令第87号）第五十五条规定的“综合评分法”，即：投标文件满足招标文件全部实质性要求且按照评审因素的量化指标评审得分最高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为中标候选人的评标方法。</w:t>
      </w:r>
    </w:p>
    <w:p w14:paraId="0815386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6.2评标只对通过资格审查的投标文件进行评审，评标程序：资格审查→符合性审查→商务和技术评估、综合比较与评价→得分汇总→评标报告编写。</w:t>
      </w:r>
    </w:p>
    <w:p w14:paraId="23607E0D">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6.3资格审查</w:t>
      </w:r>
    </w:p>
    <w:p w14:paraId="7142342E">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6.3.1开标结束后，采购代理机构将首先对投标文件进行资格审查，具体审查内容如下：</w:t>
      </w:r>
    </w:p>
    <w:p w14:paraId="6CE64B2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开标结束后，采购人或者采购代理机构将首先对投标文件进行资格审查，具体审查内容如下：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3118"/>
        <w:gridCol w:w="6315"/>
      </w:tblGrid>
      <w:tr w14:paraId="46E0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center"/>
          </w:tcPr>
          <w:p w14:paraId="7EE84F23">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0" w:type="auto"/>
            <w:noWrap w:val="0"/>
            <w:vAlign w:val="center"/>
          </w:tcPr>
          <w:p w14:paraId="04100767">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0" w:type="auto"/>
            <w:noWrap w:val="0"/>
            <w:vAlign w:val="center"/>
          </w:tcPr>
          <w:p w14:paraId="73C6698A">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w:t>
            </w:r>
          </w:p>
        </w:tc>
      </w:tr>
      <w:tr w14:paraId="39E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noWrap w:val="0"/>
            <w:vAlign w:val="center"/>
          </w:tcPr>
          <w:p w14:paraId="66A08F7E">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0" w:type="auto"/>
            <w:noWrap w:val="0"/>
            <w:vAlign w:val="center"/>
          </w:tcPr>
          <w:p w14:paraId="3EC83595">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具有独立承担民事责任的能力</w:t>
            </w:r>
          </w:p>
        </w:tc>
        <w:tc>
          <w:tcPr>
            <w:tcW w:w="0" w:type="auto"/>
            <w:noWrap w:val="0"/>
            <w:vAlign w:val="center"/>
          </w:tcPr>
          <w:p w14:paraId="05372A2F">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须知前附表第1.4.1项规定，所提供的证件合格有效，证件中单位名称与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单位名称一致，审查投标文件中的对应资料。</w:t>
            </w:r>
          </w:p>
        </w:tc>
      </w:tr>
      <w:tr w14:paraId="7D43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362AFFE">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0" w:type="auto"/>
            <w:noWrap w:val="0"/>
            <w:vAlign w:val="center"/>
          </w:tcPr>
          <w:p w14:paraId="2872EC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具有良好的商业信誉和健全的财务会计制度</w:t>
            </w:r>
          </w:p>
        </w:tc>
        <w:tc>
          <w:tcPr>
            <w:tcW w:w="0" w:type="auto"/>
            <w:noWrap w:val="0"/>
            <w:vAlign w:val="center"/>
          </w:tcPr>
          <w:p w14:paraId="49431AB6">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56E9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FA323DE">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0" w:type="auto"/>
            <w:noWrap w:val="0"/>
            <w:vAlign w:val="center"/>
          </w:tcPr>
          <w:p w14:paraId="3492AE98">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具有履行合同所必需的设备和专业技术能力</w:t>
            </w:r>
          </w:p>
        </w:tc>
        <w:tc>
          <w:tcPr>
            <w:tcW w:w="0" w:type="auto"/>
            <w:noWrap w:val="0"/>
            <w:vAlign w:val="center"/>
          </w:tcPr>
          <w:p w14:paraId="39BFED96">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19B9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0" w:type="auto"/>
            <w:noWrap w:val="0"/>
            <w:vAlign w:val="center"/>
          </w:tcPr>
          <w:p w14:paraId="13D019B9">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0" w:type="auto"/>
            <w:noWrap w:val="0"/>
            <w:vAlign w:val="center"/>
          </w:tcPr>
          <w:p w14:paraId="387E00B7">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具有依法缴纳税收和社会保障资金的良好记录</w:t>
            </w:r>
          </w:p>
        </w:tc>
        <w:tc>
          <w:tcPr>
            <w:tcW w:w="0" w:type="auto"/>
            <w:noWrap w:val="0"/>
            <w:vAlign w:val="center"/>
          </w:tcPr>
          <w:p w14:paraId="1D3C5B4A">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5259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C53D2CB">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0" w:type="auto"/>
            <w:noWrap w:val="0"/>
            <w:vAlign w:val="center"/>
          </w:tcPr>
          <w:p w14:paraId="329D49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Cs/>
                <w:color w:val="auto"/>
                <w:spacing w:val="10"/>
                <w:sz w:val="21"/>
                <w:szCs w:val="21"/>
                <w:highlight w:val="none"/>
              </w:rPr>
            </w:pPr>
            <w:r>
              <w:rPr>
                <w:rFonts w:hint="eastAsia" w:ascii="仿宋" w:hAnsi="仿宋" w:eastAsia="仿宋" w:cs="仿宋"/>
                <w:bCs/>
                <w:color w:val="auto"/>
                <w:spacing w:val="10"/>
                <w:sz w:val="21"/>
                <w:szCs w:val="21"/>
                <w:highlight w:val="none"/>
              </w:rPr>
              <w:t>参加采购活动前三年内，在经营活动中没有重大违法记录</w:t>
            </w:r>
          </w:p>
        </w:tc>
        <w:tc>
          <w:tcPr>
            <w:tcW w:w="0" w:type="auto"/>
            <w:noWrap w:val="0"/>
            <w:vAlign w:val="center"/>
          </w:tcPr>
          <w:p w14:paraId="50EBE032">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3D1A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CE22570">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0" w:type="auto"/>
            <w:noWrap w:val="0"/>
            <w:vAlign w:val="center"/>
          </w:tcPr>
          <w:p w14:paraId="2A0106E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Cs/>
                <w:color w:val="auto"/>
                <w:spacing w:val="10"/>
                <w:sz w:val="21"/>
                <w:szCs w:val="21"/>
                <w:highlight w:val="none"/>
              </w:rPr>
            </w:pPr>
            <w:r>
              <w:rPr>
                <w:rFonts w:hint="eastAsia" w:ascii="仿宋" w:hAnsi="仿宋" w:eastAsia="仿宋" w:cs="仿宋"/>
                <w:bCs/>
                <w:color w:val="auto"/>
                <w:spacing w:val="10"/>
                <w:sz w:val="21"/>
                <w:szCs w:val="21"/>
                <w:highlight w:val="none"/>
              </w:rPr>
              <w:t>法律、行政法规规定的其他条件</w:t>
            </w:r>
          </w:p>
        </w:tc>
        <w:tc>
          <w:tcPr>
            <w:tcW w:w="0" w:type="auto"/>
            <w:noWrap w:val="0"/>
            <w:vAlign w:val="center"/>
          </w:tcPr>
          <w:p w14:paraId="5DD35DBD">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0DCC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081DAA5">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0" w:type="auto"/>
            <w:noWrap w:val="0"/>
            <w:vAlign w:val="center"/>
          </w:tcPr>
          <w:p w14:paraId="7205E1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联合体</w:t>
            </w:r>
          </w:p>
        </w:tc>
        <w:tc>
          <w:tcPr>
            <w:tcW w:w="0" w:type="auto"/>
            <w:noWrap w:val="0"/>
            <w:vAlign w:val="center"/>
          </w:tcPr>
          <w:p w14:paraId="03E48411">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4CDA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AF87105">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0" w:type="auto"/>
            <w:noWrap w:val="0"/>
            <w:vAlign w:val="center"/>
          </w:tcPr>
          <w:p w14:paraId="0C76B0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落实政府采购政策需满足的资格要求</w:t>
            </w:r>
          </w:p>
        </w:tc>
        <w:tc>
          <w:tcPr>
            <w:tcW w:w="0" w:type="auto"/>
            <w:noWrap w:val="0"/>
            <w:vAlign w:val="center"/>
          </w:tcPr>
          <w:p w14:paraId="2F0B3FF3">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r w14:paraId="1D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8B71278">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0" w:type="auto"/>
            <w:noWrap w:val="0"/>
            <w:vAlign w:val="center"/>
          </w:tcPr>
          <w:p w14:paraId="4CA98E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本项目的特定资格要求</w:t>
            </w:r>
          </w:p>
        </w:tc>
        <w:tc>
          <w:tcPr>
            <w:tcW w:w="0" w:type="auto"/>
            <w:noWrap w:val="0"/>
            <w:vAlign w:val="center"/>
          </w:tcPr>
          <w:p w14:paraId="46261AE7">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须知前附表第1.4.1项规定，审查投标文件中的对应资料。</w:t>
            </w:r>
          </w:p>
        </w:tc>
      </w:tr>
    </w:tbl>
    <w:p w14:paraId="3CDF7542">
      <w:pPr>
        <w:pageBreakBefore w:val="0"/>
        <w:kinsoku/>
        <w:bidi w:val="0"/>
        <w:spacing w:line="360" w:lineRule="auto"/>
        <w:ind w:firstLine="211" w:firstLineChars="100"/>
        <w:rPr>
          <w:rFonts w:hint="eastAsia" w:ascii="仿宋" w:hAnsi="仿宋" w:eastAsia="仿宋" w:cs="仿宋"/>
          <w:b/>
          <w:bCs/>
          <w:color w:val="auto"/>
          <w:sz w:val="21"/>
          <w:szCs w:val="21"/>
          <w:highlight w:val="none"/>
        </w:rPr>
      </w:pPr>
      <w:bookmarkStart w:id="610" w:name="_Toc522705438"/>
      <w:bookmarkStart w:id="611" w:name="_Toc512145677"/>
      <w:bookmarkStart w:id="612" w:name="_Toc510164598"/>
      <w:bookmarkStart w:id="613" w:name="_Toc521313388"/>
      <w:bookmarkStart w:id="614" w:name="_Toc36621972"/>
      <w:bookmarkStart w:id="615" w:name="_Toc510164551"/>
      <w:bookmarkStart w:id="616" w:name="_Toc522792533"/>
      <w:bookmarkStart w:id="617" w:name="_Toc535053841"/>
      <w:bookmarkStart w:id="618" w:name="_Toc522249415"/>
      <w:bookmarkStart w:id="619" w:name="_Toc510164454"/>
      <w:bookmarkStart w:id="620" w:name="_Toc535054230"/>
      <w:bookmarkStart w:id="621" w:name="_Toc532026507"/>
      <w:bookmarkStart w:id="622" w:name="_Toc510164803"/>
      <w:bookmarkStart w:id="623" w:name="_Toc524152292"/>
      <w:bookmarkStart w:id="624" w:name="_Toc510168028"/>
      <w:bookmarkStart w:id="625" w:name="_Toc532025724"/>
      <w:bookmarkStart w:id="626" w:name="_Toc532026899"/>
      <w:bookmarkStart w:id="627" w:name="_Toc522249814"/>
      <w:bookmarkStart w:id="628" w:name="_Toc510168199"/>
      <w:bookmarkStart w:id="629" w:name="_Toc427534"/>
      <w:bookmarkStart w:id="630" w:name="_Toc24531792"/>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符合性评审</w:t>
      </w:r>
    </w:p>
    <w:p w14:paraId="21057309">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.1评标委员会对符合资格审查的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的投标文件进行符合性审查，以确定其是否满足招标文件的实质性要求。</w:t>
      </w:r>
    </w:p>
    <w:p w14:paraId="60D0CE3D">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.2有下列情形投标文件不能通过符合性评审，未通过符合性评审的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将不进入综合评分：</w:t>
      </w:r>
    </w:p>
    <w:tbl>
      <w:tblPr>
        <w:tblStyle w:val="36"/>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201"/>
        <w:gridCol w:w="5533"/>
      </w:tblGrid>
      <w:tr w14:paraId="2EF6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gridSpan w:val="2"/>
            <w:noWrap w:val="0"/>
            <w:vAlign w:val="center"/>
          </w:tcPr>
          <w:p w14:paraId="17B1DB00">
            <w:pPr>
              <w:keepNext w:val="0"/>
              <w:keepLines w:val="0"/>
              <w:pageBreakBefore w:val="0"/>
              <w:suppressLineNumbers w:val="0"/>
              <w:kinsoku/>
              <w:wordWrap w:val="0"/>
              <w:topLinePunct/>
              <w:bidi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 审 内 容</w:t>
            </w:r>
          </w:p>
        </w:tc>
        <w:tc>
          <w:tcPr>
            <w:tcW w:w="2874" w:type="pct"/>
            <w:noWrap w:val="0"/>
            <w:vAlign w:val="center"/>
          </w:tcPr>
          <w:p w14:paraId="6185A871">
            <w:pPr>
              <w:keepNext w:val="0"/>
              <w:keepLines w:val="0"/>
              <w:pageBreakBefore w:val="0"/>
              <w:suppressLineNumbers w:val="0"/>
              <w:kinsoku/>
              <w:wordWrap w:val="0"/>
              <w:topLinePunct/>
              <w:bidi w:val="0"/>
              <w:spacing w:before="0" w:beforeAutospacing="0" w:after="0" w:afterAutospacing="0" w:line="360" w:lineRule="auto"/>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 审 标 准</w:t>
            </w:r>
          </w:p>
        </w:tc>
      </w:tr>
      <w:tr w14:paraId="014E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restart"/>
            <w:noWrap w:val="0"/>
            <w:vAlign w:val="center"/>
          </w:tcPr>
          <w:p w14:paraId="3E916791">
            <w:pPr>
              <w:keepNext w:val="0"/>
              <w:keepLines w:val="0"/>
              <w:pageBreakBefore w:val="0"/>
              <w:suppressLineNumbers w:val="0"/>
              <w:kinsoku/>
              <w:wordWrap w:val="0"/>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符合性评审</w:t>
            </w:r>
          </w:p>
        </w:tc>
        <w:tc>
          <w:tcPr>
            <w:tcW w:w="1662" w:type="pct"/>
            <w:noWrap w:val="0"/>
            <w:vAlign w:val="center"/>
          </w:tcPr>
          <w:p w14:paraId="7C01C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rPr>
              <w:t>投标有效期</w:t>
            </w:r>
          </w:p>
        </w:tc>
        <w:tc>
          <w:tcPr>
            <w:tcW w:w="2874" w:type="pct"/>
            <w:noWrap w:val="0"/>
            <w:vAlign w:val="center"/>
          </w:tcPr>
          <w:p w14:paraId="5BD0C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w:t>
            </w:r>
            <w:r>
              <w:rPr>
                <w:rFonts w:hint="eastAsia" w:ascii="仿宋" w:hAnsi="仿宋" w:eastAsia="仿宋" w:cs="仿宋"/>
                <w:color w:val="auto"/>
                <w:sz w:val="21"/>
                <w:szCs w:val="21"/>
                <w:highlight w:val="none"/>
                <w:lang w:val="en-US" w:eastAsia="zh-CN"/>
              </w:rPr>
              <w:t xml:space="preserve"> 3.3.1</w:t>
            </w:r>
            <w:r>
              <w:rPr>
                <w:rFonts w:hint="eastAsia" w:ascii="仿宋" w:hAnsi="仿宋" w:eastAsia="仿宋" w:cs="仿宋"/>
                <w:color w:val="auto"/>
                <w:sz w:val="21"/>
                <w:szCs w:val="21"/>
                <w:highlight w:val="none"/>
              </w:rPr>
              <w:t>规定</w:t>
            </w:r>
            <w:r>
              <w:rPr>
                <w:rFonts w:hint="eastAsia" w:ascii="仿宋" w:hAnsi="仿宋" w:eastAsia="仿宋" w:cs="仿宋"/>
                <w:color w:val="auto"/>
                <w:sz w:val="21"/>
                <w:szCs w:val="21"/>
                <w:highlight w:val="none"/>
                <w:lang w:eastAsia="zh-CN"/>
              </w:rPr>
              <w:t>。</w:t>
            </w:r>
          </w:p>
        </w:tc>
      </w:tr>
      <w:tr w14:paraId="6D6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5A92F9A5">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429DF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rPr>
              <w:t>投标保证金</w:t>
            </w:r>
          </w:p>
        </w:tc>
        <w:tc>
          <w:tcPr>
            <w:tcW w:w="2874" w:type="pct"/>
            <w:noWrap w:val="0"/>
            <w:vAlign w:val="center"/>
          </w:tcPr>
          <w:p w14:paraId="3875F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须知前附表3.4.1规定</w:t>
            </w:r>
            <w:r>
              <w:rPr>
                <w:rFonts w:hint="eastAsia" w:ascii="仿宋" w:hAnsi="仿宋" w:eastAsia="仿宋" w:cs="仿宋"/>
                <w:color w:val="auto"/>
                <w:sz w:val="21"/>
                <w:szCs w:val="21"/>
                <w:highlight w:val="none"/>
                <w:lang w:eastAsia="zh-CN"/>
              </w:rPr>
              <w:t>。</w:t>
            </w:r>
          </w:p>
        </w:tc>
      </w:tr>
      <w:tr w14:paraId="5A6B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4F0B8A64">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62" w:type="pct"/>
            <w:noWrap w:val="0"/>
            <w:vAlign w:val="center"/>
          </w:tcPr>
          <w:p w14:paraId="5001A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rPr>
              <w:t>投标函</w:t>
            </w:r>
          </w:p>
        </w:tc>
        <w:tc>
          <w:tcPr>
            <w:tcW w:w="2874" w:type="pct"/>
            <w:noWrap w:val="0"/>
            <w:vAlign w:val="center"/>
          </w:tcPr>
          <w:p w14:paraId="3301E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符合第五章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投标文件格式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中规定的格式及内容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有法定代表人或</w:t>
            </w:r>
            <w:r>
              <w:rPr>
                <w:rFonts w:hint="eastAsia" w:ascii="仿宋" w:hAnsi="仿宋" w:eastAsia="仿宋" w:cs="仿宋"/>
                <w:color w:val="auto"/>
                <w:sz w:val="21"/>
                <w:szCs w:val="21"/>
                <w:highlight w:val="none"/>
                <w:lang w:eastAsia="zh-CN"/>
              </w:rPr>
              <w:t>被授权投标代表</w:t>
            </w:r>
            <w:r>
              <w:rPr>
                <w:rFonts w:hint="eastAsia" w:ascii="仿宋" w:hAnsi="仿宋" w:eastAsia="仿宋" w:cs="仿宋"/>
                <w:color w:val="auto"/>
                <w:sz w:val="21"/>
                <w:szCs w:val="21"/>
                <w:highlight w:val="none"/>
              </w:rPr>
              <w:t>签字或盖章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并加盖公章。</w:t>
            </w:r>
          </w:p>
        </w:tc>
      </w:tr>
      <w:tr w14:paraId="0056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0E260405">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18049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投标报价表</w:t>
            </w:r>
          </w:p>
        </w:tc>
        <w:tc>
          <w:tcPr>
            <w:tcW w:w="2874" w:type="pct"/>
            <w:noWrap w:val="0"/>
            <w:vAlign w:val="center"/>
          </w:tcPr>
          <w:p w14:paraId="1EB4B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符合第五章《投标文件格式》中规定的格式及内容，提供开标一览表</w:t>
            </w:r>
            <w:r>
              <w:rPr>
                <w:rFonts w:hint="eastAsia" w:ascii="仿宋" w:hAnsi="仿宋" w:eastAsia="仿宋" w:cs="仿宋"/>
                <w:color w:val="auto"/>
                <w:sz w:val="21"/>
                <w:szCs w:val="21"/>
                <w:highlight w:val="none"/>
                <w:lang w:eastAsia="zh-CN"/>
              </w:rPr>
              <w:t>。</w:t>
            </w:r>
          </w:p>
        </w:tc>
      </w:tr>
      <w:tr w14:paraId="3795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0CE2D53E">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47F8F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rPr>
              <w:t>投标报价</w:t>
            </w:r>
          </w:p>
        </w:tc>
        <w:tc>
          <w:tcPr>
            <w:tcW w:w="2874" w:type="pct"/>
            <w:noWrap w:val="0"/>
            <w:vAlign w:val="center"/>
          </w:tcPr>
          <w:p w14:paraId="02C4F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未超过采购预算金额</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lang w:val="en-US" w:eastAsia="zh-CN"/>
              </w:rPr>
              <w:t>最高限价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未出现缺项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漏项或无报价情况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对所投</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rPr>
              <w:t>内所有内容作出完整唯一的投标报价</w:t>
            </w:r>
            <w:r>
              <w:rPr>
                <w:rFonts w:hint="eastAsia" w:ascii="仿宋" w:hAnsi="仿宋" w:eastAsia="仿宋" w:cs="仿宋"/>
                <w:color w:val="auto"/>
                <w:sz w:val="21"/>
                <w:szCs w:val="21"/>
                <w:highlight w:val="none"/>
                <w:lang w:eastAsia="zh-CN"/>
              </w:rPr>
              <w:t>。</w:t>
            </w:r>
          </w:p>
        </w:tc>
      </w:tr>
      <w:tr w14:paraId="339E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67400744">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6E352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rPr>
              <w:t>法定代表人授权委托书</w:t>
            </w:r>
          </w:p>
        </w:tc>
        <w:tc>
          <w:tcPr>
            <w:tcW w:w="2874" w:type="pct"/>
            <w:noWrap w:val="0"/>
            <w:vAlign w:val="center"/>
          </w:tcPr>
          <w:p w14:paraId="6CDC2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符合第五章《投标文件格式》中规定的格式及内容，并加盖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公章</w:t>
            </w:r>
            <w:r>
              <w:rPr>
                <w:rFonts w:hint="eastAsia" w:ascii="仿宋" w:hAnsi="仿宋" w:eastAsia="仿宋" w:cs="仿宋"/>
                <w:color w:val="auto"/>
                <w:sz w:val="21"/>
                <w:szCs w:val="21"/>
                <w:highlight w:val="none"/>
                <w:lang w:eastAsia="zh-CN"/>
              </w:rPr>
              <w:t>。</w:t>
            </w:r>
          </w:p>
        </w:tc>
      </w:tr>
      <w:tr w14:paraId="1C5B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6A7AB420">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226A1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法定代表人身份证明复印件</w:t>
            </w:r>
          </w:p>
        </w:tc>
        <w:tc>
          <w:tcPr>
            <w:tcW w:w="2874" w:type="pct"/>
            <w:noWrap w:val="0"/>
            <w:vAlign w:val="center"/>
          </w:tcPr>
          <w:p w14:paraId="0D722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符合第五章《投标文件格式》中规定的格式及内容，有</w:t>
            </w:r>
            <w:r>
              <w:rPr>
                <w:rFonts w:hint="eastAsia" w:ascii="仿宋" w:hAnsi="仿宋" w:eastAsia="仿宋" w:cs="仿宋"/>
                <w:color w:val="auto"/>
                <w:sz w:val="21"/>
                <w:szCs w:val="21"/>
                <w:highlight w:val="none"/>
                <w:lang w:eastAsia="zh-CN"/>
              </w:rPr>
              <w:t>法定代表人</w:t>
            </w:r>
            <w:r>
              <w:rPr>
                <w:rFonts w:hint="eastAsia" w:ascii="仿宋" w:hAnsi="仿宋" w:eastAsia="仿宋" w:cs="仿宋"/>
                <w:color w:val="auto"/>
                <w:sz w:val="21"/>
                <w:szCs w:val="21"/>
                <w:highlight w:val="none"/>
              </w:rPr>
              <w:t>及委托代理人签字或盖章</w:t>
            </w:r>
            <w:r>
              <w:rPr>
                <w:rFonts w:hint="eastAsia" w:ascii="仿宋" w:hAnsi="仿宋" w:eastAsia="仿宋" w:cs="仿宋"/>
                <w:color w:val="auto"/>
                <w:sz w:val="21"/>
                <w:szCs w:val="21"/>
                <w:highlight w:val="none"/>
                <w:lang w:eastAsia="zh-CN"/>
              </w:rPr>
              <w:t>。</w:t>
            </w:r>
          </w:p>
        </w:tc>
      </w:tr>
      <w:tr w14:paraId="2F3F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63AEF317">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3A34B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自然人授权委托书</w:t>
            </w:r>
          </w:p>
        </w:tc>
        <w:tc>
          <w:tcPr>
            <w:tcW w:w="2874" w:type="pct"/>
            <w:noWrap w:val="0"/>
            <w:vAlign w:val="center"/>
          </w:tcPr>
          <w:p w14:paraId="58E4C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符合第五章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投标文件格式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中规定的格式及内容</w:t>
            </w:r>
            <w:r>
              <w:rPr>
                <w:rFonts w:hint="eastAsia" w:ascii="仿宋" w:hAnsi="仿宋" w:eastAsia="仿宋" w:cs="仿宋"/>
                <w:color w:val="auto"/>
                <w:sz w:val="21"/>
                <w:szCs w:val="21"/>
                <w:highlight w:val="none"/>
                <w:lang w:eastAsia="zh-CN"/>
              </w:rPr>
              <w:t>。</w:t>
            </w:r>
          </w:p>
        </w:tc>
      </w:tr>
      <w:tr w14:paraId="5324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5F378ECB">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4FB6A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实质性要求</w:t>
            </w:r>
          </w:p>
        </w:tc>
        <w:tc>
          <w:tcPr>
            <w:tcW w:w="2874" w:type="pct"/>
            <w:noWrap w:val="0"/>
            <w:vAlign w:val="center"/>
          </w:tcPr>
          <w:p w14:paraId="2E911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投标文件未出现其他不满足招标文件中标注★条款内容且未出现招标文件规定的其他投标无效情形</w:t>
            </w:r>
            <w:r>
              <w:rPr>
                <w:rFonts w:hint="eastAsia" w:ascii="仿宋" w:hAnsi="仿宋" w:eastAsia="仿宋" w:cs="仿宋"/>
                <w:color w:val="auto"/>
                <w:sz w:val="21"/>
                <w:szCs w:val="21"/>
                <w:highlight w:val="none"/>
                <w:lang w:eastAsia="zh-CN"/>
              </w:rPr>
              <w:t>。</w:t>
            </w:r>
          </w:p>
        </w:tc>
      </w:tr>
      <w:tr w14:paraId="1F34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23F0AC58">
            <w:pPr>
              <w:keepNext w:val="0"/>
              <w:keepLines w:val="0"/>
              <w:pageBreakBefore w:val="0"/>
              <w:suppressLineNumbers w:val="0"/>
              <w:kinsoku/>
              <w:wordWrap w:val="0"/>
              <w:topLinePunct/>
              <w:bidi w:val="0"/>
              <w:spacing w:before="0" w:beforeAutospacing="0" w:after="0" w:afterAutospacing="0" w:line="360" w:lineRule="auto"/>
              <w:ind w:left="1258" w:right="0" w:hanging="1258"/>
              <w:rPr>
                <w:rFonts w:hint="eastAsia" w:ascii="仿宋" w:hAnsi="仿宋" w:eastAsia="仿宋" w:cs="仿宋"/>
                <w:color w:val="auto"/>
                <w:sz w:val="21"/>
                <w:szCs w:val="21"/>
                <w:highlight w:val="none"/>
              </w:rPr>
            </w:pPr>
          </w:p>
        </w:tc>
        <w:tc>
          <w:tcPr>
            <w:tcW w:w="1662" w:type="pct"/>
            <w:noWrap w:val="0"/>
            <w:vAlign w:val="center"/>
          </w:tcPr>
          <w:p w14:paraId="2F5097A9">
            <w:pPr>
              <w:pStyle w:val="23"/>
              <w:keepNext w:val="0"/>
              <w:keepLines w:val="0"/>
              <w:pageBreakBefore w:val="0"/>
              <w:widowControl w:val="0"/>
              <w:suppressLineNumbers w:val="0"/>
              <w:kinsoku/>
              <w:wordWrap w:val="0"/>
              <w:topLinePunct/>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其他1</w:t>
            </w:r>
          </w:p>
        </w:tc>
        <w:tc>
          <w:tcPr>
            <w:tcW w:w="2874" w:type="pct"/>
            <w:noWrap w:val="0"/>
            <w:vAlign w:val="center"/>
          </w:tcPr>
          <w:p w14:paraId="4985EE5F">
            <w:pPr>
              <w:keepNext w:val="0"/>
              <w:keepLines w:val="0"/>
              <w:pageBreakBefore w:val="0"/>
              <w:suppressLineNumbers w:val="0"/>
              <w:kinsoku/>
              <w:wordWrap w:val="0"/>
              <w:topLinePunct/>
              <w:bidi w:val="0"/>
              <w:spacing w:before="0" w:beforeAutospacing="0" w:after="0" w:afterAutospacing="0" w:line="360" w:lineRule="auto"/>
              <w:ind w:left="0" w:right="0"/>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rPr>
              <w:t>符合招标文件实质性要求或法律法规规定的其他情形的</w:t>
            </w:r>
            <w:r>
              <w:rPr>
                <w:rFonts w:hint="eastAsia" w:ascii="仿宋" w:hAnsi="仿宋" w:eastAsia="仿宋" w:cs="仿宋"/>
                <w:color w:val="auto"/>
                <w:sz w:val="21"/>
                <w:szCs w:val="21"/>
                <w:highlight w:val="none"/>
                <w:lang w:eastAsia="zh-CN"/>
              </w:rPr>
              <w:t>。</w:t>
            </w:r>
          </w:p>
        </w:tc>
      </w:tr>
      <w:tr w14:paraId="0254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pct"/>
            <w:vMerge w:val="continue"/>
            <w:noWrap w:val="0"/>
            <w:vAlign w:val="center"/>
          </w:tcPr>
          <w:p w14:paraId="58ECAD5F">
            <w:pPr>
              <w:keepNext w:val="0"/>
              <w:keepLines w:val="0"/>
              <w:pageBreakBefore w:val="0"/>
              <w:suppressLineNumbers w:val="0"/>
              <w:kinsoku/>
              <w:wordWrap w:val="0"/>
              <w:topLinePunct/>
              <w:bidi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1662" w:type="pct"/>
            <w:noWrap w:val="0"/>
            <w:vAlign w:val="center"/>
          </w:tcPr>
          <w:p w14:paraId="6C647A5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其他2</w:t>
            </w:r>
          </w:p>
        </w:tc>
        <w:tc>
          <w:tcPr>
            <w:tcW w:w="2874" w:type="pct"/>
            <w:noWrap w:val="0"/>
            <w:vAlign w:val="center"/>
          </w:tcPr>
          <w:p w14:paraId="48E6C390">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没有采购人不能接受的条件。</w:t>
            </w:r>
          </w:p>
        </w:tc>
      </w:tr>
    </w:tbl>
    <w:p w14:paraId="2871C817">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投标文件的澄清</w:t>
      </w:r>
    </w:p>
    <w:p w14:paraId="6C8C5437">
      <w:pPr>
        <w:pageBreakBefore w:val="0"/>
        <w:kinsoku/>
        <w:bidi w:val="0"/>
        <w:spacing w:line="360" w:lineRule="auto"/>
        <w:ind w:firstLine="48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.1投标文件内容澄清</w:t>
      </w:r>
    </w:p>
    <w:p w14:paraId="1F15946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对于投标文件中含义不明确、同类问题表述不一致或者有明显文字和计算错误的内容，评标委员会应当以书面形式要求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作出必要的澄清、说明或者补正。</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的澄清、说明或者补正应当采用书面形式，并加盖单位公章，或者由法定代表人或其授权的委托代理人签字。</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的澄清、说明或者补正不得超出投标文件的范围或者改变投标文件的实质性内容。</w:t>
      </w:r>
    </w:p>
    <w:p w14:paraId="49314CC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.2报价不一致澄清</w:t>
      </w:r>
    </w:p>
    <w:p w14:paraId="43271FC8">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投标文件报价出现前后不一致的，除招标文件另有规定外，按照下列规定修正：</w:t>
      </w:r>
    </w:p>
    <w:p w14:paraId="0FFCDA2F">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（1）投标文件中开标一览表内容与投标文件中相应内容不一致的，以开标一览表为准；</w:t>
      </w:r>
    </w:p>
    <w:p w14:paraId="031DF75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（2）大写金额和小写金额不一致的，以大写金额为准；</w:t>
      </w:r>
    </w:p>
    <w:p w14:paraId="1C537DA3">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（3）单价金额小数点或者百分比有明显错位的，以开标一览表的总价为准，并修改单价；</w:t>
      </w:r>
    </w:p>
    <w:p w14:paraId="71061CE6">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（4）总价金额与单价汇总金额不一致的，以单价金额计算结果为准。</w:t>
      </w:r>
    </w:p>
    <w:p w14:paraId="3314BC6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同时出现两种以上不一致的，按照前款规定的顺序修正。修正后的报价经</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确认后产生约束力，</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不确认的，其投标无效。</w:t>
      </w:r>
    </w:p>
    <w:p w14:paraId="1F2180C5">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.3报价过低澄清</w:t>
      </w:r>
    </w:p>
    <w:p w14:paraId="390D589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评标委员会认为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的报价（总价或单价）明显低于其他通过符合性审查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不能证明其报价合理性的，评标委员会应当将其作为无效投标处理。</w:t>
      </w:r>
    </w:p>
    <w:p w14:paraId="20686EA1">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评审中出现下列情形之一的，评标委员会应当启动异常低价投标审查程序：</w:t>
      </w:r>
    </w:p>
    <w:p w14:paraId="61F9B8CC">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（1）投标报价低于全部通过符合性审查供应商投标报价平均值</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%的，即投标报价＜全部通过符合性审查供应商投标报价平均值×</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w:t>
      </w:r>
    </w:p>
    <w:p w14:paraId="3654140D">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（2）投标报价低于通过符合性审查的次低报价供应商投标报价</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%的，即投标报价＜通过符合性审查的次低报价供应商投标报价×</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w:t>
      </w:r>
    </w:p>
    <w:p w14:paraId="6B562F53">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（3）投标报价低于采购项目最高限价</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%的，即投标报价＜采购项目最高限价×</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w:t>
      </w:r>
    </w:p>
    <w:p w14:paraId="7E6BBE48">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（4）评标委员会基于专业判断，认为供应商报价过低，有可能影响产品质量或者不能诚信履约的其他情形。</w:t>
      </w:r>
    </w:p>
    <w:p w14:paraId="1C61F8EB">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评标委员会启动异常低价投标审查后，属于</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第（1）项至第（4）项情形的，相关供应商应当在评审现场合理的时间内对投标价格作出解释，提供项目具体成本测算等与报价合理性相关的书面说明及必要的证明材料，包括但不限于原材料成本、人工成本、制造费用等，给予相关供应商的合理时间（30分钟）。其中，属于</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第（3）项情形，供应商已随投标文件一并提交相关书面说明及必要的证明材料的，在评审现场可不再重复提交。</w:t>
      </w:r>
    </w:p>
    <w:p w14:paraId="3F3F21D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D9C459A">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02A8478">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异常低价投标审查的启动原因、审查意见和审查结果应当在评审报告中记录，并随供应商提供的相关书面说明及证明材料，以及评标委员会有关互联网浏览、查询历史一并归档。</w:t>
      </w:r>
    </w:p>
    <w:bookmarkEnd w:id="608"/>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6C7B17BB">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综合评分法细则（满分100分）</w:t>
      </w:r>
    </w:p>
    <w:p w14:paraId="0B5FA5BE">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.1综合评分方式</w:t>
      </w:r>
    </w:p>
    <w:p w14:paraId="1FD5F54C">
      <w:pPr>
        <w:pStyle w:val="19"/>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评标总得分=F</w:t>
      </w:r>
      <w:r>
        <w:rPr>
          <w:rFonts w:hint="eastAsia" w:ascii="仿宋" w:hAnsi="仿宋" w:eastAsia="仿宋" w:cs="仿宋"/>
          <w:color w:val="auto"/>
          <w:sz w:val="21"/>
          <w:szCs w:val="21"/>
          <w:highlight w:val="none"/>
          <w:vertAlign w:val="subscript"/>
        </w:rPr>
        <w:t>1</w:t>
      </w: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vertAlign w:val="subscript"/>
        </w:rPr>
        <w:t>2</w:t>
      </w: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vertAlign w:val="subscript"/>
        </w:rPr>
        <w:t>n</w:t>
      </w:r>
    </w:p>
    <w:p w14:paraId="75AC8780">
      <w:pPr>
        <w:pStyle w:val="19"/>
        <w:pageBreakBefore w:val="0"/>
        <w:kinsoku/>
        <w:bidi w:val="0"/>
        <w:spacing w:line="360" w:lineRule="auto"/>
        <w:ind w:firstLine="457" w:firstLineChars="21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vertAlign w:val="subscript"/>
        </w:rPr>
        <w:t>1</w:t>
      </w: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vertAlign w:val="subscript"/>
        </w:rPr>
        <w:t>2</w:t>
      </w: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vertAlign w:val="subscript"/>
        </w:rPr>
        <w:t>n</w:t>
      </w:r>
      <w:r>
        <w:rPr>
          <w:rFonts w:hint="eastAsia" w:ascii="仿宋" w:hAnsi="仿宋" w:eastAsia="仿宋" w:cs="仿宋"/>
          <w:color w:val="auto"/>
          <w:sz w:val="21"/>
          <w:szCs w:val="21"/>
          <w:highlight w:val="none"/>
        </w:rPr>
        <w:t>分别为各项评审因素的得分；</w:t>
      </w:r>
    </w:p>
    <w:p w14:paraId="6DD5443C">
      <w:pPr>
        <w:pStyle w:val="19"/>
        <w:pageBreakBefore w:val="0"/>
        <w:kinsoku/>
        <w:bidi w:val="0"/>
        <w:spacing w:line="360" w:lineRule="auto"/>
        <w:ind w:firstLine="525" w:firstLineChars="218"/>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1标段评标办法</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24"/>
        <w:gridCol w:w="933"/>
        <w:gridCol w:w="7163"/>
      </w:tblGrid>
      <w:tr w14:paraId="7417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66" w:type="pct"/>
            <w:noWrap w:val="0"/>
            <w:vAlign w:val="center"/>
          </w:tcPr>
          <w:p w14:paraId="16A124B3">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565" w:type="pct"/>
            <w:noWrap w:val="0"/>
            <w:vAlign w:val="center"/>
          </w:tcPr>
          <w:p w14:paraId="7BDC2E80">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评审项目</w:t>
            </w:r>
          </w:p>
        </w:tc>
        <w:tc>
          <w:tcPr>
            <w:tcW w:w="469" w:type="pct"/>
            <w:noWrap w:val="0"/>
            <w:vAlign w:val="center"/>
          </w:tcPr>
          <w:p w14:paraId="4A474BC5">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分值</w:t>
            </w:r>
          </w:p>
        </w:tc>
        <w:tc>
          <w:tcPr>
            <w:tcW w:w="3597" w:type="pct"/>
            <w:noWrap w:val="0"/>
            <w:vAlign w:val="center"/>
          </w:tcPr>
          <w:p w14:paraId="180E6EC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b/>
                <w:color w:val="auto"/>
                <w:highlight w:val="none"/>
              </w:rPr>
              <w:t>评分标准</w:t>
            </w:r>
          </w:p>
        </w:tc>
      </w:tr>
      <w:tr w14:paraId="6135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4"/>
            <w:noWrap w:val="0"/>
            <w:vAlign w:val="center"/>
          </w:tcPr>
          <w:p w14:paraId="14A6862E">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F1——投标报价评分（满分为30分）</w:t>
            </w:r>
          </w:p>
        </w:tc>
      </w:tr>
      <w:tr w14:paraId="42C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66" w:type="pct"/>
            <w:noWrap w:val="0"/>
            <w:vAlign w:val="center"/>
          </w:tcPr>
          <w:p w14:paraId="226C996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1</w:t>
            </w:r>
          </w:p>
        </w:tc>
        <w:tc>
          <w:tcPr>
            <w:tcW w:w="565" w:type="pct"/>
            <w:noWrap w:val="0"/>
            <w:vAlign w:val="center"/>
          </w:tcPr>
          <w:p w14:paraId="44B582D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投标报价评审</w:t>
            </w:r>
          </w:p>
        </w:tc>
        <w:tc>
          <w:tcPr>
            <w:tcW w:w="469" w:type="pct"/>
            <w:noWrap w:val="0"/>
            <w:vAlign w:val="center"/>
          </w:tcPr>
          <w:p w14:paraId="42D588B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30分</w:t>
            </w:r>
          </w:p>
        </w:tc>
        <w:tc>
          <w:tcPr>
            <w:tcW w:w="3597" w:type="pct"/>
            <w:noWrap w:val="0"/>
            <w:vAlign w:val="center"/>
          </w:tcPr>
          <w:p w14:paraId="37B5605A">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1.评标基准价：满足招标文件要求且投标报价最低的有效投标报价。</w:t>
            </w:r>
          </w:p>
          <w:p w14:paraId="1FF2D819">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2.得分计算：满足招标文件要求且投标价格最低的有效投标报价，其报价分为满分。其他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的报价得分统一按照下列公式计算：</w:t>
            </w:r>
          </w:p>
          <w:p w14:paraId="11E7A0F4">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投标报价得分=（评标基准价／该供应商的投标报价）×30。</w:t>
            </w:r>
          </w:p>
          <w:p w14:paraId="0AADACA5">
            <w:pPr>
              <w:keepNext w:val="0"/>
              <w:keepLines w:val="0"/>
              <w:numPr>
                <w:ilvl w:val="0"/>
                <w:numId w:val="0"/>
              </w:numPr>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highlight w:val="none"/>
              </w:rPr>
              <w:t>对小型、微型企业或监狱企业或残疾人福利性单位的价格给予10%的扣除，用扣除后的价格参与评审。单位同属于小型、微型企业、监狱企业、残疾人福利性单位，不重复享受政策，只能扣减一次。</w:t>
            </w:r>
          </w:p>
          <w:p w14:paraId="133E6B4A">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.项目评审过程中，不得去掉最后报价中的最高报价和最低报价。</w:t>
            </w:r>
          </w:p>
          <w:p w14:paraId="2F853EDD">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.得分保留小数点后两位，第三位四舍五入。</w:t>
            </w:r>
          </w:p>
          <w:p w14:paraId="1E9C9300">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45099D9A">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①如果评标委员会认为供应商的报价属于《关于推动解决政府采购异常低价问题的通知》【财库（2026）2号】规定的情形，应当启动异常低价投标（响应）审查程序，并按上述文件的有关规定作出处理。</w:t>
            </w:r>
          </w:p>
          <w:p w14:paraId="63B4C3CD">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②</w:t>
            </w:r>
            <w:r>
              <w:rPr>
                <w:rFonts w:hint="eastAsia" w:ascii="仿宋" w:hAnsi="仿宋" w:eastAsia="仿宋" w:cs="仿宋"/>
                <w:b/>
                <w:bCs/>
                <w:color w:val="auto"/>
                <w:highlight w:val="none"/>
              </w:rPr>
              <w:t>评标委员会根据供应商提供的小微企业或监狱企业或残疾人福利性单位相关声明函，认定其是否属于小微企业或监狱企业或残疾人福利性单位并享受相应的优惠政策。供应商对其提供的声明函的真实性负责，如有虚假，自行承担相应责任。</w:t>
            </w:r>
          </w:p>
        </w:tc>
      </w:tr>
      <w:tr w14:paraId="5F66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00" w:type="pct"/>
            <w:gridSpan w:val="4"/>
            <w:noWrap w:val="0"/>
            <w:vAlign w:val="center"/>
          </w:tcPr>
          <w:p w14:paraId="4FBD5044">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F2——技术部分评分（满分为</w:t>
            </w:r>
            <w:r>
              <w:rPr>
                <w:rFonts w:hint="eastAsia" w:ascii="仿宋" w:hAnsi="仿宋" w:eastAsia="仿宋" w:cs="仿宋"/>
                <w:b/>
                <w:color w:val="auto"/>
                <w:highlight w:val="none"/>
                <w:lang w:val="en-US" w:eastAsia="zh-CN"/>
              </w:rPr>
              <w:t>32.35</w:t>
            </w:r>
            <w:r>
              <w:rPr>
                <w:rFonts w:hint="eastAsia" w:ascii="仿宋" w:hAnsi="仿宋" w:eastAsia="仿宋" w:cs="仿宋"/>
                <w:b/>
                <w:color w:val="auto"/>
                <w:highlight w:val="none"/>
              </w:rPr>
              <w:t>分）</w:t>
            </w:r>
          </w:p>
        </w:tc>
      </w:tr>
      <w:tr w14:paraId="154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noWrap w:val="0"/>
            <w:vAlign w:val="center"/>
          </w:tcPr>
          <w:p w14:paraId="46F67CFB">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1</w:t>
            </w:r>
          </w:p>
        </w:tc>
        <w:tc>
          <w:tcPr>
            <w:tcW w:w="565" w:type="pct"/>
            <w:noWrap w:val="0"/>
            <w:vAlign w:val="center"/>
          </w:tcPr>
          <w:p w14:paraId="2C5E3BE0">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技术参数指标响应评审</w:t>
            </w:r>
          </w:p>
        </w:tc>
        <w:tc>
          <w:tcPr>
            <w:tcW w:w="469" w:type="pct"/>
            <w:noWrap w:val="0"/>
            <w:vAlign w:val="center"/>
          </w:tcPr>
          <w:p w14:paraId="13B1A055">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31.35</w:t>
            </w:r>
            <w:r>
              <w:rPr>
                <w:rFonts w:hint="eastAsia" w:ascii="仿宋" w:hAnsi="仿宋" w:eastAsia="仿宋" w:cs="仿宋"/>
                <w:b/>
                <w:color w:val="auto"/>
                <w:highlight w:val="none"/>
              </w:rPr>
              <w:t>分</w:t>
            </w:r>
          </w:p>
        </w:tc>
        <w:tc>
          <w:tcPr>
            <w:tcW w:w="3597" w:type="pct"/>
            <w:noWrap w:val="0"/>
            <w:vAlign w:val="top"/>
          </w:tcPr>
          <w:p w14:paraId="2E73F404">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所提供的技术参数指标对招标文件要求参数指标响应的程度</w:t>
            </w:r>
          </w:p>
          <w:p w14:paraId="69C586B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根据招标文件第</w:t>
            </w:r>
            <w:r>
              <w:rPr>
                <w:rFonts w:hint="eastAsia" w:ascii="仿宋" w:hAnsi="仿宋" w:eastAsia="仿宋" w:cs="仿宋"/>
                <w:bCs/>
                <w:color w:val="auto"/>
                <w:highlight w:val="none"/>
                <w:lang w:val="en-US" w:eastAsia="zh-CN"/>
              </w:rPr>
              <w:t>六</w:t>
            </w:r>
            <w:r>
              <w:rPr>
                <w:rFonts w:hint="eastAsia" w:ascii="仿宋" w:hAnsi="仿宋" w:eastAsia="仿宋" w:cs="仿宋"/>
                <w:bCs/>
                <w:color w:val="auto"/>
                <w:highlight w:val="none"/>
              </w:rPr>
              <w:t>章采购需求及要求</w:t>
            </w:r>
            <w:r>
              <w:rPr>
                <w:rFonts w:hint="eastAsia" w:ascii="仿宋" w:hAnsi="仿宋" w:eastAsia="仿宋" w:cs="仿宋"/>
                <w:bCs/>
                <w:color w:val="auto"/>
                <w:highlight w:val="none"/>
                <w:lang w:val="en-US" w:eastAsia="zh-CN"/>
              </w:rPr>
              <w:t>1标段技术参数要求</w:t>
            </w:r>
            <w:r>
              <w:rPr>
                <w:rFonts w:hint="eastAsia" w:ascii="仿宋" w:hAnsi="仿宋" w:eastAsia="仿宋" w:cs="仿宋"/>
                <w:bCs/>
                <w:color w:val="auto"/>
                <w:highlight w:val="none"/>
              </w:rPr>
              <w:t>中“</w:t>
            </w:r>
            <w:r>
              <w:rPr>
                <w:rFonts w:hint="eastAsia" w:ascii="仿宋" w:hAnsi="仿宋" w:eastAsia="仿宋" w:cs="仿宋"/>
                <w:bCs/>
                <w:color w:val="auto"/>
                <w:highlight w:val="none"/>
                <w:lang w:val="en-US" w:eastAsia="zh-CN"/>
              </w:rPr>
              <w:t>四、主要规格及系统概述</w:t>
            </w:r>
            <w:r>
              <w:rPr>
                <w:rFonts w:hint="eastAsia" w:ascii="仿宋" w:hAnsi="仿宋" w:eastAsia="仿宋" w:cs="仿宋"/>
                <w:bCs/>
                <w:color w:val="auto"/>
                <w:highlight w:val="none"/>
              </w:rPr>
              <w:t>”</w:t>
            </w:r>
            <w:r>
              <w:rPr>
                <w:rFonts w:hint="eastAsia" w:ascii="仿宋" w:hAnsi="仿宋" w:eastAsia="仿宋" w:cs="仿宋"/>
                <w:color w:val="auto"/>
                <w:kern w:val="0"/>
                <w:highlight w:val="none"/>
              </w:rPr>
              <w:t>的内容进行评审</w:t>
            </w:r>
            <w:r>
              <w:rPr>
                <w:rFonts w:hint="eastAsia" w:ascii="仿宋" w:hAnsi="仿宋" w:eastAsia="仿宋" w:cs="仿宋"/>
                <w:bCs/>
                <w:color w:val="auto"/>
                <w:highlight w:val="none"/>
              </w:rPr>
              <w:t>：</w:t>
            </w:r>
          </w:p>
          <w:p w14:paraId="064765AD">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1标段</w:t>
            </w:r>
            <w:r>
              <w:rPr>
                <w:rFonts w:hint="eastAsia" w:ascii="仿宋" w:hAnsi="仿宋" w:eastAsia="仿宋" w:cs="仿宋"/>
                <w:bCs/>
                <w:color w:val="auto"/>
                <w:highlight w:val="none"/>
              </w:rPr>
              <w:t>技术条款，共</w:t>
            </w:r>
            <w:r>
              <w:rPr>
                <w:rFonts w:hint="eastAsia" w:ascii="仿宋" w:hAnsi="仿宋" w:eastAsia="仿宋" w:cs="仿宋"/>
                <w:bCs/>
                <w:color w:val="auto"/>
                <w:highlight w:val="none"/>
                <w:lang w:val="en-US" w:eastAsia="zh-CN"/>
              </w:rPr>
              <w:t>158</w:t>
            </w:r>
            <w:r>
              <w:rPr>
                <w:rFonts w:hint="eastAsia" w:ascii="仿宋" w:hAnsi="仿宋" w:eastAsia="仿宋" w:cs="仿宋"/>
                <w:bCs/>
                <w:color w:val="auto"/>
                <w:highlight w:val="none"/>
              </w:rPr>
              <w:t>条</w:t>
            </w:r>
            <w:r>
              <w:rPr>
                <w:rFonts w:hint="eastAsia" w:ascii="仿宋" w:hAnsi="仿宋" w:eastAsia="仿宋" w:cs="仿宋"/>
                <w:bCs/>
                <w:color w:val="auto"/>
                <w:highlight w:val="none"/>
                <w:lang w:eastAsia="zh-CN"/>
              </w:rPr>
              <w:t>；</w:t>
            </w:r>
          </w:p>
          <w:p w14:paraId="3CD4A309">
            <w:pPr>
              <w:keepNext w:val="0"/>
              <w:keepLines w:val="0"/>
              <w:numPr>
                <w:ilvl w:val="0"/>
                <w:numId w:val="0"/>
              </w:numPr>
              <w:suppressLineNumbers w:val="0"/>
              <w:spacing w:before="0" w:beforeAutospacing="0" w:after="0" w:afterAutospacing="0" w:line="360" w:lineRule="auto"/>
              <w:ind w:left="210" w:leftChars="0" w:right="0" w:hanging="210" w:hangingChars="100"/>
              <w:rPr>
                <w:rFonts w:hint="eastAsia" w:ascii="仿宋" w:hAnsi="仿宋" w:eastAsia="仿宋" w:cs="仿宋"/>
                <w:bCs/>
                <w:color w:val="auto"/>
                <w:highlight w:val="none"/>
              </w:rPr>
            </w:pPr>
            <w:r>
              <w:rPr>
                <w:rFonts w:hint="eastAsia" w:ascii="仿宋" w:hAnsi="仿宋" w:eastAsia="仿宋" w:cs="仿宋"/>
                <w:bCs/>
                <w:color w:val="auto"/>
                <w:kern w:val="2"/>
                <w:sz w:val="21"/>
                <w:szCs w:val="24"/>
                <w:highlight w:val="none"/>
                <w:lang w:val="en-US" w:eastAsia="zh-CN" w:bidi="ar-SA"/>
              </w:rPr>
              <w:t>1.</w:t>
            </w:r>
            <w:r>
              <w:rPr>
                <w:rFonts w:hint="eastAsia" w:ascii="仿宋" w:hAnsi="仿宋" w:eastAsia="仿宋" w:cs="仿宋"/>
                <w:b/>
                <w:bCs w:val="0"/>
                <w:color w:val="auto"/>
                <w:highlight w:val="none"/>
                <w:lang w:val="en-US" w:eastAsia="zh-CN"/>
              </w:rPr>
              <w:t>▲参数</w:t>
            </w:r>
            <w:r>
              <w:rPr>
                <w:rFonts w:hint="eastAsia" w:ascii="仿宋" w:hAnsi="仿宋" w:eastAsia="仿宋" w:cs="仿宋"/>
                <w:bCs/>
                <w:color w:val="auto"/>
                <w:highlight w:val="none"/>
                <w:lang w:val="en-US" w:eastAsia="zh-CN"/>
              </w:rPr>
              <w:t>为关键参数共12条，满分24分，每出现一项</w:t>
            </w:r>
            <w:r>
              <w:rPr>
                <w:rFonts w:hint="eastAsia" w:ascii="仿宋" w:hAnsi="仿宋" w:eastAsia="仿宋" w:cs="仿宋"/>
                <w:bCs/>
                <w:color w:val="auto"/>
                <w:highlight w:val="none"/>
              </w:rPr>
              <w:t>负偏离扣</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w:t>
            </w:r>
            <w:r>
              <w:rPr>
                <w:rFonts w:hint="eastAsia" w:ascii="仿宋" w:hAnsi="仿宋" w:eastAsia="仿宋" w:cs="仿宋"/>
                <w:bCs/>
                <w:color w:val="auto"/>
                <w:highlight w:val="none"/>
                <w:lang w:val="en-US" w:eastAsia="zh-CN"/>
              </w:rPr>
              <w:t>；</w:t>
            </w:r>
          </w:p>
          <w:p w14:paraId="6B26D9EC">
            <w:pPr>
              <w:keepNext w:val="0"/>
              <w:keepLines w:val="0"/>
              <w:numPr>
                <w:ilvl w:val="0"/>
                <w:numId w:val="0"/>
              </w:numPr>
              <w:suppressLineNumbers w:val="0"/>
              <w:spacing w:before="0" w:beforeAutospacing="0" w:after="0" w:afterAutospacing="0" w:line="360" w:lineRule="auto"/>
              <w:ind w:left="210" w:leftChars="0" w:right="0" w:hanging="210" w:hangingChars="100"/>
              <w:rPr>
                <w:rFonts w:hint="eastAsia" w:ascii="仿宋" w:hAnsi="仿宋" w:eastAsia="仿宋" w:cs="仿宋"/>
                <w:bCs/>
                <w:color w:val="auto"/>
                <w:highlight w:val="none"/>
              </w:rPr>
            </w:pPr>
            <w:r>
              <w:rPr>
                <w:rFonts w:hint="eastAsia" w:ascii="仿宋" w:hAnsi="仿宋" w:eastAsia="仿宋" w:cs="仿宋"/>
                <w:bCs/>
                <w:color w:val="auto"/>
                <w:kern w:val="2"/>
                <w:sz w:val="21"/>
                <w:szCs w:val="24"/>
                <w:highlight w:val="none"/>
                <w:lang w:val="en-US" w:eastAsia="zh-CN" w:bidi="ar-SA"/>
              </w:rPr>
              <w:t>2.</w:t>
            </w:r>
            <w:r>
              <w:rPr>
                <w:rFonts w:hint="eastAsia" w:ascii="仿宋" w:hAnsi="仿宋" w:eastAsia="仿宋" w:cs="仿宋"/>
                <w:bCs/>
                <w:color w:val="auto"/>
                <w:highlight w:val="none"/>
                <w:lang w:val="en-US" w:eastAsia="zh-CN"/>
              </w:rPr>
              <w:t>普通参数共147条，满分7.35分，每出现一项负偏离扣0.05分；</w:t>
            </w:r>
          </w:p>
          <w:p w14:paraId="7D27C05A">
            <w:pPr>
              <w:keepNext w:val="0"/>
              <w:keepLines w:val="0"/>
              <w:suppressLineNumbers w:val="0"/>
              <w:spacing w:before="0" w:beforeAutospacing="0" w:after="0" w:afterAutospacing="0" w:line="360" w:lineRule="auto"/>
              <w:ind w:left="0" w:right="0"/>
              <w:rPr>
                <w:rFonts w:hint="default" w:ascii="仿宋" w:hAnsi="仿宋" w:eastAsia="仿宋" w:cs="仿宋"/>
                <w:b/>
                <w:bCs/>
                <w:color w:val="auto"/>
                <w:highlight w:val="none"/>
                <w:lang w:val="en-US" w:eastAsia="zh-CN"/>
              </w:rPr>
            </w:pPr>
            <w:r>
              <w:rPr>
                <w:rFonts w:hint="eastAsia" w:ascii="仿宋" w:hAnsi="仿宋" w:eastAsia="仿宋" w:cs="仿宋"/>
                <w:b/>
                <w:color w:val="auto"/>
                <w:highlight w:val="none"/>
              </w:rPr>
              <w:t>注：若投标文件中提供的支持资料参数与技术规格偏离表应答不符或无技术资料支持该应答，视为不响应该项技术参数要求，技术部分对应参数条款扣分。</w:t>
            </w:r>
            <w:r>
              <w:rPr>
                <w:rFonts w:hint="eastAsia" w:ascii="仿宋" w:hAnsi="仿宋" w:eastAsia="仿宋" w:cs="仿宋"/>
                <w:b/>
                <w:color w:val="auto"/>
                <w:highlight w:val="none"/>
                <w:lang w:val="en-US" w:eastAsia="zh-CN"/>
              </w:rPr>
              <w:t>支持资料指招标</w:t>
            </w:r>
            <w:r>
              <w:rPr>
                <w:rFonts w:hint="eastAsia" w:ascii="仿宋" w:hAnsi="仿宋" w:eastAsia="仿宋" w:cs="仿宋"/>
                <w:b/>
                <w:color w:val="auto"/>
                <w:highlight w:val="none"/>
              </w:rPr>
              <w:t>文件第</w:t>
            </w:r>
            <w:r>
              <w:rPr>
                <w:rFonts w:hint="eastAsia" w:ascii="仿宋" w:hAnsi="仿宋" w:eastAsia="仿宋" w:cs="仿宋"/>
                <w:b/>
                <w:color w:val="auto"/>
                <w:highlight w:val="none"/>
                <w:lang w:val="en-US" w:eastAsia="zh-CN"/>
              </w:rPr>
              <w:t>六</w:t>
            </w:r>
            <w:r>
              <w:rPr>
                <w:rFonts w:hint="eastAsia" w:ascii="仿宋" w:hAnsi="仿宋" w:eastAsia="仿宋" w:cs="仿宋"/>
                <w:b/>
                <w:color w:val="auto"/>
                <w:highlight w:val="none"/>
              </w:rPr>
              <w:t>章“采购需求及要求”内明确要求提供的，未明确的</w:t>
            </w:r>
            <w:r>
              <w:rPr>
                <w:rFonts w:hint="eastAsia" w:ascii="仿宋" w:hAnsi="仿宋" w:eastAsia="仿宋" w:cs="仿宋"/>
                <w:b/>
                <w:color w:val="auto"/>
                <w:highlight w:val="none"/>
                <w:lang w:val="en-US" w:eastAsia="zh-CN"/>
              </w:rPr>
              <w:t>可提供包括但不限于产品彩页、技术白皮书、检测报告等。</w:t>
            </w:r>
          </w:p>
        </w:tc>
      </w:tr>
      <w:tr w14:paraId="3C7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noWrap w:val="0"/>
            <w:vAlign w:val="center"/>
          </w:tcPr>
          <w:p w14:paraId="0087C16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2</w:t>
            </w:r>
          </w:p>
        </w:tc>
        <w:tc>
          <w:tcPr>
            <w:tcW w:w="565" w:type="pct"/>
            <w:noWrap w:val="0"/>
            <w:vAlign w:val="center"/>
          </w:tcPr>
          <w:p w14:paraId="79A6A00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color w:val="auto"/>
                <w:highlight w:val="none"/>
              </w:rPr>
              <w:t>节能、</w:t>
            </w:r>
            <w:r>
              <w:rPr>
                <w:rFonts w:hint="eastAsia" w:ascii="仿宋" w:hAnsi="仿宋" w:eastAsia="仿宋" w:cs="仿宋"/>
                <w:b/>
                <w:bCs/>
                <w:color w:val="auto"/>
                <w:highlight w:val="none"/>
              </w:rPr>
              <w:t>环境标志</w:t>
            </w:r>
            <w:r>
              <w:rPr>
                <w:rFonts w:hint="eastAsia" w:ascii="仿宋" w:hAnsi="仿宋" w:eastAsia="仿宋" w:cs="仿宋"/>
                <w:b/>
                <w:color w:val="auto"/>
                <w:highlight w:val="none"/>
              </w:rPr>
              <w:t>产品</w:t>
            </w:r>
          </w:p>
        </w:tc>
        <w:tc>
          <w:tcPr>
            <w:tcW w:w="469" w:type="pct"/>
            <w:noWrap w:val="0"/>
            <w:vAlign w:val="center"/>
          </w:tcPr>
          <w:p w14:paraId="04946BEC">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分</w:t>
            </w:r>
          </w:p>
          <w:p w14:paraId="7CD376E8">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p>
        </w:tc>
        <w:tc>
          <w:tcPr>
            <w:tcW w:w="3597" w:type="pct"/>
            <w:noWrap w:val="0"/>
            <w:vAlign w:val="top"/>
          </w:tcPr>
          <w:p w14:paraId="72C63459">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①产品被认定为节能产品（非政府强制采购节能产品）的得</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43081790">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②产品被认定为环保产品的得</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09539A55">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注：产品属于节能产品或环境标志产品的，</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需在投标文件中提供有效期内经国家确定的参与实施政府采购节能产品认证机构或参与实施政府采购环境标志产品认证机构依据标准出具的节能产品、环境标志产品认证证书并标注具体型号（扫描件加盖电子公章）。</w:t>
            </w:r>
          </w:p>
        </w:tc>
      </w:tr>
      <w:tr w14:paraId="34F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4"/>
            <w:noWrap w:val="0"/>
            <w:vAlign w:val="center"/>
          </w:tcPr>
          <w:p w14:paraId="4287C381">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F3——商务部分评分（满分为</w:t>
            </w:r>
            <w:r>
              <w:rPr>
                <w:rFonts w:hint="eastAsia" w:ascii="仿宋" w:hAnsi="仿宋" w:eastAsia="仿宋" w:cs="仿宋"/>
                <w:b/>
                <w:color w:val="auto"/>
                <w:highlight w:val="none"/>
                <w:lang w:val="en-US" w:eastAsia="zh-CN"/>
              </w:rPr>
              <w:t>37.65</w:t>
            </w:r>
            <w:r>
              <w:rPr>
                <w:rFonts w:hint="eastAsia" w:ascii="仿宋" w:hAnsi="仿宋" w:eastAsia="仿宋" w:cs="仿宋"/>
                <w:b/>
                <w:color w:val="auto"/>
                <w:highlight w:val="none"/>
              </w:rPr>
              <w:t>分）</w:t>
            </w:r>
          </w:p>
        </w:tc>
      </w:tr>
      <w:tr w14:paraId="5AD5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6" w:type="pct"/>
            <w:noWrap w:val="0"/>
            <w:vAlign w:val="center"/>
          </w:tcPr>
          <w:p w14:paraId="12D9298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w:t>
            </w:r>
          </w:p>
        </w:tc>
        <w:tc>
          <w:tcPr>
            <w:tcW w:w="565" w:type="pct"/>
            <w:noWrap w:val="0"/>
            <w:vAlign w:val="center"/>
          </w:tcPr>
          <w:p w14:paraId="429CF775">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highlight w:val="none"/>
              </w:rPr>
            </w:pPr>
            <w:r>
              <w:rPr>
                <w:rFonts w:hint="eastAsia" w:ascii="仿宋" w:hAnsi="仿宋" w:eastAsia="仿宋" w:cs="仿宋"/>
                <w:b/>
                <w:bCs w:val="0"/>
                <w:color w:val="auto"/>
                <w:kern w:val="0"/>
                <w:sz w:val="21"/>
                <w:szCs w:val="21"/>
                <w:highlight w:val="none"/>
              </w:rPr>
              <w:t>质保期评审</w:t>
            </w:r>
          </w:p>
        </w:tc>
        <w:tc>
          <w:tcPr>
            <w:tcW w:w="469" w:type="pct"/>
            <w:noWrap w:val="0"/>
            <w:vAlign w:val="center"/>
          </w:tcPr>
          <w:p w14:paraId="1EC8DBE6">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color w:val="auto"/>
                <w:kern w:val="2"/>
                <w:highlight w:val="none"/>
              </w:rPr>
            </w:pPr>
            <w:r>
              <w:rPr>
                <w:rFonts w:hint="eastAsia" w:ascii="仿宋" w:hAnsi="仿宋" w:eastAsia="仿宋" w:cs="仿宋"/>
                <w:b/>
                <w:bCs/>
                <w:color w:val="auto"/>
                <w:kern w:val="2"/>
                <w:sz w:val="21"/>
                <w:szCs w:val="21"/>
                <w:highlight w:val="none"/>
                <w:lang w:val="en-US" w:eastAsia="zh-CN"/>
              </w:rPr>
              <w:t>2</w:t>
            </w:r>
            <w:r>
              <w:rPr>
                <w:rFonts w:hint="eastAsia" w:ascii="仿宋" w:hAnsi="仿宋" w:eastAsia="仿宋" w:cs="仿宋"/>
                <w:b/>
                <w:bCs/>
                <w:color w:val="auto"/>
                <w:kern w:val="2"/>
                <w:sz w:val="21"/>
                <w:szCs w:val="21"/>
                <w:highlight w:val="none"/>
              </w:rPr>
              <w:t>分</w:t>
            </w:r>
          </w:p>
        </w:tc>
        <w:tc>
          <w:tcPr>
            <w:tcW w:w="3597" w:type="pct"/>
            <w:noWrap w:val="0"/>
            <w:vAlign w:val="center"/>
          </w:tcPr>
          <w:p w14:paraId="27B97D7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质保期</w:t>
            </w:r>
            <w:r>
              <w:rPr>
                <w:rFonts w:hint="eastAsia" w:ascii="仿宋" w:hAnsi="仿宋" w:eastAsia="仿宋" w:cs="仿宋"/>
                <w:bCs/>
                <w:color w:val="auto"/>
                <w:sz w:val="21"/>
                <w:szCs w:val="21"/>
                <w:highlight w:val="none"/>
                <w:lang w:val="en-US" w:eastAsia="zh-CN"/>
              </w:rPr>
              <w:t>在满足招标文件要求的基础上，</w:t>
            </w:r>
            <w:r>
              <w:rPr>
                <w:rFonts w:hint="eastAsia" w:ascii="仿宋" w:hAnsi="仿宋" w:eastAsia="仿宋" w:cs="仿宋"/>
                <w:bCs/>
                <w:color w:val="auto"/>
                <w:sz w:val="21"/>
                <w:szCs w:val="21"/>
                <w:highlight w:val="none"/>
              </w:rPr>
              <w:t>每增加一年（12个月，不足12个月的不计）加</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分，加满为止。</w:t>
            </w:r>
          </w:p>
        </w:tc>
      </w:tr>
      <w:tr w14:paraId="072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6" w:type="pct"/>
            <w:noWrap w:val="0"/>
            <w:vAlign w:val="center"/>
          </w:tcPr>
          <w:p w14:paraId="61E2F016">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2</w:t>
            </w:r>
          </w:p>
        </w:tc>
        <w:tc>
          <w:tcPr>
            <w:tcW w:w="565" w:type="pct"/>
            <w:noWrap w:val="0"/>
            <w:vAlign w:val="center"/>
          </w:tcPr>
          <w:p w14:paraId="069D829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项目实施方案评审</w:t>
            </w:r>
          </w:p>
        </w:tc>
        <w:tc>
          <w:tcPr>
            <w:tcW w:w="469" w:type="pct"/>
            <w:noWrap w:val="0"/>
            <w:vAlign w:val="center"/>
          </w:tcPr>
          <w:p w14:paraId="35070E25">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15</w:t>
            </w:r>
            <w:r>
              <w:rPr>
                <w:rFonts w:hint="eastAsia" w:ascii="仿宋" w:hAnsi="仿宋" w:eastAsia="仿宋" w:cs="仿宋"/>
                <w:b/>
                <w:bCs/>
                <w:color w:val="auto"/>
                <w:highlight w:val="none"/>
              </w:rPr>
              <w:t>分</w:t>
            </w:r>
          </w:p>
        </w:tc>
        <w:tc>
          <w:tcPr>
            <w:tcW w:w="3597" w:type="pct"/>
            <w:noWrap w:val="0"/>
            <w:vAlign w:val="center"/>
          </w:tcPr>
          <w:p w14:paraId="66795CA6">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根据招标文件“第六章采购需求及要求”编制项目实施方案进行评审；（满分</w:t>
            </w:r>
            <w:r>
              <w:rPr>
                <w:rFonts w:hint="eastAsia" w:ascii="仿宋" w:hAnsi="仿宋" w:eastAsia="仿宋" w:cs="仿宋"/>
                <w:bCs/>
                <w:color w:val="auto"/>
                <w:highlight w:val="none"/>
                <w:lang w:val="en-US" w:eastAsia="zh-CN"/>
              </w:rPr>
              <w:t>15</w:t>
            </w:r>
            <w:r>
              <w:rPr>
                <w:rFonts w:hint="eastAsia" w:ascii="仿宋" w:hAnsi="仿宋" w:eastAsia="仿宋" w:cs="仿宋"/>
                <w:bCs/>
                <w:color w:val="auto"/>
                <w:highlight w:val="none"/>
              </w:rPr>
              <w:t>分）</w:t>
            </w:r>
          </w:p>
          <w:p w14:paraId="27B1064D">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括：①项目实施前技术交底（包括但不限于场地查看、配套资料的准备）；②进度计划及保证措施（根据项目特点，将总进度计划进行分解）；③产品质量保证措施（包括但不限于产品质量保证控制、设备安全性能测试和检修与维护措施、</w:t>
            </w:r>
            <w:r>
              <w:rPr>
                <w:rFonts w:hint="eastAsia" w:ascii="仿宋" w:hAnsi="仿宋" w:eastAsia="仿宋" w:cs="仿宋"/>
                <w:bCs/>
                <w:color w:val="auto"/>
                <w:kern w:val="0"/>
                <w:highlight w:val="none"/>
              </w:rPr>
              <w:t>场地的防护</w:t>
            </w:r>
            <w:r>
              <w:rPr>
                <w:rFonts w:hint="eastAsia" w:ascii="仿宋" w:hAnsi="仿宋" w:eastAsia="仿宋" w:cs="仿宋"/>
                <w:bCs/>
                <w:color w:val="auto"/>
                <w:highlight w:val="none"/>
              </w:rPr>
              <w:t>等）；④突发事件紧急事件处置预案（包括项目实施过程中可能遇到的各种风险、项目运行维护过程中的应急预案及相应的解决措施）；⑤验收方案（包括但不限于验收标准、验收程序、不合格品处理、验收资料收集归档等）。</w:t>
            </w:r>
          </w:p>
          <w:p w14:paraId="6951CE3E">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以上5项内容无漏项得</w:t>
            </w: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w:t>
            </w:r>
          </w:p>
          <w:p w14:paraId="241DB7B0">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以上5项内容无缺陷得</w:t>
            </w:r>
            <w:r>
              <w:rPr>
                <w:rFonts w:hint="eastAsia" w:ascii="仿宋" w:hAnsi="仿宋" w:eastAsia="仿宋" w:cs="仿宋"/>
                <w:bCs/>
                <w:color w:val="auto"/>
                <w:highlight w:val="none"/>
                <w:lang w:val="en-US" w:eastAsia="zh-CN"/>
              </w:rPr>
              <w:t>10</w:t>
            </w:r>
            <w:r>
              <w:rPr>
                <w:rFonts w:hint="eastAsia" w:ascii="仿宋" w:hAnsi="仿宋" w:eastAsia="仿宋" w:cs="仿宋"/>
                <w:bCs/>
                <w:color w:val="auto"/>
                <w:highlight w:val="none"/>
              </w:rPr>
              <w:t>分，每有一项内容</w:t>
            </w:r>
            <w:r>
              <w:rPr>
                <w:rFonts w:hint="eastAsia" w:ascii="仿宋" w:hAnsi="仿宋" w:eastAsia="仿宋" w:cs="仿宋"/>
                <w:bCs/>
                <w:color w:val="auto"/>
                <w:highlight w:val="none"/>
                <w:lang w:val="en-US" w:eastAsia="zh-CN"/>
              </w:rPr>
              <w:t>存</w:t>
            </w:r>
            <w:r>
              <w:rPr>
                <w:rFonts w:hint="eastAsia" w:ascii="仿宋" w:hAnsi="仿宋" w:eastAsia="仿宋" w:cs="仿宋"/>
                <w:bCs/>
                <w:color w:val="auto"/>
                <w:highlight w:val="none"/>
              </w:rPr>
              <w:t>在缺陷的扣</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56D8D42C">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涉及的规范及标准错误、方案内容交叉混乱、缺乏重点、生搬硬造、套用错用、存在歧义、层次粗略、仅有标题或框架缺乏具体说明阐述的情形等任意一种情形。）</w:t>
            </w:r>
          </w:p>
          <w:p w14:paraId="2DFB2EF7">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注：无项目实施方案的，本项不得分。</w:t>
            </w:r>
          </w:p>
        </w:tc>
      </w:tr>
      <w:tr w14:paraId="673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6" w:type="pct"/>
            <w:noWrap w:val="0"/>
            <w:vAlign w:val="center"/>
          </w:tcPr>
          <w:p w14:paraId="4603AA0F">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3</w:t>
            </w:r>
          </w:p>
        </w:tc>
        <w:tc>
          <w:tcPr>
            <w:tcW w:w="565" w:type="pct"/>
            <w:noWrap w:val="0"/>
            <w:vAlign w:val="center"/>
          </w:tcPr>
          <w:p w14:paraId="69029E0B">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培训方案评审</w:t>
            </w:r>
          </w:p>
        </w:tc>
        <w:tc>
          <w:tcPr>
            <w:tcW w:w="469" w:type="pct"/>
            <w:noWrap w:val="0"/>
            <w:vAlign w:val="center"/>
          </w:tcPr>
          <w:p w14:paraId="76D48838">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分</w:t>
            </w:r>
          </w:p>
        </w:tc>
        <w:tc>
          <w:tcPr>
            <w:tcW w:w="3597" w:type="pct"/>
            <w:noWrap w:val="0"/>
            <w:vAlign w:val="top"/>
          </w:tcPr>
          <w:p w14:paraId="3AA30B36">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”编制培训方案进行评审；（满分</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分）</w:t>
            </w:r>
          </w:p>
          <w:p w14:paraId="76C8F919">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方案包含：①培训计划；②培训内容</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③</w:t>
            </w:r>
            <w:r>
              <w:rPr>
                <w:rFonts w:hint="eastAsia" w:ascii="仿宋" w:hAnsi="仿宋" w:eastAsia="仿宋" w:cs="仿宋"/>
                <w:bCs/>
                <w:color w:val="auto"/>
                <w:highlight w:val="none"/>
              </w:rPr>
              <w:t>课程安排；</w:t>
            </w:r>
            <w:r>
              <w:rPr>
                <w:rFonts w:hint="eastAsia" w:ascii="仿宋" w:hAnsi="仿宋" w:eastAsia="仿宋" w:cs="仿宋"/>
                <w:bCs/>
                <w:color w:val="auto"/>
                <w:highlight w:val="none"/>
                <w:lang w:val="en-US" w:eastAsia="zh-CN"/>
              </w:rPr>
              <w:t>④</w:t>
            </w:r>
            <w:r>
              <w:rPr>
                <w:rFonts w:hint="eastAsia" w:ascii="仿宋" w:hAnsi="仿宋" w:eastAsia="仿宋" w:cs="仿宋"/>
                <w:bCs/>
                <w:color w:val="auto"/>
                <w:highlight w:val="none"/>
              </w:rPr>
              <w:t>授课方式</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⑤</w:t>
            </w:r>
            <w:r>
              <w:rPr>
                <w:rFonts w:hint="eastAsia" w:ascii="仿宋" w:hAnsi="仿宋" w:eastAsia="仿宋" w:cs="仿宋"/>
                <w:bCs/>
                <w:color w:val="auto"/>
                <w:highlight w:val="none"/>
              </w:rPr>
              <w:t>培训目标；</w:t>
            </w:r>
            <w:r>
              <w:rPr>
                <w:rFonts w:hint="eastAsia" w:ascii="仿宋" w:hAnsi="仿宋" w:eastAsia="仿宋" w:cs="仿宋"/>
                <w:bCs/>
                <w:color w:val="auto"/>
                <w:highlight w:val="none"/>
                <w:lang w:val="en-US" w:eastAsia="zh-CN"/>
              </w:rPr>
              <w:t>⑥</w:t>
            </w:r>
            <w:r>
              <w:rPr>
                <w:rFonts w:hint="eastAsia" w:ascii="仿宋" w:hAnsi="仿宋" w:eastAsia="仿宋" w:cs="仿宋"/>
                <w:bCs/>
                <w:color w:val="auto"/>
                <w:highlight w:val="none"/>
              </w:rPr>
              <w:t>培训考核；</w:t>
            </w:r>
          </w:p>
          <w:p w14:paraId="40A3808F">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1.2</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0.2</w:t>
            </w:r>
            <w:r>
              <w:rPr>
                <w:rFonts w:hint="eastAsia" w:ascii="仿宋" w:hAnsi="仿宋" w:eastAsia="仿宋" w:cs="仿宋"/>
                <w:bCs/>
                <w:color w:val="auto"/>
                <w:highlight w:val="none"/>
              </w:rPr>
              <w:t>分；</w:t>
            </w:r>
          </w:p>
          <w:p w14:paraId="4F430C0C">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4.8</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0.8</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6121543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704A5059">
            <w:pPr>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color w:val="auto"/>
                <w:kern w:val="0"/>
                <w:highlight w:val="none"/>
              </w:rPr>
              <w:t>注：无培训方案的，本项不得分。</w:t>
            </w:r>
          </w:p>
        </w:tc>
      </w:tr>
      <w:tr w14:paraId="6509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6" w:type="pct"/>
            <w:noWrap w:val="0"/>
            <w:vAlign w:val="center"/>
          </w:tcPr>
          <w:p w14:paraId="7463D675">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4</w:t>
            </w:r>
          </w:p>
        </w:tc>
        <w:tc>
          <w:tcPr>
            <w:tcW w:w="565" w:type="pct"/>
            <w:noWrap w:val="0"/>
            <w:vAlign w:val="center"/>
          </w:tcPr>
          <w:p w14:paraId="550A712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售后服务方案评审</w:t>
            </w:r>
          </w:p>
        </w:tc>
        <w:tc>
          <w:tcPr>
            <w:tcW w:w="469" w:type="pct"/>
            <w:noWrap w:val="0"/>
            <w:vAlign w:val="center"/>
          </w:tcPr>
          <w:p w14:paraId="0AF8927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9</w:t>
            </w:r>
            <w:r>
              <w:rPr>
                <w:rFonts w:hint="eastAsia" w:ascii="仿宋" w:hAnsi="仿宋" w:eastAsia="仿宋" w:cs="仿宋"/>
                <w:b/>
                <w:bCs/>
                <w:color w:val="auto"/>
                <w:highlight w:val="none"/>
              </w:rPr>
              <w:t>分</w:t>
            </w:r>
          </w:p>
        </w:tc>
        <w:tc>
          <w:tcPr>
            <w:tcW w:w="3597" w:type="pct"/>
            <w:noWrap w:val="0"/>
            <w:vAlign w:val="top"/>
          </w:tcPr>
          <w:p w14:paraId="6B8FCFEF">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”编制售后服务方案进行评审；（满分</w:t>
            </w:r>
            <w:r>
              <w:rPr>
                <w:rFonts w:hint="eastAsia" w:ascii="仿宋" w:hAnsi="仿宋" w:eastAsia="仿宋" w:cs="仿宋"/>
                <w:bCs/>
                <w:color w:val="auto"/>
                <w:highlight w:val="none"/>
                <w:lang w:val="en-US" w:eastAsia="zh-CN"/>
              </w:rPr>
              <w:t>9</w:t>
            </w:r>
            <w:r>
              <w:rPr>
                <w:rFonts w:hint="eastAsia" w:ascii="仿宋" w:hAnsi="仿宋" w:eastAsia="仿宋" w:cs="仿宋"/>
                <w:bCs/>
                <w:color w:val="auto"/>
                <w:highlight w:val="none"/>
              </w:rPr>
              <w:t>分）</w:t>
            </w:r>
          </w:p>
          <w:p w14:paraId="3269DC62">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方案包括：①售后服务机构</w:t>
            </w:r>
            <w:r>
              <w:rPr>
                <w:rFonts w:hint="eastAsia" w:ascii="仿宋" w:hAnsi="仿宋" w:eastAsia="仿宋" w:cs="仿宋"/>
                <w:bCs/>
                <w:color w:val="auto"/>
                <w:highlight w:val="none"/>
                <w:lang w:val="en-US" w:eastAsia="zh-CN"/>
              </w:rPr>
              <w:t>及</w:t>
            </w:r>
            <w:r>
              <w:rPr>
                <w:rFonts w:hint="eastAsia" w:ascii="仿宋" w:hAnsi="仿宋" w:eastAsia="仿宋" w:cs="仿宋"/>
                <w:bCs/>
                <w:color w:val="auto"/>
                <w:highlight w:val="none"/>
              </w:rPr>
              <w:t>专业技术人员（</w:t>
            </w:r>
            <w:r>
              <w:rPr>
                <w:rFonts w:hint="eastAsia" w:ascii="仿宋" w:hAnsi="仿宋" w:eastAsia="仿宋" w:cs="仿宋"/>
                <w:bCs/>
                <w:color w:val="auto"/>
                <w:highlight w:val="none"/>
                <w:lang w:val="en-US" w:eastAsia="zh-CN"/>
              </w:rPr>
              <w:t>包括机构名称、</w:t>
            </w:r>
            <w:r>
              <w:rPr>
                <w:rFonts w:hint="eastAsia" w:ascii="仿宋" w:hAnsi="仿宋" w:eastAsia="仿宋" w:cs="仿宋"/>
                <w:bCs/>
                <w:color w:val="auto"/>
                <w:highlight w:val="none"/>
              </w:rPr>
              <w:t>明确人员姓名、年龄、专业、类似项目售后服务经验、联系方式等）；</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售后服务联系方式（技术支持和售后服务的方式包括电话支持、远程网络支持、现场支持等多种组织形式）；</w:t>
            </w:r>
            <w:r>
              <w:rPr>
                <w:rFonts w:hint="eastAsia" w:ascii="仿宋" w:hAnsi="仿宋" w:eastAsia="仿宋" w:cs="仿宋"/>
                <w:bCs/>
                <w:color w:val="auto"/>
                <w:highlight w:val="none"/>
                <w:lang w:val="en-US" w:eastAsia="zh-CN"/>
              </w:rPr>
              <w:t>③</w:t>
            </w:r>
            <w:r>
              <w:rPr>
                <w:rFonts w:hint="eastAsia" w:ascii="仿宋" w:hAnsi="仿宋" w:eastAsia="仿宋" w:cs="仿宋"/>
                <w:bCs/>
                <w:color w:val="auto"/>
                <w:highlight w:val="none"/>
              </w:rPr>
              <w:t>日常维护方案（包括但不限于电话服务、网络服务、现场服务、巡检服务等）等。</w:t>
            </w:r>
          </w:p>
          <w:p w14:paraId="0D27D98E">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w:t>
            </w:r>
          </w:p>
          <w:p w14:paraId="0057A52A">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6A622E9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312774DC">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kern w:val="0"/>
                <w:highlight w:val="none"/>
              </w:rPr>
              <w:t>注：无售后服务方案的，本项不得分。</w:t>
            </w:r>
          </w:p>
        </w:tc>
      </w:tr>
      <w:tr w14:paraId="5821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6" w:type="pct"/>
            <w:noWrap w:val="0"/>
            <w:vAlign w:val="center"/>
          </w:tcPr>
          <w:p w14:paraId="5BC52C0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p>
        </w:tc>
        <w:tc>
          <w:tcPr>
            <w:tcW w:w="565" w:type="pct"/>
            <w:noWrap w:val="0"/>
            <w:vAlign w:val="center"/>
          </w:tcPr>
          <w:p w14:paraId="0C849213">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售后服务延伸方案评审</w:t>
            </w:r>
          </w:p>
        </w:tc>
        <w:tc>
          <w:tcPr>
            <w:tcW w:w="469" w:type="pct"/>
            <w:noWrap w:val="0"/>
            <w:vAlign w:val="center"/>
          </w:tcPr>
          <w:p w14:paraId="317A58C6">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分</w:t>
            </w:r>
          </w:p>
        </w:tc>
        <w:tc>
          <w:tcPr>
            <w:tcW w:w="3597" w:type="pct"/>
            <w:noWrap w:val="0"/>
            <w:vAlign w:val="top"/>
          </w:tcPr>
          <w:p w14:paraId="7F0884BA">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”编制售后服务延伸方案进行评审；（满分</w:t>
            </w: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分）</w:t>
            </w:r>
          </w:p>
          <w:p w14:paraId="7F1CD14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方案包含：①</w:t>
            </w:r>
            <w:r>
              <w:rPr>
                <w:rFonts w:hint="eastAsia" w:ascii="仿宋" w:hAnsi="仿宋" w:eastAsia="仿宋" w:cs="仿宋"/>
                <w:bCs/>
                <w:color w:val="auto"/>
                <w:highlight w:val="none"/>
                <w:lang w:eastAsia="zh-CN"/>
              </w:rPr>
              <w:t>质保期</w:t>
            </w:r>
            <w:r>
              <w:rPr>
                <w:rFonts w:hint="eastAsia" w:ascii="仿宋" w:hAnsi="仿宋" w:eastAsia="仿宋" w:cs="仿宋"/>
                <w:bCs/>
                <w:color w:val="auto"/>
                <w:highlight w:val="none"/>
              </w:rPr>
              <w:t>结束后维修保养方案</w:t>
            </w:r>
            <w:r>
              <w:rPr>
                <w:rFonts w:hint="eastAsia" w:ascii="仿宋" w:hAnsi="仿宋" w:eastAsia="仿宋" w:cs="仿宋"/>
                <w:bCs/>
                <w:color w:val="auto"/>
                <w:highlight w:val="none"/>
                <w:lang w:val="en-US" w:eastAsia="zh-CN"/>
              </w:rPr>
              <w:t>及</w:t>
            </w:r>
            <w:r>
              <w:rPr>
                <w:rFonts w:hint="eastAsia" w:ascii="仿宋" w:hAnsi="仿宋" w:eastAsia="仿宋" w:cs="仿宋"/>
                <w:bCs/>
                <w:color w:val="auto"/>
                <w:highlight w:val="none"/>
              </w:rPr>
              <w:t>软件或硬件更新升级（包括但不限于维修保养方案</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设备固件性能升级、设备系统升级、使用的平台升级）；</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优惠措施（包括但不限于</w:t>
            </w:r>
            <w:r>
              <w:rPr>
                <w:rFonts w:hint="eastAsia" w:ascii="仿宋" w:hAnsi="仿宋" w:eastAsia="仿宋" w:cs="仿宋"/>
                <w:bCs/>
                <w:color w:val="auto"/>
                <w:highlight w:val="none"/>
                <w:lang w:eastAsia="zh-CN"/>
              </w:rPr>
              <w:t>质保期</w:t>
            </w:r>
            <w:r>
              <w:rPr>
                <w:rFonts w:hint="eastAsia" w:ascii="仿宋" w:hAnsi="仿宋" w:eastAsia="仿宋" w:cs="仿宋"/>
                <w:bCs/>
                <w:color w:val="auto"/>
                <w:highlight w:val="none"/>
              </w:rPr>
              <w:t>结束后维修价格、配件价格、耗材价格优惠等）。</w:t>
            </w:r>
          </w:p>
          <w:p w14:paraId="71C884BE">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210C16D2">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1.5</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07BFE79F">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05AF4248">
            <w:pPr>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color w:val="auto"/>
                <w:kern w:val="0"/>
                <w:highlight w:val="none"/>
              </w:rPr>
              <w:t>注：无售后服务延伸方案的，本项不得分。</w:t>
            </w:r>
          </w:p>
        </w:tc>
      </w:tr>
      <w:tr w14:paraId="5C39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6" w:type="pct"/>
            <w:noWrap w:val="0"/>
            <w:vAlign w:val="center"/>
          </w:tcPr>
          <w:p w14:paraId="20930EE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p>
        </w:tc>
        <w:tc>
          <w:tcPr>
            <w:tcW w:w="565" w:type="pct"/>
            <w:noWrap w:val="0"/>
            <w:vAlign w:val="center"/>
          </w:tcPr>
          <w:p w14:paraId="09D79820">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类似业绩评审</w:t>
            </w:r>
          </w:p>
        </w:tc>
        <w:tc>
          <w:tcPr>
            <w:tcW w:w="469" w:type="pct"/>
            <w:noWrap w:val="0"/>
            <w:vAlign w:val="center"/>
          </w:tcPr>
          <w:p w14:paraId="449CB4F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1.65分</w:t>
            </w:r>
          </w:p>
        </w:tc>
        <w:tc>
          <w:tcPr>
            <w:tcW w:w="3597" w:type="pct"/>
            <w:noWrap w:val="0"/>
            <w:vAlign w:val="center"/>
          </w:tcPr>
          <w:p w14:paraId="20624A6A">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202</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年1月1日起至今类似业绩，每提供一项得1.65分。（满分1.65分）</w:t>
            </w:r>
          </w:p>
          <w:p w14:paraId="68BBDC28">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2970BD96">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highlight w:val="none"/>
              </w:rPr>
            </w:pPr>
            <w:r>
              <w:rPr>
                <w:rFonts w:hint="eastAsia" w:ascii="仿宋" w:hAnsi="仿宋" w:eastAsia="仿宋" w:cs="仿宋"/>
                <w:b/>
                <w:color w:val="auto"/>
                <w:highlight w:val="none"/>
              </w:rPr>
              <w:t>（1）业绩时间按合同签订时间为准；</w:t>
            </w:r>
          </w:p>
          <w:p w14:paraId="10309BBF">
            <w:pPr>
              <w:keepNext w:val="0"/>
              <w:keepLines w:val="0"/>
              <w:suppressLineNumbers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bCs/>
                <w:color w:val="auto"/>
                <w:highlight w:val="none"/>
              </w:rPr>
              <w:t>（2）业绩证明须同时提供以下材料：</w:t>
            </w:r>
          </w:p>
          <w:p w14:paraId="528BB2A3">
            <w:pPr>
              <w:keepNext w:val="0"/>
              <w:keepLines w:val="0"/>
              <w:suppressLineNumbers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bCs/>
                <w:color w:val="auto"/>
                <w:highlight w:val="none"/>
              </w:rPr>
              <w:t>合同或协议原件扫描件加盖电子公章（所提供合同证明材料须包含合同首页、合同标的物所在页及合同签字盖章页的扫描件并加盖电子公章，</w:t>
            </w:r>
            <w:r>
              <w:rPr>
                <w:rFonts w:hint="eastAsia" w:ascii="仿宋" w:hAnsi="仿宋" w:eastAsia="仿宋" w:cs="仿宋"/>
                <w:b/>
                <w:bCs/>
                <w:color w:val="auto"/>
                <w:kern w:val="0"/>
                <w:highlight w:val="none"/>
              </w:rPr>
              <w:t>如无法体现项目内容、签订日期等，须另附业主证明材料，</w:t>
            </w:r>
            <w:r>
              <w:rPr>
                <w:rFonts w:hint="eastAsia" w:ascii="仿宋" w:hAnsi="仿宋" w:eastAsia="仿宋" w:cs="仿宋"/>
                <w:b/>
                <w:bCs/>
                <w:color w:val="auto"/>
                <w:highlight w:val="none"/>
              </w:rPr>
              <w:t>否则不作为评审依据）。</w:t>
            </w:r>
          </w:p>
        </w:tc>
      </w:tr>
    </w:tbl>
    <w:p w14:paraId="602F56F2">
      <w:pPr>
        <w:pageBreakBefore w:val="0"/>
        <w:kinsoku/>
        <w:bidi w:val="0"/>
        <w:spacing w:line="360" w:lineRule="auto"/>
        <w:ind w:firstLine="422" w:firstLineChars="200"/>
        <w:rPr>
          <w:rFonts w:hint="eastAsia" w:ascii="仿宋" w:hAnsi="仿宋" w:eastAsia="仿宋" w:cs="仿宋"/>
          <w:b/>
          <w:bCs/>
          <w:color w:val="auto"/>
          <w:sz w:val="21"/>
          <w:szCs w:val="21"/>
          <w:highlight w:val="none"/>
        </w:rPr>
      </w:pPr>
    </w:p>
    <w:p w14:paraId="528E51FC">
      <w:pPr>
        <w:pageBreakBefore w:val="0"/>
        <w:kinsoku/>
        <w:bidi w:val="0"/>
        <w:spacing w:line="240" w:lineRule="auto"/>
        <w:ind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5E91AA10">
      <w:pPr>
        <w:pageBreakBefore w:val="0"/>
        <w:kinsoku/>
        <w:bidi w:val="0"/>
        <w:spacing w:line="360" w:lineRule="auto"/>
        <w:ind w:firstLine="482" w:firstLineChars="20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2标段评标办法</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45"/>
        <w:gridCol w:w="1015"/>
        <w:gridCol w:w="7160"/>
      </w:tblGrid>
      <w:tr w14:paraId="6F5E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367" w:type="pct"/>
            <w:noWrap w:val="0"/>
            <w:vAlign w:val="center"/>
          </w:tcPr>
          <w:p w14:paraId="20591488">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525" w:type="pct"/>
            <w:noWrap w:val="0"/>
            <w:vAlign w:val="center"/>
          </w:tcPr>
          <w:p w14:paraId="002DA36B">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评审项目</w:t>
            </w:r>
          </w:p>
        </w:tc>
        <w:tc>
          <w:tcPr>
            <w:tcW w:w="510" w:type="pct"/>
            <w:noWrap w:val="0"/>
            <w:vAlign w:val="center"/>
          </w:tcPr>
          <w:p w14:paraId="70DEE9B7">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分值</w:t>
            </w:r>
          </w:p>
        </w:tc>
        <w:tc>
          <w:tcPr>
            <w:tcW w:w="3596" w:type="pct"/>
            <w:noWrap w:val="0"/>
            <w:vAlign w:val="center"/>
          </w:tcPr>
          <w:p w14:paraId="3FB31C3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b/>
                <w:color w:val="auto"/>
                <w:highlight w:val="none"/>
              </w:rPr>
              <w:t>评分标准</w:t>
            </w:r>
          </w:p>
        </w:tc>
      </w:tr>
      <w:tr w14:paraId="1B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4"/>
            <w:noWrap w:val="0"/>
            <w:vAlign w:val="center"/>
          </w:tcPr>
          <w:p w14:paraId="264628C6">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F1——投标报价评分（满分为30分）</w:t>
            </w:r>
          </w:p>
        </w:tc>
      </w:tr>
      <w:tr w14:paraId="39CA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67" w:type="pct"/>
            <w:noWrap w:val="0"/>
            <w:vAlign w:val="center"/>
          </w:tcPr>
          <w:p w14:paraId="758D1F9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1</w:t>
            </w:r>
          </w:p>
        </w:tc>
        <w:tc>
          <w:tcPr>
            <w:tcW w:w="525" w:type="pct"/>
            <w:noWrap w:val="0"/>
            <w:vAlign w:val="center"/>
          </w:tcPr>
          <w:p w14:paraId="2777DF3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投标报价评审</w:t>
            </w:r>
          </w:p>
        </w:tc>
        <w:tc>
          <w:tcPr>
            <w:tcW w:w="510" w:type="pct"/>
            <w:noWrap w:val="0"/>
            <w:vAlign w:val="center"/>
          </w:tcPr>
          <w:p w14:paraId="4E7735C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30分</w:t>
            </w:r>
          </w:p>
        </w:tc>
        <w:tc>
          <w:tcPr>
            <w:tcW w:w="3596" w:type="pct"/>
            <w:noWrap w:val="0"/>
            <w:vAlign w:val="center"/>
          </w:tcPr>
          <w:p w14:paraId="309AF4B6">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1.评标基准价：满足招标文件要求且投标报价最低的有效投标报价。</w:t>
            </w:r>
          </w:p>
          <w:p w14:paraId="29F819E3">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2.得分计算：满足招标文件要求且投标价格最低的有效投标报价，其报价分为满分。其他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的报价得分统一按照下列公式计算：</w:t>
            </w:r>
          </w:p>
          <w:p w14:paraId="6E12F7B2">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投标报价得分=（评标基准价／该供应商的投标报价）×30。</w:t>
            </w:r>
          </w:p>
          <w:p w14:paraId="4E65D2D8">
            <w:pPr>
              <w:keepNext w:val="0"/>
              <w:keepLines w:val="0"/>
              <w:numPr>
                <w:ilvl w:val="0"/>
                <w:numId w:val="0"/>
              </w:numPr>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highlight w:val="none"/>
              </w:rPr>
              <w:t>对小型、微型企业或监狱企业或残疾人福利性单位的价格给予10%的扣除，用扣除后的价格参与评审。单位同属于小型、微型企业、监狱企业、残疾人福利性单位，不重复享受政策，只能扣减一次。</w:t>
            </w:r>
          </w:p>
          <w:p w14:paraId="42C30977">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项目评审过程中，不得去掉最后报价中的最高报价和最低报价。</w:t>
            </w:r>
          </w:p>
          <w:p w14:paraId="1B0C5F43">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.得分保留小数点后两位，第三位四舍五入。</w:t>
            </w:r>
          </w:p>
          <w:p w14:paraId="26F1438F">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C2FEFEA">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①如果评标委员会认为供应商的报价属于《关于推动解决政府采购异常低价问题的通知》【财库（2026）2号】规定的情形，应当启动异常低价投标（响应）审查程序，并按上述文件的有关规定作出处理。</w:t>
            </w:r>
          </w:p>
          <w:p w14:paraId="23154CFF">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②</w:t>
            </w:r>
            <w:r>
              <w:rPr>
                <w:rFonts w:hint="eastAsia" w:ascii="仿宋" w:hAnsi="仿宋" w:eastAsia="仿宋" w:cs="仿宋"/>
                <w:b/>
                <w:bCs/>
                <w:color w:val="auto"/>
                <w:highlight w:val="none"/>
              </w:rPr>
              <w:t>评标委员会根据供应商提供的小微企业或监狱企业或残疾人福利性单位相关声明函，认定其是否属于小微企业或监狱企业或残疾人福利性单位并享受相应的优惠政策。供应商对其提供的声明函的真实性负责，如有虚假，自行承担相应责任。</w:t>
            </w:r>
          </w:p>
        </w:tc>
      </w:tr>
      <w:tr w14:paraId="51EA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00" w:type="pct"/>
            <w:gridSpan w:val="4"/>
            <w:noWrap w:val="0"/>
            <w:vAlign w:val="center"/>
          </w:tcPr>
          <w:p w14:paraId="3AED12BF">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F2——技术部分评分（满分为</w:t>
            </w:r>
            <w:r>
              <w:rPr>
                <w:rFonts w:hint="eastAsia" w:ascii="仿宋" w:hAnsi="仿宋" w:eastAsia="仿宋" w:cs="仿宋"/>
                <w:b/>
                <w:color w:val="auto"/>
                <w:highlight w:val="none"/>
                <w:lang w:val="en-US" w:eastAsia="zh-CN"/>
              </w:rPr>
              <w:t>32.2</w:t>
            </w:r>
            <w:r>
              <w:rPr>
                <w:rFonts w:hint="eastAsia" w:ascii="仿宋" w:hAnsi="仿宋" w:eastAsia="仿宋" w:cs="仿宋"/>
                <w:b/>
                <w:color w:val="auto"/>
                <w:highlight w:val="none"/>
              </w:rPr>
              <w:t>分）</w:t>
            </w:r>
          </w:p>
        </w:tc>
      </w:tr>
      <w:tr w14:paraId="1525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noWrap w:val="0"/>
            <w:vAlign w:val="center"/>
          </w:tcPr>
          <w:p w14:paraId="7E50DA9A">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w:t>
            </w:r>
          </w:p>
        </w:tc>
        <w:tc>
          <w:tcPr>
            <w:tcW w:w="525" w:type="pct"/>
            <w:noWrap w:val="0"/>
            <w:vAlign w:val="center"/>
          </w:tcPr>
          <w:p w14:paraId="04DE9725">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技术参数指标响应评审</w:t>
            </w:r>
          </w:p>
        </w:tc>
        <w:tc>
          <w:tcPr>
            <w:tcW w:w="510" w:type="pct"/>
            <w:noWrap w:val="0"/>
            <w:vAlign w:val="center"/>
          </w:tcPr>
          <w:p w14:paraId="7F59A9F0">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31.2</w:t>
            </w:r>
            <w:r>
              <w:rPr>
                <w:rFonts w:hint="eastAsia" w:ascii="仿宋" w:hAnsi="仿宋" w:eastAsia="仿宋" w:cs="仿宋"/>
                <w:b/>
                <w:color w:val="auto"/>
                <w:highlight w:val="none"/>
              </w:rPr>
              <w:t>分</w:t>
            </w:r>
          </w:p>
        </w:tc>
        <w:tc>
          <w:tcPr>
            <w:tcW w:w="3596" w:type="pct"/>
            <w:noWrap w:val="0"/>
            <w:vAlign w:val="top"/>
          </w:tcPr>
          <w:p w14:paraId="4F720706">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所提供的技术参数指标对招标文件要求参数指标响应的程度</w:t>
            </w:r>
          </w:p>
          <w:p w14:paraId="229F0DD5">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根据招标文件第</w:t>
            </w:r>
            <w:r>
              <w:rPr>
                <w:rFonts w:hint="eastAsia" w:ascii="仿宋" w:hAnsi="仿宋" w:eastAsia="仿宋" w:cs="仿宋"/>
                <w:bCs/>
                <w:color w:val="auto"/>
                <w:highlight w:val="none"/>
                <w:lang w:val="en-US" w:eastAsia="zh-CN"/>
              </w:rPr>
              <w:t>六</w:t>
            </w:r>
            <w:r>
              <w:rPr>
                <w:rFonts w:hint="eastAsia" w:ascii="仿宋" w:hAnsi="仿宋" w:eastAsia="仿宋" w:cs="仿宋"/>
                <w:bCs/>
                <w:color w:val="auto"/>
                <w:highlight w:val="none"/>
              </w:rPr>
              <w:t>章采购需求及要求</w:t>
            </w:r>
            <w:r>
              <w:rPr>
                <w:rFonts w:hint="eastAsia" w:ascii="仿宋" w:hAnsi="仿宋" w:eastAsia="仿宋" w:cs="仿宋"/>
                <w:bCs/>
                <w:color w:val="auto"/>
                <w:highlight w:val="none"/>
                <w:lang w:val="en-US" w:eastAsia="zh-CN"/>
              </w:rPr>
              <w:t>2标段技术参数要求</w:t>
            </w:r>
            <w:r>
              <w:rPr>
                <w:rFonts w:hint="eastAsia" w:ascii="仿宋" w:hAnsi="仿宋" w:eastAsia="仿宋" w:cs="仿宋"/>
                <w:bCs/>
                <w:color w:val="auto"/>
                <w:highlight w:val="none"/>
              </w:rPr>
              <w:t>中“</w:t>
            </w:r>
            <w:r>
              <w:rPr>
                <w:rFonts w:hint="eastAsia" w:ascii="仿宋" w:hAnsi="仿宋" w:eastAsia="仿宋" w:cs="仿宋"/>
                <w:bCs/>
                <w:color w:val="auto"/>
                <w:highlight w:val="none"/>
                <w:lang w:val="en-US" w:eastAsia="zh-CN"/>
              </w:rPr>
              <w:t>五、主要规格及系统概述</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和</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六、系统技术参数及要求</w:t>
            </w:r>
            <w:r>
              <w:rPr>
                <w:rFonts w:hint="eastAsia" w:ascii="仿宋" w:hAnsi="仿宋" w:eastAsia="仿宋" w:cs="仿宋"/>
                <w:bCs/>
                <w:color w:val="auto"/>
                <w:highlight w:val="none"/>
              </w:rPr>
              <w:t>”</w:t>
            </w:r>
            <w:r>
              <w:rPr>
                <w:rFonts w:hint="eastAsia" w:ascii="仿宋" w:hAnsi="仿宋" w:eastAsia="仿宋" w:cs="仿宋"/>
                <w:color w:val="auto"/>
                <w:kern w:val="0"/>
                <w:highlight w:val="none"/>
              </w:rPr>
              <w:t>的内容进行评审</w:t>
            </w:r>
            <w:r>
              <w:rPr>
                <w:rFonts w:hint="eastAsia" w:ascii="仿宋" w:hAnsi="仿宋" w:eastAsia="仿宋" w:cs="仿宋"/>
                <w:bCs/>
                <w:color w:val="auto"/>
                <w:highlight w:val="none"/>
              </w:rPr>
              <w:t>：</w:t>
            </w:r>
          </w:p>
          <w:p w14:paraId="76DCE5BD">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2标段</w:t>
            </w:r>
            <w:r>
              <w:rPr>
                <w:rFonts w:hint="eastAsia" w:ascii="仿宋" w:hAnsi="仿宋" w:eastAsia="仿宋" w:cs="仿宋"/>
                <w:bCs/>
                <w:color w:val="auto"/>
                <w:highlight w:val="none"/>
              </w:rPr>
              <w:t>技术条款，共</w:t>
            </w:r>
            <w:r>
              <w:rPr>
                <w:rFonts w:hint="eastAsia" w:ascii="仿宋" w:hAnsi="仿宋" w:eastAsia="仿宋" w:cs="仿宋"/>
                <w:bCs/>
                <w:color w:val="auto"/>
                <w:highlight w:val="none"/>
                <w:lang w:val="en-US" w:eastAsia="zh-CN"/>
              </w:rPr>
              <w:t>103</w:t>
            </w:r>
            <w:r>
              <w:rPr>
                <w:rFonts w:hint="eastAsia" w:ascii="仿宋" w:hAnsi="仿宋" w:eastAsia="仿宋" w:cs="仿宋"/>
                <w:bCs/>
                <w:color w:val="auto"/>
                <w:highlight w:val="none"/>
              </w:rPr>
              <w:t>条</w:t>
            </w:r>
            <w:r>
              <w:rPr>
                <w:rFonts w:hint="eastAsia" w:ascii="仿宋" w:hAnsi="仿宋" w:eastAsia="仿宋" w:cs="仿宋"/>
                <w:bCs/>
                <w:color w:val="auto"/>
                <w:highlight w:val="none"/>
                <w:lang w:eastAsia="zh-CN"/>
              </w:rPr>
              <w:t>；</w:t>
            </w:r>
          </w:p>
          <w:p w14:paraId="2AAF3597">
            <w:pPr>
              <w:keepNext w:val="0"/>
              <w:keepLines w:val="0"/>
              <w:numPr>
                <w:ilvl w:val="0"/>
                <w:numId w:val="0"/>
              </w:numPr>
              <w:suppressLineNumbers w:val="0"/>
              <w:spacing w:before="0" w:beforeAutospacing="0" w:after="0" w:afterAutospacing="0" w:line="360" w:lineRule="auto"/>
              <w:ind w:left="210" w:leftChars="0" w:right="0" w:hanging="210" w:hangingChars="100"/>
              <w:rPr>
                <w:rFonts w:hint="eastAsia" w:ascii="仿宋" w:hAnsi="仿宋" w:eastAsia="仿宋" w:cs="仿宋"/>
                <w:bCs/>
                <w:color w:val="auto"/>
                <w:highlight w:val="none"/>
              </w:rPr>
            </w:pPr>
            <w:r>
              <w:rPr>
                <w:rFonts w:hint="eastAsia" w:ascii="仿宋" w:hAnsi="仿宋" w:eastAsia="仿宋" w:cs="仿宋"/>
                <w:bCs/>
                <w:color w:val="auto"/>
                <w:kern w:val="2"/>
                <w:sz w:val="21"/>
                <w:szCs w:val="24"/>
                <w:highlight w:val="none"/>
                <w:lang w:val="en-US" w:eastAsia="zh-CN" w:bidi="ar-SA"/>
              </w:rPr>
              <w:t>1.</w:t>
            </w:r>
            <w:r>
              <w:rPr>
                <w:rFonts w:hint="eastAsia" w:ascii="仿宋" w:hAnsi="仿宋" w:eastAsia="仿宋" w:cs="仿宋"/>
                <w:b/>
                <w:bCs w:val="0"/>
                <w:color w:val="auto"/>
                <w:highlight w:val="none"/>
                <w:lang w:val="en-US" w:eastAsia="zh-CN"/>
              </w:rPr>
              <w:t>▲参数</w:t>
            </w:r>
            <w:r>
              <w:rPr>
                <w:rFonts w:hint="eastAsia" w:ascii="仿宋" w:hAnsi="仿宋" w:eastAsia="仿宋" w:cs="仿宋"/>
                <w:bCs/>
                <w:color w:val="auto"/>
                <w:highlight w:val="none"/>
                <w:lang w:val="en-US" w:eastAsia="zh-CN"/>
              </w:rPr>
              <w:t>为关键参数共15条，满分18分，每出现一项</w:t>
            </w:r>
            <w:r>
              <w:rPr>
                <w:rFonts w:hint="eastAsia" w:ascii="仿宋" w:hAnsi="仿宋" w:eastAsia="仿宋" w:cs="仿宋"/>
                <w:bCs/>
                <w:color w:val="auto"/>
                <w:highlight w:val="none"/>
              </w:rPr>
              <w:t>负偏离扣</w:t>
            </w:r>
            <w:r>
              <w:rPr>
                <w:rFonts w:hint="eastAsia" w:ascii="仿宋" w:hAnsi="仿宋" w:eastAsia="仿宋" w:cs="仿宋"/>
                <w:bCs/>
                <w:color w:val="auto"/>
                <w:highlight w:val="none"/>
                <w:lang w:val="en-US" w:eastAsia="zh-CN"/>
              </w:rPr>
              <w:t>1.2</w:t>
            </w:r>
            <w:r>
              <w:rPr>
                <w:rFonts w:hint="eastAsia" w:ascii="仿宋" w:hAnsi="仿宋" w:eastAsia="仿宋" w:cs="仿宋"/>
                <w:bCs/>
                <w:color w:val="auto"/>
                <w:highlight w:val="none"/>
              </w:rPr>
              <w:t>分</w:t>
            </w:r>
            <w:r>
              <w:rPr>
                <w:rFonts w:hint="eastAsia" w:ascii="仿宋" w:hAnsi="仿宋" w:eastAsia="仿宋" w:cs="仿宋"/>
                <w:bCs/>
                <w:color w:val="auto"/>
                <w:highlight w:val="none"/>
                <w:lang w:val="en-US" w:eastAsia="zh-CN"/>
              </w:rPr>
              <w:t>；</w:t>
            </w:r>
          </w:p>
          <w:p w14:paraId="513FC920">
            <w:pPr>
              <w:keepNext w:val="0"/>
              <w:keepLines w:val="0"/>
              <w:numPr>
                <w:ilvl w:val="0"/>
                <w:numId w:val="0"/>
              </w:numPr>
              <w:suppressLineNumbers w:val="0"/>
              <w:spacing w:before="0" w:beforeAutospacing="0" w:after="0" w:afterAutospacing="0" w:line="360" w:lineRule="auto"/>
              <w:ind w:left="210" w:leftChars="0" w:right="0" w:hanging="210" w:hangingChars="100"/>
              <w:rPr>
                <w:rFonts w:hint="eastAsia" w:ascii="仿宋" w:hAnsi="仿宋" w:eastAsia="仿宋" w:cs="仿宋"/>
                <w:bCs/>
                <w:color w:val="auto"/>
                <w:highlight w:val="none"/>
              </w:rPr>
            </w:pPr>
            <w:r>
              <w:rPr>
                <w:rFonts w:hint="eastAsia" w:ascii="仿宋" w:hAnsi="仿宋" w:eastAsia="仿宋" w:cs="仿宋"/>
                <w:bCs/>
                <w:color w:val="auto"/>
                <w:kern w:val="2"/>
                <w:sz w:val="21"/>
                <w:szCs w:val="24"/>
                <w:highlight w:val="none"/>
                <w:lang w:val="en-US" w:eastAsia="zh-CN" w:bidi="ar-SA"/>
              </w:rPr>
              <w:t>2.</w:t>
            </w:r>
            <w:r>
              <w:rPr>
                <w:rFonts w:hint="eastAsia" w:ascii="仿宋" w:hAnsi="仿宋" w:eastAsia="仿宋" w:cs="仿宋"/>
                <w:bCs/>
                <w:color w:val="auto"/>
                <w:highlight w:val="none"/>
                <w:lang w:val="en-US" w:eastAsia="zh-CN"/>
              </w:rPr>
              <w:t>普通参数共88条，满分13.2，每出现一项负偏离扣0.15分；</w:t>
            </w:r>
          </w:p>
          <w:p w14:paraId="02548B0F">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注：若投标文件中提供的支持资料参数与技术规格偏离表应答不符或无技术资料支持该应答，视为不响应该项技术参数要求，技术部分对应参数条款扣分。支持资料指招标文件第六章“采购需求及要求”内明确要求提供的，未明确的可提供包括但不限于产品彩页、技术白皮书、检测报告等。</w:t>
            </w:r>
          </w:p>
        </w:tc>
      </w:tr>
      <w:tr w14:paraId="31A5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 w:type="pct"/>
            <w:noWrap w:val="0"/>
            <w:vAlign w:val="center"/>
          </w:tcPr>
          <w:p w14:paraId="230A68A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2</w:t>
            </w:r>
          </w:p>
        </w:tc>
        <w:tc>
          <w:tcPr>
            <w:tcW w:w="525" w:type="pct"/>
            <w:noWrap w:val="0"/>
            <w:vAlign w:val="center"/>
          </w:tcPr>
          <w:p w14:paraId="423F1610">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color w:val="auto"/>
                <w:highlight w:val="none"/>
              </w:rPr>
              <w:t>节能、</w:t>
            </w:r>
            <w:r>
              <w:rPr>
                <w:rFonts w:hint="eastAsia" w:ascii="仿宋" w:hAnsi="仿宋" w:eastAsia="仿宋" w:cs="仿宋"/>
                <w:b/>
                <w:bCs/>
                <w:color w:val="auto"/>
                <w:highlight w:val="none"/>
              </w:rPr>
              <w:t>环境标志</w:t>
            </w:r>
            <w:r>
              <w:rPr>
                <w:rFonts w:hint="eastAsia" w:ascii="仿宋" w:hAnsi="仿宋" w:eastAsia="仿宋" w:cs="仿宋"/>
                <w:b/>
                <w:color w:val="auto"/>
                <w:highlight w:val="none"/>
              </w:rPr>
              <w:t>产品</w:t>
            </w:r>
          </w:p>
        </w:tc>
        <w:tc>
          <w:tcPr>
            <w:tcW w:w="510" w:type="pct"/>
            <w:noWrap w:val="0"/>
            <w:vAlign w:val="center"/>
          </w:tcPr>
          <w:p w14:paraId="23D65399">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分</w:t>
            </w:r>
          </w:p>
          <w:p w14:paraId="531DA24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highlight w:val="none"/>
              </w:rPr>
            </w:pPr>
          </w:p>
        </w:tc>
        <w:tc>
          <w:tcPr>
            <w:tcW w:w="3596" w:type="pct"/>
            <w:noWrap w:val="0"/>
            <w:vAlign w:val="top"/>
          </w:tcPr>
          <w:p w14:paraId="78A69B79">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①产品被认定为节能产品（非政府强制采购节能产品）的得</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2A88DEF5">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②产品被认定为环保产品的得</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565E9984">
            <w:pPr>
              <w:keepNext w:val="0"/>
              <w:keepLines w:val="0"/>
              <w:suppressLineNumbers w:val="0"/>
              <w:spacing w:before="0" w:beforeAutospacing="0" w:after="0" w:afterAutospacing="0" w:line="360" w:lineRule="auto"/>
              <w:ind w:left="210" w:right="0" w:hanging="210" w:hangingChars="100"/>
              <w:rPr>
                <w:rFonts w:hint="eastAsia" w:ascii="仿宋" w:hAnsi="仿宋" w:eastAsia="仿宋" w:cs="仿宋"/>
                <w:bCs/>
                <w:color w:val="auto"/>
                <w:highlight w:val="none"/>
              </w:rPr>
            </w:pPr>
            <w:r>
              <w:rPr>
                <w:rFonts w:hint="eastAsia" w:ascii="仿宋" w:hAnsi="仿宋" w:eastAsia="仿宋" w:cs="仿宋"/>
                <w:bCs/>
                <w:color w:val="auto"/>
                <w:highlight w:val="none"/>
              </w:rPr>
              <w:t>注：产品属于节能产品或环境标志产品的，</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需在投标文件中提供有效期内经国家确定的参与实施政府采购节能产品认证机构或参与实施政府采购环境标志产品认证机构依据标准出具的节能产品、环境标志产品认证证书并标注具体型号（扫描件加盖电子公章）。</w:t>
            </w:r>
          </w:p>
        </w:tc>
      </w:tr>
      <w:tr w14:paraId="5529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4"/>
            <w:noWrap w:val="0"/>
            <w:vAlign w:val="center"/>
          </w:tcPr>
          <w:p w14:paraId="23C4AC3C">
            <w:pPr>
              <w:keepNext w:val="0"/>
              <w:keepLines w:val="0"/>
              <w:suppressLineNumbers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highlight w:val="none"/>
              </w:rPr>
              <w:t>F3——商务部分评分（满分为</w:t>
            </w:r>
            <w:r>
              <w:rPr>
                <w:rFonts w:hint="eastAsia" w:ascii="仿宋" w:hAnsi="仿宋" w:eastAsia="仿宋" w:cs="仿宋"/>
                <w:b/>
                <w:color w:val="auto"/>
                <w:highlight w:val="none"/>
                <w:lang w:val="en-US" w:eastAsia="zh-CN"/>
              </w:rPr>
              <w:t>37.8</w:t>
            </w:r>
            <w:r>
              <w:rPr>
                <w:rFonts w:hint="eastAsia" w:ascii="仿宋" w:hAnsi="仿宋" w:eastAsia="仿宋" w:cs="仿宋"/>
                <w:b/>
                <w:color w:val="auto"/>
                <w:highlight w:val="none"/>
              </w:rPr>
              <w:t>分）</w:t>
            </w:r>
          </w:p>
        </w:tc>
      </w:tr>
      <w:tr w14:paraId="7CE7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7" w:type="pct"/>
            <w:noWrap w:val="0"/>
            <w:vAlign w:val="center"/>
          </w:tcPr>
          <w:p w14:paraId="1A993D4F">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w:t>
            </w:r>
          </w:p>
        </w:tc>
        <w:tc>
          <w:tcPr>
            <w:tcW w:w="525" w:type="pct"/>
            <w:noWrap w:val="0"/>
            <w:vAlign w:val="center"/>
          </w:tcPr>
          <w:p w14:paraId="2331FE89">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kern w:val="0"/>
                <w:highlight w:val="none"/>
              </w:rPr>
            </w:pPr>
            <w:r>
              <w:rPr>
                <w:rFonts w:hint="eastAsia" w:ascii="仿宋" w:hAnsi="仿宋" w:eastAsia="仿宋" w:cs="仿宋"/>
                <w:b/>
                <w:bCs w:val="0"/>
                <w:color w:val="auto"/>
                <w:kern w:val="0"/>
                <w:sz w:val="21"/>
                <w:szCs w:val="21"/>
                <w:highlight w:val="none"/>
              </w:rPr>
              <w:t>质保期评审</w:t>
            </w:r>
          </w:p>
        </w:tc>
        <w:tc>
          <w:tcPr>
            <w:tcW w:w="510" w:type="pct"/>
            <w:noWrap w:val="0"/>
            <w:vAlign w:val="center"/>
          </w:tcPr>
          <w:p w14:paraId="09FCFB46">
            <w:pPr>
              <w:keepNext w:val="0"/>
              <w:keepLines w:val="0"/>
              <w:suppressLineNumbers w:val="0"/>
              <w:spacing w:before="0" w:beforeAutospacing="0" w:after="0" w:afterAutospacing="0" w:line="360" w:lineRule="auto"/>
              <w:ind w:left="0" w:right="0"/>
              <w:jc w:val="center"/>
              <w:rPr>
                <w:rFonts w:hint="eastAsia" w:ascii="仿宋" w:hAnsi="仿宋" w:eastAsia="仿宋" w:cs="仿宋"/>
                <w:b w:val="0"/>
                <w:bCs/>
                <w:color w:val="auto"/>
                <w:kern w:val="2"/>
                <w:highlight w:val="none"/>
              </w:rPr>
            </w:pPr>
            <w:r>
              <w:rPr>
                <w:rFonts w:hint="eastAsia" w:ascii="仿宋" w:hAnsi="仿宋" w:eastAsia="仿宋" w:cs="仿宋"/>
                <w:b/>
                <w:bCs/>
                <w:color w:val="auto"/>
                <w:kern w:val="2"/>
                <w:sz w:val="21"/>
                <w:szCs w:val="21"/>
                <w:highlight w:val="none"/>
                <w:lang w:val="en-US" w:eastAsia="zh-CN"/>
              </w:rPr>
              <w:t>2</w:t>
            </w:r>
            <w:r>
              <w:rPr>
                <w:rFonts w:hint="eastAsia" w:ascii="仿宋" w:hAnsi="仿宋" w:eastAsia="仿宋" w:cs="仿宋"/>
                <w:b/>
                <w:bCs/>
                <w:color w:val="auto"/>
                <w:kern w:val="2"/>
                <w:sz w:val="21"/>
                <w:szCs w:val="21"/>
                <w:highlight w:val="none"/>
              </w:rPr>
              <w:t>分</w:t>
            </w:r>
          </w:p>
        </w:tc>
        <w:tc>
          <w:tcPr>
            <w:tcW w:w="3596" w:type="pct"/>
            <w:noWrap w:val="0"/>
            <w:vAlign w:val="center"/>
          </w:tcPr>
          <w:p w14:paraId="078CDBB7">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质保期</w:t>
            </w:r>
            <w:r>
              <w:rPr>
                <w:rFonts w:hint="eastAsia" w:ascii="仿宋" w:hAnsi="仿宋" w:eastAsia="仿宋" w:cs="仿宋"/>
                <w:bCs/>
                <w:color w:val="auto"/>
                <w:sz w:val="21"/>
                <w:szCs w:val="21"/>
                <w:highlight w:val="none"/>
                <w:lang w:val="en-US" w:eastAsia="zh-CN"/>
              </w:rPr>
              <w:t>在满足商务要求的基础上，</w:t>
            </w:r>
            <w:r>
              <w:rPr>
                <w:rFonts w:hint="eastAsia" w:ascii="仿宋" w:hAnsi="仿宋" w:eastAsia="仿宋" w:cs="仿宋"/>
                <w:bCs/>
                <w:color w:val="auto"/>
                <w:sz w:val="21"/>
                <w:szCs w:val="21"/>
                <w:highlight w:val="none"/>
              </w:rPr>
              <w:t>每增加一年（12个月，不足12个月的不计）加</w:t>
            </w: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分，加满为止。</w:t>
            </w:r>
          </w:p>
        </w:tc>
      </w:tr>
      <w:tr w14:paraId="5261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7" w:type="pct"/>
            <w:noWrap w:val="0"/>
            <w:vAlign w:val="center"/>
          </w:tcPr>
          <w:p w14:paraId="6E39F8D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2</w:t>
            </w:r>
          </w:p>
        </w:tc>
        <w:tc>
          <w:tcPr>
            <w:tcW w:w="525" w:type="pct"/>
            <w:noWrap w:val="0"/>
            <w:vAlign w:val="center"/>
          </w:tcPr>
          <w:p w14:paraId="6421F89A">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项目实施方案评审</w:t>
            </w:r>
          </w:p>
        </w:tc>
        <w:tc>
          <w:tcPr>
            <w:tcW w:w="510" w:type="pct"/>
            <w:noWrap w:val="0"/>
            <w:vAlign w:val="center"/>
          </w:tcPr>
          <w:p w14:paraId="4E1D29C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15</w:t>
            </w:r>
            <w:r>
              <w:rPr>
                <w:rFonts w:hint="eastAsia" w:ascii="仿宋" w:hAnsi="仿宋" w:eastAsia="仿宋" w:cs="仿宋"/>
                <w:b/>
                <w:bCs/>
                <w:color w:val="auto"/>
                <w:highlight w:val="none"/>
              </w:rPr>
              <w:t>分</w:t>
            </w:r>
          </w:p>
        </w:tc>
        <w:tc>
          <w:tcPr>
            <w:tcW w:w="3596" w:type="pct"/>
            <w:noWrap w:val="0"/>
            <w:vAlign w:val="center"/>
          </w:tcPr>
          <w:p w14:paraId="55DF77C4">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”编制项目实施方案进行评审；（满分</w:t>
            </w:r>
            <w:r>
              <w:rPr>
                <w:rFonts w:hint="eastAsia" w:ascii="仿宋" w:hAnsi="仿宋" w:eastAsia="仿宋" w:cs="仿宋"/>
                <w:bCs/>
                <w:color w:val="auto"/>
                <w:highlight w:val="none"/>
                <w:lang w:val="en-US" w:eastAsia="zh-CN"/>
              </w:rPr>
              <w:t>15</w:t>
            </w:r>
            <w:r>
              <w:rPr>
                <w:rFonts w:hint="eastAsia" w:ascii="仿宋" w:hAnsi="仿宋" w:eastAsia="仿宋" w:cs="仿宋"/>
                <w:bCs/>
                <w:color w:val="auto"/>
                <w:highlight w:val="none"/>
              </w:rPr>
              <w:t>分）</w:t>
            </w:r>
          </w:p>
          <w:p w14:paraId="1CEB8F2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括：①项目实施前技术交底（包括但不限于场地查看、配套资料的准备）；②进度计划及保证措施（根据项目特点，将总进度计划进行分解）；③产品质量保证措施（包括但不限于产品质量保证控制、设备安全性能测试和检修与维护措施、</w:t>
            </w:r>
            <w:r>
              <w:rPr>
                <w:rFonts w:hint="eastAsia" w:ascii="仿宋" w:hAnsi="仿宋" w:eastAsia="仿宋" w:cs="仿宋"/>
                <w:bCs/>
                <w:color w:val="auto"/>
                <w:kern w:val="0"/>
                <w:highlight w:val="none"/>
              </w:rPr>
              <w:t>场地的防护</w:t>
            </w:r>
            <w:r>
              <w:rPr>
                <w:rFonts w:hint="eastAsia" w:ascii="仿宋" w:hAnsi="仿宋" w:eastAsia="仿宋" w:cs="仿宋"/>
                <w:bCs/>
                <w:color w:val="auto"/>
                <w:highlight w:val="none"/>
              </w:rPr>
              <w:t>等）；④突发事件紧急事件处置预案（包括项目实施过程中可能遇到的各种风险、项目运行维护过程中的应急预案及相应的解决措施）；⑤验收方案（包括但不限于验收标准、验收程序、不合格品处理、验收资料收集归档等）。</w:t>
            </w:r>
          </w:p>
          <w:p w14:paraId="1094EADB">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以上5项内容无漏项得</w:t>
            </w: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w:t>
            </w:r>
          </w:p>
          <w:p w14:paraId="1F05AD76">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以上5项内容无缺陷得</w:t>
            </w:r>
            <w:r>
              <w:rPr>
                <w:rFonts w:hint="eastAsia" w:ascii="仿宋" w:hAnsi="仿宋" w:eastAsia="仿宋" w:cs="仿宋"/>
                <w:bCs/>
                <w:color w:val="auto"/>
                <w:highlight w:val="none"/>
                <w:lang w:val="en-US" w:eastAsia="zh-CN"/>
              </w:rPr>
              <w:t>10</w:t>
            </w:r>
            <w:r>
              <w:rPr>
                <w:rFonts w:hint="eastAsia" w:ascii="仿宋" w:hAnsi="仿宋" w:eastAsia="仿宋" w:cs="仿宋"/>
                <w:bCs/>
                <w:color w:val="auto"/>
                <w:highlight w:val="none"/>
              </w:rPr>
              <w:t>分，每有一项内容在缺陷的扣</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04A963F5">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涉及的规范及标准错误、方案内容交叉混乱、缺乏重点、生搬硬造、套用错用、存在歧义、层次粗略、仅有标题或框架缺乏具体说明阐述的情形等任意一种情形。）</w:t>
            </w:r>
          </w:p>
          <w:p w14:paraId="219133BC">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注：无项目实施方案的，本项不得分。</w:t>
            </w:r>
          </w:p>
        </w:tc>
      </w:tr>
      <w:tr w14:paraId="5C19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7" w:type="pct"/>
            <w:noWrap w:val="0"/>
            <w:vAlign w:val="center"/>
          </w:tcPr>
          <w:p w14:paraId="05C99C6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3</w:t>
            </w:r>
          </w:p>
        </w:tc>
        <w:tc>
          <w:tcPr>
            <w:tcW w:w="525" w:type="pct"/>
            <w:noWrap w:val="0"/>
            <w:vAlign w:val="center"/>
          </w:tcPr>
          <w:p w14:paraId="32790B5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培训方案评审</w:t>
            </w:r>
          </w:p>
        </w:tc>
        <w:tc>
          <w:tcPr>
            <w:tcW w:w="510" w:type="pct"/>
            <w:noWrap w:val="0"/>
            <w:vAlign w:val="center"/>
          </w:tcPr>
          <w:p w14:paraId="3C8DDDE7">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分</w:t>
            </w:r>
          </w:p>
        </w:tc>
        <w:tc>
          <w:tcPr>
            <w:tcW w:w="3596" w:type="pct"/>
            <w:noWrap w:val="0"/>
            <w:vAlign w:val="top"/>
          </w:tcPr>
          <w:p w14:paraId="29EB94CE">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”编制培训方案进行评审；（满分</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分）</w:t>
            </w:r>
          </w:p>
          <w:p w14:paraId="5E132DAA">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方案包含：①培训计划；②培训内容</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③</w:t>
            </w:r>
            <w:r>
              <w:rPr>
                <w:rFonts w:hint="eastAsia" w:ascii="仿宋" w:hAnsi="仿宋" w:eastAsia="仿宋" w:cs="仿宋"/>
                <w:bCs/>
                <w:color w:val="auto"/>
                <w:highlight w:val="none"/>
              </w:rPr>
              <w:t>课程安排；</w:t>
            </w:r>
            <w:r>
              <w:rPr>
                <w:rFonts w:hint="eastAsia" w:ascii="仿宋" w:hAnsi="仿宋" w:eastAsia="仿宋" w:cs="仿宋"/>
                <w:bCs/>
                <w:color w:val="auto"/>
                <w:highlight w:val="none"/>
                <w:lang w:val="en-US" w:eastAsia="zh-CN"/>
              </w:rPr>
              <w:t>④</w:t>
            </w:r>
            <w:r>
              <w:rPr>
                <w:rFonts w:hint="eastAsia" w:ascii="仿宋" w:hAnsi="仿宋" w:eastAsia="仿宋" w:cs="仿宋"/>
                <w:bCs/>
                <w:color w:val="auto"/>
                <w:highlight w:val="none"/>
              </w:rPr>
              <w:t>授课方式</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⑤</w:t>
            </w:r>
            <w:r>
              <w:rPr>
                <w:rFonts w:hint="eastAsia" w:ascii="仿宋" w:hAnsi="仿宋" w:eastAsia="仿宋" w:cs="仿宋"/>
                <w:bCs/>
                <w:color w:val="auto"/>
                <w:highlight w:val="none"/>
              </w:rPr>
              <w:t>培训目标；</w:t>
            </w:r>
            <w:r>
              <w:rPr>
                <w:rFonts w:hint="eastAsia" w:ascii="仿宋" w:hAnsi="仿宋" w:eastAsia="仿宋" w:cs="仿宋"/>
                <w:bCs/>
                <w:color w:val="auto"/>
                <w:highlight w:val="none"/>
                <w:lang w:val="en-US" w:eastAsia="zh-CN"/>
              </w:rPr>
              <w:t>⑥</w:t>
            </w:r>
            <w:r>
              <w:rPr>
                <w:rFonts w:hint="eastAsia" w:ascii="仿宋" w:hAnsi="仿宋" w:eastAsia="仿宋" w:cs="仿宋"/>
                <w:bCs/>
                <w:color w:val="auto"/>
                <w:highlight w:val="none"/>
              </w:rPr>
              <w:t>培训考核；</w:t>
            </w:r>
          </w:p>
          <w:p w14:paraId="31E6DCD2">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1.2</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0.2</w:t>
            </w:r>
            <w:r>
              <w:rPr>
                <w:rFonts w:hint="eastAsia" w:ascii="仿宋" w:hAnsi="仿宋" w:eastAsia="仿宋" w:cs="仿宋"/>
                <w:bCs/>
                <w:color w:val="auto"/>
                <w:highlight w:val="none"/>
              </w:rPr>
              <w:t>分；</w:t>
            </w:r>
          </w:p>
          <w:p w14:paraId="4A431B0A">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4.8</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0.6</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77591778">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2F072335">
            <w:pPr>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color w:val="auto"/>
                <w:kern w:val="0"/>
                <w:highlight w:val="none"/>
              </w:rPr>
              <w:t>注：无培训方案的，本项不得分。</w:t>
            </w:r>
          </w:p>
        </w:tc>
      </w:tr>
      <w:tr w14:paraId="4375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7" w:type="pct"/>
            <w:noWrap w:val="0"/>
            <w:vAlign w:val="center"/>
          </w:tcPr>
          <w:p w14:paraId="14DA050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4</w:t>
            </w:r>
          </w:p>
        </w:tc>
        <w:tc>
          <w:tcPr>
            <w:tcW w:w="525" w:type="pct"/>
            <w:noWrap w:val="0"/>
            <w:vAlign w:val="center"/>
          </w:tcPr>
          <w:p w14:paraId="69D949A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售后服务方案评审</w:t>
            </w:r>
          </w:p>
        </w:tc>
        <w:tc>
          <w:tcPr>
            <w:tcW w:w="510" w:type="pct"/>
            <w:noWrap w:val="0"/>
            <w:vAlign w:val="center"/>
          </w:tcPr>
          <w:p w14:paraId="391B304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9</w:t>
            </w:r>
            <w:r>
              <w:rPr>
                <w:rFonts w:hint="eastAsia" w:ascii="仿宋" w:hAnsi="仿宋" w:eastAsia="仿宋" w:cs="仿宋"/>
                <w:b/>
                <w:bCs/>
                <w:color w:val="auto"/>
                <w:highlight w:val="none"/>
              </w:rPr>
              <w:t>分</w:t>
            </w:r>
          </w:p>
        </w:tc>
        <w:tc>
          <w:tcPr>
            <w:tcW w:w="3596" w:type="pct"/>
            <w:noWrap w:val="0"/>
            <w:vAlign w:val="top"/>
          </w:tcPr>
          <w:p w14:paraId="14F2E6D4">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bookmarkStart w:id="631" w:name="OLE_LINK20"/>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”编制售后服务方案进行评审；（满分</w:t>
            </w:r>
            <w:r>
              <w:rPr>
                <w:rFonts w:hint="eastAsia" w:ascii="仿宋" w:hAnsi="仿宋" w:eastAsia="仿宋" w:cs="仿宋"/>
                <w:bCs/>
                <w:color w:val="auto"/>
                <w:highlight w:val="none"/>
                <w:lang w:val="en-US" w:eastAsia="zh-CN"/>
              </w:rPr>
              <w:t>9</w:t>
            </w:r>
            <w:r>
              <w:rPr>
                <w:rFonts w:hint="eastAsia" w:ascii="仿宋" w:hAnsi="仿宋" w:eastAsia="仿宋" w:cs="仿宋"/>
                <w:bCs/>
                <w:color w:val="auto"/>
                <w:highlight w:val="none"/>
              </w:rPr>
              <w:t>分）</w:t>
            </w:r>
          </w:p>
          <w:p w14:paraId="3EC37A8B">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方案包括：①售后服务机构</w:t>
            </w:r>
            <w:r>
              <w:rPr>
                <w:rFonts w:hint="eastAsia" w:ascii="仿宋" w:hAnsi="仿宋" w:eastAsia="仿宋" w:cs="仿宋"/>
                <w:bCs/>
                <w:color w:val="auto"/>
                <w:highlight w:val="none"/>
                <w:lang w:val="en-US" w:eastAsia="zh-CN"/>
              </w:rPr>
              <w:t>及</w:t>
            </w:r>
            <w:r>
              <w:rPr>
                <w:rFonts w:hint="eastAsia" w:ascii="仿宋" w:hAnsi="仿宋" w:eastAsia="仿宋" w:cs="仿宋"/>
                <w:bCs/>
                <w:color w:val="auto"/>
                <w:highlight w:val="none"/>
              </w:rPr>
              <w:t>专业技术人员（</w:t>
            </w:r>
            <w:r>
              <w:rPr>
                <w:rFonts w:hint="eastAsia" w:ascii="仿宋" w:hAnsi="仿宋" w:eastAsia="仿宋" w:cs="仿宋"/>
                <w:bCs/>
                <w:color w:val="auto"/>
                <w:highlight w:val="none"/>
                <w:lang w:val="en-US" w:eastAsia="zh-CN"/>
              </w:rPr>
              <w:t>包括机构名称、</w:t>
            </w:r>
            <w:r>
              <w:rPr>
                <w:rFonts w:hint="eastAsia" w:ascii="仿宋" w:hAnsi="仿宋" w:eastAsia="仿宋" w:cs="仿宋"/>
                <w:bCs/>
                <w:color w:val="auto"/>
                <w:highlight w:val="none"/>
              </w:rPr>
              <w:t>明确人员姓名、年龄、专业、类似项目售后服务经验、联系方式等）；</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售后服务联系方式（技术支持和售后服务的方式包括电话支持、远程网络支持、现场支持等多种组织形式）；</w:t>
            </w:r>
            <w:r>
              <w:rPr>
                <w:rFonts w:hint="eastAsia" w:ascii="仿宋" w:hAnsi="仿宋" w:eastAsia="仿宋" w:cs="仿宋"/>
                <w:bCs/>
                <w:color w:val="auto"/>
                <w:highlight w:val="none"/>
                <w:lang w:val="en-US" w:eastAsia="zh-CN"/>
              </w:rPr>
              <w:t>③</w:t>
            </w:r>
            <w:r>
              <w:rPr>
                <w:rFonts w:hint="eastAsia" w:ascii="仿宋" w:hAnsi="仿宋" w:eastAsia="仿宋" w:cs="仿宋"/>
                <w:bCs/>
                <w:color w:val="auto"/>
                <w:highlight w:val="none"/>
              </w:rPr>
              <w:t>日常维护方案（包括但不限于电话服务、网络服务、现场服务、巡检服务等）等。</w:t>
            </w:r>
          </w:p>
          <w:p w14:paraId="30ADE818">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w:t>
            </w:r>
          </w:p>
          <w:p w14:paraId="780421D9">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00FE4B46">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09A5FB5A">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highlight w:val="none"/>
              </w:rPr>
            </w:pPr>
            <w:r>
              <w:rPr>
                <w:rFonts w:hint="eastAsia" w:ascii="仿宋" w:hAnsi="仿宋" w:eastAsia="仿宋" w:cs="仿宋"/>
                <w:b/>
                <w:color w:val="auto"/>
                <w:kern w:val="0"/>
                <w:highlight w:val="none"/>
              </w:rPr>
              <w:t>注：无售后服务方案的，本项不得分。</w:t>
            </w:r>
            <w:bookmarkEnd w:id="631"/>
          </w:p>
        </w:tc>
      </w:tr>
      <w:tr w14:paraId="7914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7" w:type="pct"/>
            <w:noWrap w:val="0"/>
            <w:vAlign w:val="center"/>
          </w:tcPr>
          <w:p w14:paraId="7BEC7031">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p>
        </w:tc>
        <w:tc>
          <w:tcPr>
            <w:tcW w:w="525" w:type="pct"/>
            <w:noWrap w:val="0"/>
            <w:vAlign w:val="center"/>
          </w:tcPr>
          <w:p w14:paraId="2D5FAC9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bookmarkStart w:id="632" w:name="OLE_LINK21"/>
            <w:r>
              <w:rPr>
                <w:rFonts w:hint="eastAsia" w:ascii="仿宋" w:hAnsi="仿宋" w:eastAsia="仿宋" w:cs="仿宋"/>
                <w:b/>
                <w:bCs/>
                <w:color w:val="auto"/>
                <w:highlight w:val="none"/>
              </w:rPr>
              <w:t>售后服务延伸方案评审</w:t>
            </w:r>
            <w:bookmarkEnd w:id="632"/>
          </w:p>
        </w:tc>
        <w:tc>
          <w:tcPr>
            <w:tcW w:w="510" w:type="pct"/>
            <w:noWrap w:val="0"/>
            <w:vAlign w:val="center"/>
          </w:tcPr>
          <w:p w14:paraId="1369A03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分</w:t>
            </w:r>
          </w:p>
        </w:tc>
        <w:tc>
          <w:tcPr>
            <w:tcW w:w="3596" w:type="pct"/>
            <w:noWrap w:val="0"/>
            <w:vAlign w:val="top"/>
          </w:tcPr>
          <w:p w14:paraId="53A575A3">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对</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根据招标文件“</w:t>
            </w:r>
            <w:r>
              <w:rPr>
                <w:rFonts w:hint="eastAsia" w:ascii="仿宋" w:hAnsi="仿宋" w:eastAsia="仿宋" w:cs="仿宋"/>
                <w:bCs/>
                <w:color w:val="auto"/>
                <w:highlight w:val="none"/>
                <w:lang w:eastAsia="zh-CN"/>
              </w:rPr>
              <w:t>第六章采购需求及要求</w:t>
            </w:r>
            <w:r>
              <w:rPr>
                <w:rFonts w:hint="eastAsia" w:ascii="仿宋" w:hAnsi="仿宋" w:eastAsia="仿宋" w:cs="仿宋"/>
                <w:bCs/>
                <w:color w:val="auto"/>
                <w:highlight w:val="none"/>
              </w:rPr>
              <w:t>”编制售后服务延伸方案进行评审；（满分</w:t>
            </w: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分）</w:t>
            </w:r>
          </w:p>
          <w:p w14:paraId="646F2FA1">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方案包含：①</w:t>
            </w:r>
            <w:r>
              <w:rPr>
                <w:rFonts w:hint="eastAsia" w:ascii="仿宋" w:hAnsi="仿宋" w:eastAsia="仿宋" w:cs="仿宋"/>
                <w:bCs/>
                <w:color w:val="auto"/>
                <w:highlight w:val="none"/>
                <w:lang w:eastAsia="zh-CN"/>
              </w:rPr>
              <w:t>质保期</w:t>
            </w:r>
            <w:r>
              <w:rPr>
                <w:rFonts w:hint="eastAsia" w:ascii="仿宋" w:hAnsi="仿宋" w:eastAsia="仿宋" w:cs="仿宋"/>
                <w:bCs/>
                <w:color w:val="auto"/>
                <w:highlight w:val="none"/>
              </w:rPr>
              <w:t>结束后维修保养方案</w:t>
            </w:r>
            <w:r>
              <w:rPr>
                <w:rFonts w:hint="eastAsia" w:ascii="仿宋" w:hAnsi="仿宋" w:eastAsia="仿宋" w:cs="仿宋"/>
                <w:bCs/>
                <w:color w:val="auto"/>
                <w:highlight w:val="none"/>
                <w:lang w:val="en-US" w:eastAsia="zh-CN"/>
              </w:rPr>
              <w:t>及</w:t>
            </w:r>
            <w:r>
              <w:rPr>
                <w:rFonts w:hint="eastAsia" w:ascii="仿宋" w:hAnsi="仿宋" w:eastAsia="仿宋" w:cs="仿宋"/>
                <w:bCs/>
                <w:color w:val="auto"/>
                <w:highlight w:val="none"/>
              </w:rPr>
              <w:t>软件或硬件更新升级（包括但不限于维修保养方案</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设备固件性能升级、设备系统升级、使用的平台升级）；</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优惠措施（包括但不限于</w:t>
            </w:r>
            <w:r>
              <w:rPr>
                <w:rFonts w:hint="eastAsia" w:ascii="仿宋" w:hAnsi="仿宋" w:eastAsia="仿宋" w:cs="仿宋"/>
                <w:bCs/>
                <w:color w:val="auto"/>
                <w:highlight w:val="none"/>
                <w:lang w:eastAsia="zh-CN"/>
              </w:rPr>
              <w:t>质保期</w:t>
            </w:r>
            <w:r>
              <w:rPr>
                <w:rFonts w:hint="eastAsia" w:ascii="仿宋" w:hAnsi="仿宋" w:eastAsia="仿宋" w:cs="仿宋"/>
                <w:bCs/>
                <w:color w:val="auto"/>
                <w:highlight w:val="none"/>
              </w:rPr>
              <w:t>结束后维修价格、配件价格、耗材价格优惠等）。</w:t>
            </w:r>
          </w:p>
          <w:p w14:paraId="5C191C1D">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项内容无漏项得</w:t>
            </w:r>
            <w:r>
              <w:rPr>
                <w:rFonts w:hint="eastAsia" w:ascii="仿宋" w:hAnsi="仿宋" w:eastAsia="仿宋" w:cs="仿宋"/>
                <w:bCs/>
                <w:color w:val="auto"/>
                <w:highlight w:val="none"/>
                <w:lang w:val="en-US" w:eastAsia="zh-CN"/>
              </w:rPr>
              <w:t>1</w:t>
            </w:r>
            <w:r>
              <w:rPr>
                <w:rFonts w:hint="eastAsia" w:ascii="仿宋" w:hAnsi="仿宋" w:eastAsia="仿宋" w:cs="仿宋"/>
                <w:bCs/>
                <w:color w:val="auto"/>
                <w:highlight w:val="none"/>
              </w:rPr>
              <w:t>分，每缺少一项扣</w:t>
            </w:r>
            <w:r>
              <w:rPr>
                <w:rFonts w:hint="eastAsia" w:ascii="仿宋" w:hAnsi="仿宋" w:eastAsia="仿宋" w:cs="仿宋"/>
                <w:bCs/>
                <w:color w:val="auto"/>
                <w:highlight w:val="none"/>
                <w:lang w:val="en-US" w:eastAsia="zh-CN"/>
              </w:rPr>
              <w:t>0.5</w:t>
            </w:r>
            <w:r>
              <w:rPr>
                <w:rFonts w:hint="eastAsia" w:ascii="仿宋" w:hAnsi="仿宋" w:eastAsia="仿宋" w:cs="仿宋"/>
                <w:bCs/>
                <w:color w:val="auto"/>
                <w:highlight w:val="none"/>
              </w:rPr>
              <w:t>分；</w:t>
            </w:r>
          </w:p>
          <w:p w14:paraId="27CBCEFF">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以上</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项内容无缺陷得</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分，每有一项内容存在缺陷的扣</w:t>
            </w:r>
            <w:r>
              <w:rPr>
                <w:rFonts w:hint="eastAsia" w:ascii="仿宋" w:hAnsi="仿宋" w:eastAsia="仿宋" w:cs="仿宋"/>
                <w:bCs/>
                <w:color w:val="auto"/>
                <w:highlight w:val="none"/>
                <w:lang w:val="en-US" w:eastAsia="zh-CN"/>
              </w:rPr>
              <w:t>1.5</w:t>
            </w:r>
            <w:r>
              <w:rPr>
                <w:rFonts w:hint="eastAsia" w:ascii="仿宋" w:hAnsi="仿宋" w:eastAsia="仿宋" w:cs="仿宋"/>
                <w:bCs/>
                <w:color w:val="auto"/>
                <w:highlight w:val="none"/>
              </w:rPr>
              <w:t>分</w:t>
            </w:r>
            <w:r>
              <w:rPr>
                <w:rFonts w:hint="eastAsia" w:ascii="仿宋" w:hAnsi="仿宋" w:eastAsia="仿宋" w:cs="仿宋"/>
                <w:bCs/>
                <w:color w:val="auto"/>
                <w:highlight w:val="none"/>
                <w:lang w:eastAsia="zh-CN"/>
              </w:rPr>
              <w:t>；</w:t>
            </w:r>
          </w:p>
          <w:p w14:paraId="74763E50">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rPr>
              <w:t>（缺陷是指：非专门针对本项目或不适用项目特性的情形、套用其他项目方案、内容前后矛盾、方案内容交叉混乱、缺乏重点、生搬硬造、套用错用、存在歧义、层次粗略、仅有标题或框架缺乏具体说明阐述的情形等任意一种情形。）</w:t>
            </w:r>
          </w:p>
          <w:p w14:paraId="603A4B85">
            <w:pPr>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color w:val="auto"/>
                <w:kern w:val="0"/>
                <w:highlight w:val="none"/>
              </w:rPr>
              <w:t>注：无售后服务延伸方案的，本项不得分。</w:t>
            </w:r>
          </w:p>
        </w:tc>
      </w:tr>
      <w:tr w14:paraId="568D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67" w:type="pct"/>
            <w:noWrap w:val="0"/>
            <w:vAlign w:val="center"/>
          </w:tcPr>
          <w:p w14:paraId="7EC9AA51">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p>
        </w:tc>
        <w:tc>
          <w:tcPr>
            <w:tcW w:w="525" w:type="pct"/>
            <w:noWrap w:val="0"/>
            <w:vAlign w:val="center"/>
          </w:tcPr>
          <w:p w14:paraId="25069A4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bookmarkStart w:id="633" w:name="OLE_LINK22"/>
            <w:r>
              <w:rPr>
                <w:rFonts w:hint="eastAsia" w:ascii="仿宋" w:hAnsi="仿宋" w:eastAsia="仿宋" w:cs="仿宋"/>
                <w:b/>
                <w:bCs/>
                <w:color w:val="auto"/>
                <w:highlight w:val="none"/>
              </w:rPr>
              <w:t>类似业绩评审</w:t>
            </w:r>
            <w:bookmarkEnd w:id="633"/>
          </w:p>
        </w:tc>
        <w:tc>
          <w:tcPr>
            <w:tcW w:w="510" w:type="pct"/>
            <w:noWrap w:val="0"/>
            <w:vAlign w:val="center"/>
          </w:tcPr>
          <w:p w14:paraId="337D1F71">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1.8</w:t>
            </w:r>
            <w:r>
              <w:rPr>
                <w:rFonts w:hint="eastAsia" w:ascii="仿宋" w:hAnsi="仿宋" w:eastAsia="仿宋" w:cs="仿宋"/>
                <w:b/>
                <w:bCs/>
                <w:color w:val="auto"/>
                <w:highlight w:val="none"/>
              </w:rPr>
              <w:t>分</w:t>
            </w:r>
          </w:p>
        </w:tc>
        <w:tc>
          <w:tcPr>
            <w:tcW w:w="3596" w:type="pct"/>
            <w:noWrap w:val="0"/>
            <w:vAlign w:val="center"/>
          </w:tcPr>
          <w:p w14:paraId="76F339BF">
            <w:pPr>
              <w:keepNext w:val="0"/>
              <w:keepLines w:val="0"/>
              <w:suppressLineNumbers w:val="0"/>
              <w:spacing w:before="0" w:beforeAutospacing="0" w:after="0" w:afterAutospacing="0" w:line="360" w:lineRule="auto"/>
              <w:ind w:left="0" w:right="0"/>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202</w:t>
            </w: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年1月1日起至今类似业绩，每提供一项得</w:t>
            </w:r>
            <w:r>
              <w:rPr>
                <w:rFonts w:hint="eastAsia" w:ascii="仿宋" w:hAnsi="仿宋" w:eastAsia="仿宋" w:cs="仿宋"/>
                <w:bCs/>
                <w:color w:val="auto"/>
                <w:highlight w:val="none"/>
                <w:lang w:val="en-US" w:eastAsia="zh-CN"/>
              </w:rPr>
              <w:t>1.8</w:t>
            </w:r>
            <w:r>
              <w:rPr>
                <w:rFonts w:hint="eastAsia" w:ascii="仿宋" w:hAnsi="仿宋" w:eastAsia="仿宋" w:cs="仿宋"/>
                <w:bCs/>
                <w:color w:val="auto"/>
                <w:highlight w:val="none"/>
              </w:rPr>
              <w:t>分。（满分</w:t>
            </w:r>
            <w:r>
              <w:rPr>
                <w:rFonts w:hint="eastAsia" w:ascii="仿宋" w:hAnsi="仿宋" w:eastAsia="仿宋" w:cs="仿宋"/>
                <w:bCs/>
                <w:color w:val="auto"/>
                <w:highlight w:val="none"/>
                <w:lang w:val="en-US" w:eastAsia="zh-CN"/>
              </w:rPr>
              <w:t>1.8</w:t>
            </w:r>
            <w:r>
              <w:rPr>
                <w:rFonts w:hint="eastAsia" w:ascii="仿宋" w:hAnsi="仿宋" w:eastAsia="仿宋" w:cs="仿宋"/>
                <w:bCs/>
                <w:color w:val="auto"/>
                <w:highlight w:val="none"/>
              </w:rPr>
              <w:t>分）</w:t>
            </w:r>
          </w:p>
          <w:p w14:paraId="700698C5">
            <w:pPr>
              <w:keepNext w:val="0"/>
              <w:keepLines w:val="0"/>
              <w:suppressLineNumbers w:val="0"/>
              <w:spacing w:before="0" w:beforeAutospacing="0" w:after="0" w:afterAutospacing="0" w:line="360" w:lineRule="auto"/>
              <w:ind w:left="0" w:right="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4700ED7B">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highlight w:val="none"/>
              </w:rPr>
            </w:pPr>
            <w:r>
              <w:rPr>
                <w:rFonts w:hint="eastAsia" w:ascii="仿宋" w:hAnsi="仿宋" w:eastAsia="仿宋" w:cs="仿宋"/>
                <w:b/>
                <w:color w:val="auto"/>
                <w:highlight w:val="none"/>
              </w:rPr>
              <w:t>（1）业绩时间按合同签订时间为准；</w:t>
            </w:r>
          </w:p>
          <w:p w14:paraId="34988913">
            <w:pPr>
              <w:keepNext w:val="0"/>
              <w:keepLines w:val="0"/>
              <w:suppressLineNumbers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bCs/>
                <w:color w:val="auto"/>
                <w:highlight w:val="none"/>
              </w:rPr>
              <w:t>（2）业绩证明须同时提供以下材料：</w:t>
            </w:r>
          </w:p>
          <w:p w14:paraId="06712646">
            <w:pPr>
              <w:keepNext w:val="0"/>
              <w:keepLines w:val="0"/>
              <w:suppressLineNumbers w:val="0"/>
              <w:spacing w:before="0" w:beforeAutospacing="0" w:after="0" w:afterAutospacing="0" w:line="360" w:lineRule="auto"/>
              <w:ind w:left="0" w:right="0"/>
              <w:rPr>
                <w:rFonts w:hint="eastAsia" w:ascii="仿宋" w:hAnsi="仿宋" w:eastAsia="仿宋" w:cs="仿宋"/>
                <w:b/>
                <w:bCs/>
                <w:color w:val="auto"/>
                <w:highlight w:val="none"/>
              </w:rPr>
            </w:pPr>
            <w:r>
              <w:rPr>
                <w:rFonts w:hint="eastAsia" w:ascii="仿宋" w:hAnsi="仿宋" w:eastAsia="仿宋" w:cs="仿宋"/>
                <w:b/>
                <w:bCs/>
                <w:color w:val="auto"/>
                <w:highlight w:val="none"/>
              </w:rPr>
              <w:t>合同或协议原件扫描件加盖电子公章（所提供合同证明材料须包含合同首页、合同标的物所在页及合同签字盖章页的扫描件并加盖电子公章，</w:t>
            </w:r>
            <w:r>
              <w:rPr>
                <w:rFonts w:hint="eastAsia" w:ascii="仿宋" w:hAnsi="仿宋" w:eastAsia="仿宋" w:cs="仿宋"/>
                <w:b/>
                <w:bCs/>
                <w:color w:val="auto"/>
                <w:kern w:val="0"/>
                <w:highlight w:val="none"/>
              </w:rPr>
              <w:t>如无法体现项目内容、签订日期等，须另附业主证明材料，</w:t>
            </w:r>
            <w:r>
              <w:rPr>
                <w:rFonts w:hint="eastAsia" w:ascii="仿宋" w:hAnsi="仿宋" w:eastAsia="仿宋" w:cs="仿宋"/>
                <w:b/>
                <w:bCs/>
                <w:color w:val="auto"/>
                <w:highlight w:val="none"/>
              </w:rPr>
              <w:t>否则不作为评审依据）。</w:t>
            </w:r>
          </w:p>
        </w:tc>
      </w:tr>
    </w:tbl>
    <w:p w14:paraId="4AB46FCA">
      <w:pPr>
        <w:pageBreakBefore w:val="0"/>
        <w:kinsoku/>
        <w:bidi w:val="0"/>
        <w:spacing w:line="360" w:lineRule="auto"/>
        <w:rPr>
          <w:rFonts w:hint="default" w:ascii="仿宋" w:hAnsi="仿宋" w:eastAsia="仿宋" w:cs="仿宋"/>
          <w:b/>
          <w:bCs/>
          <w:color w:val="auto"/>
          <w:sz w:val="21"/>
          <w:szCs w:val="21"/>
          <w:highlight w:val="none"/>
          <w:lang w:val="en-US" w:eastAsia="zh-CN"/>
        </w:rPr>
      </w:pPr>
    </w:p>
    <w:p w14:paraId="36C6487F">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.2同品牌产品不同</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的处理方式</w:t>
      </w:r>
    </w:p>
    <w:p w14:paraId="7E9F418C">
      <w:pPr>
        <w:pageBreakBefore w:val="0"/>
        <w:kinsoku/>
        <w:bidi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根据《政府采购货物和服务招标投标管理办法》（财政部令第87号）文件的规定，相同品牌产品且通过资格审查、符合性审查的不同</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参加同一合同项下投标的，按一家</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计算，评审后得分最高的同品牌</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获得中标人推荐资格；评审得分相同的，由采购人或者采购人委托评标委员会按照招标文件规定的方式确定一个</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获得中标人推荐资格，招标文件未规定的采取随机抽取方式确定，其他同品牌</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不作为中标候选人。</w:t>
      </w:r>
    </w:p>
    <w:p w14:paraId="63F484F3">
      <w:pPr>
        <w:pageBreakBefore w:val="0"/>
        <w:kinsoku/>
        <w:bidi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评审得分相同的不同供应商的处理方式：评审得分相同的，评标委员会将依次按技术部分得分高优先、价格部分得分高优先、商务部分得分高优先的顺序确定；所有得分均相等的，</w:t>
      </w:r>
      <w:r>
        <w:rPr>
          <w:rFonts w:hint="eastAsia" w:ascii="仿宋" w:hAnsi="仿宋" w:eastAsia="仿宋" w:cs="仿宋"/>
          <w:color w:val="auto"/>
          <w:kern w:val="0"/>
          <w:sz w:val="21"/>
          <w:szCs w:val="21"/>
          <w:highlight w:val="none"/>
          <w:lang w:val="en-US" w:eastAsia="zh-CN"/>
        </w:rPr>
        <w:t>按</w:t>
      </w:r>
      <w:r>
        <w:rPr>
          <w:rFonts w:hint="eastAsia" w:ascii="仿宋" w:hAnsi="仿宋" w:eastAsia="仿宋" w:cs="仿宋"/>
          <w:color w:val="auto"/>
          <w:kern w:val="0"/>
          <w:sz w:val="21"/>
          <w:szCs w:val="21"/>
          <w:highlight w:val="none"/>
        </w:rPr>
        <w:t>主要技术指标（技术参数指标响应评审）得分高优先的顺序确定一个供应商获得中标人推荐资格，其他同品牌供应商不作为中标候选人。</w:t>
      </w:r>
    </w:p>
    <w:p w14:paraId="4DC369DF">
      <w:pPr>
        <w:pageBreakBefore w:val="0"/>
        <w:kinsoku/>
        <w:bidi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非单一产品采购项目，采购人应当根据采购项目技术构成、产品价格比重等合理确定核心产品，并在招标文件中载明。多家</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提供的核心产品品牌相同的，按前款规定处理。</w:t>
      </w:r>
    </w:p>
    <w:p w14:paraId="2E6E3C19">
      <w:pPr>
        <w:pageBreakBefore w:val="0"/>
        <w:kinsoku/>
        <w:bidi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核心产品详见</w:t>
      </w: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须知前附表第13项 需要补充的其他内容。</w:t>
      </w:r>
    </w:p>
    <w:p w14:paraId="04AE26E7">
      <w:pPr>
        <w:pageBreakBefore w:val="0"/>
        <w:kinsoku/>
        <w:bidi w:val="0"/>
        <w:spacing w:line="360" w:lineRule="auto"/>
        <w:ind w:firstLine="422" w:firstLineChars="200"/>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6.</w:t>
      </w:r>
      <w:r>
        <w:rPr>
          <w:rFonts w:hint="eastAsia" w:ascii="仿宋" w:hAnsi="仿宋" w:eastAsia="仿宋" w:cs="仿宋"/>
          <w:b/>
          <w:bCs/>
          <w:color w:val="auto"/>
          <w:kern w:val="0"/>
          <w:sz w:val="21"/>
          <w:szCs w:val="21"/>
          <w:highlight w:val="none"/>
          <w:lang w:val="en-US" w:eastAsia="zh-CN"/>
        </w:rPr>
        <w:t>6</w:t>
      </w:r>
      <w:r>
        <w:rPr>
          <w:rFonts w:hint="eastAsia" w:ascii="仿宋" w:hAnsi="仿宋" w:eastAsia="仿宋" w:cs="仿宋"/>
          <w:b/>
          <w:bCs/>
          <w:color w:val="auto"/>
          <w:kern w:val="0"/>
          <w:sz w:val="21"/>
          <w:szCs w:val="21"/>
          <w:highlight w:val="none"/>
        </w:rPr>
        <w:t xml:space="preserve">.3统分原则 </w:t>
      </w:r>
    </w:p>
    <w:p w14:paraId="3BED2A07">
      <w:pPr>
        <w:pageBreakBefore w:val="0"/>
        <w:kinsoku/>
        <w:bidi w:val="0"/>
        <w:spacing w:line="360" w:lineRule="auto"/>
        <w:ind w:firstLine="5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（1）评委应首先对各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投标文件进行评审，写出书面意见并按招标文件规定分值及范围评分，各分档评分中间不得用插入法评分</w:t>
      </w:r>
      <w:r>
        <w:rPr>
          <w:rFonts w:hint="eastAsia" w:ascii="仿宋" w:hAnsi="仿宋" w:eastAsia="仿宋" w:cs="仿宋"/>
          <w:color w:val="auto"/>
          <w:sz w:val="21"/>
          <w:szCs w:val="21"/>
          <w:highlight w:val="none"/>
          <w:lang w:eastAsia="zh-CN"/>
        </w:rPr>
        <w:t>，供应商各项评分因素得分为该项因素评标委员会各成员汇总得分的算术平均值（保留小数点后两位），小数点后第三位“四舍五入”</w:t>
      </w:r>
      <w:r>
        <w:rPr>
          <w:rFonts w:hint="eastAsia" w:ascii="仿宋" w:hAnsi="仿宋" w:eastAsia="仿宋" w:cs="仿宋"/>
          <w:color w:val="auto"/>
          <w:sz w:val="21"/>
          <w:szCs w:val="21"/>
          <w:highlight w:val="none"/>
        </w:rPr>
        <w:t>。</w:t>
      </w:r>
    </w:p>
    <w:p w14:paraId="734B15E9">
      <w:pPr>
        <w:pageBreakBefore w:val="0"/>
        <w:kinsoku/>
        <w:bidi w:val="0"/>
        <w:spacing w:line="360" w:lineRule="auto"/>
        <w:ind w:firstLine="5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（2）除投标报价得分（F1）外，其余部分由各评委自主评分并签字或签章确认。</w:t>
      </w:r>
    </w:p>
    <w:p w14:paraId="39D8EFDF">
      <w:pPr>
        <w:pageBreakBefore w:val="0"/>
        <w:kinsoku/>
        <w:bidi w:val="0"/>
        <w:spacing w:line="360" w:lineRule="auto"/>
        <w:ind w:firstLine="5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（3）统计分数原则：所有有效评分的算术平均分值为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除报价以外的其他评分因素的得分（保留小数点后两位）。</w:t>
      </w:r>
    </w:p>
    <w:p w14:paraId="68A16FD8">
      <w:pPr>
        <w:pageBreakBefore w:val="0"/>
        <w:kinsoku/>
        <w:bidi w:val="0"/>
        <w:spacing w:line="360" w:lineRule="auto"/>
        <w:ind w:firstLine="5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（4）统分办法：各项得分的总和即为</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最后得分。</w:t>
      </w:r>
    </w:p>
    <w:p w14:paraId="70B81AB4">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.4推荐</w:t>
      </w:r>
    </w:p>
    <w:p w14:paraId="05F6755A">
      <w:pPr>
        <w:pageBreakBefore w:val="0"/>
        <w:kinsoku/>
        <w:bidi w:val="0"/>
        <w:spacing w:line="360" w:lineRule="auto"/>
        <w:ind w:firstLine="51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评标委员会按评审后总得分由高到低顺序推荐3名中标候选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。总得分相同的，按投标价格（F1）由低到高顺序排列；总得分且投标报价相同的，按技术评审得分（F2）合计由高到低顺序排列，依次类推，若还并列，由评标委员会投票表决，得票高者排序在前。</w:t>
      </w:r>
    </w:p>
    <w:p w14:paraId="20153C13">
      <w:pPr>
        <w:pageBreakBefore w:val="0"/>
        <w:kinsoku/>
        <w:bidi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.5评标报告</w:t>
      </w:r>
    </w:p>
    <w:p w14:paraId="0ED89DE8">
      <w:pPr>
        <w:pageBreakBefore w:val="0"/>
        <w:kinsoku/>
        <w:bidi w:val="0"/>
        <w:spacing w:line="360" w:lineRule="auto"/>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评标委员会根据评审情况推荐中标候选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名单并编写书面评标报告。</w:t>
      </w:r>
    </w:p>
    <w:bookmarkEnd w:id="609"/>
    <w:p w14:paraId="07B722B8">
      <w:pPr>
        <w:pStyle w:val="2"/>
        <w:pageBreakBefore w:val="0"/>
        <w:tabs>
          <w:tab w:val="left" w:pos="1767"/>
          <w:tab w:val="center" w:pos="4819"/>
        </w:tabs>
        <w:kinsoku/>
        <w:bidi w:val="0"/>
        <w:spacing w:line="360" w:lineRule="auto"/>
        <w:jc w:val="center"/>
        <w:rPr>
          <w:rFonts w:hint="eastAsia" w:ascii="仿宋" w:hAnsi="仿宋" w:eastAsia="仿宋" w:cs="仿宋"/>
          <w:color w:val="auto"/>
          <w:highlight w:val="none"/>
        </w:rPr>
      </w:pPr>
      <w:bookmarkStart w:id="634" w:name="_Toc71734737"/>
      <w:r>
        <w:rPr>
          <w:rFonts w:hint="eastAsia" w:ascii="仿宋" w:hAnsi="仿宋" w:eastAsia="仿宋" w:cs="仿宋"/>
          <w:color w:val="auto"/>
          <w:highlight w:val="none"/>
        </w:rPr>
        <w:br w:type="page"/>
      </w:r>
      <w:bookmarkEnd w:id="634"/>
      <w:bookmarkStart w:id="635" w:name="_Toc25751"/>
      <w:bookmarkStart w:id="636" w:name="_Toc1495"/>
      <w:bookmarkStart w:id="637" w:name="_Toc109997859"/>
      <w:bookmarkStart w:id="638" w:name="_Toc28935"/>
      <w:bookmarkStart w:id="639" w:name="_Toc5259"/>
      <w:bookmarkStart w:id="640" w:name="_Toc11214"/>
      <w:bookmarkStart w:id="641" w:name="_Toc18042"/>
      <w:bookmarkStart w:id="642" w:name="_Toc6269"/>
      <w:bookmarkStart w:id="643" w:name="_Toc71734738"/>
      <w:r>
        <w:rPr>
          <w:rFonts w:hint="eastAsia" w:ascii="仿宋" w:hAnsi="仿宋" w:eastAsia="仿宋" w:cs="仿宋"/>
          <w:color w:val="auto"/>
          <w:highlight w:val="none"/>
        </w:rPr>
        <w:t>第四章 合同基本条款及格式</w:t>
      </w:r>
      <w:bookmarkEnd w:id="635"/>
      <w:bookmarkEnd w:id="636"/>
      <w:bookmarkEnd w:id="637"/>
      <w:bookmarkEnd w:id="638"/>
      <w:bookmarkEnd w:id="639"/>
      <w:bookmarkEnd w:id="640"/>
    </w:p>
    <w:p w14:paraId="4185A87B">
      <w:pPr>
        <w:pageBreakBefore w:val="0"/>
        <w:kinsoku/>
        <w:bidi w:val="0"/>
        <w:spacing w:line="360" w:lineRule="auto"/>
        <w:ind w:left="2973"/>
        <w:jc w:val="left"/>
        <w:outlineLvl w:val="2"/>
        <w:rPr>
          <w:rFonts w:hint="eastAsia" w:ascii="仿宋" w:hAnsi="仿宋" w:eastAsia="仿宋" w:cs="仿宋"/>
          <w:b/>
          <w:bCs/>
          <w:color w:val="auto"/>
          <w:kern w:val="0"/>
          <w:sz w:val="30"/>
          <w:szCs w:val="32"/>
          <w:highlight w:val="none"/>
        </w:rPr>
      </w:pPr>
      <w:bookmarkStart w:id="644" w:name="_Toc131758810"/>
      <w:bookmarkStart w:id="645" w:name="_Toc9713"/>
      <w:r>
        <w:rPr>
          <w:rFonts w:hint="eastAsia" w:ascii="仿宋" w:hAnsi="仿宋" w:eastAsia="仿宋" w:cs="仿宋"/>
          <w:b/>
          <w:bCs/>
          <w:color w:val="auto"/>
          <w:kern w:val="0"/>
          <w:sz w:val="30"/>
          <w:szCs w:val="32"/>
          <w:highlight w:val="none"/>
        </w:rPr>
        <w:t>第一节</w:t>
      </w:r>
      <w:r>
        <w:rPr>
          <w:rFonts w:hint="eastAsia" w:ascii="仿宋" w:hAnsi="仿宋" w:eastAsia="仿宋" w:cs="仿宋"/>
          <w:b/>
          <w:bCs/>
          <w:color w:val="auto"/>
          <w:kern w:val="0"/>
          <w:sz w:val="30"/>
          <w:szCs w:val="32"/>
          <w:highlight w:val="none"/>
          <w:lang w:val="en-US" w:eastAsia="zh-CN"/>
        </w:rPr>
        <w:t xml:space="preserve">  </w:t>
      </w:r>
      <w:r>
        <w:rPr>
          <w:rFonts w:hint="eastAsia" w:ascii="仿宋" w:hAnsi="仿宋" w:eastAsia="仿宋" w:cs="仿宋"/>
          <w:b/>
          <w:bCs/>
          <w:color w:val="auto"/>
          <w:kern w:val="0"/>
          <w:sz w:val="30"/>
          <w:szCs w:val="32"/>
          <w:highlight w:val="none"/>
        </w:rPr>
        <w:t>合同条款</w:t>
      </w:r>
      <w:bookmarkEnd w:id="644"/>
      <w:r>
        <w:rPr>
          <w:rFonts w:hint="eastAsia" w:ascii="仿宋" w:hAnsi="仿宋" w:eastAsia="仿宋" w:cs="仿宋"/>
          <w:b/>
          <w:bCs/>
          <w:color w:val="auto"/>
          <w:kern w:val="0"/>
          <w:sz w:val="30"/>
          <w:szCs w:val="32"/>
          <w:highlight w:val="none"/>
        </w:rPr>
        <w:t>前附表</w:t>
      </w:r>
      <w:bookmarkEnd w:id="645"/>
    </w:p>
    <w:tbl>
      <w:tblPr>
        <w:tblStyle w:val="3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49"/>
        <w:gridCol w:w="7299"/>
      </w:tblGrid>
      <w:tr w14:paraId="214A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733" w:type="dxa"/>
            <w:noWrap w:val="0"/>
            <w:vAlign w:val="center"/>
          </w:tcPr>
          <w:p w14:paraId="0BDC3A3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bookmarkStart w:id="646" w:name="_Hlk135662521"/>
            <w:r>
              <w:rPr>
                <w:rFonts w:hint="eastAsia" w:ascii="仿宋" w:hAnsi="仿宋" w:eastAsia="仿宋" w:cs="仿宋"/>
                <w:color w:val="auto"/>
                <w:sz w:val="21"/>
                <w:szCs w:val="21"/>
                <w:highlight w:val="none"/>
              </w:rPr>
              <w:t>序号</w:t>
            </w:r>
          </w:p>
        </w:tc>
        <w:tc>
          <w:tcPr>
            <w:tcW w:w="1749" w:type="dxa"/>
            <w:noWrap w:val="0"/>
            <w:vAlign w:val="center"/>
          </w:tcPr>
          <w:p w14:paraId="3DE1983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7299" w:type="dxa"/>
            <w:noWrap w:val="0"/>
            <w:vAlign w:val="center"/>
          </w:tcPr>
          <w:p w14:paraId="011F2E2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r>
      <w:tr w14:paraId="3903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noWrap w:val="0"/>
            <w:vAlign w:val="center"/>
          </w:tcPr>
          <w:p w14:paraId="61E2BC7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749" w:type="dxa"/>
            <w:noWrap w:val="0"/>
            <w:vAlign w:val="center"/>
          </w:tcPr>
          <w:p w14:paraId="47D696B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合同履行期限</w:t>
            </w:r>
          </w:p>
        </w:tc>
        <w:tc>
          <w:tcPr>
            <w:tcW w:w="7299" w:type="dxa"/>
            <w:noWrap w:val="0"/>
            <w:vAlign w:val="center"/>
          </w:tcPr>
          <w:p w14:paraId="094E7443">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bidi="ar"/>
              </w:rPr>
              <w:t>根据设备的质保期确定，自验收合格之日起至质保期结束，期间提供设备维修、零部件更换及技术支持。</w:t>
            </w:r>
          </w:p>
        </w:tc>
      </w:tr>
      <w:tr w14:paraId="0D9A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noWrap w:val="0"/>
            <w:vAlign w:val="center"/>
          </w:tcPr>
          <w:p w14:paraId="71B0726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749" w:type="dxa"/>
            <w:noWrap w:val="0"/>
            <w:vAlign w:val="center"/>
          </w:tcPr>
          <w:p w14:paraId="7704D84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交货方式</w:t>
            </w:r>
          </w:p>
        </w:tc>
        <w:tc>
          <w:tcPr>
            <w:tcW w:w="7299" w:type="dxa"/>
            <w:noWrap w:val="0"/>
            <w:vAlign w:val="center"/>
          </w:tcPr>
          <w:p w14:paraId="0F527777">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bidi="ar"/>
              </w:rPr>
              <w:t>中标方</w:t>
            </w:r>
            <w:r>
              <w:rPr>
                <w:rFonts w:hint="eastAsia" w:ascii="仿宋" w:hAnsi="仿宋" w:eastAsia="仿宋" w:cs="仿宋"/>
                <w:color w:val="auto"/>
                <w:sz w:val="21"/>
                <w:szCs w:val="21"/>
                <w:highlight w:val="none"/>
                <w:lang w:eastAsia="zh-CN" w:bidi="ar"/>
              </w:rPr>
              <w:t>应在合同生效后</w:t>
            </w:r>
            <w:r>
              <w:rPr>
                <w:rFonts w:hint="eastAsia" w:ascii="仿宋" w:hAnsi="仿宋" w:eastAsia="仿宋" w:cs="仿宋"/>
                <w:color w:val="auto"/>
                <w:sz w:val="21"/>
                <w:szCs w:val="21"/>
                <w:highlight w:val="none"/>
                <w:lang w:val="en-US" w:eastAsia="zh-CN" w:bidi="ar"/>
              </w:rPr>
              <w:t>约定的期限内</w:t>
            </w:r>
            <w:r>
              <w:rPr>
                <w:rFonts w:hint="eastAsia" w:ascii="仿宋" w:hAnsi="仿宋" w:eastAsia="仿宋" w:cs="仿宋"/>
                <w:color w:val="auto"/>
                <w:sz w:val="21"/>
                <w:szCs w:val="21"/>
                <w:highlight w:val="none"/>
                <w:lang w:eastAsia="zh-CN" w:bidi="ar"/>
              </w:rPr>
              <w:t>,在</w:t>
            </w:r>
            <w:r>
              <w:rPr>
                <w:rFonts w:hint="eastAsia" w:ascii="仿宋" w:hAnsi="仿宋" w:eastAsia="仿宋" w:cs="仿宋"/>
                <w:color w:val="auto"/>
                <w:sz w:val="21"/>
                <w:szCs w:val="21"/>
                <w:highlight w:val="none"/>
                <w:lang w:val="en-US" w:eastAsia="zh-CN" w:bidi="ar"/>
              </w:rPr>
              <w:t>医院</w:t>
            </w:r>
            <w:r>
              <w:rPr>
                <w:rFonts w:hint="eastAsia" w:ascii="仿宋" w:hAnsi="仿宋" w:eastAsia="仿宋" w:cs="仿宋"/>
                <w:color w:val="auto"/>
                <w:sz w:val="21"/>
                <w:szCs w:val="21"/>
                <w:highlight w:val="none"/>
                <w:lang w:eastAsia="zh-CN" w:bidi="ar"/>
              </w:rPr>
              <w:t>指定地点交付货物。</w:t>
            </w:r>
          </w:p>
        </w:tc>
      </w:tr>
      <w:tr w14:paraId="737F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noWrap w:val="0"/>
            <w:vAlign w:val="center"/>
          </w:tcPr>
          <w:p w14:paraId="04C1F12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749" w:type="dxa"/>
            <w:noWrap w:val="0"/>
            <w:vAlign w:val="center"/>
          </w:tcPr>
          <w:p w14:paraId="1F1D26D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c>
          <w:tcPr>
            <w:tcW w:w="7299" w:type="dxa"/>
            <w:noWrap w:val="0"/>
            <w:vAlign w:val="center"/>
          </w:tcPr>
          <w:p w14:paraId="71D2D0F9">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昆明市第一人民医院指定地点。</w:t>
            </w:r>
          </w:p>
        </w:tc>
      </w:tr>
      <w:tr w14:paraId="0457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070B25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009E650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付款方式</w:t>
            </w:r>
          </w:p>
        </w:tc>
        <w:tc>
          <w:tcPr>
            <w:tcW w:w="7299" w:type="dxa"/>
            <w:tcBorders>
              <w:top w:val="single" w:color="auto" w:sz="4" w:space="0"/>
              <w:left w:val="single" w:color="auto" w:sz="4" w:space="0"/>
              <w:bottom w:val="single" w:color="auto" w:sz="4" w:space="0"/>
              <w:right w:val="single" w:color="auto" w:sz="4" w:space="0"/>
            </w:tcBorders>
            <w:noWrap w:val="0"/>
            <w:vAlign w:val="center"/>
          </w:tcPr>
          <w:p w14:paraId="2CE122B2">
            <w:pPr>
              <w:pStyle w:val="114"/>
              <w:keepNext w:val="0"/>
              <w:keepLines w:val="0"/>
              <w:pageBreakBefore w:val="0"/>
              <w:suppressLineNumbers w:val="0"/>
              <w:kinsoku/>
              <w:bidi w:val="0"/>
              <w:snapToGrid w:val="0"/>
              <w:spacing w:before="0" w:beforeAutospacing="0" w:after="0" w:afterAutospacing="0" w:line="360" w:lineRule="auto"/>
              <w:ind w:left="0" w:right="0" w:firstLine="0" w:firstLineChars="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验收合格后，按照合同约定的期限医院向中标方支付验收合格货款总额的90%，合同履约结束后，无息支付验收合格货款总额的10% 。</w:t>
            </w:r>
          </w:p>
        </w:tc>
      </w:tr>
      <w:tr w14:paraId="07C2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F697DC">
            <w:pPr>
              <w:keepNext w:val="0"/>
              <w:keepLines w:val="0"/>
              <w:pageBreakBefore w:val="0"/>
              <w:suppressLineNumbers w:val="0"/>
              <w:kinsoku/>
              <w:bidi w:val="0"/>
              <w:spacing w:before="0" w:beforeAutospacing="0" w:after="0" w:afterAutospacing="0" w:line="360" w:lineRule="auto"/>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00E10A0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交货期</w:t>
            </w:r>
          </w:p>
        </w:tc>
        <w:tc>
          <w:tcPr>
            <w:tcW w:w="7299" w:type="dxa"/>
            <w:tcBorders>
              <w:top w:val="single" w:color="auto" w:sz="4" w:space="0"/>
              <w:left w:val="single" w:color="auto" w:sz="4" w:space="0"/>
              <w:bottom w:val="single" w:color="auto" w:sz="4" w:space="0"/>
              <w:right w:val="single" w:color="auto" w:sz="4" w:space="0"/>
            </w:tcBorders>
            <w:noWrap w:val="0"/>
            <w:vAlign w:val="center"/>
          </w:tcPr>
          <w:p w14:paraId="2098FC9C">
            <w:pPr>
              <w:pStyle w:val="114"/>
              <w:keepNext w:val="0"/>
              <w:keepLines w:val="0"/>
              <w:pageBreakBefore w:val="0"/>
              <w:suppressLineNumbers w:val="0"/>
              <w:kinsoku/>
              <w:bidi w:val="0"/>
              <w:snapToGrid w:val="0"/>
              <w:spacing w:before="0" w:beforeAutospacing="0" w:after="0" w:afterAutospacing="0" w:line="360" w:lineRule="auto"/>
              <w:ind w:left="0" w:right="0" w:firstLine="0" w:firstLineChars="0"/>
              <w:rPr>
                <w:rFonts w:hint="eastAsia" w:ascii="仿宋" w:hAnsi="仿宋" w:eastAsia="仿宋" w:cs="仿宋"/>
                <w:color w:val="auto"/>
                <w:kern w:val="0"/>
                <w:sz w:val="21"/>
                <w:szCs w:val="21"/>
                <w:highlight w:val="none"/>
                <w:lang w:val="en-US" w:eastAsia="zh-CN" w:bidi="ar"/>
              </w:rPr>
            </w:pPr>
          </w:p>
        </w:tc>
      </w:tr>
      <w:tr w14:paraId="4631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D2E0F8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7D3C43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质保期</w:t>
            </w:r>
          </w:p>
        </w:tc>
        <w:tc>
          <w:tcPr>
            <w:tcW w:w="7299" w:type="dxa"/>
            <w:tcBorders>
              <w:top w:val="single" w:color="auto" w:sz="4" w:space="0"/>
              <w:left w:val="single" w:color="auto" w:sz="4" w:space="0"/>
              <w:bottom w:val="single" w:color="auto" w:sz="4" w:space="0"/>
              <w:right w:val="single" w:color="auto" w:sz="4" w:space="0"/>
            </w:tcBorders>
            <w:noWrap w:val="0"/>
            <w:vAlign w:val="center"/>
          </w:tcPr>
          <w:p w14:paraId="72AC3B1F">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p>
        </w:tc>
      </w:tr>
      <w:tr w14:paraId="6E45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8CE2E4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5A9F8A1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合同份数</w:t>
            </w:r>
          </w:p>
        </w:tc>
        <w:tc>
          <w:tcPr>
            <w:tcW w:w="7299" w:type="dxa"/>
            <w:tcBorders>
              <w:top w:val="single" w:color="auto" w:sz="4" w:space="0"/>
              <w:left w:val="single" w:color="auto" w:sz="4" w:space="0"/>
              <w:bottom w:val="single" w:color="auto" w:sz="4" w:space="0"/>
              <w:right w:val="single" w:color="auto" w:sz="4" w:space="0"/>
            </w:tcBorders>
            <w:noWrap w:val="0"/>
            <w:vAlign w:val="center"/>
          </w:tcPr>
          <w:p w14:paraId="3A62C6BD">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sz w:val="21"/>
                <w:szCs w:val="21"/>
                <w:highlight w:val="none"/>
              </w:rPr>
            </w:pPr>
          </w:p>
        </w:tc>
      </w:tr>
      <w:bookmarkEnd w:id="646"/>
    </w:tbl>
    <w:p w14:paraId="728DD54A">
      <w:pPr>
        <w:pStyle w:val="4"/>
        <w:pageBreakBefore w:val="0"/>
        <w:kinsoku/>
        <w:bidi w:val="0"/>
        <w:spacing w:line="360" w:lineRule="auto"/>
        <w:ind w:left="2973" w:firstLine="301" w:firstLineChars="100"/>
        <w:rPr>
          <w:rFonts w:hint="eastAsia" w:ascii="仿宋" w:hAnsi="仿宋" w:eastAsia="仿宋" w:cs="仿宋"/>
          <w:color w:val="auto"/>
          <w:sz w:val="30"/>
          <w:highlight w:val="none"/>
        </w:rPr>
      </w:pPr>
      <w:bookmarkStart w:id="647" w:name="_Toc66447772"/>
      <w:bookmarkStart w:id="648" w:name="_Toc9568"/>
      <w:bookmarkStart w:id="649" w:name="_Toc131758811"/>
      <w:r>
        <w:rPr>
          <w:rFonts w:hint="eastAsia" w:ascii="仿宋" w:hAnsi="仿宋" w:eastAsia="仿宋" w:cs="仿宋"/>
          <w:color w:val="auto"/>
          <w:sz w:val="30"/>
          <w:highlight w:val="none"/>
        </w:rPr>
        <w:br w:type="page"/>
      </w:r>
      <w:r>
        <w:rPr>
          <w:rFonts w:hint="eastAsia" w:ascii="仿宋" w:hAnsi="仿宋" w:eastAsia="仿宋" w:cs="仿宋"/>
          <w:color w:val="auto"/>
          <w:sz w:val="30"/>
          <w:highlight w:val="none"/>
        </w:rPr>
        <w:t>第二节</w:t>
      </w:r>
      <w:r>
        <w:rPr>
          <w:rFonts w:hint="eastAsia" w:ascii="仿宋" w:hAnsi="仿宋" w:eastAsia="仿宋" w:cs="仿宋"/>
          <w:color w:val="auto"/>
          <w:sz w:val="30"/>
          <w:highlight w:val="none"/>
          <w:lang w:val="en-US" w:eastAsia="zh-CN"/>
        </w:rPr>
        <w:t xml:space="preserve">  </w:t>
      </w:r>
      <w:r>
        <w:rPr>
          <w:rFonts w:hint="eastAsia" w:ascii="仿宋" w:hAnsi="仿宋" w:eastAsia="仿宋" w:cs="仿宋"/>
          <w:color w:val="auto"/>
          <w:sz w:val="30"/>
          <w:highlight w:val="none"/>
        </w:rPr>
        <w:t>合同格式</w:t>
      </w:r>
      <w:bookmarkEnd w:id="647"/>
      <w:bookmarkEnd w:id="648"/>
      <w:bookmarkEnd w:id="649"/>
    </w:p>
    <w:p w14:paraId="3DB1DDB8">
      <w:pPr>
        <w:pageBreakBefore w:val="0"/>
        <w:widowControl/>
        <w:kinsoku/>
        <w:bidi w:val="0"/>
        <w:spacing w:line="36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说明：采购文件内本章合同条款及格式仅作参考，本章节中未明确内容将在合同谈判中明确，</w:t>
      </w:r>
      <w:r>
        <w:rPr>
          <w:rFonts w:hint="eastAsia" w:ascii="仿宋" w:hAnsi="仿宋" w:eastAsia="仿宋" w:cs="仿宋"/>
          <w:b/>
          <w:color w:val="auto"/>
          <w:kern w:val="0"/>
          <w:sz w:val="28"/>
          <w:szCs w:val="28"/>
          <w:highlight w:val="none"/>
          <w:lang w:eastAsia="zh-CN"/>
        </w:rPr>
        <w:t>采购人</w:t>
      </w:r>
      <w:r>
        <w:rPr>
          <w:rFonts w:hint="eastAsia" w:ascii="仿宋" w:hAnsi="仿宋" w:eastAsia="仿宋" w:cs="仿宋"/>
          <w:b/>
          <w:color w:val="auto"/>
          <w:kern w:val="0"/>
          <w:sz w:val="28"/>
          <w:szCs w:val="28"/>
          <w:highlight w:val="none"/>
        </w:rPr>
        <w:t>保留最终修订合同的权利，最终本合同以实际签订为准。但所签订的合同不得对招标文件确定的事项和中标人的投标文件作实质性修改。</w:t>
      </w:r>
    </w:p>
    <w:p w14:paraId="6B0E43FF">
      <w:pPr>
        <w:pageBreakBefore w:val="0"/>
        <w:kinsoku/>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6F4B792">
      <w:pPr>
        <w:pageBreakBefore w:val="0"/>
        <w:kinsoku/>
        <w:bidi w:val="0"/>
        <w:spacing w:line="360" w:lineRule="auto"/>
        <w:rPr>
          <w:rFonts w:hint="eastAsia" w:ascii="仿宋" w:hAnsi="仿宋" w:eastAsia="仿宋" w:cs="仿宋"/>
          <w:color w:val="auto"/>
          <w:highlight w:val="none"/>
        </w:rPr>
      </w:pPr>
    </w:p>
    <w:p w14:paraId="4CA9F39F">
      <w:pPr>
        <w:pageBreakBefore w:val="0"/>
        <w:kinsoku/>
        <w:autoSpaceDE w:val="0"/>
        <w:autoSpaceDN w:val="0"/>
        <w:bidi w:val="0"/>
        <w:adjustRightInd w:val="0"/>
        <w:spacing w:line="360" w:lineRule="auto"/>
        <w:ind w:right="-72"/>
        <w:rPr>
          <w:rFonts w:hint="eastAsia" w:ascii="仿宋" w:hAnsi="仿宋" w:eastAsia="仿宋" w:cs="仿宋"/>
          <w:b/>
          <w:color w:val="auto"/>
          <w:sz w:val="18"/>
          <w:szCs w:val="18"/>
          <w:highlight w:val="none"/>
        </w:rPr>
      </w:pPr>
      <w:r>
        <w:rPr>
          <w:rFonts w:hint="eastAsia" w:ascii="仿宋" w:hAnsi="仿宋" w:eastAsia="仿宋" w:cs="仿宋"/>
          <w:color w:val="auto"/>
          <w:highlight w:val="none"/>
        </w:rPr>
        <w:t>合同编号：                       合同自编号：</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 xml:space="preserve">            项目编号：</w:t>
      </w:r>
    </w:p>
    <w:p w14:paraId="7E23B5D3">
      <w:pPr>
        <w:pageBreakBefore w:val="0"/>
        <w:kinsoku/>
        <w:autoSpaceDE w:val="0"/>
        <w:autoSpaceDN w:val="0"/>
        <w:bidi w:val="0"/>
        <w:adjustRightInd w:val="0"/>
        <w:spacing w:line="360" w:lineRule="auto"/>
        <w:ind w:right="568"/>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●本合同须加盖甲乙双方骑缝章有效</w:t>
      </w:r>
    </w:p>
    <w:p w14:paraId="53FCB55F">
      <w:pPr>
        <w:pageBreakBefore w:val="0"/>
        <w:kinsoku/>
        <w:autoSpaceDE w:val="0"/>
        <w:autoSpaceDN w:val="0"/>
        <w:bidi w:val="0"/>
        <w:adjustRightInd w:val="0"/>
        <w:spacing w:line="360" w:lineRule="auto"/>
        <w:jc w:val="center"/>
        <w:rPr>
          <w:rFonts w:hint="eastAsia" w:ascii="仿宋" w:hAnsi="仿宋" w:eastAsia="仿宋" w:cs="仿宋"/>
          <w:color w:val="auto"/>
          <w:sz w:val="32"/>
          <w:szCs w:val="32"/>
          <w:highlight w:val="none"/>
        </w:rPr>
      </w:pPr>
    </w:p>
    <w:p w14:paraId="71479C36">
      <w:pPr>
        <w:pageBreakBefore w:val="0"/>
        <w:kinsoku/>
        <w:autoSpaceDE w:val="0"/>
        <w:autoSpaceDN w:val="0"/>
        <w:bidi w:val="0"/>
        <w:adjustRightInd w:val="0"/>
        <w:spacing w:line="360" w:lineRule="auto"/>
        <w:jc w:val="center"/>
        <w:rPr>
          <w:rFonts w:hint="eastAsia" w:ascii="仿宋" w:hAnsi="仿宋" w:eastAsia="仿宋" w:cs="仿宋"/>
          <w:color w:val="auto"/>
          <w:sz w:val="32"/>
          <w:szCs w:val="32"/>
          <w:highlight w:val="none"/>
        </w:rPr>
      </w:pPr>
    </w:p>
    <w:p w14:paraId="0D9A5D9D">
      <w:pPr>
        <w:pageBreakBefore w:val="0"/>
        <w:kinsoku/>
        <w:autoSpaceDE w:val="0"/>
        <w:autoSpaceDN w:val="0"/>
        <w:bidi w:val="0"/>
        <w:adjustRightInd w:val="0"/>
        <w:spacing w:line="360" w:lineRule="auto"/>
        <w:jc w:val="center"/>
        <w:rPr>
          <w:rFonts w:hint="eastAsia" w:ascii="仿宋" w:hAnsi="仿宋" w:eastAsia="仿宋" w:cs="仿宋"/>
          <w:color w:val="auto"/>
          <w:sz w:val="32"/>
          <w:szCs w:val="32"/>
          <w:highlight w:val="none"/>
        </w:rPr>
      </w:pPr>
    </w:p>
    <w:p w14:paraId="129DFF62">
      <w:pPr>
        <w:pageBreakBefore w:val="0"/>
        <w:kinsoku/>
        <w:autoSpaceDE w:val="0"/>
        <w:autoSpaceDN w:val="0"/>
        <w:bidi w:val="0"/>
        <w:adjustRightInd w:val="0"/>
        <w:spacing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云南省省级政府采购</w:t>
      </w:r>
    </w:p>
    <w:p w14:paraId="0AB561A3">
      <w:pPr>
        <w:pageBreakBefore w:val="0"/>
        <w:kinsoku/>
        <w:autoSpaceDE w:val="0"/>
        <w:autoSpaceDN w:val="0"/>
        <w:bidi w:val="0"/>
        <w:adjustRightInd w:val="0"/>
        <w:spacing w:line="360" w:lineRule="auto"/>
        <w:jc w:val="center"/>
        <w:rPr>
          <w:rFonts w:hint="eastAsia" w:ascii="仿宋" w:hAnsi="仿宋" w:eastAsia="仿宋" w:cs="仿宋"/>
          <w:b/>
          <w:color w:val="auto"/>
          <w:sz w:val="44"/>
          <w:szCs w:val="44"/>
          <w:highlight w:val="none"/>
        </w:rPr>
      </w:pPr>
    </w:p>
    <w:p w14:paraId="419D62A9">
      <w:pPr>
        <w:pageBreakBefore w:val="0"/>
        <w:kinsoku/>
        <w:autoSpaceDE w:val="0"/>
        <w:autoSpaceDN w:val="0"/>
        <w:bidi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color w:val="auto"/>
          <w:sz w:val="33"/>
          <w:szCs w:val="33"/>
          <w:highlight w:val="none"/>
        </w:rPr>
        <w:t>（委托采购）</w:t>
      </w:r>
    </w:p>
    <w:p w14:paraId="1D9B270A">
      <w:pPr>
        <w:pageBreakBefore w:val="0"/>
        <w:kinsoku/>
        <w:autoSpaceDE w:val="0"/>
        <w:autoSpaceDN w:val="0"/>
        <w:bidi w:val="0"/>
        <w:adjustRightInd w:val="0"/>
        <w:spacing w:line="360" w:lineRule="auto"/>
        <w:jc w:val="center"/>
        <w:rPr>
          <w:rFonts w:hint="eastAsia" w:ascii="仿宋" w:hAnsi="仿宋" w:eastAsia="仿宋" w:cs="仿宋"/>
          <w:color w:val="auto"/>
          <w:sz w:val="18"/>
          <w:szCs w:val="18"/>
          <w:highlight w:val="none"/>
        </w:rPr>
      </w:pPr>
    </w:p>
    <w:p w14:paraId="4795C025">
      <w:pPr>
        <w:pageBreakBefore w:val="0"/>
        <w:kinsoku/>
        <w:autoSpaceDE w:val="0"/>
        <w:autoSpaceDN w:val="0"/>
        <w:bidi w:val="0"/>
        <w:adjustRightInd w:val="0"/>
        <w:spacing w:line="360" w:lineRule="auto"/>
        <w:jc w:val="center"/>
        <w:rPr>
          <w:rFonts w:hint="eastAsia" w:ascii="仿宋" w:hAnsi="仿宋" w:eastAsia="仿宋" w:cs="仿宋"/>
          <w:color w:val="auto"/>
          <w:sz w:val="18"/>
          <w:szCs w:val="18"/>
          <w:highlight w:val="none"/>
        </w:rPr>
      </w:pPr>
    </w:p>
    <w:p w14:paraId="5AC0BD76">
      <w:pPr>
        <w:pageBreakBefore w:val="0"/>
        <w:kinsoku/>
        <w:autoSpaceDE w:val="0"/>
        <w:autoSpaceDN w:val="0"/>
        <w:bidi w:val="0"/>
        <w:adjustRightInd w:val="0"/>
        <w:spacing w:line="360" w:lineRule="auto"/>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合</w:t>
      </w:r>
    </w:p>
    <w:p w14:paraId="0268EB94">
      <w:pPr>
        <w:pageBreakBefore w:val="0"/>
        <w:kinsoku/>
        <w:autoSpaceDE w:val="0"/>
        <w:autoSpaceDN w:val="0"/>
        <w:bidi w:val="0"/>
        <w:adjustRightInd w:val="0"/>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84"/>
          <w:szCs w:val="84"/>
          <w:highlight w:val="none"/>
        </w:rPr>
        <w:t>同</w:t>
      </w:r>
    </w:p>
    <w:p w14:paraId="6FAC4033">
      <w:pPr>
        <w:pageBreakBefore w:val="0"/>
        <w:kinsoku/>
        <w:autoSpaceDE w:val="0"/>
        <w:autoSpaceDN w:val="0"/>
        <w:bidi w:val="0"/>
        <w:adjustRightInd w:val="0"/>
        <w:spacing w:line="360" w:lineRule="auto"/>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书</w:t>
      </w:r>
    </w:p>
    <w:p w14:paraId="0956C8B7">
      <w:pPr>
        <w:pageBreakBefore w:val="0"/>
        <w:kinsoku/>
        <w:autoSpaceDE w:val="0"/>
        <w:autoSpaceDN w:val="0"/>
        <w:bidi w:val="0"/>
        <w:adjustRightInd w:val="0"/>
        <w:spacing w:line="360" w:lineRule="auto"/>
        <w:ind w:firstLine="3388" w:firstLineChars="1250"/>
        <w:rPr>
          <w:rFonts w:hint="eastAsia" w:ascii="仿宋" w:hAnsi="仿宋" w:eastAsia="仿宋" w:cs="仿宋"/>
          <w:b/>
          <w:bCs/>
          <w:color w:val="auto"/>
          <w:sz w:val="27"/>
          <w:szCs w:val="27"/>
          <w:highlight w:val="none"/>
        </w:rPr>
      </w:pPr>
    </w:p>
    <w:p w14:paraId="48B5E9E2">
      <w:pPr>
        <w:pageBreakBefore w:val="0"/>
        <w:kinsoku/>
        <w:autoSpaceDE w:val="0"/>
        <w:autoSpaceDN w:val="0"/>
        <w:bidi w:val="0"/>
        <w:adjustRightInd w:val="0"/>
        <w:spacing w:line="360" w:lineRule="auto"/>
        <w:ind w:firstLine="3388" w:firstLineChars="1250"/>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签订地点：</w:t>
      </w:r>
    </w:p>
    <w:p w14:paraId="470A5E01">
      <w:pPr>
        <w:pageBreakBefore w:val="0"/>
        <w:kinsoku/>
        <w:autoSpaceDE w:val="0"/>
        <w:autoSpaceDN w:val="0"/>
        <w:bidi w:val="0"/>
        <w:adjustRightInd w:val="0"/>
        <w:spacing w:line="360" w:lineRule="auto"/>
        <w:jc w:val="center"/>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签订日期：年　月　日</w:t>
      </w:r>
    </w:p>
    <w:p w14:paraId="3233EAF0">
      <w:pPr>
        <w:pageBreakBefore w:val="0"/>
        <w:kinsoku/>
        <w:autoSpaceDE w:val="0"/>
        <w:autoSpaceDN w:val="0"/>
        <w:bidi w:val="0"/>
        <w:adjustRightInd w:val="0"/>
        <w:spacing w:line="360" w:lineRule="auto"/>
        <w:jc w:val="center"/>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云南省财政厅　制</w:t>
      </w:r>
    </w:p>
    <w:p w14:paraId="3BDAC947">
      <w:pPr>
        <w:pageBreakBefore w:val="0"/>
        <w:kinsoku/>
        <w:bidi w:val="0"/>
        <w:spacing w:after="240" w:line="360" w:lineRule="auto"/>
        <w:rPr>
          <w:rFonts w:hint="eastAsia" w:ascii="仿宋" w:hAnsi="仿宋" w:eastAsia="仿宋" w:cs="仿宋"/>
          <w:color w:val="auto"/>
          <w:sz w:val="18"/>
          <w:szCs w:val="18"/>
          <w:highlight w:val="none"/>
        </w:rPr>
      </w:pPr>
    </w:p>
    <w:p w14:paraId="33811224">
      <w:pPr>
        <w:pageBreakBefore w:val="0"/>
        <w:kinsoku/>
        <w:bidi w:val="0"/>
        <w:spacing w:line="360" w:lineRule="auto"/>
        <w:ind w:firstLine="1680" w:firstLineChars="800"/>
        <w:rPr>
          <w:rFonts w:hint="eastAsia" w:ascii="仿宋" w:hAnsi="仿宋" w:eastAsia="仿宋" w:cs="仿宋"/>
          <w:color w:val="auto"/>
          <w:highlight w:val="none"/>
        </w:rPr>
      </w:pPr>
    </w:p>
    <w:p w14:paraId="5944D355">
      <w:pPr>
        <w:pageBreakBefore w:val="0"/>
        <w:kinsoku/>
        <w:bidi w:val="0"/>
        <w:spacing w:line="360" w:lineRule="auto"/>
        <w:ind w:firstLine="1575" w:firstLineChars="750"/>
        <w:rPr>
          <w:rFonts w:hint="eastAsia" w:ascii="仿宋" w:hAnsi="仿宋" w:eastAsia="仿宋" w:cs="仿宋"/>
          <w:color w:val="auto"/>
          <w:highlight w:val="none"/>
        </w:rPr>
      </w:pPr>
      <w:r>
        <w:rPr>
          <w:rFonts w:hint="eastAsia" w:ascii="仿宋" w:hAnsi="仿宋" w:eastAsia="仿宋" w:cs="仿宋"/>
          <w:color w:val="auto"/>
          <w:highlight w:val="none"/>
        </w:rPr>
        <w:t xml:space="preserve">甲方（采购人单位章）名称： </w:t>
      </w:r>
    </w:p>
    <w:p w14:paraId="4C1D2F7F">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地    址：</w:t>
      </w:r>
    </w:p>
    <w:p w14:paraId="7AD18DF9">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邮    编：</w:t>
      </w:r>
    </w:p>
    <w:p w14:paraId="3C7BEB24">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法定代表人或委托代理人：</w:t>
      </w:r>
    </w:p>
    <w:p w14:paraId="5D23F62C">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项目（技术）负责人：</w:t>
      </w:r>
    </w:p>
    <w:p w14:paraId="7F00500C">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电    话：</w:t>
      </w:r>
    </w:p>
    <w:p w14:paraId="3EC10268">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签 订 日 期：</w:t>
      </w:r>
    </w:p>
    <w:p w14:paraId="1047B001">
      <w:pPr>
        <w:pageBreakBefore w:val="0"/>
        <w:kinsoku/>
        <w:bidi w:val="0"/>
        <w:spacing w:line="360" w:lineRule="auto"/>
        <w:ind w:left="1619" w:leftChars="771"/>
        <w:rPr>
          <w:rFonts w:hint="eastAsia" w:ascii="仿宋" w:hAnsi="仿宋" w:eastAsia="仿宋" w:cs="仿宋"/>
          <w:color w:val="auto"/>
          <w:highlight w:val="none"/>
        </w:rPr>
      </w:pPr>
    </w:p>
    <w:p w14:paraId="1893A154">
      <w:pPr>
        <w:pageBreakBefore w:val="0"/>
        <w:kinsoku/>
        <w:bidi w:val="0"/>
        <w:spacing w:line="360" w:lineRule="auto"/>
        <w:ind w:left="1619" w:leftChars="771"/>
        <w:rPr>
          <w:rFonts w:hint="eastAsia" w:ascii="仿宋" w:hAnsi="仿宋" w:eastAsia="仿宋" w:cs="仿宋"/>
          <w:color w:val="auto"/>
          <w:highlight w:val="none"/>
        </w:rPr>
      </w:pPr>
    </w:p>
    <w:p w14:paraId="296BB874">
      <w:pPr>
        <w:pageBreakBefore w:val="0"/>
        <w:kinsoku/>
        <w:bidi w:val="0"/>
        <w:spacing w:line="360" w:lineRule="auto"/>
        <w:ind w:firstLine="630" w:firstLineChars="300"/>
        <w:rPr>
          <w:rFonts w:hint="eastAsia" w:ascii="仿宋" w:hAnsi="仿宋" w:eastAsia="仿宋" w:cs="仿宋"/>
          <w:color w:val="auto"/>
          <w:highlight w:val="none"/>
        </w:rPr>
      </w:pPr>
      <w:r>
        <w:rPr>
          <w:rFonts w:hint="eastAsia" w:ascii="仿宋" w:hAnsi="仿宋" w:eastAsia="仿宋" w:cs="仿宋"/>
          <w:color w:val="auto"/>
          <w:highlight w:val="none"/>
        </w:rPr>
        <w:t xml:space="preserve">         乙方（供应商单位章）名称：</w:t>
      </w:r>
    </w:p>
    <w:p w14:paraId="7843D8BA">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地    址：</w:t>
      </w:r>
    </w:p>
    <w:p w14:paraId="1C4392B8">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邮    编：</w:t>
      </w:r>
    </w:p>
    <w:p w14:paraId="2CF689A8">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法定代表人或委托代理人：    </w:t>
      </w:r>
    </w:p>
    <w:p w14:paraId="63064BE5">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经办人：</w:t>
      </w:r>
    </w:p>
    <w:p w14:paraId="1BEACB89">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电话：</w:t>
      </w:r>
    </w:p>
    <w:p w14:paraId="4DDBA342">
      <w:pPr>
        <w:pageBreakBefore w:val="0"/>
        <w:kinsoku/>
        <w:bidi w:val="0"/>
        <w:spacing w:line="360" w:lineRule="auto"/>
        <w:ind w:left="1619" w:leftChars="771"/>
        <w:rPr>
          <w:rFonts w:hint="eastAsia" w:ascii="仿宋" w:hAnsi="仿宋" w:eastAsia="仿宋" w:cs="仿宋"/>
          <w:color w:val="auto"/>
          <w:highlight w:val="none"/>
        </w:rPr>
      </w:pPr>
      <w:r>
        <w:rPr>
          <w:rFonts w:hint="eastAsia" w:ascii="仿宋" w:hAnsi="仿宋" w:eastAsia="仿宋" w:cs="仿宋"/>
          <w:color w:val="auto"/>
          <w:highlight w:val="none"/>
        </w:rPr>
        <w:t>签 订 日 期：</w:t>
      </w:r>
    </w:p>
    <w:p w14:paraId="5F6095EA">
      <w:pPr>
        <w:pageBreakBefore w:val="0"/>
        <w:kinsoku/>
        <w:bidi w:val="0"/>
        <w:spacing w:line="360" w:lineRule="auto"/>
        <w:rPr>
          <w:rFonts w:hint="eastAsia" w:ascii="仿宋" w:hAnsi="仿宋" w:eastAsia="仿宋" w:cs="仿宋"/>
          <w:color w:val="auto"/>
          <w:highlight w:val="none"/>
        </w:rPr>
      </w:pPr>
    </w:p>
    <w:p w14:paraId="64B371F5">
      <w:pPr>
        <w:pageBreakBefore w:val="0"/>
        <w:kinsoku/>
        <w:bidi w:val="0"/>
        <w:spacing w:line="360" w:lineRule="auto"/>
        <w:rPr>
          <w:rFonts w:hint="eastAsia" w:ascii="仿宋" w:hAnsi="仿宋" w:eastAsia="仿宋" w:cs="仿宋"/>
          <w:color w:val="auto"/>
          <w:highlight w:val="none"/>
        </w:rPr>
      </w:pPr>
    </w:p>
    <w:p w14:paraId="2D78C577">
      <w:pPr>
        <w:pageBreakBefore w:val="0"/>
        <w:kinsoku/>
        <w:bidi w:val="0"/>
        <w:spacing w:line="360" w:lineRule="auto"/>
        <w:ind w:left="1619" w:leftChars="771"/>
        <w:rPr>
          <w:rFonts w:hint="eastAsia" w:ascii="仿宋" w:hAnsi="仿宋" w:eastAsia="仿宋" w:cs="仿宋"/>
          <w:vanish/>
          <w:color w:val="auto"/>
          <w:highlight w:val="none"/>
        </w:rPr>
      </w:pPr>
    </w:p>
    <w:p w14:paraId="1EF2BD12">
      <w:pPr>
        <w:pageBreakBefore w:val="0"/>
        <w:kinsoku/>
        <w:bidi w:val="0"/>
        <w:spacing w:line="360" w:lineRule="auto"/>
        <w:jc w:val="left"/>
        <w:textAlignment w:val="baseline"/>
        <w:rPr>
          <w:rFonts w:hint="eastAsia" w:ascii="仿宋" w:hAnsi="仿宋" w:eastAsia="仿宋" w:cs="仿宋"/>
          <w:b/>
          <w:color w:val="auto"/>
          <w:kern w:val="0"/>
          <w:sz w:val="21"/>
          <w:szCs w:val="21"/>
          <w:highlight w:val="none"/>
          <w:lang w:eastAsia="zh-CN"/>
        </w:rPr>
      </w:pPr>
      <w:r>
        <w:rPr>
          <w:rFonts w:hint="eastAsia" w:ascii="仿宋" w:hAnsi="仿宋" w:eastAsia="仿宋" w:cs="仿宋"/>
          <w:color w:val="auto"/>
          <w:highlight w:val="none"/>
        </w:rPr>
        <w:br w:type="page"/>
      </w:r>
      <w:r>
        <w:rPr>
          <w:rFonts w:hint="eastAsia" w:ascii="仿宋" w:hAnsi="仿宋" w:eastAsia="仿宋" w:cs="仿宋"/>
          <w:b/>
          <w:color w:val="auto"/>
          <w:kern w:val="0"/>
          <w:sz w:val="21"/>
          <w:szCs w:val="21"/>
          <w:highlight w:val="none"/>
        </w:rPr>
        <w:t>甲方：</w:t>
      </w:r>
      <w:r>
        <w:rPr>
          <w:rFonts w:hint="eastAsia" w:ascii="仿宋" w:hAnsi="仿宋" w:eastAsia="仿宋" w:cs="仿宋"/>
          <w:b/>
          <w:color w:val="auto"/>
          <w:kern w:val="0"/>
          <w:sz w:val="21"/>
          <w:szCs w:val="21"/>
          <w:highlight w:val="none"/>
          <w:lang w:eastAsia="zh-CN"/>
        </w:rPr>
        <w:t>昆明市第一人民医院</w:t>
      </w:r>
    </w:p>
    <w:p w14:paraId="6EF5FBE8">
      <w:pPr>
        <w:pageBreakBefore w:val="0"/>
        <w:kinsoku/>
        <w:bidi w:val="0"/>
        <w:spacing w:line="360" w:lineRule="auto"/>
        <w:jc w:val="left"/>
        <w:textAlignment w:val="baseline"/>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乙方: </w:t>
      </w:r>
    </w:p>
    <w:p w14:paraId="49BEA08D">
      <w:pPr>
        <w:pageBreakBefore w:val="0"/>
        <w:kinsoku/>
        <w:bidi w:val="0"/>
        <w:spacing w:line="360" w:lineRule="auto"/>
        <w:ind w:firstLine="525" w:firstLineChars="250"/>
        <w:jc w:val="left"/>
        <w:textAlignment w:val="baseline"/>
        <w:rPr>
          <w:rFonts w:hint="eastAsia" w:ascii="仿宋" w:hAnsi="仿宋" w:eastAsia="仿宋" w:cs="仿宋"/>
          <w:color w:val="auto"/>
          <w:kern w:val="0"/>
          <w:sz w:val="21"/>
          <w:szCs w:val="21"/>
          <w:highlight w:val="none"/>
        </w:rPr>
      </w:pPr>
    </w:p>
    <w:p w14:paraId="15F9D141">
      <w:pPr>
        <w:pageBreakBefore w:val="0"/>
        <w:kinsoku/>
        <w:bidi w:val="0"/>
        <w:spacing w:line="360" w:lineRule="auto"/>
        <w:ind w:firstLine="420" w:firstLineChars="200"/>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本合同由甲乙双方根据招标编号为：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eastAsia="zh-CN"/>
        </w:rPr>
        <w:t>昆明市第一人民医院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项目”的</w:t>
      </w:r>
      <w:r>
        <w:rPr>
          <w:rFonts w:hint="eastAsia" w:ascii="仿宋" w:hAnsi="仿宋" w:eastAsia="仿宋" w:cs="仿宋"/>
          <w:color w:val="auto"/>
          <w:kern w:val="0"/>
          <w:sz w:val="21"/>
          <w:szCs w:val="21"/>
          <w:highlight w:val="none"/>
          <w:u w:val="single"/>
        </w:rPr>
        <w:t>公开招标</w:t>
      </w:r>
      <w:r>
        <w:rPr>
          <w:rFonts w:hint="eastAsia" w:ascii="仿宋" w:hAnsi="仿宋" w:eastAsia="仿宋" w:cs="仿宋"/>
          <w:color w:val="auto"/>
          <w:kern w:val="0"/>
          <w:sz w:val="21"/>
          <w:szCs w:val="21"/>
          <w:highlight w:val="none"/>
        </w:rPr>
        <w:t>采购结果，经双方协定达成一致，签订以下合同，共同信守：</w:t>
      </w:r>
    </w:p>
    <w:p w14:paraId="724F80F4">
      <w:pPr>
        <w:pageBreakBefore w:val="0"/>
        <w:kinsoku/>
        <w:bidi w:val="0"/>
        <w:spacing w:line="360" w:lineRule="auto"/>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第一条甲方向乙方采购的产品、总价及付款方式</w:t>
      </w:r>
    </w:p>
    <w:p w14:paraId="702B0CEA">
      <w:pPr>
        <w:pageBreakBefore w:val="0"/>
        <w:kinsoku/>
        <w:bidi w:val="0"/>
        <w:spacing w:line="360" w:lineRule="auto"/>
        <w:ind w:right="-512" w:rightChars="-244"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1.1产品清单及价格（此表须与招标文件一致）</w:t>
      </w:r>
    </w:p>
    <w:tbl>
      <w:tblPr>
        <w:tblStyle w:val="36"/>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83"/>
        <w:gridCol w:w="883"/>
        <w:gridCol w:w="720"/>
        <w:gridCol w:w="720"/>
        <w:gridCol w:w="1440"/>
        <w:gridCol w:w="1260"/>
        <w:gridCol w:w="540"/>
        <w:gridCol w:w="957"/>
        <w:gridCol w:w="1172"/>
      </w:tblGrid>
      <w:tr w14:paraId="731A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center"/>
          </w:tcPr>
          <w:p w14:paraId="204DD931">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序号</w:t>
            </w:r>
          </w:p>
        </w:tc>
        <w:tc>
          <w:tcPr>
            <w:tcW w:w="1283" w:type="dxa"/>
            <w:noWrap w:val="0"/>
            <w:vAlign w:val="center"/>
          </w:tcPr>
          <w:p w14:paraId="4EF15DD1">
            <w:pPr>
              <w:keepNext w:val="0"/>
              <w:keepLines w:val="0"/>
              <w:pageBreakBefore w:val="0"/>
              <w:suppressLineNumbers w:val="0"/>
              <w:kinsoku/>
              <w:bidi w:val="0"/>
              <w:adjustRightInd w:val="0"/>
              <w:snapToGrid w:val="0"/>
              <w:spacing w:before="0" w:beforeAutospacing="0" w:after="0" w:afterAutospacing="0" w:line="360" w:lineRule="auto"/>
              <w:ind w:left="0" w:right="0" w:firstLine="105" w:firstLineChars="5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设备名称</w:t>
            </w:r>
          </w:p>
        </w:tc>
        <w:tc>
          <w:tcPr>
            <w:tcW w:w="883" w:type="dxa"/>
            <w:noWrap w:val="0"/>
            <w:vAlign w:val="center"/>
          </w:tcPr>
          <w:p w14:paraId="03FCAD76">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品牌</w:t>
            </w:r>
          </w:p>
        </w:tc>
        <w:tc>
          <w:tcPr>
            <w:tcW w:w="720" w:type="dxa"/>
            <w:noWrap w:val="0"/>
            <w:vAlign w:val="center"/>
          </w:tcPr>
          <w:p w14:paraId="5F232B04">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设备型号</w:t>
            </w:r>
          </w:p>
        </w:tc>
        <w:tc>
          <w:tcPr>
            <w:tcW w:w="720" w:type="dxa"/>
            <w:noWrap w:val="0"/>
            <w:vAlign w:val="center"/>
          </w:tcPr>
          <w:p w14:paraId="26EB2263">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产地</w:t>
            </w:r>
          </w:p>
        </w:tc>
        <w:tc>
          <w:tcPr>
            <w:tcW w:w="1440" w:type="dxa"/>
            <w:noWrap w:val="0"/>
            <w:vAlign w:val="center"/>
          </w:tcPr>
          <w:p w14:paraId="699BA7B6">
            <w:pPr>
              <w:keepNext w:val="0"/>
              <w:keepLines w:val="0"/>
              <w:pageBreakBefore w:val="0"/>
              <w:suppressLineNumbers w:val="0"/>
              <w:kinsoku/>
              <w:bidi w:val="0"/>
              <w:adjustRightInd w:val="0"/>
              <w:snapToGrid w:val="0"/>
              <w:spacing w:before="0" w:beforeAutospacing="0" w:after="0" w:afterAutospacing="0" w:line="360" w:lineRule="auto"/>
              <w:ind w:left="0" w:right="0" w:firstLine="210" w:firstLineChars="10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注册证号</w:t>
            </w:r>
          </w:p>
        </w:tc>
        <w:tc>
          <w:tcPr>
            <w:tcW w:w="1260" w:type="dxa"/>
            <w:noWrap w:val="0"/>
            <w:vAlign w:val="center"/>
          </w:tcPr>
          <w:p w14:paraId="0CCEE551">
            <w:pPr>
              <w:keepNext w:val="0"/>
              <w:keepLines w:val="0"/>
              <w:pageBreakBefore w:val="0"/>
              <w:suppressLineNumbers w:val="0"/>
              <w:kinsoku/>
              <w:bidi w:val="0"/>
              <w:adjustRightInd w:val="0"/>
              <w:snapToGrid w:val="0"/>
              <w:spacing w:before="0" w:beforeAutospacing="0" w:after="0" w:afterAutospacing="0" w:line="360" w:lineRule="auto"/>
              <w:ind w:left="0" w:right="0" w:firstLine="105" w:firstLineChars="5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生产厂家</w:t>
            </w:r>
          </w:p>
        </w:tc>
        <w:tc>
          <w:tcPr>
            <w:tcW w:w="540" w:type="dxa"/>
            <w:noWrap w:val="0"/>
            <w:vAlign w:val="center"/>
          </w:tcPr>
          <w:p w14:paraId="59E133BB">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数量</w:t>
            </w:r>
          </w:p>
        </w:tc>
        <w:tc>
          <w:tcPr>
            <w:tcW w:w="957" w:type="dxa"/>
            <w:noWrap w:val="0"/>
            <w:vAlign w:val="center"/>
          </w:tcPr>
          <w:p w14:paraId="598A3DF5">
            <w:pPr>
              <w:keepNext w:val="0"/>
              <w:keepLines w:val="0"/>
              <w:pageBreakBefore w:val="0"/>
              <w:suppressLineNumbers w:val="0"/>
              <w:kinsoku/>
              <w:bidi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单价（万元）</w:t>
            </w:r>
          </w:p>
        </w:tc>
        <w:tc>
          <w:tcPr>
            <w:tcW w:w="1172" w:type="dxa"/>
            <w:noWrap w:val="0"/>
            <w:vAlign w:val="center"/>
          </w:tcPr>
          <w:p w14:paraId="40029046">
            <w:pPr>
              <w:keepNext w:val="0"/>
              <w:keepLines w:val="0"/>
              <w:pageBreakBefore w:val="0"/>
              <w:suppressLineNumbers w:val="0"/>
              <w:kinsoku/>
              <w:bidi w:val="0"/>
              <w:adjustRightInd w:val="0"/>
              <w:snapToGrid w:val="0"/>
              <w:spacing w:before="0" w:beforeAutospacing="0" w:after="0" w:afterAutospacing="0" w:line="360" w:lineRule="auto"/>
              <w:ind w:left="0" w:right="0" w:firstLine="105" w:firstLineChars="50"/>
              <w:jc w:val="center"/>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金额（万元）</w:t>
            </w:r>
          </w:p>
        </w:tc>
      </w:tr>
      <w:tr w14:paraId="7BE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top"/>
          </w:tcPr>
          <w:p w14:paraId="5F6F1D0D">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83" w:type="dxa"/>
            <w:noWrap w:val="0"/>
            <w:vAlign w:val="top"/>
          </w:tcPr>
          <w:p w14:paraId="19E73822">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883" w:type="dxa"/>
            <w:noWrap w:val="0"/>
            <w:vAlign w:val="top"/>
          </w:tcPr>
          <w:p w14:paraId="2F5C61A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62F82E35">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658D48D7">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440" w:type="dxa"/>
            <w:noWrap w:val="0"/>
            <w:vAlign w:val="top"/>
          </w:tcPr>
          <w:p w14:paraId="08FB9715">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60" w:type="dxa"/>
            <w:noWrap w:val="0"/>
            <w:vAlign w:val="top"/>
          </w:tcPr>
          <w:p w14:paraId="0789B090">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540" w:type="dxa"/>
            <w:noWrap w:val="0"/>
            <w:vAlign w:val="top"/>
          </w:tcPr>
          <w:p w14:paraId="553F517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957" w:type="dxa"/>
            <w:noWrap w:val="0"/>
            <w:vAlign w:val="top"/>
          </w:tcPr>
          <w:p w14:paraId="3D6EB0F6">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172" w:type="dxa"/>
            <w:noWrap w:val="0"/>
            <w:vAlign w:val="top"/>
          </w:tcPr>
          <w:p w14:paraId="7317977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p w14:paraId="581A8220">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r>
      <w:tr w14:paraId="20EF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top"/>
          </w:tcPr>
          <w:p w14:paraId="54E01DB7">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83" w:type="dxa"/>
            <w:noWrap w:val="0"/>
            <w:vAlign w:val="top"/>
          </w:tcPr>
          <w:p w14:paraId="35FA595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883" w:type="dxa"/>
            <w:noWrap w:val="0"/>
            <w:vAlign w:val="top"/>
          </w:tcPr>
          <w:p w14:paraId="76FEDA75">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0071B4F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546D9F8D">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440" w:type="dxa"/>
            <w:noWrap w:val="0"/>
            <w:vAlign w:val="top"/>
          </w:tcPr>
          <w:p w14:paraId="7551D330">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60" w:type="dxa"/>
            <w:noWrap w:val="0"/>
            <w:vAlign w:val="top"/>
          </w:tcPr>
          <w:p w14:paraId="67AA06A2">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540" w:type="dxa"/>
            <w:noWrap w:val="0"/>
            <w:vAlign w:val="top"/>
          </w:tcPr>
          <w:p w14:paraId="0DA098EA">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957" w:type="dxa"/>
            <w:noWrap w:val="0"/>
            <w:vAlign w:val="top"/>
          </w:tcPr>
          <w:p w14:paraId="70EF7A1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172" w:type="dxa"/>
            <w:noWrap w:val="0"/>
            <w:vAlign w:val="top"/>
          </w:tcPr>
          <w:p w14:paraId="4B5E9993">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p w14:paraId="0DBC48FD">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r>
      <w:tr w14:paraId="5E49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top"/>
          </w:tcPr>
          <w:p w14:paraId="618F8FF5">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83" w:type="dxa"/>
            <w:noWrap w:val="0"/>
            <w:vAlign w:val="top"/>
          </w:tcPr>
          <w:p w14:paraId="5411D39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883" w:type="dxa"/>
            <w:noWrap w:val="0"/>
            <w:vAlign w:val="top"/>
          </w:tcPr>
          <w:p w14:paraId="337BC6C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53AAA866">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720" w:type="dxa"/>
            <w:noWrap w:val="0"/>
            <w:vAlign w:val="top"/>
          </w:tcPr>
          <w:p w14:paraId="4F12AB6A">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440" w:type="dxa"/>
            <w:noWrap w:val="0"/>
            <w:vAlign w:val="top"/>
          </w:tcPr>
          <w:p w14:paraId="5D251B47">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260" w:type="dxa"/>
            <w:noWrap w:val="0"/>
            <w:vAlign w:val="top"/>
          </w:tcPr>
          <w:p w14:paraId="599C30CB">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540" w:type="dxa"/>
            <w:noWrap w:val="0"/>
            <w:vAlign w:val="top"/>
          </w:tcPr>
          <w:p w14:paraId="02E9A0EF">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957" w:type="dxa"/>
            <w:noWrap w:val="0"/>
            <w:vAlign w:val="top"/>
          </w:tcPr>
          <w:p w14:paraId="4AADC46C">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c>
          <w:tcPr>
            <w:tcW w:w="1172" w:type="dxa"/>
            <w:noWrap w:val="0"/>
            <w:vAlign w:val="top"/>
          </w:tcPr>
          <w:p w14:paraId="7119AD29">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p w14:paraId="0A758917">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p>
        </w:tc>
      </w:tr>
      <w:tr w14:paraId="6E6F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10"/>
            <w:noWrap w:val="0"/>
            <w:vAlign w:val="top"/>
          </w:tcPr>
          <w:p w14:paraId="5372086F">
            <w:pPr>
              <w:keepNext w:val="0"/>
              <w:keepLines w:val="0"/>
              <w:pageBreakBefore w:val="0"/>
              <w:suppressLineNumbers w:val="0"/>
              <w:kinsoku/>
              <w:bidi w:val="0"/>
              <w:adjustRightInd w:val="0"/>
              <w:snapToGrid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总价格（大写）：</w:t>
            </w:r>
          </w:p>
        </w:tc>
      </w:tr>
    </w:tbl>
    <w:p w14:paraId="67FEF551">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交货价格：以上价格为到达</w:t>
      </w:r>
      <w:r>
        <w:rPr>
          <w:rFonts w:hint="eastAsia" w:ascii="仿宋" w:hAnsi="仿宋" w:eastAsia="仿宋" w:cs="仿宋"/>
          <w:color w:val="auto"/>
          <w:kern w:val="0"/>
          <w:sz w:val="21"/>
          <w:szCs w:val="21"/>
          <w:highlight w:val="none"/>
          <w:lang w:eastAsia="zh-CN"/>
        </w:rPr>
        <w:t>昆明市第一人民医院</w:t>
      </w:r>
      <w:r>
        <w:rPr>
          <w:rFonts w:hint="eastAsia" w:ascii="仿宋" w:hAnsi="仿宋" w:eastAsia="仿宋" w:cs="仿宋"/>
          <w:color w:val="auto"/>
          <w:kern w:val="0"/>
          <w:sz w:val="21"/>
          <w:szCs w:val="21"/>
          <w:highlight w:val="none"/>
        </w:rPr>
        <w:t>甲方指定地点交货价RMB（DDP）包括一切运费、保险及税费、报关手续费，并包含吊装、安装、调试、培训等全部费用。</w:t>
      </w:r>
      <w:r>
        <w:rPr>
          <w:rFonts w:hint="eastAsia" w:ascii="仿宋" w:hAnsi="仿宋" w:eastAsia="仿宋" w:cs="仿宋"/>
          <w:color w:val="auto"/>
          <w:kern w:val="0"/>
          <w:sz w:val="21"/>
          <w:szCs w:val="21"/>
          <w:highlight w:val="none"/>
          <w:lang w:val="en-US" w:eastAsia="zh-CN"/>
        </w:rPr>
        <w:t>甲方有权拒付除上述费用以外的其他任何费用。</w:t>
      </w:r>
    </w:p>
    <w:p w14:paraId="2BF14BF8">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1.2、付款方式：</w:t>
      </w:r>
    </w:p>
    <w:p w14:paraId="2E197A2A">
      <w:pPr>
        <w:pageBreakBefore w:val="0"/>
        <w:kinsoku/>
        <w:bidi w:val="0"/>
        <w:spacing w:line="360" w:lineRule="auto"/>
        <w:ind w:right="-512" w:rightChars="-244"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 xml:space="preserve">验收合格后，按照合同约定的期限医院向中标方支付验收合格货款总额的90%，合同履约结束后，无息支付验收合格货款总额的10% </w:t>
      </w:r>
      <w:r>
        <w:rPr>
          <w:rFonts w:hint="eastAsia" w:ascii="仿宋" w:hAnsi="仿宋" w:eastAsia="仿宋" w:cs="仿宋"/>
          <w:color w:val="auto"/>
          <w:kern w:val="0"/>
          <w:sz w:val="21"/>
          <w:szCs w:val="21"/>
          <w:highlight w:val="none"/>
        </w:rPr>
        <w:t>。</w:t>
      </w:r>
    </w:p>
    <w:p w14:paraId="032C7898">
      <w:pPr>
        <w:pageBreakBefore w:val="0"/>
        <w:kinsoku/>
        <w:bidi w:val="0"/>
        <w:spacing w:line="360" w:lineRule="auto"/>
        <w:ind w:right="-512" w:rightChars="-244"/>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第二条交货时间、地点及范围</w:t>
      </w:r>
    </w:p>
    <w:p w14:paraId="33B7BC49">
      <w:pPr>
        <w:pageBreakBefore w:val="0"/>
        <w:kinsoku/>
        <w:bidi w:val="0"/>
        <w:spacing w:line="360" w:lineRule="auto"/>
        <w:ind w:right="-512" w:rightChars="-244"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2.1交货时间：_________。因不可抗力所导致的交货、服务及付款延迟等按照《中华人民共和国民法典》合同编有关条文处理。</w:t>
      </w:r>
    </w:p>
    <w:p w14:paraId="054C4477">
      <w:pPr>
        <w:pageBreakBefore w:val="0"/>
        <w:kinsoku/>
        <w:bidi w:val="0"/>
        <w:spacing w:line="360" w:lineRule="auto"/>
        <w:ind w:right="-512" w:rightChars="-244"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2.2</w:t>
      </w:r>
      <w:r>
        <w:rPr>
          <w:rFonts w:hint="eastAsia" w:ascii="仿宋" w:hAnsi="仿宋" w:eastAsia="仿宋" w:cs="仿宋"/>
          <w:color w:val="auto"/>
          <w:kern w:val="0"/>
          <w:sz w:val="21"/>
          <w:szCs w:val="21"/>
          <w:highlight w:val="none"/>
        </w:rPr>
        <w:t>合同履行期限：</w:t>
      </w:r>
      <w:r>
        <w:rPr>
          <w:rFonts w:hint="eastAsia" w:ascii="仿宋" w:hAnsi="仿宋" w:eastAsia="仿宋" w:cs="仿宋"/>
          <w:color w:val="auto"/>
          <w:kern w:val="0"/>
          <w:sz w:val="21"/>
          <w:szCs w:val="21"/>
          <w:highlight w:val="none"/>
          <w:lang w:val="en-US" w:eastAsia="zh-CN"/>
        </w:rPr>
        <w:t>根据设备的质保期确定，自验收合格之日起至质保期结束，期间提供设备维修、零部件更换及技术支持。</w:t>
      </w:r>
    </w:p>
    <w:p w14:paraId="5A42920F">
      <w:pPr>
        <w:pageBreakBefore w:val="0"/>
        <w:kinsoku/>
        <w:bidi w:val="0"/>
        <w:spacing w:line="360" w:lineRule="auto"/>
        <w:ind w:right="-512" w:rightChars="-244"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交货地点：</w:t>
      </w:r>
      <w:r>
        <w:rPr>
          <w:rFonts w:hint="eastAsia" w:ascii="仿宋" w:hAnsi="仿宋" w:eastAsia="仿宋" w:cs="仿宋"/>
          <w:color w:val="auto"/>
          <w:kern w:val="0"/>
          <w:sz w:val="21"/>
          <w:szCs w:val="21"/>
          <w:highlight w:val="none"/>
          <w:lang w:val="en-US" w:eastAsia="zh-CN"/>
        </w:rPr>
        <w:t>昆明市第一人民医院指定地点</w:t>
      </w:r>
      <w:r>
        <w:rPr>
          <w:rFonts w:hint="eastAsia" w:ascii="仿宋" w:hAnsi="仿宋" w:eastAsia="仿宋" w:cs="仿宋"/>
          <w:color w:val="auto"/>
          <w:kern w:val="0"/>
          <w:sz w:val="21"/>
          <w:szCs w:val="21"/>
          <w:highlight w:val="none"/>
        </w:rPr>
        <w:t>。</w:t>
      </w:r>
    </w:p>
    <w:p w14:paraId="5D555C6E">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交货范围：合同约定的主机以及附件清单上所有产品（含随机资料、软件等）以及配套附属设备（按招投标文件要求执行并满足甲方需要）。</w:t>
      </w:r>
    </w:p>
    <w:p w14:paraId="1AFACF22">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随机资料包括原产地证明、合格证、保修卡等相关资料（如操作手册、使用指南、维修手册、安装调试说明书、服务手册等）及配备的用件、工具等。</w:t>
      </w:r>
    </w:p>
    <w:p w14:paraId="1C67724B">
      <w:pPr>
        <w:pageBreakBefore w:val="0"/>
        <w:kinsoku/>
        <w:bidi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第三条安装调试要求</w:t>
      </w:r>
    </w:p>
    <w:p w14:paraId="6A30BFEC">
      <w:pPr>
        <w:pageBreakBefore w:val="0"/>
        <w:kinsoku/>
        <w:bidi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设备安装、调试必须符合国家质量检测标准，并满足甲方技术要求，乙方负责进行设备的安装调试（不另计费）。</w:t>
      </w:r>
    </w:p>
    <w:p w14:paraId="2E7E0180">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第四条验收及验收标准</w:t>
      </w:r>
    </w:p>
    <w:p w14:paraId="39E6B84B">
      <w:pPr>
        <w:pageBreakBefore w:val="0"/>
        <w:kinsoku/>
        <w:bidi w:val="0"/>
        <w:spacing w:line="360" w:lineRule="auto"/>
        <w:ind w:firstLine="315" w:firstLineChars="1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 设备验收：设备到达甲方指定地点后，甲乙双方根据合同及其附件进行开箱、清点所有货品。符合后由乙方负责进行设备的安装和调试，安装调试完毕后，由甲方测试是否合格并满足技术要求。若开箱、清点发现货品不相符合的，乙方必须更换。更换所产生的费用由乙方负责。</w:t>
      </w:r>
    </w:p>
    <w:p w14:paraId="06E7B6D7">
      <w:pPr>
        <w:pageBreakBefore w:val="0"/>
        <w:kinsoku/>
        <w:bidi w:val="0"/>
        <w:spacing w:line="360" w:lineRule="auto"/>
        <w:ind w:left="449" w:leftChars="114" w:right="-512" w:rightChars="-244" w:hanging="210" w:hanging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 实质性操作验收：乙方将设备安装调试完毕后，甲方在使用过程中检验设备是否正常运作或使用。</w:t>
      </w:r>
    </w:p>
    <w:p w14:paraId="2D59E2F8">
      <w:pPr>
        <w:pageBreakBefore w:val="0"/>
        <w:kinsoku/>
        <w:bidi w:val="0"/>
        <w:spacing w:line="360" w:lineRule="auto"/>
        <w:ind w:left="449" w:leftChars="114" w:right="-512" w:rightChars="-244" w:hanging="210" w:hanging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 一般性项目由甲方组成验收小组进行项目验收。大型或复杂的项目，应当邀请国家认可的质量检测机构参</w:t>
      </w:r>
    </w:p>
    <w:p w14:paraId="502CC10F">
      <w:pPr>
        <w:pageBreakBefore w:val="0"/>
        <w:kinsoku/>
        <w:bidi w:val="0"/>
        <w:spacing w:line="360" w:lineRule="auto"/>
        <w:ind w:left="0" w:leftChars="0" w:right="-512" w:rightChars="-244" w:firstLine="0" w:firstLineChars="0"/>
        <w:jc w:val="left"/>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与验收，验收方成员应在验收书上签字。</w:t>
      </w:r>
    </w:p>
    <w:p w14:paraId="440747A7">
      <w:pPr>
        <w:pageBreakBefore w:val="0"/>
        <w:kinsoku/>
        <w:bidi w:val="0"/>
        <w:spacing w:line="360" w:lineRule="auto"/>
        <w:ind w:right="-512" w:rightChars="-244"/>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第五条保修条款</w:t>
      </w:r>
    </w:p>
    <w:p w14:paraId="12185262">
      <w:pPr>
        <w:pageBreakBefore w:val="0"/>
        <w:kinsoku/>
        <w:bidi w:val="0"/>
        <w:spacing w:line="360" w:lineRule="auto"/>
        <w:ind w:left="420" w:leftChars="100" w:right="-512" w:rightChars="-244" w:hanging="210" w:hanging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5.1乙方提供的货物须为正规渠道销售的全新的合格货物，且没有任何质量瑕疵。</w:t>
      </w:r>
    </w:p>
    <w:p w14:paraId="3A5D768D">
      <w:pPr>
        <w:pageBreakBefore w:val="0"/>
        <w:kinsoku/>
        <w:bidi w:val="0"/>
        <w:spacing w:line="360" w:lineRule="auto"/>
        <w:ind w:left="420" w:leftChars="100" w:right="-512" w:rightChars="-244" w:hanging="210" w:hanging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5.2设备整机质量保证期为</w:t>
      </w:r>
      <w:r>
        <w:rPr>
          <w:rFonts w:hint="eastAsia" w:ascii="仿宋" w:hAnsi="仿宋" w:eastAsia="仿宋" w:cs="仿宋"/>
          <w:color w:val="auto"/>
          <w:kern w:val="0"/>
          <w:sz w:val="21"/>
          <w:szCs w:val="21"/>
          <w:highlight w:val="none"/>
          <w:lang w:val="en-US" w:eastAsia="zh-CN"/>
        </w:rPr>
        <w:t>设备经甲方</w:t>
      </w:r>
      <w:r>
        <w:rPr>
          <w:rFonts w:hint="eastAsia" w:ascii="仿宋" w:hAnsi="仿宋" w:eastAsia="仿宋" w:cs="仿宋"/>
          <w:color w:val="auto"/>
          <w:kern w:val="0"/>
          <w:sz w:val="21"/>
          <w:szCs w:val="21"/>
          <w:highlight w:val="none"/>
        </w:rPr>
        <w:t>验收合格之日起  年。</w:t>
      </w:r>
    </w:p>
    <w:p w14:paraId="5554C06A">
      <w:pPr>
        <w:pageBreakBefore w:val="0"/>
        <w:kinsoku/>
        <w:bidi w:val="0"/>
        <w:spacing w:line="360" w:lineRule="auto"/>
        <w:ind w:right="-512" w:rightChars="-244" w:firstLine="210" w:firstLine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5.3本项目的安装、培训及售后服务保修等事项，请乙方根据双方约定以附件方式附在本合同后。</w:t>
      </w:r>
    </w:p>
    <w:p w14:paraId="211811C4">
      <w:pPr>
        <w:pageBreakBefore w:val="0"/>
        <w:kinsoku/>
        <w:bidi w:val="0"/>
        <w:spacing w:line="360" w:lineRule="auto"/>
        <w:ind w:firstLine="210" w:firstLine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5.4下</w:t>
      </w:r>
      <w:r>
        <w:rPr>
          <w:rFonts w:hint="eastAsia" w:ascii="仿宋" w:hAnsi="仿宋" w:eastAsia="仿宋" w:cs="仿宋"/>
          <w:color w:val="auto"/>
          <w:kern w:val="0"/>
          <w:sz w:val="21"/>
          <w:szCs w:val="21"/>
          <w:highlight w:val="none"/>
          <w:lang w:val="en-US" w:eastAsia="zh-CN"/>
        </w:rPr>
        <w:t>列</w:t>
      </w:r>
      <w:r>
        <w:rPr>
          <w:rFonts w:hint="eastAsia" w:ascii="仿宋" w:hAnsi="仿宋" w:eastAsia="仿宋" w:cs="仿宋"/>
          <w:color w:val="auto"/>
          <w:kern w:val="0"/>
          <w:sz w:val="21"/>
          <w:szCs w:val="21"/>
          <w:highlight w:val="none"/>
        </w:rPr>
        <w:t>情况不属</w:t>
      </w:r>
      <w:r>
        <w:rPr>
          <w:rFonts w:hint="eastAsia" w:ascii="仿宋" w:hAnsi="仿宋" w:eastAsia="仿宋" w:cs="仿宋"/>
          <w:color w:val="auto"/>
          <w:kern w:val="0"/>
          <w:sz w:val="21"/>
          <w:szCs w:val="21"/>
          <w:highlight w:val="none"/>
          <w:lang w:val="en-US" w:eastAsia="zh-CN"/>
        </w:rPr>
        <w:t>于</w:t>
      </w:r>
      <w:r>
        <w:rPr>
          <w:rFonts w:hint="eastAsia" w:ascii="仿宋" w:hAnsi="仿宋" w:eastAsia="仿宋" w:cs="仿宋"/>
          <w:color w:val="auto"/>
          <w:kern w:val="0"/>
          <w:sz w:val="21"/>
          <w:szCs w:val="21"/>
          <w:highlight w:val="none"/>
        </w:rPr>
        <w:t>保修范围：</w:t>
      </w:r>
    </w:p>
    <w:p w14:paraId="293B3003">
      <w:pPr>
        <w:pageBreakBefore w:val="0"/>
        <w:kinsoku/>
        <w:bidi w:val="0"/>
        <w:spacing w:line="360" w:lineRule="auto"/>
        <w:ind w:firstLine="210" w:firstLine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（1）．不可抗力引起的损害；</w:t>
      </w:r>
    </w:p>
    <w:p w14:paraId="6BD28EA8">
      <w:pPr>
        <w:pageBreakBefore w:val="0"/>
        <w:kinsoku/>
        <w:bidi w:val="0"/>
        <w:spacing w:line="360" w:lineRule="auto"/>
        <w:ind w:firstLine="210" w:firstLine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（2）．用户电力系统故障（如接地不良、电压超过规定范围等）引起的损坏；</w:t>
      </w:r>
    </w:p>
    <w:p w14:paraId="143E34A3">
      <w:pPr>
        <w:pageBreakBefore w:val="0"/>
        <w:kinsoku/>
        <w:bidi w:val="0"/>
        <w:spacing w:line="360" w:lineRule="auto"/>
        <w:ind w:firstLine="210" w:firstLineChars="1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（3）．用户私自维修引起的损坏；</w:t>
      </w:r>
    </w:p>
    <w:p w14:paraId="4C73641D">
      <w:pPr>
        <w:pageBreakBefore w:val="0"/>
        <w:kinsoku/>
        <w:bidi w:val="0"/>
        <w:spacing w:line="360" w:lineRule="auto"/>
        <w:ind w:firstLine="210" w:firstLineChars="100"/>
        <w:jc w:val="left"/>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（4）．用户自行造成的机械损坏（用户正常使用除外）。</w:t>
      </w:r>
    </w:p>
    <w:p w14:paraId="5D9EA79C">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第六条配套设备、消耗品要求及长期供应优惠条件</w:t>
      </w:r>
    </w:p>
    <w:p w14:paraId="580C9D6D">
      <w:pPr>
        <w:pageBreakBefore w:val="0"/>
        <w:kinsoku/>
        <w:bidi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乙方严格按照招投标文件执行。乙方同时承诺：乙方向甲方提供的配套设备、消耗品不高于市场同类产品的价格。</w:t>
      </w:r>
    </w:p>
    <w:p w14:paraId="252A203B">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第七条备品备件（含易损件）要求及长期供应优惠条件</w:t>
      </w:r>
    </w:p>
    <w:p w14:paraId="07535777">
      <w:pPr>
        <w:pageBreakBefore w:val="0"/>
        <w:kinsoku/>
        <w:bidi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乙方严格按照招投标文件执行。乙方同时承诺：乙方向甲方提供的备品备件（含易损件）不高于市场同类产品的价格。</w:t>
      </w:r>
    </w:p>
    <w:p w14:paraId="0C76E417">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第八条甲方的权利与义务</w:t>
      </w:r>
    </w:p>
    <w:p w14:paraId="4A86A5C8">
      <w:pPr>
        <w:pageBreakBefore w:val="0"/>
        <w:kinsoku/>
        <w:bidi w:val="0"/>
        <w:spacing w:line="360" w:lineRule="auto"/>
        <w:ind w:firstLine="420" w:firstLineChars="200"/>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8.1 甲方负责提供设备安装、培训所需的场地。</w:t>
      </w:r>
    </w:p>
    <w:p w14:paraId="1793D6DC">
      <w:pPr>
        <w:pageBreakBefore w:val="0"/>
        <w:kinsoku/>
        <w:bidi w:val="0"/>
        <w:spacing w:line="360" w:lineRule="auto"/>
        <w:ind w:firstLine="420" w:firstLineChars="200"/>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8.2 甲方负责组织操作人员、设备科工程师及乙方人员，进行设备的安装、调试、培训及移交工作。</w:t>
      </w:r>
    </w:p>
    <w:p w14:paraId="6D1F234F">
      <w:pPr>
        <w:pageBreakBefore w:val="0"/>
        <w:kinsoku/>
        <w:bidi w:val="0"/>
        <w:spacing w:line="360" w:lineRule="auto"/>
        <w:ind w:firstLine="420" w:firstLineChars="200"/>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 甲方负责按甲方的工作程序，组织设备试用后的验收工作。</w:t>
      </w:r>
    </w:p>
    <w:p w14:paraId="305B0B0B">
      <w:pPr>
        <w:pageBreakBefore w:val="0"/>
        <w:kinsoku/>
        <w:bidi w:val="0"/>
        <w:spacing w:line="360" w:lineRule="auto"/>
        <w:ind w:firstLine="420" w:firstLineChars="200"/>
        <w:jc w:val="left"/>
        <w:textAlignment w:val="baseline"/>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8.4 甲方负责在设备验收合格及全部相关手续办妥后，按本合同所约定的付款程序付款并依本合同约定享有乙方提供的售后服务。</w:t>
      </w:r>
    </w:p>
    <w:p w14:paraId="55A92D02">
      <w:pPr>
        <w:pageBreakBefore w:val="0"/>
        <w:kinsoku/>
        <w:bidi w:val="0"/>
        <w:spacing w:line="360" w:lineRule="auto"/>
        <w:jc w:val="left"/>
        <w:textAlignment w:val="baseline"/>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第九条乙方责任</w:t>
      </w:r>
    </w:p>
    <w:p w14:paraId="344B98F9">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乙方保证按本合同条款负责完成供货和其他义务，并保证提供的设备是全新原装（包括零部件）、符合招投标文件规定、具有国家有关部门注册证明并符合国家质量检测标准（进口设备具有国家有关部门完整手续）和产品出厂标准的设备；乙方对所提供的设备全部实行三包；设备及主要部件的</w:t>
      </w:r>
      <w:r>
        <w:rPr>
          <w:rFonts w:hint="eastAsia" w:ascii="仿宋" w:hAnsi="仿宋" w:eastAsia="仿宋" w:cs="仿宋"/>
          <w:color w:val="auto"/>
          <w:kern w:val="0"/>
          <w:sz w:val="21"/>
          <w:szCs w:val="21"/>
          <w:highlight w:val="none"/>
          <w:lang w:eastAsia="zh-CN"/>
        </w:rPr>
        <w:t>质保期</w:t>
      </w:r>
      <w:r>
        <w:rPr>
          <w:rFonts w:hint="eastAsia" w:ascii="仿宋" w:hAnsi="仿宋" w:eastAsia="仿宋" w:cs="仿宋"/>
          <w:color w:val="auto"/>
          <w:kern w:val="0"/>
          <w:sz w:val="21"/>
          <w:szCs w:val="21"/>
          <w:highlight w:val="none"/>
        </w:rPr>
        <w:t>见本合同5.2款，自设备交付甲方且正常运行之日起算，终身负责维修；并保证设备在甲方报废前正常运行。具体服务：</w:t>
      </w:r>
      <w:r>
        <w:rPr>
          <w:rFonts w:hint="eastAsia" w:ascii="仿宋" w:hAnsi="仿宋" w:eastAsia="仿宋" w:cs="仿宋"/>
          <w:color w:val="auto"/>
          <w:kern w:val="0"/>
          <w:sz w:val="21"/>
          <w:szCs w:val="21"/>
          <w:highlight w:val="none"/>
          <w:lang w:eastAsia="zh-CN"/>
        </w:rPr>
        <w:t>质保期</w:t>
      </w:r>
      <w:r>
        <w:rPr>
          <w:rFonts w:hint="eastAsia" w:ascii="仿宋" w:hAnsi="仿宋" w:eastAsia="仿宋" w:cs="仿宋"/>
          <w:color w:val="auto"/>
          <w:kern w:val="0"/>
          <w:sz w:val="21"/>
          <w:szCs w:val="21"/>
          <w:highlight w:val="none"/>
        </w:rPr>
        <w:t>内，乙方对设备提供保修或更换（自然灾害及人为故意损坏除外）</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提供设备维修、零部件更换及技术支持</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质保期</w:t>
      </w:r>
      <w:r>
        <w:rPr>
          <w:rFonts w:hint="eastAsia" w:ascii="仿宋" w:hAnsi="仿宋" w:eastAsia="仿宋" w:cs="仿宋"/>
          <w:color w:val="auto"/>
          <w:kern w:val="0"/>
          <w:sz w:val="21"/>
          <w:szCs w:val="21"/>
          <w:highlight w:val="none"/>
        </w:rPr>
        <w:t>后，优惠收取成本费维修；乙方提供现场维修，维修人员在甲方发出故障通知后2小时内作出响应，12小时内派原厂认证合格专业工程师到达甲方进行现场维修，24小时内不能排除故障时，在2天内保证修复，若在2天内不能修复的，无条件提供相同型号设备给用户使用，待原设备修复正常使用后换回。同时，保证购买时软件为最新版本，已有软件乙方提供终身升级服务，对用户无条件开放维护密码；乙方保证在甲方指定地点供应备品备件（含易损件）和配套消耗品；乙方对其所提供的设备实行每三个月定期随访一次。</w:t>
      </w:r>
    </w:p>
    <w:p w14:paraId="63B7D45E">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 xml:space="preserve"> 乙方确保所供进口设备的电源及电源插头，符合中国要求、能够满足甲方使用需要。乙方向甲方提供中文操作说明书。</w:t>
      </w:r>
    </w:p>
    <w:p w14:paraId="29DC9D52">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 xml:space="preserve"> 乙方保证：甲方在设备及配件（有配套软件的还包括软件产品）使用期间不受第三方提出侵犯其专利权、商标权和工业设计权等的起诉。</w:t>
      </w:r>
    </w:p>
    <w:p w14:paraId="3D9E2714">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 xml:space="preserve"> 乙方严格遵守投标、技术澄清、商务谈判、中标所承诺的一切规定和条款。</w:t>
      </w:r>
    </w:p>
    <w:p w14:paraId="4446D82A">
      <w:pPr>
        <w:pageBreakBefore w:val="0"/>
        <w:kinsoku/>
        <w:bidi w:val="0"/>
        <w:spacing w:line="360" w:lineRule="auto"/>
        <w:ind w:firstLine="420" w:firstLineChars="200"/>
        <w:jc w:val="left"/>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 xml:space="preserve"> 参与甲方共同进行设备验收。</w:t>
      </w:r>
    </w:p>
    <w:p w14:paraId="5C864876">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第十条技术培训</w:t>
      </w:r>
    </w:p>
    <w:p w14:paraId="38D8481B">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乙方向甲方提供</w:t>
      </w:r>
      <w:r>
        <w:rPr>
          <w:rFonts w:hint="eastAsia" w:ascii="仿宋" w:hAnsi="仿宋" w:eastAsia="仿宋" w:cs="仿宋"/>
          <w:color w:val="auto"/>
          <w:kern w:val="0"/>
          <w:sz w:val="21"/>
          <w:szCs w:val="21"/>
          <w:highlight w:val="none"/>
          <w:u w:val="single"/>
        </w:rPr>
        <w:t>不少于5</w:t>
      </w:r>
      <w:r>
        <w:rPr>
          <w:rFonts w:hint="eastAsia" w:ascii="仿宋" w:hAnsi="仿宋" w:eastAsia="仿宋" w:cs="仿宋"/>
          <w:color w:val="auto"/>
          <w:kern w:val="0"/>
          <w:sz w:val="21"/>
          <w:szCs w:val="21"/>
          <w:highlight w:val="none"/>
        </w:rPr>
        <w:t>天的设备现场例行培训，直至使用人员及工程师能完全掌握使用方法，独立完成操作为止。培训内容包括设备的调试、使用、一般的维修、维护及保养等；食宿自理（各自负责）。</w:t>
      </w:r>
    </w:p>
    <w:p w14:paraId="41C6814C">
      <w:pPr>
        <w:pageBreakBefore w:val="0"/>
        <w:kinsoku/>
        <w:bidi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第十一条甲方在设备使用过程中发生技术或质量问题，乙方应提供及时有效的技术支持。乙方的24小时技术支持电话：</w:t>
      </w:r>
    </w:p>
    <w:p w14:paraId="2BEF5071">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第十二条违约责任</w:t>
      </w:r>
    </w:p>
    <w:p w14:paraId="5681CC37">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12.1如乙方所交设备（含选购件）或安装调试与合同标准不相符合，则甲方有权拒收设备（含选购件）、解除本合同、拒付本合同项下的价款并追究乙方违约责任，乙方应按合同总价款的30%向甲方支付违约金，若因此给甲方造成损失，由乙方负责赔偿。</w:t>
      </w:r>
    </w:p>
    <w:p w14:paraId="281F5DA5">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12.2</w:t>
      </w:r>
      <w:r>
        <w:rPr>
          <w:rFonts w:hint="eastAsia" w:ascii="仿宋" w:hAnsi="仿宋" w:eastAsia="仿宋" w:cs="仿宋"/>
          <w:color w:val="auto"/>
          <w:kern w:val="0"/>
          <w:sz w:val="21"/>
          <w:szCs w:val="21"/>
          <w:highlight w:val="none"/>
        </w:rPr>
        <w:t>由于</w:t>
      </w:r>
      <w:r>
        <w:rPr>
          <w:rFonts w:hint="eastAsia" w:ascii="仿宋" w:hAnsi="仿宋" w:eastAsia="仿宋" w:cs="仿宋"/>
          <w:color w:val="auto"/>
          <w:kern w:val="0"/>
          <w:sz w:val="21"/>
          <w:szCs w:val="21"/>
          <w:highlight w:val="none"/>
          <w:lang w:val="en-US" w:eastAsia="zh-CN"/>
        </w:rPr>
        <w:t>乙方</w:t>
      </w:r>
      <w:r>
        <w:rPr>
          <w:rFonts w:hint="eastAsia" w:ascii="仿宋" w:hAnsi="仿宋" w:eastAsia="仿宋" w:cs="仿宋"/>
          <w:color w:val="auto"/>
          <w:kern w:val="0"/>
          <w:sz w:val="21"/>
          <w:szCs w:val="21"/>
          <w:highlight w:val="none"/>
        </w:rPr>
        <w:t>未按约定要求履行合同，包括但不限于延迟交货、交付的产品不符合质量要求、未能按时完成维修服务等</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甲方</w:t>
      </w:r>
      <w:r>
        <w:rPr>
          <w:rFonts w:hint="eastAsia" w:ascii="仿宋" w:hAnsi="仿宋" w:eastAsia="仿宋" w:cs="仿宋"/>
          <w:color w:val="auto"/>
          <w:kern w:val="0"/>
          <w:sz w:val="21"/>
          <w:szCs w:val="21"/>
          <w:highlight w:val="none"/>
        </w:rPr>
        <w:t>可单方解除合同，因此给</w:t>
      </w:r>
      <w:r>
        <w:rPr>
          <w:rFonts w:hint="eastAsia" w:ascii="仿宋" w:hAnsi="仿宋" w:eastAsia="仿宋" w:cs="仿宋"/>
          <w:color w:val="auto"/>
          <w:kern w:val="0"/>
          <w:sz w:val="21"/>
          <w:szCs w:val="21"/>
          <w:highlight w:val="none"/>
          <w:lang w:val="en-US" w:eastAsia="zh-CN"/>
        </w:rPr>
        <w:t>甲方</w:t>
      </w:r>
      <w:r>
        <w:rPr>
          <w:rFonts w:hint="eastAsia" w:ascii="仿宋" w:hAnsi="仿宋" w:eastAsia="仿宋" w:cs="仿宋"/>
          <w:color w:val="auto"/>
          <w:kern w:val="0"/>
          <w:sz w:val="21"/>
          <w:szCs w:val="21"/>
          <w:highlight w:val="none"/>
        </w:rPr>
        <w:t>造成的损失(包括直接损失和间接损失)，都由</w:t>
      </w:r>
      <w:r>
        <w:rPr>
          <w:rFonts w:hint="eastAsia" w:ascii="仿宋" w:hAnsi="仿宋" w:eastAsia="仿宋" w:cs="仿宋"/>
          <w:color w:val="auto"/>
          <w:kern w:val="0"/>
          <w:sz w:val="21"/>
          <w:szCs w:val="21"/>
          <w:highlight w:val="none"/>
          <w:lang w:val="en-US" w:eastAsia="zh-CN"/>
        </w:rPr>
        <w:t>乙方</w:t>
      </w:r>
      <w:r>
        <w:rPr>
          <w:rFonts w:hint="eastAsia" w:ascii="仿宋" w:hAnsi="仿宋" w:eastAsia="仿宋" w:cs="仿宋"/>
          <w:color w:val="auto"/>
          <w:kern w:val="0"/>
          <w:sz w:val="21"/>
          <w:szCs w:val="21"/>
          <w:highlight w:val="none"/>
        </w:rPr>
        <w:t>承担，并由</w:t>
      </w:r>
      <w:r>
        <w:rPr>
          <w:rFonts w:hint="eastAsia" w:ascii="仿宋" w:hAnsi="仿宋" w:eastAsia="仿宋" w:cs="仿宋"/>
          <w:color w:val="auto"/>
          <w:kern w:val="0"/>
          <w:sz w:val="21"/>
          <w:szCs w:val="21"/>
          <w:highlight w:val="none"/>
          <w:lang w:val="en-US" w:eastAsia="zh-CN"/>
        </w:rPr>
        <w:t>乙方</w:t>
      </w:r>
      <w:r>
        <w:rPr>
          <w:rFonts w:hint="eastAsia" w:ascii="仿宋" w:hAnsi="仿宋" w:eastAsia="仿宋" w:cs="仿宋"/>
          <w:color w:val="auto"/>
          <w:kern w:val="0"/>
          <w:sz w:val="21"/>
          <w:szCs w:val="21"/>
          <w:highlight w:val="none"/>
        </w:rPr>
        <w:t>按货款总金额的5%的数额向</w:t>
      </w:r>
      <w:r>
        <w:rPr>
          <w:rFonts w:hint="eastAsia" w:ascii="仿宋" w:hAnsi="仿宋" w:eastAsia="仿宋" w:cs="仿宋"/>
          <w:color w:val="auto"/>
          <w:kern w:val="0"/>
          <w:sz w:val="21"/>
          <w:szCs w:val="21"/>
          <w:highlight w:val="none"/>
          <w:lang w:val="en-US" w:eastAsia="zh-CN"/>
        </w:rPr>
        <w:t>甲方</w:t>
      </w:r>
      <w:r>
        <w:rPr>
          <w:rFonts w:hint="eastAsia" w:ascii="仿宋" w:hAnsi="仿宋" w:eastAsia="仿宋" w:cs="仿宋"/>
          <w:color w:val="auto"/>
          <w:kern w:val="0"/>
          <w:sz w:val="21"/>
          <w:szCs w:val="21"/>
          <w:highlight w:val="none"/>
        </w:rPr>
        <w:t>支付违约金。</w:t>
      </w:r>
    </w:p>
    <w:p w14:paraId="25F295A2">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在设备（含选购件）验收后的质保期内，乙方应对由于设计、工艺或者材料的缺陷而发生的任何不足或故障负责，并按本合同约定以及甲方要求承担维修义务，由此而发生的一切费用由乙方承担，若因此导致甲方不能正常使用设备（含选购件），甲方有权退货并追究乙方违约责任，乙方应返还甲方已支付的全部款项、按合同总价款的30%向甲方支付违约金并赔偿甲方因此而遭受的一切损失。</w:t>
      </w:r>
    </w:p>
    <w:p w14:paraId="50C1E7D2">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除发生不可抗力事件（不可抗力事件仅指自然灾害、战争）外，如乙方逾期交货或安装调试逾期，则每逾期一天，乙方按合同总价的1%向甲方支付违约金，逾期30天，甲方有权解除合同并追究乙方违约责任，乙方应返还甲方已支付的全部款项、向甲方支付合同总价款30%的违约金并赔偿甲方因此而遭受的损失。</w:t>
      </w:r>
    </w:p>
    <w:p w14:paraId="3B1C8F22">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eastAsia="zh-CN"/>
        </w:rPr>
        <w:t>质保期</w:t>
      </w:r>
      <w:r>
        <w:rPr>
          <w:rFonts w:hint="eastAsia" w:ascii="仿宋" w:hAnsi="仿宋" w:eastAsia="仿宋" w:cs="仿宋"/>
          <w:color w:val="auto"/>
          <w:kern w:val="0"/>
          <w:sz w:val="21"/>
          <w:szCs w:val="21"/>
          <w:highlight w:val="none"/>
        </w:rPr>
        <w:t>内，如乙方未按本合同约定提供保修服务，则甲方有权没收质保金并追究乙方违约责任，乙方应按合同总价款的30%向甲方支付违约金并赔偿甲方因此而遭受的损失。</w:t>
      </w:r>
    </w:p>
    <w:p w14:paraId="4A74B185">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如乙方出现除上述12.1—12.4以外的其他违约行为或违反保证与承诺义务，应按合同总价款的30%向甲方支付违约金并赔偿甲方因此而遭受的损失。</w:t>
      </w:r>
    </w:p>
    <w:p w14:paraId="5DA847F9">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如甲方无正当理由拒收设备，应按合同总价款的百分之五向乙方支付违约金以作为对乙方的损失赔偿。</w:t>
      </w:r>
    </w:p>
    <w:p w14:paraId="5296F751">
      <w:pPr>
        <w:pageBreakBefore w:val="0"/>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由于不可抗力（不可抗力仅指自然灾害、战争）所导致的违约，根据不可抗力的影响范围，可部分或全部免除违约方的违约责任，但违约方应及时通知对方并在不可抗力事件发生之日起5日内提供符合法律规定的证明文件，否则应赔偿对方因此而遭受的损失。</w:t>
      </w:r>
    </w:p>
    <w:p w14:paraId="4E159B3C">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第十三条合同生效</w:t>
      </w:r>
    </w:p>
    <w:p w14:paraId="77BF8E5C">
      <w:pPr>
        <w:pageBreakBefore w:val="0"/>
        <w:tabs>
          <w:tab w:val="left" w:pos="6930"/>
        </w:tabs>
        <w:kinsoku/>
        <w:bidi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乙方应根据招标文件要求向采购代理机构交纳招标代理服务费并取得甲方的签章后，合同才正式生效。</w:t>
      </w:r>
    </w:p>
    <w:p w14:paraId="27EDAA6B">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第十四条甲方有权拒付合同价以外的任何费用；乙方有权拒绝合同整体范围以外的条件。</w:t>
      </w:r>
    </w:p>
    <w:p w14:paraId="2A20C8A0">
      <w:pPr>
        <w:pageBreakBefore w:val="0"/>
        <w:kinsoku/>
        <w:bidi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第十五条因本合同发生纠纷，由甲乙双方协商解决，协商不成，应向甲方所在地有管辖权的人民法院提起诉讼解决。</w:t>
      </w:r>
    </w:p>
    <w:p w14:paraId="6619D13F">
      <w:pPr>
        <w:pageBreakBefore w:val="0"/>
        <w:kinsoku/>
        <w:bidi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第十六条下列文件是本合同的组成部分，与本合同具有同等法律效力，如有与本合同不一致之处，以本合同为准。</w:t>
      </w:r>
    </w:p>
    <w:p w14:paraId="2B886657">
      <w:pPr>
        <w:pageBreakBefore w:val="0"/>
        <w:numPr>
          <w:ilvl w:val="0"/>
          <w:numId w:val="3"/>
        </w:numPr>
        <w:kinsoku/>
        <w:bidi w:val="0"/>
        <w:spacing w:line="360" w:lineRule="auto"/>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甲方招标文件；</w:t>
      </w:r>
    </w:p>
    <w:p w14:paraId="5974B039">
      <w:pPr>
        <w:pageBreakBefore w:val="0"/>
        <w:numPr>
          <w:ilvl w:val="0"/>
          <w:numId w:val="3"/>
        </w:numPr>
        <w:kinsoku/>
        <w:bidi w:val="0"/>
        <w:spacing w:line="360" w:lineRule="auto"/>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乙方投标文件；</w:t>
      </w:r>
    </w:p>
    <w:p w14:paraId="2E406194">
      <w:pPr>
        <w:pageBreakBefore w:val="0"/>
        <w:numPr>
          <w:ilvl w:val="0"/>
          <w:numId w:val="3"/>
        </w:numPr>
        <w:kinsoku/>
        <w:bidi w:val="0"/>
        <w:spacing w:line="360" w:lineRule="auto"/>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中标通知书；</w:t>
      </w:r>
    </w:p>
    <w:p w14:paraId="4C9728F4">
      <w:pPr>
        <w:pageBreakBefore w:val="0"/>
        <w:numPr>
          <w:ilvl w:val="0"/>
          <w:numId w:val="3"/>
        </w:numPr>
        <w:kinsoku/>
        <w:bidi w:val="0"/>
        <w:spacing w:line="360" w:lineRule="auto"/>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投标文件及澄清。</w:t>
      </w:r>
    </w:p>
    <w:p w14:paraId="746DCDFA">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第十八条本合同自</w:t>
      </w:r>
      <w:r>
        <w:rPr>
          <w:rFonts w:hint="eastAsia" w:ascii="仿宋" w:hAnsi="仿宋" w:eastAsia="仿宋" w:cs="仿宋"/>
          <w:b/>
          <w:color w:val="auto"/>
          <w:kern w:val="0"/>
          <w:sz w:val="21"/>
          <w:szCs w:val="21"/>
          <w:highlight w:val="none"/>
          <w:lang w:val="en-US" w:eastAsia="zh-CN"/>
        </w:rPr>
        <w:t>双</w:t>
      </w:r>
      <w:r>
        <w:rPr>
          <w:rFonts w:hint="eastAsia" w:ascii="仿宋" w:hAnsi="仿宋" w:eastAsia="仿宋" w:cs="仿宋"/>
          <w:b/>
          <w:color w:val="auto"/>
          <w:kern w:val="0"/>
          <w:sz w:val="21"/>
          <w:szCs w:val="21"/>
          <w:highlight w:val="none"/>
        </w:rPr>
        <w:t>方签字盖章之日起生效，未尽事宜，由甲乙双方协商解决。</w:t>
      </w:r>
    </w:p>
    <w:p w14:paraId="39E9B7C0">
      <w:pPr>
        <w:pageBreakBefore w:val="0"/>
        <w:kinsoku/>
        <w:bidi w:val="0"/>
        <w:spacing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第十九条本合同正文一式8份；甲方6份，乙方</w:t>
      </w:r>
      <w:r>
        <w:rPr>
          <w:rFonts w:hint="eastAsia" w:ascii="仿宋" w:hAnsi="仿宋" w:eastAsia="仿宋" w:cs="仿宋"/>
          <w:b/>
          <w:color w:val="auto"/>
          <w:kern w:val="0"/>
          <w:sz w:val="21"/>
          <w:szCs w:val="21"/>
          <w:highlight w:val="none"/>
          <w:lang w:val="en-US" w:eastAsia="zh-CN"/>
        </w:rPr>
        <w:t>2</w:t>
      </w:r>
      <w:r>
        <w:rPr>
          <w:rFonts w:hint="eastAsia" w:ascii="仿宋" w:hAnsi="仿宋" w:eastAsia="仿宋" w:cs="仿宋"/>
          <w:b/>
          <w:color w:val="auto"/>
          <w:kern w:val="0"/>
          <w:sz w:val="21"/>
          <w:szCs w:val="21"/>
          <w:highlight w:val="none"/>
        </w:rPr>
        <w:t>份。</w:t>
      </w:r>
    </w:p>
    <w:p w14:paraId="0A9B3B39">
      <w:pPr>
        <w:pageBreakBefore w:val="0"/>
        <w:kinsoku/>
        <w:bidi w:val="0"/>
        <w:spacing w:line="360" w:lineRule="auto"/>
        <w:ind w:firstLine="422" w:firstLineChars="200"/>
        <w:jc w:val="left"/>
        <w:rPr>
          <w:rFonts w:hint="eastAsia" w:ascii="仿宋" w:hAnsi="仿宋" w:eastAsia="仿宋" w:cs="仿宋"/>
          <w:b/>
          <w:color w:val="auto"/>
          <w:kern w:val="0"/>
          <w:sz w:val="21"/>
          <w:szCs w:val="21"/>
          <w:highlight w:val="none"/>
          <w:lang w:eastAsia="en-US"/>
        </w:rPr>
      </w:pPr>
      <w:r>
        <w:rPr>
          <w:rFonts w:hint="eastAsia" w:ascii="仿宋" w:hAnsi="仿宋" w:eastAsia="仿宋" w:cs="仿宋"/>
          <w:b/>
          <w:color w:val="auto"/>
          <w:kern w:val="0"/>
          <w:sz w:val="21"/>
          <w:szCs w:val="21"/>
          <w:highlight w:val="none"/>
          <w:lang w:eastAsia="en-US"/>
        </w:rPr>
        <w:t>（以下无正文）</w:t>
      </w:r>
    </w:p>
    <w:p w14:paraId="1E5EB624">
      <w:pPr>
        <w:pageBreakBefore w:val="0"/>
        <w:kinsoku/>
        <w:bidi w:val="0"/>
        <w:spacing w:before="120" w:beforeLines="50" w:line="360" w:lineRule="auto"/>
        <w:ind w:left="-141" w:leftChars="-67"/>
        <w:jc w:val="center"/>
        <w:rPr>
          <w:rFonts w:hint="eastAsia" w:ascii="仿宋" w:hAnsi="仿宋" w:eastAsia="仿宋" w:cs="仿宋"/>
          <w:b/>
          <w:color w:val="auto"/>
          <w:kern w:val="0"/>
          <w:sz w:val="21"/>
          <w:szCs w:val="21"/>
          <w:highlight w:val="none"/>
          <w:lang w:eastAsia="en-US"/>
        </w:rPr>
      </w:pPr>
    </w:p>
    <w:tbl>
      <w:tblPr>
        <w:tblStyle w:val="36"/>
        <w:tblW w:w="8674" w:type="dxa"/>
        <w:tblInd w:w="108" w:type="dxa"/>
        <w:tblLayout w:type="autofit"/>
        <w:tblCellMar>
          <w:top w:w="0" w:type="dxa"/>
          <w:left w:w="108" w:type="dxa"/>
          <w:bottom w:w="0" w:type="dxa"/>
          <w:right w:w="108" w:type="dxa"/>
        </w:tblCellMar>
      </w:tblPr>
      <w:tblGrid>
        <w:gridCol w:w="4786"/>
        <w:gridCol w:w="3888"/>
      </w:tblGrid>
      <w:tr w14:paraId="0D6D8729">
        <w:trPr>
          <w:trHeight w:val="453" w:hRule="atLeast"/>
        </w:trPr>
        <w:tc>
          <w:tcPr>
            <w:tcW w:w="4786" w:type="dxa"/>
            <w:noWrap w:val="0"/>
            <w:vAlign w:val="top"/>
          </w:tcPr>
          <w:p w14:paraId="32B788AB">
            <w:pPr>
              <w:keepNext w:val="0"/>
              <w:keepLines w:val="0"/>
              <w:pageBreakBefore w:val="0"/>
              <w:suppressLineNumbers w:val="0"/>
              <w:kinsoku/>
              <w:bidi w:val="0"/>
              <w:spacing w:before="0" w:beforeAutospacing="0" w:after="0" w:afterAutospacing="0" w:line="360" w:lineRule="auto"/>
              <w:ind w:left="990" w:right="-475" w:rightChars="-226" w:hanging="945" w:hangingChars="45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甲方（盖章）： </w:t>
            </w:r>
          </w:p>
        </w:tc>
        <w:tc>
          <w:tcPr>
            <w:tcW w:w="3888" w:type="dxa"/>
            <w:noWrap w:val="0"/>
            <w:vAlign w:val="top"/>
          </w:tcPr>
          <w:p w14:paraId="2DE4B133">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乙方（盖章）：</w:t>
            </w:r>
          </w:p>
        </w:tc>
      </w:tr>
      <w:tr w14:paraId="1AF26BC7">
        <w:tblPrEx>
          <w:tblCellMar>
            <w:top w:w="0" w:type="dxa"/>
            <w:left w:w="108" w:type="dxa"/>
            <w:bottom w:w="0" w:type="dxa"/>
            <w:right w:w="108" w:type="dxa"/>
          </w:tblCellMar>
        </w:tblPrEx>
        <w:trPr>
          <w:trHeight w:val="922" w:hRule="atLeast"/>
        </w:trPr>
        <w:tc>
          <w:tcPr>
            <w:tcW w:w="4786" w:type="dxa"/>
            <w:noWrap w:val="0"/>
            <w:vAlign w:val="top"/>
          </w:tcPr>
          <w:p w14:paraId="5EBB977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法定代表人或授权代理人  </w:t>
            </w:r>
          </w:p>
          <w:p w14:paraId="07D8EEAF">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（签字）：</w:t>
            </w:r>
          </w:p>
        </w:tc>
        <w:tc>
          <w:tcPr>
            <w:tcW w:w="3888" w:type="dxa"/>
            <w:noWrap w:val="0"/>
            <w:vAlign w:val="top"/>
          </w:tcPr>
          <w:p w14:paraId="2995C979">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法定代表人或授权代理人  </w:t>
            </w:r>
          </w:p>
          <w:p w14:paraId="3412F6FD">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（签字）：</w:t>
            </w:r>
          </w:p>
        </w:tc>
      </w:tr>
      <w:tr w14:paraId="70BA7D5E">
        <w:tblPrEx>
          <w:tblCellMar>
            <w:top w:w="0" w:type="dxa"/>
            <w:left w:w="108" w:type="dxa"/>
            <w:bottom w:w="0" w:type="dxa"/>
            <w:right w:w="108" w:type="dxa"/>
          </w:tblCellMar>
        </w:tblPrEx>
        <w:trPr>
          <w:trHeight w:val="453" w:hRule="atLeast"/>
        </w:trPr>
        <w:tc>
          <w:tcPr>
            <w:tcW w:w="4786" w:type="dxa"/>
            <w:noWrap w:val="0"/>
            <w:vAlign w:val="top"/>
          </w:tcPr>
          <w:p w14:paraId="0B5F4CEC">
            <w:pPr>
              <w:keepNext w:val="0"/>
              <w:keepLines w:val="0"/>
              <w:pageBreakBefore w:val="0"/>
              <w:suppressLineNumbers w:val="0"/>
              <w:kinsoku/>
              <w:bidi w:val="0"/>
              <w:spacing w:before="0" w:beforeAutospacing="0" w:after="0" w:afterAutospacing="0" w:line="360" w:lineRule="auto"/>
              <w:ind w:left="1100" w:right="0" w:hanging="1050" w:hangingChars="5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地址： </w:t>
            </w:r>
          </w:p>
        </w:tc>
        <w:tc>
          <w:tcPr>
            <w:tcW w:w="3888" w:type="dxa"/>
            <w:noWrap w:val="0"/>
            <w:vAlign w:val="top"/>
          </w:tcPr>
          <w:p w14:paraId="75ABF51C">
            <w:pPr>
              <w:keepNext w:val="0"/>
              <w:keepLines w:val="0"/>
              <w:pageBreakBefore w:val="0"/>
              <w:suppressLineNumbers w:val="0"/>
              <w:kinsoku/>
              <w:bidi w:val="0"/>
              <w:spacing w:before="0" w:beforeAutospacing="0" w:after="0" w:afterAutospacing="0" w:line="360" w:lineRule="auto"/>
              <w:ind w:left="1100" w:right="-878" w:rightChars="-418" w:hanging="1050" w:hangingChars="50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地址：</w:t>
            </w:r>
          </w:p>
        </w:tc>
      </w:tr>
      <w:tr w14:paraId="1527EE74">
        <w:tblPrEx>
          <w:tblCellMar>
            <w:top w:w="0" w:type="dxa"/>
            <w:left w:w="108" w:type="dxa"/>
            <w:bottom w:w="0" w:type="dxa"/>
            <w:right w:w="108" w:type="dxa"/>
          </w:tblCellMar>
        </w:tblPrEx>
        <w:trPr>
          <w:trHeight w:val="453" w:hRule="atLeast"/>
        </w:trPr>
        <w:tc>
          <w:tcPr>
            <w:tcW w:w="4786" w:type="dxa"/>
            <w:noWrap w:val="0"/>
            <w:vAlign w:val="top"/>
          </w:tcPr>
          <w:p w14:paraId="0DCC08B5">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 xml:space="preserve">联系电话： </w:t>
            </w:r>
          </w:p>
        </w:tc>
        <w:tc>
          <w:tcPr>
            <w:tcW w:w="3888" w:type="dxa"/>
            <w:noWrap w:val="0"/>
            <w:vAlign w:val="top"/>
          </w:tcPr>
          <w:p w14:paraId="1A46A35F">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联系电话：</w:t>
            </w:r>
          </w:p>
        </w:tc>
      </w:tr>
      <w:tr w14:paraId="383AA3BE">
        <w:tblPrEx>
          <w:tblCellMar>
            <w:top w:w="0" w:type="dxa"/>
            <w:left w:w="108" w:type="dxa"/>
            <w:bottom w:w="0" w:type="dxa"/>
            <w:right w:w="108" w:type="dxa"/>
          </w:tblCellMar>
        </w:tblPrEx>
        <w:trPr>
          <w:trHeight w:val="453" w:hRule="atLeast"/>
        </w:trPr>
        <w:tc>
          <w:tcPr>
            <w:tcW w:w="4786" w:type="dxa"/>
            <w:noWrap w:val="0"/>
            <w:vAlign w:val="top"/>
          </w:tcPr>
          <w:p w14:paraId="3BF043FB">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开户银行：</w:t>
            </w:r>
          </w:p>
        </w:tc>
        <w:tc>
          <w:tcPr>
            <w:tcW w:w="3888" w:type="dxa"/>
            <w:noWrap w:val="0"/>
            <w:vAlign w:val="top"/>
          </w:tcPr>
          <w:p w14:paraId="6A49F86E">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开户银行：</w:t>
            </w:r>
          </w:p>
        </w:tc>
      </w:tr>
      <w:tr w14:paraId="5920DF8E">
        <w:tblPrEx>
          <w:tblCellMar>
            <w:top w:w="0" w:type="dxa"/>
            <w:left w:w="108" w:type="dxa"/>
            <w:bottom w:w="0" w:type="dxa"/>
            <w:right w:w="108" w:type="dxa"/>
          </w:tblCellMar>
        </w:tblPrEx>
        <w:trPr>
          <w:trHeight w:val="453" w:hRule="atLeast"/>
        </w:trPr>
        <w:tc>
          <w:tcPr>
            <w:tcW w:w="4786" w:type="dxa"/>
            <w:noWrap w:val="0"/>
            <w:vAlign w:val="top"/>
          </w:tcPr>
          <w:p w14:paraId="730B5A3E">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银行账号：</w:t>
            </w:r>
          </w:p>
        </w:tc>
        <w:tc>
          <w:tcPr>
            <w:tcW w:w="3888" w:type="dxa"/>
            <w:noWrap w:val="0"/>
            <w:vAlign w:val="top"/>
          </w:tcPr>
          <w:p w14:paraId="54EFA5E9">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银行账号：</w:t>
            </w:r>
          </w:p>
        </w:tc>
      </w:tr>
      <w:tr w14:paraId="66D4813D">
        <w:tblPrEx>
          <w:tblCellMar>
            <w:top w:w="0" w:type="dxa"/>
            <w:left w:w="108" w:type="dxa"/>
            <w:bottom w:w="0" w:type="dxa"/>
            <w:right w:w="108" w:type="dxa"/>
          </w:tblCellMar>
        </w:tblPrEx>
        <w:trPr>
          <w:trHeight w:val="468" w:hRule="atLeast"/>
        </w:trPr>
        <w:tc>
          <w:tcPr>
            <w:tcW w:w="4786" w:type="dxa"/>
            <w:noWrap w:val="0"/>
            <w:vAlign w:val="top"/>
          </w:tcPr>
          <w:p w14:paraId="39523721">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签订日期：</w:t>
            </w:r>
          </w:p>
        </w:tc>
        <w:tc>
          <w:tcPr>
            <w:tcW w:w="3888" w:type="dxa"/>
            <w:noWrap w:val="0"/>
            <w:vAlign w:val="top"/>
          </w:tcPr>
          <w:p w14:paraId="5966EE72">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color w:val="auto"/>
                <w:kern w:val="0"/>
                <w:sz w:val="21"/>
                <w:szCs w:val="21"/>
                <w:highlight w:val="none"/>
                <w:lang w:eastAsia="en-US"/>
              </w:rPr>
            </w:pPr>
            <w:r>
              <w:rPr>
                <w:rFonts w:hint="eastAsia" w:ascii="仿宋" w:hAnsi="仿宋" w:eastAsia="仿宋" w:cs="仿宋"/>
                <w:color w:val="auto"/>
                <w:kern w:val="0"/>
                <w:sz w:val="21"/>
                <w:szCs w:val="21"/>
                <w:highlight w:val="none"/>
                <w:lang w:eastAsia="en-US"/>
              </w:rPr>
              <w:t>签订日期：</w:t>
            </w:r>
          </w:p>
        </w:tc>
      </w:tr>
    </w:tbl>
    <w:p w14:paraId="360D42E0">
      <w:pPr>
        <w:pageBreakBefore w:val="0"/>
        <w:kinsoku/>
        <w:bidi w:val="0"/>
        <w:spacing w:line="360" w:lineRule="auto"/>
        <w:rPr>
          <w:rFonts w:hint="eastAsia" w:ascii="仿宋" w:hAnsi="仿宋" w:eastAsia="仿宋" w:cs="仿宋"/>
          <w:color w:val="auto"/>
          <w:sz w:val="30"/>
          <w:szCs w:val="30"/>
          <w:highlight w:val="none"/>
        </w:rPr>
      </w:pPr>
    </w:p>
    <w:p w14:paraId="5CFFE227">
      <w:pPr>
        <w:pageBreakBefore w:val="0"/>
        <w:kinsoku/>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641"/>
    <w:bookmarkEnd w:id="642"/>
    <w:bookmarkEnd w:id="643"/>
    <w:p w14:paraId="093BF422">
      <w:pPr>
        <w:pStyle w:val="2"/>
        <w:pageBreakBefore w:val="0"/>
        <w:kinsoku/>
        <w:bidi w:val="0"/>
        <w:spacing w:before="0" w:after="0" w:line="360" w:lineRule="auto"/>
        <w:jc w:val="center"/>
        <w:rPr>
          <w:rFonts w:hint="eastAsia" w:ascii="仿宋" w:hAnsi="仿宋" w:eastAsia="仿宋" w:cs="仿宋"/>
          <w:color w:val="auto"/>
          <w:highlight w:val="none"/>
        </w:rPr>
      </w:pPr>
      <w:bookmarkStart w:id="650" w:name="_Toc30215"/>
      <w:bookmarkStart w:id="651" w:name="_Toc26909"/>
      <w:bookmarkStart w:id="652" w:name="_Toc24743"/>
      <w:bookmarkStart w:id="653" w:name="_Toc2092"/>
      <w:bookmarkStart w:id="654" w:name="_Toc21462"/>
      <w:bookmarkStart w:id="655" w:name="_Toc13586"/>
      <w:r>
        <w:rPr>
          <w:rFonts w:hint="eastAsia" w:ascii="仿宋" w:hAnsi="仿宋" w:eastAsia="仿宋" w:cs="仿宋"/>
          <w:color w:val="auto"/>
          <w:highlight w:val="none"/>
        </w:rPr>
        <w:t>第五章 投标文件格式</w:t>
      </w:r>
      <w:bookmarkEnd w:id="650"/>
      <w:bookmarkEnd w:id="651"/>
      <w:bookmarkEnd w:id="652"/>
      <w:bookmarkEnd w:id="653"/>
      <w:bookmarkEnd w:id="654"/>
      <w:bookmarkEnd w:id="655"/>
    </w:p>
    <w:p w14:paraId="10634563">
      <w:pPr>
        <w:pStyle w:val="3"/>
        <w:pageBreakBefore w:val="0"/>
        <w:kinsoku/>
        <w:bidi w:val="0"/>
        <w:spacing w:after="0" w:line="360" w:lineRule="auto"/>
        <w:jc w:val="center"/>
        <w:rPr>
          <w:rFonts w:hint="eastAsia" w:ascii="仿宋" w:hAnsi="仿宋" w:eastAsia="仿宋" w:cs="仿宋"/>
          <w:color w:val="auto"/>
          <w:sz w:val="28"/>
          <w:szCs w:val="28"/>
          <w:highlight w:val="none"/>
        </w:rPr>
      </w:pPr>
      <w:bookmarkStart w:id="656" w:name="_Toc18632"/>
      <w:bookmarkStart w:id="657" w:name="_Toc13053"/>
      <w:bookmarkStart w:id="658" w:name="_Toc22805"/>
      <w:bookmarkStart w:id="659" w:name="_Toc71734739"/>
      <w:bookmarkStart w:id="660" w:name="_Toc24423"/>
      <w:bookmarkStart w:id="661" w:name="_Toc29588"/>
      <w:bookmarkStart w:id="662" w:name="_Toc15113"/>
      <w:bookmarkStart w:id="663" w:name="_Toc30056"/>
      <w:bookmarkStart w:id="664" w:name="_Toc9244"/>
      <w:bookmarkStart w:id="665" w:name="_Toc31667"/>
      <w:bookmarkStart w:id="666" w:name="_Toc10088"/>
      <w:bookmarkStart w:id="667" w:name="_Toc3632"/>
      <w:bookmarkStart w:id="668" w:name="_Toc9706"/>
      <w:bookmarkStart w:id="669" w:name="_Toc29824"/>
      <w:r>
        <w:rPr>
          <w:rFonts w:hint="eastAsia" w:ascii="仿宋" w:hAnsi="仿宋" w:eastAsia="仿宋" w:cs="仿宋"/>
          <w:color w:val="auto"/>
          <w:sz w:val="28"/>
          <w:szCs w:val="28"/>
          <w:highlight w:val="none"/>
        </w:rPr>
        <w:t>投标文件格式说明</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5D69E94">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务必按照投标文件格式填写；如未给出格式的内容请自行编写。</w:t>
      </w:r>
    </w:p>
    <w:p w14:paraId="2274AE0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2.除有特殊要求外，投标文件中的表格可根据需求延伸扩展。</w:t>
      </w:r>
    </w:p>
    <w:p w14:paraId="092AC380">
      <w:pPr>
        <w:pageBreakBefore w:val="0"/>
        <w:kinsoku/>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3.本说明无需放入投标文件中。</w:t>
      </w:r>
    </w:p>
    <w:p w14:paraId="304B624C">
      <w:pPr>
        <w:pStyle w:val="3"/>
        <w:pageBreakBefore w:val="0"/>
        <w:tabs>
          <w:tab w:val="left" w:pos="2147"/>
          <w:tab w:val="center" w:pos="4706"/>
        </w:tabs>
        <w:kinsoku/>
        <w:bidi w:val="0"/>
        <w:spacing w:after="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br w:type="page"/>
      </w:r>
      <w:bookmarkStart w:id="670" w:name="_Toc16071"/>
      <w:bookmarkStart w:id="671" w:name="_Toc16487"/>
      <w:bookmarkStart w:id="672" w:name="_Toc24101"/>
      <w:bookmarkStart w:id="673" w:name="_Toc20590"/>
      <w:bookmarkStart w:id="674" w:name="_Toc17150"/>
      <w:bookmarkStart w:id="675" w:name="_Toc28466"/>
      <w:bookmarkStart w:id="676" w:name="_Toc22520"/>
      <w:bookmarkStart w:id="677" w:name="_Toc71734741"/>
      <w:bookmarkStart w:id="678" w:name="_Toc30638"/>
      <w:bookmarkStart w:id="679" w:name="_Toc31161"/>
      <w:bookmarkStart w:id="680" w:name="_Toc4793"/>
      <w:bookmarkStart w:id="681" w:name="_Toc10988"/>
      <w:bookmarkStart w:id="682" w:name="_Toc26113"/>
      <w:r>
        <w:rPr>
          <w:rFonts w:hint="eastAsia" w:ascii="仿宋" w:hAnsi="仿宋" w:eastAsia="仿宋" w:cs="仿宋"/>
          <w:color w:val="auto"/>
          <w:sz w:val="28"/>
          <w:szCs w:val="28"/>
          <w:highlight w:val="none"/>
        </w:rPr>
        <w:t>一、资格审查部分</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21CF7945">
      <w:pPr>
        <w:pStyle w:val="4"/>
        <w:pageBreakBefore w:val="0"/>
        <w:kinsoku/>
        <w:bidi w:val="0"/>
        <w:spacing w:before="0" w:after="0" w:line="360" w:lineRule="auto"/>
        <w:jc w:val="center"/>
        <w:outlineLvl w:val="2"/>
        <w:rPr>
          <w:rFonts w:hint="eastAsia" w:ascii="仿宋" w:hAnsi="仿宋" w:eastAsia="仿宋" w:cs="仿宋"/>
          <w:color w:val="auto"/>
          <w:sz w:val="24"/>
          <w:szCs w:val="24"/>
          <w:highlight w:val="none"/>
        </w:rPr>
      </w:pPr>
      <w:bookmarkStart w:id="683" w:name="_Toc71734742"/>
      <w:bookmarkStart w:id="684" w:name="_Toc89638391"/>
      <w:bookmarkStart w:id="685" w:name="_Toc3969336"/>
      <w:bookmarkStart w:id="686" w:name="_Toc102136501"/>
      <w:bookmarkStart w:id="687" w:name="_Toc3356"/>
      <w:bookmarkStart w:id="688" w:name="_Toc20449"/>
      <w:bookmarkStart w:id="689" w:name="_Toc11074"/>
      <w:bookmarkStart w:id="690" w:name="_Toc71734743"/>
      <w:bookmarkStart w:id="691" w:name="_Toc3969342"/>
      <w:bookmarkStart w:id="692" w:name="_Toc102136502"/>
      <w:bookmarkStart w:id="693" w:name="_Toc589"/>
      <w:bookmarkStart w:id="694" w:name="_Toc89638392"/>
      <w:r>
        <w:rPr>
          <w:rFonts w:hint="eastAsia" w:ascii="仿宋" w:hAnsi="仿宋" w:eastAsia="仿宋" w:cs="仿宋"/>
          <w:color w:val="auto"/>
          <w:sz w:val="24"/>
          <w:szCs w:val="24"/>
          <w:highlight w:val="none"/>
        </w:rPr>
        <w:t>1.具有独立承担民事责任的能力</w:t>
      </w:r>
    </w:p>
    <w:p w14:paraId="157161F2">
      <w:pPr>
        <w:pStyle w:val="5"/>
        <w:pageBreakBefore w:val="0"/>
        <w:kinsoku/>
        <w:bidi w:val="0"/>
        <w:spacing w:before="0" w:after="0" w:line="360" w:lineRule="auto"/>
        <w:jc w:val="center"/>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w:t>
      </w:r>
      <w:bookmarkEnd w:id="683"/>
      <w:bookmarkEnd w:id="684"/>
      <w:bookmarkEnd w:id="685"/>
      <w:bookmarkEnd w:id="686"/>
      <w:bookmarkEnd w:id="687"/>
      <w:bookmarkEnd w:id="688"/>
    </w:p>
    <w:tbl>
      <w:tblPr>
        <w:tblStyle w:val="36"/>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02"/>
        <w:gridCol w:w="1507"/>
        <w:gridCol w:w="1029"/>
        <w:gridCol w:w="1591"/>
        <w:gridCol w:w="1127"/>
        <w:gridCol w:w="3938"/>
      </w:tblGrid>
      <w:tr w14:paraId="6E67F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0" w:hRule="atLeast"/>
        </w:trPr>
        <w:tc>
          <w:tcPr>
            <w:tcW w:w="308" w:type="pct"/>
            <w:noWrap w:val="0"/>
            <w:vAlign w:val="center"/>
          </w:tcPr>
          <w:p w14:paraId="6E48B7CD">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691" w:type="pct"/>
            <w:gridSpan w:val="5"/>
            <w:noWrap w:val="0"/>
            <w:vAlign w:val="center"/>
          </w:tcPr>
          <w:p w14:paraId="1ECBAFC8">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r>
      <w:tr w14:paraId="1288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trPr>
        <w:tc>
          <w:tcPr>
            <w:tcW w:w="308" w:type="pct"/>
            <w:noWrap w:val="0"/>
            <w:vAlign w:val="center"/>
          </w:tcPr>
          <w:p w14:paraId="0E33722D">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691" w:type="pct"/>
            <w:gridSpan w:val="5"/>
            <w:noWrap w:val="0"/>
            <w:vAlign w:val="center"/>
          </w:tcPr>
          <w:p w14:paraId="5427383B">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总部地址</w:t>
            </w:r>
          </w:p>
        </w:tc>
      </w:tr>
      <w:tr w14:paraId="0D450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308" w:type="pct"/>
            <w:noWrap w:val="0"/>
            <w:vAlign w:val="center"/>
          </w:tcPr>
          <w:p w14:paraId="1F492486">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691" w:type="pct"/>
            <w:gridSpan w:val="5"/>
            <w:noWrap w:val="0"/>
            <w:vAlign w:val="center"/>
          </w:tcPr>
          <w:p w14:paraId="62A244F3">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当地代表处地址</w:t>
            </w:r>
          </w:p>
        </w:tc>
      </w:tr>
      <w:tr w14:paraId="4E0E9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trPr>
        <w:tc>
          <w:tcPr>
            <w:tcW w:w="308" w:type="pct"/>
            <w:noWrap w:val="0"/>
            <w:vAlign w:val="center"/>
          </w:tcPr>
          <w:p w14:paraId="7B922B7A">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06" w:type="pct"/>
            <w:gridSpan w:val="3"/>
            <w:noWrap w:val="0"/>
            <w:vAlign w:val="center"/>
          </w:tcPr>
          <w:p w14:paraId="611D234B">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84" w:type="pct"/>
            <w:gridSpan w:val="2"/>
            <w:noWrap w:val="0"/>
            <w:vAlign w:val="center"/>
          </w:tcPr>
          <w:p w14:paraId="65DD671C">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r>
      <w:tr w14:paraId="61B0F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trPr>
        <w:tc>
          <w:tcPr>
            <w:tcW w:w="308" w:type="pct"/>
            <w:noWrap w:val="0"/>
            <w:vAlign w:val="center"/>
          </w:tcPr>
          <w:p w14:paraId="7FAC30F8">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06" w:type="pct"/>
            <w:gridSpan w:val="3"/>
            <w:noWrap w:val="0"/>
            <w:vAlign w:val="center"/>
          </w:tcPr>
          <w:p w14:paraId="201F369F">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584" w:type="pct"/>
            <w:gridSpan w:val="2"/>
            <w:noWrap w:val="0"/>
            <w:vAlign w:val="center"/>
          </w:tcPr>
          <w:p w14:paraId="34708FDE">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r>
      <w:tr w14:paraId="53798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308" w:type="pct"/>
            <w:noWrap w:val="0"/>
            <w:vAlign w:val="center"/>
          </w:tcPr>
          <w:p w14:paraId="58276A18">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06" w:type="pct"/>
            <w:gridSpan w:val="3"/>
            <w:noWrap w:val="0"/>
            <w:vAlign w:val="center"/>
          </w:tcPr>
          <w:p w14:paraId="6403965E">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w:t>
            </w:r>
          </w:p>
        </w:tc>
        <w:tc>
          <w:tcPr>
            <w:tcW w:w="2584" w:type="pct"/>
            <w:gridSpan w:val="2"/>
            <w:noWrap w:val="0"/>
            <w:vAlign w:val="center"/>
          </w:tcPr>
          <w:p w14:paraId="4E102228">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注册年份</w:t>
            </w:r>
          </w:p>
        </w:tc>
      </w:tr>
      <w:tr w14:paraId="3CD7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308" w:type="pct"/>
            <w:vMerge w:val="restart"/>
            <w:noWrap w:val="0"/>
            <w:vAlign w:val="center"/>
          </w:tcPr>
          <w:p w14:paraId="2818EF73">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769" w:type="pct"/>
            <w:tcBorders>
              <w:right w:val="single" w:color="auto" w:sz="4" w:space="0"/>
            </w:tcBorders>
            <w:noWrap w:val="0"/>
            <w:vAlign w:val="center"/>
          </w:tcPr>
          <w:p w14:paraId="396FFAE8">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525" w:type="pct"/>
            <w:tcBorders>
              <w:left w:val="single" w:color="auto" w:sz="4" w:space="0"/>
              <w:right w:val="single" w:color="auto" w:sz="4" w:space="0"/>
            </w:tcBorders>
            <w:noWrap w:val="0"/>
            <w:vAlign w:val="center"/>
          </w:tcPr>
          <w:p w14:paraId="72B6C89D">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10" w:type="pct"/>
            <w:tcBorders>
              <w:left w:val="single" w:color="auto" w:sz="4" w:space="0"/>
            </w:tcBorders>
            <w:noWrap w:val="0"/>
            <w:vAlign w:val="center"/>
          </w:tcPr>
          <w:p w14:paraId="64746AD3">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575" w:type="pct"/>
            <w:tcBorders>
              <w:right w:val="single" w:color="auto" w:sz="4" w:space="0"/>
            </w:tcBorders>
            <w:noWrap w:val="0"/>
            <w:vAlign w:val="center"/>
          </w:tcPr>
          <w:p w14:paraId="30375D85">
            <w:pPr>
              <w:keepNext w:val="0"/>
              <w:keepLines w:val="0"/>
              <w:pageBreakBefore w:val="0"/>
              <w:suppressLineNumbers w:val="0"/>
              <w:tabs>
                <w:tab w:val="left" w:pos="1980"/>
              </w:tabs>
              <w:kinsoku/>
              <w:bidi w:val="0"/>
              <w:spacing w:before="0" w:beforeAutospacing="0" w:after="0" w:afterAutospacing="0" w:line="360" w:lineRule="auto"/>
              <w:ind w:left="0" w:right="0" w:firstLine="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009" w:type="pct"/>
            <w:tcBorders>
              <w:left w:val="single" w:color="auto" w:sz="4" w:space="0"/>
            </w:tcBorders>
            <w:noWrap w:val="0"/>
            <w:vAlign w:val="center"/>
          </w:tcPr>
          <w:p w14:paraId="672C5894">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p>
        </w:tc>
      </w:tr>
      <w:tr w14:paraId="648C5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308" w:type="pct"/>
            <w:vMerge w:val="continue"/>
            <w:noWrap w:val="0"/>
            <w:vAlign w:val="center"/>
          </w:tcPr>
          <w:p w14:paraId="15521C52">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69" w:type="pct"/>
            <w:tcBorders>
              <w:right w:val="single" w:color="auto" w:sz="4" w:space="0"/>
            </w:tcBorders>
            <w:noWrap w:val="0"/>
            <w:vAlign w:val="center"/>
          </w:tcPr>
          <w:p w14:paraId="132FF7E0">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525" w:type="pct"/>
            <w:tcBorders>
              <w:left w:val="single" w:color="auto" w:sz="4" w:space="0"/>
              <w:right w:val="single" w:color="auto" w:sz="4" w:space="0"/>
            </w:tcBorders>
            <w:noWrap w:val="0"/>
            <w:vAlign w:val="center"/>
          </w:tcPr>
          <w:p w14:paraId="12A03DB2">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10" w:type="pct"/>
            <w:tcBorders>
              <w:left w:val="single" w:color="auto" w:sz="4" w:space="0"/>
            </w:tcBorders>
            <w:noWrap w:val="0"/>
            <w:vAlign w:val="center"/>
          </w:tcPr>
          <w:p w14:paraId="4CDFF6C3">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575" w:type="pct"/>
            <w:tcBorders>
              <w:right w:val="single" w:color="auto" w:sz="4" w:space="0"/>
            </w:tcBorders>
            <w:noWrap w:val="0"/>
            <w:vAlign w:val="center"/>
          </w:tcPr>
          <w:p w14:paraId="53881FAA">
            <w:pPr>
              <w:keepNext w:val="0"/>
              <w:keepLines w:val="0"/>
              <w:pageBreakBefore w:val="0"/>
              <w:suppressLineNumbers w:val="0"/>
              <w:tabs>
                <w:tab w:val="left" w:pos="1980"/>
              </w:tabs>
              <w:kinsoku/>
              <w:bidi w:val="0"/>
              <w:spacing w:before="0" w:beforeAutospacing="0" w:after="0" w:afterAutospacing="0" w:line="360" w:lineRule="auto"/>
              <w:ind w:left="0" w:right="0" w:firstLine="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009" w:type="pct"/>
            <w:tcBorders>
              <w:left w:val="single" w:color="auto" w:sz="4" w:space="0"/>
            </w:tcBorders>
            <w:noWrap w:val="0"/>
            <w:vAlign w:val="center"/>
          </w:tcPr>
          <w:p w14:paraId="7FE08918">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p>
        </w:tc>
      </w:tr>
      <w:tr w14:paraId="26F8B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4" w:hRule="atLeast"/>
        </w:trPr>
        <w:tc>
          <w:tcPr>
            <w:tcW w:w="308" w:type="pct"/>
            <w:noWrap w:val="0"/>
            <w:vAlign w:val="center"/>
          </w:tcPr>
          <w:p w14:paraId="7C8BFDC8">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691" w:type="pct"/>
            <w:gridSpan w:val="5"/>
            <w:noWrap w:val="0"/>
            <w:vAlign w:val="center"/>
          </w:tcPr>
          <w:p w14:paraId="50FA7337">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公司资质等级证书名称及书号                  （若有）</w:t>
            </w:r>
          </w:p>
        </w:tc>
      </w:tr>
      <w:tr w14:paraId="31163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17" w:hRule="atLeast"/>
        </w:trPr>
        <w:tc>
          <w:tcPr>
            <w:tcW w:w="308" w:type="pct"/>
            <w:noWrap w:val="0"/>
            <w:vAlign w:val="center"/>
          </w:tcPr>
          <w:p w14:paraId="60C48289">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4691" w:type="pct"/>
            <w:gridSpan w:val="5"/>
            <w:noWrap w:val="0"/>
            <w:vAlign w:val="center"/>
          </w:tcPr>
          <w:p w14:paraId="5D986025">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673639DA">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_____________________________________________________________________</w:t>
            </w:r>
          </w:p>
          <w:p w14:paraId="2551BBA3">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_____________________________________________________________________</w:t>
            </w:r>
          </w:p>
          <w:p w14:paraId="160E3518">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_____________________________________________________________________</w:t>
            </w:r>
          </w:p>
          <w:p w14:paraId="51EBC91E">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_____________________________________________________________________</w:t>
            </w:r>
          </w:p>
          <w:p w14:paraId="22A082ED">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40E52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0" w:hRule="atLeast"/>
        </w:trPr>
        <w:tc>
          <w:tcPr>
            <w:tcW w:w="308" w:type="pct"/>
            <w:noWrap w:val="0"/>
            <w:vAlign w:val="center"/>
          </w:tcPr>
          <w:p w14:paraId="76764D70">
            <w:pPr>
              <w:keepNext w:val="0"/>
              <w:keepLines w:val="0"/>
              <w:pageBreakBefore w:val="0"/>
              <w:suppressLineNumbers w:val="0"/>
              <w:tabs>
                <w:tab w:val="left" w:pos="1980"/>
              </w:tabs>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4691" w:type="pct"/>
            <w:gridSpan w:val="5"/>
            <w:noWrap w:val="0"/>
            <w:vAlign w:val="center"/>
          </w:tcPr>
          <w:p w14:paraId="2E64F57A">
            <w:pPr>
              <w:keepNext w:val="0"/>
              <w:keepLines w:val="0"/>
              <w:pageBreakBefore w:val="0"/>
              <w:suppressLineNumbers w:val="0"/>
              <w:tabs>
                <w:tab w:val="left" w:pos="1980"/>
              </w:tabs>
              <w:kinsoku/>
              <w:bidi w:val="0"/>
              <w:spacing w:before="0" w:beforeAutospacing="0" w:after="0" w:afterAutospacing="0" w:line="360" w:lineRule="auto"/>
              <w:ind w:left="0" w:right="0"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其他需要说明的情况</w:t>
            </w:r>
          </w:p>
        </w:tc>
      </w:tr>
    </w:tbl>
    <w:p w14:paraId="5E06CFCE">
      <w:pPr>
        <w:pageBreakBefore w:val="0"/>
        <w:kinsoku/>
        <w:bidi w:val="0"/>
        <w:spacing w:line="360" w:lineRule="auto"/>
        <w:ind w:firstLine="159" w:firstLineChars="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w:t>
      </w:r>
      <w:bookmarkStart w:id="695" w:name="_Hlk53214050"/>
      <w:r>
        <w:rPr>
          <w:rFonts w:hint="eastAsia" w:ascii="仿宋" w:hAnsi="仿宋" w:eastAsia="仿宋" w:cs="仿宋"/>
          <w:b/>
          <w:color w:val="auto"/>
          <w:sz w:val="24"/>
          <w:szCs w:val="24"/>
          <w:highlight w:val="none"/>
        </w:rPr>
        <w:t>表后附相关有效的资质等级证书等（如有）加盖电子公章。</w:t>
      </w:r>
    </w:p>
    <w:bookmarkEnd w:id="695"/>
    <w:p w14:paraId="356CD337">
      <w:pPr>
        <w:pStyle w:val="5"/>
        <w:pageBreakBefore w:val="0"/>
        <w:kinsoku/>
        <w:bidi w:val="0"/>
        <w:spacing w:before="0" w:after="0" w:line="360" w:lineRule="auto"/>
        <w:jc w:val="center"/>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具有独立承担民事责任的能力</w:t>
      </w:r>
    </w:p>
    <w:p w14:paraId="2759A0B3">
      <w:pPr>
        <w:pageBreakBefore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lang w:eastAsia="zh-CN"/>
        </w:rPr>
        <w:t>供应商须在中华人民共和国境内注册，提供法人或者其他组织的营业执照等证明文件；</w:t>
      </w:r>
      <w:r>
        <w:rPr>
          <w:rFonts w:hint="eastAsia" w:ascii="仿宋" w:hAnsi="仿宋" w:eastAsia="仿宋" w:cs="仿宋"/>
          <w:color w:val="auto"/>
          <w:sz w:val="21"/>
          <w:szCs w:val="21"/>
          <w:highlight w:val="none"/>
          <w:lang w:val="en-US" w:eastAsia="zh-CN"/>
        </w:rPr>
        <w:t>若为自然人的，提供自然人的身份证明</w:t>
      </w:r>
      <w:r>
        <w:rPr>
          <w:rFonts w:hint="eastAsia" w:ascii="仿宋" w:hAnsi="仿宋" w:eastAsia="仿宋" w:cs="仿宋"/>
          <w:color w:val="auto"/>
          <w:sz w:val="21"/>
          <w:szCs w:val="21"/>
          <w:highlight w:val="none"/>
          <w:lang w:eastAsia="zh-CN"/>
        </w:rPr>
        <w:t>（加盖供应商公章）</w:t>
      </w:r>
    </w:p>
    <w:p w14:paraId="343C2D61">
      <w:pPr>
        <w:pStyle w:val="4"/>
        <w:pageBreakBefore w:val="0"/>
        <w:kinsoku/>
        <w:bidi w:val="0"/>
        <w:spacing w:before="0" w:after="0"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689"/>
      <w:bookmarkEnd w:id="690"/>
      <w:bookmarkEnd w:id="691"/>
      <w:bookmarkEnd w:id="692"/>
      <w:bookmarkEnd w:id="693"/>
      <w:bookmarkEnd w:id="694"/>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具有良好的商业信誉和健全的财务会计制度</w:t>
      </w:r>
    </w:p>
    <w:p w14:paraId="19C60E7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jc w:val="both"/>
        <w:textAlignment w:val="auto"/>
        <w:outlineLvl w:val="9"/>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内容可为以下三者之一：</w:t>
      </w:r>
    </w:p>
    <w:p w14:paraId="04F9840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jc w:val="both"/>
        <w:textAlignment w:val="auto"/>
        <w:outlineLvl w:val="9"/>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val="en-US" w:eastAsia="zh-CN"/>
        </w:rPr>
        <w:t>①</w:t>
      </w:r>
      <w:r>
        <w:rPr>
          <w:rFonts w:hint="eastAsia" w:ascii="仿宋" w:hAnsi="仿宋" w:eastAsia="仿宋" w:cs="仿宋"/>
          <w:b w:val="0"/>
          <w:bCs w:val="0"/>
          <w:color w:val="auto"/>
          <w:sz w:val="24"/>
          <w:highlight w:val="none"/>
          <w:lang w:eastAsia="zh-CN"/>
        </w:rPr>
        <w:t>提供2023年-2025年任意1个年度经第三方审计的审计报告及财务报表(至少包括资产负债表、利润表、现金流量表)如供应商执行的财政部门印发的会计制度或准则有其他要求的，以其要求为准；新成立不满1年的供应商提供自成立至今的财务报表（复印件加盖供应商公章）；</w:t>
      </w:r>
    </w:p>
    <w:p w14:paraId="6FD584E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jc w:val="both"/>
        <w:textAlignment w:val="auto"/>
        <w:outlineLvl w:val="9"/>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val="en-US" w:eastAsia="zh-CN"/>
        </w:rPr>
        <w:t>②</w:t>
      </w:r>
      <w:r>
        <w:rPr>
          <w:rFonts w:hint="eastAsia" w:ascii="仿宋" w:hAnsi="仿宋" w:eastAsia="仿宋" w:cs="仿宋"/>
          <w:b w:val="0"/>
          <w:bCs w:val="0"/>
          <w:color w:val="auto"/>
          <w:sz w:val="24"/>
          <w:highlight w:val="none"/>
          <w:lang w:eastAsia="zh-CN"/>
        </w:rPr>
        <w:t>提供自投标文件提交截止时间前1年内基本开户银行出具的资信证明，新成立不满1年的企业可提供成立以来的财务报表或银行资信证明，不能提供的须作出相应说明</w:t>
      </w:r>
      <w:r>
        <w:rPr>
          <w:rFonts w:hint="eastAsia" w:ascii="仿宋" w:hAnsi="仿宋" w:eastAsia="仿宋" w:cs="仿宋"/>
          <w:b w:val="0"/>
          <w:bCs w:val="0"/>
          <w:color w:val="auto"/>
          <w:sz w:val="24"/>
          <w:highlight w:val="none"/>
          <w:lang w:val="en-US" w:eastAsia="zh-CN"/>
        </w:rPr>
        <w:t>（加盖供应商公章）</w:t>
      </w:r>
      <w:r>
        <w:rPr>
          <w:rFonts w:hint="eastAsia" w:ascii="仿宋" w:hAnsi="仿宋" w:eastAsia="仿宋" w:cs="仿宋"/>
          <w:b w:val="0"/>
          <w:bCs w:val="0"/>
          <w:color w:val="auto"/>
          <w:sz w:val="24"/>
          <w:highlight w:val="none"/>
          <w:lang w:eastAsia="zh-CN"/>
        </w:rPr>
        <w:t>。</w:t>
      </w:r>
    </w:p>
    <w:p w14:paraId="64C66A3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jc w:val="both"/>
        <w:textAlignment w:val="auto"/>
        <w:outlineLvl w:val="9"/>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val="en-US" w:eastAsia="zh-CN"/>
        </w:rPr>
        <w:t>③</w:t>
      </w:r>
      <w:r>
        <w:rPr>
          <w:rFonts w:hint="eastAsia" w:ascii="仿宋" w:hAnsi="仿宋" w:eastAsia="仿宋" w:cs="仿宋"/>
          <w:b w:val="0"/>
          <w:bCs w:val="0"/>
          <w:color w:val="auto"/>
          <w:sz w:val="24"/>
          <w:highlight w:val="none"/>
          <w:lang w:eastAsia="zh-CN"/>
        </w:rPr>
        <w:t>提供财政部门认可的政府采购专业担保机构出具的投标担保函（加盖供应商公章）</w:t>
      </w:r>
      <w:r>
        <w:rPr>
          <w:rFonts w:hint="eastAsia" w:ascii="仿宋" w:hAnsi="仿宋" w:eastAsia="仿宋" w:cs="仿宋"/>
          <w:b w:val="0"/>
          <w:bCs w:val="0"/>
          <w:color w:val="auto"/>
          <w:sz w:val="24"/>
          <w:highlight w:val="none"/>
          <w:lang w:val="en-US" w:eastAsia="zh-CN"/>
        </w:rPr>
        <w:t>。</w:t>
      </w:r>
    </w:p>
    <w:p w14:paraId="3076D921">
      <w:pPr>
        <w:pStyle w:val="10"/>
        <w:pageBreakBefore w:val="0"/>
        <w:kinsoku/>
        <w:bidi w:val="0"/>
        <w:spacing w:line="360" w:lineRule="auto"/>
        <w:rPr>
          <w:rFonts w:hint="eastAsia" w:ascii="仿宋" w:hAnsi="仿宋" w:eastAsia="仿宋" w:cs="仿宋"/>
          <w:color w:val="auto"/>
          <w:highlight w:val="none"/>
        </w:rPr>
      </w:pPr>
    </w:p>
    <w:p w14:paraId="134A0446">
      <w:pPr>
        <w:pStyle w:val="10"/>
        <w:pageBreakBefore w:val="0"/>
        <w:kinsoku/>
        <w:bidi w:val="0"/>
        <w:spacing w:line="360" w:lineRule="auto"/>
        <w:rPr>
          <w:rFonts w:hint="eastAsia" w:ascii="仿宋" w:hAnsi="仿宋" w:eastAsia="仿宋" w:cs="仿宋"/>
          <w:color w:val="auto"/>
          <w:highlight w:val="none"/>
        </w:rPr>
      </w:pPr>
    </w:p>
    <w:p w14:paraId="5C7106C6">
      <w:pPr>
        <w:pStyle w:val="10"/>
        <w:pageBreakBefore w:val="0"/>
        <w:kinsoku/>
        <w:bidi w:val="0"/>
        <w:spacing w:line="360" w:lineRule="auto"/>
        <w:rPr>
          <w:rFonts w:hint="eastAsia" w:ascii="仿宋" w:hAnsi="仿宋" w:eastAsia="仿宋" w:cs="仿宋"/>
          <w:color w:val="auto"/>
          <w:highlight w:val="none"/>
        </w:rPr>
      </w:pPr>
    </w:p>
    <w:p w14:paraId="3E6AF358">
      <w:pPr>
        <w:pStyle w:val="10"/>
        <w:pageBreakBefore w:val="0"/>
        <w:kinsoku/>
        <w:bidi w:val="0"/>
        <w:spacing w:line="360" w:lineRule="auto"/>
        <w:rPr>
          <w:rFonts w:hint="eastAsia" w:ascii="仿宋" w:hAnsi="仿宋" w:eastAsia="仿宋" w:cs="仿宋"/>
          <w:color w:val="auto"/>
          <w:highlight w:val="none"/>
        </w:rPr>
      </w:pPr>
    </w:p>
    <w:p w14:paraId="2B7812FA">
      <w:pPr>
        <w:pStyle w:val="10"/>
        <w:pageBreakBefore w:val="0"/>
        <w:kinsoku/>
        <w:bidi w:val="0"/>
        <w:spacing w:line="360" w:lineRule="auto"/>
        <w:rPr>
          <w:rFonts w:hint="eastAsia" w:ascii="仿宋" w:hAnsi="仿宋" w:eastAsia="仿宋" w:cs="仿宋"/>
          <w:color w:val="auto"/>
          <w:highlight w:val="none"/>
        </w:rPr>
      </w:pPr>
    </w:p>
    <w:p w14:paraId="1B0632CB">
      <w:pPr>
        <w:pStyle w:val="10"/>
        <w:pageBreakBefore w:val="0"/>
        <w:kinsoku/>
        <w:bidi w:val="0"/>
        <w:spacing w:line="360" w:lineRule="auto"/>
        <w:rPr>
          <w:rFonts w:hint="eastAsia" w:ascii="仿宋" w:hAnsi="仿宋" w:eastAsia="仿宋" w:cs="仿宋"/>
          <w:color w:val="auto"/>
          <w:highlight w:val="none"/>
        </w:rPr>
      </w:pPr>
    </w:p>
    <w:p w14:paraId="41914C7F">
      <w:pPr>
        <w:pStyle w:val="10"/>
        <w:pageBreakBefore w:val="0"/>
        <w:kinsoku/>
        <w:bidi w:val="0"/>
        <w:spacing w:line="360" w:lineRule="auto"/>
        <w:rPr>
          <w:rFonts w:hint="eastAsia" w:ascii="仿宋" w:hAnsi="仿宋" w:eastAsia="仿宋" w:cs="仿宋"/>
          <w:color w:val="auto"/>
          <w:highlight w:val="none"/>
        </w:rPr>
      </w:pPr>
    </w:p>
    <w:p w14:paraId="771CF4FB">
      <w:pPr>
        <w:pStyle w:val="10"/>
        <w:pageBreakBefore w:val="0"/>
        <w:kinsoku/>
        <w:bidi w:val="0"/>
        <w:spacing w:line="360" w:lineRule="auto"/>
        <w:rPr>
          <w:rFonts w:hint="eastAsia" w:ascii="仿宋" w:hAnsi="仿宋" w:eastAsia="仿宋" w:cs="仿宋"/>
          <w:color w:val="auto"/>
          <w:highlight w:val="none"/>
        </w:rPr>
      </w:pPr>
    </w:p>
    <w:p w14:paraId="292ABE13">
      <w:pPr>
        <w:pStyle w:val="10"/>
        <w:pageBreakBefore w:val="0"/>
        <w:kinsoku/>
        <w:bidi w:val="0"/>
        <w:spacing w:line="360" w:lineRule="auto"/>
        <w:rPr>
          <w:rFonts w:hint="eastAsia" w:ascii="仿宋" w:hAnsi="仿宋" w:eastAsia="仿宋" w:cs="仿宋"/>
          <w:color w:val="auto"/>
          <w:highlight w:val="none"/>
        </w:rPr>
      </w:pPr>
    </w:p>
    <w:p w14:paraId="18479DEB">
      <w:pPr>
        <w:pStyle w:val="10"/>
        <w:pageBreakBefore w:val="0"/>
        <w:kinsoku/>
        <w:bidi w:val="0"/>
        <w:spacing w:line="360" w:lineRule="auto"/>
        <w:rPr>
          <w:rFonts w:hint="eastAsia" w:ascii="仿宋" w:hAnsi="仿宋" w:eastAsia="仿宋" w:cs="仿宋"/>
          <w:color w:val="auto"/>
          <w:highlight w:val="none"/>
        </w:rPr>
      </w:pPr>
    </w:p>
    <w:p w14:paraId="68A0CC1A">
      <w:pPr>
        <w:pStyle w:val="10"/>
        <w:pageBreakBefore w:val="0"/>
        <w:kinsoku/>
        <w:bidi w:val="0"/>
        <w:spacing w:line="360" w:lineRule="auto"/>
        <w:rPr>
          <w:rFonts w:hint="eastAsia" w:ascii="仿宋" w:hAnsi="仿宋" w:eastAsia="仿宋" w:cs="仿宋"/>
          <w:color w:val="auto"/>
          <w:highlight w:val="none"/>
        </w:rPr>
      </w:pPr>
    </w:p>
    <w:p w14:paraId="6BF0E6A7">
      <w:pPr>
        <w:pStyle w:val="10"/>
        <w:pageBreakBefore w:val="0"/>
        <w:kinsoku/>
        <w:bidi w:val="0"/>
        <w:spacing w:line="360" w:lineRule="auto"/>
        <w:rPr>
          <w:rFonts w:hint="eastAsia" w:ascii="仿宋" w:hAnsi="仿宋" w:eastAsia="仿宋" w:cs="仿宋"/>
          <w:color w:val="auto"/>
          <w:highlight w:val="none"/>
        </w:rPr>
      </w:pPr>
    </w:p>
    <w:p w14:paraId="0490DB07">
      <w:pPr>
        <w:pStyle w:val="10"/>
        <w:pageBreakBefore w:val="0"/>
        <w:kinsoku/>
        <w:bidi w:val="0"/>
        <w:spacing w:line="360" w:lineRule="auto"/>
        <w:rPr>
          <w:rFonts w:hint="eastAsia" w:ascii="仿宋" w:hAnsi="仿宋" w:eastAsia="仿宋" w:cs="仿宋"/>
          <w:color w:val="auto"/>
          <w:highlight w:val="none"/>
        </w:rPr>
      </w:pPr>
    </w:p>
    <w:p w14:paraId="4DEB9234">
      <w:pPr>
        <w:pStyle w:val="10"/>
        <w:pageBreakBefore w:val="0"/>
        <w:kinsoku/>
        <w:bidi w:val="0"/>
        <w:spacing w:line="360" w:lineRule="auto"/>
        <w:rPr>
          <w:rFonts w:hint="eastAsia" w:ascii="仿宋" w:hAnsi="仿宋" w:eastAsia="仿宋" w:cs="仿宋"/>
          <w:color w:val="auto"/>
          <w:highlight w:val="none"/>
        </w:rPr>
      </w:pPr>
    </w:p>
    <w:p w14:paraId="194BBF1D">
      <w:pPr>
        <w:pStyle w:val="10"/>
        <w:pageBreakBefore w:val="0"/>
        <w:kinsoku/>
        <w:bidi w:val="0"/>
        <w:spacing w:line="360" w:lineRule="auto"/>
        <w:rPr>
          <w:rFonts w:hint="eastAsia" w:ascii="仿宋" w:hAnsi="仿宋" w:eastAsia="仿宋" w:cs="仿宋"/>
          <w:color w:val="auto"/>
          <w:highlight w:val="none"/>
        </w:rPr>
      </w:pPr>
    </w:p>
    <w:p w14:paraId="4B027054">
      <w:pPr>
        <w:pStyle w:val="10"/>
        <w:pageBreakBefore w:val="0"/>
        <w:kinsoku/>
        <w:bidi w:val="0"/>
        <w:spacing w:line="360" w:lineRule="auto"/>
        <w:rPr>
          <w:rFonts w:hint="eastAsia" w:ascii="仿宋" w:hAnsi="仿宋" w:eastAsia="仿宋" w:cs="仿宋"/>
          <w:color w:val="auto"/>
          <w:highlight w:val="none"/>
        </w:rPr>
      </w:pPr>
    </w:p>
    <w:p w14:paraId="05EB45C9">
      <w:pPr>
        <w:pStyle w:val="10"/>
        <w:pageBreakBefore w:val="0"/>
        <w:kinsoku/>
        <w:bidi w:val="0"/>
        <w:spacing w:line="360" w:lineRule="auto"/>
        <w:rPr>
          <w:rFonts w:hint="eastAsia" w:ascii="仿宋" w:hAnsi="仿宋" w:eastAsia="仿宋" w:cs="仿宋"/>
          <w:color w:val="auto"/>
          <w:highlight w:val="none"/>
        </w:rPr>
      </w:pPr>
    </w:p>
    <w:p w14:paraId="155CB4E2">
      <w:pPr>
        <w:pStyle w:val="10"/>
        <w:pageBreakBefore w:val="0"/>
        <w:kinsoku/>
        <w:bidi w:val="0"/>
        <w:spacing w:line="360" w:lineRule="auto"/>
        <w:rPr>
          <w:rFonts w:hint="eastAsia" w:ascii="仿宋" w:hAnsi="仿宋" w:eastAsia="仿宋" w:cs="仿宋"/>
          <w:color w:val="auto"/>
          <w:highlight w:val="none"/>
        </w:rPr>
      </w:pPr>
    </w:p>
    <w:p w14:paraId="6EC67878">
      <w:pPr>
        <w:pStyle w:val="10"/>
        <w:pageBreakBefore w:val="0"/>
        <w:kinsoku/>
        <w:bidi w:val="0"/>
        <w:spacing w:line="360" w:lineRule="auto"/>
        <w:rPr>
          <w:rFonts w:hint="eastAsia" w:ascii="仿宋" w:hAnsi="仿宋" w:eastAsia="仿宋" w:cs="仿宋"/>
          <w:color w:val="auto"/>
          <w:highlight w:val="none"/>
        </w:rPr>
      </w:pPr>
    </w:p>
    <w:p w14:paraId="4FF18B7E">
      <w:pPr>
        <w:rPr>
          <w:rFonts w:hint="eastAsia" w:ascii="仿宋" w:hAnsi="仿宋" w:eastAsia="仿宋" w:cs="仿宋"/>
          <w:color w:val="auto"/>
          <w:sz w:val="24"/>
          <w:szCs w:val="24"/>
          <w:highlight w:val="none"/>
        </w:rPr>
      </w:pPr>
      <w:bookmarkStart w:id="696" w:name="_Toc4248"/>
      <w:r>
        <w:rPr>
          <w:rFonts w:hint="eastAsia" w:ascii="仿宋" w:hAnsi="仿宋" w:eastAsia="仿宋" w:cs="仿宋"/>
          <w:color w:val="auto"/>
          <w:sz w:val="24"/>
          <w:szCs w:val="24"/>
          <w:highlight w:val="none"/>
        </w:rPr>
        <w:br w:type="page"/>
      </w:r>
    </w:p>
    <w:p w14:paraId="3F86524B">
      <w:pPr>
        <w:pStyle w:val="4"/>
        <w:pageBreakBefore w:val="0"/>
        <w:kinsoku/>
        <w:bidi w:val="0"/>
        <w:spacing w:before="0" w:after="0"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具有履行合同所必需的设备和专业技术能力</w:t>
      </w:r>
      <w:bookmarkEnd w:id="696"/>
    </w:p>
    <w:p w14:paraId="7749B816">
      <w:pPr>
        <w:pageBreakBefore w:val="0"/>
        <w:kinsoku/>
        <w:bidi w:val="0"/>
        <w:spacing w:line="360"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lang w:eastAsia="zh-CN"/>
        </w:rPr>
        <w:t>提供供应商具有履行合同所必需的设备和专业技术能力证明材料（加盖供应商公章）或书面声明（加盖供应商公章）</w:t>
      </w:r>
    </w:p>
    <w:p w14:paraId="0D21599A">
      <w:pPr>
        <w:pageBreakBefore w:val="0"/>
        <w:kinsoku/>
        <w:bidi w:val="0"/>
        <w:spacing w:line="360" w:lineRule="auto"/>
        <w:rPr>
          <w:rFonts w:hint="eastAsia" w:ascii="仿宋" w:hAnsi="仿宋" w:eastAsia="仿宋" w:cs="仿宋"/>
          <w:color w:val="auto"/>
          <w:highlight w:val="none"/>
        </w:rPr>
      </w:pPr>
    </w:p>
    <w:p w14:paraId="284386FE">
      <w:pPr>
        <w:pageBreakBefore w:val="0"/>
        <w:kinsoku/>
        <w:bidi w:val="0"/>
        <w:spacing w:line="360" w:lineRule="auto"/>
        <w:rPr>
          <w:rFonts w:hint="eastAsia" w:ascii="仿宋" w:hAnsi="仿宋" w:eastAsia="仿宋" w:cs="仿宋"/>
          <w:color w:val="auto"/>
          <w:sz w:val="36"/>
          <w:highlight w:val="none"/>
        </w:rPr>
      </w:pPr>
    </w:p>
    <w:p w14:paraId="34354547">
      <w:pPr>
        <w:pageBreakBefore w:val="0"/>
        <w:kinsoku/>
        <w:bidi w:val="0"/>
        <w:spacing w:line="360" w:lineRule="auto"/>
        <w:rPr>
          <w:rFonts w:hint="eastAsia" w:ascii="仿宋" w:hAnsi="仿宋" w:eastAsia="仿宋" w:cs="仿宋"/>
          <w:color w:val="auto"/>
          <w:sz w:val="36"/>
          <w:highlight w:val="none"/>
        </w:rPr>
      </w:pPr>
    </w:p>
    <w:p w14:paraId="1CD37FE3">
      <w:pPr>
        <w:pageBreakBefore w:val="0"/>
        <w:kinsoku/>
        <w:bidi w:val="0"/>
        <w:spacing w:line="360" w:lineRule="auto"/>
        <w:rPr>
          <w:rFonts w:hint="eastAsia" w:ascii="仿宋" w:hAnsi="仿宋" w:eastAsia="仿宋" w:cs="仿宋"/>
          <w:color w:val="auto"/>
          <w:sz w:val="36"/>
          <w:highlight w:val="none"/>
        </w:rPr>
      </w:pPr>
    </w:p>
    <w:p w14:paraId="1E0F5B18">
      <w:pPr>
        <w:pageBreakBefore w:val="0"/>
        <w:kinsoku/>
        <w:bidi w:val="0"/>
        <w:spacing w:line="360" w:lineRule="auto"/>
        <w:rPr>
          <w:rFonts w:hint="eastAsia" w:ascii="仿宋" w:hAnsi="仿宋" w:eastAsia="仿宋" w:cs="仿宋"/>
          <w:color w:val="auto"/>
          <w:sz w:val="36"/>
          <w:highlight w:val="none"/>
        </w:rPr>
      </w:pPr>
    </w:p>
    <w:p w14:paraId="3922473D">
      <w:pPr>
        <w:pageBreakBefore w:val="0"/>
        <w:kinsoku/>
        <w:bidi w:val="0"/>
        <w:spacing w:line="360" w:lineRule="auto"/>
        <w:rPr>
          <w:rFonts w:hint="eastAsia" w:ascii="仿宋" w:hAnsi="仿宋" w:eastAsia="仿宋" w:cs="仿宋"/>
          <w:color w:val="auto"/>
          <w:sz w:val="36"/>
          <w:highlight w:val="none"/>
        </w:rPr>
      </w:pPr>
    </w:p>
    <w:p w14:paraId="13DE6DC9">
      <w:pPr>
        <w:pageBreakBefore w:val="0"/>
        <w:kinsoku/>
        <w:bidi w:val="0"/>
        <w:spacing w:line="360" w:lineRule="auto"/>
        <w:rPr>
          <w:rFonts w:hint="eastAsia" w:ascii="仿宋" w:hAnsi="仿宋" w:eastAsia="仿宋" w:cs="仿宋"/>
          <w:color w:val="auto"/>
          <w:sz w:val="36"/>
          <w:highlight w:val="none"/>
        </w:rPr>
      </w:pPr>
    </w:p>
    <w:p w14:paraId="102F6F94">
      <w:pPr>
        <w:pageBreakBefore w:val="0"/>
        <w:kinsoku/>
        <w:bidi w:val="0"/>
        <w:spacing w:line="360" w:lineRule="auto"/>
        <w:rPr>
          <w:rFonts w:hint="eastAsia" w:ascii="仿宋" w:hAnsi="仿宋" w:eastAsia="仿宋" w:cs="仿宋"/>
          <w:color w:val="auto"/>
          <w:sz w:val="36"/>
          <w:highlight w:val="none"/>
        </w:rPr>
      </w:pPr>
    </w:p>
    <w:p w14:paraId="6FB19AC5">
      <w:pPr>
        <w:pageBreakBefore w:val="0"/>
        <w:kinsoku/>
        <w:bidi w:val="0"/>
        <w:spacing w:line="360" w:lineRule="auto"/>
        <w:rPr>
          <w:rFonts w:hint="eastAsia" w:ascii="仿宋" w:hAnsi="仿宋" w:eastAsia="仿宋" w:cs="仿宋"/>
          <w:color w:val="auto"/>
          <w:sz w:val="36"/>
          <w:highlight w:val="none"/>
        </w:rPr>
      </w:pPr>
    </w:p>
    <w:p w14:paraId="5192ED73">
      <w:pPr>
        <w:pageBreakBefore w:val="0"/>
        <w:kinsoku/>
        <w:bidi w:val="0"/>
        <w:spacing w:line="360" w:lineRule="auto"/>
        <w:rPr>
          <w:rFonts w:hint="eastAsia" w:ascii="仿宋" w:hAnsi="仿宋" w:eastAsia="仿宋" w:cs="仿宋"/>
          <w:color w:val="auto"/>
          <w:sz w:val="36"/>
          <w:highlight w:val="none"/>
        </w:rPr>
      </w:pPr>
    </w:p>
    <w:p w14:paraId="1F54BB89">
      <w:pPr>
        <w:pageBreakBefore w:val="0"/>
        <w:kinsoku/>
        <w:bidi w:val="0"/>
        <w:spacing w:line="360" w:lineRule="auto"/>
        <w:rPr>
          <w:rFonts w:hint="eastAsia" w:ascii="仿宋" w:hAnsi="仿宋" w:eastAsia="仿宋" w:cs="仿宋"/>
          <w:color w:val="auto"/>
          <w:sz w:val="36"/>
          <w:highlight w:val="none"/>
        </w:rPr>
      </w:pPr>
    </w:p>
    <w:p w14:paraId="6FD2DC2F">
      <w:pPr>
        <w:pageBreakBefore w:val="0"/>
        <w:kinsoku/>
        <w:bidi w:val="0"/>
        <w:spacing w:line="360" w:lineRule="auto"/>
        <w:rPr>
          <w:rFonts w:hint="eastAsia" w:ascii="仿宋" w:hAnsi="仿宋" w:eastAsia="仿宋" w:cs="仿宋"/>
          <w:color w:val="auto"/>
          <w:sz w:val="36"/>
          <w:highlight w:val="none"/>
        </w:rPr>
      </w:pPr>
    </w:p>
    <w:p w14:paraId="44245C15">
      <w:pPr>
        <w:pageBreakBefore w:val="0"/>
        <w:kinsoku/>
        <w:bidi w:val="0"/>
        <w:spacing w:line="360" w:lineRule="auto"/>
        <w:rPr>
          <w:rFonts w:hint="eastAsia" w:ascii="仿宋" w:hAnsi="仿宋" w:eastAsia="仿宋" w:cs="仿宋"/>
          <w:color w:val="auto"/>
          <w:sz w:val="36"/>
          <w:highlight w:val="none"/>
        </w:rPr>
      </w:pPr>
    </w:p>
    <w:p w14:paraId="7CBC73E8">
      <w:pPr>
        <w:pageBreakBefore w:val="0"/>
        <w:kinsoku/>
        <w:bidi w:val="0"/>
        <w:spacing w:line="360" w:lineRule="auto"/>
        <w:rPr>
          <w:rFonts w:hint="eastAsia" w:ascii="仿宋" w:hAnsi="仿宋" w:eastAsia="仿宋" w:cs="仿宋"/>
          <w:color w:val="auto"/>
          <w:sz w:val="36"/>
          <w:highlight w:val="none"/>
        </w:rPr>
      </w:pPr>
    </w:p>
    <w:p w14:paraId="1CD04573">
      <w:pPr>
        <w:pageBreakBefore w:val="0"/>
        <w:kinsoku/>
        <w:bidi w:val="0"/>
        <w:spacing w:line="360" w:lineRule="auto"/>
        <w:rPr>
          <w:rFonts w:hint="eastAsia" w:ascii="仿宋" w:hAnsi="仿宋" w:eastAsia="仿宋" w:cs="仿宋"/>
          <w:color w:val="auto"/>
          <w:sz w:val="36"/>
          <w:highlight w:val="none"/>
        </w:rPr>
      </w:pPr>
    </w:p>
    <w:p w14:paraId="2D502158">
      <w:pPr>
        <w:pageBreakBefore w:val="0"/>
        <w:kinsoku/>
        <w:bidi w:val="0"/>
        <w:spacing w:line="360" w:lineRule="auto"/>
        <w:rPr>
          <w:rFonts w:hint="eastAsia" w:ascii="仿宋" w:hAnsi="仿宋" w:eastAsia="仿宋" w:cs="仿宋"/>
          <w:color w:val="auto"/>
          <w:sz w:val="36"/>
          <w:highlight w:val="none"/>
        </w:rPr>
      </w:pPr>
    </w:p>
    <w:p w14:paraId="546B146D">
      <w:pPr>
        <w:pStyle w:val="4"/>
        <w:pageBreakBefore w:val="0"/>
        <w:kinsoku/>
        <w:bidi w:val="0"/>
        <w:spacing w:before="0" w:after="0" w:line="360" w:lineRule="auto"/>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color w:val="auto"/>
          <w:sz w:val="24"/>
          <w:szCs w:val="24"/>
          <w:highlight w:val="none"/>
          <w:lang w:val="en-US" w:eastAsia="zh-CN"/>
        </w:rPr>
        <w:t>4.具有依法缴纳税收和社会保障资金的良好记录</w:t>
      </w:r>
    </w:p>
    <w:p w14:paraId="06D3B969">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①提供供应商缴税所属时间在2025年01月至本项目提交投标文件截止时间前任意1个月的税务局税收通用缴款书或银行电子缴税（费）凭证或税务局出具纳税情况的相关证明，依法免税或免缴的，应提供相关证明文件（扫描件加盖供应商公章）或说明（加盖供应商公章），新成立未满1个月的供应商，依法免税或免缴的，应提供相关证明文件（扫描件加盖供应商公章）或说明（加盖供应商公章）；②提供供应商缴费所属时间在2025年01月至本项目提交投标文件截止时间前任意</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个月的社会保险费缴款书或银行电子缴税（费）凭证或社保管理部门出具的有效的缴款证明，依法免缴的，应提供依法免缴的相关证明文件（扫描件加盖供应商公章）或说明（加盖供应商公章），新成立未满</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个月的供应商，依法免缴的，应提供依法免缴的相关证明文件（扫描件加盖供应商公章）或说明（加盖供应商公章）</w:t>
      </w:r>
    </w:p>
    <w:p w14:paraId="1BC1455C">
      <w:pPr>
        <w:pageBreakBefore w:val="0"/>
        <w:kinsoku/>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highlight w:val="none"/>
        </w:rPr>
        <w:t>承诺书</w:t>
      </w:r>
    </w:p>
    <w:p w14:paraId="65DF5216">
      <w:pPr>
        <w:pStyle w:val="15"/>
        <w:pageBreakBefore w:val="0"/>
        <w:kinsoku/>
        <w:bidi w:val="0"/>
        <w:spacing w:line="360" w:lineRule="auto"/>
        <w:rPr>
          <w:rFonts w:hint="eastAsia" w:ascii="仿宋" w:hAnsi="仿宋" w:eastAsia="仿宋" w:cs="仿宋"/>
          <w:color w:val="auto"/>
          <w:sz w:val="24"/>
          <w:szCs w:val="24"/>
          <w:highlight w:val="none"/>
        </w:rPr>
      </w:pPr>
    </w:p>
    <w:p w14:paraId="6960FB4D">
      <w:pPr>
        <w:pageBreakBefore w:val="0"/>
        <w:kinsoku/>
        <w:bidi w:val="0"/>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致：昆明市第一人民医院</w:t>
      </w:r>
    </w:p>
    <w:p w14:paraId="32C540B3">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我公司具有依法缴纳税收和社会保障资金的良好记录，如有不实，将依法承担相应后果。</w:t>
      </w:r>
    </w:p>
    <w:p w14:paraId="3DA6DABD">
      <w:pPr>
        <w:pageBreakBefore w:val="0"/>
        <w:kinsoku/>
        <w:bidi w:val="0"/>
        <w:spacing w:line="360" w:lineRule="auto"/>
        <w:rPr>
          <w:rFonts w:hint="eastAsia" w:ascii="仿宋" w:hAnsi="仿宋" w:eastAsia="仿宋" w:cs="仿宋"/>
          <w:color w:val="auto"/>
          <w:sz w:val="24"/>
          <w:szCs w:val="24"/>
          <w:highlight w:val="none"/>
        </w:rPr>
      </w:pPr>
    </w:p>
    <w:p w14:paraId="084F9756">
      <w:pPr>
        <w:pageBreakBefore w:val="0"/>
        <w:kinsoku/>
        <w:bidi w:val="0"/>
        <w:spacing w:before="60" w:after="60"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全称（加盖电子公章）：</w:t>
      </w:r>
      <w:r>
        <w:rPr>
          <w:rFonts w:hint="eastAsia" w:ascii="仿宋" w:hAnsi="仿宋" w:eastAsia="仿宋" w:cs="仿宋"/>
          <w:color w:val="auto"/>
          <w:sz w:val="24"/>
          <w:szCs w:val="24"/>
          <w:highlight w:val="none"/>
          <w:u w:val="single"/>
        </w:rPr>
        <w:t>________________________</w:t>
      </w:r>
    </w:p>
    <w:p w14:paraId="161F5AB0">
      <w:pPr>
        <w:pageBreakBefore w:val="0"/>
        <w:kinsoku/>
        <w:bidi w:val="0"/>
        <w:spacing w:before="60" w:after="60"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法定代表人或委托代理人签字或签章：</w:t>
      </w:r>
      <w:r>
        <w:rPr>
          <w:rFonts w:hint="eastAsia" w:ascii="仿宋" w:hAnsi="仿宋" w:eastAsia="仿宋" w:cs="仿宋"/>
          <w:color w:val="auto"/>
          <w:sz w:val="24"/>
          <w:szCs w:val="24"/>
          <w:highlight w:val="none"/>
          <w:u w:val="single"/>
        </w:rPr>
        <w:t>__________________</w:t>
      </w:r>
    </w:p>
    <w:p w14:paraId="3C629CB4">
      <w:pPr>
        <w:pageBreakBefore w:val="0"/>
        <w:kinsoku/>
        <w:bidi w:val="0"/>
        <w:spacing w:before="60" w:after="60"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_______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日</w:t>
      </w:r>
    </w:p>
    <w:p w14:paraId="71F2390F">
      <w:pPr>
        <w:pageBreakBefore w:val="0"/>
        <w:kinsoku/>
        <w:bidi w:val="0"/>
        <w:spacing w:line="360" w:lineRule="auto"/>
        <w:rPr>
          <w:rFonts w:hint="eastAsia" w:ascii="仿宋" w:hAnsi="仿宋" w:eastAsia="仿宋" w:cs="仿宋"/>
          <w:color w:val="auto"/>
          <w:sz w:val="24"/>
          <w:szCs w:val="24"/>
          <w:highlight w:val="none"/>
        </w:rPr>
      </w:pPr>
    </w:p>
    <w:p w14:paraId="35C48678">
      <w:pPr>
        <w:pageBreakBefore w:val="0"/>
        <w:kinsoku/>
        <w:bidi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4.2提供供应商缴税所属时间在2025年01月至本项目提交投标文件截止时间前任意1个月的税务局税收通用缴款书或银行电子缴税（费）凭证或税务局出具纳税情况的相关证明</w:t>
      </w:r>
    </w:p>
    <w:p w14:paraId="58B9D7C2">
      <w:pPr>
        <w:pageBreakBefore w:val="0"/>
        <w:numPr>
          <w:ilvl w:val="0"/>
          <w:numId w:val="0"/>
        </w:numPr>
        <w:kinsoku/>
        <w:bidi w:val="0"/>
        <w:spacing w:before="0" w:after="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31635061">
      <w:pPr>
        <w:pageBreakBefore w:val="0"/>
        <w:numPr>
          <w:ilvl w:val="0"/>
          <w:numId w:val="0"/>
        </w:numPr>
        <w:kinsoku/>
        <w:bidi w:val="0"/>
        <w:spacing w:before="0" w:after="0" w:line="360" w:lineRule="auto"/>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4.3提供供应商缴费所属时间在2025年01月至本项目提交投标文件截止时间前任意3个月的社会保险费缴款书或银行电子缴税（费）凭证或社保管理部门出具的有效的缴款证明</w:t>
      </w:r>
    </w:p>
    <w:p w14:paraId="5E710F89">
      <w:pPr>
        <w:pageBreakBefore w:val="0"/>
        <w:numPr>
          <w:ilvl w:val="0"/>
          <w:numId w:val="0"/>
        </w:numPr>
        <w:kinsoku/>
        <w:overflowPunct/>
        <w:topLinePunct w:val="0"/>
        <w:bidi w:val="0"/>
        <w:spacing w:line="360" w:lineRule="auto"/>
        <w:jc w:val="left"/>
        <w:rPr>
          <w:rFonts w:hint="eastAsia" w:ascii="仿宋" w:hAnsi="仿宋" w:eastAsia="仿宋" w:cs="仿宋"/>
          <w:color w:val="auto"/>
          <w:sz w:val="24"/>
          <w:szCs w:val="24"/>
          <w:highlight w:val="none"/>
          <w:lang w:eastAsia="zh-CN"/>
        </w:rPr>
      </w:pPr>
    </w:p>
    <w:p w14:paraId="4CE4DE76">
      <w:pPr>
        <w:pageBreakBefore w:val="0"/>
        <w:kinsoku/>
        <w:bidi w:val="0"/>
        <w:spacing w:line="360" w:lineRule="auto"/>
        <w:rPr>
          <w:rFonts w:hint="eastAsia" w:ascii="仿宋" w:hAnsi="仿宋" w:eastAsia="仿宋" w:cs="仿宋"/>
          <w:color w:val="auto"/>
          <w:highlight w:val="none"/>
        </w:rPr>
      </w:pPr>
    </w:p>
    <w:p w14:paraId="5900D566">
      <w:pPr>
        <w:pStyle w:val="4"/>
        <w:pageBreakBefore w:val="0"/>
        <w:numPr>
          <w:ilvl w:val="0"/>
          <w:numId w:val="0"/>
        </w:numPr>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SA"/>
        </w:rPr>
        <w:br w:type="page"/>
      </w:r>
      <w:r>
        <w:rPr>
          <w:rFonts w:hint="eastAsia" w:ascii="仿宋" w:hAnsi="仿宋" w:eastAsia="仿宋" w:cs="仿宋"/>
          <w:b/>
          <w:bCs/>
          <w:color w:val="auto"/>
          <w:kern w:val="0"/>
          <w:sz w:val="24"/>
          <w:szCs w:val="24"/>
          <w:highlight w:val="none"/>
          <w:lang w:val="en-US" w:eastAsia="zh-CN" w:bidi="ar-SA"/>
        </w:rPr>
        <w:t>5.</w:t>
      </w:r>
      <w:r>
        <w:rPr>
          <w:rFonts w:hint="eastAsia" w:ascii="仿宋" w:hAnsi="仿宋" w:eastAsia="仿宋" w:cs="仿宋"/>
          <w:color w:val="auto"/>
          <w:sz w:val="24"/>
          <w:szCs w:val="24"/>
          <w:highlight w:val="none"/>
        </w:rPr>
        <w:t>参加采购活动前三年内，在经营活动中没有重大违法记录</w:t>
      </w:r>
    </w:p>
    <w:p w14:paraId="12F0AC4A">
      <w:pPr>
        <w:pageBreakBefore w:val="0"/>
        <w:kinsoku/>
        <w:bidi w:val="0"/>
        <w:spacing w:line="360" w:lineRule="auto"/>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供应商参加政府采购活动前三年内，在经营活动中没有重大违法记录（重大违法记录，是指供应商因违法经营受到刑事处罚或者责令停产停业、吊销许可证或者执照、较大数额罚款等行政处罚）的书面声明（加盖供应商公章）；</w:t>
      </w:r>
    </w:p>
    <w:p w14:paraId="2553C892">
      <w:pPr>
        <w:pStyle w:val="10"/>
        <w:pageBreakBefore w:val="0"/>
        <w:kinsoku/>
        <w:bidi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lang w:eastAsia="zh-CN"/>
        </w:rPr>
        <w:t>重大违法记录是指供应商因违法经营受到刑事处罚或者责令停产停业、吊销许可证或者执照、较大数额罚款（200万元以上罚款）等行政处罚。</w:t>
      </w:r>
    </w:p>
    <w:p w14:paraId="4702DBBB">
      <w:pPr>
        <w:pStyle w:val="10"/>
        <w:pageBreakBefore w:val="0"/>
        <w:kinsoku/>
        <w:bidi w:val="0"/>
        <w:spacing w:line="360" w:lineRule="auto"/>
        <w:ind w:firstLine="0"/>
        <w:rPr>
          <w:rFonts w:hint="eastAsia" w:ascii="仿宋" w:hAnsi="仿宋" w:eastAsia="仿宋" w:cs="仿宋"/>
          <w:color w:val="auto"/>
          <w:highlight w:val="none"/>
        </w:rPr>
      </w:pPr>
    </w:p>
    <w:p w14:paraId="1CDA8525">
      <w:pPr>
        <w:pStyle w:val="10"/>
        <w:pageBreakBefore w:val="0"/>
        <w:kinsoku/>
        <w:bidi w:val="0"/>
        <w:spacing w:line="360" w:lineRule="auto"/>
        <w:ind w:firstLine="0"/>
        <w:rPr>
          <w:rFonts w:hint="eastAsia" w:ascii="仿宋" w:hAnsi="仿宋" w:eastAsia="仿宋" w:cs="仿宋"/>
          <w:color w:val="auto"/>
          <w:highlight w:val="none"/>
        </w:rPr>
      </w:pPr>
    </w:p>
    <w:p w14:paraId="0D8EE3CD">
      <w:pPr>
        <w:pStyle w:val="10"/>
        <w:pageBreakBefore w:val="0"/>
        <w:kinsoku/>
        <w:bidi w:val="0"/>
        <w:spacing w:line="360" w:lineRule="auto"/>
        <w:ind w:firstLine="0"/>
        <w:rPr>
          <w:rFonts w:hint="eastAsia" w:ascii="仿宋" w:hAnsi="仿宋" w:eastAsia="仿宋" w:cs="仿宋"/>
          <w:color w:val="auto"/>
          <w:highlight w:val="none"/>
        </w:rPr>
      </w:pPr>
    </w:p>
    <w:p w14:paraId="42B3B6E6">
      <w:pPr>
        <w:pStyle w:val="10"/>
        <w:pageBreakBefore w:val="0"/>
        <w:kinsoku/>
        <w:bidi w:val="0"/>
        <w:spacing w:line="360" w:lineRule="auto"/>
        <w:ind w:firstLine="0"/>
        <w:rPr>
          <w:rFonts w:hint="eastAsia" w:ascii="仿宋" w:hAnsi="仿宋" w:eastAsia="仿宋" w:cs="仿宋"/>
          <w:color w:val="auto"/>
          <w:highlight w:val="none"/>
        </w:rPr>
      </w:pPr>
    </w:p>
    <w:p w14:paraId="478B84DA">
      <w:pPr>
        <w:pStyle w:val="10"/>
        <w:pageBreakBefore w:val="0"/>
        <w:kinsoku/>
        <w:bidi w:val="0"/>
        <w:spacing w:line="360" w:lineRule="auto"/>
        <w:ind w:firstLine="0"/>
        <w:rPr>
          <w:rFonts w:hint="eastAsia" w:ascii="仿宋" w:hAnsi="仿宋" w:eastAsia="仿宋" w:cs="仿宋"/>
          <w:color w:val="auto"/>
          <w:highlight w:val="none"/>
        </w:rPr>
      </w:pPr>
    </w:p>
    <w:p w14:paraId="0EBB6540">
      <w:pPr>
        <w:pStyle w:val="10"/>
        <w:pageBreakBefore w:val="0"/>
        <w:kinsoku/>
        <w:bidi w:val="0"/>
        <w:spacing w:line="360" w:lineRule="auto"/>
        <w:ind w:firstLine="0"/>
        <w:rPr>
          <w:rFonts w:hint="eastAsia" w:ascii="仿宋" w:hAnsi="仿宋" w:eastAsia="仿宋" w:cs="仿宋"/>
          <w:color w:val="auto"/>
          <w:highlight w:val="none"/>
        </w:rPr>
      </w:pPr>
    </w:p>
    <w:p w14:paraId="24F1B6B2">
      <w:pPr>
        <w:pStyle w:val="10"/>
        <w:pageBreakBefore w:val="0"/>
        <w:kinsoku/>
        <w:bidi w:val="0"/>
        <w:spacing w:line="360" w:lineRule="auto"/>
        <w:ind w:firstLine="0"/>
        <w:rPr>
          <w:rFonts w:hint="eastAsia" w:ascii="仿宋" w:hAnsi="仿宋" w:eastAsia="仿宋" w:cs="仿宋"/>
          <w:color w:val="auto"/>
          <w:highlight w:val="none"/>
        </w:rPr>
      </w:pPr>
    </w:p>
    <w:p w14:paraId="51E07346">
      <w:pPr>
        <w:pStyle w:val="10"/>
        <w:pageBreakBefore w:val="0"/>
        <w:kinsoku/>
        <w:bidi w:val="0"/>
        <w:spacing w:line="360" w:lineRule="auto"/>
        <w:ind w:firstLine="0"/>
        <w:rPr>
          <w:rFonts w:hint="eastAsia" w:ascii="仿宋" w:hAnsi="仿宋" w:eastAsia="仿宋" w:cs="仿宋"/>
          <w:color w:val="auto"/>
          <w:highlight w:val="none"/>
        </w:rPr>
      </w:pPr>
    </w:p>
    <w:p w14:paraId="7465A3A8">
      <w:pPr>
        <w:pStyle w:val="10"/>
        <w:pageBreakBefore w:val="0"/>
        <w:kinsoku/>
        <w:bidi w:val="0"/>
        <w:spacing w:line="360" w:lineRule="auto"/>
        <w:ind w:firstLine="0"/>
        <w:rPr>
          <w:rFonts w:hint="eastAsia" w:ascii="仿宋" w:hAnsi="仿宋" w:eastAsia="仿宋" w:cs="仿宋"/>
          <w:color w:val="auto"/>
          <w:highlight w:val="none"/>
        </w:rPr>
      </w:pPr>
    </w:p>
    <w:p w14:paraId="6A2A22E9">
      <w:pPr>
        <w:pStyle w:val="10"/>
        <w:pageBreakBefore w:val="0"/>
        <w:kinsoku/>
        <w:bidi w:val="0"/>
        <w:spacing w:line="360" w:lineRule="auto"/>
        <w:ind w:firstLine="0"/>
        <w:rPr>
          <w:rFonts w:hint="eastAsia" w:ascii="仿宋" w:hAnsi="仿宋" w:eastAsia="仿宋" w:cs="仿宋"/>
          <w:color w:val="auto"/>
          <w:highlight w:val="none"/>
        </w:rPr>
      </w:pPr>
    </w:p>
    <w:p w14:paraId="20528778">
      <w:pPr>
        <w:pStyle w:val="10"/>
        <w:pageBreakBefore w:val="0"/>
        <w:kinsoku/>
        <w:bidi w:val="0"/>
        <w:spacing w:line="360" w:lineRule="auto"/>
        <w:ind w:firstLine="0"/>
        <w:rPr>
          <w:rFonts w:hint="eastAsia" w:ascii="仿宋" w:hAnsi="仿宋" w:eastAsia="仿宋" w:cs="仿宋"/>
          <w:color w:val="auto"/>
          <w:highlight w:val="none"/>
        </w:rPr>
      </w:pPr>
    </w:p>
    <w:p w14:paraId="16391BB2">
      <w:pPr>
        <w:pStyle w:val="10"/>
        <w:pageBreakBefore w:val="0"/>
        <w:kinsoku/>
        <w:bidi w:val="0"/>
        <w:spacing w:line="360" w:lineRule="auto"/>
        <w:ind w:firstLine="0"/>
        <w:rPr>
          <w:rFonts w:hint="eastAsia" w:ascii="仿宋" w:hAnsi="仿宋" w:eastAsia="仿宋" w:cs="仿宋"/>
          <w:color w:val="auto"/>
          <w:highlight w:val="none"/>
        </w:rPr>
      </w:pPr>
    </w:p>
    <w:p w14:paraId="17B6789E">
      <w:pPr>
        <w:pStyle w:val="10"/>
        <w:pageBreakBefore w:val="0"/>
        <w:kinsoku/>
        <w:bidi w:val="0"/>
        <w:spacing w:line="360" w:lineRule="auto"/>
        <w:ind w:firstLine="0"/>
        <w:rPr>
          <w:rFonts w:hint="eastAsia" w:ascii="仿宋" w:hAnsi="仿宋" w:eastAsia="仿宋" w:cs="仿宋"/>
          <w:color w:val="auto"/>
          <w:highlight w:val="none"/>
        </w:rPr>
      </w:pPr>
    </w:p>
    <w:p w14:paraId="47FD0736">
      <w:pPr>
        <w:pStyle w:val="10"/>
        <w:pageBreakBefore w:val="0"/>
        <w:kinsoku/>
        <w:bidi w:val="0"/>
        <w:spacing w:line="360" w:lineRule="auto"/>
        <w:ind w:firstLine="0"/>
        <w:rPr>
          <w:rFonts w:hint="eastAsia" w:ascii="仿宋" w:hAnsi="仿宋" w:eastAsia="仿宋" w:cs="仿宋"/>
          <w:color w:val="auto"/>
          <w:highlight w:val="none"/>
        </w:rPr>
      </w:pPr>
    </w:p>
    <w:p w14:paraId="096314AA">
      <w:pPr>
        <w:pStyle w:val="10"/>
        <w:pageBreakBefore w:val="0"/>
        <w:kinsoku/>
        <w:bidi w:val="0"/>
        <w:spacing w:line="360" w:lineRule="auto"/>
        <w:ind w:firstLine="0"/>
        <w:rPr>
          <w:rFonts w:hint="eastAsia" w:ascii="仿宋" w:hAnsi="仿宋" w:eastAsia="仿宋" w:cs="仿宋"/>
          <w:color w:val="auto"/>
          <w:highlight w:val="none"/>
        </w:rPr>
      </w:pPr>
    </w:p>
    <w:p w14:paraId="680DD43D">
      <w:pPr>
        <w:pStyle w:val="10"/>
        <w:pageBreakBefore w:val="0"/>
        <w:kinsoku/>
        <w:bidi w:val="0"/>
        <w:spacing w:line="360" w:lineRule="auto"/>
        <w:ind w:firstLine="0"/>
        <w:rPr>
          <w:rFonts w:hint="eastAsia" w:ascii="仿宋" w:hAnsi="仿宋" w:eastAsia="仿宋" w:cs="仿宋"/>
          <w:color w:val="auto"/>
          <w:highlight w:val="none"/>
        </w:rPr>
      </w:pPr>
    </w:p>
    <w:p w14:paraId="51F5BDF5">
      <w:pPr>
        <w:pStyle w:val="10"/>
        <w:pageBreakBefore w:val="0"/>
        <w:kinsoku/>
        <w:bidi w:val="0"/>
        <w:spacing w:line="360" w:lineRule="auto"/>
        <w:ind w:firstLine="0"/>
        <w:rPr>
          <w:rFonts w:hint="eastAsia" w:ascii="仿宋" w:hAnsi="仿宋" w:eastAsia="仿宋" w:cs="仿宋"/>
          <w:color w:val="auto"/>
          <w:highlight w:val="none"/>
        </w:rPr>
      </w:pPr>
    </w:p>
    <w:p w14:paraId="47459731">
      <w:pPr>
        <w:pageBreakBefore w:val="0"/>
        <w:kinsoku/>
        <w:bidi w:val="0"/>
        <w:spacing w:line="360" w:lineRule="auto"/>
        <w:rPr>
          <w:rFonts w:hint="eastAsia" w:ascii="仿宋" w:hAnsi="仿宋" w:eastAsia="仿宋" w:cs="仿宋"/>
          <w:color w:val="auto"/>
          <w:highlight w:val="none"/>
        </w:rPr>
      </w:pPr>
    </w:p>
    <w:p w14:paraId="2697FE73">
      <w:pPr>
        <w:pageBreakBefore w:val="0"/>
        <w:kinsoku/>
        <w:bidi w:val="0"/>
        <w:spacing w:line="360" w:lineRule="auto"/>
        <w:rPr>
          <w:rFonts w:hint="eastAsia" w:ascii="仿宋" w:hAnsi="仿宋" w:eastAsia="仿宋" w:cs="仿宋"/>
          <w:color w:val="auto"/>
          <w:highlight w:val="none"/>
        </w:rPr>
      </w:pPr>
    </w:p>
    <w:p w14:paraId="16D057C3">
      <w:pPr>
        <w:pageBreakBefore w:val="0"/>
        <w:kinsoku/>
        <w:bidi w:val="0"/>
        <w:spacing w:line="360" w:lineRule="auto"/>
        <w:rPr>
          <w:rFonts w:hint="eastAsia" w:ascii="仿宋" w:hAnsi="仿宋" w:eastAsia="仿宋" w:cs="仿宋"/>
          <w:color w:val="auto"/>
          <w:highlight w:val="none"/>
        </w:rPr>
      </w:pPr>
    </w:p>
    <w:p w14:paraId="1BC5BF13">
      <w:pPr>
        <w:pStyle w:val="4"/>
        <w:pageBreakBefore w:val="0"/>
        <w:kinsoku/>
        <w:bidi w:val="0"/>
        <w:spacing w:before="0" w:after="0" w:line="360" w:lineRule="auto"/>
        <w:jc w:val="center"/>
        <w:rPr>
          <w:rFonts w:hint="eastAsia" w:ascii="仿宋" w:hAnsi="仿宋" w:eastAsia="仿宋" w:cs="仿宋"/>
          <w:color w:val="auto"/>
          <w:kern w:val="0"/>
          <w:sz w:val="24"/>
          <w:szCs w:val="24"/>
          <w:highlight w:val="none"/>
        </w:rPr>
      </w:pPr>
      <w:bookmarkStart w:id="697" w:name="_Toc18713"/>
      <w:bookmarkStart w:id="698" w:name="_Toc102136507"/>
      <w:bookmarkStart w:id="699" w:name="_Toc103723259"/>
      <w:bookmarkStart w:id="700" w:name="_Toc89638399"/>
      <w:bookmarkStart w:id="701" w:name="_Toc28609"/>
      <w:bookmarkStart w:id="702" w:name="_Hlk57460539"/>
      <w:bookmarkStart w:id="703" w:name="_Toc71734751"/>
      <w:r>
        <w:rPr>
          <w:rFonts w:hint="eastAsia" w:ascii="仿宋" w:hAnsi="仿宋" w:eastAsia="仿宋" w:cs="仿宋"/>
          <w:color w:val="auto"/>
          <w:kern w:val="0"/>
          <w:sz w:val="24"/>
          <w:szCs w:val="24"/>
          <w:highlight w:val="none"/>
          <w:lang w:val="en-US" w:eastAsia="zh-CN"/>
        </w:rPr>
        <w:br w:type="page"/>
      </w:r>
      <w:r>
        <w:rPr>
          <w:rFonts w:hint="eastAsia" w:ascii="仿宋" w:hAnsi="仿宋" w:eastAsia="仿宋" w:cs="仿宋"/>
          <w:color w:val="auto"/>
          <w:kern w:val="0"/>
          <w:sz w:val="24"/>
          <w:szCs w:val="24"/>
          <w:highlight w:val="none"/>
          <w:lang w:val="en-US" w:eastAsia="zh-CN"/>
        </w:rPr>
        <w:t>6.法律、行政法规规定的其他条件</w:t>
      </w:r>
    </w:p>
    <w:p w14:paraId="2428D6EC">
      <w:pPr>
        <w:pageBreakBefore w:val="0"/>
        <w:kinsoku/>
        <w:bidi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6.1单位负责人为同一人或者存在直接控股、管理关系的不同供应商，不得参加同一合同项下的政府采购活动</w:t>
      </w:r>
    </w:p>
    <w:p w14:paraId="413F293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（提供承诺函加盖供应商公章）</w:t>
      </w:r>
    </w:p>
    <w:p w14:paraId="39A0BA2F">
      <w:pPr>
        <w:pageBreakBefore w:val="0"/>
        <w:kinsoku/>
        <w:bidi w:val="0"/>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6.2为本采购项目提供整体设计、规范编制或者项目管理、监理、检测等服务的供应商，不得再参加本采购项目的其他采购活动的书面声明</w:t>
      </w:r>
    </w:p>
    <w:p w14:paraId="778AB11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（提供书面声明函加盖供应商公章）</w:t>
      </w:r>
    </w:p>
    <w:p w14:paraId="1AAB2007">
      <w:pPr>
        <w:pStyle w:val="63"/>
        <w:pageBreakBefore w:val="0"/>
        <w:kinsoku/>
        <w:bidi w:val="0"/>
        <w:spacing w:line="360" w:lineRule="auto"/>
        <w:rPr>
          <w:rFonts w:hint="eastAsia" w:ascii="仿宋" w:hAnsi="仿宋" w:eastAsia="仿宋" w:cs="仿宋"/>
          <w:color w:val="auto"/>
          <w:highlight w:val="none"/>
        </w:rPr>
      </w:pPr>
    </w:p>
    <w:p w14:paraId="52BDF2EE">
      <w:pPr>
        <w:pStyle w:val="63"/>
        <w:pageBreakBefore w:val="0"/>
        <w:kinsoku/>
        <w:bidi w:val="0"/>
        <w:spacing w:line="360" w:lineRule="auto"/>
        <w:rPr>
          <w:rFonts w:hint="eastAsia" w:ascii="仿宋" w:hAnsi="仿宋" w:eastAsia="仿宋" w:cs="仿宋"/>
          <w:color w:val="auto"/>
          <w:highlight w:val="none"/>
        </w:rPr>
      </w:pPr>
    </w:p>
    <w:p w14:paraId="1F666069">
      <w:pPr>
        <w:pageBreakBefore w:val="0"/>
        <w:kinsoku/>
        <w:bidi w:val="0"/>
        <w:spacing w:line="360" w:lineRule="auto"/>
        <w:ind w:firstLine="480" w:firstLineChars="200"/>
        <w:jc w:val="center"/>
        <w:rPr>
          <w:rFonts w:hint="eastAsia" w:ascii="仿宋" w:hAnsi="仿宋" w:eastAsia="仿宋" w:cs="仿宋"/>
          <w:snapToGrid w:val="0"/>
          <w:color w:val="auto"/>
          <w:kern w:val="0"/>
          <w:szCs w:val="20"/>
          <w:highlight w:val="none"/>
        </w:rPr>
      </w:pPr>
      <w:r>
        <w:rPr>
          <w:rFonts w:hint="eastAsia" w:ascii="仿宋" w:hAnsi="仿宋" w:eastAsia="仿宋" w:cs="仿宋"/>
          <w:color w:val="auto"/>
          <w:kern w:val="0"/>
          <w:sz w:val="24"/>
          <w:szCs w:val="24"/>
          <w:highlight w:val="none"/>
          <w:lang w:val="en-US" w:eastAsia="zh-CN"/>
        </w:rPr>
        <w:br w:type="page"/>
      </w:r>
    </w:p>
    <w:p w14:paraId="327D163A">
      <w:pPr>
        <w:pStyle w:val="4"/>
        <w:pageBreakBefore w:val="0"/>
        <w:kinsoku/>
        <w:bidi w:val="0"/>
        <w:spacing w:line="360" w:lineRule="auto"/>
        <w:jc w:val="center"/>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本项目不接受联合体投标</w:t>
      </w:r>
    </w:p>
    <w:p w14:paraId="378ECC6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（提供承诺函加盖供应商公章）</w:t>
      </w:r>
    </w:p>
    <w:p w14:paraId="5FC9688D">
      <w:pPr>
        <w:pStyle w:val="4"/>
        <w:pageBreakBefore w:val="0"/>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8.本项目的特定资格要求</w:t>
      </w:r>
    </w:p>
    <w:p w14:paraId="1C4CE299">
      <w:pPr>
        <w:pageBreakBefore w:val="0"/>
        <w:kinsoku/>
        <w:bidi w:val="0"/>
        <w:spacing w:line="360" w:lineRule="auto"/>
        <w:ind w:firstLine="480" w:firstLineChars="200"/>
        <w:outlineLvl w:val="9"/>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sz w:val="24"/>
          <w:szCs w:val="24"/>
          <w:highlight w:val="none"/>
        </w:rPr>
        <w:t>（1）</w:t>
      </w:r>
      <w:bookmarkEnd w:id="697"/>
      <w:bookmarkEnd w:id="698"/>
      <w:bookmarkEnd w:id="699"/>
      <w:bookmarkEnd w:id="700"/>
      <w:bookmarkEnd w:id="701"/>
      <w:r>
        <w:rPr>
          <w:rFonts w:hint="eastAsia" w:ascii="仿宋" w:hAnsi="仿宋" w:eastAsia="仿宋" w:cs="仿宋"/>
          <w:b w:val="0"/>
          <w:bCs w:val="0"/>
          <w:color w:val="auto"/>
          <w:sz w:val="24"/>
          <w:szCs w:val="24"/>
          <w:highlight w:val="none"/>
          <w:lang w:val="en-US" w:eastAsia="zh-CN"/>
        </w:rPr>
        <w:t>供应商如果是代理商或经销商且所投产品为医疗器械的，须提供医疗器械经营许可证/备案，所投产品制造商医疗器械生产许可证、所投产品的医疗器械注册证及附件；供应商如果是制造商且所投产品为医疗器械，须提供医疗器械生产许可证、所投产品的医疗器械注册证及附件。医疗器械生产或经营许可证生产或经营范围须覆盖所投第二、三类医疗器械（根据中华人民共和国国务院令第739号《医疗器械监督管理条例》和国家药品监督管理总局《医疗器械分类目录》的规定，在《医疗器械分类目录》内的产品必须按照《医疗器械监督管理条例》的要求提供，其他不在《医疗器械分类目录》内的不作强行要求）提供相关证明资料。</w:t>
      </w:r>
    </w:p>
    <w:p w14:paraId="2A76BD9B">
      <w:pPr>
        <w:pageBreakBefore w:val="0"/>
        <w:kinsoku/>
        <w:bidi w:val="0"/>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（2）本项目不接受</w:t>
      </w:r>
      <w:r>
        <w:rPr>
          <w:rFonts w:hint="eastAsia" w:ascii="仿宋" w:hAnsi="仿宋" w:eastAsia="仿宋" w:cs="仿宋"/>
          <w:b w:val="0"/>
          <w:bCs w:val="0"/>
          <w:color w:val="auto"/>
          <w:sz w:val="24"/>
          <w:szCs w:val="24"/>
          <w:highlight w:val="none"/>
          <w:lang w:val="en-US" w:eastAsia="zh-CN"/>
        </w:rPr>
        <w:t>进口</w:t>
      </w:r>
      <w:r>
        <w:rPr>
          <w:rFonts w:hint="eastAsia" w:ascii="仿宋" w:hAnsi="仿宋" w:eastAsia="仿宋" w:cs="仿宋"/>
          <w:b w:val="0"/>
          <w:bCs w:val="0"/>
          <w:color w:val="auto"/>
          <w:kern w:val="2"/>
          <w:sz w:val="24"/>
          <w:szCs w:val="24"/>
          <w:highlight w:val="none"/>
          <w:lang w:val="en-US" w:eastAsia="zh-CN"/>
        </w:rPr>
        <w:t>产品。</w:t>
      </w:r>
      <w:r>
        <w:rPr>
          <w:rFonts w:hint="eastAsia" w:ascii="仿宋" w:hAnsi="仿宋" w:eastAsia="仿宋" w:cs="仿宋"/>
          <w:color w:val="auto"/>
          <w:sz w:val="24"/>
          <w:szCs w:val="24"/>
          <w:highlight w:val="none"/>
          <w:lang w:val="en-US" w:eastAsia="zh-CN"/>
        </w:rPr>
        <w:br w:type="page"/>
      </w:r>
    </w:p>
    <w:p w14:paraId="3905C5D7">
      <w:pPr>
        <w:pageBreakBefore w:val="0"/>
        <w:kinsoku/>
        <w:bidi w:val="0"/>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rPr>
        <w:t>资格</w:t>
      </w:r>
      <w:r>
        <w:rPr>
          <w:rFonts w:hint="eastAsia" w:ascii="仿宋" w:hAnsi="仿宋" w:eastAsia="仿宋" w:cs="仿宋"/>
          <w:b/>
          <w:bCs/>
          <w:color w:val="auto"/>
          <w:kern w:val="0"/>
          <w:sz w:val="24"/>
          <w:szCs w:val="24"/>
          <w:highlight w:val="none"/>
          <w:lang w:eastAsia="zh-CN"/>
        </w:rPr>
        <w:t>其他</w:t>
      </w:r>
      <w:r>
        <w:rPr>
          <w:rFonts w:hint="eastAsia" w:ascii="仿宋" w:hAnsi="仿宋" w:eastAsia="仿宋" w:cs="仿宋"/>
          <w:b/>
          <w:bCs/>
          <w:color w:val="auto"/>
          <w:kern w:val="0"/>
          <w:sz w:val="24"/>
          <w:szCs w:val="24"/>
          <w:highlight w:val="none"/>
        </w:rPr>
        <w:t>部分</w:t>
      </w:r>
    </w:p>
    <w:p w14:paraId="18717A32">
      <w:pPr>
        <w:pStyle w:val="10"/>
        <w:pageBreakBefore w:val="0"/>
        <w:kinsoku/>
        <w:bidi w:val="0"/>
        <w:spacing w:line="360" w:lineRule="auto"/>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（招标文件中规定的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认为应该提供的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资料）</w:t>
      </w:r>
    </w:p>
    <w:p w14:paraId="190886D3">
      <w:pPr>
        <w:pStyle w:val="10"/>
        <w:pageBreakBefore w:val="0"/>
        <w:kinsoku/>
        <w:bidi w:val="0"/>
        <w:spacing w:line="360" w:lineRule="auto"/>
        <w:ind w:firstLine="0"/>
        <w:rPr>
          <w:rFonts w:hint="eastAsia" w:ascii="仿宋" w:hAnsi="仿宋" w:eastAsia="仿宋" w:cs="仿宋"/>
          <w:color w:val="auto"/>
          <w:highlight w:val="none"/>
        </w:rPr>
      </w:pPr>
    </w:p>
    <w:bookmarkEnd w:id="702"/>
    <w:p w14:paraId="3537C461">
      <w:pPr>
        <w:pStyle w:val="10"/>
        <w:pageBreakBefore w:val="0"/>
        <w:kinsoku/>
        <w:bidi w:val="0"/>
        <w:spacing w:line="360" w:lineRule="auto"/>
        <w:ind w:firstLine="0"/>
        <w:rPr>
          <w:rFonts w:hint="eastAsia" w:ascii="仿宋" w:hAnsi="仿宋" w:eastAsia="仿宋" w:cs="仿宋"/>
          <w:color w:val="auto"/>
          <w:highlight w:val="none"/>
        </w:rPr>
      </w:pPr>
    </w:p>
    <w:p w14:paraId="4EF0AF17">
      <w:pPr>
        <w:pStyle w:val="10"/>
        <w:pageBreakBefore w:val="0"/>
        <w:kinsoku/>
        <w:bidi w:val="0"/>
        <w:spacing w:line="360" w:lineRule="auto"/>
        <w:ind w:firstLine="0"/>
        <w:rPr>
          <w:rFonts w:hint="eastAsia" w:ascii="仿宋" w:hAnsi="仿宋" w:eastAsia="仿宋" w:cs="仿宋"/>
          <w:color w:val="auto"/>
          <w:highlight w:val="none"/>
        </w:rPr>
      </w:pPr>
    </w:p>
    <w:p w14:paraId="60D706E3">
      <w:pPr>
        <w:pStyle w:val="10"/>
        <w:pageBreakBefore w:val="0"/>
        <w:kinsoku/>
        <w:bidi w:val="0"/>
        <w:spacing w:line="360" w:lineRule="auto"/>
        <w:ind w:firstLine="0"/>
        <w:rPr>
          <w:rFonts w:hint="eastAsia" w:ascii="仿宋" w:hAnsi="仿宋" w:eastAsia="仿宋" w:cs="仿宋"/>
          <w:color w:val="auto"/>
          <w:highlight w:val="none"/>
        </w:rPr>
      </w:pPr>
    </w:p>
    <w:p w14:paraId="2D0955C8">
      <w:pPr>
        <w:pStyle w:val="10"/>
        <w:pageBreakBefore w:val="0"/>
        <w:kinsoku/>
        <w:bidi w:val="0"/>
        <w:spacing w:line="360" w:lineRule="auto"/>
        <w:ind w:firstLine="0"/>
        <w:rPr>
          <w:rFonts w:hint="eastAsia" w:ascii="仿宋" w:hAnsi="仿宋" w:eastAsia="仿宋" w:cs="仿宋"/>
          <w:color w:val="auto"/>
          <w:highlight w:val="none"/>
        </w:rPr>
      </w:pPr>
    </w:p>
    <w:p w14:paraId="4E5E0E26">
      <w:pPr>
        <w:pStyle w:val="10"/>
        <w:pageBreakBefore w:val="0"/>
        <w:kinsoku/>
        <w:bidi w:val="0"/>
        <w:spacing w:line="360" w:lineRule="auto"/>
        <w:ind w:firstLine="0"/>
        <w:rPr>
          <w:rFonts w:hint="eastAsia" w:ascii="仿宋" w:hAnsi="仿宋" w:eastAsia="仿宋" w:cs="仿宋"/>
          <w:color w:val="auto"/>
          <w:highlight w:val="none"/>
        </w:rPr>
      </w:pPr>
    </w:p>
    <w:p w14:paraId="51D60253">
      <w:pPr>
        <w:pStyle w:val="10"/>
        <w:pageBreakBefore w:val="0"/>
        <w:kinsoku/>
        <w:bidi w:val="0"/>
        <w:spacing w:line="360" w:lineRule="auto"/>
        <w:ind w:firstLine="0"/>
        <w:rPr>
          <w:rFonts w:hint="eastAsia" w:ascii="仿宋" w:hAnsi="仿宋" w:eastAsia="仿宋" w:cs="仿宋"/>
          <w:color w:val="auto"/>
          <w:highlight w:val="none"/>
        </w:rPr>
      </w:pPr>
    </w:p>
    <w:p w14:paraId="633B49F0">
      <w:pPr>
        <w:pStyle w:val="10"/>
        <w:pageBreakBefore w:val="0"/>
        <w:kinsoku/>
        <w:bidi w:val="0"/>
        <w:spacing w:line="360" w:lineRule="auto"/>
        <w:ind w:firstLine="0"/>
        <w:rPr>
          <w:rFonts w:hint="eastAsia" w:ascii="仿宋" w:hAnsi="仿宋" w:eastAsia="仿宋" w:cs="仿宋"/>
          <w:color w:val="auto"/>
          <w:highlight w:val="none"/>
        </w:rPr>
      </w:pPr>
    </w:p>
    <w:p w14:paraId="6AF184C1">
      <w:pPr>
        <w:pStyle w:val="10"/>
        <w:pageBreakBefore w:val="0"/>
        <w:kinsoku/>
        <w:bidi w:val="0"/>
        <w:spacing w:line="360" w:lineRule="auto"/>
        <w:ind w:firstLine="0"/>
        <w:rPr>
          <w:rFonts w:hint="eastAsia" w:ascii="仿宋" w:hAnsi="仿宋" w:eastAsia="仿宋" w:cs="仿宋"/>
          <w:color w:val="auto"/>
          <w:highlight w:val="none"/>
        </w:rPr>
      </w:pPr>
    </w:p>
    <w:p w14:paraId="0B2F2EDF">
      <w:pPr>
        <w:pStyle w:val="10"/>
        <w:pageBreakBefore w:val="0"/>
        <w:kinsoku/>
        <w:bidi w:val="0"/>
        <w:spacing w:line="360" w:lineRule="auto"/>
        <w:ind w:firstLine="0"/>
        <w:rPr>
          <w:rFonts w:hint="eastAsia" w:ascii="仿宋" w:hAnsi="仿宋" w:eastAsia="仿宋" w:cs="仿宋"/>
          <w:color w:val="auto"/>
          <w:highlight w:val="none"/>
        </w:rPr>
      </w:pPr>
    </w:p>
    <w:p w14:paraId="43C1A554">
      <w:pPr>
        <w:pStyle w:val="10"/>
        <w:pageBreakBefore w:val="0"/>
        <w:kinsoku/>
        <w:bidi w:val="0"/>
        <w:spacing w:line="360" w:lineRule="auto"/>
        <w:ind w:firstLine="0"/>
        <w:rPr>
          <w:rFonts w:hint="eastAsia" w:ascii="仿宋" w:hAnsi="仿宋" w:eastAsia="仿宋" w:cs="仿宋"/>
          <w:color w:val="auto"/>
          <w:highlight w:val="none"/>
        </w:rPr>
      </w:pPr>
    </w:p>
    <w:p w14:paraId="33F20816">
      <w:pPr>
        <w:pStyle w:val="10"/>
        <w:pageBreakBefore w:val="0"/>
        <w:kinsoku/>
        <w:bidi w:val="0"/>
        <w:spacing w:line="360" w:lineRule="auto"/>
        <w:ind w:firstLine="0"/>
        <w:rPr>
          <w:rFonts w:hint="eastAsia" w:ascii="仿宋" w:hAnsi="仿宋" w:eastAsia="仿宋" w:cs="仿宋"/>
          <w:color w:val="auto"/>
          <w:highlight w:val="none"/>
        </w:rPr>
      </w:pPr>
    </w:p>
    <w:p w14:paraId="68BC5F72">
      <w:pPr>
        <w:pStyle w:val="10"/>
        <w:pageBreakBefore w:val="0"/>
        <w:kinsoku/>
        <w:bidi w:val="0"/>
        <w:spacing w:line="360" w:lineRule="auto"/>
        <w:ind w:firstLine="0"/>
        <w:rPr>
          <w:rFonts w:hint="eastAsia" w:ascii="仿宋" w:hAnsi="仿宋" w:eastAsia="仿宋" w:cs="仿宋"/>
          <w:color w:val="auto"/>
          <w:highlight w:val="none"/>
        </w:rPr>
      </w:pPr>
    </w:p>
    <w:p w14:paraId="6DC6654D">
      <w:pPr>
        <w:pStyle w:val="10"/>
        <w:pageBreakBefore w:val="0"/>
        <w:kinsoku/>
        <w:bidi w:val="0"/>
        <w:spacing w:line="360" w:lineRule="auto"/>
        <w:ind w:firstLine="0"/>
        <w:rPr>
          <w:rFonts w:hint="eastAsia" w:ascii="仿宋" w:hAnsi="仿宋" w:eastAsia="仿宋" w:cs="仿宋"/>
          <w:color w:val="auto"/>
          <w:highlight w:val="none"/>
        </w:rPr>
      </w:pPr>
    </w:p>
    <w:p w14:paraId="15410181">
      <w:pPr>
        <w:pStyle w:val="10"/>
        <w:pageBreakBefore w:val="0"/>
        <w:kinsoku/>
        <w:bidi w:val="0"/>
        <w:spacing w:line="360" w:lineRule="auto"/>
        <w:ind w:firstLine="0"/>
        <w:rPr>
          <w:rFonts w:hint="eastAsia" w:ascii="仿宋" w:hAnsi="仿宋" w:eastAsia="仿宋" w:cs="仿宋"/>
          <w:color w:val="auto"/>
          <w:highlight w:val="none"/>
        </w:rPr>
      </w:pPr>
    </w:p>
    <w:p w14:paraId="752A7E9E">
      <w:pPr>
        <w:pStyle w:val="10"/>
        <w:pageBreakBefore w:val="0"/>
        <w:kinsoku/>
        <w:bidi w:val="0"/>
        <w:spacing w:line="360" w:lineRule="auto"/>
        <w:ind w:firstLine="0"/>
        <w:rPr>
          <w:rFonts w:hint="eastAsia" w:ascii="仿宋" w:hAnsi="仿宋" w:eastAsia="仿宋" w:cs="仿宋"/>
          <w:color w:val="auto"/>
          <w:highlight w:val="none"/>
        </w:rPr>
      </w:pPr>
    </w:p>
    <w:p w14:paraId="0693CEDE">
      <w:pPr>
        <w:pStyle w:val="10"/>
        <w:pageBreakBefore w:val="0"/>
        <w:kinsoku/>
        <w:bidi w:val="0"/>
        <w:spacing w:line="360" w:lineRule="auto"/>
        <w:ind w:firstLine="0"/>
        <w:rPr>
          <w:rFonts w:hint="eastAsia" w:ascii="仿宋" w:hAnsi="仿宋" w:eastAsia="仿宋" w:cs="仿宋"/>
          <w:color w:val="auto"/>
          <w:highlight w:val="none"/>
        </w:rPr>
      </w:pPr>
    </w:p>
    <w:p w14:paraId="45FC0D0D">
      <w:pPr>
        <w:pStyle w:val="10"/>
        <w:pageBreakBefore w:val="0"/>
        <w:kinsoku/>
        <w:bidi w:val="0"/>
        <w:spacing w:line="360" w:lineRule="auto"/>
        <w:ind w:firstLine="0"/>
        <w:rPr>
          <w:rFonts w:hint="eastAsia" w:ascii="仿宋" w:hAnsi="仿宋" w:eastAsia="仿宋" w:cs="仿宋"/>
          <w:color w:val="auto"/>
          <w:highlight w:val="none"/>
        </w:rPr>
      </w:pPr>
    </w:p>
    <w:p w14:paraId="767B7E6C">
      <w:pPr>
        <w:pStyle w:val="10"/>
        <w:pageBreakBefore w:val="0"/>
        <w:kinsoku/>
        <w:bidi w:val="0"/>
        <w:spacing w:line="360" w:lineRule="auto"/>
        <w:ind w:firstLine="0"/>
        <w:rPr>
          <w:rFonts w:hint="eastAsia" w:ascii="仿宋" w:hAnsi="仿宋" w:eastAsia="仿宋" w:cs="仿宋"/>
          <w:color w:val="auto"/>
          <w:highlight w:val="none"/>
        </w:rPr>
      </w:pPr>
    </w:p>
    <w:p w14:paraId="6F33A60B">
      <w:pPr>
        <w:pStyle w:val="10"/>
        <w:pageBreakBefore w:val="0"/>
        <w:kinsoku/>
        <w:bidi w:val="0"/>
        <w:spacing w:line="360" w:lineRule="auto"/>
        <w:ind w:firstLine="0"/>
        <w:rPr>
          <w:rFonts w:hint="eastAsia" w:ascii="仿宋" w:hAnsi="仿宋" w:eastAsia="仿宋" w:cs="仿宋"/>
          <w:color w:val="auto"/>
          <w:highlight w:val="none"/>
        </w:rPr>
      </w:pPr>
    </w:p>
    <w:p w14:paraId="4A25DAD1">
      <w:pPr>
        <w:pStyle w:val="10"/>
        <w:pageBreakBefore w:val="0"/>
        <w:kinsoku/>
        <w:bidi w:val="0"/>
        <w:spacing w:line="360" w:lineRule="auto"/>
        <w:ind w:firstLine="0"/>
        <w:rPr>
          <w:rFonts w:hint="eastAsia" w:ascii="仿宋" w:hAnsi="仿宋" w:eastAsia="仿宋" w:cs="仿宋"/>
          <w:color w:val="auto"/>
          <w:highlight w:val="none"/>
        </w:rPr>
      </w:pPr>
    </w:p>
    <w:p w14:paraId="1E3C6965">
      <w:pPr>
        <w:pStyle w:val="10"/>
        <w:pageBreakBefore w:val="0"/>
        <w:kinsoku/>
        <w:bidi w:val="0"/>
        <w:spacing w:line="360" w:lineRule="auto"/>
        <w:ind w:firstLine="0"/>
        <w:rPr>
          <w:rFonts w:hint="eastAsia" w:ascii="仿宋" w:hAnsi="仿宋" w:eastAsia="仿宋" w:cs="仿宋"/>
          <w:color w:val="auto"/>
          <w:highlight w:val="none"/>
        </w:rPr>
      </w:pPr>
    </w:p>
    <w:p w14:paraId="4A51E7AD">
      <w:pPr>
        <w:pStyle w:val="10"/>
        <w:pageBreakBefore w:val="0"/>
        <w:kinsoku/>
        <w:bidi w:val="0"/>
        <w:spacing w:line="360" w:lineRule="auto"/>
        <w:ind w:firstLine="0"/>
        <w:rPr>
          <w:rFonts w:hint="eastAsia" w:ascii="仿宋" w:hAnsi="仿宋" w:eastAsia="仿宋" w:cs="仿宋"/>
          <w:color w:val="auto"/>
          <w:highlight w:val="none"/>
        </w:rPr>
      </w:pPr>
    </w:p>
    <w:p w14:paraId="0B847CF5">
      <w:pPr>
        <w:pStyle w:val="10"/>
        <w:pageBreakBefore w:val="0"/>
        <w:kinsoku/>
        <w:bidi w:val="0"/>
        <w:spacing w:line="360" w:lineRule="auto"/>
        <w:ind w:firstLine="0"/>
        <w:rPr>
          <w:rFonts w:hint="eastAsia" w:ascii="仿宋" w:hAnsi="仿宋" w:eastAsia="仿宋" w:cs="仿宋"/>
          <w:color w:val="auto"/>
          <w:highlight w:val="none"/>
        </w:rPr>
      </w:pPr>
    </w:p>
    <w:p w14:paraId="577416CB">
      <w:pPr>
        <w:pStyle w:val="10"/>
        <w:pageBreakBefore w:val="0"/>
        <w:kinsoku/>
        <w:bidi w:val="0"/>
        <w:spacing w:line="360" w:lineRule="auto"/>
        <w:ind w:firstLine="0"/>
        <w:rPr>
          <w:rFonts w:hint="eastAsia" w:ascii="仿宋" w:hAnsi="仿宋" w:eastAsia="仿宋" w:cs="仿宋"/>
          <w:color w:val="auto"/>
          <w:highlight w:val="none"/>
        </w:rPr>
      </w:pPr>
    </w:p>
    <w:p w14:paraId="58CE12D0">
      <w:pPr>
        <w:pStyle w:val="10"/>
        <w:pageBreakBefore w:val="0"/>
        <w:kinsoku/>
        <w:bidi w:val="0"/>
        <w:spacing w:line="360" w:lineRule="auto"/>
        <w:ind w:firstLine="0"/>
        <w:rPr>
          <w:rFonts w:hint="eastAsia" w:ascii="仿宋" w:hAnsi="仿宋" w:eastAsia="仿宋" w:cs="仿宋"/>
          <w:color w:val="auto"/>
          <w:highlight w:val="none"/>
        </w:rPr>
      </w:pPr>
    </w:p>
    <w:p w14:paraId="0DC364E2">
      <w:pPr>
        <w:pStyle w:val="10"/>
        <w:pageBreakBefore w:val="0"/>
        <w:kinsoku/>
        <w:bidi w:val="0"/>
        <w:spacing w:line="360" w:lineRule="auto"/>
        <w:ind w:firstLine="0"/>
        <w:rPr>
          <w:rFonts w:hint="eastAsia" w:ascii="仿宋" w:hAnsi="仿宋" w:eastAsia="仿宋" w:cs="仿宋"/>
          <w:color w:val="auto"/>
          <w:highlight w:val="none"/>
        </w:rPr>
      </w:pPr>
    </w:p>
    <w:p w14:paraId="59BE49B6">
      <w:pPr>
        <w:pStyle w:val="3"/>
        <w:pageBreakBefore w:val="0"/>
        <w:kinsoku/>
        <w:bidi w:val="0"/>
        <w:spacing w:after="0" w:line="360" w:lineRule="auto"/>
        <w:jc w:val="center"/>
        <w:rPr>
          <w:rFonts w:hint="eastAsia" w:ascii="仿宋" w:hAnsi="仿宋" w:eastAsia="仿宋" w:cs="仿宋"/>
          <w:color w:val="auto"/>
          <w:sz w:val="28"/>
          <w:szCs w:val="28"/>
          <w:highlight w:val="none"/>
        </w:rPr>
      </w:pPr>
      <w:bookmarkStart w:id="704" w:name="_Toc17012"/>
      <w:bookmarkStart w:id="705" w:name="_Toc25401"/>
      <w:bookmarkStart w:id="706" w:name="_Toc7292"/>
      <w:bookmarkStart w:id="707" w:name="_Toc25252"/>
      <w:bookmarkStart w:id="708" w:name="_Toc18148"/>
      <w:bookmarkStart w:id="709" w:name="_Toc5443"/>
      <w:bookmarkStart w:id="710" w:name="_Toc27581"/>
      <w:bookmarkStart w:id="711" w:name="_Toc19907"/>
      <w:bookmarkStart w:id="712" w:name="_Toc7370"/>
      <w:bookmarkStart w:id="713" w:name="_Toc10804"/>
      <w:bookmarkStart w:id="714" w:name="_Toc31863"/>
      <w:bookmarkStart w:id="715" w:name="_Toc20922"/>
      <w:r>
        <w:rPr>
          <w:rFonts w:hint="eastAsia" w:ascii="仿宋" w:hAnsi="仿宋" w:eastAsia="仿宋" w:cs="仿宋"/>
          <w:color w:val="auto"/>
          <w:sz w:val="28"/>
          <w:szCs w:val="28"/>
          <w:highlight w:val="none"/>
        </w:rPr>
        <w:t>二、技术部分</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4E44CFAC">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16" w:name="_Toc103723264"/>
      <w:bookmarkStart w:id="717" w:name="_Toc18589"/>
      <w:bookmarkStart w:id="718" w:name="_Toc89638403"/>
      <w:bookmarkStart w:id="719" w:name="_Toc12864"/>
      <w:bookmarkStart w:id="720" w:name="_Toc71734752"/>
      <w:r>
        <w:rPr>
          <w:rFonts w:hint="eastAsia" w:ascii="仿宋" w:hAnsi="仿宋" w:eastAsia="仿宋" w:cs="仿宋"/>
          <w:color w:val="auto"/>
          <w:sz w:val="24"/>
          <w:szCs w:val="24"/>
          <w:highlight w:val="none"/>
        </w:rPr>
        <w:t>1.技术指标偏离表</w:t>
      </w:r>
      <w:bookmarkEnd w:id="716"/>
      <w:bookmarkEnd w:id="717"/>
      <w:bookmarkEnd w:id="718"/>
      <w:bookmarkEnd w:id="719"/>
      <w:bookmarkEnd w:id="720"/>
    </w:p>
    <w:p w14:paraId="0F61F728">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6C752F39">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373AA9B4">
      <w:pPr>
        <w:pageBreakBefore w:val="0"/>
        <w:kinsoku/>
        <w:bidi w:val="0"/>
        <w:spacing w:line="360" w:lineRule="auto"/>
        <w:jc w:val="left"/>
        <w:rPr>
          <w:rFonts w:hint="eastAsia"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30"/>
        <w:gridCol w:w="1740"/>
        <w:gridCol w:w="1856"/>
        <w:gridCol w:w="1483"/>
        <w:gridCol w:w="1473"/>
        <w:gridCol w:w="1799"/>
      </w:tblGrid>
      <w:tr w14:paraId="7744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67FF6BF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67" w:type="pct"/>
            <w:noWrap w:val="0"/>
            <w:vAlign w:val="center"/>
          </w:tcPr>
          <w:p w14:paraId="07EA482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874" w:type="pct"/>
            <w:noWrap w:val="0"/>
            <w:vAlign w:val="center"/>
          </w:tcPr>
          <w:p w14:paraId="5D03F2F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w:t>
            </w:r>
          </w:p>
        </w:tc>
        <w:tc>
          <w:tcPr>
            <w:tcW w:w="932" w:type="pct"/>
            <w:noWrap w:val="0"/>
            <w:vAlign w:val="center"/>
          </w:tcPr>
          <w:p w14:paraId="3BEBE16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p>
        </w:tc>
        <w:tc>
          <w:tcPr>
            <w:tcW w:w="745" w:type="pct"/>
            <w:noWrap w:val="0"/>
            <w:vAlign w:val="center"/>
          </w:tcPr>
          <w:p w14:paraId="545A921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740" w:type="pct"/>
            <w:noWrap w:val="0"/>
            <w:vAlign w:val="center"/>
          </w:tcPr>
          <w:p w14:paraId="7D25242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903" w:type="pct"/>
            <w:noWrap w:val="0"/>
            <w:vAlign w:val="center"/>
          </w:tcPr>
          <w:p w14:paraId="12C7FDD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支持资料</w:t>
            </w:r>
          </w:p>
          <w:p w14:paraId="7C48B6C2">
            <w:pPr>
              <w:keepNext w:val="0"/>
              <w:keepLines w:val="0"/>
              <w:pageBreakBefore w:val="0"/>
              <w:suppressLineNumbers w:val="0"/>
              <w:kinsoku/>
              <w:bidi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所在页码</w:t>
            </w:r>
          </w:p>
        </w:tc>
      </w:tr>
      <w:tr w14:paraId="217E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0761352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467" w:type="pct"/>
            <w:noWrap w:val="0"/>
            <w:vAlign w:val="center"/>
          </w:tcPr>
          <w:p w14:paraId="70D5E0D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874" w:type="pct"/>
            <w:noWrap w:val="0"/>
            <w:vAlign w:val="center"/>
          </w:tcPr>
          <w:p w14:paraId="3794D6A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32" w:type="pct"/>
            <w:noWrap w:val="0"/>
            <w:vAlign w:val="center"/>
          </w:tcPr>
          <w:p w14:paraId="4106C6A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5" w:type="pct"/>
            <w:noWrap w:val="0"/>
            <w:vAlign w:val="center"/>
          </w:tcPr>
          <w:p w14:paraId="587BA98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0" w:type="pct"/>
            <w:noWrap w:val="0"/>
            <w:vAlign w:val="center"/>
          </w:tcPr>
          <w:p w14:paraId="5F63B13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03" w:type="pct"/>
            <w:noWrap w:val="0"/>
            <w:vAlign w:val="center"/>
          </w:tcPr>
          <w:p w14:paraId="01FBFDF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7611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1B04A5C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467" w:type="pct"/>
            <w:noWrap w:val="0"/>
            <w:vAlign w:val="center"/>
          </w:tcPr>
          <w:p w14:paraId="1DBDA6D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874" w:type="pct"/>
            <w:noWrap w:val="0"/>
            <w:vAlign w:val="center"/>
          </w:tcPr>
          <w:p w14:paraId="62336F4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32" w:type="pct"/>
            <w:noWrap w:val="0"/>
            <w:vAlign w:val="center"/>
          </w:tcPr>
          <w:p w14:paraId="0478166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5" w:type="pct"/>
            <w:noWrap w:val="0"/>
            <w:vAlign w:val="center"/>
          </w:tcPr>
          <w:p w14:paraId="41B528C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0" w:type="pct"/>
            <w:noWrap w:val="0"/>
            <w:vAlign w:val="center"/>
          </w:tcPr>
          <w:p w14:paraId="348FCBE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03" w:type="pct"/>
            <w:noWrap w:val="0"/>
            <w:vAlign w:val="center"/>
          </w:tcPr>
          <w:p w14:paraId="054D60D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19A5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72CD49D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467" w:type="pct"/>
            <w:noWrap w:val="0"/>
            <w:vAlign w:val="center"/>
          </w:tcPr>
          <w:p w14:paraId="07A7F8D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874" w:type="pct"/>
            <w:noWrap w:val="0"/>
            <w:vAlign w:val="center"/>
          </w:tcPr>
          <w:p w14:paraId="58D504F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32" w:type="pct"/>
            <w:noWrap w:val="0"/>
            <w:vAlign w:val="center"/>
          </w:tcPr>
          <w:p w14:paraId="64FC1AA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5" w:type="pct"/>
            <w:noWrap w:val="0"/>
            <w:vAlign w:val="center"/>
          </w:tcPr>
          <w:p w14:paraId="35D39D1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0" w:type="pct"/>
            <w:noWrap w:val="0"/>
            <w:vAlign w:val="center"/>
          </w:tcPr>
          <w:p w14:paraId="07BD5A6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03" w:type="pct"/>
            <w:noWrap w:val="0"/>
            <w:vAlign w:val="center"/>
          </w:tcPr>
          <w:p w14:paraId="5F080B7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2763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34D2713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467" w:type="pct"/>
            <w:noWrap w:val="0"/>
            <w:vAlign w:val="center"/>
          </w:tcPr>
          <w:p w14:paraId="094C4A7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874" w:type="pct"/>
            <w:noWrap w:val="0"/>
            <w:vAlign w:val="center"/>
          </w:tcPr>
          <w:p w14:paraId="07B67B5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32" w:type="pct"/>
            <w:noWrap w:val="0"/>
            <w:vAlign w:val="center"/>
          </w:tcPr>
          <w:p w14:paraId="0D192EE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5" w:type="pct"/>
            <w:noWrap w:val="0"/>
            <w:vAlign w:val="center"/>
          </w:tcPr>
          <w:p w14:paraId="0970D9E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0" w:type="pct"/>
            <w:noWrap w:val="0"/>
            <w:vAlign w:val="center"/>
          </w:tcPr>
          <w:p w14:paraId="1D9F0A6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03" w:type="pct"/>
            <w:noWrap w:val="0"/>
            <w:vAlign w:val="center"/>
          </w:tcPr>
          <w:p w14:paraId="4E57572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58F3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6" w:type="pct"/>
            <w:noWrap w:val="0"/>
            <w:vAlign w:val="center"/>
          </w:tcPr>
          <w:p w14:paraId="69CF3B8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467" w:type="pct"/>
            <w:noWrap w:val="0"/>
            <w:vAlign w:val="center"/>
          </w:tcPr>
          <w:p w14:paraId="302CE75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874" w:type="pct"/>
            <w:noWrap w:val="0"/>
            <w:vAlign w:val="center"/>
          </w:tcPr>
          <w:p w14:paraId="714B485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32" w:type="pct"/>
            <w:noWrap w:val="0"/>
            <w:vAlign w:val="center"/>
          </w:tcPr>
          <w:p w14:paraId="66CA178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5" w:type="pct"/>
            <w:noWrap w:val="0"/>
            <w:vAlign w:val="center"/>
          </w:tcPr>
          <w:p w14:paraId="7783A28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740" w:type="pct"/>
            <w:noWrap w:val="0"/>
            <w:vAlign w:val="center"/>
          </w:tcPr>
          <w:p w14:paraId="2127D35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903" w:type="pct"/>
            <w:noWrap w:val="0"/>
            <w:vAlign w:val="center"/>
          </w:tcPr>
          <w:p w14:paraId="2BC7F61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14:paraId="260051C1">
      <w:pPr>
        <w:pageBreakBefore w:val="0"/>
        <w:kinsoku/>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3A924FFE">
      <w:pPr>
        <w:pageBreakBefore w:val="0"/>
        <w:kinsoku/>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应按所投服务（产品）的实际技术参数，逐条对应招标文件的第六章“采购需求及要求”中要求的技术规范如实、完整、准确的填写该表，若由于</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的疏忽大意或未能完整、如实填写，导致的一切后果由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自行承担。</w:t>
      </w:r>
    </w:p>
    <w:p w14:paraId="05563E52">
      <w:pPr>
        <w:pageBreakBefore w:val="0"/>
        <w:kinsoku/>
        <w:bidi w:val="0"/>
        <w:spacing w:line="360" w:lineRule="auto"/>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除如实填写技术指标偏离表外，投标文件中必须提供最新技术支持资料支持参数技术指标偏离表的应答，若投标文件中提供的支持资料参数与技术指标偏离表应答不符或无技术资料支持该应答，视为不响应该项技术参数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支持资料包括但不限于产品彩页、技术白皮书、检测报告等。</w:t>
      </w:r>
    </w:p>
    <w:p w14:paraId="73C860E7">
      <w:pPr>
        <w:pageBreakBefore w:val="0"/>
        <w:kinsoku/>
        <w:bidi w:val="0"/>
        <w:spacing w:line="360" w:lineRule="auto"/>
        <w:rPr>
          <w:rFonts w:hint="eastAsia" w:ascii="仿宋" w:hAnsi="仿宋" w:eastAsia="仿宋" w:cs="仿宋"/>
          <w:color w:val="auto"/>
          <w:highlight w:val="none"/>
        </w:rPr>
      </w:pPr>
    </w:p>
    <w:p w14:paraId="73DA56F9">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45F72BE9">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4EB91B34">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3EB96786">
      <w:pPr>
        <w:pageBreakBefore w:val="0"/>
        <w:kinsoku/>
        <w:bidi w:val="0"/>
        <w:spacing w:line="360" w:lineRule="auto"/>
        <w:rPr>
          <w:rFonts w:hint="eastAsia" w:ascii="仿宋" w:hAnsi="仿宋" w:eastAsia="仿宋" w:cs="仿宋"/>
          <w:color w:val="auto"/>
          <w:highlight w:val="none"/>
        </w:rPr>
      </w:pPr>
    </w:p>
    <w:p w14:paraId="52BF8FE6">
      <w:pPr>
        <w:pageBreakBefore w:val="0"/>
        <w:kinsoku/>
        <w:bidi w:val="0"/>
        <w:spacing w:line="360" w:lineRule="auto"/>
        <w:rPr>
          <w:rFonts w:hint="eastAsia" w:ascii="仿宋" w:hAnsi="仿宋" w:eastAsia="仿宋" w:cs="仿宋"/>
          <w:color w:val="auto"/>
          <w:highlight w:val="none"/>
        </w:rPr>
      </w:pPr>
    </w:p>
    <w:p w14:paraId="3ABDF90E">
      <w:pPr>
        <w:pageBreakBefore w:val="0"/>
        <w:kinsoku/>
        <w:bidi w:val="0"/>
        <w:spacing w:line="360" w:lineRule="auto"/>
        <w:rPr>
          <w:rFonts w:hint="eastAsia" w:ascii="仿宋" w:hAnsi="仿宋" w:eastAsia="仿宋" w:cs="仿宋"/>
          <w:color w:val="auto"/>
          <w:highlight w:val="none"/>
        </w:rPr>
      </w:pPr>
    </w:p>
    <w:p w14:paraId="0065457D">
      <w:pPr>
        <w:pageBreakBefore w:val="0"/>
        <w:kinsoku/>
        <w:bidi w:val="0"/>
        <w:spacing w:line="360" w:lineRule="auto"/>
        <w:rPr>
          <w:rFonts w:hint="eastAsia" w:ascii="仿宋" w:hAnsi="仿宋" w:eastAsia="仿宋" w:cs="仿宋"/>
          <w:color w:val="auto"/>
          <w:highlight w:val="none"/>
        </w:rPr>
      </w:pPr>
    </w:p>
    <w:p w14:paraId="1D86606A">
      <w:pPr>
        <w:pageBreakBefore w:val="0"/>
        <w:kinsoku/>
        <w:bidi w:val="0"/>
        <w:spacing w:line="360" w:lineRule="auto"/>
        <w:rPr>
          <w:rFonts w:hint="eastAsia" w:ascii="仿宋" w:hAnsi="仿宋" w:eastAsia="仿宋" w:cs="仿宋"/>
          <w:b w:val="0"/>
          <w:bCs/>
          <w:color w:val="auto"/>
          <w:highlight w:val="none"/>
          <w:lang w:eastAsia="zh-CN"/>
        </w:rPr>
        <w:sectPr>
          <w:headerReference r:id="rId7" w:type="first"/>
          <w:footerReference r:id="rId9" w:type="first"/>
          <w:headerReference r:id="rId6" w:type="default"/>
          <w:footerReference r:id="rId8" w:type="default"/>
          <w:pgSz w:w="11906" w:h="16838"/>
          <w:pgMar w:top="1440" w:right="1083" w:bottom="1440" w:left="1083" w:header="850" w:footer="1077" w:gutter="0"/>
          <w:pgBorders>
            <w:top w:val="none" w:sz="0" w:space="0"/>
            <w:left w:val="none" w:sz="0" w:space="0"/>
            <w:bottom w:val="none" w:sz="0" w:space="0"/>
            <w:right w:val="none" w:sz="0" w:space="0"/>
          </w:pgBorders>
          <w:pgNumType w:fmt="decimal" w:start="1" w:chapStyle="1"/>
          <w:cols w:space="720" w:num="1"/>
          <w:titlePg/>
          <w:rtlGutter w:val="0"/>
          <w:docGrid w:type="lines" w:linePitch="312" w:charSpace="0"/>
        </w:sectPr>
      </w:pPr>
    </w:p>
    <w:p w14:paraId="53A9E723">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21" w:name="_Toc89638406"/>
      <w:bookmarkStart w:id="722" w:name="_Toc71734757"/>
      <w:bookmarkStart w:id="723" w:name="_Toc32408"/>
      <w:bookmarkStart w:id="724" w:name="_Toc19286"/>
      <w:bookmarkStart w:id="725" w:name="_Hlk89638710"/>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.投标质量保证书</w:t>
      </w:r>
    </w:p>
    <w:p w14:paraId="5A5282D9">
      <w:pPr>
        <w:pageBreakBefore w:val="0"/>
        <w:kinsoku/>
        <w:bidi w:val="0"/>
        <w:spacing w:line="360" w:lineRule="auto"/>
        <w:rPr>
          <w:rFonts w:hint="eastAsia" w:ascii="仿宋" w:hAnsi="仿宋" w:eastAsia="仿宋" w:cs="仿宋"/>
          <w:color w:val="auto"/>
          <w:sz w:val="24"/>
          <w:highlight w:val="none"/>
        </w:rPr>
      </w:pPr>
    </w:p>
    <w:p w14:paraId="1C1DE956">
      <w:pPr>
        <w:pageBreakBefore w:val="0"/>
        <w:kinsoku/>
        <w:bidi w:val="0"/>
        <w:spacing w:after="12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昆明市第一人民医院</w:t>
      </w:r>
      <w:r>
        <w:rPr>
          <w:rFonts w:hint="eastAsia" w:ascii="仿宋" w:hAnsi="仿宋" w:eastAsia="仿宋" w:cs="仿宋"/>
          <w:b/>
          <w:color w:val="auto"/>
          <w:sz w:val="24"/>
          <w:highlight w:val="none"/>
        </w:rPr>
        <w:t>/云南中招招标有限公司：</w:t>
      </w:r>
    </w:p>
    <w:p w14:paraId="18E85A64">
      <w:pPr>
        <w:pageBreakBefore w:val="0"/>
        <w:kinsoku/>
        <w:bidi w:val="0"/>
        <w:spacing w:before="60" w:after="60" w:line="360" w:lineRule="auto"/>
        <w:ind w:firstLine="510"/>
        <w:rPr>
          <w:rFonts w:hint="eastAsia" w:ascii="仿宋" w:hAnsi="仿宋" w:eastAsia="仿宋" w:cs="仿宋"/>
          <w:color w:val="auto"/>
          <w:sz w:val="24"/>
          <w:highlight w:val="none"/>
        </w:rPr>
      </w:pPr>
    </w:p>
    <w:p w14:paraId="0DF80631">
      <w:pPr>
        <w:pageBreakBefore w:val="0"/>
        <w:kinsoku/>
        <w:bidi w:val="0"/>
        <w:spacing w:before="60" w:after="60" w:line="360" w:lineRule="auto"/>
        <w:ind w:firstLine="510"/>
        <w:rPr>
          <w:rFonts w:hint="eastAsia" w:ascii="仿宋" w:hAnsi="仿宋" w:eastAsia="仿宋" w:cs="仿宋"/>
          <w:b/>
          <w:bCs/>
          <w:color w:val="auto"/>
          <w:sz w:val="24"/>
          <w:highlight w:val="none"/>
          <w:u w:val="single"/>
        </w:rPr>
      </w:pPr>
      <w:r>
        <w:rPr>
          <w:rFonts w:hint="eastAsia" w:ascii="仿宋" w:hAnsi="仿宋" w:eastAsia="仿宋" w:cs="仿宋"/>
          <w:color w:val="auto"/>
          <w:sz w:val="24"/>
          <w:highlight w:val="none"/>
        </w:rPr>
        <w:t>本书作为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昆明市第一人民医院</w:t>
      </w:r>
      <w:r>
        <w:rPr>
          <w:rFonts w:hint="eastAsia" w:ascii="仿宋" w:hAnsi="仿宋" w:eastAsia="仿宋" w:cs="仿宋"/>
          <w:color w:val="auto"/>
          <w:sz w:val="24"/>
          <w:highlight w:val="none"/>
        </w:rPr>
        <w:t>委托贵方组织的项目编号为</w:t>
      </w:r>
      <w:r>
        <w:rPr>
          <w:rFonts w:hint="eastAsia" w:ascii="仿宋" w:hAnsi="仿宋" w:eastAsia="仿宋" w:cs="仿宋"/>
          <w:b/>
          <w:bCs/>
          <w:color w:val="auto"/>
          <w:sz w:val="24"/>
          <w:szCs w:val="36"/>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b/>
          <w:bCs/>
          <w:color w:val="auto"/>
          <w:sz w:val="24"/>
          <w:highlight w:val="none"/>
          <w:u w:val="single"/>
        </w:rPr>
        <w:t>（项目名称）</w:t>
      </w:r>
      <w:r>
        <w:rPr>
          <w:rFonts w:hint="eastAsia" w:ascii="仿宋" w:hAnsi="仿宋" w:eastAsia="仿宋" w:cs="仿宋"/>
          <w:b/>
          <w:bCs/>
          <w:color w:val="auto"/>
          <w:sz w:val="24"/>
          <w:szCs w:val="36"/>
          <w:highlight w:val="none"/>
          <w:u w:val="single"/>
        </w:rPr>
        <w:t>（项目编号：</w:t>
      </w:r>
      <w:r>
        <w:rPr>
          <w:rFonts w:hint="eastAsia" w:ascii="仿宋" w:hAnsi="仿宋" w:eastAsia="仿宋" w:cs="仿宋"/>
          <w:b/>
          <w:bCs/>
          <w:color w:val="auto"/>
          <w:sz w:val="24"/>
          <w:szCs w:val="36"/>
          <w:highlight w:val="none"/>
          <w:u w:val="single"/>
          <w:lang w:val="zh-CN"/>
        </w:rPr>
        <w:t xml:space="preserve">      </w:t>
      </w:r>
      <w:r>
        <w:rPr>
          <w:rFonts w:hint="eastAsia" w:ascii="仿宋" w:hAnsi="仿宋" w:eastAsia="仿宋" w:cs="仿宋"/>
          <w:b/>
          <w:bCs/>
          <w:color w:val="auto"/>
          <w:sz w:val="24"/>
          <w:szCs w:val="36"/>
          <w:highlight w:val="none"/>
          <w:u w:val="single"/>
          <w:lang w:val="en-US" w:eastAsia="zh-CN"/>
        </w:rPr>
        <w:t xml:space="preserve"> </w:t>
      </w:r>
      <w:r>
        <w:rPr>
          <w:rFonts w:hint="eastAsia" w:ascii="仿宋" w:hAnsi="仿宋" w:eastAsia="仿宋" w:cs="仿宋"/>
          <w:b/>
          <w:bCs/>
          <w:color w:val="auto"/>
          <w:sz w:val="24"/>
          <w:szCs w:val="36"/>
          <w:highlight w:val="none"/>
          <w:u w:val="single"/>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 xml:space="preserve">标段号：     </w:t>
      </w:r>
      <w:r>
        <w:rPr>
          <w:rFonts w:hint="eastAsia" w:ascii="仿宋" w:hAnsi="仿宋" w:eastAsia="仿宋" w:cs="仿宋"/>
          <w:b/>
          <w:bCs/>
          <w:color w:val="auto"/>
          <w:sz w:val="24"/>
          <w:highlight w:val="none"/>
          <w:u w:val="single"/>
          <w:lang w:eastAsia="zh-CN"/>
        </w:rPr>
        <w:t>）</w:t>
      </w:r>
      <w:r>
        <w:rPr>
          <w:rFonts w:hint="eastAsia" w:ascii="仿宋" w:hAnsi="仿宋" w:eastAsia="仿宋" w:cs="仿宋"/>
          <w:color w:val="auto"/>
          <w:sz w:val="24"/>
          <w:highlight w:val="none"/>
        </w:rPr>
        <w:t>招标提供质量保证的证明。</w:t>
      </w:r>
    </w:p>
    <w:p w14:paraId="3473450B">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我方承诺提供以下质量保证并承担相应的法律责任：</w:t>
      </w:r>
    </w:p>
    <w:p w14:paraId="46A4C34A">
      <w:pPr>
        <w:pageBreakBefore w:val="0"/>
        <w:kinsoku/>
        <w:bidi w:val="0"/>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提供的产品或服务满足招标文件的采购需求和所签合同规定的要求；</w:t>
      </w:r>
    </w:p>
    <w:p w14:paraId="62425A03">
      <w:pPr>
        <w:pageBreakBefore w:val="0"/>
        <w:kinsoku/>
        <w:bidi w:val="0"/>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所提供的投标产品为采购合同签订之日起前一年内生产的全新设备；</w:t>
      </w:r>
    </w:p>
    <w:p w14:paraId="1ED7FBF2">
      <w:pPr>
        <w:pageBreakBefore w:val="0"/>
        <w:kinsoku/>
        <w:bidi w:val="0"/>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保证承诺全部内容的满足。</w:t>
      </w:r>
    </w:p>
    <w:p w14:paraId="017031C7">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本保证书自开标日起90日内有效。</w:t>
      </w:r>
    </w:p>
    <w:p w14:paraId="59903CFA">
      <w:pPr>
        <w:pageBreakBefore w:val="0"/>
        <w:kinsoku/>
        <w:bidi w:val="0"/>
        <w:spacing w:before="60" w:after="60" w:line="360" w:lineRule="auto"/>
        <w:ind w:firstLine="510"/>
        <w:rPr>
          <w:rFonts w:hint="eastAsia" w:ascii="仿宋" w:hAnsi="仿宋" w:eastAsia="仿宋" w:cs="仿宋"/>
          <w:color w:val="auto"/>
          <w:sz w:val="24"/>
          <w:highlight w:val="none"/>
        </w:rPr>
      </w:pPr>
    </w:p>
    <w:p w14:paraId="36A37939">
      <w:pPr>
        <w:pageBreakBefore w:val="0"/>
        <w:kinsoku/>
        <w:bidi w:val="0"/>
        <w:spacing w:before="60" w:after="60" w:line="360" w:lineRule="auto"/>
        <w:ind w:firstLine="510"/>
        <w:rPr>
          <w:rFonts w:hint="eastAsia" w:ascii="仿宋" w:hAnsi="仿宋" w:eastAsia="仿宋" w:cs="仿宋"/>
          <w:color w:val="auto"/>
          <w:sz w:val="24"/>
          <w:highlight w:val="none"/>
        </w:rPr>
      </w:pPr>
    </w:p>
    <w:p w14:paraId="1FA21281">
      <w:pPr>
        <w:pageBreakBefore w:val="0"/>
        <w:kinsoku/>
        <w:bidi w:val="0"/>
        <w:spacing w:before="60" w:after="60" w:line="360" w:lineRule="auto"/>
        <w:ind w:firstLine="5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5AB978A1">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7673CC56">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6158C7C0">
      <w:pPr>
        <w:pageBreakBefore w:val="0"/>
        <w:kinsoku/>
        <w:bidi w:val="0"/>
        <w:spacing w:before="60" w:after="60" w:line="360" w:lineRule="auto"/>
        <w:ind w:firstLine="510"/>
        <w:rPr>
          <w:rFonts w:hint="eastAsia" w:ascii="仿宋" w:hAnsi="仿宋" w:eastAsia="仿宋" w:cs="仿宋"/>
          <w:b/>
          <w:color w:val="auto"/>
          <w:sz w:val="28"/>
          <w:szCs w:val="28"/>
          <w:highlight w:val="none"/>
        </w:rPr>
      </w:pPr>
    </w:p>
    <w:p w14:paraId="09439DC4">
      <w:pPr>
        <w:pageBreakBefore w:val="0"/>
        <w:kinsoku/>
        <w:bidi w:val="0"/>
        <w:spacing w:before="60" w:after="60" w:line="360" w:lineRule="auto"/>
        <w:ind w:firstLine="510"/>
        <w:rPr>
          <w:rFonts w:hint="eastAsia" w:ascii="仿宋" w:hAnsi="仿宋" w:eastAsia="仿宋" w:cs="仿宋"/>
          <w:b/>
          <w:color w:val="auto"/>
          <w:sz w:val="28"/>
          <w:szCs w:val="28"/>
          <w:highlight w:val="none"/>
        </w:rPr>
      </w:pPr>
    </w:p>
    <w:p w14:paraId="52E30B29">
      <w:pPr>
        <w:pageBreakBefore w:val="0"/>
        <w:kinsoku/>
        <w:bidi w:val="0"/>
        <w:spacing w:before="60" w:after="60" w:line="360" w:lineRule="auto"/>
        <w:ind w:firstLine="510"/>
        <w:rPr>
          <w:rFonts w:hint="eastAsia" w:ascii="仿宋" w:hAnsi="仿宋" w:eastAsia="仿宋" w:cs="仿宋"/>
          <w:b/>
          <w:color w:val="auto"/>
          <w:sz w:val="28"/>
          <w:szCs w:val="28"/>
          <w:highlight w:val="none"/>
        </w:rPr>
      </w:pPr>
    </w:p>
    <w:p w14:paraId="6F9BD1E6">
      <w:pPr>
        <w:pageBreakBefore w:val="0"/>
        <w:kinsoku/>
        <w:bidi w:val="0"/>
        <w:spacing w:before="60" w:after="60" w:line="360" w:lineRule="auto"/>
        <w:ind w:firstLine="510"/>
        <w:rPr>
          <w:rFonts w:hint="eastAsia" w:ascii="仿宋" w:hAnsi="仿宋" w:eastAsia="仿宋" w:cs="仿宋"/>
          <w:b/>
          <w:color w:val="auto"/>
          <w:sz w:val="28"/>
          <w:szCs w:val="28"/>
          <w:highlight w:val="none"/>
        </w:rPr>
      </w:pPr>
    </w:p>
    <w:p w14:paraId="3A6C73BA">
      <w:pPr>
        <w:pStyle w:val="15"/>
        <w:pageBreakBefore w:val="0"/>
        <w:kinsoku/>
        <w:bidi w:val="0"/>
        <w:spacing w:line="360" w:lineRule="auto"/>
        <w:rPr>
          <w:rFonts w:hint="eastAsia" w:ascii="仿宋" w:hAnsi="仿宋" w:eastAsia="仿宋" w:cs="仿宋"/>
          <w:b/>
          <w:color w:val="auto"/>
          <w:sz w:val="28"/>
          <w:szCs w:val="28"/>
          <w:highlight w:val="none"/>
        </w:rPr>
      </w:pPr>
    </w:p>
    <w:p w14:paraId="39AE6469">
      <w:pPr>
        <w:pStyle w:val="15"/>
        <w:pageBreakBefore w:val="0"/>
        <w:kinsoku/>
        <w:bidi w:val="0"/>
        <w:spacing w:line="360" w:lineRule="auto"/>
        <w:rPr>
          <w:rFonts w:hint="eastAsia" w:ascii="仿宋" w:hAnsi="仿宋" w:eastAsia="仿宋" w:cs="仿宋"/>
          <w:b/>
          <w:color w:val="auto"/>
          <w:sz w:val="28"/>
          <w:szCs w:val="28"/>
          <w:highlight w:val="none"/>
        </w:rPr>
      </w:pPr>
    </w:p>
    <w:p w14:paraId="6B917E63">
      <w:pPr>
        <w:pStyle w:val="15"/>
        <w:pageBreakBefore w:val="0"/>
        <w:kinsoku/>
        <w:bidi w:val="0"/>
        <w:spacing w:line="360" w:lineRule="auto"/>
        <w:rPr>
          <w:rFonts w:hint="eastAsia" w:ascii="仿宋" w:hAnsi="仿宋" w:eastAsia="仿宋" w:cs="仿宋"/>
          <w:b/>
          <w:color w:val="auto"/>
          <w:sz w:val="28"/>
          <w:szCs w:val="28"/>
          <w:highlight w:val="none"/>
        </w:rPr>
      </w:pPr>
    </w:p>
    <w:p w14:paraId="2B5C6726">
      <w:pPr>
        <w:pStyle w:val="15"/>
        <w:pageBreakBefore w:val="0"/>
        <w:kinsoku/>
        <w:bidi w:val="0"/>
        <w:spacing w:line="360" w:lineRule="auto"/>
        <w:rPr>
          <w:rFonts w:hint="eastAsia" w:ascii="仿宋" w:hAnsi="仿宋" w:eastAsia="仿宋" w:cs="仿宋"/>
          <w:b/>
          <w:color w:val="auto"/>
          <w:sz w:val="28"/>
          <w:szCs w:val="28"/>
          <w:highlight w:val="none"/>
        </w:rPr>
      </w:pPr>
    </w:p>
    <w:p w14:paraId="171501DC">
      <w:pPr>
        <w:pStyle w:val="4"/>
        <w:pageBreakBefore w:val="0"/>
        <w:kinsoku/>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政府优先采购的节能、环保产品汇总表</w:t>
      </w:r>
    </w:p>
    <w:p w14:paraId="4783FFD3">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331D963D">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1562277C">
      <w:pPr>
        <w:keepNext w:val="0"/>
        <w:keepLines w:val="0"/>
        <w:pageBreakBefore w:val="0"/>
        <w:widowControl/>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val="0"/>
          <w:bCs w:val="0"/>
          <w:color w:val="auto"/>
          <w:sz w:val="21"/>
          <w:szCs w:val="22"/>
          <w:highlight w:val="none"/>
          <w:lang w:val="en-US" w:eastAsia="zh-CN"/>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tbl>
      <w:tblPr>
        <w:tblStyle w:val="36"/>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24"/>
        <w:gridCol w:w="2951"/>
        <w:gridCol w:w="2671"/>
        <w:gridCol w:w="2048"/>
      </w:tblGrid>
      <w:tr w14:paraId="28374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noWrap w:val="0"/>
            <w:vAlign w:val="center"/>
          </w:tcPr>
          <w:p w14:paraId="26AAF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序号</w:t>
            </w:r>
          </w:p>
        </w:tc>
        <w:tc>
          <w:tcPr>
            <w:tcW w:w="1328" w:type="dxa"/>
            <w:tcBorders>
              <w:tl2br w:val="nil"/>
              <w:tr2bl w:val="nil"/>
            </w:tcBorders>
            <w:noWrap w:val="0"/>
            <w:vAlign w:val="center"/>
          </w:tcPr>
          <w:p w14:paraId="75694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产品名称</w:t>
            </w:r>
          </w:p>
        </w:tc>
        <w:tc>
          <w:tcPr>
            <w:tcW w:w="2753" w:type="dxa"/>
            <w:tcBorders>
              <w:tl2br w:val="nil"/>
              <w:tr2bl w:val="nil"/>
            </w:tcBorders>
            <w:noWrap w:val="0"/>
            <w:vAlign w:val="center"/>
          </w:tcPr>
          <w:p w14:paraId="4A8EA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生产者 （制造商）</w:t>
            </w:r>
          </w:p>
        </w:tc>
        <w:tc>
          <w:tcPr>
            <w:tcW w:w="2492" w:type="dxa"/>
            <w:tcBorders>
              <w:tl2br w:val="nil"/>
              <w:tr2bl w:val="nil"/>
            </w:tcBorders>
            <w:noWrap w:val="0"/>
            <w:vAlign w:val="center"/>
          </w:tcPr>
          <w:p w14:paraId="40F42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规格型号</w:t>
            </w:r>
          </w:p>
        </w:tc>
        <w:tc>
          <w:tcPr>
            <w:tcW w:w="1910" w:type="dxa"/>
            <w:tcBorders>
              <w:tl2br w:val="nil"/>
              <w:tr2bl w:val="nil"/>
            </w:tcBorders>
            <w:noWrap w:val="0"/>
            <w:vAlign w:val="center"/>
          </w:tcPr>
          <w:p w14:paraId="14FD2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证书编号</w:t>
            </w:r>
          </w:p>
        </w:tc>
      </w:tr>
      <w:tr w14:paraId="638C1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noWrap w:val="0"/>
            <w:vAlign w:val="top"/>
          </w:tcPr>
          <w:p w14:paraId="02307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328" w:type="dxa"/>
            <w:tcBorders>
              <w:tl2br w:val="nil"/>
              <w:tr2bl w:val="nil"/>
            </w:tcBorders>
            <w:noWrap w:val="0"/>
            <w:vAlign w:val="top"/>
          </w:tcPr>
          <w:p w14:paraId="547C8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753" w:type="dxa"/>
            <w:tcBorders>
              <w:tl2br w:val="nil"/>
              <w:tr2bl w:val="nil"/>
            </w:tcBorders>
            <w:noWrap w:val="0"/>
            <w:vAlign w:val="top"/>
          </w:tcPr>
          <w:p w14:paraId="60DCF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492" w:type="dxa"/>
            <w:tcBorders>
              <w:tl2br w:val="nil"/>
              <w:tr2bl w:val="nil"/>
            </w:tcBorders>
            <w:noWrap w:val="0"/>
            <w:vAlign w:val="top"/>
          </w:tcPr>
          <w:p w14:paraId="460D4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910" w:type="dxa"/>
            <w:tcBorders>
              <w:tl2br w:val="nil"/>
              <w:tr2bl w:val="nil"/>
            </w:tcBorders>
            <w:noWrap w:val="0"/>
            <w:vAlign w:val="top"/>
          </w:tcPr>
          <w:p w14:paraId="62D2C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r>
      <w:tr w14:paraId="6228B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noWrap w:val="0"/>
            <w:vAlign w:val="top"/>
          </w:tcPr>
          <w:p w14:paraId="4FB9B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328" w:type="dxa"/>
            <w:tcBorders>
              <w:tl2br w:val="nil"/>
              <w:tr2bl w:val="nil"/>
            </w:tcBorders>
            <w:noWrap w:val="0"/>
            <w:vAlign w:val="top"/>
          </w:tcPr>
          <w:p w14:paraId="19A87C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753" w:type="dxa"/>
            <w:tcBorders>
              <w:tl2br w:val="nil"/>
              <w:tr2bl w:val="nil"/>
            </w:tcBorders>
            <w:noWrap w:val="0"/>
            <w:vAlign w:val="top"/>
          </w:tcPr>
          <w:p w14:paraId="51584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492" w:type="dxa"/>
            <w:tcBorders>
              <w:tl2br w:val="nil"/>
              <w:tr2bl w:val="nil"/>
            </w:tcBorders>
            <w:noWrap w:val="0"/>
            <w:vAlign w:val="top"/>
          </w:tcPr>
          <w:p w14:paraId="40937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910" w:type="dxa"/>
            <w:tcBorders>
              <w:tl2br w:val="nil"/>
              <w:tr2bl w:val="nil"/>
            </w:tcBorders>
            <w:noWrap w:val="0"/>
            <w:vAlign w:val="top"/>
          </w:tcPr>
          <w:p w14:paraId="618E3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r>
      <w:tr w14:paraId="4A26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noWrap w:val="0"/>
            <w:vAlign w:val="top"/>
          </w:tcPr>
          <w:p w14:paraId="2920C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328" w:type="dxa"/>
            <w:tcBorders>
              <w:tl2br w:val="nil"/>
              <w:tr2bl w:val="nil"/>
            </w:tcBorders>
            <w:noWrap w:val="0"/>
            <w:vAlign w:val="top"/>
          </w:tcPr>
          <w:p w14:paraId="25902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753" w:type="dxa"/>
            <w:tcBorders>
              <w:tl2br w:val="nil"/>
              <w:tr2bl w:val="nil"/>
            </w:tcBorders>
            <w:noWrap w:val="0"/>
            <w:vAlign w:val="top"/>
          </w:tcPr>
          <w:p w14:paraId="650F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492" w:type="dxa"/>
            <w:tcBorders>
              <w:tl2br w:val="nil"/>
              <w:tr2bl w:val="nil"/>
            </w:tcBorders>
            <w:noWrap w:val="0"/>
            <w:vAlign w:val="top"/>
          </w:tcPr>
          <w:p w14:paraId="56773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910" w:type="dxa"/>
            <w:tcBorders>
              <w:tl2br w:val="nil"/>
              <w:tr2bl w:val="nil"/>
            </w:tcBorders>
            <w:noWrap w:val="0"/>
            <w:vAlign w:val="top"/>
          </w:tcPr>
          <w:p w14:paraId="7E420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r>
      <w:tr w14:paraId="12ECF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noWrap w:val="0"/>
            <w:vAlign w:val="top"/>
          </w:tcPr>
          <w:p w14:paraId="55234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328" w:type="dxa"/>
            <w:tcBorders>
              <w:tl2br w:val="nil"/>
              <w:tr2bl w:val="nil"/>
            </w:tcBorders>
            <w:noWrap w:val="0"/>
            <w:vAlign w:val="top"/>
          </w:tcPr>
          <w:p w14:paraId="17918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753" w:type="dxa"/>
            <w:tcBorders>
              <w:tl2br w:val="nil"/>
              <w:tr2bl w:val="nil"/>
            </w:tcBorders>
            <w:noWrap w:val="0"/>
            <w:vAlign w:val="top"/>
          </w:tcPr>
          <w:p w14:paraId="4173F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492" w:type="dxa"/>
            <w:tcBorders>
              <w:tl2br w:val="nil"/>
              <w:tr2bl w:val="nil"/>
            </w:tcBorders>
            <w:noWrap w:val="0"/>
            <w:vAlign w:val="top"/>
          </w:tcPr>
          <w:p w14:paraId="2AAC0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910" w:type="dxa"/>
            <w:tcBorders>
              <w:tl2br w:val="nil"/>
              <w:tr2bl w:val="nil"/>
            </w:tcBorders>
            <w:noWrap w:val="0"/>
            <w:vAlign w:val="top"/>
          </w:tcPr>
          <w:p w14:paraId="0C316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r>
      <w:tr w14:paraId="7D2A3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noWrap w:val="0"/>
            <w:vAlign w:val="top"/>
          </w:tcPr>
          <w:p w14:paraId="22EA4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328" w:type="dxa"/>
            <w:tcBorders>
              <w:tl2br w:val="nil"/>
              <w:tr2bl w:val="nil"/>
            </w:tcBorders>
            <w:noWrap w:val="0"/>
            <w:vAlign w:val="top"/>
          </w:tcPr>
          <w:p w14:paraId="197CC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753" w:type="dxa"/>
            <w:tcBorders>
              <w:tl2br w:val="nil"/>
              <w:tr2bl w:val="nil"/>
            </w:tcBorders>
            <w:noWrap w:val="0"/>
            <w:vAlign w:val="top"/>
          </w:tcPr>
          <w:p w14:paraId="02D4B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2492" w:type="dxa"/>
            <w:tcBorders>
              <w:tl2br w:val="nil"/>
              <w:tr2bl w:val="nil"/>
            </w:tcBorders>
            <w:noWrap w:val="0"/>
            <w:vAlign w:val="top"/>
          </w:tcPr>
          <w:p w14:paraId="047AD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c>
          <w:tcPr>
            <w:tcW w:w="1910" w:type="dxa"/>
            <w:tcBorders>
              <w:tl2br w:val="nil"/>
              <w:tr2bl w:val="nil"/>
            </w:tcBorders>
            <w:noWrap w:val="0"/>
            <w:vAlign w:val="top"/>
          </w:tcPr>
          <w:p w14:paraId="08004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30"/>
                <w:szCs w:val="30"/>
                <w:highlight w:val="none"/>
              </w:rPr>
            </w:pPr>
          </w:p>
        </w:tc>
      </w:tr>
    </w:tbl>
    <w:p w14:paraId="371D209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w:t>
      </w:r>
      <w:r>
        <w:rPr>
          <w:rFonts w:hint="eastAsia" w:ascii="仿宋" w:hAnsi="仿宋" w:eastAsia="仿宋" w:cs="仿宋"/>
          <w:color w:val="auto"/>
          <w:szCs w:val="21"/>
          <w:highlight w:val="none"/>
        </w:rPr>
        <w:t>若所投产品为</w:t>
      </w:r>
      <w:r>
        <w:rPr>
          <w:rFonts w:hint="eastAsia" w:ascii="仿宋" w:hAnsi="仿宋" w:eastAsia="仿宋" w:cs="仿宋"/>
          <w:b/>
          <w:bCs/>
          <w:color w:val="auto"/>
          <w:szCs w:val="21"/>
          <w:highlight w:val="none"/>
        </w:rPr>
        <w:t>政府采购品目清单</w:t>
      </w:r>
      <w:r>
        <w:rPr>
          <w:rFonts w:hint="eastAsia" w:ascii="仿宋" w:hAnsi="仿宋" w:eastAsia="仿宋" w:cs="仿宋"/>
          <w:color w:val="auto"/>
          <w:szCs w:val="21"/>
          <w:highlight w:val="none"/>
        </w:rPr>
        <w:t>内的节能、环保产品，应</w:t>
      </w:r>
      <w:r>
        <w:rPr>
          <w:rFonts w:hint="eastAsia" w:ascii="仿宋" w:hAnsi="仿宋" w:eastAsia="仿宋" w:cs="仿宋"/>
          <w:b/>
          <w:color w:val="auto"/>
          <w:kern w:val="0"/>
          <w:szCs w:val="21"/>
          <w:highlight w:val="none"/>
        </w:rPr>
        <w:t>提供</w:t>
      </w:r>
      <w:r>
        <w:rPr>
          <w:rFonts w:hint="eastAsia" w:ascii="仿宋" w:hAnsi="仿宋" w:eastAsia="仿宋" w:cs="仿宋"/>
          <w:b/>
          <w:bCs/>
          <w:color w:val="auto"/>
          <w:szCs w:val="21"/>
          <w:highlight w:val="none"/>
          <w:lang w:bidi="ar"/>
        </w:rPr>
        <w:t>处于有效期之内的节能产品、环境标志产品认证证书</w:t>
      </w:r>
      <w:r>
        <w:rPr>
          <w:rFonts w:hint="eastAsia" w:ascii="仿宋" w:hAnsi="仿宋" w:eastAsia="仿宋" w:cs="仿宋"/>
          <w:color w:val="auto"/>
          <w:szCs w:val="21"/>
          <w:highlight w:val="none"/>
          <w:lang w:bidi="ar"/>
        </w:rPr>
        <w:t>（认证机构须为国家相关部门公布的认证机构名录内单位）</w:t>
      </w:r>
      <w:r>
        <w:rPr>
          <w:rFonts w:hint="eastAsia" w:ascii="仿宋" w:hAnsi="仿宋" w:eastAsia="仿宋" w:cs="仿宋"/>
          <w:bCs/>
          <w:color w:val="auto"/>
          <w:szCs w:val="21"/>
          <w:highlight w:val="none"/>
          <w:lang w:bidi="ar"/>
        </w:rPr>
        <w:t>（</w:t>
      </w:r>
      <w:r>
        <w:rPr>
          <w:rFonts w:hint="eastAsia" w:ascii="仿宋" w:hAnsi="仿宋" w:eastAsia="仿宋" w:cs="仿宋"/>
          <w:b/>
          <w:bCs/>
          <w:color w:val="auto"/>
          <w:szCs w:val="21"/>
          <w:highlight w:val="none"/>
        </w:rPr>
        <w:t>提供</w:t>
      </w:r>
      <w:r>
        <w:rPr>
          <w:rFonts w:hint="eastAsia" w:ascii="仿宋" w:hAnsi="仿宋" w:eastAsia="仿宋" w:cs="仿宋"/>
          <w:b/>
          <w:color w:val="auto"/>
          <w:szCs w:val="21"/>
          <w:highlight w:val="none"/>
        </w:rPr>
        <w:t>扫描件或照片等形式的电子文件</w:t>
      </w:r>
      <w:r>
        <w:rPr>
          <w:rFonts w:hint="eastAsia" w:ascii="仿宋" w:hAnsi="仿宋" w:eastAsia="仿宋" w:cs="仿宋"/>
          <w:bCs/>
          <w:color w:val="auto"/>
          <w:szCs w:val="21"/>
          <w:highlight w:val="none"/>
          <w:lang w:bidi="ar"/>
        </w:rPr>
        <w:t>）</w:t>
      </w:r>
      <w:r>
        <w:rPr>
          <w:rFonts w:hint="eastAsia" w:ascii="仿宋" w:hAnsi="仿宋" w:eastAsia="仿宋" w:cs="仿宋"/>
          <w:color w:val="auto"/>
          <w:szCs w:val="21"/>
          <w:highlight w:val="none"/>
        </w:rPr>
        <w:t>。</w:t>
      </w:r>
    </w:p>
    <w:p w14:paraId="035880D6">
      <w:pPr>
        <w:pageBreakBefore w:val="0"/>
        <w:kinsoku/>
        <w:bidi w:val="0"/>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t>此表由供应商按实际情况编制，若无政府优先采购的节能、环保产品则此表可不提供。</w:t>
      </w:r>
      <w:r>
        <w:rPr>
          <w:rFonts w:hint="eastAsia" w:ascii="仿宋" w:hAnsi="仿宋" w:eastAsia="仿宋" w:cs="仿宋"/>
          <w:color w:val="auto"/>
          <w:sz w:val="24"/>
          <w:szCs w:val="24"/>
          <w:highlight w:val="none"/>
          <w:lang w:val="en-US" w:eastAsia="zh-CN"/>
        </w:rPr>
        <w:br w:type="page"/>
      </w:r>
    </w:p>
    <w:p w14:paraId="0076196C">
      <w:pPr>
        <w:pageBreakBefore w:val="0"/>
        <w:kinsoku/>
        <w:bidi w:val="0"/>
        <w:spacing w:before="0" w:after="0"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szCs w:val="24"/>
          <w:highlight w:val="none"/>
        </w:rPr>
        <w:t>技术部分</w:t>
      </w:r>
      <w:r>
        <w:rPr>
          <w:rFonts w:hint="eastAsia" w:ascii="仿宋" w:hAnsi="仿宋" w:eastAsia="仿宋" w:cs="仿宋"/>
          <w:b/>
          <w:bCs/>
          <w:color w:val="auto"/>
          <w:sz w:val="24"/>
          <w:szCs w:val="24"/>
          <w:highlight w:val="none"/>
          <w:lang w:eastAsia="zh-CN"/>
        </w:rPr>
        <w:t>其他</w:t>
      </w:r>
      <w:r>
        <w:rPr>
          <w:rFonts w:hint="eastAsia" w:ascii="仿宋" w:hAnsi="仿宋" w:eastAsia="仿宋" w:cs="仿宋"/>
          <w:b/>
          <w:bCs/>
          <w:color w:val="auto"/>
          <w:sz w:val="24"/>
          <w:szCs w:val="24"/>
          <w:highlight w:val="none"/>
        </w:rPr>
        <w:t>资料</w:t>
      </w:r>
      <w:bookmarkEnd w:id="721"/>
      <w:bookmarkEnd w:id="722"/>
      <w:bookmarkEnd w:id="723"/>
      <w:bookmarkEnd w:id="724"/>
    </w:p>
    <w:p w14:paraId="27AE9856">
      <w:pPr>
        <w:pageBreakBefore w:val="0"/>
        <w:kinsoku/>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（招标文件中规定的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认为应该提供的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技术资料）</w:t>
      </w:r>
    </w:p>
    <w:p w14:paraId="7A97D29C">
      <w:pPr>
        <w:pageBreakBefore w:val="0"/>
        <w:kinsoku/>
        <w:bidi w:val="0"/>
        <w:spacing w:line="360" w:lineRule="auto"/>
        <w:rPr>
          <w:rFonts w:hint="eastAsia" w:ascii="仿宋" w:hAnsi="仿宋" w:eastAsia="仿宋" w:cs="仿宋"/>
          <w:color w:val="auto"/>
          <w:highlight w:val="none"/>
        </w:rPr>
      </w:pPr>
    </w:p>
    <w:p w14:paraId="1F7B94CA">
      <w:pPr>
        <w:pageBreakBefore w:val="0"/>
        <w:kinsoku/>
        <w:bidi w:val="0"/>
        <w:spacing w:line="360" w:lineRule="auto"/>
        <w:rPr>
          <w:rFonts w:hint="eastAsia" w:ascii="仿宋" w:hAnsi="仿宋" w:eastAsia="仿宋" w:cs="仿宋"/>
          <w:color w:val="auto"/>
          <w:highlight w:val="none"/>
        </w:rPr>
      </w:pPr>
    </w:p>
    <w:p w14:paraId="33107392">
      <w:pPr>
        <w:pageBreakBefore w:val="0"/>
        <w:kinsoku/>
        <w:bidi w:val="0"/>
        <w:spacing w:line="360" w:lineRule="auto"/>
        <w:rPr>
          <w:rFonts w:hint="eastAsia" w:ascii="仿宋" w:hAnsi="仿宋" w:eastAsia="仿宋" w:cs="仿宋"/>
          <w:color w:val="auto"/>
          <w:highlight w:val="none"/>
        </w:rPr>
      </w:pPr>
    </w:p>
    <w:p w14:paraId="1146D3AB">
      <w:pPr>
        <w:pageBreakBefore w:val="0"/>
        <w:kinsoku/>
        <w:bidi w:val="0"/>
        <w:spacing w:line="360" w:lineRule="auto"/>
        <w:rPr>
          <w:rFonts w:hint="eastAsia" w:ascii="仿宋" w:hAnsi="仿宋" w:eastAsia="仿宋" w:cs="仿宋"/>
          <w:color w:val="auto"/>
          <w:highlight w:val="none"/>
        </w:rPr>
      </w:pPr>
    </w:p>
    <w:p w14:paraId="58EB38EE">
      <w:pPr>
        <w:pageBreakBefore w:val="0"/>
        <w:kinsoku/>
        <w:bidi w:val="0"/>
        <w:spacing w:line="360" w:lineRule="auto"/>
        <w:rPr>
          <w:rFonts w:hint="eastAsia" w:ascii="仿宋" w:hAnsi="仿宋" w:eastAsia="仿宋" w:cs="仿宋"/>
          <w:color w:val="auto"/>
          <w:highlight w:val="none"/>
        </w:rPr>
      </w:pPr>
    </w:p>
    <w:p w14:paraId="0C405A30">
      <w:pPr>
        <w:pageBreakBefore w:val="0"/>
        <w:kinsoku/>
        <w:bidi w:val="0"/>
        <w:spacing w:line="360" w:lineRule="auto"/>
        <w:rPr>
          <w:rFonts w:hint="eastAsia" w:ascii="仿宋" w:hAnsi="仿宋" w:eastAsia="仿宋" w:cs="仿宋"/>
          <w:color w:val="auto"/>
          <w:highlight w:val="none"/>
        </w:rPr>
      </w:pPr>
    </w:p>
    <w:p w14:paraId="6CD947DE">
      <w:pPr>
        <w:pageBreakBefore w:val="0"/>
        <w:kinsoku/>
        <w:bidi w:val="0"/>
        <w:spacing w:line="360" w:lineRule="auto"/>
        <w:rPr>
          <w:rFonts w:hint="eastAsia" w:ascii="仿宋" w:hAnsi="仿宋" w:eastAsia="仿宋" w:cs="仿宋"/>
          <w:color w:val="auto"/>
          <w:highlight w:val="none"/>
        </w:rPr>
      </w:pPr>
    </w:p>
    <w:p w14:paraId="7371DACA">
      <w:pPr>
        <w:pageBreakBefore w:val="0"/>
        <w:kinsoku/>
        <w:bidi w:val="0"/>
        <w:spacing w:line="360" w:lineRule="auto"/>
        <w:rPr>
          <w:rFonts w:hint="eastAsia" w:ascii="仿宋" w:hAnsi="仿宋" w:eastAsia="仿宋" w:cs="仿宋"/>
          <w:color w:val="auto"/>
          <w:highlight w:val="none"/>
        </w:rPr>
      </w:pPr>
    </w:p>
    <w:p w14:paraId="1F346BB9">
      <w:pPr>
        <w:pageBreakBefore w:val="0"/>
        <w:kinsoku/>
        <w:bidi w:val="0"/>
        <w:spacing w:line="360" w:lineRule="auto"/>
        <w:rPr>
          <w:rFonts w:hint="eastAsia" w:ascii="仿宋" w:hAnsi="仿宋" w:eastAsia="仿宋" w:cs="仿宋"/>
          <w:color w:val="auto"/>
          <w:highlight w:val="none"/>
        </w:rPr>
      </w:pPr>
    </w:p>
    <w:p w14:paraId="479B85A7">
      <w:pPr>
        <w:pageBreakBefore w:val="0"/>
        <w:kinsoku/>
        <w:bidi w:val="0"/>
        <w:spacing w:line="360" w:lineRule="auto"/>
        <w:rPr>
          <w:rFonts w:hint="eastAsia" w:ascii="仿宋" w:hAnsi="仿宋" w:eastAsia="仿宋" w:cs="仿宋"/>
          <w:color w:val="auto"/>
          <w:highlight w:val="none"/>
        </w:rPr>
      </w:pPr>
    </w:p>
    <w:p w14:paraId="25A2B7AE">
      <w:pPr>
        <w:pageBreakBefore w:val="0"/>
        <w:kinsoku/>
        <w:bidi w:val="0"/>
        <w:spacing w:line="360" w:lineRule="auto"/>
        <w:rPr>
          <w:rFonts w:hint="eastAsia" w:ascii="仿宋" w:hAnsi="仿宋" w:eastAsia="仿宋" w:cs="仿宋"/>
          <w:color w:val="auto"/>
          <w:highlight w:val="none"/>
        </w:rPr>
      </w:pPr>
    </w:p>
    <w:p w14:paraId="578DAE47">
      <w:pPr>
        <w:pageBreakBefore w:val="0"/>
        <w:kinsoku/>
        <w:bidi w:val="0"/>
        <w:spacing w:line="360" w:lineRule="auto"/>
        <w:rPr>
          <w:rFonts w:hint="eastAsia" w:ascii="仿宋" w:hAnsi="仿宋" w:eastAsia="仿宋" w:cs="仿宋"/>
          <w:color w:val="auto"/>
          <w:highlight w:val="none"/>
        </w:rPr>
      </w:pPr>
    </w:p>
    <w:p w14:paraId="46854F98">
      <w:pPr>
        <w:pageBreakBefore w:val="0"/>
        <w:kinsoku/>
        <w:bidi w:val="0"/>
        <w:spacing w:line="360" w:lineRule="auto"/>
        <w:rPr>
          <w:rFonts w:hint="eastAsia" w:ascii="仿宋" w:hAnsi="仿宋" w:eastAsia="仿宋" w:cs="仿宋"/>
          <w:color w:val="auto"/>
          <w:highlight w:val="none"/>
        </w:rPr>
      </w:pPr>
    </w:p>
    <w:p w14:paraId="39A0207E">
      <w:pPr>
        <w:pageBreakBefore w:val="0"/>
        <w:kinsoku/>
        <w:bidi w:val="0"/>
        <w:spacing w:line="360" w:lineRule="auto"/>
        <w:rPr>
          <w:rFonts w:hint="eastAsia" w:ascii="仿宋" w:hAnsi="仿宋" w:eastAsia="仿宋" w:cs="仿宋"/>
          <w:color w:val="auto"/>
          <w:highlight w:val="none"/>
        </w:rPr>
      </w:pPr>
    </w:p>
    <w:p w14:paraId="3DBCF3D7">
      <w:pPr>
        <w:pageBreakBefore w:val="0"/>
        <w:kinsoku/>
        <w:bidi w:val="0"/>
        <w:spacing w:line="360" w:lineRule="auto"/>
        <w:rPr>
          <w:rFonts w:hint="eastAsia" w:ascii="仿宋" w:hAnsi="仿宋" w:eastAsia="仿宋" w:cs="仿宋"/>
          <w:color w:val="auto"/>
          <w:highlight w:val="none"/>
        </w:rPr>
      </w:pPr>
    </w:p>
    <w:p w14:paraId="288DCCF4">
      <w:pPr>
        <w:pageBreakBefore w:val="0"/>
        <w:kinsoku/>
        <w:bidi w:val="0"/>
        <w:spacing w:line="360" w:lineRule="auto"/>
        <w:rPr>
          <w:rFonts w:hint="eastAsia" w:ascii="仿宋" w:hAnsi="仿宋" w:eastAsia="仿宋" w:cs="仿宋"/>
          <w:color w:val="auto"/>
          <w:highlight w:val="none"/>
        </w:rPr>
      </w:pPr>
    </w:p>
    <w:p w14:paraId="68FAC595">
      <w:pPr>
        <w:pageBreakBefore w:val="0"/>
        <w:kinsoku/>
        <w:bidi w:val="0"/>
        <w:spacing w:line="360" w:lineRule="auto"/>
        <w:rPr>
          <w:rFonts w:hint="eastAsia" w:ascii="仿宋" w:hAnsi="仿宋" w:eastAsia="仿宋" w:cs="仿宋"/>
          <w:color w:val="auto"/>
          <w:highlight w:val="none"/>
        </w:rPr>
      </w:pPr>
    </w:p>
    <w:p w14:paraId="4489FA8A">
      <w:pPr>
        <w:pageBreakBefore w:val="0"/>
        <w:kinsoku/>
        <w:bidi w:val="0"/>
        <w:spacing w:line="360" w:lineRule="auto"/>
        <w:rPr>
          <w:rFonts w:hint="eastAsia" w:ascii="仿宋" w:hAnsi="仿宋" w:eastAsia="仿宋" w:cs="仿宋"/>
          <w:color w:val="auto"/>
          <w:highlight w:val="none"/>
        </w:rPr>
      </w:pPr>
    </w:p>
    <w:p w14:paraId="4A3BFDA8">
      <w:pPr>
        <w:pageBreakBefore w:val="0"/>
        <w:kinsoku/>
        <w:bidi w:val="0"/>
        <w:spacing w:line="360" w:lineRule="auto"/>
        <w:rPr>
          <w:rFonts w:hint="eastAsia" w:ascii="仿宋" w:hAnsi="仿宋" w:eastAsia="仿宋" w:cs="仿宋"/>
          <w:color w:val="auto"/>
          <w:highlight w:val="none"/>
        </w:rPr>
      </w:pPr>
    </w:p>
    <w:p w14:paraId="38F18650">
      <w:pPr>
        <w:pageBreakBefore w:val="0"/>
        <w:kinsoku/>
        <w:bidi w:val="0"/>
        <w:spacing w:line="360" w:lineRule="auto"/>
        <w:rPr>
          <w:rFonts w:hint="eastAsia" w:ascii="仿宋" w:hAnsi="仿宋" w:eastAsia="仿宋" w:cs="仿宋"/>
          <w:color w:val="auto"/>
          <w:highlight w:val="none"/>
        </w:rPr>
      </w:pPr>
    </w:p>
    <w:p w14:paraId="51FD20E0">
      <w:pPr>
        <w:pageBreakBefore w:val="0"/>
        <w:kinsoku/>
        <w:bidi w:val="0"/>
        <w:spacing w:line="360" w:lineRule="auto"/>
        <w:rPr>
          <w:rFonts w:hint="eastAsia" w:ascii="仿宋" w:hAnsi="仿宋" w:eastAsia="仿宋" w:cs="仿宋"/>
          <w:color w:val="auto"/>
          <w:highlight w:val="none"/>
        </w:rPr>
      </w:pPr>
    </w:p>
    <w:p w14:paraId="143E33B5">
      <w:pPr>
        <w:pageBreakBefore w:val="0"/>
        <w:kinsoku/>
        <w:bidi w:val="0"/>
        <w:spacing w:line="360" w:lineRule="auto"/>
        <w:rPr>
          <w:rFonts w:hint="eastAsia" w:ascii="仿宋" w:hAnsi="仿宋" w:eastAsia="仿宋" w:cs="仿宋"/>
          <w:color w:val="auto"/>
          <w:highlight w:val="none"/>
        </w:rPr>
      </w:pPr>
    </w:p>
    <w:p w14:paraId="5C2729BC">
      <w:pPr>
        <w:pageBreakBefore w:val="0"/>
        <w:kinsoku/>
        <w:bidi w:val="0"/>
        <w:spacing w:line="360" w:lineRule="auto"/>
        <w:rPr>
          <w:rFonts w:hint="eastAsia" w:ascii="仿宋" w:hAnsi="仿宋" w:eastAsia="仿宋" w:cs="仿宋"/>
          <w:color w:val="auto"/>
          <w:highlight w:val="none"/>
        </w:rPr>
      </w:pPr>
    </w:p>
    <w:p w14:paraId="0DEE4544">
      <w:pPr>
        <w:pageBreakBefore w:val="0"/>
        <w:kinsoku/>
        <w:bidi w:val="0"/>
        <w:spacing w:line="360" w:lineRule="auto"/>
        <w:rPr>
          <w:rFonts w:hint="eastAsia" w:ascii="仿宋" w:hAnsi="仿宋" w:eastAsia="仿宋" w:cs="仿宋"/>
          <w:color w:val="auto"/>
          <w:highlight w:val="none"/>
        </w:rPr>
      </w:pPr>
    </w:p>
    <w:p w14:paraId="0A047755">
      <w:pPr>
        <w:pageBreakBefore w:val="0"/>
        <w:kinsoku/>
        <w:bidi w:val="0"/>
        <w:spacing w:line="360" w:lineRule="auto"/>
        <w:rPr>
          <w:rFonts w:hint="eastAsia" w:ascii="仿宋" w:hAnsi="仿宋" w:eastAsia="仿宋" w:cs="仿宋"/>
          <w:color w:val="auto"/>
          <w:highlight w:val="none"/>
        </w:rPr>
      </w:pPr>
    </w:p>
    <w:p w14:paraId="17F8273E">
      <w:pPr>
        <w:pageBreakBefore w:val="0"/>
        <w:kinsoku/>
        <w:bidi w:val="0"/>
        <w:spacing w:line="360" w:lineRule="auto"/>
        <w:rPr>
          <w:rFonts w:hint="eastAsia" w:ascii="仿宋" w:hAnsi="仿宋" w:eastAsia="仿宋" w:cs="仿宋"/>
          <w:color w:val="auto"/>
          <w:highlight w:val="none"/>
        </w:rPr>
      </w:pPr>
    </w:p>
    <w:p w14:paraId="68EAD5E8">
      <w:pPr>
        <w:pageBreakBefore w:val="0"/>
        <w:kinsoku/>
        <w:bidi w:val="0"/>
        <w:spacing w:line="360" w:lineRule="auto"/>
        <w:rPr>
          <w:rFonts w:hint="eastAsia" w:ascii="仿宋" w:hAnsi="仿宋" w:eastAsia="仿宋" w:cs="仿宋"/>
          <w:color w:val="auto"/>
          <w:highlight w:val="none"/>
        </w:rPr>
      </w:pPr>
    </w:p>
    <w:bookmarkEnd w:id="725"/>
    <w:p w14:paraId="42462D11">
      <w:pPr>
        <w:pageBreakBefore w:val="0"/>
        <w:widowControl/>
        <w:kinsoku/>
        <w:bidi w:val="0"/>
        <w:spacing w:line="360" w:lineRule="auto"/>
        <w:jc w:val="center"/>
        <w:outlineLvl w:val="1"/>
        <w:rPr>
          <w:rFonts w:hint="eastAsia" w:ascii="仿宋" w:hAnsi="仿宋" w:eastAsia="仿宋" w:cs="仿宋"/>
          <w:color w:val="auto"/>
          <w:sz w:val="28"/>
          <w:szCs w:val="28"/>
          <w:highlight w:val="none"/>
        </w:rPr>
      </w:pPr>
      <w:bookmarkStart w:id="726" w:name="_Toc6831"/>
      <w:bookmarkStart w:id="727" w:name="_Toc97"/>
      <w:bookmarkStart w:id="728" w:name="_Toc31310"/>
      <w:bookmarkStart w:id="729" w:name="_Toc25254"/>
      <w:bookmarkStart w:id="730" w:name="_Toc17993"/>
      <w:bookmarkStart w:id="731" w:name="_Toc8579"/>
      <w:bookmarkStart w:id="732" w:name="_Toc3550"/>
      <w:bookmarkStart w:id="733" w:name="_Toc32487"/>
      <w:bookmarkStart w:id="734" w:name="_Toc7426"/>
      <w:bookmarkStart w:id="735" w:name="_Toc71734758"/>
      <w:bookmarkStart w:id="736" w:name="_Toc30340"/>
      <w:bookmarkStart w:id="737" w:name="_Toc11237"/>
      <w:bookmarkStart w:id="738" w:name="_Toc13315"/>
      <w:r>
        <w:rPr>
          <w:rFonts w:hint="eastAsia" w:ascii="仿宋" w:hAnsi="仿宋" w:eastAsia="仿宋" w:cs="仿宋"/>
          <w:b/>
          <w:bCs/>
          <w:color w:val="auto"/>
          <w:sz w:val="28"/>
          <w:szCs w:val="28"/>
          <w:highlight w:val="none"/>
        </w:rPr>
        <w:t>三、商务部分</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776FA7FE">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39" w:name="_Toc14797"/>
      <w:bookmarkStart w:id="740" w:name="_Toc451856213"/>
      <w:bookmarkStart w:id="741" w:name="_Toc10117026"/>
      <w:bookmarkStart w:id="742" w:name="_Toc21601"/>
      <w:bookmarkStart w:id="743" w:name="_Toc520749005"/>
      <w:bookmarkStart w:id="744" w:name="_Toc14603"/>
      <w:bookmarkStart w:id="745" w:name="_Toc97623399"/>
      <w:bookmarkStart w:id="746" w:name="_Toc26063"/>
      <w:bookmarkStart w:id="747" w:name="_Toc30727"/>
      <w:bookmarkStart w:id="748" w:name="_Toc5946"/>
      <w:bookmarkStart w:id="749" w:name="_Toc83759704"/>
      <w:bookmarkStart w:id="750" w:name="_Toc97624865"/>
      <w:bookmarkStart w:id="751" w:name="_Toc23455"/>
      <w:bookmarkStart w:id="752" w:name="_Toc18609202"/>
      <w:bookmarkStart w:id="753" w:name="_Toc115016263"/>
      <w:bookmarkStart w:id="754" w:name="_Toc77182519"/>
      <w:bookmarkStart w:id="755" w:name="_Toc20673"/>
      <w:bookmarkStart w:id="756" w:name="_Toc114909487"/>
      <w:bookmarkStart w:id="757" w:name="_Toc89638408"/>
      <w:bookmarkStart w:id="758" w:name="_Toc21712"/>
      <w:bookmarkStart w:id="759" w:name="_Toc71734759"/>
      <w:bookmarkStart w:id="760" w:name="_Toc127"/>
      <w:r>
        <w:rPr>
          <w:rFonts w:hint="eastAsia" w:ascii="仿宋" w:hAnsi="仿宋" w:eastAsia="仿宋" w:cs="仿宋"/>
          <w:color w:val="auto"/>
          <w:sz w:val="24"/>
          <w:szCs w:val="24"/>
          <w:highlight w:val="none"/>
        </w:rPr>
        <w:t>1.投标函</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33E078CE">
      <w:pPr>
        <w:pageBreakBefore w:val="0"/>
        <w:widowControl/>
        <w:kinsoku/>
        <w:bidi w:val="0"/>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致：</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（采购人名称）</w:t>
      </w:r>
    </w:p>
    <w:p w14:paraId="44DEDCDB">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我方仔细研究了</w:t>
      </w:r>
      <w:r>
        <w:rPr>
          <w:rFonts w:hint="eastAsia" w:ascii="仿宋" w:hAnsi="仿宋" w:eastAsia="仿宋" w:cs="仿宋"/>
          <w:b w:val="0"/>
          <w:bCs w:val="0"/>
          <w:color w:val="auto"/>
          <w:sz w:val="21"/>
          <w:szCs w:val="21"/>
          <w:highlight w:val="none"/>
          <w:u w:val="single"/>
        </w:rPr>
        <w:t>（项目名称）（项目编号：</w:t>
      </w:r>
      <w:r>
        <w:rPr>
          <w:rFonts w:hint="eastAsia" w:ascii="仿宋" w:hAnsi="仿宋" w:eastAsia="仿宋" w:cs="仿宋"/>
          <w:b w:val="0"/>
          <w:bCs w:val="0"/>
          <w:color w:val="auto"/>
          <w:sz w:val="21"/>
          <w:szCs w:val="21"/>
          <w:highlight w:val="none"/>
          <w:u w:val="single"/>
          <w:lang w:val="zh-CN"/>
        </w:rPr>
        <w:t xml:space="preserve">      </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u w:val="single"/>
        </w:rPr>
        <w:t>）</w:t>
      </w:r>
      <w:r>
        <w:rPr>
          <w:rFonts w:hint="eastAsia" w:ascii="仿宋" w:hAnsi="仿宋" w:eastAsia="仿宋" w:cs="仿宋"/>
          <w:b w:val="0"/>
          <w:bCs w:val="0"/>
          <w:color w:val="auto"/>
          <w:sz w:val="21"/>
          <w:szCs w:val="21"/>
          <w:highlight w:val="none"/>
          <w:u w:val="single"/>
          <w:lang w:eastAsia="zh-CN"/>
        </w:rPr>
        <w:t>（</w:t>
      </w:r>
      <w:r>
        <w:rPr>
          <w:rFonts w:hint="eastAsia" w:ascii="仿宋" w:hAnsi="仿宋" w:eastAsia="仿宋" w:cs="仿宋"/>
          <w:b w:val="0"/>
          <w:bCs w:val="0"/>
          <w:color w:val="auto"/>
          <w:sz w:val="21"/>
          <w:szCs w:val="21"/>
          <w:highlight w:val="none"/>
          <w:u w:val="single"/>
          <w:lang w:val="en-US" w:eastAsia="zh-CN"/>
        </w:rPr>
        <w:t xml:space="preserve">标段号：     </w:t>
      </w:r>
      <w:r>
        <w:rPr>
          <w:rFonts w:hint="eastAsia" w:ascii="仿宋" w:hAnsi="仿宋" w:eastAsia="仿宋" w:cs="仿宋"/>
          <w:b w:val="0"/>
          <w:bCs w:val="0"/>
          <w:color w:val="auto"/>
          <w:sz w:val="21"/>
          <w:szCs w:val="21"/>
          <w:highlight w:val="none"/>
          <w:u w:val="single"/>
          <w:lang w:eastAsia="zh-CN"/>
        </w:rPr>
        <w:t>）</w:t>
      </w:r>
      <w:r>
        <w:rPr>
          <w:rFonts w:hint="eastAsia" w:ascii="仿宋" w:hAnsi="仿宋" w:eastAsia="仿宋" w:cs="仿宋"/>
          <w:color w:val="auto"/>
          <w:kern w:val="0"/>
          <w:highlight w:val="none"/>
        </w:rPr>
        <w:t>招标文件的全部内容，正式授权下述签字人</w:t>
      </w:r>
      <w:r>
        <w:rPr>
          <w:rFonts w:hint="eastAsia" w:ascii="仿宋" w:hAnsi="仿宋" w:eastAsia="仿宋" w:cs="仿宋"/>
          <w:color w:val="auto"/>
          <w:kern w:val="0"/>
          <w:highlight w:val="none"/>
          <w:u w:val="single"/>
        </w:rPr>
        <w:t xml:space="preserve">     （姓名和职务）    </w:t>
      </w:r>
      <w:r>
        <w:rPr>
          <w:rFonts w:hint="eastAsia" w:ascii="仿宋" w:hAnsi="仿宋" w:eastAsia="仿宋" w:cs="仿宋"/>
          <w:color w:val="auto"/>
          <w:kern w:val="0"/>
          <w:highlight w:val="none"/>
        </w:rPr>
        <w:t>全权代表供应商</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u w:val="single"/>
          <w:lang w:eastAsia="zh-CN"/>
        </w:rPr>
        <w:t>供应商</w:t>
      </w:r>
      <w:r>
        <w:rPr>
          <w:rFonts w:hint="eastAsia" w:ascii="仿宋" w:hAnsi="仿宋" w:eastAsia="仿宋" w:cs="仿宋"/>
          <w:color w:val="auto"/>
          <w:kern w:val="0"/>
          <w:highlight w:val="none"/>
          <w:u w:val="single"/>
        </w:rPr>
        <w:t xml:space="preserve">全称）    </w:t>
      </w:r>
      <w:r>
        <w:rPr>
          <w:rFonts w:hint="eastAsia" w:ascii="仿宋" w:hAnsi="仿宋" w:eastAsia="仿宋" w:cs="仿宋"/>
          <w:color w:val="auto"/>
          <w:kern w:val="0"/>
          <w:highlight w:val="none"/>
        </w:rPr>
        <w:t>参加投标，并提交投标文件。</w:t>
      </w:r>
    </w:p>
    <w:p w14:paraId="203281A4">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据此函，签字人兹宣布同意如下：</w:t>
      </w:r>
    </w:p>
    <w:p w14:paraId="7CF42131">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1、按招标文件采购需求及技术要求和投标分项报价表，投标总报价</w:t>
      </w:r>
      <w:r>
        <w:rPr>
          <w:rFonts w:hint="eastAsia" w:ascii="仿宋" w:hAnsi="仿宋" w:eastAsia="仿宋" w:cs="仿宋"/>
          <w:color w:val="auto"/>
          <w:kern w:val="0"/>
          <w:highlight w:val="none"/>
          <w:u w:val="single"/>
        </w:rPr>
        <w:t xml:space="preserve">     （大写） 元</w:t>
      </w:r>
      <w:r>
        <w:rPr>
          <w:rFonts w:hint="eastAsia" w:ascii="仿宋" w:hAnsi="仿宋" w:eastAsia="仿宋" w:cs="仿宋"/>
          <w:color w:val="auto"/>
          <w:kern w:val="0"/>
          <w:highlight w:val="none"/>
        </w:rPr>
        <w:t>，人民币</w:t>
      </w:r>
      <w:r>
        <w:rPr>
          <w:rFonts w:hint="eastAsia" w:ascii="仿宋" w:hAnsi="仿宋" w:eastAsia="仿宋" w:cs="仿宋"/>
          <w:color w:val="auto"/>
          <w:kern w:val="0"/>
          <w:highlight w:val="none"/>
          <w:u w:val="single"/>
        </w:rPr>
        <w:t>(￥  )</w:t>
      </w:r>
      <w:r>
        <w:rPr>
          <w:rFonts w:hint="eastAsia" w:ascii="仿宋" w:hAnsi="仿宋" w:eastAsia="仿宋" w:cs="仿宋"/>
          <w:color w:val="auto"/>
          <w:kern w:val="0"/>
          <w:highlight w:val="none"/>
        </w:rPr>
        <w:t>，在</w:t>
      </w:r>
      <w:r>
        <w:rPr>
          <w:rFonts w:hint="eastAsia" w:ascii="仿宋" w:hAnsi="仿宋" w:eastAsia="仿宋" w:cs="仿宋"/>
          <w:color w:val="auto"/>
          <w:kern w:val="0"/>
          <w:highlight w:val="none"/>
          <w:u w:val="single"/>
        </w:rPr>
        <w:t xml:space="preserve">    （合同履行期限）   </w:t>
      </w:r>
      <w:r>
        <w:rPr>
          <w:rFonts w:hint="eastAsia" w:ascii="仿宋" w:hAnsi="仿宋" w:eastAsia="仿宋" w:cs="仿宋"/>
          <w:color w:val="auto"/>
          <w:kern w:val="0"/>
          <w:highlight w:val="none"/>
        </w:rPr>
        <w:t>完成交货。</w:t>
      </w:r>
    </w:p>
    <w:p w14:paraId="6A475B19">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2、我方已详细审查全部招标文件，包括澄清文件(如有)。我们完全理解并同意放弃对这方面有不明及误解的权力。</w:t>
      </w:r>
    </w:p>
    <w:p w14:paraId="5F1BA0BD">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3、在供应商须知规定的开标日期起遵循本投标文件，并在供应商须知规定的投标文件有效期满之前均具有约束力。</w:t>
      </w:r>
    </w:p>
    <w:p w14:paraId="626386E6">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4、同意供应商须知中关于不予退还投标保证金的规定。</w:t>
      </w:r>
    </w:p>
    <w:p w14:paraId="1D824227">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5、同意应贵方要求提供与本投标有关的任何数据或资料，并保证数据和资料的完整性和真实性。</w:t>
      </w:r>
    </w:p>
    <w:p w14:paraId="024345C5">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6、完全理解贵方不一定要接受最低报价的供应商为中标人的行为。</w:t>
      </w:r>
    </w:p>
    <w:p w14:paraId="44277FA7">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7、如我方中标：</w:t>
      </w:r>
    </w:p>
    <w:p w14:paraId="29FE2FBD">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（1）我方承诺在收到中标通知书后，在中标通知书规定的期限内与采购人签订合同，并履行相应的合同责任和义务。</w:t>
      </w:r>
    </w:p>
    <w:p w14:paraId="12D30685">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（2）我方承诺按照招标文件规定向你方递交履约担保。</w:t>
      </w:r>
    </w:p>
    <w:p w14:paraId="062CF775">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（3）我方承诺将承担售后服务及保修责任。</w:t>
      </w:r>
    </w:p>
    <w:p w14:paraId="2E38415D">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8、我方在此声明，所递交的投标文件及有关资料内容完整、真实和准确。</w:t>
      </w:r>
    </w:p>
    <w:p w14:paraId="043FC0C8">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9、我公司理解并完全接受本文件全部内容，并承诺参与投标后，不再对招标文件内容有任何疑问。</w:t>
      </w:r>
    </w:p>
    <w:p w14:paraId="7F08CAC1">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10、本投标自开标之日起</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天内有效。</w:t>
      </w:r>
    </w:p>
    <w:p w14:paraId="1FA57EA8">
      <w:pPr>
        <w:pageBreakBefore w:val="0"/>
        <w:widowControl/>
        <w:kinsoku/>
        <w:bidi w:val="0"/>
        <w:spacing w:line="360" w:lineRule="auto"/>
        <w:ind w:firstLine="42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11、</w:t>
      </w:r>
      <w:r>
        <w:rPr>
          <w:rFonts w:hint="eastAsia" w:ascii="仿宋" w:hAnsi="仿宋" w:eastAsia="仿宋" w:cs="仿宋"/>
          <w:color w:val="auto"/>
          <w:kern w:val="0"/>
          <w:highlight w:val="none"/>
          <w:u w:val="single"/>
        </w:rPr>
        <w:t xml:space="preserve">              （其他补充说明）     </w:t>
      </w:r>
      <w:r>
        <w:rPr>
          <w:rFonts w:hint="eastAsia" w:ascii="仿宋" w:hAnsi="仿宋" w:eastAsia="仿宋" w:cs="仿宋"/>
          <w:color w:val="auto"/>
          <w:kern w:val="0"/>
          <w:highlight w:val="none"/>
        </w:rPr>
        <w:t>。</w:t>
      </w:r>
    </w:p>
    <w:p w14:paraId="1FF910DD">
      <w:pPr>
        <w:pageBreakBefore w:val="0"/>
        <w:widowControl/>
        <w:kinsoku/>
        <w:bidi w:val="0"/>
        <w:spacing w:line="360" w:lineRule="auto"/>
        <w:jc w:val="left"/>
        <w:rPr>
          <w:rFonts w:hint="eastAsia" w:ascii="仿宋" w:hAnsi="仿宋" w:eastAsia="仿宋" w:cs="仿宋"/>
          <w:color w:val="auto"/>
          <w:kern w:val="0"/>
          <w:highlight w:val="none"/>
          <w:u w:val="single"/>
        </w:rPr>
      </w:pPr>
      <w:r>
        <w:rPr>
          <w:rFonts w:hint="eastAsia" w:ascii="仿宋" w:hAnsi="仿宋" w:eastAsia="仿宋" w:cs="仿宋"/>
          <w:color w:val="auto"/>
          <w:kern w:val="0"/>
          <w:highlight w:val="none"/>
        </w:rPr>
        <w:t xml:space="preserve">         </w:t>
      </w:r>
      <w:r>
        <w:rPr>
          <w:rFonts w:hint="eastAsia" w:ascii="仿宋" w:hAnsi="仿宋" w:eastAsia="仿宋" w:cs="仿宋"/>
          <w:color w:val="auto"/>
          <w:kern w:val="0"/>
          <w:highlight w:val="none"/>
          <w:lang w:val="en-US" w:eastAsia="zh-CN"/>
        </w:rPr>
        <w:t>供应商</w:t>
      </w:r>
      <w:r>
        <w:rPr>
          <w:rFonts w:hint="eastAsia" w:ascii="仿宋" w:hAnsi="仿宋" w:eastAsia="仿宋" w:cs="仿宋"/>
          <w:color w:val="auto"/>
          <w:kern w:val="0"/>
          <w:highlight w:val="none"/>
        </w:rPr>
        <w:t>：</w:t>
      </w:r>
      <w:r>
        <w:rPr>
          <w:rFonts w:hint="eastAsia" w:ascii="仿宋" w:hAnsi="仿宋" w:eastAsia="仿宋" w:cs="仿宋"/>
          <w:color w:val="auto"/>
          <w:kern w:val="0"/>
          <w:highlight w:val="none"/>
          <w:u w:val="single"/>
        </w:rPr>
        <w:t xml:space="preserve">                             （电子签章）   </w:t>
      </w:r>
    </w:p>
    <w:p w14:paraId="742CC666">
      <w:pPr>
        <w:pageBreakBefore w:val="0"/>
        <w:widowControl/>
        <w:kinsoku/>
        <w:bidi w:val="0"/>
        <w:spacing w:line="360" w:lineRule="auto"/>
        <w:jc w:val="left"/>
        <w:rPr>
          <w:rFonts w:hint="eastAsia" w:ascii="仿宋" w:hAnsi="仿宋" w:eastAsia="仿宋" w:cs="仿宋"/>
          <w:color w:val="auto"/>
          <w:kern w:val="0"/>
          <w:highlight w:val="none"/>
          <w:u w:val="single"/>
        </w:rPr>
      </w:pPr>
      <w:r>
        <w:rPr>
          <w:rFonts w:hint="eastAsia" w:ascii="仿宋" w:hAnsi="仿宋" w:eastAsia="仿宋" w:cs="仿宋"/>
          <w:color w:val="auto"/>
          <w:kern w:val="0"/>
          <w:highlight w:val="none"/>
        </w:rPr>
        <w:t xml:space="preserve">         单位地址：</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p>
    <w:p w14:paraId="6C185A40">
      <w:pPr>
        <w:pageBreakBefore w:val="0"/>
        <w:widowControl/>
        <w:kinsoku/>
        <w:bidi w:val="0"/>
        <w:spacing w:line="360" w:lineRule="auto"/>
        <w:jc w:val="left"/>
        <w:rPr>
          <w:rFonts w:hint="eastAsia" w:ascii="仿宋" w:hAnsi="仿宋" w:eastAsia="仿宋" w:cs="仿宋"/>
          <w:color w:val="auto"/>
          <w:kern w:val="0"/>
          <w:highlight w:val="none"/>
          <w:u w:val="single"/>
        </w:rPr>
      </w:pPr>
      <w:r>
        <w:rPr>
          <w:rFonts w:hint="eastAsia" w:ascii="仿宋" w:hAnsi="仿宋" w:eastAsia="仿宋" w:cs="仿宋"/>
          <w:color w:val="auto"/>
          <w:kern w:val="0"/>
          <w:highlight w:val="none"/>
        </w:rPr>
        <w:t xml:space="preserve">         法定代表人或委托代理人：</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(签字或签章)</w:t>
      </w:r>
    </w:p>
    <w:p w14:paraId="37EC6F88">
      <w:pPr>
        <w:pageBreakBefore w:val="0"/>
        <w:widowControl/>
        <w:kinsoku/>
        <w:bidi w:val="0"/>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highlight w:val="none"/>
        </w:rPr>
        <w:t>邮政编码：</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rPr>
        <w:t>电话：</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rPr>
        <w:t xml:space="preserve"> 传真：</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u w:val="single"/>
        </w:rPr>
        <w:tab/>
      </w:r>
    </w:p>
    <w:p w14:paraId="4C1A65AC">
      <w:pPr>
        <w:pageBreakBefore w:val="0"/>
        <w:widowControl/>
        <w:kinsoku/>
        <w:bidi w:val="0"/>
        <w:spacing w:line="360" w:lineRule="auto"/>
        <w:ind w:firstLine="945" w:firstLineChars="45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开户银行名称：</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p>
    <w:p w14:paraId="19EB7364">
      <w:pPr>
        <w:pageBreakBefore w:val="0"/>
        <w:widowControl/>
        <w:kinsoku/>
        <w:bidi w:val="0"/>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         开户银行账号：</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r>
        <w:rPr>
          <w:rFonts w:hint="eastAsia" w:ascii="仿宋" w:hAnsi="仿宋" w:eastAsia="仿宋" w:cs="仿宋"/>
          <w:color w:val="auto"/>
          <w:kern w:val="0"/>
          <w:highlight w:val="none"/>
          <w:u w:val="single"/>
        </w:rPr>
        <w:tab/>
      </w:r>
    </w:p>
    <w:p w14:paraId="4B7BC66B">
      <w:pPr>
        <w:pageBreakBefore w:val="0"/>
        <w:widowControl/>
        <w:kinsoku/>
        <w:bidi w:val="0"/>
        <w:spacing w:line="360" w:lineRule="auto"/>
        <w:ind w:firstLine="945" w:firstLineChars="450"/>
        <w:jc w:val="both"/>
        <w:rPr>
          <w:rFonts w:hint="eastAsia" w:ascii="仿宋" w:hAnsi="仿宋" w:eastAsia="仿宋" w:cs="仿宋"/>
          <w:color w:val="auto"/>
          <w:kern w:val="0"/>
          <w:highlight w:val="none"/>
        </w:rPr>
      </w:pPr>
      <w:r>
        <w:rPr>
          <w:rFonts w:hint="eastAsia" w:ascii="仿宋" w:hAnsi="仿宋" w:eastAsia="仿宋" w:cs="仿宋"/>
          <w:color w:val="auto"/>
          <w:kern w:val="0"/>
          <w:highlight w:val="none"/>
        </w:rPr>
        <w:t>日期：</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年</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月</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日</w:t>
      </w:r>
    </w:p>
    <w:p w14:paraId="4A6768F7">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B1D43A5">
      <w:pPr>
        <w:pStyle w:val="4"/>
        <w:pageBreakBefore w:val="0"/>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w:t>
      </w:r>
      <w:bookmarkEnd w:id="757"/>
      <w:bookmarkEnd w:id="758"/>
      <w:bookmarkEnd w:id="759"/>
      <w:bookmarkEnd w:id="760"/>
    </w:p>
    <w:p w14:paraId="56999E17">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7514F13">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123163C">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7C7AC6FB">
      <w:pPr>
        <w:pageBreakBefore w:val="0"/>
        <w:kinsoku/>
        <w:bidi w:val="0"/>
        <w:spacing w:line="360" w:lineRule="auto"/>
        <w:jc w:val="left"/>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货币及单位：人民币·元</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7964"/>
      </w:tblGrid>
      <w:tr w14:paraId="5C78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restart"/>
            <w:noWrap w:val="0"/>
            <w:vAlign w:val="center"/>
          </w:tcPr>
          <w:p w14:paraId="326A1EC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投标报价</w:t>
            </w:r>
          </w:p>
        </w:tc>
        <w:tc>
          <w:tcPr>
            <w:tcW w:w="3999" w:type="pct"/>
            <w:noWrap w:val="0"/>
            <w:vAlign w:val="center"/>
          </w:tcPr>
          <w:p w14:paraId="556D47C5">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u w:val="single"/>
              </w:rPr>
            </w:pPr>
            <w:r>
              <w:rPr>
                <w:rFonts w:hint="eastAsia" w:ascii="仿宋" w:hAnsi="仿宋" w:eastAsia="仿宋" w:cs="仿宋"/>
                <w:color w:val="auto"/>
                <w:spacing w:val="10"/>
                <w:sz w:val="24"/>
                <w:szCs w:val="24"/>
                <w:highlight w:val="none"/>
              </w:rPr>
              <w:t>大写：</w:t>
            </w:r>
          </w:p>
        </w:tc>
      </w:tr>
      <w:tr w14:paraId="0635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continue"/>
            <w:noWrap w:val="0"/>
            <w:vAlign w:val="center"/>
          </w:tcPr>
          <w:p w14:paraId="38F2A15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p>
        </w:tc>
        <w:tc>
          <w:tcPr>
            <w:tcW w:w="3999" w:type="pct"/>
            <w:noWrap w:val="0"/>
            <w:vAlign w:val="center"/>
          </w:tcPr>
          <w:p w14:paraId="4C5F4760">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小写：</w:t>
            </w:r>
          </w:p>
        </w:tc>
      </w:tr>
      <w:tr w14:paraId="5B7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000" w:type="pct"/>
            <w:noWrap w:val="0"/>
            <w:vAlign w:val="center"/>
          </w:tcPr>
          <w:p w14:paraId="793F2F7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合同履行期限</w:t>
            </w:r>
          </w:p>
        </w:tc>
        <w:tc>
          <w:tcPr>
            <w:tcW w:w="3999" w:type="pct"/>
            <w:noWrap w:val="0"/>
            <w:vAlign w:val="center"/>
          </w:tcPr>
          <w:p w14:paraId="2D02D8B0">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p>
        </w:tc>
      </w:tr>
      <w:tr w14:paraId="36F4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00" w:type="pct"/>
            <w:noWrap w:val="0"/>
            <w:vAlign w:val="center"/>
          </w:tcPr>
          <w:p w14:paraId="157E04E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交货</w:t>
            </w:r>
            <w:r>
              <w:rPr>
                <w:rFonts w:hint="eastAsia" w:ascii="仿宋" w:hAnsi="仿宋" w:eastAsia="仿宋" w:cs="仿宋"/>
                <w:color w:val="auto"/>
                <w:spacing w:val="10"/>
                <w:sz w:val="24"/>
                <w:szCs w:val="24"/>
                <w:highlight w:val="none"/>
              </w:rPr>
              <w:t>地点</w:t>
            </w:r>
          </w:p>
        </w:tc>
        <w:tc>
          <w:tcPr>
            <w:tcW w:w="3999" w:type="pct"/>
            <w:noWrap w:val="0"/>
            <w:vAlign w:val="center"/>
          </w:tcPr>
          <w:p w14:paraId="746AFF37">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p>
        </w:tc>
      </w:tr>
      <w:tr w14:paraId="3745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00" w:type="pct"/>
            <w:noWrap w:val="0"/>
            <w:vAlign w:val="center"/>
          </w:tcPr>
          <w:p w14:paraId="2D7BE31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交货</w:t>
            </w:r>
            <w:r>
              <w:rPr>
                <w:rFonts w:hint="eastAsia" w:ascii="仿宋" w:hAnsi="仿宋" w:eastAsia="仿宋" w:cs="仿宋"/>
                <w:color w:val="auto"/>
                <w:sz w:val="24"/>
                <w:szCs w:val="24"/>
                <w:highlight w:val="none"/>
                <w:lang w:eastAsia="zh-CN"/>
              </w:rPr>
              <w:t>方式</w:t>
            </w:r>
          </w:p>
        </w:tc>
        <w:tc>
          <w:tcPr>
            <w:tcW w:w="3999" w:type="pct"/>
            <w:noWrap w:val="0"/>
            <w:vAlign w:val="center"/>
          </w:tcPr>
          <w:p w14:paraId="1A9A6FC9">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p>
        </w:tc>
      </w:tr>
      <w:tr w14:paraId="0732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00" w:type="pct"/>
            <w:noWrap w:val="0"/>
            <w:vAlign w:val="center"/>
          </w:tcPr>
          <w:p w14:paraId="1E13B9DA">
            <w:pPr>
              <w:keepNext w:val="0"/>
              <w:keepLines w:val="0"/>
              <w:pageBreakBefore w:val="0"/>
              <w:suppressLineNumbers w:val="0"/>
              <w:kinsoku/>
              <w:bidi w:val="0"/>
              <w:spacing w:before="0" w:beforeAutospacing="0" w:after="0" w:afterAutospacing="0" w:line="360" w:lineRule="auto"/>
              <w:ind w:left="0" w:right="0"/>
              <w:jc w:val="center"/>
              <w:rPr>
                <w:rFonts w:hint="default"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质保期</w:t>
            </w:r>
          </w:p>
        </w:tc>
        <w:tc>
          <w:tcPr>
            <w:tcW w:w="3999" w:type="pct"/>
            <w:noWrap w:val="0"/>
            <w:vAlign w:val="center"/>
          </w:tcPr>
          <w:p w14:paraId="0B502BF3">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p>
        </w:tc>
      </w:tr>
      <w:tr w14:paraId="5F2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restart"/>
            <w:noWrap w:val="0"/>
            <w:vAlign w:val="center"/>
          </w:tcPr>
          <w:p w14:paraId="2AB7ABB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b/>
                <w:bCs/>
                <w:color w:val="auto"/>
                <w:spacing w:val="10"/>
                <w:sz w:val="24"/>
                <w:szCs w:val="24"/>
                <w:highlight w:val="none"/>
              </w:rPr>
            </w:pPr>
            <w:r>
              <w:rPr>
                <w:rFonts w:hint="eastAsia" w:ascii="仿宋" w:hAnsi="仿宋" w:eastAsia="仿宋" w:cs="仿宋"/>
                <w:color w:val="auto"/>
                <w:spacing w:val="10"/>
                <w:sz w:val="24"/>
                <w:szCs w:val="24"/>
                <w:highlight w:val="none"/>
              </w:rPr>
              <w:t>投标保证金</w:t>
            </w:r>
          </w:p>
        </w:tc>
        <w:tc>
          <w:tcPr>
            <w:tcW w:w="3999" w:type="pct"/>
            <w:noWrap w:val="0"/>
            <w:vAlign w:val="center"/>
          </w:tcPr>
          <w:p w14:paraId="7DB203A2">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金额：</w:t>
            </w:r>
          </w:p>
        </w:tc>
      </w:tr>
      <w:tr w14:paraId="25E5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0" w:type="pct"/>
            <w:vMerge w:val="continue"/>
            <w:noWrap w:val="0"/>
            <w:vAlign w:val="center"/>
          </w:tcPr>
          <w:p w14:paraId="16712BB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p>
        </w:tc>
        <w:tc>
          <w:tcPr>
            <w:tcW w:w="3999" w:type="pct"/>
            <w:noWrap w:val="0"/>
            <w:vAlign w:val="center"/>
          </w:tcPr>
          <w:p w14:paraId="2E177A6E">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形式：</w:t>
            </w:r>
          </w:p>
        </w:tc>
      </w:tr>
      <w:tr w14:paraId="4C4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000" w:type="pct"/>
            <w:noWrap w:val="0"/>
            <w:vAlign w:val="center"/>
          </w:tcPr>
          <w:p w14:paraId="44474D2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其他说明</w:t>
            </w:r>
          </w:p>
        </w:tc>
        <w:tc>
          <w:tcPr>
            <w:tcW w:w="3999" w:type="pct"/>
            <w:noWrap w:val="0"/>
            <w:vAlign w:val="center"/>
          </w:tcPr>
          <w:p w14:paraId="561A3A14">
            <w:pPr>
              <w:keepNext w:val="0"/>
              <w:keepLines w:val="0"/>
              <w:pageBreakBefore w:val="0"/>
              <w:suppressLineNumbers w:val="0"/>
              <w:kinsoku/>
              <w:bidi w:val="0"/>
              <w:spacing w:before="0" w:beforeAutospacing="0" w:after="0" w:afterAutospacing="0" w:line="360" w:lineRule="auto"/>
              <w:ind w:left="0" w:right="0"/>
              <w:rPr>
                <w:rFonts w:hint="eastAsia" w:ascii="仿宋" w:hAnsi="仿宋" w:eastAsia="仿宋" w:cs="仿宋"/>
                <w:color w:val="auto"/>
                <w:spacing w:val="10"/>
                <w:sz w:val="24"/>
                <w:szCs w:val="24"/>
                <w:highlight w:val="none"/>
              </w:rPr>
            </w:pPr>
          </w:p>
        </w:tc>
      </w:tr>
    </w:tbl>
    <w:p w14:paraId="650BF01B">
      <w:pPr>
        <w:pageBreakBefore w:val="0"/>
        <w:kinsoku/>
        <w:bidi w:val="0"/>
        <w:rPr>
          <w:rFonts w:hint="eastAsia" w:ascii="仿宋" w:hAnsi="仿宋" w:eastAsia="仿宋" w:cs="仿宋"/>
          <w:color w:val="auto"/>
          <w:highlight w:val="none"/>
          <w:lang w:val="en-US" w:bidi="ar-SA"/>
        </w:rPr>
      </w:pPr>
      <w:r>
        <w:rPr>
          <w:rFonts w:hint="eastAsia" w:ascii="仿宋" w:hAnsi="仿宋" w:eastAsia="仿宋" w:cs="仿宋"/>
          <w:b/>
          <w:color w:val="auto"/>
          <w:spacing w:val="10"/>
          <w:sz w:val="24"/>
          <w:szCs w:val="24"/>
          <w:highlight w:val="none"/>
        </w:rPr>
        <w:t>注：此表中的投标报价即为最终报价，不允许另有折扣说明；</w:t>
      </w:r>
    </w:p>
    <w:p w14:paraId="612236EE">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53E18E13">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661C83C6">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1112AC37">
      <w:pPr>
        <w:pageBreakBefore w:val="0"/>
        <w:kinsoku/>
        <w:bidi w:val="0"/>
        <w:spacing w:line="360" w:lineRule="auto"/>
        <w:rPr>
          <w:rFonts w:hint="eastAsia" w:ascii="仿宋" w:hAnsi="仿宋" w:eastAsia="仿宋" w:cs="仿宋"/>
          <w:color w:val="auto"/>
          <w:highlight w:val="none"/>
        </w:rPr>
        <w:sectPr>
          <w:pgSz w:w="11906" w:h="16838"/>
          <w:pgMar w:top="1440" w:right="1083" w:bottom="1440" w:left="1083" w:header="850" w:footer="1077" w:gutter="0"/>
          <w:pgBorders>
            <w:top w:val="none" w:sz="0" w:space="0"/>
            <w:left w:val="none" w:sz="0" w:space="0"/>
            <w:bottom w:val="none" w:sz="0" w:space="0"/>
            <w:right w:val="none" w:sz="0" w:space="0"/>
          </w:pgBorders>
          <w:pgNumType w:fmt="decimal" w:chapStyle="1"/>
          <w:cols w:space="720" w:num="1"/>
          <w:titlePg/>
          <w:rtlGutter w:val="0"/>
          <w:docGrid w:type="lines" w:linePitch="312" w:charSpace="0"/>
        </w:sectPr>
      </w:pPr>
    </w:p>
    <w:p w14:paraId="383D0CEF">
      <w:pPr>
        <w:keepNext/>
        <w:keepLines/>
        <w:pageBreakBefore w:val="0"/>
        <w:kinsoku/>
        <w:bidi w:val="0"/>
        <w:spacing w:line="360" w:lineRule="auto"/>
        <w:jc w:val="center"/>
        <w:outlineLvl w:val="2"/>
        <w:rPr>
          <w:rFonts w:hint="eastAsia" w:ascii="仿宋" w:hAnsi="仿宋" w:eastAsia="仿宋" w:cs="仿宋"/>
          <w:b/>
          <w:bCs/>
          <w:color w:val="auto"/>
          <w:sz w:val="24"/>
          <w:szCs w:val="24"/>
          <w:highlight w:val="none"/>
        </w:rPr>
      </w:pPr>
      <w:bookmarkStart w:id="761" w:name="_Toc103723265"/>
      <w:bookmarkStart w:id="762" w:name="_Toc103730268"/>
      <w:bookmarkStart w:id="763" w:name="_Toc21146"/>
      <w:bookmarkStart w:id="764" w:name="_Toc4539"/>
      <w:bookmarkStart w:id="765" w:name="_Toc26714"/>
      <w:bookmarkStart w:id="766" w:name="_Toc9890"/>
      <w:bookmarkStart w:id="767" w:name="_Toc89638409"/>
      <w:bookmarkStart w:id="768" w:name="_Toc71734760"/>
      <w:r>
        <w:rPr>
          <w:rFonts w:hint="eastAsia" w:ascii="仿宋" w:hAnsi="仿宋" w:eastAsia="仿宋" w:cs="仿宋"/>
          <w:b/>
          <w:bCs/>
          <w:color w:val="auto"/>
          <w:sz w:val="24"/>
          <w:szCs w:val="24"/>
          <w:highlight w:val="none"/>
        </w:rPr>
        <w:t>3.</w:t>
      </w:r>
      <w:bookmarkEnd w:id="761"/>
      <w:bookmarkEnd w:id="762"/>
      <w:bookmarkEnd w:id="763"/>
      <w:bookmarkEnd w:id="764"/>
      <w:r>
        <w:rPr>
          <w:rFonts w:hint="eastAsia" w:ascii="仿宋" w:hAnsi="仿宋" w:eastAsia="仿宋" w:cs="仿宋"/>
          <w:b/>
          <w:bCs/>
          <w:color w:val="auto"/>
          <w:sz w:val="24"/>
          <w:szCs w:val="24"/>
          <w:highlight w:val="none"/>
        </w:rPr>
        <w:t>投标分项报价表</w:t>
      </w:r>
    </w:p>
    <w:p w14:paraId="66878337">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0348474D">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62BE7A5">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956"/>
        <w:gridCol w:w="1574"/>
        <w:gridCol w:w="1485"/>
        <w:gridCol w:w="603"/>
        <w:gridCol w:w="1132"/>
        <w:gridCol w:w="603"/>
        <w:gridCol w:w="1199"/>
        <w:gridCol w:w="1199"/>
        <w:gridCol w:w="603"/>
      </w:tblGrid>
      <w:tr w14:paraId="0E88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0" w:type="auto"/>
            <w:noWrap w:val="0"/>
            <w:vAlign w:val="center"/>
          </w:tcPr>
          <w:p w14:paraId="29F7CD1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0" w:type="auto"/>
            <w:noWrap w:val="0"/>
            <w:vAlign w:val="center"/>
          </w:tcPr>
          <w:p w14:paraId="28C0004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0" w:type="auto"/>
            <w:noWrap w:val="0"/>
            <w:vAlign w:val="center"/>
          </w:tcPr>
          <w:p w14:paraId="3E196B1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制造商名称/产地</w:t>
            </w:r>
          </w:p>
        </w:tc>
        <w:tc>
          <w:tcPr>
            <w:tcW w:w="0" w:type="auto"/>
            <w:noWrap w:val="0"/>
            <w:vAlign w:val="center"/>
          </w:tcPr>
          <w:p w14:paraId="45AA3E1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制造商企业规模</w:t>
            </w:r>
          </w:p>
        </w:tc>
        <w:tc>
          <w:tcPr>
            <w:tcW w:w="0" w:type="auto"/>
            <w:noWrap w:val="0"/>
            <w:vAlign w:val="center"/>
          </w:tcPr>
          <w:p w14:paraId="19D2F73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品牌</w:t>
            </w:r>
          </w:p>
        </w:tc>
        <w:tc>
          <w:tcPr>
            <w:tcW w:w="0" w:type="auto"/>
            <w:noWrap w:val="0"/>
            <w:vAlign w:val="center"/>
          </w:tcPr>
          <w:p w14:paraId="228592F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型号和规格</w:t>
            </w:r>
          </w:p>
        </w:tc>
        <w:tc>
          <w:tcPr>
            <w:tcW w:w="0" w:type="auto"/>
            <w:noWrap w:val="0"/>
            <w:vAlign w:val="center"/>
          </w:tcPr>
          <w:p w14:paraId="5B6D8DD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0" w:type="auto"/>
            <w:noWrap w:val="0"/>
            <w:vAlign w:val="center"/>
          </w:tcPr>
          <w:p w14:paraId="046F150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单价（元）</w:t>
            </w:r>
          </w:p>
        </w:tc>
        <w:tc>
          <w:tcPr>
            <w:tcW w:w="0" w:type="auto"/>
            <w:noWrap w:val="0"/>
            <w:vAlign w:val="center"/>
          </w:tcPr>
          <w:p w14:paraId="699BA55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总价（元）</w:t>
            </w:r>
          </w:p>
        </w:tc>
        <w:tc>
          <w:tcPr>
            <w:tcW w:w="0" w:type="auto"/>
            <w:noWrap w:val="0"/>
            <w:vAlign w:val="center"/>
          </w:tcPr>
          <w:p w14:paraId="73449EA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70FE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318F788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0" w:type="auto"/>
            <w:noWrap w:val="0"/>
            <w:vAlign w:val="center"/>
          </w:tcPr>
          <w:p w14:paraId="6101773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24E06C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31452E1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5E5AAEA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0DB942F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8079F2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0297309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74EBF76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99F4B1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432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31A3847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0" w:type="auto"/>
            <w:noWrap w:val="0"/>
            <w:vAlign w:val="center"/>
          </w:tcPr>
          <w:p w14:paraId="43B1C51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8692E0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576DCCC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3367D41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70ADEC9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6A69563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1D87C15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424205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32F67B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4F67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5938A62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0" w:type="auto"/>
            <w:noWrap w:val="0"/>
            <w:vAlign w:val="center"/>
          </w:tcPr>
          <w:p w14:paraId="2BD9EA1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3B02811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6AB3970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787FCF7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007A0B0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39C5CA8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61B76EE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411CE3F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72AAD7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1F00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1D4B333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0" w:type="auto"/>
            <w:noWrap w:val="0"/>
            <w:vAlign w:val="center"/>
          </w:tcPr>
          <w:p w14:paraId="30DE6AF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1ABBCCB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23B014F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2D7478B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01F752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6B1720A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244DBC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6D181E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3702247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421D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76EBD71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0" w:type="auto"/>
            <w:noWrap w:val="0"/>
            <w:vAlign w:val="center"/>
          </w:tcPr>
          <w:p w14:paraId="38D4806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9F2C01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5DF9B7D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7C557F1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4910E2B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8BD444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3555722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6BA30D9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4196531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1D3E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noWrap w:val="0"/>
            <w:vAlign w:val="center"/>
          </w:tcPr>
          <w:p w14:paraId="321F98B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0" w:type="auto"/>
            <w:noWrap w:val="0"/>
            <w:vAlign w:val="center"/>
          </w:tcPr>
          <w:p w14:paraId="018E213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72D6725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3C368A0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top"/>
          </w:tcPr>
          <w:p w14:paraId="0C6641C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2B83EAA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1653DC2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43B7BBBA">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1DB75AE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0" w:type="auto"/>
            <w:noWrap w:val="0"/>
            <w:vAlign w:val="center"/>
          </w:tcPr>
          <w:p w14:paraId="54413E4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r>
      <w:tr w14:paraId="500E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0" w:type="auto"/>
            <w:gridSpan w:val="10"/>
            <w:noWrap w:val="0"/>
            <w:vAlign w:val="center"/>
          </w:tcPr>
          <w:p w14:paraId="1144982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合计：</w:t>
            </w:r>
          </w:p>
        </w:tc>
      </w:tr>
    </w:tbl>
    <w:p w14:paraId="5C10498E">
      <w:pPr>
        <w:pageBreakBefore w:val="0"/>
        <w:kinsoku/>
        <w:bidi w:val="0"/>
        <w:spacing w:line="360" w:lineRule="auto"/>
        <w:rPr>
          <w:rFonts w:hint="eastAsia" w:ascii="仿宋" w:hAnsi="仿宋" w:eastAsia="仿宋" w:cs="仿宋"/>
          <w:color w:val="auto"/>
          <w:sz w:val="24"/>
          <w:szCs w:val="20"/>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0"/>
          <w:highlight w:val="none"/>
        </w:rPr>
        <w:t xml:space="preserve"> </w:t>
      </w:r>
    </w:p>
    <w:p w14:paraId="34DACD86">
      <w:pPr>
        <w:pageBreakBefore w:val="0"/>
        <w:numPr>
          <w:ilvl w:val="0"/>
          <w:numId w:val="4"/>
        </w:numPr>
        <w:kinsoku/>
        <w:bidi w:val="0"/>
        <w:spacing w:line="360" w:lineRule="auto"/>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本表中的“合计（元）”应与“开标一览表”中投标报价一致。</w:t>
      </w:r>
    </w:p>
    <w:p w14:paraId="271C82E5">
      <w:pPr>
        <w:pageBreakBefore w:val="0"/>
        <w:numPr>
          <w:ilvl w:val="0"/>
          <w:numId w:val="4"/>
        </w:numPr>
        <w:kinsoku/>
        <w:bidi w:val="0"/>
        <w:spacing w:line="360" w:lineRule="auto"/>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在“制造商规模”列中如实填写“中型企业”、“小型企业”、“微型企业”、“残疾人福利性单位”、“监狱企业”，并按招标文件要求提供《中小企业声明函》。本项填报的制造商规模类型应与《中小企业声明函》中的规模一致，若出现内容矛盾、前后不一致的，以《中小企业声明函》为准。</w:t>
      </w:r>
    </w:p>
    <w:p w14:paraId="7873C37E">
      <w:pPr>
        <w:pageBreakBefore w:val="0"/>
        <w:kinsoku/>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（3）若本项目采购清单中如有政府强制采购节能产品的，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须按投标须知前附表规定提供相关材料，并在备注栏标注“强制采购”字样。</w:t>
      </w:r>
    </w:p>
    <w:p w14:paraId="50DD1247">
      <w:pPr>
        <w:pageBreakBefore w:val="0"/>
        <w:kinsoku/>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（4）若所投产品为经国家认定的节能产品或环境标志产品，</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须按投标须知前附表规定提供相关材料，并在备注栏标注“优先采购”字样，并提供证明材料。</w:t>
      </w:r>
    </w:p>
    <w:p w14:paraId="04993560">
      <w:pPr>
        <w:pageBreakBefore w:val="0"/>
        <w:kinsoku/>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（5）本表可扩展。</w:t>
      </w:r>
    </w:p>
    <w:p w14:paraId="6343BBB6">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285117B3">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1C56F049">
      <w:pPr>
        <w:pageBreakBefore w:val="0"/>
        <w:kinsoku/>
        <w:bidi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____ </w:t>
      </w:r>
      <w:r>
        <w:rPr>
          <w:rFonts w:hint="eastAsia" w:ascii="仿宋" w:hAnsi="仿宋" w:eastAsia="仿宋" w:cs="仿宋"/>
          <w:color w:val="auto"/>
          <w:sz w:val="24"/>
          <w:highlight w:val="none"/>
        </w:rPr>
        <w:t>日</w:t>
      </w:r>
    </w:p>
    <w:p w14:paraId="065A6247">
      <w:pPr>
        <w:pageBreakBefore w:val="0"/>
        <w:tabs>
          <w:tab w:val="left" w:pos="557"/>
        </w:tabs>
        <w:kinsoku/>
        <w:bidi w:val="0"/>
        <w:spacing w:line="360" w:lineRule="auto"/>
        <w:rPr>
          <w:rFonts w:hint="eastAsia" w:ascii="仿宋" w:hAnsi="仿宋" w:eastAsia="仿宋" w:cs="仿宋"/>
          <w:color w:val="auto"/>
          <w:highlight w:val="none"/>
        </w:rPr>
        <w:sectPr>
          <w:pgSz w:w="11906" w:h="16838"/>
          <w:pgMar w:top="1440" w:right="1083" w:bottom="1440" w:left="1083" w:header="850" w:footer="1077" w:gutter="0"/>
          <w:pgBorders>
            <w:top w:val="none" w:sz="0" w:space="0"/>
            <w:left w:val="none" w:sz="0" w:space="0"/>
            <w:bottom w:val="none" w:sz="0" w:space="0"/>
            <w:right w:val="none" w:sz="0" w:space="0"/>
          </w:pgBorders>
          <w:pgNumType w:fmt="decimal" w:chapStyle="1"/>
          <w:cols w:space="720" w:num="1"/>
          <w:titlePg/>
          <w:rtlGutter w:val="0"/>
          <w:docGrid w:type="lines" w:linePitch="312" w:charSpace="0"/>
        </w:sectPr>
      </w:pPr>
    </w:p>
    <w:bookmarkEnd w:id="765"/>
    <w:bookmarkEnd w:id="766"/>
    <w:bookmarkEnd w:id="767"/>
    <w:bookmarkEnd w:id="768"/>
    <w:p w14:paraId="629ECA30">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69" w:name="_Toc71734761"/>
      <w:bookmarkStart w:id="770" w:name="_Toc23574"/>
      <w:bookmarkStart w:id="771" w:name="_Toc89638410"/>
      <w:bookmarkStart w:id="772" w:name="_Toc30887"/>
      <w:bookmarkStart w:id="773" w:name="_Toc18709"/>
      <w:bookmarkStart w:id="774" w:name="_Toc71734762"/>
      <w:bookmarkStart w:id="775" w:name="_Toc89638411"/>
      <w:bookmarkStart w:id="776" w:name="_Toc29936"/>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.投标保证书</w:t>
      </w:r>
      <w:bookmarkEnd w:id="769"/>
      <w:bookmarkEnd w:id="770"/>
      <w:bookmarkEnd w:id="771"/>
      <w:bookmarkEnd w:id="772"/>
    </w:p>
    <w:p w14:paraId="1A699793">
      <w:pPr>
        <w:pageBreakBefore w:val="0"/>
        <w:kinsoku/>
        <w:bidi w:val="0"/>
        <w:spacing w:after="12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昆明市第一人民医院</w:t>
      </w:r>
      <w:r>
        <w:rPr>
          <w:rFonts w:hint="eastAsia" w:ascii="仿宋" w:hAnsi="仿宋" w:eastAsia="仿宋" w:cs="仿宋"/>
          <w:b/>
          <w:color w:val="auto"/>
          <w:sz w:val="24"/>
          <w:highlight w:val="none"/>
        </w:rPr>
        <w:t>/云南中招招标有限公司：</w:t>
      </w:r>
    </w:p>
    <w:p w14:paraId="1EB5ADB9">
      <w:pPr>
        <w:pageBreakBefore w:val="0"/>
        <w:kinsoku/>
        <w:bidi w:val="0"/>
        <w:spacing w:before="60" w:after="60" w:line="360" w:lineRule="auto"/>
        <w:ind w:firstLine="510"/>
        <w:rPr>
          <w:rFonts w:hint="eastAsia" w:ascii="仿宋" w:hAnsi="仿宋" w:eastAsia="仿宋" w:cs="仿宋"/>
          <w:b/>
          <w:bCs/>
          <w:color w:val="auto"/>
          <w:sz w:val="24"/>
          <w:highlight w:val="none"/>
          <w:u w:val="single"/>
        </w:rPr>
      </w:pPr>
      <w:r>
        <w:rPr>
          <w:rFonts w:hint="eastAsia" w:ascii="仿宋" w:hAnsi="仿宋" w:eastAsia="仿宋" w:cs="仿宋"/>
          <w:color w:val="auto"/>
          <w:sz w:val="24"/>
          <w:highlight w:val="none"/>
        </w:rPr>
        <w:t>本书作为</w:t>
      </w:r>
      <w:r>
        <w:rPr>
          <w:rFonts w:hint="eastAsia" w:ascii="仿宋" w:hAnsi="仿宋" w:eastAsia="仿宋" w:cs="仿宋"/>
          <w:color w:val="auto"/>
          <w:sz w:val="24"/>
          <w:highlight w:val="none"/>
          <w:u w:val="single"/>
        </w:rPr>
        <w:t>____________</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w:t>
      </w:r>
      <w:r>
        <w:rPr>
          <w:rFonts w:hint="eastAsia" w:ascii="仿宋" w:hAnsi="仿宋" w:eastAsia="仿宋" w:cs="仿宋"/>
          <w:b/>
          <w:bCs/>
          <w:color w:val="auto"/>
          <w:sz w:val="24"/>
          <w:highlight w:val="none"/>
          <w:u w:val="single"/>
        </w:rPr>
        <w:t>（项目名称）</w:t>
      </w:r>
      <w:r>
        <w:rPr>
          <w:rFonts w:hint="eastAsia" w:ascii="仿宋" w:hAnsi="仿宋" w:eastAsia="仿宋" w:cs="仿宋"/>
          <w:b/>
          <w:bCs/>
          <w:color w:val="auto"/>
          <w:sz w:val="24"/>
          <w:szCs w:val="36"/>
          <w:highlight w:val="none"/>
          <w:u w:val="single"/>
        </w:rPr>
        <w:t>（项目编号：</w:t>
      </w:r>
      <w:r>
        <w:rPr>
          <w:rFonts w:hint="eastAsia" w:ascii="仿宋" w:hAnsi="仿宋" w:eastAsia="仿宋" w:cs="仿宋"/>
          <w:b/>
          <w:bCs/>
          <w:color w:val="auto"/>
          <w:sz w:val="24"/>
          <w:szCs w:val="36"/>
          <w:highlight w:val="none"/>
          <w:u w:val="single"/>
          <w:lang w:val="zh-CN"/>
        </w:rPr>
        <w:t xml:space="preserve">      </w:t>
      </w:r>
      <w:r>
        <w:rPr>
          <w:rFonts w:hint="eastAsia" w:ascii="仿宋" w:hAnsi="仿宋" w:eastAsia="仿宋" w:cs="仿宋"/>
          <w:b/>
          <w:bCs/>
          <w:color w:val="auto"/>
          <w:sz w:val="24"/>
          <w:szCs w:val="36"/>
          <w:highlight w:val="none"/>
          <w:u w:val="single"/>
          <w:lang w:val="en-US" w:eastAsia="zh-CN"/>
        </w:rPr>
        <w:t xml:space="preserve"> </w:t>
      </w:r>
      <w:r>
        <w:rPr>
          <w:rFonts w:hint="eastAsia" w:ascii="仿宋" w:hAnsi="仿宋" w:eastAsia="仿宋" w:cs="仿宋"/>
          <w:b/>
          <w:bCs/>
          <w:color w:val="auto"/>
          <w:sz w:val="24"/>
          <w:szCs w:val="36"/>
          <w:highlight w:val="none"/>
          <w:u w:val="single"/>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 xml:space="preserve">标段号：     </w:t>
      </w:r>
      <w:r>
        <w:rPr>
          <w:rFonts w:hint="eastAsia" w:ascii="仿宋" w:hAnsi="仿宋" w:eastAsia="仿宋" w:cs="仿宋"/>
          <w:b/>
          <w:bCs/>
          <w:color w:val="auto"/>
          <w:sz w:val="24"/>
          <w:highlight w:val="none"/>
          <w:u w:val="single"/>
          <w:lang w:eastAsia="zh-CN"/>
        </w:rPr>
        <w:t>）</w:t>
      </w:r>
      <w:r>
        <w:rPr>
          <w:rFonts w:hint="eastAsia" w:ascii="仿宋" w:hAnsi="仿宋" w:eastAsia="仿宋" w:cs="仿宋"/>
          <w:color w:val="auto"/>
          <w:sz w:val="24"/>
          <w:highlight w:val="none"/>
        </w:rPr>
        <w:t>的投标提供投标保证金的保证。</w:t>
      </w:r>
    </w:p>
    <w:p w14:paraId="5EA9BFD8">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由</w:t>
      </w:r>
      <w:r>
        <w:rPr>
          <w:rFonts w:hint="eastAsia" w:ascii="仿宋" w:hAnsi="仿宋" w:eastAsia="仿宋" w:cs="仿宋"/>
          <w:color w:val="auto"/>
          <w:sz w:val="24"/>
          <w:highlight w:val="none"/>
          <w:u w:val="single"/>
        </w:rPr>
        <w:t>____________</w:t>
      </w:r>
      <w:r>
        <w:rPr>
          <w:rFonts w:hint="eastAsia" w:ascii="仿宋" w:hAnsi="仿宋" w:eastAsia="仿宋" w:cs="仿宋"/>
          <w:color w:val="auto"/>
          <w:sz w:val="24"/>
          <w:highlight w:val="none"/>
        </w:rPr>
        <w:t>（开户银行名称）提供的</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（填投标保证金形式）总额为</w:t>
      </w:r>
      <w:r>
        <w:rPr>
          <w:rFonts w:hint="eastAsia" w:ascii="仿宋" w:hAnsi="仿宋" w:eastAsia="仿宋" w:cs="仿宋"/>
          <w:color w:val="auto"/>
          <w:sz w:val="24"/>
          <w:highlight w:val="none"/>
          <w:u w:val="single"/>
        </w:rPr>
        <w:t>___________________</w:t>
      </w:r>
      <w:r>
        <w:rPr>
          <w:rFonts w:hint="eastAsia" w:ascii="仿宋" w:hAnsi="仿宋" w:eastAsia="仿宋" w:cs="仿宋"/>
          <w:color w:val="auto"/>
          <w:sz w:val="24"/>
          <w:highlight w:val="none"/>
        </w:rPr>
        <w:t>（人民币，元）。</w:t>
      </w:r>
    </w:p>
    <w:p w14:paraId="4A685767">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一旦发生下述行为，我单位（或公司）将放弃追索保证金的权利：</w:t>
      </w:r>
    </w:p>
    <w:p w14:paraId="05F6840F">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（1）从开标日起到投标文件有效期满前，</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撤回投标；</w:t>
      </w:r>
    </w:p>
    <w:p w14:paraId="1B462C6A">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（2）开标、评标到定标期间发生违反招标文件规定的行为；</w:t>
      </w:r>
    </w:p>
    <w:p w14:paraId="571DD752">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（3）在收到《中标通知书》后未能按中标通知书规定的时间地点与</w:t>
      </w:r>
      <w:r>
        <w:rPr>
          <w:rFonts w:hint="eastAsia" w:ascii="仿宋" w:hAnsi="仿宋" w:eastAsia="仿宋" w:cs="仿宋"/>
          <w:bCs/>
          <w:color w:val="auto"/>
          <w:spacing w:val="10"/>
          <w:sz w:val="24"/>
          <w:szCs w:val="20"/>
          <w:highlight w:val="none"/>
        </w:rPr>
        <w:t>采购人</w:t>
      </w:r>
      <w:r>
        <w:rPr>
          <w:rFonts w:hint="eastAsia" w:ascii="仿宋" w:hAnsi="仿宋" w:eastAsia="仿宋" w:cs="仿宋"/>
          <w:color w:val="auto"/>
          <w:sz w:val="24"/>
          <w:highlight w:val="none"/>
        </w:rPr>
        <w:t>签订合同；</w:t>
      </w:r>
    </w:p>
    <w:p w14:paraId="01F0F38D">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（4）中标后未按规定交付采购代理服务费。</w:t>
      </w:r>
    </w:p>
    <w:p w14:paraId="57C01C63">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本保证书自开标日起90日有效，除非贵方提前终止或解除本保证书。</w:t>
      </w:r>
    </w:p>
    <w:p w14:paraId="7A220583">
      <w:pPr>
        <w:pageBreakBefore w:val="0"/>
        <w:kinsoku/>
        <w:bidi w:val="0"/>
        <w:spacing w:before="60" w:after="60" w:line="360" w:lineRule="auto"/>
        <w:rPr>
          <w:rFonts w:hint="eastAsia" w:ascii="仿宋" w:hAnsi="仿宋" w:eastAsia="仿宋" w:cs="仿宋"/>
          <w:color w:val="auto"/>
          <w:sz w:val="24"/>
          <w:highlight w:val="none"/>
        </w:rPr>
      </w:pPr>
    </w:p>
    <w:p w14:paraId="79E5EFBF">
      <w:pPr>
        <w:pageBreakBefore w:val="0"/>
        <w:kinsoku/>
        <w:bidi w:val="0"/>
        <w:spacing w:before="60" w:after="60" w:line="360" w:lineRule="auto"/>
        <w:rPr>
          <w:rFonts w:hint="eastAsia" w:ascii="仿宋" w:hAnsi="仿宋" w:eastAsia="仿宋" w:cs="仿宋"/>
          <w:color w:val="auto"/>
          <w:sz w:val="24"/>
          <w:highlight w:val="none"/>
        </w:rPr>
      </w:pPr>
    </w:p>
    <w:p w14:paraId="169BBA59">
      <w:pPr>
        <w:pageBreakBefore w:val="0"/>
        <w:kinsoku/>
        <w:bidi w:val="0"/>
        <w:spacing w:before="60" w:after="60" w:line="360" w:lineRule="auto"/>
        <w:rPr>
          <w:rFonts w:hint="eastAsia" w:ascii="仿宋" w:hAnsi="仿宋" w:eastAsia="仿宋" w:cs="仿宋"/>
          <w:color w:val="auto"/>
          <w:sz w:val="24"/>
          <w:highlight w:val="none"/>
        </w:rPr>
      </w:pPr>
    </w:p>
    <w:p w14:paraId="6E273AE9">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01DF302A">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__________________</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_____ ___________</w:t>
      </w:r>
    </w:p>
    <w:p w14:paraId="733D2B6E">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        _____</w:t>
      </w:r>
    </w:p>
    <w:p w14:paraId="1BEDF797">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115EF736">
      <w:pPr>
        <w:pStyle w:val="4"/>
        <w:pageBreakBefore w:val="0"/>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.投标保证金缴纳凭据</w:t>
      </w:r>
      <w:bookmarkEnd w:id="773"/>
      <w:bookmarkEnd w:id="774"/>
      <w:bookmarkEnd w:id="775"/>
      <w:bookmarkEnd w:id="776"/>
    </w:p>
    <w:p w14:paraId="6B948F6A">
      <w:pPr>
        <w:pageBreakBefore w:val="0"/>
        <w:kinsoku/>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(附凭据扫描件</w:t>
      </w:r>
      <w:r>
        <w:rPr>
          <w:rFonts w:hint="eastAsia" w:ascii="仿宋" w:hAnsi="仿宋" w:eastAsia="仿宋" w:cs="仿宋"/>
          <w:color w:val="auto"/>
          <w:sz w:val="24"/>
          <w:highlight w:val="none"/>
          <w:lang w:val="en-US" w:eastAsia="zh-CN"/>
        </w:rPr>
        <w:t>及</w:t>
      </w:r>
      <w:r>
        <w:rPr>
          <w:rFonts w:hint="eastAsia" w:ascii="仿宋" w:hAnsi="仿宋" w:eastAsia="仿宋" w:cs="仿宋"/>
          <w:b/>
          <w:bCs/>
          <w:color w:val="auto"/>
          <w:sz w:val="24"/>
          <w:highlight w:val="none"/>
          <w:lang w:val="en-US" w:eastAsia="zh-CN"/>
        </w:rPr>
        <w:t>基本户证明</w:t>
      </w:r>
      <w:r>
        <w:rPr>
          <w:rFonts w:hint="eastAsia" w:ascii="仿宋" w:hAnsi="仿宋" w:eastAsia="仿宋" w:cs="仿宋"/>
          <w:color w:val="auto"/>
          <w:sz w:val="24"/>
          <w:highlight w:val="none"/>
        </w:rPr>
        <w:t>加盖电子公章)</w:t>
      </w:r>
    </w:p>
    <w:p w14:paraId="1BD10D68">
      <w:pPr>
        <w:pageBreakBefore w:val="0"/>
        <w:kinsoku/>
        <w:bidi w:val="0"/>
        <w:spacing w:before="60" w:after="60" w:line="360" w:lineRule="auto"/>
        <w:ind w:firstLine="510"/>
        <w:rPr>
          <w:rFonts w:hint="eastAsia" w:ascii="仿宋" w:hAnsi="仿宋" w:eastAsia="仿宋" w:cs="仿宋"/>
          <w:color w:val="auto"/>
          <w:sz w:val="24"/>
          <w:highlight w:val="none"/>
        </w:rPr>
      </w:pPr>
    </w:p>
    <w:p w14:paraId="0B435900">
      <w:pPr>
        <w:pageBreakBefore w:val="0"/>
        <w:kinsoku/>
        <w:bidi w:val="0"/>
        <w:spacing w:before="60" w:after="60" w:line="360" w:lineRule="auto"/>
        <w:ind w:firstLine="510"/>
        <w:rPr>
          <w:rFonts w:hint="eastAsia" w:ascii="仿宋" w:hAnsi="仿宋" w:eastAsia="仿宋" w:cs="仿宋"/>
          <w:color w:val="auto"/>
          <w:sz w:val="24"/>
          <w:highlight w:val="none"/>
        </w:rPr>
      </w:pPr>
    </w:p>
    <w:p w14:paraId="449FC3FA">
      <w:pPr>
        <w:pageBreakBefore w:val="0"/>
        <w:kinsoku/>
        <w:bidi w:val="0"/>
        <w:spacing w:before="60" w:after="60" w:line="360" w:lineRule="auto"/>
        <w:ind w:firstLine="510"/>
        <w:rPr>
          <w:rFonts w:hint="eastAsia" w:ascii="仿宋" w:hAnsi="仿宋" w:eastAsia="仿宋" w:cs="仿宋"/>
          <w:color w:val="auto"/>
          <w:sz w:val="24"/>
          <w:highlight w:val="none"/>
        </w:rPr>
      </w:pPr>
    </w:p>
    <w:p w14:paraId="15778A8D">
      <w:pPr>
        <w:pageBreakBefore w:val="0"/>
        <w:kinsoku/>
        <w:bidi w:val="0"/>
        <w:spacing w:before="60" w:after="60" w:line="360" w:lineRule="auto"/>
        <w:ind w:firstLine="510"/>
        <w:rPr>
          <w:rFonts w:hint="eastAsia" w:ascii="仿宋" w:hAnsi="仿宋" w:eastAsia="仿宋" w:cs="仿宋"/>
          <w:color w:val="auto"/>
          <w:sz w:val="24"/>
          <w:highlight w:val="none"/>
        </w:rPr>
      </w:pPr>
    </w:p>
    <w:p w14:paraId="09BBA086">
      <w:pPr>
        <w:pageBreakBefore w:val="0"/>
        <w:kinsoku/>
        <w:bidi w:val="0"/>
        <w:spacing w:before="60" w:after="60" w:line="360" w:lineRule="auto"/>
        <w:ind w:firstLine="510"/>
        <w:rPr>
          <w:rFonts w:hint="eastAsia" w:ascii="仿宋" w:hAnsi="仿宋" w:eastAsia="仿宋" w:cs="仿宋"/>
          <w:color w:val="auto"/>
          <w:sz w:val="24"/>
          <w:highlight w:val="none"/>
        </w:rPr>
      </w:pPr>
    </w:p>
    <w:p w14:paraId="3C4AACBE">
      <w:pPr>
        <w:pageBreakBefore w:val="0"/>
        <w:kinsoku/>
        <w:bidi w:val="0"/>
        <w:spacing w:before="60" w:after="60" w:line="360" w:lineRule="auto"/>
        <w:ind w:firstLine="510"/>
        <w:rPr>
          <w:rFonts w:hint="eastAsia" w:ascii="仿宋" w:hAnsi="仿宋" w:eastAsia="仿宋" w:cs="仿宋"/>
          <w:color w:val="auto"/>
          <w:sz w:val="24"/>
          <w:highlight w:val="none"/>
        </w:rPr>
      </w:pPr>
    </w:p>
    <w:p w14:paraId="63F6C3B9">
      <w:pPr>
        <w:pageBreakBefore w:val="0"/>
        <w:kinsoku/>
        <w:bidi w:val="0"/>
        <w:spacing w:before="60" w:after="60" w:line="360" w:lineRule="auto"/>
        <w:ind w:firstLine="510"/>
        <w:rPr>
          <w:rFonts w:hint="eastAsia" w:ascii="仿宋" w:hAnsi="仿宋" w:eastAsia="仿宋" w:cs="仿宋"/>
          <w:color w:val="auto"/>
          <w:sz w:val="24"/>
          <w:highlight w:val="none"/>
        </w:rPr>
      </w:pPr>
    </w:p>
    <w:p w14:paraId="0324E800">
      <w:pPr>
        <w:pageBreakBefore w:val="0"/>
        <w:kinsoku/>
        <w:bidi w:val="0"/>
        <w:spacing w:before="60" w:after="60" w:line="360" w:lineRule="auto"/>
        <w:ind w:firstLine="510"/>
        <w:rPr>
          <w:rFonts w:hint="eastAsia" w:ascii="仿宋" w:hAnsi="仿宋" w:eastAsia="仿宋" w:cs="仿宋"/>
          <w:color w:val="auto"/>
          <w:sz w:val="24"/>
          <w:highlight w:val="none"/>
        </w:rPr>
      </w:pPr>
    </w:p>
    <w:p w14:paraId="5EF12F8B">
      <w:pPr>
        <w:pageBreakBefore w:val="0"/>
        <w:kinsoku/>
        <w:bidi w:val="0"/>
        <w:spacing w:before="60" w:after="60" w:line="360" w:lineRule="auto"/>
        <w:ind w:firstLine="510"/>
        <w:rPr>
          <w:rFonts w:hint="eastAsia" w:ascii="仿宋" w:hAnsi="仿宋" w:eastAsia="仿宋" w:cs="仿宋"/>
          <w:color w:val="auto"/>
          <w:sz w:val="24"/>
          <w:highlight w:val="none"/>
        </w:rPr>
      </w:pPr>
    </w:p>
    <w:p w14:paraId="54ED86C4">
      <w:pPr>
        <w:pageBreakBefore w:val="0"/>
        <w:kinsoku/>
        <w:bidi w:val="0"/>
        <w:spacing w:before="60" w:after="60" w:line="360" w:lineRule="auto"/>
        <w:ind w:firstLine="510"/>
        <w:rPr>
          <w:rFonts w:hint="eastAsia" w:ascii="仿宋" w:hAnsi="仿宋" w:eastAsia="仿宋" w:cs="仿宋"/>
          <w:color w:val="auto"/>
          <w:sz w:val="24"/>
          <w:highlight w:val="none"/>
        </w:rPr>
      </w:pPr>
    </w:p>
    <w:p w14:paraId="1FD99EB9">
      <w:pPr>
        <w:pageBreakBefore w:val="0"/>
        <w:kinsoku/>
        <w:bidi w:val="0"/>
        <w:spacing w:before="60" w:after="60" w:line="360" w:lineRule="auto"/>
        <w:ind w:firstLine="510"/>
        <w:rPr>
          <w:rFonts w:hint="eastAsia" w:ascii="仿宋" w:hAnsi="仿宋" w:eastAsia="仿宋" w:cs="仿宋"/>
          <w:color w:val="auto"/>
          <w:sz w:val="24"/>
          <w:highlight w:val="none"/>
        </w:rPr>
      </w:pPr>
    </w:p>
    <w:p w14:paraId="6D674A17">
      <w:pPr>
        <w:pageBreakBefore w:val="0"/>
        <w:kinsoku/>
        <w:bidi w:val="0"/>
        <w:spacing w:before="60" w:after="60" w:line="360" w:lineRule="auto"/>
        <w:ind w:firstLine="510"/>
        <w:rPr>
          <w:rFonts w:hint="eastAsia" w:ascii="仿宋" w:hAnsi="仿宋" w:eastAsia="仿宋" w:cs="仿宋"/>
          <w:color w:val="auto"/>
          <w:sz w:val="24"/>
          <w:highlight w:val="none"/>
        </w:rPr>
      </w:pPr>
    </w:p>
    <w:p w14:paraId="78B088B4">
      <w:pPr>
        <w:pageBreakBefore w:val="0"/>
        <w:kinsoku/>
        <w:bidi w:val="0"/>
        <w:spacing w:before="60" w:after="60" w:line="360" w:lineRule="auto"/>
        <w:ind w:firstLine="510"/>
        <w:rPr>
          <w:rFonts w:hint="eastAsia" w:ascii="仿宋" w:hAnsi="仿宋" w:eastAsia="仿宋" w:cs="仿宋"/>
          <w:color w:val="auto"/>
          <w:sz w:val="24"/>
          <w:highlight w:val="none"/>
        </w:rPr>
      </w:pPr>
    </w:p>
    <w:p w14:paraId="53978491">
      <w:pPr>
        <w:pageBreakBefore w:val="0"/>
        <w:kinsoku/>
        <w:bidi w:val="0"/>
        <w:spacing w:before="60" w:after="60" w:line="360" w:lineRule="auto"/>
        <w:ind w:firstLine="510"/>
        <w:rPr>
          <w:rFonts w:hint="eastAsia" w:ascii="仿宋" w:hAnsi="仿宋" w:eastAsia="仿宋" w:cs="仿宋"/>
          <w:color w:val="auto"/>
          <w:sz w:val="24"/>
          <w:highlight w:val="none"/>
        </w:rPr>
      </w:pPr>
    </w:p>
    <w:p w14:paraId="4EF87064">
      <w:pPr>
        <w:pageBreakBefore w:val="0"/>
        <w:kinsoku/>
        <w:bidi w:val="0"/>
        <w:spacing w:before="60" w:after="60" w:line="360" w:lineRule="auto"/>
        <w:ind w:firstLine="510"/>
        <w:rPr>
          <w:rFonts w:hint="eastAsia" w:ascii="仿宋" w:hAnsi="仿宋" w:eastAsia="仿宋" w:cs="仿宋"/>
          <w:color w:val="auto"/>
          <w:sz w:val="24"/>
          <w:highlight w:val="none"/>
        </w:rPr>
      </w:pPr>
    </w:p>
    <w:p w14:paraId="35269A3A">
      <w:pPr>
        <w:pageBreakBefore w:val="0"/>
        <w:kinsoku/>
        <w:bidi w:val="0"/>
        <w:spacing w:before="60" w:after="60" w:line="360" w:lineRule="auto"/>
        <w:ind w:firstLine="510"/>
        <w:rPr>
          <w:rFonts w:hint="eastAsia" w:ascii="仿宋" w:hAnsi="仿宋" w:eastAsia="仿宋" w:cs="仿宋"/>
          <w:color w:val="auto"/>
          <w:sz w:val="24"/>
          <w:highlight w:val="none"/>
        </w:rPr>
      </w:pPr>
    </w:p>
    <w:p w14:paraId="2BA8029B">
      <w:pPr>
        <w:pageBreakBefore w:val="0"/>
        <w:kinsoku/>
        <w:bidi w:val="0"/>
        <w:spacing w:before="60" w:after="60" w:line="360" w:lineRule="auto"/>
        <w:ind w:firstLine="510"/>
        <w:rPr>
          <w:rFonts w:hint="eastAsia" w:ascii="仿宋" w:hAnsi="仿宋" w:eastAsia="仿宋" w:cs="仿宋"/>
          <w:color w:val="auto"/>
          <w:sz w:val="24"/>
          <w:highlight w:val="none"/>
        </w:rPr>
      </w:pPr>
    </w:p>
    <w:p w14:paraId="2228A6A3">
      <w:pPr>
        <w:pStyle w:val="15"/>
        <w:pageBreakBefore w:val="0"/>
        <w:kinsoku/>
        <w:bidi w:val="0"/>
        <w:spacing w:line="360" w:lineRule="auto"/>
        <w:rPr>
          <w:rFonts w:hint="eastAsia" w:ascii="仿宋" w:hAnsi="仿宋" w:eastAsia="仿宋" w:cs="仿宋"/>
          <w:color w:val="auto"/>
          <w:highlight w:val="none"/>
        </w:rPr>
      </w:pPr>
    </w:p>
    <w:p w14:paraId="3E97AF7C">
      <w:pPr>
        <w:pStyle w:val="15"/>
        <w:pageBreakBefore w:val="0"/>
        <w:kinsoku/>
        <w:bidi w:val="0"/>
        <w:spacing w:line="360" w:lineRule="auto"/>
        <w:rPr>
          <w:rFonts w:hint="eastAsia" w:ascii="仿宋" w:hAnsi="仿宋" w:eastAsia="仿宋" w:cs="仿宋"/>
          <w:color w:val="auto"/>
          <w:highlight w:val="none"/>
        </w:rPr>
      </w:pPr>
    </w:p>
    <w:p w14:paraId="291BCB4B">
      <w:pPr>
        <w:pStyle w:val="15"/>
        <w:pageBreakBefore w:val="0"/>
        <w:kinsoku/>
        <w:bidi w:val="0"/>
        <w:spacing w:line="360" w:lineRule="auto"/>
        <w:rPr>
          <w:rFonts w:hint="eastAsia" w:ascii="仿宋" w:hAnsi="仿宋" w:eastAsia="仿宋" w:cs="仿宋"/>
          <w:color w:val="auto"/>
          <w:highlight w:val="none"/>
        </w:rPr>
      </w:pPr>
    </w:p>
    <w:p w14:paraId="44A997D1">
      <w:pPr>
        <w:pStyle w:val="15"/>
        <w:pageBreakBefore w:val="0"/>
        <w:kinsoku/>
        <w:bidi w:val="0"/>
        <w:spacing w:line="360" w:lineRule="auto"/>
        <w:rPr>
          <w:rFonts w:hint="eastAsia" w:ascii="仿宋" w:hAnsi="仿宋" w:eastAsia="仿宋" w:cs="仿宋"/>
          <w:color w:val="auto"/>
          <w:highlight w:val="none"/>
        </w:rPr>
      </w:pPr>
    </w:p>
    <w:p w14:paraId="327DBC25">
      <w:pPr>
        <w:pStyle w:val="15"/>
        <w:pageBreakBefore w:val="0"/>
        <w:kinsoku/>
        <w:bidi w:val="0"/>
        <w:spacing w:line="360" w:lineRule="auto"/>
        <w:rPr>
          <w:rFonts w:hint="eastAsia" w:ascii="仿宋" w:hAnsi="仿宋" w:eastAsia="仿宋" w:cs="仿宋"/>
          <w:color w:val="auto"/>
          <w:highlight w:val="none"/>
        </w:rPr>
      </w:pPr>
    </w:p>
    <w:p w14:paraId="5B9A80C6">
      <w:pPr>
        <w:pStyle w:val="15"/>
        <w:pageBreakBefore w:val="0"/>
        <w:kinsoku/>
        <w:bidi w:val="0"/>
        <w:spacing w:line="360" w:lineRule="auto"/>
        <w:rPr>
          <w:rFonts w:hint="eastAsia" w:ascii="仿宋" w:hAnsi="仿宋" w:eastAsia="仿宋" w:cs="仿宋"/>
          <w:color w:val="auto"/>
          <w:highlight w:val="none"/>
        </w:rPr>
      </w:pPr>
    </w:p>
    <w:p w14:paraId="06A5AEAC">
      <w:pPr>
        <w:pStyle w:val="15"/>
        <w:pageBreakBefore w:val="0"/>
        <w:kinsoku/>
        <w:bidi w:val="0"/>
        <w:spacing w:line="360" w:lineRule="auto"/>
        <w:rPr>
          <w:rFonts w:hint="eastAsia" w:ascii="仿宋" w:hAnsi="仿宋" w:eastAsia="仿宋" w:cs="仿宋"/>
          <w:color w:val="auto"/>
          <w:highlight w:val="none"/>
        </w:rPr>
      </w:pPr>
    </w:p>
    <w:p w14:paraId="2DEC4275">
      <w:pPr>
        <w:pageBreakBefore w:val="0"/>
        <w:kinsoku/>
        <w:bidi w:val="0"/>
        <w:spacing w:line="360" w:lineRule="auto"/>
        <w:rPr>
          <w:rFonts w:hint="eastAsia" w:ascii="仿宋" w:hAnsi="仿宋" w:eastAsia="仿宋" w:cs="仿宋"/>
          <w:color w:val="auto"/>
          <w:sz w:val="24"/>
          <w:highlight w:val="none"/>
        </w:rPr>
      </w:pPr>
    </w:p>
    <w:p w14:paraId="3EF57B9E">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77" w:name="_Toc3767"/>
      <w:bookmarkStart w:id="778" w:name="_Toc71734763"/>
      <w:bookmarkStart w:id="779" w:name="_Toc2870"/>
      <w:bookmarkStart w:id="780" w:name="_Toc89638412"/>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.法定代表人身份证明书及法定代表人授权委托书</w:t>
      </w:r>
      <w:bookmarkEnd w:id="777"/>
      <w:bookmarkEnd w:id="778"/>
      <w:bookmarkEnd w:id="779"/>
      <w:bookmarkEnd w:id="780"/>
    </w:p>
    <w:p w14:paraId="7C35B578">
      <w:pPr>
        <w:pStyle w:val="5"/>
        <w:pageBreakBefore w:val="0"/>
        <w:kinsoku/>
        <w:bidi w:val="0"/>
        <w:spacing w:line="360" w:lineRule="auto"/>
        <w:jc w:val="center"/>
        <w:rPr>
          <w:rFonts w:hint="eastAsia" w:ascii="仿宋" w:hAnsi="仿宋" w:eastAsia="仿宋" w:cs="仿宋"/>
          <w:b w:val="0"/>
          <w:color w:val="auto"/>
          <w:sz w:val="36"/>
          <w:szCs w:val="20"/>
          <w:highlight w:val="none"/>
        </w:rPr>
      </w:pPr>
      <w:bookmarkStart w:id="781" w:name="_Toc89638413"/>
      <w:bookmarkStart w:id="782" w:name="_Toc4848"/>
      <w:bookmarkStart w:id="783" w:name="_Toc21986"/>
      <w:bookmarkStart w:id="784" w:name="_Toc71734764"/>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.1法定代表人身份证明书</w:t>
      </w:r>
      <w:bookmarkEnd w:id="781"/>
      <w:bookmarkEnd w:id="782"/>
      <w:bookmarkEnd w:id="783"/>
      <w:bookmarkEnd w:id="784"/>
    </w:p>
    <w:p w14:paraId="09894AF3">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F8D862A">
      <w:pPr>
        <w:pageBreakBefore w:val="0"/>
        <w:kinsoku/>
        <w:bidi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C35D865">
      <w:pPr>
        <w:pageBreakBefore w:val="0"/>
        <w:kinsoku/>
        <w:bidi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340B445">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0EA0445">
      <w:pPr>
        <w:pageBreakBefore w:val="0"/>
        <w:kinsoku/>
        <w:bidi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p>
    <w:p w14:paraId="42502D91">
      <w:pPr>
        <w:pageBreakBefore w:val="0"/>
        <w:kinsoku/>
        <w:bidi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31047883">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 xml:space="preserve">单位名称）    </w:t>
      </w:r>
      <w:r>
        <w:rPr>
          <w:rFonts w:hint="eastAsia" w:ascii="仿宋" w:hAnsi="仿宋" w:eastAsia="仿宋" w:cs="仿宋"/>
          <w:color w:val="auto"/>
          <w:sz w:val="24"/>
          <w:highlight w:val="none"/>
        </w:rPr>
        <w:t>的法定代表人。</w:t>
      </w:r>
    </w:p>
    <w:p w14:paraId="3DA190EE">
      <w:pPr>
        <w:pageBreakBefore w:val="0"/>
        <w:kinsoku/>
        <w:bidi w:val="0"/>
        <w:spacing w:line="360" w:lineRule="auto"/>
        <w:ind w:firstLine="480" w:firstLineChars="200"/>
        <w:rPr>
          <w:rFonts w:hint="eastAsia" w:ascii="仿宋" w:hAnsi="仿宋" w:eastAsia="仿宋" w:cs="仿宋"/>
          <w:color w:val="auto"/>
          <w:sz w:val="24"/>
          <w:highlight w:val="none"/>
        </w:rPr>
      </w:pPr>
    </w:p>
    <w:p w14:paraId="30C55530">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9C42C95">
      <w:pPr>
        <w:pageBreakBefore w:val="0"/>
        <w:kinsoku/>
        <w:bidi w:val="0"/>
        <w:spacing w:line="360" w:lineRule="auto"/>
        <w:ind w:firstLine="480" w:firstLineChars="200"/>
        <w:rPr>
          <w:rFonts w:hint="eastAsia" w:ascii="仿宋" w:hAnsi="仿宋" w:eastAsia="仿宋" w:cs="仿宋"/>
          <w:color w:val="auto"/>
          <w:sz w:val="24"/>
          <w:highlight w:val="none"/>
        </w:rPr>
      </w:pPr>
    </w:p>
    <w:p w14:paraId="60ED9A18">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法定代表人身份证扫描件国徽面、人像面</w:t>
      </w:r>
    </w:p>
    <w:p w14:paraId="40C41FBB">
      <w:pPr>
        <w:pageBreakBefore w:val="0"/>
        <w:tabs>
          <w:tab w:val="left" w:pos="720"/>
          <w:tab w:val="left" w:pos="900"/>
        </w:tabs>
        <w:kinsoku/>
        <w:bidi w:val="0"/>
        <w:spacing w:line="360" w:lineRule="auto"/>
        <w:rPr>
          <w:rFonts w:hint="eastAsia" w:ascii="仿宋" w:hAnsi="仿宋" w:eastAsia="仿宋" w:cs="仿宋"/>
          <w:color w:val="auto"/>
          <w:sz w:val="24"/>
          <w:highlight w:val="none"/>
        </w:rPr>
      </w:pPr>
    </w:p>
    <w:p w14:paraId="7376C453">
      <w:pPr>
        <w:pageBreakBefore w:val="0"/>
        <w:tabs>
          <w:tab w:val="left" w:pos="720"/>
          <w:tab w:val="left" w:pos="900"/>
        </w:tabs>
        <w:kinsoku/>
        <w:bidi w:val="0"/>
        <w:spacing w:line="360" w:lineRule="auto"/>
        <w:rPr>
          <w:rFonts w:hint="eastAsia" w:ascii="仿宋" w:hAnsi="仿宋" w:eastAsia="仿宋" w:cs="仿宋"/>
          <w:color w:val="auto"/>
          <w:sz w:val="24"/>
          <w:highlight w:val="none"/>
        </w:rPr>
      </w:pPr>
    </w:p>
    <w:p w14:paraId="4FD95685">
      <w:pPr>
        <w:pageBreakBefore w:val="0"/>
        <w:tabs>
          <w:tab w:val="left" w:pos="720"/>
          <w:tab w:val="left" w:pos="900"/>
        </w:tabs>
        <w:kinsoku/>
        <w:bidi w:val="0"/>
        <w:spacing w:line="360" w:lineRule="auto"/>
        <w:ind w:firstLine="4560" w:firstLineChars="1900"/>
        <w:rPr>
          <w:rFonts w:hint="eastAsia" w:ascii="仿宋" w:hAnsi="仿宋" w:eastAsia="仿宋" w:cs="仿宋"/>
          <w:color w:val="auto"/>
          <w:sz w:val="24"/>
          <w:highlight w:val="none"/>
        </w:rPr>
      </w:pPr>
    </w:p>
    <w:p w14:paraId="14C3FBA7">
      <w:pPr>
        <w:pageBreakBefore w:val="0"/>
        <w:tabs>
          <w:tab w:val="left" w:pos="720"/>
          <w:tab w:val="left" w:pos="900"/>
        </w:tabs>
        <w:kinsoku/>
        <w:bidi w:val="0"/>
        <w:spacing w:line="360" w:lineRule="auto"/>
        <w:rPr>
          <w:rFonts w:hint="eastAsia" w:ascii="仿宋" w:hAnsi="仿宋" w:eastAsia="仿宋" w:cs="仿宋"/>
          <w:color w:val="auto"/>
          <w:sz w:val="24"/>
          <w:highlight w:val="none"/>
        </w:rPr>
      </w:pPr>
    </w:p>
    <w:p w14:paraId="19953065">
      <w:pPr>
        <w:pageBreakBefore w:val="0"/>
        <w:tabs>
          <w:tab w:val="left" w:pos="720"/>
          <w:tab w:val="left" w:pos="900"/>
        </w:tabs>
        <w:kinsoku/>
        <w:bidi w:val="0"/>
        <w:spacing w:line="360" w:lineRule="auto"/>
        <w:ind w:firstLine="4560" w:firstLineChars="1900"/>
        <w:rPr>
          <w:rFonts w:hint="eastAsia" w:ascii="仿宋" w:hAnsi="仿宋" w:eastAsia="仿宋" w:cs="仿宋"/>
          <w:color w:val="auto"/>
          <w:sz w:val="24"/>
          <w:highlight w:val="none"/>
        </w:rPr>
      </w:pPr>
    </w:p>
    <w:p w14:paraId="1DB7376A">
      <w:pPr>
        <w:pageBreakBefore w:val="0"/>
        <w:tabs>
          <w:tab w:val="left" w:pos="720"/>
          <w:tab w:val="left" w:pos="900"/>
        </w:tabs>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 xml:space="preserve">                   </w:t>
      </w:r>
    </w:p>
    <w:p w14:paraId="6BAC58EA">
      <w:pPr>
        <w:pageBreakBefore w:val="0"/>
        <w:tabs>
          <w:tab w:val="left" w:pos="720"/>
          <w:tab w:val="left" w:pos="900"/>
        </w:tabs>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E990785">
      <w:pPr>
        <w:pStyle w:val="15"/>
        <w:pageBreakBefore w:val="0"/>
        <w:kinsoku/>
        <w:bidi w:val="0"/>
        <w:spacing w:line="360" w:lineRule="auto"/>
        <w:rPr>
          <w:rFonts w:hint="eastAsia" w:ascii="仿宋" w:hAnsi="仿宋" w:eastAsia="仿宋" w:cs="仿宋"/>
          <w:color w:val="auto"/>
          <w:highlight w:val="none"/>
        </w:rPr>
      </w:pPr>
    </w:p>
    <w:p w14:paraId="708D3AA9">
      <w:pPr>
        <w:pStyle w:val="15"/>
        <w:pageBreakBefore w:val="0"/>
        <w:kinsoku/>
        <w:bidi w:val="0"/>
        <w:spacing w:line="360" w:lineRule="auto"/>
        <w:rPr>
          <w:rFonts w:hint="eastAsia" w:ascii="仿宋" w:hAnsi="仿宋" w:eastAsia="仿宋" w:cs="仿宋"/>
          <w:color w:val="auto"/>
          <w:highlight w:val="none"/>
        </w:rPr>
      </w:pPr>
    </w:p>
    <w:p w14:paraId="766FA68A">
      <w:pPr>
        <w:pStyle w:val="15"/>
        <w:pageBreakBefore w:val="0"/>
        <w:kinsoku/>
        <w:bidi w:val="0"/>
        <w:spacing w:line="360" w:lineRule="auto"/>
        <w:rPr>
          <w:rFonts w:hint="eastAsia" w:ascii="仿宋" w:hAnsi="仿宋" w:eastAsia="仿宋" w:cs="仿宋"/>
          <w:color w:val="auto"/>
          <w:highlight w:val="none"/>
        </w:rPr>
      </w:pPr>
    </w:p>
    <w:p w14:paraId="34D4AC5D">
      <w:pPr>
        <w:pStyle w:val="15"/>
        <w:pageBreakBefore w:val="0"/>
        <w:kinsoku/>
        <w:bidi w:val="0"/>
        <w:spacing w:line="360" w:lineRule="auto"/>
        <w:rPr>
          <w:rFonts w:hint="eastAsia" w:ascii="仿宋" w:hAnsi="仿宋" w:eastAsia="仿宋" w:cs="仿宋"/>
          <w:color w:val="auto"/>
          <w:highlight w:val="none"/>
        </w:rPr>
      </w:pPr>
    </w:p>
    <w:p w14:paraId="3B1C56B9">
      <w:pPr>
        <w:pStyle w:val="15"/>
        <w:pageBreakBefore w:val="0"/>
        <w:kinsoku/>
        <w:bidi w:val="0"/>
        <w:spacing w:line="360" w:lineRule="auto"/>
        <w:rPr>
          <w:rFonts w:hint="eastAsia" w:ascii="仿宋" w:hAnsi="仿宋" w:eastAsia="仿宋" w:cs="仿宋"/>
          <w:color w:val="auto"/>
          <w:highlight w:val="none"/>
        </w:rPr>
      </w:pPr>
    </w:p>
    <w:p w14:paraId="4C86917F">
      <w:pPr>
        <w:pStyle w:val="15"/>
        <w:pageBreakBefore w:val="0"/>
        <w:kinsoku/>
        <w:bidi w:val="0"/>
        <w:spacing w:line="360" w:lineRule="auto"/>
        <w:rPr>
          <w:rFonts w:hint="eastAsia" w:ascii="仿宋" w:hAnsi="仿宋" w:eastAsia="仿宋" w:cs="仿宋"/>
          <w:color w:val="auto"/>
          <w:highlight w:val="none"/>
        </w:rPr>
      </w:pPr>
    </w:p>
    <w:p w14:paraId="7DE8E2FE">
      <w:pPr>
        <w:pStyle w:val="15"/>
        <w:pageBreakBefore w:val="0"/>
        <w:kinsoku/>
        <w:bidi w:val="0"/>
        <w:spacing w:line="360" w:lineRule="auto"/>
        <w:rPr>
          <w:rFonts w:hint="eastAsia" w:ascii="仿宋" w:hAnsi="仿宋" w:eastAsia="仿宋" w:cs="仿宋"/>
          <w:color w:val="auto"/>
          <w:highlight w:val="none"/>
        </w:rPr>
      </w:pPr>
    </w:p>
    <w:p w14:paraId="6B5BEE55">
      <w:pPr>
        <w:pStyle w:val="15"/>
        <w:pageBreakBefore w:val="0"/>
        <w:kinsoku/>
        <w:bidi w:val="0"/>
        <w:spacing w:line="360" w:lineRule="auto"/>
        <w:rPr>
          <w:rFonts w:hint="eastAsia" w:ascii="仿宋" w:hAnsi="仿宋" w:eastAsia="仿宋" w:cs="仿宋"/>
          <w:color w:val="auto"/>
          <w:highlight w:val="none"/>
        </w:rPr>
      </w:pPr>
    </w:p>
    <w:p w14:paraId="136EF3D8">
      <w:pPr>
        <w:pStyle w:val="5"/>
        <w:pageBreakBefore w:val="0"/>
        <w:kinsoku/>
        <w:bidi w:val="0"/>
        <w:spacing w:line="360" w:lineRule="auto"/>
        <w:jc w:val="center"/>
        <w:rPr>
          <w:rFonts w:hint="eastAsia" w:ascii="仿宋" w:hAnsi="仿宋" w:eastAsia="仿宋" w:cs="仿宋"/>
          <w:color w:val="auto"/>
          <w:sz w:val="24"/>
          <w:szCs w:val="24"/>
          <w:highlight w:val="none"/>
        </w:rPr>
      </w:pPr>
      <w:bookmarkStart w:id="785" w:name="_Toc22857"/>
      <w:bookmarkStart w:id="786" w:name="_Toc32099"/>
      <w:bookmarkStart w:id="787" w:name="_Toc71734765"/>
      <w:bookmarkStart w:id="788" w:name="_Toc89638414"/>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.2法定代表人授权委托书</w:t>
      </w:r>
      <w:bookmarkEnd w:id="785"/>
      <w:bookmarkEnd w:id="786"/>
      <w:bookmarkEnd w:id="787"/>
      <w:bookmarkEnd w:id="788"/>
    </w:p>
    <w:p w14:paraId="2B5A8058">
      <w:pPr>
        <w:pageBreakBefore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（法定代表人亲自参加投标则不需提供）</w:t>
      </w:r>
    </w:p>
    <w:p w14:paraId="08C329B7">
      <w:pPr>
        <w:pageBreakBefore w:val="0"/>
        <w:kinsoku/>
        <w:bidi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 xml:space="preserve">名称)的法定代表人，现授权委托我单位的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(姓名)为我公司代理人，以公司名义参加云南中招招标有限公司代理的</w:t>
      </w:r>
      <w:r>
        <w:rPr>
          <w:rFonts w:hint="eastAsia" w:ascii="仿宋" w:hAnsi="仿宋" w:eastAsia="仿宋" w:cs="仿宋"/>
          <w:b/>
          <w:bCs/>
          <w:color w:val="auto"/>
          <w:sz w:val="24"/>
          <w:highlight w:val="none"/>
          <w:u w:val="single"/>
        </w:rPr>
        <w:t>（项目名称）</w:t>
      </w:r>
      <w:r>
        <w:rPr>
          <w:rFonts w:hint="eastAsia" w:ascii="仿宋" w:hAnsi="仿宋" w:eastAsia="仿宋" w:cs="仿宋"/>
          <w:b/>
          <w:bCs/>
          <w:color w:val="auto"/>
          <w:sz w:val="24"/>
          <w:szCs w:val="36"/>
          <w:highlight w:val="none"/>
          <w:u w:val="single"/>
        </w:rPr>
        <w:t>（项目编号：</w:t>
      </w:r>
      <w:r>
        <w:rPr>
          <w:rFonts w:hint="eastAsia" w:ascii="仿宋" w:hAnsi="仿宋" w:eastAsia="仿宋" w:cs="仿宋"/>
          <w:b/>
          <w:bCs/>
          <w:color w:val="auto"/>
          <w:sz w:val="24"/>
          <w:szCs w:val="36"/>
          <w:highlight w:val="none"/>
          <w:u w:val="single"/>
          <w:lang w:val="zh-CN"/>
        </w:rPr>
        <w:t xml:space="preserve">      </w:t>
      </w:r>
      <w:r>
        <w:rPr>
          <w:rFonts w:hint="eastAsia" w:ascii="仿宋" w:hAnsi="仿宋" w:eastAsia="仿宋" w:cs="仿宋"/>
          <w:b/>
          <w:bCs/>
          <w:color w:val="auto"/>
          <w:sz w:val="24"/>
          <w:szCs w:val="36"/>
          <w:highlight w:val="none"/>
          <w:u w:val="single"/>
          <w:lang w:val="en-US" w:eastAsia="zh-CN"/>
        </w:rPr>
        <w:t xml:space="preserve"> </w:t>
      </w:r>
      <w:r>
        <w:rPr>
          <w:rFonts w:hint="eastAsia" w:ascii="仿宋" w:hAnsi="仿宋" w:eastAsia="仿宋" w:cs="仿宋"/>
          <w:b/>
          <w:bCs/>
          <w:color w:val="auto"/>
          <w:sz w:val="24"/>
          <w:szCs w:val="36"/>
          <w:highlight w:val="none"/>
          <w:u w:val="single"/>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 xml:space="preserve">标段号：     </w:t>
      </w:r>
      <w:r>
        <w:rPr>
          <w:rFonts w:hint="eastAsia" w:ascii="仿宋" w:hAnsi="仿宋" w:eastAsia="仿宋" w:cs="仿宋"/>
          <w:b/>
          <w:bCs/>
          <w:color w:val="auto"/>
          <w:sz w:val="24"/>
          <w:highlight w:val="none"/>
          <w:u w:val="single"/>
          <w:lang w:eastAsia="zh-CN"/>
        </w:rPr>
        <w:t>）</w:t>
      </w:r>
      <w:r>
        <w:rPr>
          <w:rFonts w:hint="eastAsia" w:ascii="仿宋" w:hAnsi="仿宋" w:eastAsia="仿宋" w:cs="仿宋"/>
          <w:color w:val="auto"/>
          <w:sz w:val="24"/>
          <w:highlight w:val="none"/>
        </w:rPr>
        <w:t>的投标活动。代理人在开标、评标、合同谈判过程中所签署的一切文件和处理与之有关的一切事务，我均予以承认。</w:t>
      </w:r>
    </w:p>
    <w:p w14:paraId="4EC7736C">
      <w:pPr>
        <w:pageBreakBefore w:val="0"/>
        <w:kinsoku/>
        <w:bidi w:val="0"/>
        <w:spacing w:before="120" w:beforeLines="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p>
    <w:p w14:paraId="0B4C5FEC">
      <w:pPr>
        <w:pageBreakBefore w:val="0"/>
        <w:kinsoku/>
        <w:bidi w:val="0"/>
        <w:spacing w:before="120" w:beforeLines="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部门：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2F60F6A1">
      <w:pPr>
        <w:pageBreakBefore w:val="0"/>
        <w:kinsoku/>
        <w:bidi w:val="0"/>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代理人无转委权。特此委托。</w:t>
      </w:r>
    </w:p>
    <w:p w14:paraId="742F793C">
      <w:pPr>
        <w:pageBreakBefore w:val="0"/>
        <w:kinsoku/>
        <w:bidi w:val="0"/>
        <w:spacing w:before="120" w:beforeLines="50" w:line="360" w:lineRule="auto"/>
        <w:rPr>
          <w:rFonts w:hint="eastAsia" w:ascii="仿宋" w:hAnsi="仿宋" w:eastAsia="仿宋" w:cs="仿宋"/>
          <w:color w:val="auto"/>
          <w:sz w:val="24"/>
          <w:szCs w:val="20"/>
          <w:highlight w:val="none"/>
          <w:u w:val="single"/>
        </w:rPr>
      </w:pPr>
      <w:r>
        <w:rPr>
          <w:rFonts w:hint="eastAsia" w:ascii="仿宋" w:hAnsi="仿宋" w:eastAsia="仿宋" w:cs="仿宋"/>
          <w:color w:val="auto"/>
          <w:sz w:val="24"/>
          <w:szCs w:val="20"/>
          <w:highlight w:val="none"/>
        </w:rPr>
        <w:t>法定代表人（签章或签字）：</w:t>
      </w:r>
      <w:r>
        <w:rPr>
          <w:rFonts w:hint="eastAsia" w:ascii="仿宋" w:hAnsi="仿宋" w:eastAsia="仿宋" w:cs="仿宋"/>
          <w:color w:val="auto"/>
          <w:sz w:val="24"/>
          <w:szCs w:val="20"/>
          <w:highlight w:val="none"/>
          <w:u w:val="single"/>
        </w:rPr>
        <w:t xml:space="preserve">                    </w:t>
      </w:r>
    </w:p>
    <w:p w14:paraId="1752A269">
      <w:pPr>
        <w:pageBreakBefore w:val="0"/>
        <w:kinsoku/>
        <w:bidi w:val="0"/>
        <w:spacing w:line="360" w:lineRule="auto"/>
        <w:jc w:val="center"/>
        <w:rPr>
          <w:rFonts w:hint="eastAsia" w:ascii="仿宋" w:hAnsi="仿宋" w:eastAsia="仿宋" w:cs="仿宋"/>
          <w:color w:val="auto"/>
          <w:sz w:val="24"/>
          <w:highlight w:val="none"/>
        </w:rPr>
      </w:pPr>
    </w:p>
    <w:p w14:paraId="2CA8026D">
      <w:pPr>
        <w:pageBreakBefore w:val="0"/>
        <w:kinsoku/>
        <w:bidi w:val="0"/>
        <w:spacing w:line="360" w:lineRule="auto"/>
        <w:jc w:val="left"/>
        <w:rPr>
          <w:rFonts w:hint="eastAsia" w:ascii="仿宋" w:hAnsi="仿宋" w:eastAsia="仿宋" w:cs="仿宋"/>
          <w:color w:val="auto"/>
          <w:sz w:val="24"/>
          <w:highlight w:val="none"/>
        </w:rPr>
      </w:pPr>
    </w:p>
    <w:p w14:paraId="593849CB">
      <w:pPr>
        <w:pageBreakBefore w:val="0"/>
        <w:kinsoku/>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代理人身份证扫描件国徽面、人像面</w:t>
      </w:r>
    </w:p>
    <w:p w14:paraId="0F28B1FC">
      <w:pPr>
        <w:pageBreakBefore w:val="0"/>
        <w:kinsoku/>
        <w:bidi w:val="0"/>
        <w:spacing w:line="360" w:lineRule="auto"/>
        <w:rPr>
          <w:rFonts w:hint="eastAsia" w:ascii="仿宋" w:hAnsi="仿宋" w:eastAsia="仿宋" w:cs="仿宋"/>
          <w:color w:val="auto"/>
          <w:highlight w:val="none"/>
        </w:rPr>
      </w:pPr>
    </w:p>
    <w:p w14:paraId="683BB123">
      <w:pPr>
        <w:pageBreakBefore w:val="0"/>
        <w:kinsoku/>
        <w:bidi w:val="0"/>
        <w:spacing w:before="120" w:beforeLines="50" w:line="360" w:lineRule="auto"/>
        <w:jc w:val="center"/>
        <w:rPr>
          <w:rFonts w:hint="eastAsia" w:ascii="仿宋" w:hAnsi="仿宋" w:eastAsia="仿宋" w:cs="仿宋"/>
          <w:color w:val="auto"/>
          <w:szCs w:val="20"/>
          <w:highlight w:val="none"/>
        </w:rPr>
      </w:pPr>
    </w:p>
    <w:p w14:paraId="3961D766">
      <w:pPr>
        <w:pageBreakBefore w:val="0"/>
        <w:kinsoku/>
        <w:bidi w:val="0"/>
        <w:spacing w:line="360" w:lineRule="auto"/>
        <w:rPr>
          <w:rFonts w:hint="eastAsia" w:ascii="仿宋" w:hAnsi="仿宋" w:eastAsia="仿宋" w:cs="仿宋"/>
          <w:color w:val="auto"/>
          <w:sz w:val="24"/>
          <w:highlight w:val="none"/>
        </w:rPr>
      </w:pPr>
    </w:p>
    <w:p w14:paraId="39A9BBB5">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 xml:space="preserve">                      </w:t>
      </w:r>
    </w:p>
    <w:p w14:paraId="1D2125D4">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1D685F9">
      <w:pPr>
        <w:pageBreakBefore w:val="0"/>
        <w:kinsoku/>
        <w:bidi w:val="0"/>
        <w:spacing w:before="60" w:after="60" w:line="360" w:lineRule="auto"/>
        <w:rPr>
          <w:rFonts w:hint="eastAsia" w:ascii="仿宋" w:hAnsi="仿宋" w:eastAsia="仿宋" w:cs="仿宋"/>
          <w:color w:val="auto"/>
          <w:sz w:val="24"/>
          <w:highlight w:val="none"/>
        </w:rPr>
      </w:pPr>
    </w:p>
    <w:p w14:paraId="2F1A0B4B">
      <w:pPr>
        <w:pageBreakBefore w:val="0"/>
        <w:kinsoku/>
        <w:bidi w:val="0"/>
        <w:spacing w:before="60" w:after="60" w:line="360" w:lineRule="auto"/>
        <w:rPr>
          <w:rFonts w:hint="eastAsia" w:ascii="仿宋" w:hAnsi="仿宋" w:eastAsia="仿宋" w:cs="仿宋"/>
          <w:color w:val="auto"/>
          <w:sz w:val="24"/>
          <w:highlight w:val="none"/>
        </w:rPr>
      </w:pPr>
    </w:p>
    <w:p w14:paraId="650B8C07">
      <w:pPr>
        <w:pageBreakBefore w:val="0"/>
        <w:kinsoku/>
        <w:bidi w:val="0"/>
        <w:spacing w:line="360" w:lineRule="auto"/>
        <w:rPr>
          <w:rFonts w:hint="eastAsia" w:ascii="仿宋" w:hAnsi="仿宋" w:eastAsia="仿宋" w:cs="仿宋"/>
          <w:color w:val="auto"/>
          <w:highlight w:val="none"/>
        </w:rPr>
      </w:pPr>
    </w:p>
    <w:p w14:paraId="71E1D555">
      <w:pPr>
        <w:pageBreakBefore w:val="0"/>
        <w:kinsoku/>
        <w:bidi w:val="0"/>
        <w:spacing w:line="360" w:lineRule="auto"/>
        <w:rPr>
          <w:rFonts w:hint="eastAsia" w:ascii="仿宋" w:hAnsi="仿宋" w:eastAsia="仿宋" w:cs="仿宋"/>
          <w:color w:val="auto"/>
          <w:highlight w:val="none"/>
        </w:rPr>
      </w:pPr>
    </w:p>
    <w:p w14:paraId="7FBE8E28">
      <w:pPr>
        <w:pageBreakBefore w:val="0"/>
        <w:kinsoku/>
        <w:bidi w:val="0"/>
        <w:spacing w:line="360" w:lineRule="auto"/>
        <w:rPr>
          <w:rFonts w:hint="eastAsia" w:ascii="仿宋" w:hAnsi="仿宋" w:eastAsia="仿宋" w:cs="仿宋"/>
          <w:color w:val="auto"/>
          <w:highlight w:val="none"/>
        </w:rPr>
      </w:pPr>
    </w:p>
    <w:p w14:paraId="41214CDF">
      <w:pPr>
        <w:pageBreakBefore w:val="0"/>
        <w:kinsoku/>
        <w:bidi w:val="0"/>
        <w:spacing w:line="360" w:lineRule="auto"/>
        <w:rPr>
          <w:rFonts w:hint="eastAsia" w:ascii="仿宋" w:hAnsi="仿宋" w:eastAsia="仿宋" w:cs="仿宋"/>
          <w:color w:val="auto"/>
          <w:highlight w:val="none"/>
        </w:rPr>
      </w:pPr>
    </w:p>
    <w:p w14:paraId="2EE399CD">
      <w:pPr>
        <w:pageBreakBefore w:val="0"/>
        <w:kinsoku/>
        <w:bidi w:val="0"/>
        <w:spacing w:line="360" w:lineRule="auto"/>
        <w:rPr>
          <w:rFonts w:hint="eastAsia" w:ascii="仿宋" w:hAnsi="仿宋" w:eastAsia="仿宋" w:cs="仿宋"/>
          <w:color w:val="auto"/>
          <w:highlight w:val="none"/>
        </w:rPr>
      </w:pPr>
    </w:p>
    <w:p w14:paraId="6C5F71FB">
      <w:pPr>
        <w:pageBreakBefore w:val="0"/>
        <w:kinsoku/>
        <w:bidi w:val="0"/>
        <w:spacing w:line="360" w:lineRule="auto"/>
        <w:rPr>
          <w:rFonts w:hint="eastAsia" w:ascii="仿宋" w:hAnsi="仿宋" w:eastAsia="仿宋" w:cs="仿宋"/>
          <w:color w:val="auto"/>
          <w:highlight w:val="none"/>
        </w:rPr>
      </w:pPr>
    </w:p>
    <w:p w14:paraId="33029596">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789" w:name="_Toc69"/>
      <w:bookmarkStart w:id="790" w:name="_Toc30239"/>
      <w:bookmarkStart w:id="791" w:name="_Toc71734766"/>
      <w:bookmarkStart w:id="792" w:name="_Toc3969347"/>
      <w:bookmarkStart w:id="793" w:name="_Toc89638415"/>
      <w:r>
        <w:rPr>
          <w:rFonts w:hint="eastAsia" w:ascii="仿宋" w:hAnsi="仿宋" w:eastAsia="仿宋" w:cs="仿宋"/>
          <w:color w:val="auto"/>
          <w:sz w:val="24"/>
          <w:szCs w:val="24"/>
          <w:highlight w:val="none"/>
        </w:rPr>
        <w:br w:type="page"/>
      </w:r>
      <w:bookmarkEnd w:id="789"/>
      <w:bookmarkEnd w:id="790"/>
      <w:bookmarkEnd w:id="791"/>
      <w:bookmarkEnd w:id="792"/>
      <w:bookmarkEnd w:id="793"/>
      <w:bookmarkStart w:id="794" w:name="_Toc103723282"/>
      <w:bookmarkStart w:id="795" w:name="_Toc21806"/>
      <w:bookmarkStart w:id="796" w:name="_Toc7070"/>
      <w:bookmarkStart w:id="797" w:name="_Toc71734775"/>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.承诺书</w:t>
      </w:r>
      <w:bookmarkEnd w:id="794"/>
      <w:bookmarkEnd w:id="795"/>
      <w:bookmarkEnd w:id="796"/>
    </w:p>
    <w:p w14:paraId="67B41DE2">
      <w:pPr>
        <w:pageBreakBefore w:val="0"/>
        <w:kinsoku/>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采购人名称</w:t>
      </w:r>
    </w:p>
    <w:p w14:paraId="30704C6E">
      <w:pPr>
        <w:pageBreakBefore w:val="0"/>
        <w:kinsoku/>
        <w:bidi w:val="0"/>
        <w:spacing w:before="120" w:beforeLines="50"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若我公司有幸中标，我公司承诺以下事宜：</w:t>
      </w:r>
    </w:p>
    <w:p w14:paraId="37243E50">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1、我公司在接到领取中标/成交通知书的通知后，在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个工作日内到采购代理机构领取中标/成交通知书。在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w:t>
      </w:r>
      <w:r>
        <w:rPr>
          <w:rFonts w:hint="eastAsia" w:ascii="仿宋" w:hAnsi="仿宋" w:eastAsia="仿宋" w:cs="仿宋"/>
          <w:color w:val="auto"/>
          <w:sz w:val="24"/>
          <w:szCs w:val="24"/>
          <w:highlight w:val="none"/>
          <w:lang w:val="en-US" w:eastAsia="zh-CN"/>
        </w:rPr>
        <w:t>日历天</w:t>
      </w:r>
      <w:r>
        <w:rPr>
          <w:rFonts w:hint="eastAsia" w:ascii="仿宋" w:hAnsi="仿宋" w:eastAsia="仿宋" w:cs="仿宋"/>
          <w:color w:val="auto"/>
          <w:sz w:val="24"/>
          <w:szCs w:val="24"/>
          <w:highlight w:val="none"/>
        </w:rPr>
        <w:t>内洽谈合同签订事宜。</w:t>
      </w:r>
    </w:p>
    <w:p w14:paraId="45470BEF">
      <w:pPr>
        <w:pageBreakBefore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（1）如因我公司无正当理由放弃中标（成交）或因我公司自身原因导致项目未能在法定期限内完成合同签订或拒不签订项目合同的，采购人或采购代理机构有权取消中标（成交）资格。投标保证金不予退还。</w:t>
      </w:r>
    </w:p>
    <w:p w14:paraId="00FF184A">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58EAB882">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2、在合同履行过程中，我公司严格按照合同约定进行交货/完成相关服务工作并达到项目验收标准。</w:t>
      </w:r>
    </w:p>
    <w:p w14:paraId="33C989DC">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非采购人和不可抗力原因我公司未能按照合同约定交货（如不按时供货、供货产品与投标（响应）文件中响应产品情况不一致等）/完成相关服务工作，或交付设备/服务工作质量未能达到验收标准则给采购人造成损失的，我公司对全部损失予以赔偿。</w:t>
      </w:r>
    </w:p>
    <w:p w14:paraId="6B8607CF">
      <w:pPr>
        <w:pageBreakBefore w:val="0"/>
        <w:kinsoku/>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非采购人和不可抗力原因我公司未能按照合同约定交货（如不按时供货、供货产品与投标（响应）文件中响应产品情况不一致等）/完成相关服务工作，或交付设备/服务工作质量未能达到验收标准，使得项目资金被上级财政部门收回，由此产生的一切损失及后果均由我公司承担。</w:t>
      </w:r>
    </w:p>
    <w:p w14:paraId="1C79C74D">
      <w:pPr>
        <w:pageBreakBefore w:val="0"/>
        <w:kinsoku/>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如非采购人和不可抗力原因我公司未能按照合同约定交货/完成相关服务工作，并严重超期造成采购人损失的，采购人可根据政府采购政策按“政府采购严重失信行为”向上级财政部门报送相关情况，由此产生的一切后果由我公司自行承担。</w:t>
      </w:r>
    </w:p>
    <w:p w14:paraId="0C0C4DA0">
      <w:pPr>
        <w:pageBreakBefore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4513FA26">
      <w:pPr>
        <w:pageBreakBefore w:val="0"/>
        <w:kinsoku/>
        <w:bidi w:val="0"/>
        <w:spacing w:before="60" w:after="60" w:line="360" w:lineRule="auto"/>
        <w:ind w:firstLine="510"/>
        <w:rPr>
          <w:rFonts w:hint="eastAsia" w:ascii="仿宋" w:hAnsi="仿宋" w:eastAsia="仿宋" w:cs="仿宋"/>
          <w:color w:val="auto"/>
          <w:sz w:val="24"/>
          <w:szCs w:val="24"/>
          <w:highlight w:val="none"/>
        </w:rPr>
      </w:pPr>
      <w:bookmarkStart w:id="798" w:name="_Toc71734767"/>
      <w:bookmarkStart w:id="799" w:name="_Toc89638416"/>
      <w:bookmarkStart w:id="800" w:name="_Toc103723283"/>
      <w:bookmarkStart w:id="801" w:name="_Toc27915"/>
      <w:bookmarkStart w:id="802" w:name="_Toc3969348"/>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全称（加盖电子公章）：</w:t>
      </w:r>
      <w:r>
        <w:rPr>
          <w:rFonts w:hint="eastAsia" w:ascii="仿宋" w:hAnsi="仿宋" w:eastAsia="仿宋" w:cs="仿宋"/>
          <w:color w:val="auto"/>
          <w:sz w:val="24"/>
          <w:szCs w:val="24"/>
          <w:highlight w:val="none"/>
          <w:u w:val="single"/>
        </w:rPr>
        <w:t>________________________</w:t>
      </w:r>
    </w:p>
    <w:p w14:paraId="500DEC14">
      <w:pPr>
        <w:pageBreakBefore w:val="0"/>
        <w:kinsoku/>
        <w:bidi w:val="0"/>
        <w:spacing w:before="60" w:after="60"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法定代表人或委托代理人签字或签章：</w:t>
      </w:r>
      <w:r>
        <w:rPr>
          <w:rFonts w:hint="eastAsia" w:ascii="仿宋" w:hAnsi="仿宋" w:eastAsia="仿宋" w:cs="仿宋"/>
          <w:color w:val="auto"/>
          <w:sz w:val="24"/>
          <w:szCs w:val="24"/>
          <w:highlight w:val="none"/>
          <w:u w:val="single"/>
        </w:rPr>
        <w:t>__________________</w:t>
      </w:r>
    </w:p>
    <w:p w14:paraId="10915388">
      <w:pPr>
        <w:pageBreakBefore w:val="0"/>
        <w:kinsoku/>
        <w:bidi w:val="0"/>
        <w:spacing w:before="60" w:after="60" w:line="360" w:lineRule="auto"/>
        <w:ind w:firstLine="5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_______</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____</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_____</w:t>
      </w:r>
      <w:r>
        <w:rPr>
          <w:rFonts w:hint="eastAsia" w:ascii="仿宋" w:hAnsi="仿宋" w:eastAsia="仿宋" w:cs="仿宋"/>
          <w:color w:val="auto"/>
          <w:sz w:val="24"/>
          <w:szCs w:val="24"/>
          <w:highlight w:val="none"/>
        </w:rPr>
        <w:t>日</w:t>
      </w:r>
      <w:bookmarkStart w:id="803" w:name="_Toc18365"/>
      <w:r>
        <w:rPr>
          <w:rFonts w:hint="eastAsia" w:ascii="仿宋" w:hAnsi="仿宋" w:eastAsia="仿宋" w:cs="仿宋"/>
          <w:color w:val="auto"/>
          <w:sz w:val="24"/>
          <w:szCs w:val="24"/>
          <w:highlight w:val="none"/>
        </w:rPr>
        <w:br w:type="page"/>
      </w:r>
    </w:p>
    <w:p w14:paraId="3F846C3D">
      <w:pPr>
        <w:pStyle w:val="4"/>
        <w:pageBreakBefore w:val="0"/>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廉政承诺</w:t>
      </w:r>
      <w:bookmarkEnd w:id="798"/>
      <w:bookmarkEnd w:id="799"/>
      <w:bookmarkEnd w:id="800"/>
      <w:bookmarkEnd w:id="801"/>
      <w:bookmarkEnd w:id="802"/>
      <w:bookmarkEnd w:id="803"/>
    </w:p>
    <w:p w14:paraId="0136B19C">
      <w:pPr>
        <w:pageBreakBefore w:val="0"/>
        <w:kinsoku/>
        <w:bidi w:val="0"/>
        <w:spacing w:line="360" w:lineRule="auto"/>
        <w:rPr>
          <w:rFonts w:hint="eastAsia" w:ascii="仿宋" w:hAnsi="仿宋" w:eastAsia="仿宋" w:cs="仿宋"/>
          <w:color w:val="auto"/>
          <w:highlight w:val="none"/>
        </w:rPr>
      </w:pPr>
    </w:p>
    <w:p w14:paraId="14918A4E">
      <w:pPr>
        <w:pageBreakBefore w:val="0"/>
        <w:kinsoku/>
        <w:bidi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w:t>
      </w:r>
    </w:p>
    <w:p w14:paraId="446D0EEC">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本企业参与 </w:t>
      </w:r>
      <w:r>
        <w:rPr>
          <w:rFonts w:hint="eastAsia" w:ascii="仿宋" w:hAnsi="仿宋" w:eastAsia="仿宋" w:cs="仿宋"/>
          <w:b/>
          <w:bCs/>
          <w:color w:val="auto"/>
          <w:sz w:val="24"/>
          <w:highlight w:val="none"/>
          <w:u w:val="single"/>
        </w:rPr>
        <w:t>（项目名称）</w:t>
      </w:r>
      <w:r>
        <w:rPr>
          <w:rFonts w:hint="eastAsia" w:ascii="仿宋" w:hAnsi="仿宋" w:eastAsia="仿宋" w:cs="仿宋"/>
          <w:b/>
          <w:bCs/>
          <w:color w:val="auto"/>
          <w:sz w:val="24"/>
          <w:szCs w:val="36"/>
          <w:highlight w:val="none"/>
          <w:u w:val="single"/>
        </w:rPr>
        <w:t>（项目编号：</w:t>
      </w:r>
      <w:r>
        <w:rPr>
          <w:rFonts w:hint="eastAsia" w:ascii="仿宋" w:hAnsi="仿宋" w:eastAsia="仿宋" w:cs="仿宋"/>
          <w:b/>
          <w:bCs/>
          <w:color w:val="auto"/>
          <w:sz w:val="24"/>
          <w:szCs w:val="36"/>
          <w:highlight w:val="none"/>
          <w:u w:val="single"/>
          <w:lang w:val="zh-CN"/>
        </w:rPr>
        <w:t xml:space="preserve">      </w:t>
      </w:r>
      <w:r>
        <w:rPr>
          <w:rFonts w:hint="eastAsia" w:ascii="仿宋" w:hAnsi="仿宋" w:eastAsia="仿宋" w:cs="仿宋"/>
          <w:b/>
          <w:bCs/>
          <w:color w:val="auto"/>
          <w:sz w:val="24"/>
          <w:szCs w:val="36"/>
          <w:highlight w:val="none"/>
          <w:u w:val="single"/>
          <w:lang w:val="en-US" w:eastAsia="zh-CN"/>
        </w:rPr>
        <w:t xml:space="preserve"> </w:t>
      </w:r>
      <w:r>
        <w:rPr>
          <w:rFonts w:hint="eastAsia" w:ascii="仿宋" w:hAnsi="仿宋" w:eastAsia="仿宋" w:cs="仿宋"/>
          <w:b/>
          <w:bCs/>
          <w:color w:val="auto"/>
          <w:sz w:val="24"/>
          <w:szCs w:val="36"/>
          <w:highlight w:val="none"/>
          <w:u w:val="single"/>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 xml:space="preserve">标段号：     </w:t>
      </w:r>
      <w:r>
        <w:rPr>
          <w:rFonts w:hint="eastAsia" w:ascii="仿宋" w:hAnsi="仿宋" w:eastAsia="仿宋" w:cs="仿宋"/>
          <w:b/>
          <w:bCs/>
          <w:color w:val="auto"/>
          <w:sz w:val="24"/>
          <w:highlight w:val="none"/>
          <w:u w:val="single"/>
          <w:lang w:eastAsia="zh-CN"/>
        </w:rPr>
        <w:t>）</w:t>
      </w:r>
      <w:r>
        <w:rPr>
          <w:rFonts w:hint="eastAsia" w:ascii="仿宋" w:hAnsi="仿宋" w:eastAsia="仿宋" w:cs="仿宋"/>
          <w:color w:val="auto"/>
          <w:sz w:val="24"/>
          <w:highlight w:val="none"/>
        </w:rPr>
        <w:t>的投标，现作如下承诺：</w:t>
      </w:r>
    </w:p>
    <w:p w14:paraId="169E7349">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1、我公司参与此次投标活动所提交的所有资料都是合法、真实、有效的。</w:t>
      </w:r>
    </w:p>
    <w:p w14:paraId="3D45753B">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串通投标、围标，依法、依规公平竞争，不损害采购人或其他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的合法权益。</w:t>
      </w:r>
    </w:p>
    <w:p w14:paraId="1CA2975E">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3、不转让、出租、出借资质证书、人员岗位证书，不以法律、法规禁止的方式投标。</w:t>
      </w:r>
    </w:p>
    <w:p w14:paraId="1660725B">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4、不与采购人或采购代理机构串通投标，不损害国家利益、社会公共利益或其他当事人的合法权益。</w:t>
      </w:r>
    </w:p>
    <w:p w14:paraId="48E1DE26">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5、不向采购人、评标委员会成员、监督人员行贿。</w:t>
      </w:r>
    </w:p>
    <w:p w14:paraId="554D9866">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6、不扰乱招投标交易活动正常秩序。</w:t>
      </w:r>
    </w:p>
    <w:p w14:paraId="09F54E5C">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7、不进行虚假恶意投诉。</w:t>
      </w:r>
    </w:p>
    <w:p w14:paraId="60DABD87">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8、因违反法律、法规或相关规定被查处的，不干预案件查处。</w:t>
      </w:r>
    </w:p>
    <w:p w14:paraId="5679F5D8">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如出现违法、违规或不良行为，</w:t>
      </w:r>
      <w:r>
        <w:rPr>
          <w:rFonts w:hint="eastAsia" w:ascii="仿宋" w:hAnsi="仿宋" w:eastAsia="仿宋" w:cs="仿宋"/>
          <w:color w:val="auto"/>
          <w:sz w:val="24"/>
          <w:highlight w:val="none"/>
          <w:lang w:val="en-US" w:eastAsia="zh-CN"/>
        </w:rPr>
        <w:t>自</w:t>
      </w:r>
      <w:r>
        <w:rPr>
          <w:rFonts w:hint="eastAsia" w:ascii="仿宋" w:hAnsi="仿宋" w:eastAsia="仿宋" w:cs="仿宋"/>
          <w:color w:val="auto"/>
          <w:sz w:val="24"/>
          <w:highlight w:val="none"/>
        </w:rPr>
        <w:t>愿接受相关部门调查处理。违法、违规或不良行为事实成立的，本</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不再要求退还投标时所提交的投标保证金，并承担相关责任。给采购人造成损失的，依法承担赔偿责任。</w:t>
      </w:r>
    </w:p>
    <w:p w14:paraId="16F3447E">
      <w:pPr>
        <w:pageBreakBefore w:val="0"/>
        <w:kinsoku/>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5F1C00DB">
      <w:pPr>
        <w:pageBreakBefore w:val="0"/>
        <w:kinsoku/>
        <w:bidi w:val="0"/>
        <w:spacing w:line="360" w:lineRule="auto"/>
        <w:rPr>
          <w:rFonts w:hint="eastAsia" w:ascii="仿宋" w:hAnsi="仿宋" w:eastAsia="仿宋" w:cs="仿宋"/>
          <w:color w:val="auto"/>
          <w:sz w:val="24"/>
          <w:highlight w:val="none"/>
        </w:rPr>
      </w:pPr>
    </w:p>
    <w:p w14:paraId="7216599D">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7490E5A1">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3E8D68C1">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79F4D3B9">
      <w:pPr>
        <w:pStyle w:val="15"/>
        <w:pageBreakBefore w:val="0"/>
        <w:kinsoku/>
        <w:bidi w:val="0"/>
        <w:spacing w:line="360" w:lineRule="auto"/>
        <w:rPr>
          <w:rFonts w:hint="eastAsia" w:ascii="仿宋" w:hAnsi="仿宋" w:eastAsia="仿宋" w:cs="仿宋"/>
          <w:color w:val="auto"/>
          <w:highlight w:val="none"/>
        </w:rPr>
      </w:pPr>
    </w:p>
    <w:p w14:paraId="145348AC">
      <w:pPr>
        <w:pStyle w:val="15"/>
        <w:pageBreakBefore w:val="0"/>
        <w:kinsoku/>
        <w:bidi w:val="0"/>
        <w:spacing w:line="360" w:lineRule="auto"/>
        <w:rPr>
          <w:rFonts w:hint="eastAsia" w:ascii="仿宋" w:hAnsi="仿宋" w:eastAsia="仿宋" w:cs="仿宋"/>
          <w:color w:val="auto"/>
          <w:highlight w:val="none"/>
        </w:rPr>
      </w:pPr>
    </w:p>
    <w:p w14:paraId="5427E4FA">
      <w:pPr>
        <w:pStyle w:val="15"/>
        <w:pageBreakBefore w:val="0"/>
        <w:kinsoku/>
        <w:bidi w:val="0"/>
        <w:spacing w:line="360" w:lineRule="auto"/>
        <w:rPr>
          <w:rFonts w:hint="eastAsia" w:ascii="仿宋" w:hAnsi="仿宋" w:eastAsia="仿宋" w:cs="仿宋"/>
          <w:color w:val="auto"/>
          <w:highlight w:val="none"/>
        </w:rPr>
      </w:pPr>
    </w:p>
    <w:p w14:paraId="7B4E8BDA">
      <w:pPr>
        <w:pStyle w:val="15"/>
        <w:pageBreakBefore w:val="0"/>
        <w:kinsoku/>
        <w:bidi w:val="0"/>
        <w:spacing w:line="360" w:lineRule="auto"/>
        <w:rPr>
          <w:rFonts w:hint="eastAsia" w:ascii="仿宋" w:hAnsi="仿宋" w:eastAsia="仿宋" w:cs="仿宋"/>
          <w:color w:val="auto"/>
          <w:highlight w:val="none"/>
        </w:rPr>
      </w:pPr>
    </w:p>
    <w:p w14:paraId="17E27215">
      <w:pPr>
        <w:pStyle w:val="15"/>
        <w:pageBreakBefore w:val="0"/>
        <w:kinsoku/>
        <w:bidi w:val="0"/>
        <w:spacing w:line="360" w:lineRule="auto"/>
        <w:rPr>
          <w:rFonts w:hint="eastAsia" w:ascii="仿宋" w:hAnsi="仿宋" w:eastAsia="仿宋" w:cs="仿宋"/>
          <w:color w:val="auto"/>
          <w:highlight w:val="none"/>
        </w:rPr>
      </w:pPr>
    </w:p>
    <w:p w14:paraId="41960EAD">
      <w:pPr>
        <w:pStyle w:val="15"/>
        <w:pageBreakBefore w:val="0"/>
        <w:kinsoku/>
        <w:bidi w:val="0"/>
        <w:spacing w:line="360" w:lineRule="auto"/>
        <w:rPr>
          <w:rFonts w:hint="eastAsia" w:ascii="仿宋" w:hAnsi="仿宋" w:eastAsia="仿宋" w:cs="仿宋"/>
          <w:color w:val="auto"/>
          <w:highlight w:val="none"/>
        </w:rPr>
      </w:pPr>
    </w:p>
    <w:p w14:paraId="61F3F312">
      <w:pPr>
        <w:pageBreakBefore w:val="0"/>
        <w:kinsoku/>
        <w:bidi w:val="0"/>
        <w:spacing w:line="360" w:lineRule="auto"/>
        <w:rPr>
          <w:rFonts w:hint="eastAsia" w:ascii="仿宋" w:hAnsi="仿宋" w:eastAsia="仿宋" w:cs="仿宋"/>
          <w:color w:val="auto"/>
          <w:sz w:val="24"/>
          <w:szCs w:val="24"/>
          <w:highlight w:val="none"/>
        </w:rPr>
      </w:pPr>
      <w:bookmarkStart w:id="804" w:name="_Toc8202"/>
      <w:bookmarkStart w:id="805" w:name="_Toc71734768"/>
      <w:bookmarkStart w:id="806" w:name="_Toc89638417"/>
      <w:bookmarkStart w:id="807" w:name="_Toc28557"/>
      <w:bookmarkStart w:id="808" w:name="_Toc103723284"/>
      <w:r>
        <w:rPr>
          <w:rFonts w:hint="eastAsia" w:ascii="仿宋" w:hAnsi="仿宋" w:eastAsia="仿宋" w:cs="仿宋"/>
          <w:color w:val="auto"/>
          <w:sz w:val="24"/>
          <w:szCs w:val="24"/>
          <w:highlight w:val="none"/>
        </w:rPr>
        <w:br w:type="page"/>
      </w:r>
    </w:p>
    <w:p w14:paraId="16C1D272">
      <w:pPr>
        <w:pStyle w:val="4"/>
        <w:pageBreakBefore w:val="0"/>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.保密承诺</w:t>
      </w:r>
      <w:bookmarkEnd w:id="804"/>
      <w:bookmarkEnd w:id="805"/>
      <w:bookmarkEnd w:id="806"/>
      <w:bookmarkEnd w:id="807"/>
      <w:bookmarkEnd w:id="808"/>
    </w:p>
    <w:p w14:paraId="090DC380">
      <w:pPr>
        <w:pageBreakBefore w:val="0"/>
        <w:kinsoku/>
        <w:bidi w:val="0"/>
        <w:spacing w:line="360" w:lineRule="auto"/>
        <w:rPr>
          <w:rFonts w:hint="eastAsia" w:ascii="仿宋" w:hAnsi="仿宋" w:eastAsia="仿宋" w:cs="仿宋"/>
          <w:color w:val="auto"/>
          <w:highlight w:val="none"/>
        </w:rPr>
      </w:pPr>
    </w:p>
    <w:p w14:paraId="5C2B74C8">
      <w:pPr>
        <w:pageBreakBefore w:val="0"/>
        <w:kinsoku/>
        <w:bidi w:val="0"/>
        <w:spacing w:line="360" w:lineRule="auto"/>
        <w:jc w:val="left"/>
        <w:rPr>
          <w:rFonts w:hint="eastAsia" w:ascii="仿宋" w:hAnsi="仿宋" w:eastAsia="仿宋" w:cs="仿宋"/>
          <w:color w:val="auto"/>
          <w:sz w:val="24"/>
          <w:highlight w:val="none"/>
        </w:rPr>
      </w:pPr>
      <w:bookmarkStart w:id="809" w:name="_Hlk53244724"/>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lang w:eastAsia="zh-CN"/>
        </w:rPr>
        <w:t>）</w:t>
      </w:r>
      <w:bookmarkEnd w:id="809"/>
    </w:p>
    <w:p w14:paraId="541551DE">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鉴于（项目名称）招投标过程中，涉及到贵单位的商业或技术秘密，为保证秘密不致外泄，我方做出以下保密承诺：</w:t>
      </w:r>
    </w:p>
    <w:p w14:paraId="1C86C144">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1、此所述及的保密信息是指我方在投标过程中直接或间接获得的所有商业或技术信息(包括口头、书面信息及资料)。</w:t>
      </w:r>
    </w:p>
    <w:p w14:paraId="3A81B92E">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2、我方获得的保密信息只用于本次招标工作，绝不用于</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用途。</w:t>
      </w:r>
    </w:p>
    <w:p w14:paraId="6959D315">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3、我方将对从贵单位处得到的信息进行保密管理，采取措施防止信息的全部或任一部分泄露给第三方。</w:t>
      </w:r>
    </w:p>
    <w:p w14:paraId="34467D3D">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4、我方采取严格措施防止与本次投标工作无关的我方人员接触保密信息，防止其泄露信息，如果发生泄密，我方承担一切相关职责。</w:t>
      </w:r>
    </w:p>
    <w:p w14:paraId="2F9BE0AA">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5、我方对内部因工作原因接触到保密信息人员，进行保密教育，防止泄露信息。</w:t>
      </w:r>
    </w:p>
    <w:p w14:paraId="2BA48A74">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6、如我方有幸中标，此承诺书将持续生效。</w:t>
      </w:r>
    </w:p>
    <w:p w14:paraId="3A0BF1CD">
      <w:pPr>
        <w:pageBreakBefore w:val="0"/>
        <w:kinsoku/>
        <w:bidi w:val="0"/>
        <w:spacing w:line="360" w:lineRule="auto"/>
        <w:ind w:firstLine="480" w:firstLineChars="200"/>
        <w:jc w:val="left"/>
        <w:rPr>
          <w:rFonts w:hint="eastAsia" w:ascii="仿宋" w:hAnsi="仿宋" w:eastAsia="仿宋" w:cs="仿宋"/>
          <w:color w:val="auto"/>
          <w:sz w:val="24"/>
          <w:highlight w:val="none"/>
        </w:rPr>
      </w:pPr>
    </w:p>
    <w:p w14:paraId="3BBCF6FC">
      <w:pPr>
        <w:pageBreakBefore w:val="0"/>
        <w:kinsoku/>
        <w:bidi w:val="0"/>
        <w:spacing w:line="360" w:lineRule="auto"/>
        <w:ind w:firstLine="480" w:firstLineChars="200"/>
        <w:jc w:val="left"/>
        <w:rPr>
          <w:rFonts w:hint="eastAsia" w:ascii="仿宋" w:hAnsi="仿宋" w:eastAsia="仿宋" w:cs="仿宋"/>
          <w:color w:val="auto"/>
          <w:sz w:val="24"/>
          <w:highlight w:val="none"/>
        </w:rPr>
      </w:pPr>
    </w:p>
    <w:p w14:paraId="33FAEA94">
      <w:pPr>
        <w:pageBreakBefore w:val="0"/>
        <w:kinsoku/>
        <w:bidi w:val="0"/>
        <w:spacing w:line="360" w:lineRule="auto"/>
        <w:ind w:firstLine="480" w:firstLineChars="200"/>
        <w:jc w:val="left"/>
        <w:rPr>
          <w:rFonts w:hint="eastAsia" w:ascii="仿宋" w:hAnsi="仿宋" w:eastAsia="仿宋" w:cs="仿宋"/>
          <w:color w:val="auto"/>
          <w:sz w:val="24"/>
          <w:highlight w:val="none"/>
        </w:rPr>
      </w:pPr>
    </w:p>
    <w:p w14:paraId="7F0FD5D4">
      <w:pPr>
        <w:pageBreakBefore w:val="0"/>
        <w:kinsoku/>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54BC3109">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6F28EAA6">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0FE91D01">
      <w:pPr>
        <w:pageBreakBefore w:val="0"/>
        <w:kinsoku/>
        <w:bidi w:val="0"/>
        <w:spacing w:line="360" w:lineRule="auto"/>
        <w:rPr>
          <w:rFonts w:hint="eastAsia" w:ascii="仿宋" w:hAnsi="仿宋" w:eastAsia="仿宋" w:cs="仿宋"/>
          <w:color w:val="auto"/>
          <w:sz w:val="24"/>
          <w:highlight w:val="none"/>
        </w:rPr>
      </w:pPr>
    </w:p>
    <w:p w14:paraId="6A04B3FB">
      <w:pPr>
        <w:pageBreakBefore w:val="0"/>
        <w:kinsoku/>
        <w:bidi w:val="0"/>
        <w:spacing w:line="360" w:lineRule="auto"/>
        <w:ind w:firstLine="480" w:firstLineChars="200"/>
        <w:rPr>
          <w:rFonts w:hint="eastAsia" w:ascii="仿宋" w:hAnsi="仿宋" w:eastAsia="仿宋" w:cs="仿宋"/>
          <w:color w:val="auto"/>
          <w:sz w:val="24"/>
          <w:highlight w:val="none"/>
        </w:rPr>
      </w:pPr>
    </w:p>
    <w:p w14:paraId="76EBB588">
      <w:pPr>
        <w:pStyle w:val="15"/>
        <w:pageBreakBefore w:val="0"/>
        <w:kinsoku/>
        <w:bidi w:val="0"/>
        <w:spacing w:line="360" w:lineRule="auto"/>
        <w:rPr>
          <w:rFonts w:hint="eastAsia" w:ascii="仿宋" w:hAnsi="仿宋" w:eastAsia="仿宋" w:cs="仿宋"/>
          <w:color w:val="auto"/>
          <w:highlight w:val="none"/>
        </w:rPr>
      </w:pPr>
    </w:p>
    <w:p w14:paraId="5D057E1E">
      <w:pPr>
        <w:pStyle w:val="15"/>
        <w:pageBreakBefore w:val="0"/>
        <w:kinsoku/>
        <w:bidi w:val="0"/>
        <w:spacing w:line="360" w:lineRule="auto"/>
        <w:rPr>
          <w:rFonts w:hint="eastAsia" w:ascii="仿宋" w:hAnsi="仿宋" w:eastAsia="仿宋" w:cs="仿宋"/>
          <w:color w:val="auto"/>
          <w:highlight w:val="none"/>
        </w:rPr>
      </w:pPr>
    </w:p>
    <w:p w14:paraId="60E89A80">
      <w:pPr>
        <w:pStyle w:val="15"/>
        <w:pageBreakBefore w:val="0"/>
        <w:kinsoku/>
        <w:bidi w:val="0"/>
        <w:spacing w:line="360" w:lineRule="auto"/>
        <w:rPr>
          <w:rFonts w:hint="eastAsia" w:ascii="仿宋" w:hAnsi="仿宋" w:eastAsia="仿宋" w:cs="仿宋"/>
          <w:color w:val="auto"/>
          <w:highlight w:val="none"/>
        </w:rPr>
      </w:pPr>
    </w:p>
    <w:p w14:paraId="17CD6935">
      <w:pPr>
        <w:pStyle w:val="15"/>
        <w:pageBreakBefore w:val="0"/>
        <w:kinsoku/>
        <w:bidi w:val="0"/>
        <w:spacing w:line="360" w:lineRule="auto"/>
        <w:rPr>
          <w:rFonts w:hint="eastAsia" w:ascii="仿宋" w:hAnsi="仿宋" w:eastAsia="仿宋" w:cs="仿宋"/>
          <w:color w:val="auto"/>
          <w:highlight w:val="none"/>
        </w:rPr>
      </w:pPr>
    </w:p>
    <w:p w14:paraId="414EC698">
      <w:pPr>
        <w:pStyle w:val="15"/>
        <w:pageBreakBefore w:val="0"/>
        <w:kinsoku/>
        <w:bidi w:val="0"/>
        <w:spacing w:line="360" w:lineRule="auto"/>
        <w:rPr>
          <w:rFonts w:hint="eastAsia" w:ascii="仿宋" w:hAnsi="仿宋" w:eastAsia="仿宋" w:cs="仿宋"/>
          <w:color w:val="auto"/>
          <w:highlight w:val="none"/>
        </w:rPr>
      </w:pPr>
    </w:p>
    <w:p w14:paraId="54778D9E">
      <w:pPr>
        <w:pStyle w:val="15"/>
        <w:pageBreakBefore w:val="0"/>
        <w:kinsoku/>
        <w:bidi w:val="0"/>
        <w:spacing w:line="360" w:lineRule="auto"/>
        <w:rPr>
          <w:rFonts w:hint="eastAsia" w:ascii="仿宋" w:hAnsi="仿宋" w:eastAsia="仿宋" w:cs="仿宋"/>
          <w:color w:val="auto"/>
          <w:highlight w:val="none"/>
        </w:rPr>
      </w:pPr>
    </w:p>
    <w:p w14:paraId="62B459AF">
      <w:pPr>
        <w:pStyle w:val="4"/>
        <w:pageBreakBefore w:val="0"/>
        <w:kinsoku/>
        <w:bidi w:val="0"/>
        <w:spacing w:before="0" w:after="0" w:line="360" w:lineRule="auto"/>
        <w:jc w:val="center"/>
        <w:rPr>
          <w:rFonts w:hint="eastAsia" w:ascii="仿宋" w:hAnsi="仿宋" w:eastAsia="仿宋" w:cs="仿宋"/>
          <w:color w:val="auto"/>
          <w:sz w:val="24"/>
          <w:szCs w:val="24"/>
          <w:highlight w:val="none"/>
        </w:rPr>
      </w:pPr>
      <w:bookmarkStart w:id="810" w:name="_Toc7209"/>
      <w:bookmarkStart w:id="811" w:name="_Toc71734769"/>
      <w:bookmarkStart w:id="812" w:name="_Toc89638418"/>
      <w:bookmarkStart w:id="813" w:name="_Toc103723285"/>
      <w:bookmarkStart w:id="814" w:name="_Toc11673"/>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.商务条款偏离表</w:t>
      </w:r>
      <w:bookmarkEnd w:id="810"/>
      <w:bookmarkEnd w:id="811"/>
      <w:bookmarkEnd w:id="812"/>
      <w:bookmarkEnd w:id="813"/>
      <w:bookmarkEnd w:id="814"/>
    </w:p>
    <w:p w14:paraId="2C97A2C4">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AA0EA9C">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3D470FC4">
      <w:pPr>
        <w:pageBreakBefore w:val="0"/>
        <w:kinsoku/>
        <w:bidi w:val="0"/>
        <w:spacing w:line="360" w:lineRule="auto"/>
        <w:jc w:val="left"/>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98"/>
        <w:gridCol w:w="2055"/>
        <w:gridCol w:w="2191"/>
        <w:gridCol w:w="1369"/>
        <w:gridCol w:w="2124"/>
      </w:tblGrid>
      <w:tr w14:paraId="16B6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7C0B186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98" w:type="dxa"/>
            <w:noWrap w:val="0"/>
            <w:vAlign w:val="center"/>
          </w:tcPr>
          <w:p w14:paraId="0F2F5C0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055" w:type="dxa"/>
            <w:noWrap w:val="0"/>
            <w:vAlign w:val="center"/>
          </w:tcPr>
          <w:p w14:paraId="27E68E4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招标文件要求</w:t>
            </w:r>
          </w:p>
        </w:tc>
        <w:tc>
          <w:tcPr>
            <w:tcW w:w="2191" w:type="dxa"/>
            <w:noWrap w:val="0"/>
            <w:vAlign w:val="center"/>
          </w:tcPr>
          <w:p w14:paraId="4604AB5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投标文件响应</w:t>
            </w:r>
          </w:p>
        </w:tc>
        <w:tc>
          <w:tcPr>
            <w:tcW w:w="1369" w:type="dxa"/>
            <w:noWrap w:val="0"/>
            <w:vAlign w:val="center"/>
          </w:tcPr>
          <w:p w14:paraId="43ABDDE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2124" w:type="dxa"/>
            <w:noWrap w:val="0"/>
            <w:vAlign w:val="center"/>
          </w:tcPr>
          <w:p w14:paraId="5FA7B8D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31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6AED572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98" w:type="dxa"/>
            <w:noWrap w:val="0"/>
            <w:vAlign w:val="center"/>
          </w:tcPr>
          <w:p w14:paraId="156E707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4A36D06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4F3E7CF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1AEC24F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1E8B888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6DAC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67B03EB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98" w:type="dxa"/>
            <w:noWrap w:val="0"/>
            <w:vAlign w:val="center"/>
          </w:tcPr>
          <w:p w14:paraId="7175722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5590084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474FFB0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002DB77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7EC334E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5CEF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51C485F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98" w:type="dxa"/>
            <w:noWrap w:val="0"/>
            <w:vAlign w:val="center"/>
          </w:tcPr>
          <w:p w14:paraId="63A1153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4A6BE7B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21CE072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7E079FE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277947C9">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4459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0CC2530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98" w:type="dxa"/>
            <w:noWrap w:val="0"/>
            <w:vAlign w:val="center"/>
          </w:tcPr>
          <w:p w14:paraId="5A7622F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78C4ADFD">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7850DD7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54398C5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7E88ADC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64C1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5BF1DD0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98" w:type="dxa"/>
            <w:noWrap w:val="0"/>
            <w:vAlign w:val="center"/>
          </w:tcPr>
          <w:p w14:paraId="0BA9C19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167AD41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0EA2A61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0DF648D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2332D90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39C6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4F34AA3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98" w:type="dxa"/>
            <w:noWrap w:val="0"/>
            <w:vAlign w:val="center"/>
          </w:tcPr>
          <w:p w14:paraId="2970BF1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12DEDA82">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6A21B8C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2BCFB6C5">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313B0E5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26B3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2A854D6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1098" w:type="dxa"/>
            <w:noWrap w:val="0"/>
            <w:vAlign w:val="center"/>
          </w:tcPr>
          <w:p w14:paraId="1FC611B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p>
        </w:tc>
        <w:tc>
          <w:tcPr>
            <w:tcW w:w="2055" w:type="dxa"/>
            <w:noWrap w:val="0"/>
            <w:vAlign w:val="center"/>
          </w:tcPr>
          <w:p w14:paraId="3F7C7CA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0D682AB6">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26F0E65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3E7B561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14:paraId="2CB2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1" w:type="dxa"/>
            <w:noWrap w:val="0"/>
            <w:vAlign w:val="center"/>
          </w:tcPr>
          <w:p w14:paraId="5FDB726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098" w:type="dxa"/>
            <w:noWrap w:val="0"/>
            <w:vAlign w:val="center"/>
          </w:tcPr>
          <w:p w14:paraId="5E53CE01">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055" w:type="dxa"/>
            <w:noWrap w:val="0"/>
            <w:vAlign w:val="center"/>
          </w:tcPr>
          <w:p w14:paraId="5654AD3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91" w:type="dxa"/>
            <w:noWrap w:val="0"/>
            <w:vAlign w:val="center"/>
          </w:tcPr>
          <w:p w14:paraId="67AA88B7">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69" w:type="dxa"/>
            <w:noWrap w:val="0"/>
            <w:vAlign w:val="center"/>
          </w:tcPr>
          <w:p w14:paraId="10E0BFBF">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124" w:type="dxa"/>
            <w:noWrap w:val="0"/>
            <w:vAlign w:val="center"/>
          </w:tcPr>
          <w:p w14:paraId="5185BD9C">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14:paraId="43AA1F1A">
      <w:pPr>
        <w:pageBreakBefore w:val="0"/>
        <w:kinsoku/>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注：本招标文件中</w:t>
      </w:r>
      <w:r>
        <w:rPr>
          <w:rFonts w:hint="eastAsia" w:ascii="仿宋" w:hAnsi="仿宋" w:eastAsia="仿宋" w:cs="仿宋"/>
          <w:b/>
          <w:bCs/>
          <w:color w:val="auto"/>
          <w:sz w:val="24"/>
          <w:szCs w:val="24"/>
          <w:highlight w:val="none"/>
          <w:lang w:eastAsia="zh-CN"/>
        </w:rPr>
        <w:t>“第六章 采购需求及要求</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中商务要求和“售后及其他要求”逐条作出响应。招标文件</w:t>
      </w:r>
      <w:r>
        <w:rPr>
          <w:rFonts w:hint="eastAsia" w:ascii="仿宋" w:hAnsi="仿宋" w:eastAsia="仿宋" w:cs="仿宋"/>
          <w:b/>
          <w:bCs/>
          <w:color w:val="auto"/>
          <w:sz w:val="24"/>
          <w:szCs w:val="24"/>
          <w:highlight w:val="none"/>
        </w:rPr>
        <w:t>标注★号的其他条款为实质性要求和条件，不满足任何一条将导致投标无效。请各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仔细阅读★号条款</w:t>
      </w:r>
      <w:r>
        <w:rPr>
          <w:rFonts w:hint="eastAsia" w:ascii="仿宋" w:hAnsi="仿宋" w:eastAsia="仿宋" w:cs="仿宋"/>
          <w:b/>
          <w:bCs/>
          <w:color w:val="auto"/>
          <w:sz w:val="24"/>
          <w:szCs w:val="24"/>
          <w:highlight w:val="none"/>
          <w:lang w:val="en-US" w:eastAsia="zh-CN"/>
        </w:rPr>
        <w:t>并逐条作出响应，</w:t>
      </w:r>
      <w:r>
        <w:rPr>
          <w:rFonts w:hint="eastAsia" w:ascii="仿宋" w:hAnsi="仿宋" w:eastAsia="仿宋" w:cs="仿宋"/>
          <w:b/>
          <w:bCs/>
          <w:color w:val="auto"/>
          <w:sz w:val="24"/>
          <w:szCs w:val="24"/>
          <w:highlight w:val="none"/>
        </w:rPr>
        <w:t>★号条款</w:t>
      </w:r>
      <w:r>
        <w:rPr>
          <w:rFonts w:hint="eastAsia" w:ascii="仿宋" w:hAnsi="仿宋" w:eastAsia="仿宋" w:cs="仿宋"/>
          <w:b/>
          <w:bCs/>
          <w:color w:val="auto"/>
          <w:sz w:val="24"/>
          <w:szCs w:val="24"/>
          <w:highlight w:val="none"/>
          <w:lang w:val="en-US" w:eastAsia="zh-CN"/>
        </w:rPr>
        <w:t>不允许负偏离，否则视为无效投标，招标文件中规定的实质性要求和条件的基础上，可做出其他有利于采购人的响应（承诺）。此类承诺可在本表中予以补充填写。</w:t>
      </w:r>
    </w:p>
    <w:p w14:paraId="551686D9">
      <w:pPr>
        <w:pageBreakBefore w:val="0"/>
        <w:kinsoku/>
        <w:bidi w:val="0"/>
        <w:spacing w:line="360" w:lineRule="auto"/>
        <w:jc w:val="left"/>
        <w:rPr>
          <w:rFonts w:hint="eastAsia" w:ascii="仿宋" w:hAnsi="仿宋" w:eastAsia="仿宋" w:cs="仿宋"/>
          <w:b/>
          <w:bCs/>
          <w:color w:val="auto"/>
          <w:sz w:val="24"/>
          <w:szCs w:val="24"/>
          <w:highlight w:val="none"/>
        </w:rPr>
      </w:pPr>
    </w:p>
    <w:p w14:paraId="47239EDA">
      <w:pPr>
        <w:pageBreakBefore w:val="0"/>
        <w:kinsoku/>
        <w:bidi w:val="0"/>
        <w:spacing w:line="360" w:lineRule="auto"/>
        <w:rPr>
          <w:rFonts w:hint="eastAsia" w:ascii="仿宋" w:hAnsi="仿宋" w:eastAsia="仿宋" w:cs="仿宋"/>
          <w:color w:val="auto"/>
          <w:highlight w:val="none"/>
        </w:rPr>
      </w:pPr>
    </w:p>
    <w:p w14:paraId="5C70D08B">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7C4FA576">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046B6770">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2C4970D1">
      <w:pPr>
        <w:pageBreakBefore w:val="0"/>
        <w:kinsoku/>
        <w:bidi w:val="0"/>
        <w:spacing w:before="60" w:after="60" w:line="360" w:lineRule="auto"/>
        <w:ind w:firstLine="510"/>
        <w:rPr>
          <w:rFonts w:hint="eastAsia" w:ascii="仿宋" w:hAnsi="仿宋" w:eastAsia="仿宋" w:cs="仿宋"/>
          <w:color w:val="auto"/>
          <w:sz w:val="24"/>
          <w:highlight w:val="none"/>
        </w:rPr>
      </w:pPr>
    </w:p>
    <w:p w14:paraId="3E2DD527">
      <w:pPr>
        <w:pStyle w:val="15"/>
        <w:pageBreakBefore w:val="0"/>
        <w:kinsoku/>
        <w:bidi w:val="0"/>
        <w:spacing w:line="360" w:lineRule="auto"/>
        <w:rPr>
          <w:rFonts w:hint="eastAsia" w:ascii="仿宋" w:hAnsi="仿宋" w:eastAsia="仿宋" w:cs="仿宋"/>
          <w:color w:val="auto"/>
          <w:highlight w:val="none"/>
        </w:rPr>
      </w:pPr>
    </w:p>
    <w:p w14:paraId="541F598F">
      <w:pPr>
        <w:pStyle w:val="15"/>
        <w:pageBreakBefore w:val="0"/>
        <w:kinsoku/>
        <w:bidi w:val="0"/>
        <w:spacing w:line="360" w:lineRule="auto"/>
        <w:rPr>
          <w:rFonts w:hint="eastAsia" w:ascii="仿宋" w:hAnsi="仿宋" w:eastAsia="仿宋" w:cs="仿宋"/>
          <w:color w:val="auto"/>
          <w:highlight w:val="none"/>
        </w:rPr>
      </w:pPr>
    </w:p>
    <w:p w14:paraId="25483619">
      <w:pPr>
        <w:pStyle w:val="15"/>
        <w:pageBreakBefore w:val="0"/>
        <w:kinsoku/>
        <w:bidi w:val="0"/>
        <w:spacing w:line="360" w:lineRule="auto"/>
        <w:rPr>
          <w:rFonts w:hint="eastAsia" w:ascii="仿宋" w:hAnsi="仿宋" w:eastAsia="仿宋" w:cs="仿宋"/>
          <w:color w:val="auto"/>
          <w:highlight w:val="none"/>
        </w:rPr>
      </w:pPr>
    </w:p>
    <w:p w14:paraId="4C642FAC">
      <w:pPr>
        <w:pStyle w:val="4"/>
        <w:pageBreakBefore w:val="0"/>
        <w:kinsoku/>
        <w:bidi w:val="0"/>
        <w:spacing w:line="360" w:lineRule="auto"/>
        <w:jc w:val="center"/>
        <w:rPr>
          <w:rFonts w:hint="eastAsia" w:ascii="仿宋" w:hAnsi="仿宋" w:eastAsia="仿宋" w:cs="仿宋"/>
          <w:color w:val="auto"/>
          <w:sz w:val="24"/>
          <w:szCs w:val="24"/>
          <w:highlight w:val="none"/>
        </w:rPr>
      </w:pPr>
      <w:bookmarkStart w:id="815" w:name="_Toc71734772"/>
      <w:bookmarkStart w:id="816" w:name="_Toc25244"/>
      <w:bookmarkStart w:id="817" w:name="_Toc103723287"/>
      <w:bookmarkStart w:id="818" w:name="_Toc2085"/>
      <w:bookmarkStart w:id="819" w:name="_Toc89638421"/>
      <w:bookmarkStart w:id="820" w:name="_Hlk53244692"/>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.质保期</w:t>
      </w:r>
    </w:p>
    <w:p w14:paraId="008B6DAD">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根据评标办法并结合自身实际情况自行编写）</w:t>
      </w:r>
    </w:p>
    <w:p w14:paraId="2737331F">
      <w:pPr>
        <w:pageBreakBefore w:val="0"/>
        <w:kinsoku/>
        <w:bidi w:val="0"/>
        <w:spacing w:line="360" w:lineRule="auto"/>
        <w:jc w:val="center"/>
        <w:rPr>
          <w:rFonts w:hint="eastAsia" w:ascii="仿宋" w:hAnsi="仿宋" w:eastAsia="仿宋" w:cs="仿宋"/>
          <w:snapToGrid w:val="0"/>
          <w:color w:val="auto"/>
          <w:kern w:val="0"/>
          <w:szCs w:val="20"/>
          <w:highlight w:val="none"/>
        </w:rPr>
      </w:pPr>
    </w:p>
    <w:p w14:paraId="24BF0CFF">
      <w:pPr>
        <w:pageBreakBefore w:val="0"/>
        <w:kinsoku/>
        <w:bidi w:val="0"/>
        <w:spacing w:line="360" w:lineRule="auto"/>
        <w:jc w:val="center"/>
        <w:rPr>
          <w:rFonts w:hint="eastAsia" w:ascii="仿宋" w:hAnsi="仿宋" w:eastAsia="仿宋" w:cs="仿宋"/>
          <w:snapToGrid w:val="0"/>
          <w:color w:val="auto"/>
          <w:kern w:val="0"/>
          <w:szCs w:val="20"/>
          <w:highlight w:val="none"/>
        </w:rPr>
      </w:pPr>
    </w:p>
    <w:p w14:paraId="37397D30">
      <w:pPr>
        <w:pStyle w:val="4"/>
        <w:pageBreakBefore w:val="0"/>
        <w:kinsoku/>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r>
        <w:rPr>
          <w:rFonts w:hint="eastAsia" w:ascii="仿宋" w:hAnsi="仿宋" w:eastAsia="仿宋" w:cs="仿宋"/>
          <w:color w:val="auto"/>
          <w:sz w:val="24"/>
          <w:szCs w:val="24"/>
          <w:highlight w:val="none"/>
          <w:lang w:val="en-US" w:eastAsia="zh-CN"/>
        </w:rPr>
        <w:t>12.项目实施方案</w:t>
      </w:r>
    </w:p>
    <w:p w14:paraId="081F57CD">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根据评标办法并结合自身实际情况自行编写）</w:t>
      </w:r>
    </w:p>
    <w:p w14:paraId="2463D028">
      <w:pP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br w:type="page"/>
      </w:r>
    </w:p>
    <w:p w14:paraId="2A468993">
      <w:pPr>
        <w:pStyle w:val="4"/>
        <w:pageBreakBefore w:val="0"/>
        <w:kinsoku/>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13.培训方案</w:t>
      </w:r>
    </w:p>
    <w:p w14:paraId="4E4BBD8F">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根据评标办法并结合自身实际情况自行编写）</w:t>
      </w:r>
    </w:p>
    <w:p w14:paraId="56E96468">
      <w:pP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br w:type="page"/>
      </w:r>
    </w:p>
    <w:p w14:paraId="28C38DC7">
      <w:pPr>
        <w:pStyle w:val="4"/>
        <w:pageBreakBefore w:val="0"/>
        <w:kinsoku/>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14.售后服务方案</w:t>
      </w:r>
    </w:p>
    <w:p w14:paraId="34257324">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根据评标办法并结合自身实际情况自行编写）</w:t>
      </w:r>
    </w:p>
    <w:p w14:paraId="12F3E519">
      <w:pP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br w:type="page"/>
      </w:r>
    </w:p>
    <w:p w14:paraId="5F62C2DB">
      <w:pPr>
        <w:pStyle w:val="4"/>
        <w:pageBreakBefore w:val="0"/>
        <w:kinsoku/>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15.售后服务延伸方案</w:t>
      </w:r>
    </w:p>
    <w:p w14:paraId="5D8561D4">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根据评标办法并结合自身实际情况自行编写）</w:t>
      </w:r>
    </w:p>
    <w:p w14:paraId="2EC680CB">
      <w:pPr>
        <w:pageBreakBefore w:val="0"/>
        <w:kinsoku/>
        <w:bidi w:val="0"/>
        <w:spacing w:line="360" w:lineRule="auto"/>
        <w:jc w:val="center"/>
        <w:rPr>
          <w:rFonts w:hint="eastAsia" w:ascii="仿宋" w:hAnsi="仿宋" w:eastAsia="仿宋" w:cs="仿宋"/>
          <w:snapToGrid w:val="0"/>
          <w:color w:val="auto"/>
          <w:kern w:val="0"/>
          <w:szCs w:val="20"/>
          <w:highlight w:val="none"/>
        </w:rPr>
      </w:pPr>
    </w:p>
    <w:p w14:paraId="077EF38C">
      <w:pPr>
        <w:pageBreakBefore w:val="0"/>
        <w:kinsoku/>
        <w:bidi w:val="0"/>
        <w:spacing w:line="360" w:lineRule="auto"/>
        <w:jc w:val="center"/>
        <w:rPr>
          <w:rFonts w:hint="eastAsia" w:ascii="仿宋" w:hAnsi="仿宋" w:eastAsia="仿宋" w:cs="仿宋"/>
          <w:snapToGrid w:val="0"/>
          <w:color w:val="auto"/>
          <w:kern w:val="0"/>
          <w:szCs w:val="20"/>
          <w:highlight w:val="none"/>
        </w:rPr>
      </w:pPr>
    </w:p>
    <w:p w14:paraId="48D018FA">
      <w:pPr>
        <w:pStyle w:val="19"/>
        <w:spacing w:line="360" w:lineRule="auto"/>
        <w:ind w:left="2"/>
        <w:rPr>
          <w:rFonts w:hint="eastAsia" w:ascii="仿宋" w:hAnsi="仿宋" w:eastAsia="仿宋" w:cs="仿宋"/>
          <w:color w:val="auto"/>
          <w:szCs w:val="21"/>
          <w:highlight w:val="none"/>
        </w:rPr>
      </w:pPr>
    </w:p>
    <w:p w14:paraId="01F7EE77">
      <w:pPr>
        <w:pageBreakBefore w:val="0"/>
        <w:kinsoku/>
        <w:bidi w:val="0"/>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br w:type="page"/>
      </w:r>
    </w:p>
    <w:p w14:paraId="08C58E92">
      <w:pPr>
        <w:pStyle w:val="4"/>
        <w:pageBreakBefore w:val="0"/>
        <w:tabs>
          <w:tab w:val="left" w:pos="312"/>
        </w:tabs>
        <w:kinsoku/>
        <w:bidi w:val="0"/>
        <w:spacing w:before="0" w:after="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.类似业绩</w:t>
      </w:r>
      <w:bookmarkEnd w:id="815"/>
      <w:bookmarkEnd w:id="816"/>
      <w:bookmarkEnd w:id="817"/>
      <w:bookmarkEnd w:id="818"/>
      <w:bookmarkEnd w:id="819"/>
    </w:p>
    <w:p w14:paraId="46B5CE59">
      <w:pPr>
        <w:pageBreakBefore w:val="0"/>
        <w:kinsoku/>
        <w:bidi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F56DAC3">
      <w:pPr>
        <w:pageBreakBefore w:val="0"/>
        <w:kinsoku/>
        <w:bidi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64F8C36">
      <w:pPr>
        <w:pageBreakBefore w:val="0"/>
        <w:kinsoku/>
        <w:bidi w:val="0"/>
        <w:spacing w:line="360" w:lineRule="auto"/>
        <w:jc w:val="left"/>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none"/>
          <w:lang w:val="en-US" w:eastAsia="zh-CN"/>
        </w:rPr>
        <w:t>标 段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412"/>
        <w:gridCol w:w="1416"/>
        <w:gridCol w:w="1683"/>
        <w:gridCol w:w="1888"/>
        <w:gridCol w:w="1270"/>
        <w:gridCol w:w="1471"/>
      </w:tblGrid>
      <w:tr w14:paraId="5BC7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30B0839E">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序号</w:t>
            </w:r>
          </w:p>
        </w:tc>
        <w:tc>
          <w:tcPr>
            <w:tcW w:w="709" w:type="pct"/>
            <w:noWrap w:val="0"/>
            <w:vAlign w:val="center"/>
          </w:tcPr>
          <w:p w14:paraId="156A80A8">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项目名称</w:t>
            </w:r>
          </w:p>
        </w:tc>
        <w:tc>
          <w:tcPr>
            <w:tcW w:w="711" w:type="pct"/>
            <w:noWrap w:val="0"/>
            <w:vAlign w:val="center"/>
          </w:tcPr>
          <w:p w14:paraId="78E8AFF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业主名称</w:t>
            </w:r>
          </w:p>
        </w:tc>
        <w:tc>
          <w:tcPr>
            <w:tcW w:w="845" w:type="pct"/>
            <w:noWrap w:val="0"/>
            <w:vAlign w:val="top"/>
          </w:tcPr>
          <w:p w14:paraId="02E003A0">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合同主要标的物名称</w:t>
            </w:r>
          </w:p>
        </w:tc>
        <w:tc>
          <w:tcPr>
            <w:tcW w:w="948" w:type="pct"/>
            <w:noWrap w:val="0"/>
            <w:vAlign w:val="center"/>
          </w:tcPr>
          <w:p w14:paraId="0CF750B3">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合同签订时间</w:t>
            </w:r>
          </w:p>
        </w:tc>
        <w:tc>
          <w:tcPr>
            <w:tcW w:w="638" w:type="pct"/>
            <w:noWrap w:val="0"/>
            <w:vAlign w:val="center"/>
          </w:tcPr>
          <w:p w14:paraId="424ACF14">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合同金额</w:t>
            </w:r>
          </w:p>
        </w:tc>
        <w:tc>
          <w:tcPr>
            <w:tcW w:w="739" w:type="pct"/>
            <w:noWrap w:val="0"/>
            <w:vAlign w:val="center"/>
          </w:tcPr>
          <w:p w14:paraId="5697A55B">
            <w:pPr>
              <w:keepNext w:val="0"/>
              <w:keepLines w:val="0"/>
              <w:pageBreakBefore w:val="0"/>
              <w:suppressLineNumbers w:val="0"/>
              <w:kinsoku/>
              <w:bidi w:val="0"/>
              <w:spacing w:before="0" w:beforeAutospacing="0" w:after="0" w:afterAutospacing="0" w:line="360" w:lineRule="auto"/>
              <w:ind w:left="0" w:right="0"/>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完成时间</w:t>
            </w:r>
          </w:p>
        </w:tc>
      </w:tr>
      <w:tr w14:paraId="1EDF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3303A978">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09" w:type="pct"/>
            <w:noWrap w:val="0"/>
            <w:vAlign w:val="center"/>
          </w:tcPr>
          <w:p w14:paraId="0871FDA5">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11" w:type="pct"/>
            <w:noWrap w:val="0"/>
            <w:vAlign w:val="center"/>
          </w:tcPr>
          <w:p w14:paraId="602B6B94">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845" w:type="pct"/>
            <w:noWrap w:val="0"/>
            <w:vAlign w:val="top"/>
          </w:tcPr>
          <w:p w14:paraId="1277432E">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948" w:type="pct"/>
            <w:noWrap w:val="0"/>
            <w:vAlign w:val="center"/>
          </w:tcPr>
          <w:p w14:paraId="5444BC9D">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638" w:type="pct"/>
            <w:noWrap w:val="0"/>
            <w:vAlign w:val="center"/>
          </w:tcPr>
          <w:p w14:paraId="29C53175">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39" w:type="pct"/>
            <w:noWrap w:val="0"/>
            <w:vAlign w:val="center"/>
          </w:tcPr>
          <w:p w14:paraId="6ABEEC5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r>
      <w:tr w14:paraId="5BC9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1699EAA8">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09" w:type="pct"/>
            <w:noWrap w:val="0"/>
            <w:vAlign w:val="center"/>
          </w:tcPr>
          <w:p w14:paraId="5C7B3206">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11" w:type="pct"/>
            <w:noWrap w:val="0"/>
            <w:vAlign w:val="center"/>
          </w:tcPr>
          <w:p w14:paraId="148D7108">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845" w:type="pct"/>
            <w:noWrap w:val="0"/>
            <w:vAlign w:val="top"/>
          </w:tcPr>
          <w:p w14:paraId="049F7480">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948" w:type="pct"/>
            <w:noWrap w:val="0"/>
            <w:vAlign w:val="center"/>
          </w:tcPr>
          <w:p w14:paraId="120C3BC6">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638" w:type="pct"/>
            <w:noWrap w:val="0"/>
            <w:vAlign w:val="center"/>
          </w:tcPr>
          <w:p w14:paraId="471C4AE2">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39" w:type="pct"/>
            <w:noWrap w:val="0"/>
            <w:vAlign w:val="center"/>
          </w:tcPr>
          <w:p w14:paraId="37536C38">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r>
      <w:tr w14:paraId="7BE7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59261256">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09" w:type="pct"/>
            <w:noWrap w:val="0"/>
            <w:vAlign w:val="center"/>
          </w:tcPr>
          <w:p w14:paraId="0E701A5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11" w:type="pct"/>
            <w:noWrap w:val="0"/>
            <w:vAlign w:val="center"/>
          </w:tcPr>
          <w:p w14:paraId="40269674">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845" w:type="pct"/>
            <w:noWrap w:val="0"/>
            <w:vAlign w:val="top"/>
          </w:tcPr>
          <w:p w14:paraId="6C6290DB">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948" w:type="pct"/>
            <w:noWrap w:val="0"/>
            <w:vAlign w:val="center"/>
          </w:tcPr>
          <w:p w14:paraId="458F849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638" w:type="pct"/>
            <w:noWrap w:val="0"/>
            <w:vAlign w:val="center"/>
          </w:tcPr>
          <w:p w14:paraId="5E2173C9">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39" w:type="pct"/>
            <w:noWrap w:val="0"/>
            <w:vAlign w:val="center"/>
          </w:tcPr>
          <w:p w14:paraId="2464B5A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r>
      <w:tr w14:paraId="3B20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6A5D9E54">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09" w:type="pct"/>
            <w:noWrap w:val="0"/>
            <w:vAlign w:val="center"/>
          </w:tcPr>
          <w:p w14:paraId="4F415BCB">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11" w:type="pct"/>
            <w:noWrap w:val="0"/>
            <w:vAlign w:val="center"/>
          </w:tcPr>
          <w:p w14:paraId="0DEF1CED">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845" w:type="pct"/>
            <w:noWrap w:val="0"/>
            <w:vAlign w:val="top"/>
          </w:tcPr>
          <w:p w14:paraId="61B1A16D">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948" w:type="pct"/>
            <w:noWrap w:val="0"/>
            <w:vAlign w:val="center"/>
          </w:tcPr>
          <w:p w14:paraId="17A2F5B3">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638" w:type="pct"/>
            <w:noWrap w:val="0"/>
            <w:vAlign w:val="center"/>
          </w:tcPr>
          <w:p w14:paraId="4388CC2F">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39" w:type="pct"/>
            <w:noWrap w:val="0"/>
            <w:vAlign w:val="center"/>
          </w:tcPr>
          <w:p w14:paraId="2757FAEC">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r>
      <w:tr w14:paraId="617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noWrap w:val="0"/>
            <w:vAlign w:val="center"/>
          </w:tcPr>
          <w:p w14:paraId="556DD570">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09" w:type="pct"/>
            <w:noWrap w:val="0"/>
            <w:vAlign w:val="center"/>
          </w:tcPr>
          <w:p w14:paraId="683CFACF">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11" w:type="pct"/>
            <w:noWrap w:val="0"/>
            <w:vAlign w:val="center"/>
          </w:tcPr>
          <w:p w14:paraId="6C89C897">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845" w:type="pct"/>
            <w:noWrap w:val="0"/>
            <w:vAlign w:val="top"/>
          </w:tcPr>
          <w:p w14:paraId="4DD54DE8">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948" w:type="pct"/>
            <w:noWrap w:val="0"/>
            <w:vAlign w:val="center"/>
          </w:tcPr>
          <w:p w14:paraId="08294C96">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638" w:type="pct"/>
            <w:noWrap w:val="0"/>
            <w:vAlign w:val="center"/>
          </w:tcPr>
          <w:p w14:paraId="7E1760F2">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c>
          <w:tcPr>
            <w:tcW w:w="739" w:type="pct"/>
            <w:noWrap w:val="0"/>
            <w:vAlign w:val="center"/>
          </w:tcPr>
          <w:p w14:paraId="766303EB">
            <w:pPr>
              <w:keepNext w:val="0"/>
              <w:keepLines w:val="0"/>
              <w:pageBreakBefore w:val="0"/>
              <w:suppressLineNumbers w:val="0"/>
              <w:kinsoku/>
              <w:bidi w:val="0"/>
              <w:spacing w:before="0" w:beforeAutospacing="0" w:after="0" w:afterAutospacing="0" w:line="360" w:lineRule="auto"/>
              <w:ind w:left="0" w:right="0"/>
              <w:jc w:val="left"/>
              <w:rPr>
                <w:rFonts w:hint="eastAsia" w:ascii="仿宋" w:hAnsi="仿宋" w:eastAsia="仿宋" w:cs="仿宋"/>
                <w:b/>
                <w:color w:val="auto"/>
                <w:kern w:val="0"/>
                <w:sz w:val="30"/>
                <w:highlight w:val="none"/>
              </w:rPr>
            </w:pPr>
          </w:p>
        </w:tc>
      </w:tr>
    </w:tbl>
    <w:p w14:paraId="22967342">
      <w:pPr>
        <w:pageBreakBefore w:val="0"/>
        <w:kinsoku/>
        <w:bidi w:val="0"/>
        <w:spacing w:before="60" w:after="6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注：本表后附业绩证明材料，具体请按评标办法提供，未附业绩证明材料的将不作为评审依据。</w:t>
      </w:r>
    </w:p>
    <w:p w14:paraId="6C418947">
      <w:pPr>
        <w:pStyle w:val="15"/>
        <w:pageBreakBefore w:val="0"/>
        <w:kinsoku/>
        <w:bidi w:val="0"/>
        <w:spacing w:line="360" w:lineRule="auto"/>
        <w:rPr>
          <w:rFonts w:hint="eastAsia" w:ascii="仿宋" w:hAnsi="仿宋" w:eastAsia="仿宋" w:cs="仿宋"/>
          <w:color w:val="auto"/>
          <w:highlight w:val="none"/>
          <w:lang w:val="en-US" w:bidi="ar-SA"/>
        </w:rPr>
      </w:pPr>
    </w:p>
    <w:p w14:paraId="372A7568">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________________________</w:t>
      </w:r>
    </w:p>
    <w:p w14:paraId="4CFE1D65">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法定代表人或委托代理人签字或签章：</w:t>
      </w:r>
      <w:r>
        <w:rPr>
          <w:rFonts w:hint="eastAsia" w:ascii="仿宋" w:hAnsi="仿宋" w:eastAsia="仿宋" w:cs="仿宋"/>
          <w:color w:val="auto"/>
          <w:sz w:val="24"/>
          <w:highlight w:val="none"/>
          <w:u w:val="single"/>
        </w:rPr>
        <w:t>__________________</w:t>
      </w:r>
    </w:p>
    <w:p w14:paraId="1A4D3E6D">
      <w:pPr>
        <w:pageBreakBefore w:val="0"/>
        <w:kinsoku/>
        <w:bidi w:val="0"/>
        <w:spacing w:before="60" w:after="60" w:line="360" w:lineRule="auto"/>
        <w:ind w:firstLine="51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_______</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____</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_____</w:t>
      </w:r>
      <w:r>
        <w:rPr>
          <w:rFonts w:hint="eastAsia" w:ascii="仿宋" w:hAnsi="仿宋" w:eastAsia="仿宋" w:cs="仿宋"/>
          <w:color w:val="auto"/>
          <w:sz w:val="24"/>
          <w:highlight w:val="none"/>
        </w:rPr>
        <w:t>日</w:t>
      </w:r>
    </w:p>
    <w:p w14:paraId="2875C71B">
      <w:pPr>
        <w:pageBreakBefore w:val="0"/>
        <w:numPr>
          <w:ilvl w:val="0"/>
          <w:numId w:val="0"/>
        </w:numPr>
        <w:kinsoku/>
        <w:bidi w:val="0"/>
        <w:spacing w:before="0" w:after="0" w:line="360" w:lineRule="auto"/>
        <w:jc w:val="center"/>
        <w:outlineLvl w:val="2"/>
        <w:rPr>
          <w:rFonts w:hint="eastAsia" w:ascii="仿宋" w:hAnsi="仿宋" w:eastAsia="仿宋" w:cs="仿宋"/>
          <w:color w:val="auto"/>
          <w:sz w:val="24"/>
          <w:szCs w:val="24"/>
          <w:highlight w:val="none"/>
        </w:rPr>
      </w:pPr>
      <w:bookmarkStart w:id="821" w:name="_Toc3438"/>
      <w:bookmarkStart w:id="822" w:name="_Toc89638422"/>
      <w:bookmarkStart w:id="823" w:name="_Toc103723288"/>
      <w:bookmarkStart w:id="824" w:name="_Toc71734773"/>
      <w:bookmarkStart w:id="825" w:name="_Toc22145"/>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.商务部分其他资料</w:t>
      </w:r>
      <w:bookmarkEnd w:id="821"/>
      <w:bookmarkEnd w:id="822"/>
      <w:bookmarkEnd w:id="823"/>
      <w:bookmarkEnd w:id="824"/>
      <w:bookmarkEnd w:id="825"/>
    </w:p>
    <w:p w14:paraId="03179644">
      <w:pPr>
        <w:pageBreakBefore w:val="0"/>
        <w:kinsoku/>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rPr>
        <w:t>（招标文件中规定的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或</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认为应该提供的</w:t>
      </w:r>
      <w:r>
        <w:rPr>
          <w:rFonts w:hint="eastAsia" w:ascii="仿宋" w:hAnsi="仿宋" w:eastAsia="仿宋" w:cs="仿宋"/>
          <w:color w:val="auto"/>
          <w:highlight w:val="none"/>
          <w:lang w:eastAsia="zh-CN"/>
        </w:rPr>
        <w:t>其他</w:t>
      </w:r>
      <w:r>
        <w:rPr>
          <w:rFonts w:hint="eastAsia" w:ascii="仿宋" w:hAnsi="仿宋" w:eastAsia="仿宋" w:cs="仿宋"/>
          <w:color w:val="auto"/>
          <w:highlight w:val="none"/>
        </w:rPr>
        <w:t>资料）</w:t>
      </w:r>
    </w:p>
    <w:p w14:paraId="4C51ACE7">
      <w:pPr>
        <w:pageBreakBefore w:val="0"/>
        <w:widowControl/>
        <w:tabs>
          <w:tab w:val="left" w:pos="940"/>
        </w:tabs>
        <w:kinsoku/>
        <w:overflowPunct w:val="0"/>
        <w:autoSpaceDE w:val="0"/>
        <w:autoSpaceDN w:val="0"/>
        <w:bidi w:val="0"/>
        <w:adjustRightInd w:val="0"/>
        <w:spacing w:line="360" w:lineRule="auto"/>
        <w:ind w:left="942" w:hanging="539"/>
        <w:jc w:val="left"/>
        <w:textAlignment w:val="baseline"/>
        <w:rPr>
          <w:rFonts w:hint="eastAsia" w:ascii="仿宋" w:hAnsi="仿宋" w:eastAsia="仿宋" w:cs="仿宋"/>
          <w:b/>
          <w:bCs/>
          <w:color w:val="auto"/>
          <w:sz w:val="24"/>
          <w:szCs w:val="24"/>
          <w:highlight w:val="none"/>
        </w:rPr>
      </w:pPr>
    </w:p>
    <w:p w14:paraId="2D484218">
      <w:pPr>
        <w:pageBreakBefore w:val="0"/>
        <w:kinsoku/>
        <w:bidi w:val="0"/>
        <w:spacing w:line="360" w:lineRule="auto"/>
        <w:rPr>
          <w:rFonts w:hint="eastAsia" w:ascii="仿宋" w:hAnsi="仿宋" w:eastAsia="仿宋" w:cs="仿宋"/>
          <w:color w:val="auto"/>
          <w:sz w:val="24"/>
          <w:szCs w:val="24"/>
          <w:highlight w:val="none"/>
        </w:rPr>
      </w:pPr>
    </w:p>
    <w:p w14:paraId="39AF5FB2">
      <w:pPr>
        <w:pageBreakBefore w:val="0"/>
        <w:kinsoku/>
        <w:bidi w:val="0"/>
        <w:spacing w:line="360" w:lineRule="auto"/>
        <w:rPr>
          <w:rFonts w:hint="eastAsia" w:ascii="仿宋" w:hAnsi="仿宋" w:eastAsia="仿宋" w:cs="仿宋"/>
          <w:color w:val="auto"/>
          <w:sz w:val="24"/>
          <w:szCs w:val="24"/>
          <w:highlight w:val="none"/>
        </w:rPr>
      </w:pPr>
    </w:p>
    <w:p w14:paraId="4ADDB079">
      <w:pPr>
        <w:pageBreakBefore w:val="0"/>
        <w:kinsoku/>
        <w:bidi w:val="0"/>
        <w:spacing w:line="360" w:lineRule="auto"/>
        <w:rPr>
          <w:rFonts w:hint="eastAsia" w:ascii="仿宋" w:hAnsi="仿宋" w:eastAsia="仿宋" w:cs="仿宋"/>
          <w:color w:val="auto"/>
          <w:sz w:val="24"/>
          <w:szCs w:val="24"/>
          <w:highlight w:val="none"/>
        </w:rPr>
      </w:pPr>
    </w:p>
    <w:p w14:paraId="36229DA0">
      <w:pPr>
        <w:pageBreakBefore w:val="0"/>
        <w:kinsoku/>
        <w:bidi w:val="0"/>
        <w:spacing w:line="360" w:lineRule="auto"/>
        <w:rPr>
          <w:rFonts w:hint="eastAsia" w:ascii="仿宋" w:hAnsi="仿宋" w:eastAsia="仿宋" w:cs="仿宋"/>
          <w:color w:val="auto"/>
          <w:sz w:val="24"/>
          <w:szCs w:val="24"/>
          <w:highlight w:val="none"/>
        </w:rPr>
      </w:pPr>
    </w:p>
    <w:p w14:paraId="179AF9C1">
      <w:pPr>
        <w:pageBreakBefore w:val="0"/>
        <w:kinsoku/>
        <w:bidi w:val="0"/>
        <w:spacing w:line="360" w:lineRule="auto"/>
        <w:rPr>
          <w:rFonts w:hint="eastAsia" w:ascii="仿宋" w:hAnsi="仿宋" w:eastAsia="仿宋" w:cs="仿宋"/>
          <w:color w:val="auto"/>
          <w:sz w:val="24"/>
          <w:szCs w:val="24"/>
          <w:highlight w:val="none"/>
        </w:rPr>
      </w:pPr>
    </w:p>
    <w:p w14:paraId="6629FB6D">
      <w:pPr>
        <w:pageBreakBefore w:val="0"/>
        <w:kinsoku/>
        <w:bidi w:val="0"/>
        <w:spacing w:line="360" w:lineRule="auto"/>
        <w:rPr>
          <w:rFonts w:hint="eastAsia" w:ascii="仿宋" w:hAnsi="仿宋" w:eastAsia="仿宋" w:cs="仿宋"/>
          <w:color w:val="auto"/>
          <w:sz w:val="24"/>
          <w:szCs w:val="24"/>
          <w:highlight w:val="none"/>
        </w:rPr>
      </w:pPr>
    </w:p>
    <w:p w14:paraId="5293F673">
      <w:pPr>
        <w:pageBreakBefore w:val="0"/>
        <w:kinsoku/>
        <w:bidi w:val="0"/>
        <w:spacing w:line="360" w:lineRule="auto"/>
        <w:rPr>
          <w:rFonts w:hint="eastAsia" w:ascii="仿宋" w:hAnsi="仿宋" w:eastAsia="仿宋" w:cs="仿宋"/>
          <w:color w:val="auto"/>
          <w:sz w:val="24"/>
          <w:szCs w:val="24"/>
          <w:highlight w:val="none"/>
        </w:rPr>
      </w:pPr>
    </w:p>
    <w:p w14:paraId="2C2467B8">
      <w:pPr>
        <w:pageBreakBefore w:val="0"/>
        <w:kinsoku/>
        <w:bidi w:val="0"/>
        <w:spacing w:line="360" w:lineRule="auto"/>
        <w:rPr>
          <w:rFonts w:hint="eastAsia" w:ascii="仿宋" w:hAnsi="仿宋" w:eastAsia="仿宋" w:cs="仿宋"/>
          <w:color w:val="auto"/>
          <w:sz w:val="24"/>
          <w:szCs w:val="24"/>
          <w:highlight w:val="none"/>
        </w:rPr>
      </w:pPr>
    </w:p>
    <w:p w14:paraId="6D122EDF">
      <w:pPr>
        <w:pageBreakBefore w:val="0"/>
        <w:kinsoku/>
        <w:bidi w:val="0"/>
        <w:spacing w:line="360" w:lineRule="auto"/>
        <w:rPr>
          <w:rFonts w:hint="eastAsia" w:ascii="仿宋" w:hAnsi="仿宋" w:eastAsia="仿宋" w:cs="仿宋"/>
          <w:color w:val="auto"/>
          <w:sz w:val="24"/>
          <w:szCs w:val="24"/>
          <w:highlight w:val="none"/>
        </w:rPr>
      </w:pPr>
    </w:p>
    <w:p w14:paraId="62A4B361">
      <w:pPr>
        <w:pageBreakBefore w:val="0"/>
        <w:kinsoku/>
        <w:bidi w:val="0"/>
        <w:spacing w:line="360" w:lineRule="auto"/>
        <w:rPr>
          <w:rFonts w:hint="eastAsia" w:ascii="仿宋" w:hAnsi="仿宋" w:eastAsia="仿宋" w:cs="仿宋"/>
          <w:color w:val="auto"/>
          <w:sz w:val="24"/>
          <w:szCs w:val="24"/>
          <w:highlight w:val="none"/>
        </w:rPr>
      </w:pPr>
    </w:p>
    <w:p w14:paraId="6348DF64">
      <w:pPr>
        <w:pageBreakBefore w:val="0"/>
        <w:kinsoku/>
        <w:bidi w:val="0"/>
        <w:spacing w:line="360" w:lineRule="auto"/>
        <w:rPr>
          <w:rFonts w:hint="eastAsia" w:ascii="仿宋" w:hAnsi="仿宋" w:eastAsia="仿宋" w:cs="仿宋"/>
          <w:color w:val="auto"/>
          <w:sz w:val="24"/>
          <w:szCs w:val="24"/>
          <w:highlight w:val="none"/>
        </w:rPr>
      </w:pPr>
    </w:p>
    <w:p w14:paraId="46869F15">
      <w:pPr>
        <w:pageBreakBefore w:val="0"/>
        <w:kinsoku/>
        <w:bidi w:val="0"/>
        <w:spacing w:line="360" w:lineRule="auto"/>
        <w:rPr>
          <w:rFonts w:hint="eastAsia" w:ascii="仿宋" w:hAnsi="仿宋" w:eastAsia="仿宋" w:cs="仿宋"/>
          <w:color w:val="auto"/>
          <w:sz w:val="24"/>
          <w:szCs w:val="24"/>
          <w:highlight w:val="none"/>
        </w:rPr>
      </w:pPr>
    </w:p>
    <w:p w14:paraId="21BBEC09">
      <w:pPr>
        <w:pageBreakBefore w:val="0"/>
        <w:kinsoku/>
        <w:bidi w:val="0"/>
        <w:spacing w:line="360" w:lineRule="auto"/>
        <w:rPr>
          <w:rFonts w:hint="eastAsia" w:ascii="仿宋" w:hAnsi="仿宋" w:eastAsia="仿宋" w:cs="仿宋"/>
          <w:color w:val="auto"/>
          <w:sz w:val="24"/>
          <w:szCs w:val="24"/>
          <w:highlight w:val="none"/>
        </w:rPr>
      </w:pPr>
    </w:p>
    <w:p w14:paraId="0EA2C90A">
      <w:pPr>
        <w:pageBreakBefore w:val="0"/>
        <w:kinsoku/>
        <w:bidi w:val="0"/>
        <w:spacing w:line="360" w:lineRule="auto"/>
        <w:rPr>
          <w:rFonts w:hint="eastAsia" w:ascii="仿宋" w:hAnsi="仿宋" w:eastAsia="仿宋" w:cs="仿宋"/>
          <w:color w:val="auto"/>
          <w:sz w:val="24"/>
          <w:szCs w:val="24"/>
          <w:highlight w:val="none"/>
        </w:rPr>
      </w:pPr>
    </w:p>
    <w:p w14:paraId="7C406127">
      <w:pPr>
        <w:pageBreakBefore w:val="0"/>
        <w:kinsoku/>
        <w:bidi w:val="0"/>
        <w:spacing w:line="360" w:lineRule="auto"/>
        <w:rPr>
          <w:rFonts w:hint="eastAsia" w:ascii="仿宋" w:hAnsi="仿宋" w:eastAsia="仿宋" w:cs="仿宋"/>
          <w:color w:val="auto"/>
          <w:sz w:val="24"/>
          <w:szCs w:val="24"/>
          <w:highlight w:val="none"/>
        </w:rPr>
      </w:pPr>
    </w:p>
    <w:p w14:paraId="645825B7">
      <w:pPr>
        <w:pageBreakBefore w:val="0"/>
        <w:kinsoku/>
        <w:bidi w:val="0"/>
        <w:spacing w:line="360" w:lineRule="auto"/>
        <w:rPr>
          <w:rFonts w:hint="eastAsia" w:ascii="仿宋" w:hAnsi="仿宋" w:eastAsia="仿宋" w:cs="仿宋"/>
          <w:color w:val="auto"/>
          <w:sz w:val="24"/>
          <w:szCs w:val="24"/>
          <w:highlight w:val="none"/>
        </w:rPr>
      </w:pPr>
    </w:p>
    <w:p w14:paraId="01EFD122">
      <w:pPr>
        <w:pageBreakBefore w:val="0"/>
        <w:kinsoku/>
        <w:bidi w:val="0"/>
        <w:spacing w:line="360" w:lineRule="auto"/>
        <w:rPr>
          <w:rFonts w:hint="eastAsia" w:ascii="仿宋" w:hAnsi="仿宋" w:eastAsia="仿宋" w:cs="仿宋"/>
          <w:color w:val="auto"/>
          <w:sz w:val="24"/>
          <w:szCs w:val="24"/>
          <w:highlight w:val="none"/>
        </w:rPr>
      </w:pPr>
    </w:p>
    <w:p w14:paraId="54C0C5D7">
      <w:pPr>
        <w:pageBreakBefore w:val="0"/>
        <w:kinsoku/>
        <w:bidi w:val="0"/>
        <w:spacing w:line="360" w:lineRule="auto"/>
        <w:rPr>
          <w:rFonts w:hint="eastAsia" w:ascii="仿宋" w:hAnsi="仿宋" w:eastAsia="仿宋" w:cs="仿宋"/>
          <w:color w:val="auto"/>
          <w:sz w:val="24"/>
          <w:szCs w:val="24"/>
          <w:highlight w:val="none"/>
        </w:rPr>
      </w:pPr>
    </w:p>
    <w:p w14:paraId="7612EABB">
      <w:pPr>
        <w:pageBreakBefore w:val="0"/>
        <w:kinsoku/>
        <w:bidi w:val="0"/>
        <w:spacing w:line="360" w:lineRule="auto"/>
        <w:rPr>
          <w:rFonts w:hint="eastAsia" w:ascii="仿宋" w:hAnsi="仿宋" w:eastAsia="仿宋" w:cs="仿宋"/>
          <w:color w:val="auto"/>
          <w:sz w:val="24"/>
          <w:szCs w:val="24"/>
          <w:highlight w:val="none"/>
        </w:rPr>
      </w:pPr>
    </w:p>
    <w:p w14:paraId="71184886">
      <w:pPr>
        <w:pageBreakBefore w:val="0"/>
        <w:kinsoku/>
        <w:bidi w:val="0"/>
        <w:spacing w:line="360" w:lineRule="auto"/>
        <w:rPr>
          <w:rFonts w:hint="eastAsia" w:ascii="仿宋" w:hAnsi="仿宋" w:eastAsia="仿宋" w:cs="仿宋"/>
          <w:color w:val="auto"/>
          <w:sz w:val="24"/>
          <w:szCs w:val="24"/>
          <w:highlight w:val="none"/>
        </w:rPr>
      </w:pPr>
    </w:p>
    <w:p w14:paraId="63314254">
      <w:pPr>
        <w:pStyle w:val="15"/>
        <w:pageBreakBefore w:val="0"/>
        <w:kinsoku/>
        <w:bidi w:val="0"/>
        <w:spacing w:line="360" w:lineRule="auto"/>
        <w:rPr>
          <w:rFonts w:hint="eastAsia" w:ascii="仿宋" w:hAnsi="仿宋" w:eastAsia="仿宋" w:cs="仿宋"/>
          <w:color w:val="auto"/>
          <w:highlight w:val="none"/>
        </w:rPr>
      </w:pPr>
    </w:p>
    <w:p w14:paraId="2CD56164">
      <w:pPr>
        <w:pStyle w:val="15"/>
        <w:pageBreakBefore w:val="0"/>
        <w:kinsoku/>
        <w:bidi w:val="0"/>
        <w:spacing w:line="360" w:lineRule="auto"/>
        <w:rPr>
          <w:rFonts w:hint="eastAsia" w:ascii="仿宋" w:hAnsi="仿宋" w:eastAsia="仿宋" w:cs="仿宋"/>
          <w:color w:val="auto"/>
          <w:highlight w:val="none"/>
        </w:rPr>
      </w:pPr>
    </w:p>
    <w:p w14:paraId="5A2926CA">
      <w:pPr>
        <w:pStyle w:val="15"/>
        <w:pageBreakBefore w:val="0"/>
        <w:kinsoku/>
        <w:bidi w:val="0"/>
        <w:spacing w:line="360" w:lineRule="auto"/>
        <w:rPr>
          <w:rFonts w:hint="eastAsia" w:ascii="仿宋" w:hAnsi="仿宋" w:eastAsia="仿宋" w:cs="仿宋"/>
          <w:color w:val="auto"/>
          <w:highlight w:val="none"/>
        </w:rPr>
      </w:pPr>
    </w:p>
    <w:p w14:paraId="3893380D">
      <w:pPr>
        <w:pStyle w:val="15"/>
        <w:pageBreakBefore w:val="0"/>
        <w:kinsoku/>
        <w:bidi w:val="0"/>
        <w:spacing w:line="360" w:lineRule="auto"/>
        <w:rPr>
          <w:rFonts w:hint="eastAsia" w:ascii="仿宋" w:hAnsi="仿宋" w:eastAsia="仿宋" w:cs="仿宋"/>
          <w:color w:val="auto"/>
          <w:highlight w:val="none"/>
        </w:rPr>
      </w:pPr>
    </w:p>
    <w:bookmarkEnd w:id="820"/>
    <w:p w14:paraId="4352B011">
      <w:pPr>
        <w:pStyle w:val="3"/>
        <w:pageBreakBefore w:val="0"/>
        <w:kinsoku/>
        <w:bidi w:val="0"/>
        <w:spacing w:after="0" w:line="360" w:lineRule="auto"/>
        <w:jc w:val="center"/>
        <w:rPr>
          <w:rFonts w:hint="eastAsia" w:ascii="仿宋" w:hAnsi="仿宋" w:eastAsia="仿宋" w:cs="仿宋"/>
          <w:color w:val="auto"/>
          <w:sz w:val="28"/>
          <w:szCs w:val="28"/>
          <w:highlight w:val="none"/>
        </w:rPr>
      </w:pPr>
      <w:bookmarkStart w:id="826" w:name="_Toc26399"/>
      <w:bookmarkStart w:id="827" w:name="_Toc29017"/>
      <w:bookmarkStart w:id="828" w:name="_Toc25076"/>
      <w:bookmarkStart w:id="829" w:name="_Toc29907"/>
      <w:bookmarkStart w:id="830" w:name="_Toc26866"/>
      <w:bookmarkStart w:id="831" w:name="_Toc71734774"/>
      <w:bookmarkStart w:id="832" w:name="_Toc31466"/>
      <w:bookmarkStart w:id="833" w:name="_Toc29103"/>
      <w:bookmarkStart w:id="834" w:name="_Toc13499"/>
      <w:bookmarkStart w:id="835" w:name="_Toc20687"/>
      <w:bookmarkStart w:id="836" w:name="_Toc103723289"/>
      <w:bookmarkStart w:id="837" w:name="_Toc28761"/>
      <w:bookmarkStart w:id="838" w:name="_Toc30460"/>
      <w:r>
        <w:rPr>
          <w:rFonts w:hint="eastAsia" w:ascii="仿宋" w:hAnsi="仿宋" w:eastAsia="仿宋" w:cs="仿宋"/>
          <w:color w:val="auto"/>
          <w:sz w:val="28"/>
          <w:szCs w:val="28"/>
          <w:highlight w:val="none"/>
        </w:rPr>
        <w:br w:type="page"/>
      </w:r>
      <w:bookmarkStart w:id="839" w:name="_Toc16663"/>
      <w:r>
        <w:rPr>
          <w:rFonts w:hint="eastAsia" w:ascii="仿宋" w:hAnsi="仿宋" w:eastAsia="仿宋" w:cs="仿宋"/>
          <w:color w:val="auto"/>
          <w:sz w:val="28"/>
          <w:szCs w:val="28"/>
          <w:highlight w:val="none"/>
        </w:rPr>
        <w:t>四、招标文件要求或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认为需要提交的其他资料</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616B6A79">
      <w:pPr>
        <w:pageBreakBefore w:val="0"/>
        <w:kinsoku/>
        <w:bidi w:val="0"/>
        <w:spacing w:line="360" w:lineRule="auto"/>
        <w:rPr>
          <w:rFonts w:hint="eastAsia" w:ascii="仿宋" w:hAnsi="仿宋" w:eastAsia="仿宋" w:cs="仿宋"/>
          <w:color w:val="auto"/>
          <w:sz w:val="24"/>
          <w:szCs w:val="24"/>
          <w:highlight w:val="none"/>
        </w:rPr>
      </w:pPr>
    </w:p>
    <w:p w14:paraId="4AF4BE74">
      <w:pPr>
        <w:pageBreakBefore w:val="0"/>
        <w:kinsoku/>
        <w:bidi w:val="0"/>
        <w:spacing w:line="360" w:lineRule="auto"/>
        <w:rPr>
          <w:rFonts w:hint="eastAsia" w:ascii="仿宋" w:hAnsi="仿宋" w:eastAsia="仿宋" w:cs="仿宋"/>
          <w:color w:val="auto"/>
          <w:sz w:val="24"/>
          <w:szCs w:val="24"/>
          <w:highlight w:val="none"/>
        </w:rPr>
      </w:pPr>
    </w:p>
    <w:p w14:paraId="57923079">
      <w:pPr>
        <w:pageBreakBefore w:val="0"/>
        <w:kinsoku/>
        <w:bidi w:val="0"/>
        <w:spacing w:line="360" w:lineRule="auto"/>
        <w:rPr>
          <w:rFonts w:hint="eastAsia" w:ascii="仿宋" w:hAnsi="仿宋" w:eastAsia="仿宋" w:cs="仿宋"/>
          <w:color w:val="auto"/>
          <w:sz w:val="24"/>
          <w:szCs w:val="24"/>
          <w:highlight w:val="none"/>
        </w:rPr>
      </w:pPr>
    </w:p>
    <w:p w14:paraId="092F202F">
      <w:pPr>
        <w:pageBreakBefore w:val="0"/>
        <w:kinsoku/>
        <w:bidi w:val="0"/>
        <w:spacing w:line="360" w:lineRule="auto"/>
        <w:rPr>
          <w:rFonts w:hint="eastAsia" w:ascii="仿宋" w:hAnsi="仿宋" w:eastAsia="仿宋" w:cs="仿宋"/>
          <w:color w:val="auto"/>
          <w:sz w:val="24"/>
          <w:szCs w:val="24"/>
          <w:highlight w:val="none"/>
        </w:rPr>
      </w:pPr>
    </w:p>
    <w:p w14:paraId="47341052">
      <w:pPr>
        <w:pStyle w:val="15"/>
        <w:pageBreakBefore w:val="0"/>
        <w:kinsoku/>
        <w:bidi w:val="0"/>
        <w:spacing w:line="360" w:lineRule="auto"/>
        <w:rPr>
          <w:rFonts w:hint="eastAsia" w:ascii="仿宋" w:hAnsi="仿宋" w:eastAsia="仿宋" w:cs="仿宋"/>
          <w:color w:val="auto"/>
          <w:highlight w:val="none"/>
          <w:lang w:val="en-US" w:bidi="ar-SA"/>
        </w:rPr>
      </w:pPr>
    </w:p>
    <w:p w14:paraId="3E25C608">
      <w:pPr>
        <w:pStyle w:val="15"/>
        <w:pageBreakBefore w:val="0"/>
        <w:kinsoku/>
        <w:bidi w:val="0"/>
        <w:spacing w:line="360" w:lineRule="auto"/>
        <w:rPr>
          <w:rFonts w:hint="eastAsia" w:ascii="仿宋" w:hAnsi="仿宋" w:eastAsia="仿宋" w:cs="仿宋"/>
          <w:color w:val="auto"/>
          <w:highlight w:val="none"/>
          <w:lang w:val="en-US" w:bidi="ar-SA"/>
        </w:rPr>
      </w:pPr>
    </w:p>
    <w:p w14:paraId="53C3DF27">
      <w:pPr>
        <w:pStyle w:val="15"/>
        <w:pageBreakBefore w:val="0"/>
        <w:kinsoku/>
        <w:bidi w:val="0"/>
        <w:spacing w:line="360" w:lineRule="auto"/>
        <w:rPr>
          <w:rFonts w:hint="eastAsia" w:ascii="仿宋" w:hAnsi="仿宋" w:eastAsia="仿宋" w:cs="仿宋"/>
          <w:color w:val="auto"/>
          <w:highlight w:val="none"/>
          <w:lang w:val="en-US" w:bidi="ar-SA"/>
        </w:rPr>
      </w:pPr>
    </w:p>
    <w:p w14:paraId="46F01349">
      <w:pPr>
        <w:pStyle w:val="15"/>
        <w:pageBreakBefore w:val="0"/>
        <w:kinsoku/>
        <w:bidi w:val="0"/>
        <w:spacing w:line="360" w:lineRule="auto"/>
        <w:rPr>
          <w:rFonts w:hint="eastAsia" w:ascii="仿宋" w:hAnsi="仿宋" w:eastAsia="仿宋" w:cs="仿宋"/>
          <w:color w:val="auto"/>
          <w:highlight w:val="none"/>
          <w:lang w:val="en-US" w:bidi="ar-SA"/>
        </w:rPr>
      </w:pPr>
    </w:p>
    <w:p w14:paraId="4BA4D218">
      <w:pPr>
        <w:pStyle w:val="15"/>
        <w:pageBreakBefore w:val="0"/>
        <w:kinsoku/>
        <w:bidi w:val="0"/>
        <w:spacing w:line="360" w:lineRule="auto"/>
        <w:rPr>
          <w:rFonts w:hint="eastAsia" w:ascii="仿宋" w:hAnsi="仿宋" w:eastAsia="仿宋" w:cs="仿宋"/>
          <w:color w:val="auto"/>
          <w:highlight w:val="none"/>
          <w:lang w:val="en-US" w:bidi="ar-SA"/>
        </w:rPr>
      </w:pPr>
    </w:p>
    <w:p w14:paraId="246E5601">
      <w:pPr>
        <w:pStyle w:val="15"/>
        <w:pageBreakBefore w:val="0"/>
        <w:kinsoku/>
        <w:bidi w:val="0"/>
        <w:spacing w:line="360" w:lineRule="auto"/>
        <w:rPr>
          <w:rFonts w:hint="eastAsia" w:ascii="仿宋" w:hAnsi="仿宋" w:eastAsia="仿宋" w:cs="仿宋"/>
          <w:color w:val="auto"/>
          <w:highlight w:val="none"/>
          <w:lang w:val="en-US" w:bidi="ar-SA"/>
        </w:rPr>
      </w:pPr>
    </w:p>
    <w:p w14:paraId="0AD4DE4D">
      <w:pPr>
        <w:pStyle w:val="15"/>
        <w:pageBreakBefore w:val="0"/>
        <w:kinsoku/>
        <w:bidi w:val="0"/>
        <w:spacing w:line="360" w:lineRule="auto"/>
        <w:rPr>
          <w:rFonts w:hint="eastAsia" w:ascii="仿宋" w:hAnsi="仿宋" w:eastAsia="仿宋" w:cs="仿宋"/>
          <w:color w:val="auto"/>
          <w:highlight w:val="none"/>
          <w:lang w:val="en-US" w:bidi="ar-SA"/>
        </w:rPr>
      </w:pPr>
    </w:p>
    <w:p w14:paraId="19E983D9">
      <w:pPr>
        <w:pStyle w:val="15"/>
        <w:pageBreakBefore w:val="0"/>
        <w:kinsoku/>
        <w:bidi w:val="0"/>
        <w:spacing w:line="360" w:lineRule="auto"/>
        <w:rPr>
          <w:rFonts w:hint="eastAsia" w:ascii="仿宋" w:hAnsi="仿宋" w:eastAsia="仿宋" w:cs="仿宋"/>
          <w:color w:val="auto"/>
          <w:highlight w:val="none"/>
          <w:lang w:val="en-US" w:bidi="ar-SA"/>
        </w:rPr>
      </w:pPr>
    </w:p>
    <w:p w14:paraId="456CEF04">
      <w:pPr>
        <w:pStyle w:val="15"/>
        <w:pageBreakBefore w:val="0"/>
        <w:kinsoku/>
        <w:bidi w:val="0"/>
        <w:spacing w:line="360" w:lineRule="auto"/>
        <w:rPr>
          <w:rFonts w:hint="eastAsia" w:ascii="仿宋" w:hAnsi="仿宋" w:eastAsia="仿宋" w:cs="仿宋"/>
          <w:color w:val="auto"/>
          <w:highlight w:val="none"/>
          <w:lang w:val="en-US" w:bidi="ar-SA"/>
        </w:rPr>
      </w:pPr>
    </w:p>
    <w:p w14:paraId="700B302C">
      <w:pPr>
        <w:pStyle w:val="15"/>
        <w:pageBreakBefore w:val="0"/>
        <w:kinsoku/>
        <w:bidi w:val="0"/>
        <w:spacing w:line="360" w:lineRule="auto"/>
        <w:rPr>
          <w:rFonts w:hint="eastAsia" w:ascii="仿宋" w:hAnsi="仿宋" w:eastAsia="仿宋" w:cs="仿宋"/>
          <w:color w:val="auto"/>
          <w:highlight w:val="none"/>
          <w:lang w:val="en-US" w:bidi="ar-SA"/>
        </w:rPr>
      </w:pPr>
    </w:p>
    <w:p w14:paraId="217FFEC6">
      <w:pPr>
        <w:pageBreakBefore w:val="0"/>
        <w:kinsoku/>
        <w:bidi w:val="0"/>
        <w:spacing w:line="360" w:lineRule="auto"/>
        <w:rPr>
          <w:rFonts w:hint="eastAsia" w:ascii="仿宋" w:hAnsi="仿宋" w:eastAsia="仿宋" w:cs="仿宋"/>
          <w:color w:val="auto"/>
          <w:highlight w:val="none"/>
        </w:rPr>
      </w:pPr>
    </w:p>
    <w:p w14:paraId="4B9A2F6D">
      <w:pPr>
        <w:pageBreakBefore w:val="0"/>
        <w:kinsoku/>
        <w:bidi w:val="0"/>
        <w:spacing w:line="360" w:lineRule="auto"/>
        <w:rPr>
          <w:rFonts w:hint="eastAsia" w:ascii="仿宋" w:hAnsi="仿宋" w:eastAsia="仿宋" w:cs="仿宋"/>
          <w:color w:val="auto"/>
          <w:highlight w:val="none"/>
        </w:rPr>
      </w:pPr>
    </w:p>
    <w:p w14:paraId="432293E7">
      <w:pPr>
        <w:pageBreakBefore w:val="0"/>
        <w:kinsoku/>
        <w:bidi w:val="0"/>
        <w:spacing w:line="360" w:lineRule="auto"/>
        <w:rPr>
          <w:rFonts w:hint="eastAsia" w:ascii="仿宋" w:hAnsi="仿宋" w:eastAsia="仿宋" w:cs="仿宋"/>
          <w:color w:val="auto"/>
          <w:highlight w:val="none"/>
        </w:rPr>
      </w:pPr>
    </w:p>
    <w:p w14:paraId="14C99428">
      <w:pPr>
        <w:pageBreakBefore w:val="0"/>
        <w:kinsoku/>
        <w:bidi w:val="0"/>
        <w:spacing w:line="360" w:lineRule="auto"/>
        <w:rPr>
          <w:rFonts w:hint="eastAsia" w:ascii="仿宋" w:hAnsi="仿宋" w:eastAsia="仿宋" w:cs="仿宋"/>
          <w:color w:val="auto"/>
          <w:highlight w:val="none"/>
        </w:rPr>
      </w:pPr>
    </w:p>
    <w:p w14:paraId="6D324717">
      <w:pPr>
        <w:pageBreakBefore w:val="0"/>
        <w:kinsoku/>
        <w:bidi w:val="0"/>
        <w:spacing w:line="360" w:lineRule="auto"/>
        <w:rPr>
          <w:rFonts w:hint="eastAsia" w:ascii="仿宋" w:hAnsi="仿宋" w:eastAsia="仿宋" w:cs="仿宋"/>
          <w:color w:val="auto"/>
          <w:highlight w:val="none"/>
        </w:rPr>
      </w:pPr>
    </w:p>
    <w:p w14:paraId="1185B8D1">
      <w:pPr>
        <w:pageBreakBefore w:val="0"/>
        <w:kinsoku/>
        <w:bidi w:val="0"/>
        <w:spacing w:line="360" w:lineRule="auto"/>
        <w:rPr>
          <w:rFonts w:hint="eastAsia" w:ascii="仿宋" w:hAnsi="仿宋" w:eastAsia="仿宋" w:cs="仿宋"/>
          <w:color w:val="auto"/>
          <w:highlight w:val="none"/>
        </w:rPr>
      </w:pPr>
    </w:p>
    <w:p w14:paraId="3CA75DF3">
      <w:pPr>
        <w:pageBreakBefore w:val="0"/>
        <w:kinsoku/>
        <w:bidi w:val="0"/>
        <w:spacing w:line="360" w:lineRule="auto"/>
        <w:rPr>
          <w:rFonts w:hint="eastAsia" w:ascii="仿宋" w:hAnsi="仿宋" w:eastAsia="仿宋" w:cs="仿宋"/>
          <w:color w:val="auto"/>
          <w:highlight w:val="none"/>
        </w:rPr>
      </w:pPr>
    </w:p>
    <w:p w14:paraId="66AC9979">
      <w:pPr>
        <w:pageBreakBefore w:val="0"/>
        <w:tabs>
          <w:tab w:val="left" w:pos="1426"/>
        </w:tabs>
        <w:kinsoku/>
        <w:bidi w:val="0"/>
        <w:spacing w:line="360" w:lineRule="auto"/>
        <w:jc w:val="left"/>
        <w:rPr>
          <w:rFonts w:hint="eastAsia" w:ascii="仿宋" w:hAnsi="仿宋" w:eastAsia="仿宋" w:cs="仿宋"/>
          <w:color w:val="auto"/>
          <w:highlight w:val="none"/>
        </w:rPr>
        <w:sectPr>
          <w:pgSz w:w="11906" w:h="16838"/>
          <w:pgMar w:top="1440" w:right="1083" w:bottom="1440" w:left="1083" w:header="850" w:footer="1077" w:gutter="0"/>
          <w:pgBorders>
            <w:top w:val="none" w:sz="0" w:space="0"/>
            <w:left w:val="none" w:sz="0" w:space="0"/>
            <w:bottom w:val="none" w:sz="0" w:space="0"/>
            <w:right w:val="none" w:sz="0" w:space="0"/>
          </w:pgBorders>
          <w:pgNumType w:fmt="decimal" w:chapStyle="1"/>
          <w:cols w:space="720" w:num="1"/>
          <w:titlePg/>
          <w:rtlGutter w:val="0"/>
          <w:docGrid w:type="lines" w:linePitch="312" w:charSpace="0"/>
        </w:sectPr>
      </w:pPr>
    </w:p>
    <w:bookmarkEnd w:id="797"/>
    <w:p w14:paraId="477E8BF8">
      <w:pPr>
        <w:pStyle w:val="2"/>
        <w:pageBreakBefore w:val="0"/>
        <w:numPr>
          <w:ilvl w:val="0"/>
          <w:numId w:val="5"/>
        </w:numPr>
        <w:kinsoku/>
        <w:bidi w:val="0"/>
        <w:spacing w:before="0" w:after="0" w:line="360" w:lineRule="auto"/>
        <w:jc w:val="center"/>
        <w:rPr>
          <w:rFonts w:hint="eastAsia" w:ascii="仿宋" w:hAnsi="仿宋" w:eastAsia="仿宋" w:cs="仿宋"/>
          <w:color w:val="auto"/>
          <w:highlight w:val="none"/>
        </w:rPr>
      </w:pPr>
      <w:bookmarkStart w:id="840" w:name="_Toc28054"/>
      <w:bookmarkStart w:id="841" w:name="_Toc25555"/>
      <w:bookmarkStart w:id="842" w:name="_Toc16185"/>
      <w:bookmarkStart w:id="843" w:name="_Toc20105"/>
      <w:bookmarkStart w:id="844" w:name="_Toc27538"/>
      <w:bookmarkStart w:id="845" w:name="_Toc20006"/>
      <w:bookmarkStart w:id="846" w:name="_Toc10288"/>
      <w:bookmarkStart w:id="847" w:name="_Toc29511"/>
      <w:bookmarkStart w:id="848" w:name="_Toc29850"/>
      <w:bookmarkStart w:id="849" w:name="_Toc71734776"/>
      <w:r>
        <w:rPr>
          <w:rFonts w:hint="eastAsia" w:ascii="仿宋" w:hAnsi="仿宋" w:eastAsia="仿宋" w:cs="仿宋"/>
          <w:color w:val="auto"/>
          <w:highlight w:val="none"/>
        </w:rPr>
        <w:t xml:space="preserve"> </w:t>
      </w:r>
      <w:bookmarkStart w:id="850" w:name="_Toc20418"/>
      <w:bookmarkStart w:id="851" w:name="_Toc19551"/>
      <w:bookmarkStart w:id="852" w:name="_Toc21908"/>
      <w:r>
        <w:rPr>
          <w:rFonts w:hint="eastAsia" w:ascii="仿宋" w:hAnsi="仿宋" w:eastAsia="仿宋" w:cs="仿宋"/>
          <w:color w:val="auto"/>
          <w:highlight w:val="none"/>
        </w:rPr>
        <w:t>采购需求及要求</w:t>
      </w:r>
      <w:bookmarkEnd w:id="840"/>
      <w:bookmarkEnd w:id="841"/>
      <w:bookmarkEnd w:id="842"/>
      <w:bookmarkEnd w:id="843"/>
      <w:bookmarkEnd w:id="844"/>
      <w:bookmarkEnd w:id="845"/>
      <w:bookmarkEnd w:id="846"/>
      <w:bookmarkEnd w:id="850"/>
      <w:bookmarkEnd w:id="851"/>
      <w:bookmarkEnd w:id="852"/>
    </w:p>
    <w:p w14:paraId="09D315F2">
      <w:pPr>
        <w:pStyle w:val="4"/>
        <w:pageBreakBefore w:val="0"/>
        <w:kinsoku/>
        <w:bidi w:val="0"/>
        <w:spacing w:after="0" w:line="360" w:lineRule="auto"/>
        <w:jc w:val="center"/>
        <w:rPr>
          <w:rFonts w:hint="eastAsia" w:ascii="仿宋" w:hAnsi="仿宋" w:eastAsia="仿宋" w:cs="仿宋"/>
          <w:color w:val="auto"/>
          <w:sz w:val="28"/>
          <w:szCs w:val="28"/>
          <w:highlight w:val="none"/>
        </w:rPr>
      </w:pPr>
      <w:bookmarkStart w:id="853" w:name="_Toc19482"/>
      <w:bookmarkStart w:id="854" w:name="_Toc6037"/>
      <w:bookmarkStart w:id="855" w:name="_Toc2303"/>
      <w:bookmarkStart w:id="856" w:name="OLE_LINK10"/>
      <w:bookmarkStart w:id="857" w:name="_Toc20697"/>
      <w:r>
        <w:rPr>
          <w:rFonts w:hint="eastAsia" w:ascii="仿宋" w:hAnsi="仿宋" w:eastAsia="仿宋" w:cs="仿宋"/>
          <w:color w:val="auto"/>
          <w:sz w:val="28"/>
          <w:szCs w:val="28"/>
          <w:highlight w:val="none"/>
        </w:rPr>
        <w:t>特别说明</w:t>
      </w:r>
      <w:bookmarkEnd w:id="853"/>
      <w:bookmarkEnd w:id="854"/>
      <w:bookmarkEnd w:id="855"/>
    </w:p>
    <w:p w14:paraId="6DF696AA">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1.</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撤销合同，并保留追究其法律责任的权利。验收时，交付的产品必须与投标产品的品牌、型号、规格、技术参数、性能说明、生产厂家等各项内容一致，</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在投标时务必认真核实并如实填写产品品牌、型号、规格、技术参数、性能说明、生产厂家等各项信息。</w:t>
      </w:r>
    </w:p>
    <w:p w14:paraId="02096CF3">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2.本章各项技术参数、规格和性能要求如出现引用某一特定的专利技术、商标、名称、设计、原产地或供应者等情况，则仅起参考作用。</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可选用实质上“相当于”或“优于”该参考技术规格要求的产品投标。</w:t>
      </w:r>
    </w:p>
    <w:p w14:paraId="51054B1E">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3.采购人不接受</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给予的任何“赠品”或者与采购无关的其他商品、服务。</w:t>
      </w:r>
    </w:p>
    <w:p w14:paraId="1029291D">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4.</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所提供的设备必须为原厂生产的全新正品，来源合法。所有货物到达现场应有完整的包装，随机技术、服务性资料和软件齐全。</w:t>
      </w:r>
    </w:p>
    <w:p w14:paraId="3CCEE381">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5.各</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必须对招标文件第六章《采购需求及要求》中的技术、商务要求等作出全面、真实的反映，同时填写技术（商务）条款偏离表。指标负偏离在评审时按招标文件规定扣分，实质性指标负偏离做无效标处理。</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应尽可能地选择符合采购人技术需求的产品参加投标。</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在投标文件中必须按招标文件载明的技术指标逐条进行投标响应（不得照搬抄袭招标要求）。</w:t>
      </w:r>
    </w:p>
    <w:p w14:paraId="4666D4CD">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6.</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应保证其提供的货物、工程或者服务在采购人使用期间不受第三方可能提出的侵犯其所有权、知识产权、商标权、专利权、著作权等相关权利的起诉。</w:t>
      </w:r>
    </w:p>
    <w:p w14:paraId="45883DE7">
      <w:pPr>
        <w:pStyle w:val="15"/>
        <w:pageBreakBefore w:val="0"/>
        <w:kinsoku/>
        <w:bidi w:val="0"/>
        <w:spacing w:line="360" w:lineRule="auto"/>
        <w:ind w:left="102" w:firstLine="480" w:firstLineChars="200"/>
        <w:jc w:val="left"/>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7.</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应对在合同履行的过程中，涉及到采购人的工作信息等秘密内容进行保密。双方应共同对采购活动中涉及的技术情报和资料进行保密。</w:t>
      </w:r>
    </w:p>
    <w:p w14:paraId="742181F8">
      <w:pPr>
        <w:pStyle w:val="15"/>
        <w:pageBreakBefore w:val="0"/>
        <w:kinsoku/>
        <w:bidi w:val="0"/>
        <w:spacing w:line="360" w:lineRule="auto"/>
        <w:ind w:left="102" w:firstLine="48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lang w:val="en-US" w:bidi="ar-SA"/>
        </w:rPr>
        <w:t>8.</w:t>
      </w:r>
      <w:r>
        <w:rPr>
          <w:rFonts w:hint="eastAsia" w:ascii="仿宋" w:hAnsi="仿宋" w:eastAsia="仿宋" w:cs="仿宋"/>
          <w:color w:val="auto"/>
          <w:highlight w:val="none"/>
          <w:lang w:val="en-US" w:eastAsia="zh-CN" w:bidi="ar-SA"/>
        </w:rPr>
        <w:t>供应商</w:t>
      </w:r>
      <w:r>
        <w:rPr>
          <w:rFonts w:hint="eastAsia" w:ascii="仿宋" w:hAnsi="仿宋" w:eastAsia="仿宋" w:cs="仿宋"/>
          <w:color w:val="auto"/>
          <w:highlight w:val="none"/>
          <w:lang w:val="en-US" w:bidi="ar-SA"/>
        </w:rPr>
        <w:t>须对采购中涉及的专利负责，并保证不伤害采购人的利益。在法律范围内，所有文字、商标和技术侵权造成的相关费用，采购人概不负责。</w:t>
      </w:r>
      <w:bookmarkStart w:id="858" w:name="_Toc15133"/>
      <w:bookmarkStart w:id="859" w:name="_Toc32369"/>
      <w:bookmarkStart w:id="860" w:name="_Toc8951"/>
    </w:p>
    <w:p w14:paraId="0BAA57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bookmarkEnd w:id="856"/>
      <w:bookmarkEnd w:id="857"/>
      <w:bookmarkEnd w:id="858"/>
      <w:bookmarkEnd w:id="859"/>
      <w:bookmarkEnd w:id="860"/>
      <w:bookmarkStart w:id="861" w:name="_Toc17454"/>
      <w:bookmarkStart w:id="862" w:name="_Toc2037"/>
      <w:bookmarkStart w:id="863" w:name="_Toc4893"/>
      <w:bookmarkStart w:id="864" w:name="_Toc19963"/>
      <w:bookmarkStart w:id="865" w:name="_Toc13806"/>
    </w:p>
    <w:p w14:paraId="5E6AE8F7"/>
    <w:p w14:paraId="6E75DFA1">
      <w:pPr>
        <w:jc w:val="center"/>
        <w:outlineLvl w:val="2"/>
      </w:pPr>
      <w:r>
        <w:rPr>
          <w:rFonts w:hint="eastAsia" w:ascii="仿宋" w:hAnsi="仿宋" w:eastAsia="仿宋" w:cs="仿宋"/>
          <w:b/>
          <w:bCs/>
          <w:color w:val="auto"/>
          <w:sz w:val="28"/>
          <w:szCs w:val="28"/>
          <w:highlight w:val="none"/>
          <w:lang w:val="en-US" w:eastAsia="zh-CN"/>
        </w:rPr>
        <w:t>1标段技术参数要求</w:t>
      </w:r>
    </w:p>
    <w:p w14:paraId="57BDEA70">
      <w:pPr>
        <w:pStyle w:val="5"/>
        <w:jc w:val="center"/>
        <w:rPr>
          <w:rFonts w:hint="eastAsia" w:ascii="仿宋" w:hAnsi="仿宋" w:eastAsia="仿宋" w:cs="仿宋"/>
          <w:b/>
          <w:bCs/>
          <w:sz w:val="24"/>
          <w:szCs w:val="24"/>
          <w:lang w:eastAsia="zh-CN"/>
        </w:rPr>
      </w:pPr>
      <w:r>
        <w:rPr>
          <w:rFonts w:hint="eastAsia" w:ascii="仿宋" w:hAnsi="仿宋" w:eastAsia="仿宋" w:cs="仿宋"/>
          <w:b/>
          <w:bCs/>
          <w:sz w:val="24"/>
          <w:szCs w:val="24"/>
        </w:rPr>
        <w:t>全数字化高档心脏彩色多普勒超声诊断仪（</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w:t>
      </w:r>
    </w:p>
    <w:p w14:paraId="36E2DD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一、设备名称：</w:t>
      </w:r>
      <w:r>
        <w:rPr>
          <w:rFonts w:hint="eastAsia" w:ascii="仿宋" w:hAnsi="仿宋" w:eastAsia="仿宋" w:cs="仿宋"/>
          <w:sz w:val="24"/>
          <w:szCs w:val="24"/>
        </w:rPr>
        <w:t>全数字化高档心脏彩色多普勒超声诊断仪</w:t>
      </w:r>
    </w:p>
    <w:p w14:paraId="014445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rPr>
        <w:t>二、配置要求：</w:t>
      </w:r>
      <w:r>
        <w:rPr>
          <w:rFonts w:hint="eastAsia" w:ascii="仿宋" w:hAnsi="仿宋" w:eastAsia="仿宋" w:cs="仿宋"/>
          <w:sz w:val="24"/>
          <w:szCs w:val="24"/>
        </w:rPr>
        <w:t>主机一套</w:t>
      </w:r>
      <w:r>
        <w:rPr>
          <w:rFonts w:hint="eastAsia" w:ascii="仿宋" w:hAnsi="仿宋" w:eastAsia="仿宋" w:cs="仿宋"/>
          <w:sz w:val="24"/>
          <w:szCs w:val="24"/>
          <w:lang w:eastAsia="zh-CN"/>
        </w:rPr>
        <w:t>、</w:t>
      </w:r>
      <w:r>
        <w:rPr>
          <w:rFonts w:hint="eastAsia" w:ascii="仿宋" w:hAnsi="仿宋" w:eastAsia="仿宋" w:cs="仿宋"/>
          <w:sz w:val="24"/>
          <w:szCs w:val="24"/>
        </w:rPr>
        <w:t>腹部凸阵探头：1个</w:t>
      </w:r>
      <w:r>
        <w:rPr>
          <w:rFonts w:hint="eastAsia" w:ascii="仿宋" w:hAnsi="仿宋" w:eastAsia="仿宋" w:cs="仿宋"/>
          <w:sz w:val="24"/>
          <w:szCs w:val="24"/>
          <w:lang w:eastAsia="zh-CN"/>
        </w:rPr>
        <w:t>、</w:t>
      </w:r>
      <w:r>
        <w:rPr>
          <w:rFonts w:hint="eastAsia" w:ascii="仿宋" w:hAnsi="仿宋" w:eastAsia="仿宋" w:cs="仿宋"/>
          <w:sz w:val="24"/>
          <w:szCs w:val="24"/>
        </w:rPr>
        <w:t>成人心脏探头：1个</w:t>
      </w:r>
      <w:r>
        <w:rPr>
          <w:rFonts w:hint="eastAsia" w:ascii="仿宋" w:hAnsi="仿宋" w:eastAsia="仿宋" w:cs="仿宋"/>
          <w:sz w:val="24"/>
          <w:szCs w:val="24"/>
          <w:lang w:eastAsia="zh-CN"/>
        </w:rPr>
        <w:t>、</w:t>
      </w:r>
      <w:r>
        <w:rPr>
          <w:rFonts w:hint="eastAsia" w:ascii="仿宋" w:hAnsi="仿宋" w:eastAsia="仿宋" w:cs="仿宋"/>
          <w:sz w:val="24"/>
          <w:szCs w:val="24"/>
        </w:rPr>
        <w:t>成人心脏矩阵实时三维探头：1个</w:t>
      </w:r>
      <w:r>
        <w:rPr>
          <w:rFonts w:hint="eastAsia" w:ascii="仿宋" w:hAnsi="仿宋" w:eastAsia="仿宋" w:cs="仿宋"/>
          <w:sz w:val="24"/>
          <w:szCs w:val="24"/>
          <w:lang w:eastAsia="zh-CN"/>
        </w:rPr>
        <w:t>、</w:t>
      </w:r>
      <w:r>
        <w:rPr>
          <w:rFonts w:hint="eastAsia" w:ascii="仿宋" w:hAnsi="仿宋" w:eastAsia="仿宋" w:cs="仿宋"/>
          <w:sz w:val="24"/>
          <w:szCs w:val="24"/>
        </w:rPr>
        <w:t>成人经食管矩阵实时三维探头：1个</w:t>
      </w:r>
      <w:r>
        <w:rPr>
          <w:rFonts w:hint="eastAsia" w:ascii="仿宋" w:hAnsi="仿宋" w:eastAsia="仿宋" w:cs="仿宋"/>
          <w:sz w:val="24"/>
          <w:szCs w:val="24"/>
          <w:lang w:eastAsia="zh-CN"/>
        </w:rPr>
        <w:t>、</w:t>
      </w:r>
      <w:r>
        <w:rPr>
          <w:rFonts w:hint="eastAsia" w:ascii="仿宋" w:hAnsi="仿宋" w:eastAsia="仿宋" w:cs="仿宋"/>
          <w:sz w:val="24"/>
          <w:szCs w:val="24"/>
        </w:rPr>
        <w:t>高频线阵探头：1个</w:t>
      </w:r>
      <w:r>
        <w:rPr>
          <w:rFonts w:hint="eastAsia" w:ascii="仿宋" w:hAnsi="仿宋" w:eastAsia="仿宋" w:cs="仿宋"/>
          <w:sz w:val="24"/>
          <w:szCs w:val="24"/>
          <w:lang w:eastAsia="zh-CN"/>
        </w:rPr>
        <w:t>、</w:t>
      </w:r>
      <w:r>
        <w:rPr>
          <w:rFonts w:hint="eastAsia" w:ascii="仿宋" w:hAnsi="仿宋" w:eastAsia="仿宋" w:cs="仿宋"/>
          <w:sz w:val="24"/>
          <w:szCs w:val="24"/>
        </w:rPr>
        <w:t>线阵探头：1个</w:t>
      </w:r>
      <w:r>
        <w:rPr>
          <w:rFonts w:hint="eastAsia" w:ascii="仿宋" w:hAnsi="仿宋" w:eastAsia="仿宋" w:cs="仿宋"/>
          <w:sz w:val="24"/>
          <w:szCs w:val="24"/>
          <w:lang w:eastAsia="zh-CN"/>
        </w:rPr>
        <w:t>。</w:t>
      </w:r>
    </w:p>
    <w:p w14:paraId="57ADBF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三、使用单位：</w:t>
      </w:r>
      <w:r>
        <w:rPr>
          <w:rFonts w:hint="eastAsia" w:ascii="仿宋" w:hAnsi="仿宋" w:eastAsia="仿宋" w:cs="仿宋"/>
          <w:sz w:val="24"/>
          <w:szCs w:val="24"/>
        </w:rPr>
        <w:t>超声科</w:t>
      </w:r>
    </w:p>
    <w:p w14:paraId="3F8C70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四、交货期：</w:t>
      </w:r>
      <w:r>
        <w:rPr>
          <w:rFonts w:hint="eastAsia" w:ascii="仿宋" w:hAnsi="仿宋" w:eastAsia="仿宋" w:cs="仿宋"/>
          <w:sz w:val="24"/>
          <w:szCs w:val="24"/>
        </w:rPr>
        <w:t>45天</w:t>
      </w:r>
    </w:p>
    <w:p w14:paraId="09CB67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五、设备用途及说明：</w:t>
      </w:r>
      <w:r>
        <w:rPr>
          <w:rFonts w:hint="eastAsia" w:ascii="仿宋" w:hAnsi="仿宋" w:eastAsia="仿宋" w:cs="仿宋"/>
          <w:sz w:val="24"/>
          <w:szCs w:val="24"/>
        </w:rPr>
        <w:t>用于成人心脏、血管（外周、腹部、脑血管）、腹部、浅表等临床应用;并具备二维和实时三维经胸及经食道超声心动图成像技术，以超声临床诊断应用和相关科研为主。</w:t>
      </w:r>
    </w:p>
    <w:p w14:paraId="5B47CA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六、主要技术规格及系统概述</w:t>
      </w:r>
    </w:p>
    <w:p w14:paraId="6C21E1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主机成像系统</w:t>
      </w:r>
    </w:p>
    <w:p w14:paraId="6AD3D37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1.1超高数字化通道，支持集束精准发射及海量并行处理同步进行多个声束的形成、采集和处理</w:t>
      </w:r>
    </w:p>
    <w:p w14:paraId="5B648DD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1.2支持OLED显示器≥21",无闪烁，可上下左右旋转、倾斜</w:t>
      </w:r>
    </w:p>
    <w:p w14:paraId="3BA1621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1.3操作面板具备液晶触摸屏≥12",可通过手指滑动触摸屏进行翻页，直接点击触摸屏即可选择需要调节的参数，操作面板可上下左右进行高度调整及旋转</w:t>
      </w:r>
    </w:p>
    <w:p w14:paraId="393C09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1.4触摸屏可以与主显示器实时同步显示动态图像，并可在触摸屏上进行容积图像的旋转、放大等调整</w:t>
      </w:r>
    </w:p>
    <w:p w14:paraId="4F467AB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1.5示器可全屏显示扫查图像，包括二维、彩色、频谱和实时三维等，并可显示或隐藏屏幕菜单</w:t>
      </w:r>
    </w:p>
    <w:p w14:paraId="5DDE0C2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1.6通用成像探头接口≥4个，均为微型无针式接口，4个接口通用，可同时支持矩阵实时三维探头并可任意互换</w:t>
      </w:r>
    </w:p>
    <w:p w14:paraId="2A84256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1.7数字化二维灰阶成像及M型显像单元</w:t>
      </w:r>
    </w:p>
    <w:p w14:paraId="2A9CC5D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M型及解剖M型技术</w:t>
      </w:r>
    </w:p>
    <w:p w14:paraId="5B5E19D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1.9脉冲反向谐波成像技术</w:t>
      </w:r>
    </w:p>
    <w:p w14:paraId="44119C4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1.10彩色多普勒成像技术</w:t>
      </w:r>
    </w:p>
    <w:p w14:paraId="72A432F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1.11彩色多普勒能量图技术</w:t>
      </w:r>
    </w:p>
    <w:p w14:paraId="2044274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1.12微视血流成像技术，可捕捉超微细血流及超低速血流信号，并可进行血流速度测量</w:t>
      </w:r>
    </w:p>
    <w:p w14:paraId="71A3272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1.13数字化频谱多普勒显示和分析单元(包括PW、CW和High PRF)</w:t>
      </w:r>
    </w:p>
    <w:p w14:paraId="1B2200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1.14动态范围≥280 dB</w:t>
      </w:r>
    </w:p>
    <w:p w14:paraId="0266CB2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1.15实时双同步/三同步功能</w:t>
      </w:r>
    </w:p>
    <w:p w14:paraId="3C8C782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1.16内置DICOM 3.0 标准输出接口</w:t>
      </w:r>
    </w:p>
    <w:p w14:paraId="562724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二维灰阶成像单元</w:t>
      </w:r>
    </w:p>
    <w:p w14:paraId="369F3C4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2.1具备自适应核磁像素优化技术，可增强组织边界，抑制斑点噪声，可用于多种模式（2D、3D）,多级可调（≥5级），支持所有探头</w:t>
      </w:r>
    </w:p>
    <w:p w14:paraId="15D827B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rPr>
        <w:t>2.2高级心肌增强功能，使用自适应算法抑制组织杂波，减少噪声及超声伪像。增加心肌和其他心脏结构信号，可根据组织和器械单独选择优化模式</w:t>
      </w:r>
    </w:p>
    <w:p w14:paraId="2077781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2.3实时空间复合成像技术，同时作用于发射和接收多角度声束</w:t>
      </w:r>
    </w:p>
    <w:p w14:paraId="2247969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2.4线阵探头具备扩展成像技术，可与空间复合成像，斑点噪声抑制技术联合使用</w:t>
      </w:r>
    </w:p>
    <w:p w14:paraId="2F694FE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2.5一键优化图像，可实时优化二维增益、TGC曲线等成像参数</w:t>
      </w:r>
    </w:p>
    <w:p w14:paraId="762B7FC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2.6自动实时持续增益补偿 </w:t>
      </w:r>
    </w:p>
    <w:p w14:paraId="7DD2B35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2.7侧向增益补偿技术，可支持相控阵探头、矩阵实时三维探头，≥8段，且可视可调</w:t>
      </w:r>
    </w:p>
    <w:p w14:paraId="1737D32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2.8具备双幅对比显示，可自动识别收缩期及舒张期，便捷Simpson测量</w:t>
      </w:r>
    </w:p>
    <w:p w14:paraId="53AD177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2.9分辨率和帧频可视可调，且支持凸阵、线阵、相控阵、矩阵实时三维</w:t>
      </w:r>
      <w:r>
        <w:rPr>
          <w:rFonts w:hint="eastAsia" w:ascii="仿宋" w:hAnsi="仿宋" w:eastAsia="仿宋" w:cs="仿宋"/>
          <w:sz w:val="24"/>
          <w:szCs w:val="24"/>
          <w:lang w:val="en-US" w:eastAsia="zh-CN"/>
        </w:rPr>
        <w:t>等</w:t>
      </w:r>
      <w:r>
        <w:rPr>
          <w:rFonts w:hint="eastAsia" w:ascii="仿宋" w:hAnsi="仿宋" w:eastAsia="仿宋" w:cs="仿宋"/>
          <w:sz w:val="24"/>
          <w:szCs w:val="24"/>
        </w:rPr>
        <w:t>探头</w:t>
      </w:r>
    </w:p>
    <w:p w14:paraId="326A6AA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2.10超宽视野全景成像技术</w:t>
      </w:r>
    </w:p>
    <w:p w14:paraId="378A5F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2.11具备专业心超工作者定制界面，支持2D、3D功能选件位置个性化选择</w:t>
      </w:r>
    </w:p>
    <w:p w14:paraId="527EEC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彩色多普勒血流成像单元</w:t>
      </w:r>
    </w:p>
    <w:p w14:paraId="6A33535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3.1具有二维彩色模式、实时三维彩色模式、能量图模式、微视血流成像模式、彩色M型模式、组织多普勒模式等多种成像模式</w:t>
      </w:r>
    </w:p>
    <w:p w14:paraId="5E0F621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3.2自适应超宽频带彩色多普勒成像技术</w:t>
      </w:r>
    </w:p>
    <w:p w14:paraId="0F322B1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3.3彩色实时同屏双幅对比显像</w:t>
      </w:r>
    </w:p>
    <w:p w14:paraId="12AC40C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3.4具备专业冠脉血流成像模式，可支持所有心脏成像探头（包括成人心脏相控阵探头、心脏矩阵实时三维探头）</w:t>
      </w:r>
    </w:p>
    <w:p w14:paraId="753D5B2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3.5彩色增益可独立调节</w:t>
      </w:r>
    </w:p>
    <w:p w14:paraId="4DDE80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频谱多普勒成像单元</w:t>
      </w:r>
    </w:p>
    <w:p w14:paraId="6BEBAB3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4.1提供PW、CW、High PRF模式，高性能三同步成像</w:t>
      </w:r>
    </w:p>
    <w:p w14:paraId="4B140FC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4.2实时自动多普勒测量分析，可提供多参数选择</w:t>
      </w:r>
    </w:p>
    <w:p w14:paraId="5BAE4B7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4.3一键自动优化多普勒频谱，自动调整基线及量程等参数</w:t>
      </w:r>
    </w:p>
    <w:p w14:paraId="4892E07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4.4频谱自动分析系统：包括实时自动包络、手动包络等；自动计算各血流动力学参数，参数可根据客户需要灵活进行选择</w:t>
      </w:r>
    </w:p>
    <w:p w14:paraId="45B9F7D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4.5实时任意多平面模式下支持PW和CW</w:t>
      </w:r>
    </w:p>
    <w:p w14:paraId="0A65DF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组织多普勒成像单元</w:t>
      </w:r>
    </w:p>
    <w:p w14:paraId="013471E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5.1具备高帧频彩色和脉冲波组织多普勒成像</w:t>
      </w:r>
    </w:p>
    <w:p w14:paraId="5402781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5.2二维、速度曲线同屏显示</w:t>
      </w:r>
    </w:p>
    <w:p w14:paraId="7DC60E0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5.3提供专业TDI测量软件包，可进行组织速度、位移、应变、应变率等进行整体和节段定量分析</w:t>
      </w:r>
    </w:p>
    <w:p w14:paraId="3214272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5.4提供基于组织多普勒的定量分析，可同时显示</w:t>
      </w:r>
      <w:r>
        <w:rPr>
          <w:rFonts w:hint="eastAsia" w:ascii="仿宋" w:hAnsi="仿宋" w:eastAsia="仿宋" w:cs="仿宋"/>
          <w:sz w:val="24"/>
          <w:szCs w:val="24"/>
          <w:lang w:val="en-US" w:eastAsia="zh-CN"/>
        </w:rPr>
        <w:t>≥</w:t>
      </w:r>
      <w:r>
        <w:rPr>
          <w:rFonts w:hint="eastAsia" w:ascii="仿宋" w:hAnsi="仿宋" w:eastAsia="仿宋" w:cs="仿宋"/>
          <w:sz w:val="24"/>
          <w:szCs w:val="24"/>
        </w:rPr>
        <w:t>32个亚节段的心肌速度曲线、位移曲线、应变及应变率曲线，可用于整体及节段功能评价</w:t>
      </w:r>
    </w:p>
    <w:p w14:paraId="4A2E3D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组织谐波成像单元</w:t>
      </w:r>
    </w:p>
    <w:p w14:paraId="6AF6BAD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6.1具备脉冲反相谐波技术</w:t>
      </w:r>
    </w:p>
    <w:p w14:paraId="166B825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6.2可显示谐波频率和基波频率</w:t>
      </w:r>
    </w:p>
    <w:p w14:paraId="3573CC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超声造影成像单元</w:t>
      </w:r>
    </w:p>
    <w:p w14:paraId="36857B3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7.1造影剂成像单元,包含左心腔造影LVO、Low MI低机械指数造影和Flash爆破造影成像</w:t>
      </w:r>
    </w:p>
    <w:p w14:paraId="39D5C30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7.2支持负荷超声成像下的心肌灌注造影</w:t>
      </w:r>
    </w:p>
    <w:p w14:paraId="58A7C4A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7.3具有心腔和心肌造影成像</w:t>
      </w:r>
    </w:p>
    <w:p w14:paraId="372FFDB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7.4支持实时相交互两个平面同屏同时相显示造影成像技术</w:t>
      </w:r>
    </w:p>
    <w:p w14:paraId="4725B83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7.5支持矩阵实时三维造影成像技术</w:t>
      </w:r>
    </w:p>
    <w:p w14:paraId="0D18E23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7.6具备造影定量分析软件，可提供≥6种参数及动态曲线；且造影连续采集时间≥6分钟</w:t>
      </w:r>
    </w:p>
    <w:p w14:paraId="0EA9F4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负荷超声成像单元</w:t>
      </w:r>
    </w:p>
    <w:p w14:paraId="29159A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8.1内置专业负荷超声模板</w:t>
      </w:r>
    </w:p>
    <w:p w14:paraId="3CDAF5C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8.2可提供负荷超声斑点追踪定量分析</w:t>
      </w:r>
    </w:p>
    <w:p w14:paraId="371479F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8.3智能旋转角度可植入负荷超声模板中</w:t>
      </w:r>
    </w:p>
    <w:p w14:paraId="2798A1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心脏实时三维成像单元</w:t>
      </w:r>
    </w:p>
    <w:p w14:paraId="257677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9.1探头和功能</w:t>
      </w:r>
    </w:p>
    <w:p w14:paraId="4CD8B7A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9.1.1支持矩阵实时三维探头，结合微电子技术≥2000个振元同时发射声束，与主机技术相结合，提供实时三维显像。</w:t>
      </w:r>
    </w:p>
    <w:p w14:paraId="3109684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2</w:t>
      </w:r>
      <w:r>
        <w:rPr>
          <w:rFonts w:hint="eastAsia" w:ascii="仿宋" w:hAnsi="仿宋" w:eastAsia="仿宋" w:cs="仿宋"/>
          <w:sz w:val="24"/>
          <w:szCs w:val="24"/>
        </w:rPr>
        <w:t>支持三维成像直接测量功能，可测量距离、面积等</w:t>
      </w:r>
    </w:p>
    <w:p w14:paraId="50F2BFB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9.2实时智能旋转成像</w:t>
      </w:r>
    </w:p>
    <w:p w14:paraId="0BB0B6D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9.2.1矩阵实时三维探头可在不移动探头情况下可实现0－360度任意平面显像</w:t>
      </w:r>
    </w:p>
    <w:p w14:paraId="1563A2F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9.2.2无需转动探头，可一键快速进行心尖四腔、心尖两腔、心尖三腔等常用心脏切面切换</w:t>
      </w:r>
    </w:p>
    <w:p w14:paraId="2A6F821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9.2.3支持二维、彩色、M型、TDI、负荷、心腔造影、心肌造影等多种模式下应用</w:t>
      </w:r>
    </w:p>
    <w:p w14:paraId="12DDCA0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9.3实时任意多平面成像</w:t>
      </w:r>
    </w:p>
    <w:p w14:paraId="619D229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9.3.1同屏显示任意相交互的两幅图像，支持横向、旋转和仰角转向</w:t>
      </w:r>
    </w:p>
    <w:p w14:paraId="644430A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9.3.2支持二维、彩色、负荷、心腔造影、心肌造影等多种模式下应用</w:t>
      </w:r>
    </w:p>
    <w:p w14:paraId="270C3D6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9.3.3实时任意多平面成像支持自动心脏功能定量分析</w:t>
      </w:r>
    </w:p>
    <w:p w14:paraId="1B9D83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9.4实时三维成像模式</w:t>
      </w:r>
    </w:p>
    <w:p w14:paraId="04DCA73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9.4.1实时三维灰阶成像和实时三维血流成像</w:t>
      </w:r>
    </w:p>
    <w:p w14:paraId="2007FF4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9.4.2实时三维全容积成像，且可以独立调节分辨率和帧频</w:t>
      </w:r>
    </w:p>
    <w:p w14:paraId="6DD97B9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9.4.3实时三维缩放成像，专用成像预设模式</w:t>
      </w:r>
    </w:p>
    <w:p w14:paraId="4B675B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9.4.4实时三维高帧频成像</w:t>
      </w:r>
    </w:p>
    <w:p w14:paraId="572EED5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9.4.5实时三维造影成像</w:t>
      </w:r>
    </w:p>
    <w:p w14:paraId="4648D6E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9.4.6光源心腔镜成像，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w:t>
      </w:r>
    </w:p>
    <w:p w14:paraId="2EB672E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9.4.7多维心腔镜成像，三维纵向分辨突出显示心脏各种结构</w:t>
      </w:r>
    </w:p>
    <w:p w14:paraId="1589357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9.4.8透视心腔镜成像，全新容积建模和算法，可显示心脏结构铸型，容积图像透明度可根据需求更改，心脏结构形态、空间关系更清晰，帮助更直观理解心脏形态学，支持深度光源成像</w:t>
      </w:r>
    </w:p>
    <w:p w14:paraId="091C139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9.4.9彩色心腔镜成像，彩色血流和透视模式联合使用，带有阴影的光源产生更逼真的彩色多普勒渲染，帮助更简易评估实时三维血流空间状态，支持深度光源成像</w:t>
      </w:r>
    </w:p>
    <w:p w14:paraId="1527E15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9.4.10实时双容积视野成像，支持内面观和对面观，可一键同时显示同一心脏容积图像不同观察方向两个容积切面，支持实时和冻结状态下的经胸和经食管实时三维图像显示</w:t>
      </w:r>
    </w:p>
    <w:p w14:paraId="35FCB8D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9.4.11实时三维MPR显示支持任意平面调整</w:t>
      </w:r>
    </w:p>
    <w:p w14:paraId="3B4D1CE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9.4.12</w:t>
      </w:r>
      <w:r>
        <w:rPr>
          <w:rFonts w:hint="eastAsia" w:ascii="仿宋" w:hAnsi="仿宋" w:eastAsia="仿宋" w:cs="仿宋"/>
          <w:sz w:val="24"/>
          <w:szCs w:val="24"/>
        </w:rPr>
        <w:tab/>
      </w:r>
      <w:r>
        <w:rPr>
          <w:rFonts w:hint="eastAsia" w:ascii="仿宋" w:hAnsi="仿宋" w:eastAsia="仿宋" w:cs="仿宋"/>
          <w:sz w:val="24"/>
          <w:szCs w:val="24"/>
        </w:rPr>
        <w:t>实时三维智能切割技术，可以从多个方向观察感兴趣区</w:t>
      </w:r>
    </w:p>
    <w:p w14:paraId="185B88B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9.4.13</w:t>
      </w:r>
      <w:r>
        <w:rPr>
          <w:rFonts w:hint="eastAsia" w:ascii="仿宋" w:hAnsi="仿宋" w:eastAsia="仿宋" w:cs="仿宋"/>
          <w:sz w:val="24"/>
          <w:szCs w:val="24"/>
        </w:rPr>
        <w:tab/>
      </w:r>
      <w:r>
        <w:rPr>
          <w:rFonts w:hint="eastAsia" w:ascii="仿宋" w:hAnsi="仿宋" w:eastAsia="仿宋" w:cs="仿宋"/>
          <w:sz w:val="24"/>
          <w:szCs w:val="24"/>
        </w:rPr>
        <w:t>实时三维两点获取感兴趣区容积图像，可从任意方向、角度两点切割，快速获取所需容积图像</w:t>
      </w:r>
    </w:p>
    <w:p w14:paraId="0A998FE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9.4.14</w:t>
      </w:r>
      <w:r>
        <w:rPr>
          <w:rFonts w:hint="eastAsia" w:ascii="仿宋" w:hAnsi="仿宋" w:eastAsia="仿宋" w:cs="仿宋"/>
          <w:sz w:val="24"/>
          <w:szCs w:val="24"/>
        </w:rPr>
        <w:tab/>
      </w:r>
      <w:r>
        <w:rPr>
          <w:rFonts w:hint="eastAsia" w:ascii="仿宋" w:hAnsi="仿宋" w:eastAsia="仿宋" w:cs="仿宋"/>
          <w:sz w:val="24"/>
          <w:szCs w:val="24"/>
        </w:rPr>
        <w:t>实时三维断层成像，实时或冻结状态下，容积图像一键进入多切面模式，切片方向灵活调整，支持造影，负荷等多种模式应用，可同步显示≥12个切面</w:t>
      </w:r>
    </w:p>
    <w:p w14:paraId="40336C1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9.4.15实时三维定位评估技术，三维结构指导二维切面快速获取，快速获取所需解剖结构，精准测量感兴趣区大小</w:t>
      </w:r>
    </w:p>
    <w:p w14:paraId="0FC56A0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9.4.16支持触摸屏同步显示超声显示器三维图像，并可在触摸屏上使用手指移动随意多维度调整光源位置、容积图像缩放和旋转等</w:t>
      </w:r>
    </w:p>
    <w:p w14:paraId="23820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测量及定量分析</w:t>
      </w:r>
    </w:p>
    <w:p w14:paraId="4E22B9B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10.1常规测量和分析（B型、M型、频谱多普勒、彩色多普勒</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14:paraId="253A7E3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10.1.1一般常规测量（直径、面积、体积、狭窄率、压差等）</w:t>
      </w:r>
    </w:p>
    <w:p w14:paraId="5008BF5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10.1.2</w:t>
      </w:r>
      <w:r>
        <w:rPr>
          <w:rFonts w:hint="eastAsia" w:ascii="仿宋" w:hAnsi="仿宋" w:eastAsia="仿宋" w:cs="仿宋"/>
          <w:sz w:val="24"/>
          <w:szCs w:val="24"/>
        </w:rPr>
        <w:tab/>
      </w:r>
      <w:r>
        <w:rPr>
          <w:rFonts w:hint="eastAsia" w:ascii="仿宋" w:hAnsi="仿宋" w:eastAsia="仿宋" w:cs="仿宋"/>
          <w:sz w:val="24"/>
          <w:szCs w:val="24"/>
        </w:rPr>
        <w:t>多普勒血流测量及分析软件包</w:t>
      </w:r>
    </w:p>
    <w:p w14:paraId="7AA0A79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10.1.3</w:t>
      </w:r>
      <w:r>
        <w:rPr>
          <w:rFonts w:hint="eastAsia" w:ascii="仿宋" w:hAnsi="仿宋" w:eastAsia="仿宋" w:cs="仿宋"/>
          <w:sz w:val="24"/>
          <w:szCs w:val="24"/>
        </w:rPr>
        <w:tab/>
      </w:r>
      <w:r>
        <w:rPr>
          <w:rFonts w:hint="eastAsia" w:ascii="仿宋" w:hAnsi="仿宋" w:eastAsia="仿宋" w:cs="仿宋"/>
          <w:sz w:val="24"/>
          <w:szCs w:val="24"/>
        </w:rPr>
        <w:t>专业心脏功能测量与分析，可支持Simpson 三点法快速描记心内膜</w:t>
      </w:r>
    </w:p>
    <w:p w14:paraId="004A674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10.1.4</w:t>
      </w:r>
      <w:r>
        <w:rPr>
          <w:rFonts w:hint="eastAsia" w:ascii="仿宋" w:hAnsi="仿宋" w:eastAsia="仿宋" w:cs="仿宋"/>
          <w:sz w:val="24"/>
          <w:szCs w:val="24"/>
        </w:rPr>
        <w:tab/>
      </w:r>
      <w:r>
        <w:rPr>
          <w:rFonts w:hint="eastAsia" w:ascii="仿宋" w:hAnsi="仿宋" w:eastAsia="仿宋" w:cs="仿宋"/>
          <w:sz w:val="24"/>
          <w:szCs w:val="24"/>
        </w:rPr>
        <w:t>自动、实时多普勒频谱波形分析，在实时或者冻结模式下都可以使用</w:t>
      </w:r>
    </w:p>
    <w:p w14:paraId="41681E5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10.2感兴趣区定量</w:t>
      </w:r>
    </w:p>
    <w:p w14:paraId="52603DB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10.2.1</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10 个用户自定义的区域</w:t>
      </w:r>
    </w:p>
    <w:p w14:paraId="512C0BA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10.2.2</w:t>
      </w:r>
      <w:r>
        <w:rPr>
          <w:rFonts w:hint="eastAsia" w:ascii="仿宋" w:hAnsi="仿宋" w:eastAsia="仿宋" w:cs="仿宋"/>
          <w:sz w:val="24"/>
          <w:szCs w:val="24"/>
        </w:rPr>
        <w:tab/>
      </w:r>
      <w:r>
        <w:rPr>
          <w:rFonts w:hint="eastAsia" w:ascii="仿宋" w:hAnsi="仿宋" w:eastAsia="仿宋" w:cs="仿宋"/>
          <w:sz w:val="24"/>
          <w:szCs w:val="24"/>
        </w:rPr>
        <w:t>自动标记 ECG 触发，以实现特定心动周期时相的定量分析</w:t>
      </w:r>
    </w:p>
    <w:p w14:paraId="21C85A7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10.2.3</w:t>
      </w:r>
      <w:r>
        <w:rPr>
          <w:rFonts w:hint="eastAsia" w:ascii="仿宋" w:hAnsi="仿宋" w:eastAsia="仿宋" w:cs="仿宋"/>
          <w:sz w:val="24"/>
          <w:szCs w:val="24"/>
        </w:rPr>
        <w:tab/>
      </w:r>
      <w:r>
        <w:rPr>
          <w:rFonts w:hint="eastAsia" w:ascii="仿宋" w:hAnsi="仿宋" w:eastAsia="仿宋" w:cs="仿宋"/>
          <w:sz w:val="24"/>
          <w:szCs w:val="24"/>
        </w:rPr>
        <w:t>生成时间－密度曲线，支持多种曲线拟合模式</w:t>
      </w:r>
    </w:p>
    <w:p w14:paraId="1E435BA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10.3血管内中膜厚度自动测量: </w:t>
      </w:r>
    </w:p>
    <w:p w14:paraId="1920CA8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3.1</w:t>
      </w:r>
      <w:r>
        <w:rPr>
          <w:rFonts w:hint="eastAsia" w:ascii="仿宋" w:hAnsi="仿宋" w:eastAsia="仿宋" w:cs="仿宋"/>
          <w:sz w:val="24"/>
          <w:szCs w:val="24"/>
        </w:rPr>
        <w:tab/>
      </w:r>
      <w:r>
        <w:rPr>
          <w:rFonts w:hint="eastAsia" w:ascii="仿宋" w:hAnsi="仿宋" w:eastAsia="仿宋" w:cs="仿宋"/>
          <w:sz w:val="24"/>
          <w:szCs w:val="24"/>
        </w:rPr>
        <w:t>对感兴趣区域内自动测量，无需手动描计，计算结果为一段距离内的平均值，提高测量的可靠性和可重复性，并可根据血管内中膜厚度不同进行优化设置</w:t>
      </w:r>
    </w:p>
    <w:p w14:paraId="1A0645E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10.4心肌应变定量 </w:t>
      </w:r>
    </w:p>
    <w:p w14:paraId="7DB3A259">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10.4.1</w:t>
      </w:r>
      <w:r>
        <w:rPr>
          <w:rFonts w:hint="eastAsia" w:ascii="仿宋" w:hAnsi="仿宋" w:eastAsia="仿宋" w:cs="仿宋"/>
          <w:sz w:val="24"/>
          <w:szCs w:val="24"/>
        </w:rPr>
        <w:tab/>
      </w:r>
      <w:r>
        <w:rPr>
          <w:rFonts w:hint="eastAsia" w:ascii="仿宋" w:hAnsi="仿宋" w:eastAsia="仿宋" w:cs="仿宋"/>
          <w:sz w:val="24"/>
          <w:szCs w:val="24"/>
        </w:rPr>
        <w:t>实时组织多普勒定量技术,可整体或分节段曲线显示，同时可显示≥32条节段曲线，方便同一时相任意节段数据对比分析</w:t>
      </w:r>
    </w:p>
    <w:p w14:paraId="6F6839D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10.4.2</w:t>
      </w:r>
      <w:r>
        <w:rPr>
          <w:rFonts w:hint="eastAsia" w:ascii="仿宋" w:hAnsi="仿宋" w:eastAsia="仿宋" w:cs="仿宋"/>
          <w:sz w:val="24"/>
          <w:szCs w:val="24"/>
        </w:rPr>
        <w:tab/>
      </w:r>
      <w:r>
        <w:rPr>
          <w:rFonts w:hint="eastAsia" w:ascii="仿宋" w:hAnsi="仿宋" w:eastAsia="仿宋" w:cs="仿宋"/>
          <w:sz w:val="24"/>
          <w:szCs w:val="24"/>
        </w:rPr>
        <w:t>可显示组织速度、位移、应变、应变率等多种参数曲线，并支持曲线测量对比分析</w:t>
      </w:r>
    </w:p>
    <w:p w14:paraId="0C7F397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10.5</w:t>
      </w:r>
      <w:r>
        <w:rPr>
          <w:rFonts w:hint="eastAsia" w:ascii="仿宋" w:hAnsi="仿宋" w:eastAsia="仿宋" w:cs="仿宋"/>
          <w:sz w:val="24"/>
          <w:szCs w:val="24"/>
        </w:rPr>
        <w:tab/>
      </w:r>
      <w:r>
        <w:rPr>
          <w:rFonts w:hint="eastAsia" w:ascii="仿宋" w:hAnsi="仿宋" w:eastAsia="仿宋" w:cs="仿宋"/>
          <w:sz w:val="24"/>
          <w:szCs w:val="24"/>
        </w:rPr>
        <w:t>自动化二维心功能定量技术</w:t>
      </w:r>
    </w:p>
    <w:p w14:paraId="07CCF7D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10.5.1</w:t>
      </w:r>
      <w:r>
        <w:rPr>
          <w:rFonts w:hint="eastAsia" w:ascii="仿宋" w:hAnsi="仿宋" w:eastAsia="仿宋" w:cs="仿宋"/>
          <w:sz w:val="24"/>
          <w:szCs w:val="24"/>
        </w:rPr>
        <w:tab/>
      </w:r>
      <w:r>
        <w:rPr>
          <w:rFonts w:hint="eastAsia" w:ascii="仿宋" w:hAnsi="仿宋" w:eastAsia="仿宋" w:cs="仿宋"/>
          <w:sz w:val="24"/>
          <w:szCs w:val="24"/>
        </w:rPr>
        <w:t>自动二维左心功能定量，依据选择的心脏切面自动描记感兴趣区，自动计算EF，ESV，EDV，最大体积，最小体积以及LVEF、PER、PRFR、AFF</w:t>
      </w:r>
    </w:p>
    <w:p w14:paraId="5D4C592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10.5.2</w:t>
      </w:r>
      <w:r>
        <w:rPr>
          <w:rFonts w:hint="eastAsia" w:ascii="仿宋" w:hAnsi="仿宋" w:eastAsia="仿宋" w:cs="仿宋"/>
          <w:sz w:val="24"/>
          <w:szCs w:val="24"/>
        </w:rPr>
        <w:tab/>
      </w:r>
      <w:r>
        <w:rPr>
          <w:rFonts w:hint="eastAsia" w:ascii="仿宋" w:hAnsi="仿宋" w:eastAsia="仿宋" w:cs="仿宋"/>
          <w:sz w:val="24"/>
          <w:szCs w:val="24"/>
        </w:rPr>
        <w:t>自动二维左房功能定量，专用左房定量分析功能，快速获取左房最大、最小容积、射血分数及容积曲线</w:t>
      </w:r>
    </w:p>
    <w:p w14:paraId="5506196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rPr>
        <w:t>10.5.3</w:t>
      </w:r>
      <w:r>
        <w:rPr>
          <w:rFonts w:hint="eastAsia" w:ascii="仿宋" w:hAnsi="仿宋" w:eastAsia="仿宋" w:cs="仿宋"/>
          <w:sz w:val="24"/>
          <w:szCs w:val="24"/>
        </w:rPr>
        <w:tab/>
      </w:r>
      <w:r>
        <w:rPr>
          <w:rFonts w:hint="eastAsia" w:ascii="仿宋" w:hAnsi="仿宋" w:eastAsia="仿宋" w:cs="仿宋"/>
          <w:sz w:val="24"/>
          <w:szCs w:val="24"/>
        </w:rPr>
        <w:t>自动组织瓣环位移功能可自动对二尖瓣环和三尖瓣瓣环运动进行可视化定量分析，快速评估心脏整体功能</w:t>
      </w:r>
    </w:p>
    <w:p w14:paraId="66090FC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10.5.4</w:t>
      </w:r>
      <w:r>
        <w:rPr>
          <w:rFonts w:hint="eastAsia" w:ascii="仿宋" w:hAnsi="仿宋" w:eastAsia="仿宋" w:cs="仿宋"/>
          <w:sz w:val="24"/>
          <w:szCs w:val="24"/>
        </w:rPr>
        <w:tab/>
      </w:r>
      <w:r>
        <w:rPr>
          <w:rFonts w:hint="eastAsia" w:ascii="仿宋" w:hAnsi="仿宋" w:eastAsia="仿宋" w:cs="仿宋"/>
          <w:sz w:val="24"/>
          <w:szCs w:val="24"/>
        </w:rPr>
        <w:t>可使用回放或存储剪辑分析，可在机和脱机分析</w:t>
      </w:r>
    </w:p>
    <w:p w14:paraId="04B0430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10.6三维心功能定量 </w:t>
      </w:r>
    </w:p>
    <w:p w14:paraId="7909352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10.6.1</w:t>
      </w:r>
      <w:r>
        <w:rPr>
          <w:rFonts w:hint="eastAsia" w:ascii="仿宋" w:hAnsi="仿宋" w:eastAsia="仿宋" w:cs="仿宋"/>
          <w:sz w:val="24"/>
          <w:szCs w:val="24"/>
        </w:rPr>
        <w:tab/>
      </w:r>
      <w:r>
        <w:rPr>
          <w:rFonts w:hint="eastAsia" w:ascii="仿宋" w:hAnsi="仿宋" w:eastAsia="仿宋" w:cs="仿宋"/>
          <w:sz w:val="24"/>
          <w:szCs w:val="24"/>
        </w:rPr>
        <w:t>自动确定收缩末期与舒张末期，快速计算LV舒张末期与收缩末期容积，左室射血分数，并可以独立显示四腔心、两腔心；并可以对MPR图像进行灰阶及伪彩设置，实时三维智能断层,可同步显示≥16个切面</w:t>
      </w:r>
    </w:p>
    <w:p w14:paraId="71499E9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10.7</w:t>
      </w:r>
      <w:r>
        <w:rPr>
          <w:rFonts w:hint="eastAsia" w:ascii="仿宋" w:hAnsi="仿宋" w:eastAsia="仿宋" w:cs="仿宋"/>
          <w:sz w:val="24"/>
          <w:szCs w:val="24"/>
        </w:rPr>
        <w:tab/>
      </w:r>
      <w:r>
        <w:rPr>
          <w:rFonts w:hint="eastAsia" w:ascii="仿宋" w:hAnsi="仿宋" w:eastAsia="仿宋" w:cs="仿宋"/>
          <w:sz w:val="24"/>
          <w:szCs w:val="24"/>
        </w:rPr>
        <w:t>三维自动右室定量</w:t>
      </w:r>
    </w:p>
    <w:p w14:paraId="3055FD5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10.7.1人工智能技术，自动建模及追踪分析，匹配不同心动周期右心室长轴和短轴视图</w:t>
      </w:r>
    </w:p>
    <w:p w14:paraId="6DE3ED0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10.7.2</w:t>
      </w:r>
      <w:r>
        <w:rPr>
          <w:rFonts w:hint="eastAsia" w:ascii="仿宋" w:hAnsi="仿宋" w:eastAsia="仿宋" w:cs="仿宋"/>
          <w:sz w:val="24"/>
          <w:szCs w:val="24"/>
        </w:rPr>
        <w:tab/>
      </w:r>
      <w:r>
        <w:rPr>
          <w:rFonts w:hint="eastAsia" w:ascii="仿宋" w:hAnsi="仿宋" w:eastAsia="仿宋" w:cs="仿宋"/>
          <w:sz w:val="24"/>
          <w:szCs w:val="24"/>
        </w:rPr>
        <w:t>自动获取右心室容积模型及容积曲线，计算多个右心室容积参数，包括右心室容积、容积指数、射血分数</w:t>
      </w:r>
    </w:p>
    <w:p w14:paraId="5C0844B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10.7.3</w:t>
      </w:r>
      <w:r>
        <w:rPr>
          <w:rFonts w:hint="eastAsia" w:ascii="仿宋" w:hAnsi="仿宋" w:eastAsia="仿宋" w:cs="仿宋"/>
          <w:sz w:val="24"/>
          <w:szCs w:val="24"/>
        </w:rPr>
        <w:tab/>
      </w:r>
      <w:r>
        <w:rPr>
          <w:rFonts w:hint="eastAsia" w:ascii="仿宋" w:hAnsi="仿宋" w:eastAsia="仿宋" w:cs="仿宋"/>
          <w:sz w:val="24"/>
          <w:szCs w:val="24"/>
        </w:rPr>
        <w:t>自动获取标准包含右心室的心尖四腔心切面并计算右心室二维定量参数，包括右心室长径及短径、TAPSE、FAC、间隔和游离壁纵向应变</w:t>
      </w:r>
    </w:p>
    <w:p w14:paraId="4441C66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10.8三维自动二尖瓣定量</w:t>
      </w:r>
    </w:p>
    <w:p w14:paraId="2A660D2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10.8.1</w:t>
      </w:r>
      <w:r>
        <w:rPr>
          <w:rFonts w:hint="eastAsia" w:ascii="仿宋" w:hAnsi="仿宋" w:eastAsia="仿宋" w:cs="仿宋"/>
          <w:sz w:val="24"/>
          <w:szCs w:val="24"/>
        </w:rPr>
        <w:tab/>
      </w:r>
      <w:r>
        <w:rPr>
          <w:rFonts w:hint="eastAsia" w:ascii="仿宋" w:hAnsi="仿宋" w:eastAsia="仿宋" w:cs="仿宋"/>
          <w:sz w:val="24"/>
          <w:szCs w:val="24"/>
        </w:rPr>
        <w:t>人工智能技术，自动建模及追踪分析，匹配不同心动周期二尖瓣模型视图</w:t>
      </w:r>
    </w:p>
    <w:p w14:paraId="28145F6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10.8.2</w:t>
      </w:r>
      <w:r>
        <w:rPr>
          <w:rFonts w:hint="eastAsia" w:ascii="仿宋" w:hAnsi="仿宋" w:eastAsia="仿宋" w:cs="仿宋"/>
          <w:sz w:val="24"/>
          <w:szCs w:val="24"/>
        </w:rPr>
        <w:tab/>
      </w:r>
      <w:r>
        <w:rPr>
          <w:rFonts w:hint="eastAsia" w:ascii="仿宋" w:hAnsi="仿宋" w:eastAsia="仿宋" w:cs="仿宋"/>
          <w:sz w:val="24"/>
          <w:szCs w:val="24"/>
        </w:rPr>
        <w:t>自动获取二尖瓣三维模型、二尖瓣瓣叶及瓣环等多个参数，同时可获取对应参数的曲线</w:t>
      </w:r>
    </w:p>
    <w:p w14:paraId="309D978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10.9</w:t>
      </w:r>
      <w:r>
        <w:rPr>
          <w:rFonts w:hint="eastAsia" w:ascii="仿宋" w:hAnsi="仿宋" w:eastAsia="仿宋" w:cs="仿宋"/>
          <w:sz w:val="24"/>
          <w:szCs w:val="24"/>
        </w:rPr>
        <w:tab/>
      </w:r>
      <w:r>
        <w:rPr>
          <w:rFonts w:hint="eastAsia" w:ascii="仿宋" w:hAnsi="仿宋" w:eastAsia="仿宋" w:cs="仿宋"/>
          <w:sz w:val="24"/>
          <w:szCs w:val="24"/>
        </w:rPr>
        <w:t>三维自动左心耳定量</w:t>
      </w:r>
    </w:p>
    <w:p w14:paraId="28CB52C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10.9.1</w:t>
      </w:r>
      <w:r>
        <w:rPr>
          <w:rFonts w:hint="eastAsia" w:ascii="仿宋" w:hAnsi="仿宋" w:eastAsia="仿宋" w:cs="仿宋"/>
          <w:sz w:val="24"/>
          <w:szCs w:val="24"/>
        </w:rPr>
        <w:tab/>
      </w:r>
      <w:r>
        <w:rPr>
          <w:rFonts w:hint="eastAsia" w:ascii="仿宋" w:hAnsi="仿宋" w:eastAsia="仿宋" w:cs="仿宋"/>
          <w:sz w:val="24"/>
          <w:szCs w:val="24"/>
        </w:rPr>
        <w:t>人工智能技术，专用左心耳三维定量工具，可快速识别左心耳结构</w:t>
      </w:r>
    </w:p>
    <w:p w14:paraId="1B33D81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10.9.2</w:t>
      </w:r>
      <w:r>
        <w:rPr>
          <w:rFonts w:hint="eastAsia" w:ascii="仿宋" w:hAnsi="仿宋" w:eastAsia="仿宋" w:cs="仿宋"/>
          <w:sz w:val="24"/>
          <w:szCs w:val="24"/>
        </w:rPr>
        <w:tab/>
      </w:r>
      <w:r>
        <w:rPr>
          <w:rFonts w:hint="eastAsia" w:ascii="仿宋" w:hAnsi="仿宋" w:eastAsia="仿宋" w:cs="仿宋"/>
          <w:sz w:val="24"/>
          <w:szCs w:val="24"/>
        </w:rPr>
        <w:t>自动追踪、描记、获取左心耳开口相关参数</w:t>
      </w:r>
    </w:p>
    <w:p w14:paraId="2EF4BEF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10.10图像存储与（电影）回放重现及病案管理单元</w:t>
      </w:r>
    </w:p>
    <w:p w14:paraId="7E5006A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.1数字化捕捉、回放、存储动、静态图像，实时图像传输，可进行参数编程调节</w:t>
      </w:r>
    </w:p>
    <w:p w14:paraId="5F1C934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.2主机内置硬盘≥1T，可扩展的存储装置：大容量移动硬盘、DVD-RW、DVR等</w:t>
      </w:r>
    </w:p>
    <w:p w14:paraId="664AFDC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.3具备主机硬盘图像数据存储</w:t>
      </w:r>
    </w:p>
    <w:p w14:paraId="65F7C11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.4病案管理单元包括病人资料、报告、图像等的存储、修改、检索和打印等</w:t>
      </w:r>
    </w:p>
    <w:p w14:paraId="6CB6A55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.5可根据检查要求对工作站参数（存储、压缩、回放）进行编程调节</w:t>
      </w:r>
    </w:p>
    <w:p w14:paraId="35F186E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10.11参考信号：ECG心电信号</w:t>
      </w:r>
    </w:p>
    <w:p w14:paraId="0DD0D0F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10.12输入和输出信号</w:t>
      </w:r>
    </w:p>
    <w:p w14:paraId="1EEC678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10.12.1输入：DICOM DATA</w:t>
      </w:r>
    </w:p>
    <w:p w14:paraId="6E4D2FF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10.12.2输出：DP高清数字化输出</w:t>
      </w:r>
    </w:p>
    <w:p w14:paraId="2235E2D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10.13图像管理与记录装置</w:t>
      </w:r>
    </w:p>
    <w:p w14:paraId="084CDA6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10.13.1内置图像管理系统</w:t>
      </w:r>
    </w:p>
    <w:p w14:paraId="076287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10.13.2支持DVD／USB图像导出存储</w:t>
      </w:r>
    </w:p>
    <w:p w14:paraId="106E7F5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10.14连通性：医学数字图像和通信协议，DICOM 3.0 版接口部件</w:t>
      </w:r>
    </w:p>
    <w:p w14:paraId="2E92CA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系统通用功能</w:t>
      </w:r>
    </w:p>
    <w:p w14:paraId="50655A9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.1 OLED显示器≥21",无闪烁，可上下左右旋转、倾斜</w:t>
      </w:r>
    </w:p>
    <w:p w14:paraId="5B51BAF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.2操作面板具备液晶触摸屏≥12",可通过手指滑动触摸屏进行翻页，直接点击触摸屏即可选择需要调节的参数，操作面板可上下左右进行高度调整及旋转</w:t>
      </w:r>
    </w:p>
    <w:p w14:paraId="697F24B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.3标准成像探头接口≥4个，无针式微型接口，均可通用</w:t>
      </w:r>
    </w:p>
    <w:p w14:paraId="4DB18D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.4功能分区控制面板，可升降、旋转、前后左右平移, 电子锁定</w:t>
      </w:r>
    </w:p>
    <w:p w14:paraId="1E786AF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11.5</w:t>
      </w:r>
      <w:r>
        <w:rPr>
          <w:rFonts w:hint="eastAsia" w:ascii="仿宋" w:hAnsi="仿宋" w:eastAsia="仿宋" w:cs="仿宋"/>
          <w:sz w:val="24"/>
          <w:szCs w:val="24"/>
        </w:rPr>
        <w:t>探头规格：探头数量≥6个，单晶体探头≥4个</w:t>
      </w:r>
    </w:p>
    <w:p w14:paraId="43B7908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11.6</w:t>
      </w:r>
      <w:r>
        <w:rPr>
          <w:rFonts w:hint="eastAsia" w:ascii="仿宋" w:hAnsi="仿宋" w:eastAsia="仿宋" w:cs="仿宋"/>
          <w:sz w:val="24"/>
          <w:szCs w:val="24"/>
        </w:rPr>
        <w:t>腹部凸阵探头：成像频率1-5MHz</w:t>
      </w:r>
    </w:p>
    <w:p w14:paraId="2478A8B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成人心脏探头：成像频率1-5MHz</w:t>
      </w:r>
    </w:p>
    <w:p w14:paraId="2ACCB27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成人心脏矩阵实时三维探头：成像频率1-5MHz</w:t>
      </w:r>
    </w:p>
    <w:p w14:paraId="38E41C4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成人经食管矩阵实时三维探头：成像频率2-8MHz</w:t>
      </w:r>
    </w:p>
    <w:p w14:paraId="6614497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高频线阵探头：成像频率4-18MHz</w:t>
      </w:r>
    </w:p>
    <w:p w14:paraId="6BD803E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线阵探头：成像频率3-12MHz</w:t>
      </w:r>
    </w:p>
    <w:p w14:paraId="169AA39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11.7</w:t>
      </w:r>
      <w:r>
        <w:rPr>
          <w:rFonts w:hint="eastAsia" w:ascii="仿宋" w:hAnsi="仿宋" w:eastAsia="仿宋" w:cs="仿宋"/>
          <w:sz w:val="24"/>
          <w:szCs w:val="24"/>
        </w:rPr>
        <w:t>线阵,全视野，4cm深度时，帧速率≥ 63 帧/秒</w:t>
      </w:r>
    </w:p>
    <w:p w14:paraId="137DF26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相控阵,全视野，18cm深度时，帧速率≥ 110 帧/秒</w:t>
      </w:r>
    </w:p>
    <w:p w14:paraId="44A4C4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11.8</w:t>
      </w:r>
      <w:r>
        <w:rPr>
          <w:rFonts w:hint="eastAsia" w:ascii="仿宋" w:hAnsi="仿宋" w:eastAsia="仿宋" w:cs="仿宋"/>
          <w:sz w:val="24"/>
          <w:szCs w:val="24"/>
        </w:rPr>
        <w:t>声束聚焦:发射接收动态连续聚焦</w:t>
      </w:r>
    </w:p>
    <w:p w14:paraId="0014F3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11.9</w:t>
      </w:r>
      <w:r>
        <w:rPr>
          <w:rFonts w:hint="eastAsia" w:ascii="仿宋" w:hAnsi="仿宋" w:eastAsia="仿宋" w:cs="仿宋"/>
          <w:sz w:val="24"/>
          <w:szCs w:val="24"/>
        </w:rPr>
        <w:t>回放重现及存储:存储时间≥6分钟</w:t>
      </w:r>
    </w:p>
    <w:p w14:paraId="3ED0F12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11.10</w:t>
      </w:r>
      <w:r>
        <w:rPr>
          <w:rFonts w:hint="eastAsia" w:ascii="仿宋" w:hAnsi="仿宋" w:eastAsia="仿宋" w:cs="仿宋"/>
          <w:sz w:val="24"/>
          <w:szCs w:val="24"/>
        </w:rPr>
        <w:t>预设条件:针对不同的检查脏器,预置最佳化图像的检查条件,减少操作时的调节,及常用所需的外部调节及组合调节</w:t>
      </w:r>
    </w:p>
    <w:p w14:paraId="70C0E34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11.11</w:t>
      </w:r>
      <w:r>
        <w:rPr>
          <w:rFonts w:hint="eastAsia" w:ascii="仿宋" w:hAnsi="仿宋" w:eastAsia="仿宋" w:cs="仿宋"/>
          <w:sz w:val="24"/>
          <w:szCs w:val="24"/>
        </w:rPr>
        <w:t>增益调节:2D/Color/Doppler可独立调节, TGC分段≥8， 支持LGC分段调节</w:t>
      </w:r>
    </w:p>
    <w:p w14:paraId="32DAF38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三维成像主要参数</w:t>
      </w:r>
    </w:p>
    <w:p w14:paraId="14BE583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.1实时三维矩阵探头，提供全面的单探头解决方案，包括二维及三维结构和功能</w:t>
      </w:r>
    </w:p>
    <w:p w14:paraId="654C0B3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具备2D、M型、彩色、PW、CW、TDI、造影、负荷等多种应用模式</w:t>
      </w:r>
    </w:p>
    <w:p w14:paraId="3156AB1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具备实时智能旋转成像，通过智能电子偏转声束发射技术，获取感兴趣扫描切面</w:t>
      </w:r>
    </w:p>
    <w:p w14:paraId="64EDC1E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具备实时任意多平面成像，同屏显示任意相交互的两幅图像</w:t>
      </w:r>
    </w:p>
    <w:p w14:paraId="1035B2F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支持实时三维、全容积成像、实时三维彩色、实时三维缩放、光源心腔镜、多维心腔镜、透视心腔镜、彩色心腔镜、深度光源、智能切割、三维造影及负荷超声</w:t>
      </w:r>
    </w:p>
    <w:p w14:paraId="77203A1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具备单心动周期、多心动周期成像模式</w:t>
      </w:r>
    </w:p>
    <w:p w14:paraId="2A62A98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具备高帧频成像模式</w:t>
      </w:r>
    </w:p>
    <w:p w14:paraId="260E7A09">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实时三维成像容积角度≥100*100度</w:t>
      </w:r>
    </w:p>
    <w:p w14:paraId="146C64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具备光源和多维心腔镜成像模式</w:t>
      </w:r>
    </w:p>
    <w:p w14:paraId="1D58ED1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具备心脏灰阶三维透视成像</w:t>
      </w:r>
    </w:p>
    <w:p w14:paraId="778CCD6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具备心脏彩色三维透视成像</w:t>
      </w:r>
    </w:p>
    <w:p w14:paraId="6FB16CF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具备深度光源成像模式 </w:t>
      </w:r>
    </w:p>
    <w:p w14:paraId="04AD491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具备实时三维断层成像</w:t>
      </w:r>
    </w:p>
    <w:p w14:paraId="06DAEF9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具备实时双容积视野</w:t>
      </w:r>
    </w:p>
    <w:p w14:paraId="18258E8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具备三维和MPR直接测量</w:t>
      </w:r>
    </w:p>
    <w:p w14:paraId="73DAA13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频率多普勒</w:t>
      </w:r>
    </w:p>
    <w:p w14:paraId="2568C88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.1脉冲波多普勒PW，连续波多普勒CW，高脉冲重复频率HPRF</w:t>
      </w:r>
    </w:p>
    <w:p w14:paraId="3FE29AF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11.13.2多普勒探头与频率: PW，CW</w:t>
      </w:r>
    </w:p>
    <w:p w14:paraId="735FFC7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 xml:space="preserve">11.13.3最大测量速度:PW，0°时，血流速度最大≥9m/s; CW，0°时血流速度最大≥27m/s </w:t>
      </w:r>
    </w:p>
    <w:p w14:paraId="4464B83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11.13.4最低测量速度1mm/s (非噪声信号)</w:t>
      </w:r>
    </w:p>
    <w:p w14:paraId="66FD151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11.13.5显示方式:B/D、B/C/D、D</w:t>
      </w:r>
    </w:p>
    <w:p w14:paraId="161EE2C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.6电影回放:≥2000帧</w:t>
      </w:r>
    </w:p>
    <w:p w14:paraId="39EEDAD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.7取样宽度及位置范围:宽度0.5-20mm; 分级可调</w:t>
      </w:r>
    </w:p>
    <w:p w14:paraId="1B4D345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.8滤波器:高通滤波或低通滤波两种</w:t>
      </w:r>
    </w:p>
    <w:p w14:paraId="7BDD616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.9显示控制:反转显示(左/右,上/下),零移位, D扩展, B/D扩展,局放及移位</w:t>
      </w:r>
    </w:p>
    <w:p w14:paraId="76EE223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11.14彩色多普勒</w:t>
      </w:r>
    </w:p>
    <w:p w14:paraId="28A3F04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11.14.1显示方式: 速度方差显示、能量显示、速度显示</w:t>
      </w:r>
    </w:p>
    <w:p w14:paraId="34467CB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11.14.2二维图像/频谱多普勒/彩色血流成像三同步显示</w:t>
      </w:r>
    </w:p>
    <w:p w14:paraId="0F2C0C1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11.14.3彩色显示角度: 10-120°选择</w:t>
      </w:r>
    </w:p>
    <w:p w14:paraId="27D7C4D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11.14.4彩色显示帧数: 全视野, 18cm深,帧频≥20帧/秒</w:t>
      </w:r>
    </w:p>
    <w:p w14:paraId="1BA8203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11.14.5组织多普勒帧频：全视野，18cm深，帧频≥110帧/秒</w:t>
      </w:r>
    </w:p>
    <w:p w14:paraId="1BE88DD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11.14</w:t>
      </w:r>
      <w:r>
        <w:rPr>
          <w:rFonts w:hint="eastAsia" w:ascii="仿宋" w:hAnsi="仿宋" w:eastAsia="仿宋" w:cs="仿宋"/>
          <w:sz w:val="24"/>
          <w:szCs w:val="24"/>
        </w:rPr>
        <w:t>.6显示位置调整:感兴趣的图像范围:-20°-+20°</w:t>
      </w:r>
    </w:p>
    <w:p w14:paraId="43970D6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11.14.7显示控制:零位移动多级可调，彩色对比显示</w:t>
      </w:r>
    </w:p>
    <w:p w14:paraId="14E947F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11.14</w:t>
      </w:r>
      <w:r>
        <w:rPr>
          <w:rFonts w:hint="eastAsia" w:ascii="仿宋" w:hAnsi="仿宋" w:eastAsia="仿宋" w:cs="仿宋"/>
          <w:sz w:val="24"/>
          <w:szCs w:val="24"/>
        </w:rPr>
        <w:t>.8彩色增强功能:彩色多普勒能量图；组织多普勒(TDI)</w:t>
      </w:r>
    </w:p>
    <w:p w14:paraId="547B712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11.15超声图像及病案管理系统 </w:t>
      </w:r>
    </w:p>
    <w:p w14:paraId="1EB0C08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11.15.1动态图像采集,存储, 一次连续采集≥2000幅</w:t>
      </w:r>
    </w:p>
    <w:p w14:paraId="7DD5FEC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11.15.2同屏电影回放≥4画面,可调回放速度</w:t>
      </w:r>
    </w:p>
    <w:p w14:paraId="159D454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11.15.3存储图像及文档:</w:t>
      </w:r>
      <w:r>
        <w:rPr>
          <w:rFonts w:hint="eastAsia" w:ascii="仿宋" w:hAnsi="仿宋" w:eastAsia="仿宋" w:cs="仿宋"/>
          <w:sz w:val="24"/>
          <w:szCs w:val="24"/>
          <w:lang w:val="en-US" w:eastAsia="zh-CN"/>
        </w:rPr>
        <w:t>≥</w:t>
      </w:r>
      <w:r>
        <w:rPr>
          <w:rFonts w:hint="eastAsia" w:ascii="仿宋" w:hAnsi="仿宋" w:eastAsia="仿宋" w:cs="仿宋"/>
          <w:sz w:val="24"/>
          <w:szCs w:val="24"/>
        </w:rPr>
        <w:t>1TB硬盘,</w:t>
      </w:r>
      <w:r>
        <w:rPr>
          <w:rFonts w:hint="eastAsia" w:ascii="仿宋" w:hAnsi="仿宋" w:eastAsia="仿宋" w:cs="仿宋"/>
          <w:sz w:val="24"/>
          <w:szCs w:val="24"/>
          <w:lang w:val="en-US" w:eastAsia="zh-CN"/>
        </w:rPr>
        <w:t>可刻录</w:t>
      </w:r>
      <w:r>
        <w:rPr>
          <w:rFonts w:hint="eastAsia" w:ascii="仿宋" w:hAnsi="仿宋" w:eastAsia="仿宋" w:cs="仿宋"/>
          <w:sz w:val="24"/>
          <w:szCs w:val="24"/>
        </w:rPr>
        <w:t>CD/DVD</w:t>
      </w:r>
    </w:p>
    <w:p w14:paraId="4D76CAC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11.15.4支持报告存储,检索,统计</w:t>
      </w:r>
    </w:p>
    <w:p w14:paraId="614DC09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11.15.5为保护病人隐私，图像存储时可隐去病案信息进行存储</w:t>
      </w:r>
    </w:p>
    <w:p w14:paraId="7EE1E5D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11.15.6DICOM QVue图像阅读器</w:t>
      </w:r>
    </w:p>
    <w:p w14:paraId="3B3CA2B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11.16超声功率输出调节: B/M,PW,CDFI,输出功率选择多级可调</w:t>
      </w:r>
    </w:p>
    <w:p w14:paraId="203BD0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售后及其他</w:t>
      </w:r>
    </w:p>
    <w:p w14:paraId="31BC8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w:t>
      </w:r>
      <w:r>
        <w:rPr>
          <w:rFonts w:hint="eastAsia" w:ascii="仿宋" w:hAnsi="仿宋" w:eastAsia="仿宋" w:cs="仿宋"/>
          <w:sz w:val="24"/>
          <w:szCs w:val="24"/>
        </w:rPr>
        <w:t>应对所提供的货物提供96个月的维修服务</w:t>
      </w:r>
      <w:r>
        <w:rPr>
          <w:rFonts w:hint="eastAsia" w:ascii="仿宋" w:hAnsi="仿宋" w:eastAsia="仿宋" w:cs="仿宋"/>
          <w:sz w:val="24"/>
          <w:szCs w:val="24"/>
          <w:lang w:eastAsia="zh-CN"/>
        </w:rPr>
        <w:t>。</w:t>
      </w:r>
    </w:p>
    <w:p w14:paraId="29385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开机率≥95 %，仪器故障要求2小时内应答，24小时形成解决方案</w:t>
      </w:r>
      <w:r>
        <w:rPr>
          <w:rFonts w:hint="eastAsia" w:ascii="仿宋" w:hAnsi="仿宋" w:eastAsia="仿宋" w:cs="仿宋"/>
          <w:sz w:val="24"/>
          <w:szCs w:val="24"/>
          <w:lang w:eastAsia="zh-CN"/>
        </w:rPr>
        <w:t>。</w:t>
      </w:r>
    </w:p>
    <w:p w14:paraId="714BC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供应商</w:t>
      </w:r>
      <w:r>
        <w:rPr>
          <w:rFonts w:hint="eastAsia" w:ascii="仿宋" w:hAnsi="仿宋" w:eastAsia="仿宋" w:cs="仿宋"/>
          <w:sz w:val="24"/>
          <w:szCs w:val="24"/>
        </w:rPr>
        <w:t>需在中国大陆地区设有售后服务机构和设施，并配备受过专业培训的售后服务人员</w:t>
      </w:r>
      <w:r>
        <w:rPr>
          <w:rFonts w:hint="eastAsia" w:ascii="仿宋" w:hAnsi="仿宋" w:eastAsia="仿宋" w:cs="仿宋"/>
          <w:sz w:val="24"/>
          <w:szCs w:val="24"/>
          <w:lang w:eastAsia="zh-CN"/>
        </w:rPr>
        <w:t>。</w:t>
      </w:r>
    </w:p>
    <w:p w14:paraId="40498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为保证设备正常运行，卖方应在中国境内方便的地方设置备件库，存入所有必须的备件，并保证5年以上的供应期</w:t>
      </w:r>
      <w:r>
        <w:rPr>
          <w:rFonts w:hint="eastAsia" w:ascii="仿宋" w:hAnsi="仿宋" w:eastAsia="仿宋" w:cs="仿宋"/>
          <w:sz w:val="24"/>
          <w:szCs w:val="24"/>
          <w:lang w:eastAsia="zh-CN"/>
        </w:rPr>
        <w:t>。</w:t>
      </w:r>
    </w:p>
    <w:p w14:paraId="7336E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提供厂家原厂整机质保≥8年</w:t>
      </w:r>
      <w:r>
        <w:rPr>
          <w:rFonts w:hint="eastAsia" w:ascii="仿宋" w:hAnsi="仿宋" w:eastAsia="仿宋" w:cs="仿宋"/>
          <w:sz w:val="24"/>
          <w:szCs w:val="24"/>
          <w:lang w:eastAsia="zh-CN"/>
        </w:rPr>
        <w:t>。</w:t>
      </w:r>
    </w:p>
    <w:p w14:paraId="03878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6.配备</w:t>
      </w:r>
      <w:r>
        <w:rPr>
          <w:rFonts w:hint="eastAsia" w:ascii="仿宋" w:hAnsi="仿宋" w:eastAsia="仿宋" w:cs="仿宋"/>
          <w:sz w:val="24"/>
          <w:szCs w:val="24"/>
          <w:highlight w:val="none"/>
        </w:rPr>
        <w:t>全自动经食道超声探头清洗消毒机一套，使用年限≥8年（含初洗槽、纯水机、智能经食道探头存储柜）</w:t>
      </w:r>
      <w:r>
        <w:rPr>
          <w:rFonts w:hint="eastAsia" w:ascii="仿宋" w:hAnsi="仿宋" w:eastAsia="仿宋" w:cs="仿宋"/>
          <w:sz w:val="24"/>
          <w:szCs w:val="24"/>
          <w:highlight w:val="none"/>
          <w:lang w:eastAsia="zh-CN"/>
        </w:rPr>
        <w:t>。</w:t>
      </w:r>
    </w:p>
    <w:p w14:paraId="1B994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7.配备</w:t>
      </w:r>
      <w:r>
        <w:rPr>
          <w:rFonts w:hint="eastAsia" w:ascii="仿宋" w:hAnsi="仿宋" w:eastAsia="仿宋" w:cs="仿宋"/>
          <w:sz w:val="24"/>
          <w:szCs w:val="24"/>
        </w:rPr>
        <w:t>超声计算机图文工作站、可升降检查床1张，2张检查专业椅</w:t>
      </w:r>
      <w:r>
        <w:rPr>
          <w:rFonts w:hint="eastAsia" w:ascii="仿宋" w:hAnsi="仿宋" w:eastAsia="仿宋" w:cs="仿宋"/>
          <w:sz w:val="24"/>
          <w:szCs w:val="24"/>
          <w:lang w:eastAsia="zh-CN"/>
        </w:rPr>
        <w:t>。</w:t>
      </w:r>
    </w:p>
    <w:p w14:paraId="52E69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lang w:val="en-US" w:eastAsia="zh-CN"/>
        </w:rPr>
      </w:pPr>
    </w:p>
    <w:p w14:paraId="2AEE332A">
      <w:pPr>
        <w:jc w:val="center"/>
        <w:rPr>
          <w:rFonts w:hint="eastAsia" w:ascii="仿宋" w:hAnsi="仿宋" w:eastAsia="仿宋" w:cs="仿宋"/>
          <w:b/>
          <w:bCs/>
          <w:sz w:val="24"/>
          <w:szCs w:val="24"/>
        </w:rPr>
      </w:pPr>
      <w:r>
        <w:rPr>
          <w:rFonts w:hint="eastAsia" w:ascii="仿宋" w:hAnsi="仿宋" w:eastAsia="仿宋" w:cs="仿宋"/>
          <w:b/>
          <w:bCs/>
          <w:sz w:val="24"/>
          <w:szCs w:val="24"/>
        </w:rPr>
        <w:br w:type="page"/>
      </w:r>
    </w:p>
    <w:p w14:paraId="678E26CE">
      <w:pPr>
        <w:pStyle w:val="5"/>
        <w:jc w:val="center"/>
        <w:rPr>
          <w:rFonts w:hint="eastAsia" w:ascii="仿宋" w:hAnsi="仿宋" w:eastAsia="仿宋" w:cs="仿宋"/>
          <w:b/>
          <w:bCs/>
          <w:sz w:val="24"/>
          <w:szCs w:val="24"/>
          <w:lang w:eastAsia="zh-CN"/>
        </w:rPr>
      </w:pPr>
      <w:r>
        <w:rPr>
          <w:rFonts w:hint="eastAsia" w:ascii="仿宋" w:hAnsi="仿宋" w:eastAsia="仿宋" w:cs="仿宋"/>
          <w:b/>
          <w:bCs/>
          <w:sz w:val="24"/>
          <w:szCs w:val="24"/>
        </w:rPr>
        <w:t>全数字化高档心脏彩色多普勒超声诊断仪</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p>
    <w:p w14:paraId="42BB9B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一、设备名称：</w:t>
      </w:r>
      <w:r>
        <w:rPr>
          <w:rFonts w:hint="eastAsia" w:ascii="仿宋" w:hAnsi="仿宋" w:eastAsia="仿宋" w:cs="仿宋"/>
          <w:sz w:val="24"/>
          <w:szCs w:val="24"/>
        </w:rPr>
        <w:t>全数字化高档心脏彩色多普勒超声诊断仪</w:t>
      </w:r>
    </w:p>
    <w:p w14:paraId="2928CC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rPr>
        <w:t>二、配置要求：</w:t>
      </w:r>
      <w:r>
        <w:rPr>
          <w:rFonts w:hint="eastAsia" w:ascii="仿宋" w:hAnsi="仿宋" w:eastAsia="仿宋" w:cs="仿宋"/>
          <w:sz w:val="24"/>
          <w:szCs w:val="24"/>
        </w:rPr>
        <w:t>主机一套</w:t>
      </w:r>
      <w:r>
        <w:rPr>
          <w:rFonts w:hint="eastAsia" w:ascii="仿宋" w:hAnsi="仿宋" w:eastAsia="仿宋" w:cs="仿宋"/>
          <w:sz w:val="24"/>
          <w:szCs w:val="24"/>
          <w:lang w:eastAsia="zh-CN"/>
        </w:rPr>
        <w:t>、</w:t>
      </w:r>
      <w:r>
        <w:rPr>
          <w:rFonts w:hint="eastAsia" w:ascii="仿宋" w:hAnsi="仿宋" w:eastAsia="仿宋" w:cs="仿宋"/>
          <w:sz w:val="24"/>
          <w:szCs w:val="24"/>
        </w:rPr>
        <w:t>腹部凸阵探头：1个</w:t>
      </w:r>
      <w:r>
        <w:rPr>
          <w:rFonts w:hint="eastAsia" w:ascii="仿宋" w:hAnsi="仿宋" w:eastAsia="仿宋" w:cs="仿宋"/>
          <w:sz w:val="24"/>
          <w:szCs w:val="24"/>
          <w:lang w:eastAsia="zh-CN"/>
        </w:rPr>
        <w:t>、</w:t>
      </w:r>
      <w:r>
        <w:rPr>
          <w:rFonts w:hint="eastAsia" w:ascii="仿宋" w:hAnsi="仿宋" w:eastAsia="仿宋" w:cs="仿宋"/>
          <w:sz w:val="24"/>
          <w:szCs w:val="24"/>
        </w:rPr>
        <w:t>成人心脏探头：1个</w:t>
      </w:r>
      <w:r>
        <w:rPr>
          <w:rFonts w:hint="eastAsia" w:ascii="仿宋" w:hAnsi="仿宋" w:eastAsia="仿宋" w:cs="仿宋"/>
          <w:sz w:val="24"/>
          <w:szCs w:val="24"/>
          <w:lang w:eastAsia="zh-CN"/>
        </w:rPr>
        <w:t>、</w:t>
      </w:r>
      <w:r>
        <w:rPr>
          <w:rFonts w:hint="eastAsia" w:ascii="仿宋" w:hAnsi="仿宋" w:eastAsia="仿宋" w:cs="仿宋"/>
          <w:sz w:val="24"/>
          <w:szCs w:val="24"/>
        </w:rPr>
        <w:t>成人心脏矩阵实时三维探头：1个</w:t>
      </w:r>
      <w:r>
        <w:rPr>
          <w:rFonts w:hint="eastAsia" w:ascii="仿宋" w:hAnsi="仿宋" w:eastAsia="仿宋" w:cs="仿宋"/>
          <w:sz w:val="24"/>
          <w:szCs w:val="24"/>
          <w:lang w:eastAsia="zh-CN"/>
        </w:rPr>
        <w:t>、</w:t>
      </w:r>
      <w:r>
        <w:rPr>
          <w:rFonts w:hint="eastAsia" w:ascii="仿宋" w:hAnsi="仿宋" w:eastAsia="仿宋" w:cs="仿宋"/>
          <w:sz w:val="24"/>
          <w:szCs w:val="24"/>
        </w:rPr>
        <w:t>成人经食管矩阵实时三维探头：1个</w:t>
      </w:r>
      <w:r>
        <w:rPr>
          <w:rFonts w:hint="eastAsia" w:ascii="仿宋" w:hAnsi="仿宋" w:eastAsia="仿宋" w:cs="仿宋"/>
          <w:sz w:val="24"/>
          <w:szCs w:val="24"/>
          <w:lang w:eastAsia="zh-CN"/>
        </w:rPr>
        <w:t>、</w:t>
      </w:r>
      <w:r>
        <w:rPr>
          <w:rFonts w:hint="eastAsia" w:ascii="仿宋" w:hAnsi="仿宋" w:eastAsia="仿宋" w:cs="仿宋"/>
          <w:sz w:val="24"/>
          <w:szCs w:val="24"/>
        </w:rPr>
        <w:t>高频线阵探头：1个</w:t>
      </w:r>
      <w:r>
        <w:rPr>
          <w:rFonts w:hint="eastAsia" w:ascii="仿宋" w:hAnsi="仿宋" w:eastAsia="仿宋" w:cs="仿宋"/>
          <w:sz w:val="24"/>
          <w:szCs w:val="24"/>
          <w:lang w:eastAsia="zh-CN"/>
        </w:rPr>
        <w:t>、</w:t>
      </w:r>
      <w:r>
        <w:rPr>
          <w:rFonts w:hint="eastAsia" w:ascii="仿宋" w:hAnsi="仿宋" w:eastAsia="仿宋" w:cs="仿宋"/>
          <w:sz w:val="24"/>
          <w:szCs w:val="24"/>
        </w:rPr>
        <w:t>线阵探头：1个</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需</w:t>
      </w:r>
      <w:r>
        <w:rPr>
          <w:rFonts w:hint="eastAsia" w:ascii="仿宋" w:hAnsi="仿宋" w:eastAsia="仿宋" w:cs="仿宋"/>
          <w:b/>
          <w:bCs/>
          <w:sz w:val="24"/>
          <w:szCs w:val="24"/>
          <w:lang w:eastAsia="zh-CN"/>
        </w:rPr>
        <w:t>搭载全功能脱机分析软件一套。</w:t>
      </w:r>
    </w:p>
    <w:p w14:paraId="6A14B0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三、使用单位：</w:t>
      </w:r>
      <w:r>
        <w:rPr>
          <w:rFonts w:hint="eastAsia" w:ascii="仿宋" w:hAnsi="仿宋" w:eastAsia="仿宋" w:cs="仿宋"/>
          <w:sz w:val="24"/>
          <w:szCs w:val="24"/>
        </w:rPr>
        <w:t>超声科</w:t>
      </w:r>
    </w:p>
    <w:p w14:paraId="2F5702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四、交货期：</w:t>
      </w:r>
      <w:r>
        <w:rPr>
          <w:rFonts w:hint="eastAsia" w:ascii="仿宋" w:hAnsi="仿宋" w:eastAsia="仿宋" w:cs="仿宋"/>
          <w:sz w:val="24"/>
          <w:szCs w:val="24"/>
        </w:rPr>
        <w:t>45天</w:t>
      </w:r>
    </w:p>
    <w:p w14:paraId="78EAF5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五、设备用途及说明：</w:t>
      </w:r>
      <w:r>
        <w:rPr>
          <w:rFonts w:hint="eastAsia" w:ascii="仿宋" w:hAnsi="仿宋" w:eastAsia="仿宋" w:cs="仿宋"/>
          <w:b w:val="0"/>
          <w:bCs w:val="0"/>
          <w:sz w:val="24"/>
          <w:szCs w:val="24"/>
        </w:rPr>
        <w:t>用于成人心脏、血管（外周、腹部、脑血管）、腹部、浅表等临床应用;并具备二维和实时三维经胸及经食道超声心动图成像技术，以超声临床诊断应用和相关科研为主。</w:t>
      </w:r>
    </w:p>
    <w:p w14:paraId="12F234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六、主要技术规格及系统概述</w:t>
      </w:r>
    </w:p>
    <w:p w14:paraId="2AF797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主机成像系统</w:t>
      </w:r>
    </w:p>
    <w:p w14:paraId="689E248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1.1超高数字化通道，支持集束精准发射及海量并行处理同步进行多个声束的形成、采集和处理</w:t>
      </w:r>
    </w:p>
    <w:p w14:paraId="3E0D4D8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1.2支持OLED显示器≥21",无闪烁，可上下左右旋转、倾斜</w:t>
      </w:r>
    </w:p>
    <w:p w14:paraId="018E572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1.3操作面板具备液晶触摸屏≥12",可通过手指滑动触摸屏进行翻页，直接点击触摸屏即可选择需要调节的参数，操作面板可上下左右进行高度调整及旋转</w:t>
      </w:r>
    </w:p>
    <w:p w14:paraId="1E27F39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1.4触摸屏可以与主显示器实时同步显示动态图像，并可在触摸屏上进行容积图像的旋转、放大等调整</w:t>
      </w:r>
    </w:p>
    <w:p w14:paraId="443D28F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1.5示器可全屏显示扫查图像，包括二维、彩色、频谱和实时三维等，并可显示或隐藏屏幕菜单</w:t>
      </w:r>
    </w:p>
    <w:p w14:paraId="64AAD1F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1.6通用成像探头接口≥4个，均为微型无针式接口，4个接口通用，可同时支持矩阵实时三维探头并可任意互换</w:t>
      </w:r>
    </w:p>
    <w:p w14:paraId="4B9760D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1.7数字化二维灰阶成像及M型显像单元</w:t>
      </w:r>
    </w:p>
    <w:p w14:paraId="7B4422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M型及解剖M型技术</w:t>
      </w:r>
    </w:p>
    <w:p w14:paraId="68ADF54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1.9脉冲反向谐波成像技术</w:t>
      </w:r>
    </w:p>
    <w:p w14:paraId="47DEC29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1.10彩色多普勒成像技术</w:t>
      </w:r>
    </w:p>
    <w:p w14:paraId="6344382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1.11彩色多普勒能量图技术</w:t>
      </w:r>
    </w:p>
    <w:p w14:paraId="1F0903C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1.12微视血流成像技术，可捕捉超微细血流及超低速血流信号，并可进行血流速度测量</w:t>
      </w:r>
    </w:p>
    <w:p w14:paraId="341E020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1.13数字化频谱多普勒显示和分析单元(包括PW、CW和High PRF)</w:t>
      </w:r>
    </w:p>
    <w:p w14:paraId="0B18BB6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1.14动态范围≥280 dB</w:t>
      </w:r>
    </w:p>
    <w:p w14:paraId="1323EC7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1.15实时双同步/三同步功能</w:t>
      </w:r>
    </w:p>
    <w:p w14:paraId="59AB596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1.16内置DICOM 3.0 标准输出接口</w:t>
      </w:r>
    </w:p>
    <w:p w14:paraId="78184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二维灰阶成像单元</w:t>
      </w:r>
    </w:p>
    <w:p w14:paraId="4208D1B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2.1具备自适应核磁像素优化技术，可增强组织边界，抑制斑点噪声，可用于多种模式（2D、3D）,多级可调（≥5级），支持所有探头</w:t>
      </w:r>
    </w:p>
    <w:p w14:paraId="622FF78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rPr>
        <w:t>2.2高级心肌增强功能，使用自适应算法抑制组织杂波，减少噪声及超声伪像。增加心肌和其他心脏结构信号，可根据组织和器械单独选择优化模式</w:t>
      </w:r>
    </w:p>
    <w:p w14:paraId="2DC4E77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2.3实时空间复合成像技术，同时作用于发射和接收多角度声束</w:t>
      </w:r>
    </w:p>
    <w:p w14:paraId="52718D1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2.4线阵探头具备扩展成像技术，可与空间复合成像，斑点噪声抑制技术联合使用</w:t>
      </w:r>
    </w:p>
    <w:p w14:paraId="3291CDB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2.5一键优化图像，可实时优化二维增益、TGC曲线等成像参数</w:t>
      </w:r>
    </w:p>
    <w:p w14:paraId="460D03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2.6自动实时持续增益补偿 </w:t>
      </w:r>
    </w:p>
    <w:p w14:paraId="3FAD503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2.7侧向增益补偿技术，可支持相控阵探头、矩阵实时三维探头，≥8段，且可视可调</w:t>
      </w:r>
    </w:p>
    <w:p w14:paraId="2DCBC0F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2.8具备双幅对比显示，可自动识别收缩期及舒张期，便捷Simpson测量</w:t>
      </w:r>
    </w:p>
    <w:p w14:paraId="04070D0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2.9分辨率和帧频可视可调，且支持凸阵、线阵、相控阵、矩阵实时三维</w:t>
      </w:r>
      <w:r>
        <w:rPr>
          <w:rFonts w:hint="eastAsia" w:ascii="仿宋" w:hAnsi="仿宋" w:eastAsia="仿宋" w:cs="仿宋"/>
          <w:sz w:val="24"/>
          <w:szCs w:val="24"/>
          <w:lang w:val="en-US" w:eastAsia="zh-CN"/>
        </w:rPr>
        <w:t>等</w:t>
      </w:r>
      <w:r>
        <w:rPr>
          <w:rFonts w:hint="eastAsia" w:ascii="仿宋" w:hAnsi="仿宋" w:eastAsia="仿宋" w:cs="仿宋"/>
          <w:sz w:val="24"/>
          <w:szCs w:val="24"/>
        </w:rPr>
        <w:t>探头</w:t>
      </w:r>
    </w:p>
    <w:p w14:paraId="02D7F23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2.10超宽视野全景成像技术</w:t>
      </w:r>
    </w:p>
    <w:p w14:paraId="37D32AC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2.11具备专业心超工作者定制界面，支持2D、3D功能选件位置个性化选择</w:t>
      </w:r>
    </w:p>
    <w:p w14:paraId="3A624B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彩色多普勒血流成像单元</w:t>
      </w:r>
    </w:p>
    <w:p w14:paraId="35AE413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3.1具有二维彩色模式、实时三维彩色模式、能量图模式、微视血流成像模式、彩色M型模式、组织多普勒模式等多种成像模式</w:t>
      </w:r>
    </w:p>
    <w:p w14:paraId="16B4E6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3.2自适应超宽频带彩色多普勒成像技术</w:t>
      </w:r>
    </w:p>
    <w:p w14:paraId="2CC5146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3.3彩色实时同屏双幅对比显像</w:t>
      </w:r>
    </w:p>
    <w:p w14:paraId="41F91B4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3.4具备专业冠脉血流成像模式，可支持所有心脏成像探头（包括成人心脏相控阵探头、心脏矩阵实时三维探头）</w:t>
      </w:r>
    </w:p>
    <w:p w14:paraId="2B43793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3.5彩色增益可独立调节</w:t>
      </w:r>
    </w:p>
    <w:p w14:paraId="3B8F6F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频谱多普勒成像单元</w:t>
      </w:r>
    </w:p>
    <w:p w14:paraId="10B7E0F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4.1提供PW、CW、High PRF模式，高性能三同步成像</w:t>
      </w:r>
    </w:p>
    <w:p w14:paraId="584BCDA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4.2实时自动多普勒测量分析，可提供多参数选择</w:t>
      </w:r>
    </w:p>
    <w:p w14:paraId="14E3C5F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4.3一键自动优化多普勒频谱，自动调整基线及量程等参数</w:t>
      </w:r>
    </w:p>
    <w:p w14:paraId="623AA1A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4.4频谱自动分析系统：包括实时自动包络、手动包络等；自动计算各血流动力学参数，参数可根据客户需要灵活进行选择</w:t>
      </w:r>
    </w:p>
    <w:p w14:paraId="0E92F19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4.5实时任意多平面模式下支持PW和CW</w:t>
      </w:r>
    </w:p>
    <w:p w14:paraId="3DACE7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组织多普勒成像单元</w:t>
      </w:r>
    </w:p>
    <w:p w14:paraId="438D1E4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5.1具备高帧频彩色和脉冲波组织多普勒成像</w:t>
      </w:r>
    </w:p>
    <w:p w14:paraId="318735F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5.2二维、速度曲线同屏显示</w:t>
      </w:r>
    </w:p>
    <w:p w14:paraId="17A0280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5.3提供专业TDI测量软件包，可进行组织速度、位移、应变、应变率等进行整体和节段定量分析</w:t>
      </w:r>
    </w:p>
    <w:p w14:paraId="1E79C16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5.4提供基于组织多普勒的定量分析，可同时显示</w:t>
      </w:r>
      <w:r>
        <w:rPr>
          <w:rFonts w:hint="eastAsia" w:ascii="仿宋" w:hAnsi="仿宋" w:eastAsia="仿宋" w:cs="仿宋"/>
          <w:sz w:val="24"/>
          <w:szCs w:val="24"/>
          <w:lang w:val="en-US" w:eastAsia="zh-CN"/>
        </w:rPr>
        <w:t>≥</w:t>
      </w:r>
      <w:r>
        <w:rPr>
          <w:rFonts w:hint="eastAsia" w:ascii="仿宋" w:hAnsi="仿宋" w:eastAsia="仿宋" w:cs="仿宋"/>
          <w:sz w:val="24"/>
          <w:szCs w:val="24"/>
        </w:rPr>
        <w:t>32个亚节段的心肌速度曲线、位移曲线、应变及应变率曲线，可用于整体及节段功能评价</w:t>
      </w:r>
    </w:p>
    <w:p w14:paraId="304A60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组织谐波成像单元</w:t>
      </w:r>
    </w:p>
    <w:p w14:paraId="218C314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6.1具备脉冲反相谐波技术</w:t>
      </w:r>
    </w:p>
    <w:p w14:paraId="779447A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6.2可显示谐波频率和基波频率</w:t>
      </w:r>
    </w:p>
    <w:p w14:paraId="417E5F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超声造影成像单元</w:t>
      </w:r>
    </w:p>
    <w:p w14:paraId="72E89F4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7.1造影剂成像单元,包含左心腔造影LVO、Low MI低机械指数造影和Flash爆破造影成像</w:t>
      </w:r>
    </w:p>
    <w:p w14:paraId="6A3F451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7.2支持负荷超声成像下的心肌灌注造影</w:t>
      </w:r>
    </w:p>
    <w:p w14:paraId="343B756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7.3具有心腔和心肌造影成像</w:t>
      </w:r>
    </w:p>
    <w:p w14:paraId="53F6066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7.4支持实时相交互两个平面同屏同时相显示造影成像技术</w:t>
      </w:r>
    </w:p>
    <w:p w14:paraId="67D0D8D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7.5支持矩阵实时三维造影成像技术</w:t>
      </w:r>
    </w:p>
    <w:p w14:paraId="1D3DAD7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7.6具备造影定量分析软件，可提供≥6种参数及动态曲线；且造影连续采集时间≥6分钟</w:t>
      </w:r>
    </w:p>
    <w:p w14:paraId="1CD372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负荷超声成像单元</w:t>
      </w:r>
    </w:p>
    <w:p w14:paraId="77C25BE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8.1内置专业负荷超声模板</w:t>
      </w:r>
    </w:p>
    <w:p w14:paraId="66AFEA4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8.2可提供负荷超声斑点追踪定量分析</w:t>
      </w:r>
    </w:p>
    <w:p w14:paraId="1E37CCC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8.3智能旋转角度可植入负荷超声模板中</w:t>
      </w:r>
    </w:p>
    <w:p w14:paraId="5925F1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心脏实时三维成像单元</w:t>
      </w:r>
    </w:p>
    <w:p w14:paraId="3B44AC0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9.1探头和功能</w:t>
      </w:r>
    </w:p>
    <w:p w14:paraId="7A8617C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9.1.1支持矩阵实时三维探头，结合微电子技术≥2000个振元同时发射声束，与主机技术相结合，提供实时三维显像。</w:t>
      </w:r>
    </w:p>
    <w:p w14:paraId="701BF99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2</w:t>
      </w:r>
      <w:r>
        <w:rPr>
          <w:rFonts w:hint="eastAsia" w:ascii="仿宋" w:hAnsi="仿宋" w:eastAsia="仿宋" w:cs="仿宋"/>
          <w:sz w:val="24"/>
          <w:szCs w:val="24"/>
        </w:rPr>
        <w:t>支持三维成像直接测量功能，可测量距离、面积等</w:t>
      </w:r>
    </w:p>
    <w:p w14:paraId="60289E9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9.2实时智能旋转成像</w:t>
      </w:r>
    </w:p>
    <w:p w14:paraId="6B7E7A9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9.2.1矩阵实时三维探头可在不移动探头情况下可实现0－360度任意平面显像</w:t>
      </w:r>
    </w:p>
    <w:p w14:paraId="64F95CB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9.2.2无需转动探头，可一键快速进行心尖四腔、心尖两腔、心尖三腔等常用心脏切面切换</w:t>
      </w:r>
    </w:p>
    <w:p w14:paraId="620C266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9.2.3支持二维、彩色、M型、TDI、负荷、心腔造影、心肌造影等多种模式下应用</w:t>
      </w:r>
    </w:p>
    <w:p w14:paraId="4D5B834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9.3实时任意多平面成像</w:t>
      </w:r>
    </w:p>
    <w:p w14:paraId="0725374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9.3.1同屏显示任意相交互的两幅图像，支持横向、旋转和仰角转向</w:t>
      </w:r>
    </w:p>
    <w:p w14:paraId="18C3E50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9.3.2支持二维、彩色、负荷、心腔造影、心肌造影等多种模式下应用</w:t>
      </w:r>
    </w:p>
    <w:p w14:paraId="11B1CFA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9.3.3实时任意多平面成像支持自动心脏功能定量分析</w:t>
      </w:r>
    </w:p>
    <w:p w14:paraId="2D6DB33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9.4实时三维成像模式</w:t>
      </w:r>
    </w:p>
    <w:p w14:paraId="53DF400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9.4.1实时三维灰阶成像和实时三维血流成像</w:t>
      </w:r>
    </w:p>
    <w:p w14:paraId="1273132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9.4.2实时三维全容积成像，且可以独立调节分辨率和帧频</w:t>
      </w:r>
    </w:p>
    <w:p w14:paraId="6CEB587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9.4.3实时三维缩放成像，专用成像预设模式</w:t>
      </w:r>
    </w:p>
    <w:p w14:paraId="39B705C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9.4.4实时三维高帧频成像</w:t>
      </w:r>
    </w:p>
    <w:p w14:paraId="6D106E6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9.4.5实时三维造影成像</w:t>
      </w:r>
    </w:p>
    <w:p w14:paraId="6AF9D7B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9.4.6光源心腔镜成像，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w:t>
      </w:r>
    </w:p>
    <w:p w14:paraId="657746B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9.4.7多维心腔镜成像，三维纵向分辨突出显示心脏各种结构</w:t>
      </w:r>
    </w:p>
    <w:p w14:paraId="282FD8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9.4.8透视心腔镜成像，全新容积建模和算法，可显示心脏结构铸型，容积图像透明度可根据需求更改，心脏结构形态、空间关系更清晰，帮助更直观理解心脏形态学，支持深度光源成像</w:t>
      </w:r>
    </w:p>
    <w:p w14:paraId="0CC4CD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9.4.9彩色心腔镜成像，彩色血流和透视模式联合使用，带有阴影的光源产生更逼真的彩色多普勒渲染，帮助更简易评估实时三维血流空间状态，支持深度光源成像</w:t>
      </w:r>
    </w:p>
    <w:p w14:paraId="3F333ED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9.4.10实时双容积视野成像，支持内面观和对面观，可一键同时显示同一心脏容积图像不同观察方向两个容积切面，支持实时和冻结状态下的经胸和经食管实时三维图像显示</w:t>
      </w:r>
    </w:p>
    <w:p w14:paraId="777035B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9.4.11实时三维MPR显示支持任意平面调整</w:t>
      </w:r>
    </w:p>
    <w:p w14:paraId="1B25250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9.4.12</w:t>
      </w:r>
      <w:r>
        <w:rPr>
          <w:rFonts w:hint="eastAsia" w:ascii="仿宋" w:hAnsi="仿宋" w:eastAsia="仿宋" w:cs="仿宋"/>
          <w:sz w:val="24"/>
          <w:szCs w:val="24"/>
        </w:rPr>
        <w:tab/>
      </w:r>
      <w:r>
        <w:rPr>
          <w:rFonts w:hint="eastAsia" w:ascii="仿宋" w:hAnsi="仿宋" w:eastAsia="仿宋" w:cs="仿宋"/>
          <w:sz w:val="24"/>
          <w:szCs w:val="24"/>
        </w:rPr>
        <w:t>实时三维智能切割技术，可以从多个方向观察感兴趣区</w:t>
      </w:r>
    </w:p>
    <w:p w14:paraId="3D32FCC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9.4.13</w:t>
      </w:r>
      <w:r>
        <w:rPr>
          <w:rFonts w:hint="eastAsia" w:ascii="仿宋" w:hAnsi="仿宋" w:eastAsia="仿宋" w:cs="仿宋"/>
          <w:sz w:val="24"/>
          <w:szCs w:val="24"/>
        </w:rPr>
        <w:tab/>
      </w:r>
      <w:r>
        <w:rPr>
          <w:rFonts w:hint="eastAsia" w:ascii="仿宋" w:hAnsi="仿宋" w:eastAsia="仿宋" w:cs="仿宋"/>
          <w:sz w:val="24"/>
          <w:szCs w:val="24"/>
        </w:rPr>
        <w:t>实时三维两点获取感兴趣区容积图像，可从任意方向、角度两点切割，快速获取所需容积图像</w:t>
      </w:r>
    </w:p>
    <w:p w14:paraId="0438B3E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9.4.14</w:t>
      </w:r>
      <w:r>
        <w:rPr>
          <w:rFonts w:hint="eastAsia" w:ascii="仿宋" w:hAnsi="仿宋" w:eastAsia="仿宋" w:cs="仿宋"/>
          <w:sz w:val="24"/>
          <w:szCs w:val="24"/>
        </w:rPr>
        <w:tab/>
      </w:r>
      <w:r>
        <w:rPr>
          <w:rFonts w:hint="eastAsia" w:ascii="仿宋" w:hAnsi="仿宋" w:eastAsia="仿宋" w:cs="仿宋"/>
          <w:sz w:val="24"/>
          <w:szCs w:val="24"/>
        </w:rPr>
        <w:t>实时三维断层成像，实时或冻结状态下，容积图像一键进入多切面模式，切片方向灵活调整，支持造影，负荷等多种模式应用，可同步显示≥12个切面</w:t>
      </w:r>
    </w:p>
    <w:p w14:paraId="16BE39E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9.4.15实时三维定位评估技术，三维结构指导二维切面快速获取，快速获取所需解剖结构，精准测量感兴趣区大小</w:t>
      </w:r>
    </w:p>
    <w:p w14:paraId="5B4E61F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9.4.16支持触摸屏同步显示超声显示器三维图像，并可在触摸屏上使用手指移动随意多维度调整光源位置、容积图像缩放和旋转等</w:t>
      </w:r>
    </w:p>
    <w:p w14:paraId="49E1BF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测量及定量分析</w:t>
      </w:r>
    </w:p>
    <w:p w14:paraId="2D9084E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10.1常规测量和分析（B型、M型、频谱多普勒、彩色多普勒</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14:paraId="5EC901F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10.1.1一般常规测量（直径、面积、体积、狭窄率、压差等）</w:t>
      </w:r>
    </w:p>
    <w:p w14:paraId="4B1A742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10.1.2</w:t>
      </w:r>
      <w:r>
        <w:rPr>
          <w:rFonts w:hint="eastAsia" w:ascii="仿宋" w:hAnsi="仿宋" w:eastAsia="仿宋" w:cs="仿宋"/>
          <w:sz w:val="24"/>
          <w:szCs w:val="24"/>
        </w:rPr>
        <w:tab/>
      </w:r>
      <w:r>
        <w:rPr>
          <w:rFonts w:hint="eastAsia" w:ascii="仿宋" w:hAnsi="仿宋" w:eastAsia="仿宋" w:cs="仿宋"/>
          <w:sz w:val="24"/>
          <w:szCs w:val="24"/>
        </w:rPr>
        <w:t>多普勒血流测量及分析软件包</w:t>
      </w:r>
    </w:p>
    <w:p w14:paraId="3B8C773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10.1.3</w:t>
      </w:r>
      <w:r>
        <w:rPr>
          <w:rFonts w:hint="eastAsia" w:ascii="仿宋" w:hAnsi="仿宋" w:eastAsia="仿宋" w:cs="仿宋"/>
          <w:sz w:val="24"/>
          <w:szCs w:val="24"/>
        </w:rPr>
        <w:tab/>
      </w:r>
      <w:r>
        <w:rPr>
          <w:rFonts w:hint="eastAsia" w:ascii="仿宋" w:hAnsi="仿宋" w:eastAsia="仿宋" w:cs="仿宋"/>
          <w:sz w:val="24"/>
          <w:szCs w:val="24"/>
        </w:rPr>
        <w:t>专业心脏功能测量与分析，可支持Simpson 三点法快速描记心内膜</w:t>
      </w:r>
    </w:p>
    <w:p w14:paraId="4E60B2E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10.1.4</w:t>
      </w:r>
      <w:r>
        <w:rPr>
          <w:rFonts w:hint="eastAsia" w:ascii="仿宋" w:hAnsi="仿宋" w:eastAsia="仿宋" w:cs="仿宋"/>
          <w:sz w:val="24"/>
          <w:szCs w:val="24"/>
        </w:rPr>
        <w:tab/>
      </w:r>
      <w:r>
        <w:rPr>
          <w:rFonts w:hint="eastAsia" w:ascii="仿宋" w:hAnsi="仿宋" w:eastAsia="仿宋" w:cs="仿宋"/>
          <w:sz w:val="24"/>
          <w:szCs w:val="24"/>
        </w:rPr>
        <w:t>自动、实时多普勒频谱波形分析，在实时或者冻结模式下都可以使用</w:t>
      </w:r>
    </w:p>
    <w:p w14:paraId="4F233DF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10.2感兴趣区定量</w:t>
      </w:r>
    </w:p>
    <w:p w14:paraId="5DB0E43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10.2.1</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10 个用户自定义的区域</w:t>
      </w:r>
    </w:p>
    <w:p w14:paraId="47C0816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10.2.2</w:t>
      </w:r>
      <w:r>
        <w:rPr>
          <w:rFonts w:hint="eastAsia" w:ascii="仿宋" w:hAnsi="仿宋" w:eastAsia="仿宋" w:cs="仿宋"/>
          <w:sz w:val="24"/>
          <w:szCs w:val="24"/>
        </w:rPr>
        <w:tab/>
      </w:r>
      <w:r>
        <w:rPr>
          <w:rFonts w:hint="eastAsia" w:ascii="仿宋" w:hAnsi="仿宋" w:eastAsia="仿宋" w:cs="仿宋"/>
          <w:sz w:val="24"/>
          <w:szCs w:val="24"/>
        </w:rPr>
        <w:t>自动标记 ECG 触发，以实现特定心动周期时相的定量分析</w:t>
      </w:r>
    </w:p>
    <w:p w14:paraId="4782FD4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10.2.3</w:t>
      </w:r>
      <w:r>
        <w:rPr>
          <w:rFonts w:hint="eastAsia" w:ascii="仿宋" w:hAnsi="仿宋" w:eastAsia="仿宋" w:cs="仿宋"/>
          <w:sz w:val="24"/>
          <w:szCs w:val="24"/>
        </w:rPr>
        <w:tab/>
      </w:r>
      <w:r>
        <w:rPr>
          <w:rFonts w:hint="eastAsia" w:ascii="仿宋" w:hAnsi="仿宋" w:eastAsia="仿宋" w:cs="仿宋"/>
          <w:sz w:val="24"/>
          <w:szCs w:val="24"/>
        </w:rPr>
        <w:t>生成时间－密度曲线，支持多种曲线拟合模式</w:t>
      </w:r>
    </w:p>
    <w:p w14:paraId="3DE9C8D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10.3血管内中膜厚度自动测量: </w:t>
      </w:r>
    </w:p>
    <w:p w14:paraId="0EBBA69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3.1</w:t>
      </w:r>
      <w:r>
        <w:rPr>
          <w:rFonts w:hint="eastAsia" w:ascii="仿宋" w:hAnsi="仿宋" w:eastAsia="仿宋" w:cs="仿宋"/>
          <w:sz w:val="24"/>
          <w:szCs w:val="24"/>
        </w:rPr>
        <w:tab/>
      </w:r>
      <w:r>
        <w:rPr>
          <w:rFonts w:hint="eastAsia" w:ascii="仿宋" w:hAnsi="仿宋" w:eastAsia="仿宋" w:cs="仿宋"/>
          <w:sz w:val="24"/>
          <w:szCs w:val="24"/>
        </w:rPr>
        <w:t>对感兴趣区域内自动测量，无需手动描计，计算结果为一段距离内的平均值，提高测量的可靠性和可重复性，并可根据血管内中膜厚度不同进行优化设置</w:t>
      </w:r>
    </w:p>
    <w:p w14:paraId="4969615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10.4心肌应变定量 </w:t>
      </w:r>
    </w:p>
    <w:p w14:paraId="606FC84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10.4.1</w:t>
      </w:r>
      <w:r>
        <w:rPr>
          <w:rFonts w:hint="eastAsia" w:ascii="仿宋" w:hAnsi="仿宋" w:eastAsia="仿宋" w:cs="仿宋"/>
          <w:sz w:val="24"/>
          <w:szCs w:val="24"/>
        </w:rPr>
        <w:tab/>
      </w:r>
      <w:r>
        <w:rPr>
          <w:rFonts w:hint="eastAsia" w:ascii="仿宋" w:hAnsi="仿宋" w:eastAsia="仿宋" w:cs="仿宋"/>
          <w:sz w:val="24"/>
          <w:szCs w:val="24"/>
        </w:rPr>
        <w:t>实时组织多普勒定量技术,可整体或分节段曲线显示，同时可显示≥32条节段曲线，方便同一时相任意节段数据对比分析</w:t>
      </w:r>
    </w:p>
    <w:p w14:paraId="435F6E2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10.4.2</w:t>
      </w:r>
      <w:r>
        <w:rPr>
          <w:rFonts w:hint="eastAsia" w:ascii="仿宋" w:hAnsi="仿宋" w:eastAsia="仿宋" w:cs="仿宋"/>
          <w:sz w:val="24"/>
          <w:szCs w:val="24"/>
        </w:rPr>
        <w:tab/>
      </w:r>
      <w:r>
        <w:rPr>
          <w:rFonts w:hint="eastAsia" w:ascii="仿宋" w:hAnsi="仿宋" w:eastAsia="仿宋" w:cs="仿宋"/>
          <w:sz w:val="24"/>
          <w:szCs w:val="24"/>
        </w:rPr>
        <w:t>可显示组织速度、位移、应变、应变率等多种参数曲线，并支持曲线测量对比分析</w:t>
      </w:r>
    </w:p>
    <w:p w14:paraId="5A72D2F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10.5</w:t>
      </w:r>
      <w:r>
        <w:rPr>
          <w:rFonts w:hint="eastAsia" w:ascii="仿宋" w:hAnsi="仿宋" w:eastAsia="仿宋" w:cs="仿宋"/>
          <w:sz w:val="24"/>
          <w:szCs w:val="24"/>
        </w:rPr>
        <w:tab/>
      </w:r>
      <w:r>
        <w:rPr>
          <w:rFonts w:hint="eastAsia" w:ascii="仿宋" w:hAnsi="仿宋" w:eastAsia="仿宋" w:cs="仿宋"/>
          <w:sz w:val="24"/>
          <w:szCs w:val="24"/>
        </w:rPr>
        <w:t>自动化二维心功能定量技术</w:t>
      </w:r>
    </w:p>
    <w:p w14:paraId="0F9CA1E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10.5.1</w:t>
      </w:r>
      <w:r>
        <w:rPr>
          <w:rFonts w:hint="eastAsia" w:ascii="仿宋" w:hAnsi="仿宋" w:eastAsia="仿宋" w:cs="仿宋"/>
          <w:sz w:val="24"/>
          <w:szCs w:val="24"/>
        </w:rPr>
        <w:tab/>
      </w:r>
      <w:r>
        <w:rPr>
          <w:rFonts w:hint="eastAsia" w:ascii="仿宋" w:hAnsi="仿宋" w:eastAsia="仿宋" w:cs="仿宋"/>
          <w:sz w:val="24"/>
          <w:szCs w:val="24"/>
        </w:rPr>
        <w:t>自动二维左心功能定量，依据选择的心脏切面自动描记感兴趣区，自动计算EF，ESV，EDV，最大体积，最小体积以及LVEF、PER、PRFR、AFF</w:t>
      </w:r>
    </w:p>
    <w:p w14:paraId="0688818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10.5.2</w:t>
      </w:r>
      <w:r>
        <w:rPr>
          <w:rFonts w:hint="eastAsia" w:ascii="仿宋" w:hAnsi="仿宋" w:eastAsia="仿宋" w:cs="仿宋"/>
          <w:sz w:val="24"/>
          <w:szCs w:val="24"/>
        </w:rPr>
        <w:tab/>
      </w:r>
      <w:r>
        <w:rPr>
          <w:rFonts w:hint="eastAsia" w:ascii="仿宋" w:hAnsi="仿宋" w:eastAsia="仿宋" w:cs="仿宋"/>
          <w:sz w:val="24"/>
          <w:szCs w:val="24"/>
        </w:rPr>
        <w:t>自动二维左房功能定量，专用左房定量分析功能，快速获取左房最大、最小容积、射血分数及容积曲线</w:t>
      </w:r>
    </w:p>
    <w:p w14:paraId="2876810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rPr>
        <w:t>10.5.3</w:t>
      </w:r>
      <w:r>
        <w:rPr>
          <w:rFonts w:hint="eastAsia" w:ascii="仿宋" w:hAnsi="仿宋" w:eastAsia="仿宋" w:cs="仿宋"/>
          <w:sz w:val="24"/>
          <w:szCs w:val="24"/>
        </w:rPr>
        <w:tab/>
      </w:r>
      <w:r>
        <w:rPr>
          <w:rFonts w:hint="eastAsia" w:ascii="仿宋" w:hAnsi="仿宋" w:eastAsia="仿宋" w:cs="仿宋"/>
          <w:sz w:val="24"/>
          <w:szCs w:val="24"/>
        </w:rPr>
        <w:t>自动组织瓣环位移功能可自动对二尖瓣环和三尖瓣瓣环运动进行可视化定量分析，快速评估心脏整体功能</w:t>
      </w:r>
    </w:p>
    <w:p w14:paraId="30FB18D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10.5.4</w:t>
      </w:r>
      <w:r>
        <w:rPr>
          <w:rFonts w:hint="eastAsia" w:ascii="仿宋" w:hAnsi="仿宋" w:eastAsia="仿宋" w:cs="仿宋"/>
          <w:sz w:val="24"/>
          <w:szCs w:val="24"/>
        </w:rPr>
        <w:tab/>
      </w:r>
      <w:r>
        <w:rPr>
          <w:rFonts w:hint="eastAsia" w:ascii="仿宋" w:hAnsi="仿宋" w:eastAsia="仿宋" w:cs="仿宋"/>
          <w:sz w:val="24"/>
          <w:szCs w:val="24"/>
        </w:rPr>
        <w:t>可使用回放或存储剪辑分析，可在机和脱机分析</w:t>
      </w:r>
    </w:p>
    <w:p w14:paraId="420E19E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10.6三维心功能定量 </w:t>
      </w:r>
    </w:p>
    <w:p w14:paraId="3EF04E3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10.6.1</w:t>
      </w:r>
      <w:r>
        <w:rPr>
          <w:rFonts w:hint="eastAsia" w:ascii="仿宋" w:hAnsi="仿宋" w:eastAsia="仿宋" w:cs="仿宋"/>
          <w:sz w:val="24"/>
          <w:szCs w:val="24"/>
        </w:rPr>
        <w:tab/>
      </w:r>
      <w:r>
        <w:rPr>
          <w:rFonts w:hint="eastAsia" w:ascii="仿宋" w:hAnsi="仿宋" w:eastAsia="仿宋" w:cs="仿宋"/>
          <w:sz w:val="24"/>
          <w:szCs w:val="24"/>
        </w:rPr>
        <w:t>自动确定收缩末期与舒张末期，快速计算LV舒张末期与收缩末期容积，左室射血分数，并可以独立显示四腔心、两腔心；并可以对MPR图像进行灰阶及伪彩设置，实时三维智能断层,可同步显示≥16个切面</w:t>
      </w:r>
    </w:p>
    <w:p w14:paraId="68A1BC3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10.7</w:t>
      </w:r>
      <w:r>
        <w:rPr>
          <w:rFonts w:hint="eastAsia" w:ascii="仿宋" w:hAnsi="仿宋" w:eastAsia="仿宋" w:cs="仿宋"/>
          <w:sz w:val="24"/>
          <w:szCs w:val="24"/>
        </w:rPr>
        <w:tab/>
      </w:r>
      <w:r>
        <w:rPr>
          <w:rFonts w:hint="eastAsia" w:ascii="仿宋" w:hAnsi="仿宋" w:eastAsia="仿宋" w:cs="仿宋"/>
          <w:sz w:val="24"/>
          <w:szCs w:val="24"/>
        </w:rPr>
        <w:t>三维自动右室定量</w:t>
      </w:r>
    </w:p>
    <w:p w14:paraId="50E13EC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10.7.1人工智能技术，自动建模及追踪分析，匹配不同心动周期右心室长轴和短轴视图</w:t>
      </w:r>
    </w:p>
    <w:p w14:paraId="2484DA2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10.7.2</w:t>
      </w:r>
      <w:r>
        <w:rPr>
          <w:rFonts w:hint="eastAsia" w:ascii="仿宋" w:hAnsi="仿宋" w:eastAsia="仿宋" w:cs="仿宋"/>
          <w:sz w:val="24"/>
          <w:szCs w:val="24"/>
        </w:rPr>
        <w:tab/>
      </w:r>
      <w:r>
        <w:rPr>
          <w:rFonts w:hint="eastAsia" w:ascii="仿宋" w:hAnsi="仿宋" w:eastAsia="仿宋" w:cs="仿宋"/>
          <w:sz w:val="24"/>
          <w:szCs w:val="24"/>
        </w:rPr>
        <w:t>自动获取右心室容积模型及容积曲线，计算多个右心室容积参数，包括右心室容积、容积指数、射血分数</w:t>
      </w:r>
    </w:p>
    <w:p w14:paraId="215466C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10.7.3</w:t>
      </w:r>
      <w:r>
        <w:rPr>
          <w:rFonts w:hint="eastAsia" w:ascii="仿宋" w:hAnsi="仿宋" w:eastAsia="仿宋" w:cs="仿宋"/>
          <w:sz w:val="24"/>
          <w:szCs w:val="24"/>
        </w:rPr>
        <w:tab/>
      </w:r>
      <w:r>
        <w:rPr>
          <w:rFonts w:hint="eastAsia" w:ascii="仿宋" w:hAnsi="仿宋" w:eastAsia="仿宋" w:cs="仿宋"/>
          <w:sz w:val="24"/>
          <w:szCs w:val="24"/>
        </w:rPr>
        <w:t>自动获取标准包含右心室的心尖四腔心切面并计算右心室二维定量参数，包括右心室长径及短径、TAPSE、FAC、间隔和游离壁纵向应变</w:t>
      </w:r>
    </w:p>
    <w:p w14:paraId="3CC962A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10.8三维自动二尖瓣定量</w:t>
      </w:r>
    </w:p>
    <w:p w14:paraId="0C7B699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10.8.1</w:t>
      </w:r>
      <w:r>
        <w:rPr>
          <w:rFonts w:hint="eastAsia" w:ascii="仿宋" w:hAnsi="仿宋" w:eastAsia="仿宋" w:cs="仿宋"/>
          <w:sz w:val="24"/>
          <w:szCs w:val="24"/>
        </w:rPr>
        <w:tab/>
      </w:r>
      <w:r>
        <w:rPr>
          <w:rFonts w:hint="eastAsia" w:ascii="仿宋" w:hAnsi="仿宋" w:eastAsia="仿宋" w:cs="仿宋"/>
          <w:sz w:val="24"/>
          <w:szCs w:val="24"/>
        </w:rPr>
        <w:t>人工智能技术，自动建模及追踪分析，匹配不同心动周期二尖瓣模型视图</w:t>
      </w:r>
    </w:p>
    <w:p w14:paraId="7C6BC39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10.8.2</w:t>
      </w:r>
      <w:r>
        <w:rPr>
          <w:rFonts w:hint="eastAsia" w:ascii="仿宋" w:hAnsi="仿宋" w:eastAsia="仿宋" w:cs="仿宋"/>
          <w:sz w:val="24"/>
          <w:szCs w:val="24"/>
        </w:rPr>
        <w:tab/>
      </w:r>
      <w:r>
        <w:rPr>
          <w:rFonts w:hint="eastAsia" w:ascii="仿宋" w:hAnsi="仿宋" w:eastAsia="仿宋" w:cs="仿宋"/>
          <w:sz w:val="24"/>
          <w:szCs w:val="24"/>
        </w:rPr>
        <w:t>自动获取二尖瓣三维模型、二尖瓣瓣叶及瓣环等多个参数，同时可获取对应参数的曲线</w:t>
      </w:r>
    </w:p>
    <w:p w14:paraId="0E2031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10.9</w:t>
      </w:r>
      <w:r>
        <w:rPr>
          <w:rFonts w:hint="eastAsia" w:ascii="仿宋" w:hAnsi="仿宋" w:eastAsia="仿宋" w:cs="仿宋"/>
          <w:sz w:val="24"/>
          <w:szCs w:val="24"/>
        </w:rPr>
        <w:tab/>
      </w:r>
      <w:r>
        <w:rPr>
          <w:rFonts w:hint="eastAsia" w:ascii="仿宋" w:hAnsi="仿宋" w:eastAsia="仿宋" w:cs="仿宋"/>
          <w:sz w:val="24"/>
          <w:szCs w:val="24"/>
        </w:rPr>
        <w:t>三维自动左心耳定量</w:t>
      </w:r>
    </w:p>
    <w:p w14:paraId="0D15EBE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10.9.1</w:t>
      </w:r>
      <w:r>
        <w:rPr>
          <w:rFonts w:hint="eastAsia" w:ascii="仿宋" w:hAnsi="仿宋" w:eastAsia="仿宋" w:cs="仿宋"/>
          <w:sz w:val="24"/>
          <w:szCs w:val="24"/>
        </w:rPr>
        <w:tab/>
      </w:r>
      <w:r>
        <w:rPr>
          <w:rFonts w:hint="eastAsia" w:ascii="仿宋" w:hAnsi="仿宋" w:eastAsia="仿宋" w:cs="仿宋"/>
          <w:sz w:val="24"/>
          <w:szCs w:val="24"/>
        </w:rPr>
        <w:t>人工智能技术，专用左心耳三维定量工具，可快速识别左心耳结构</w:t>
      </w:r>
    </w:p>
    <w:p w14:paraId="5D786FD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10.9.2</w:t>
      </w:r>
      <w:r>
        <w:rPr>
          <w:rFonts w:hint="eastAsia" w:ascii="仿宋" w:hAnsi="仿宋" w:eastAsia="仿宋" w:cs="仿宋"/>
          <w:sz w:val="24"/>
          <w:szCs w:val="24"/>
        </w:rPr>
        <w:tab/>
      </w:r>
      <w:r>
        <w:rPr>
          <w:rFonts w:hint="eastAsia" w:ascii="仿宋" w:hAnsi="仿宋" w:eastAsia="仿宋" w:cs="仿宋"/>
          <w:sz w:val="24"/>
          <w:szCs w:val="24"/>
        </w:rPr>
        <w:t>自动追踪、描记、获取左心耳开口相关参数</w:t>
      </w:r>
    </w:p>
    <w:p w14:paraId="4C99B5F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10.10图像存储与（电影）回放重现及病案管理单元</w:t>
      </w:r>
    </w:p>
    <w:p w14:paraId="747049A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.1数字化捕捉、回放、存储动、静态图像，实时图像传输，可进行参数编程调节</w:t>
      </w:r>
    </w:p>
    <w:p w14:paraId="2BC73CB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.2主机内置硬盘≥1T，可扩展的存储装置：大容量移动硬盘、DVD-RW、DVR等</w:t>
      </w:r>
    </w:p>
    <w:p w14:paraId="7446BA9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.3具备主机硬盘图像数据存储</w:t>
      </w:r>
    </w:p>
    <w:p w14:paraId="5FCA68D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.4病案管理单元包括病人资料、报告、图像等的存储、修改、检索和打印等</w:t>
      </w:r>
    </w:p>
    <w:p w14:paraId="7B4FA028">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.5可根据检查要求对工作站参数（存储、压缩、回放）进行编程调节</w:t>
      </w:r>
    </w:p>
    <w:p w14:paraId="7F4F6E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10.11参考信号：ECG心电信号</w:t>
      </w:r>
    </w:p>
    <w:p w14:paraId="07BF359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10.12输入和输出信号</w:t>
      </w:r>
    </w:p>
    <w:p w14:paraId="5358493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10.12.1输入：DICOM DATA</w:t>
      </w:r>
    </w:p>
    <w:p w14:paraId="2B35D59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10.12.2输出：DP高清数字化输出</w:t>
      </w:r>
    </w:p>
    <w:p w14:paraId="3647E4E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10.13图像管理与记录装置</w:t>
      </w:r>
    </w:p>
    <w:p w14:paraId="556CA3B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10.13.1内置图像管理系统</w:t>
      </w:r>
    </w:p>
    <w:p w14:paraId="44EC17E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10.13.2支持DVD／USB图像导出存储</w:t>
      </w:r>
    </w:p>
    <w:p w14:paraId="320E69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10.14连通性：医学数字图像和通信协议，DICOM 3.0 版接口部件</w:t>
      </w:r>
    </w:p>
    <w:p w14:paraId="5559E3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系统通用功能</w:t>
      </w:r>
    </w:p>
    <w:p w14:paraId="4651E3A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.1 OLED显示器≥21",无闪烁，可上下左右旋转、倾斜</w:t>
      </w:r>
    </w:p>
    <w:p w14:paraId="5429ACA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.2操作面板具备液晶触摸屏≥12",可通过手指滑动触摸屏进行翻页，直接点击触摸屏即可选择需要调节的参数，操作面板可上下左右进行高度调整及旋转</w:t>
      </w:r>
    </w:p>
    <w:p w14:paraId="5EBA0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.3标准成像探头接口≥4个，无针式微型接口，均可通用</w:t>
      </w:r>
    </w:p>
    <w:p w14:paraId="3467656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.4功能分区控制面板，可升降、旋转、前后左右平移, 电子锁定</w:t>
      </w:r>
    </w:p>
    <w:p w14:paraId="660DA64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11.5</w:t>
      </w:r>
      <w:r>
        <w:rPr>
          <w:rFonts w:hint="eastAsia" w:ascii="仿宋" w:hAnsi="仿宋" w:eastAsia="仿宋" w:cs="仿宋"/>
          <w:sz w:val="24"/>
          <w:szCs w:val="24"/>
        </w:rPr>
        <w:t>探头规格：探头数量≥6个，单晶体探头≥4个</w:t>
      </w:r>
    </w:p>
    <w:p w14:paraId="3472D3F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11.6</w:t>
      </w:r>
      <w:r>
        <w:rPr>
          <w:rFonts w:hint="eastAsia" w:ascii="仿宋" w:hAnsi="仿宋" w:eastAsia="仿宋" w:cs="仿宋"/>
          <w:sz w:val="24"/>
          <w:szCs w:val="24"/>
        </w:rPr>
        <w:t>腹部凸阵探头：成像频率1-5MHz</w:t>
      </w:r>
    </w:p>
    <w:p w14:paraId="35DE980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成人心脏探头：成像频率1-5MHz</w:t>
      </w:r>
    </w:p>
    <w:p w14:paraId="7AC4817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成人心脏矩阵实时三维探头：成像频率1-5MHz</w:t>
      </w:r>
    </w:p>
    <w:p w14:paraId="0F5598B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成人经食管矩阵实时三维探头：成像频率2-8MHz</w:t>
      </w:r>
    </w:p>
    <w:p w14:paraId="4FC70B5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高频线阵探头：成像频率4-18MHz</w:t>
      </w:r>
    </w:p>
    <w:p w14:paraId="0DA65A2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线阵探头：成像频率3-12MHz</w:t>
      </w:r>
    </w:p>
    <w:p w14:paraId="09ABA51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11.7</w:t>
      </w:r>
      <w:r>
        <w:rPr>
          <w:rFonts w:hint="eastAsia" w:ascii="仿宋" w:hAnsi="仿宋" w:eastAsia="仿宋" w:cs="仿宋"/>
          <w:sz w:val="24"/>
          <w:szCs w:val="24"/>
        </w:rPr>
        <w:t>线阵,全视野，4cm深度时，帧速率≥ 63 帧/秒</w:t>
      </w:r>
    </w:p>
    <w:p w14:paraId="45A3CAC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相控阵,全视野，18cm深度时，帧速率≥ 110 帧/秒</w:t>
      </w:r>
    </w:p>
    <w:p w14:paraId="62EB6C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11.8</w:t>
      </w:r>
      <w:r>
        <w:rPr>
          <w:rFonts w:hint="eastAsia" w:ascii="仿宋" w:hAnsi="仿宋" w:eastAsia="仿宋" w:cs="仿宋"/>
          <w:sz w:val="24"/>
          <w:szCs w:val="24"/>
        </w:rPr>
        <w:t>声束聚焦:发射接收动态连续聚焦</w:t>
      </w:r>
    </w:p>
    <w:p w14:paraId="7212309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11.9</w:t>
      </w:r>
      <w:r>
        <w:rPr>
          <w:rFonts w:hint="eastAsia" w:ascii="仿宋" w:hAnsi="仿宋" w:eastAsia="仿宋" w:cs="仿宋"/>
          <w:sz w:val="24"/>
          <w:szCs w:val="24"/>
        </w:rPr>
        <w:t>回放重现及存储:存储时间≥6分钟</w:t>
      </w:r>
    </w:p>
    <w:p w14:paraId="72EB74E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11.10</w:t>
      </w:r>
      <w:r>
        <w:rPr>
          <w:rFonts w:hint="eastAsia" w:ascii="仿宋" w:hAnsi="仿宋" w:eastAsia="仿宋" w:cs="仿宋"/>
          <w:sz w:val="24"/>
          <w:szCs w:val="24"/>
        </w:rPr>
        <w:t>预设条件:针对不同的检查脏器,预置最佳化图像的检查条件,减少操作时的调节,及常用所需的外部调节及组合调节</w:t>
      </w:r>
    </w:p>
    <w:p w14:paraId="241DF5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11.11</w:t>
      </w:r>
      <w:r>
        <w:rPr>
          <w:rFonts w:hint="eastAsia" w:ascii="仿宋" w:hAnsi="仿宋" w:eastAsia="仿宋" w:cs="仿宋"/>
          <w:sz w:val="24"/>
          <w:szCs w:val="24"/>
        </w:rPr>
        <w:t>增益调节:2D/Color/Doppler可独立调节, TGC分段≥8， 支持LGC分段调节</w:t>
      </w:r>
    </w:p>
    <w:p w14:paraId="5939DD3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三维成像主要参数</w:t>
      </w:r>
    </w:p>
    <w:p w14:paraId="7908DB6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.1实时三维矩阵探头，提供全面的单探头解决方案，包括二维及三维结构和功能</w:t>
      </w:r>
    </w:p>
    <w:p w14:paraId="24E243A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具备2D、M型、彩色、PW、CW、TDI、造影、负荷等多种应用模式</w:t>
      </w:r>
    </w:p>
    <w:p w14:paraId="0CC17C2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具备实时智能旋转成像，通过智能电子偏转声束发射技术，获取感兴趣扫描切面</w:t>
      </w:r>
    </w:p>
    <w:p w14:paraId="5BA3189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具备实时任意多平面成像，同屏显示任意相交互的两幅图像</w:t>
      </w:r>
    </w:p>
    <w:p w14:paraId="2FB093D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支持实时三维、全容积成像、实时三维彩色、实时三维缩放、光源心腔镜、多维心腔镜、透视心腔镜、彩色心腔镜、深度光源、智能切割、三维造影及负荷超声</w:t>
      </w:r>
    </w:p>
    <w:p w14:paraId="1239A0B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具备单心动周期、多心动周期成像模式</w:t>
      </w:r>
    </w:p>
    <w:p w14:paraId="01C9348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具备高帧频成像模式</w:t>
      </w:r>
    </w:p>
    <w:p w14:paraId="566FEBE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实时三维成像容积角度≥100*100度</w:t>
      </w:r>
    </w:p>
    <w:p w14:paraId="16EDD67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具备光源和多维心腔镜成像模式</w:t>
      </w:r>
    </w:p>
    <w:p w14:paraId="68133CF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具备心脏灰阶三维透视成像</w:t>
      </w:r>
    </w:p>
    <w:p w14:paraId="3503E0A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具备心脏彩色三维透视成像</w:t>
      </w:r>
    </w:p>
    <w:p w14:paraId="7DF396E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具备深度光源成像模式 </w:t>
      </w:r>
    </w:p>
    <w:p w14:paraId="555986C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具备实时三维断层成像</w:t>
      </w:r>
    </w:p>
    <w:p w14:paraId="7409647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具备实时双容积视野</w:t>
      </w:r>
    </w:p>
    <w:p w14:paraId="1CA5360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11.12</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具备三维和MPR直接测量</w:t>
      </w:r>
    </w:p>
    <w:p w14:paraId="75A3892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频率多普勒</w:t>
      </w:r>
    </w:p>
    <w:p w14:paraId="6E53934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.1脉冲波多普勒PW，连续波多普勒CW，高脉冲重复频率HPRF</w:t>
      </w:r>
    </w:p>
    <w:p w14:paraId="6C1D153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11.13.2多普勒探头与频率: PW，CW</w:t>
      </w:r>
    </w:p>
    <w:p w14:paraId="3FA0382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 xml:space="preserve">11.13.3最大测量速度:PW，0°时，血流速度最大≥9m/s; CW，0°时血流速度最大≥27m/s </w:t>
      </w:r>
    </w:p>
    <w:p w14:paraId="3EC048C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11.13.4最低测量速度1mm/s (非噪声信号)</w:t>
      </w:r>
    </w:p>
    <w:p w14:paraId="4F64957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11.13.5显示方式:B/D、B/C/D、D</w:t>
      </w:r>
    </w:p>
    <w:p w14:paraId="0886538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.6电影回放:≥2000帧</w:t>
      </w:r>
    </w:p>
    <w:p w14:paraId="3814BA1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.7取样宽度及位置范围:宽度0.5-20mm; 分级可调</w:t>
      </w:r>
    </w:p>
    <w:p w14:paraId="35BA8B1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.8滤波器:高通滤波或低通滤波两种</w:t>
      </w:r>
    </w:p>
    <w:p w14:paraId="31C0715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11.13</w:t>
      </w:r>
      <w:r>
        <w:rPr>
          <w:rFonts w:hint="eastAsia" w:ascii="仿宋" w:hAnsi="仿宋" w:eastAsia="仿宋" w:cs="仿宋"/>
          <w:sz w:val="24"/>
          <w:szCs w:val="24"/>
        </w:rPr>
        <w:t>.9显示控制:反转显示(左/右,上/下),零移位, D扩展, B/D扩展,局放及移位</w:t>
      </w:r>
    </w:p>
    <w:p w14:paraId="41DD5A0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11.14彩色多普勒</w:t>
      </w:r>
    </w:p>
    <w:p w14:paraId="0F702799">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11.14.1显示方式: 速度方差显示、能量显示、速度显示</w:t>
      </w:r>
    </w:p>
    <w:p w14:paraId="370E365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11.14.2二维图像/频谱多普勒/彩色血流成像三同步显示</w:t>
      </w:r>
    </w:p>
    <w:p w14:paraId="30243AB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11.14.3彩色显示角度: 10-120°选择</w:t>
      </w:r>
    </w:p>
    <w:p w14:paraId="330B0E5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11.14.4彩色显示帧数: 全视野, 18cm深,帧频≥20帧/秒</w:t>
      </w:r>
    </w:p>
    <w:p w14:paraId="1896F24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11.14.5组织多普勒帧频：全视野，18cm深，帧频≥110帧/秒</w:t>
      </w:r>
    </w:p>
    <w:p w14:paraId="4370091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11.14</w:t>
      </w:r>
      <w:r>
        <w:rPr>
          <w:rFonts w:hint="eastAsia" w:ascii="仿宋" w:hAnsi="仿宋" w:eastAsia="仿宋" w:cs="仿宋"/>
          <w:sz w:val="24"/>
          <w:szCs w:val="24"/>
        </w:rPr>
        <w:t>.6显示位置调整:感兴趣的图像范围:-20°-+20°</w:t>
      </w:r>
    </w:p>
    <w:p w14:paraId="6E4EDF17">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11.14.7显示控制:零位移动多级可调，彩色对比显示</w:t>
      </w:r>
    </w:p>
    <w:p w14:paraId="23CCBE7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11.14</w:t>
      </w:r>
      <w:r>
        <w:rPr>
          <w:rFonts w:hint="eastAsia" w:ascii="仿宋" w:hAnsi="仿宋" w:eastAsia="仿宋" w:cs="仿宋"/>
          <w:sz w:val="24"/>
          <w:szCs w:val="24"/>
        </w:rPr>
        <w:t>.8彩色增强功能:彩色多普勒能量图；组织多普勒(TDI)</w:t>
      </w:r>
    </w:p>
    <w:p w14:paraId="5EB4C1B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11.15超声图像及病案管理系统 </w:t>
      </w:r>
    </w:p>
    <w:p w14:paraId="1A58373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11.15.1动态图像采集,存储, 一次连续采集≥2000幅</w:t>
      </w:r>
    </w:p>
    <w:p w14:paraId="5D7371D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11.15.2同屏电影回放≥4画面,可调回放速度</w:t>
      </w:r>
    </w:p>
    <w:p w14:paraId="4342A21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11.15.3存储图像及文档:</w:t>
      </w:r>
      <w:r>
        <w:rPr>
          <w:rFonts w:hint="eastAsia" w:ascii="仿宋" w:hAnsi="仿宋" w:eastAsia="仿宋" w:cs="仿宋"/>
          <w:sz w:val="24"/>
          <w:szCs w:val="24"/>
          <w:lang w:val="en-US" w:eastAsia="zh-CN"/>
        </w:rPr>
        <w:t>≥</w:t>
      </w:r>
      <w:r>
        <w:rPr>
          <w:rFonts w:hint="eastAsia" w:ascii="仿宋" w:hAnsi="仿宋" w:eastAsia="仿宋" w:cs="仿宋"/>
          <w:sz w:val="24"/>
          <w:szCs w:val="24"/>
        </w:rPr>
        <w:t>1TB硬盘,</w:t>
      </w:r>
      <w:r>
        <w:rPr>
          <w:rFonts w:hint="eastAsia" w:ascii="仿宋" w:hAnsi="仿宋" w:eastAsia="仿宋" w:cs="仿宋"/>
          <w:sz w:val="24"/>
          <w:szCs w:val="24"/>
          <w:lang w:val="en-US" w:eastAsia="zh-CN"/>
        </w:rPr>
        <w:t>可刻录</w:t>
      </w:r>
      <w:r>
        <w:rPr>
          <w:rFonts w:hint="eastAsia" w:ascii="仿宋" w:hAnsi="仿宋" w:eastAsia="仿宋" w:cs="仿宋"/>
          <w:sz w:val="24"/>
          <w:szCs w:val="24"/>
        </w:rPr>
        <w:t>CD/DVD</w:t>
      </w:r>
    </w:p>
    <w:p w14:paraId="06FB8BC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11.15.4支持报告存储,检索,统计</w:t>
      </w:r>
    </w:p>
    <w:p w14:paraId="542615D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11.15.5为保护病人隐私，图像存储时可隐去病案信息进行存储</w:t>
      </w:r>
    </w:p>
    <w:p w14:paraId="57F7BE4E">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11.15.6DICOM QVue图像阅读器</w:t>
      </w:r>
    </w:p>
    <w:p w14:paraId="2985B5E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11.16超声功率输出调节: B/M,PW,CDFI,输出功率选择多级可调</w:t>
      </w:r>
    </w:p>
    <w:p w14:paraId="548250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售后及其他</w:t>
      </w:r>
    </w:p>
    <w:p w14:paraId="3FBA0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w:t>
      </w:r>
      <w:r>
        <w:rPr>
          <w:rFonts w:hint="eastAsia" w:ascii="仿宋" w:hAnsi="仿宋" w:eastAsia="仿宋" w:cs="仿宋"/>
          <w:sz w:val="24"/>
          <w:szCs w:val="24"/>
        </w:rPr>
        <w:t>应对所提供的货物提供96个月的维修服务</w:t>
      </w:r>
      <w:r>
        <w:rPr>
          <w:rFonts w:hint="eastAsia" w:ascii="仿宋" w:hAnsi="仿宋" w:eastAsia="仿宋" w:cs="仿宋"/>
          <w:sz w:val="24"/>
          <w:szCs w:val="24"/>
          <w:lang w:eastAsia="zh-CN"/>
        </w:rPr>
        <w:t>。</w:t>
      </w:r>
    </w:p>
    <w:p w14:paraId="5C8AB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开机率≥95 %，仪器故障要求2小时内应答，24小时形成解决方案</w:t>
      </w:r>
      <w:r>
        <w:rPr>
          <w:rFonts w:hint="eastAsia" w:ascii="仿宋" w:hAnsi="仿宋" w:eastAsia="仿宋" w:cs="仿宋"/>
          <w:sz w:val="24"/>
          <w:szCs w:val="24"/>
          <w:lang w:eastAsia="zh-CN"/>
        </w:rPr>
        <w:t>。</w:t>
      </w:r>
    </w:p>
    <w:p w14:paraId="13822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供应商</w:t>
      </w:r>
      <w:r>
        <w:rPr>
          <w:rFonts w:hint="eastAsia" w:ascii="仿宋" w:hAnsi="仿宋" w:eastAsia="仿宋" w:cs="仿宋"/>
          <w:sz w:val="24"/>
          <w:szCs w:val="24"/>
        </w:rPr>
        <w:t>需在中国大陆地区设有售后服务机构和设施，并配备受过专业培训的售后服务人员</w:t>
      </w:r>
      <w:r>
        <w:rPr>
          <w:rFonts w:hint="eastAsia" w:ascii="仿宋" w:hAnsi="仿宋" w:eastAsia="仿宋" w:cs="仿宋"/>
          <w:sz w:val="24"/>
          <w:szCs w:val="24"/>
          <w:lang w:eastAsia="zh-CN"/>
        </w:rPr>
        <w:t>。</w:t>
      </w:r>
    </w:p>
    <w:p w14:paraId="5BF42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为保证设备正常运行，卖方应在中国境内方便的地方设置备件库，存入所有必须的备件，并保证5年以上的供应期</w:t>
      </w:r>
      <w:r>
        <w:rPr>
          <w:rFonts w:hint="eastAsia" w:ascii="仿宋" w:hAnsi="仿宋" w:eastAsia="仿宋" w:cs="仿宋"/>
          <w:sz w:val="24"/>
          <w:szCs w:val="24"/>
          <w:lang w:eastAsia="zh-CN"/>
        </w:rPr>
        <w:t>。</w:t>
      </w:r>
    </w:p>
    <w:p w14:paraId="340F2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提供厂家原厂整机质保≥8年</w:t>
      </w:r>
      <w:r>
        <w:rPr>
          <w:rFonts w:hint="eastAsia" w:ascii="仿宋" w:hAnsi="仿宋" w:eastAsia="仿宋" w:cs="仿宋"/>
          <w:sz w:val="24"/>
          <w:szCs w:val="24"/>
          <w:lang w:eastAsia="zh-CN"/>
        </w:rPr>
        <w:t>。</w:t>
      </w:r>
    </w:p>
    <w:p w14:paraId="65877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7.配备</w:t>
      </w:r>
      <w:r>
        <w:rPr>
          <w:rFonts w:hint="eastAsia" w:ascii="仿宋" w:hAnsi="仿宋" w:eastAsia="仿宋" w:cs="仿宋"/>
          <w:sz w:val="24"/>
          <w:szCs w:val="24"/>
        </w:rPr>
        <w:t>超声计算机图文工作站、可升降检查床1张，2张检查专业椅</w:t>
      </w:r>
      <w:r>
        <w:rPr>
          <w:rFonts w:hint="eastAsia" w:ascii="仿宋" w:hAnsi="仿宋" w:eastAsia="仿宋" w:cs="仿宋"/>
          <w:sz w:val="24"/>
          <w:szCs w:val="24"/>
          <w:lang w:eastAsia="zh-CN"/>
        </w:rPr>
        <w:t>。</w:t>
      </w:r>
    </w:p>
    <w:p w14:paraId="39AD7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67C1B82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48C378C">
      <w:pPr>
        <w:jc w:val="center"/>
        <w:outlineLvl w:val="2"/>
      </w:pPr>
      <w:r>
        <w:rPr>
          <w:rFonts w:hint="eastAsia" w:ascii="仿宋" w:hAnsi="仿宋" w:eastAsia="仿宋" w:cs="仿宋"/>
          <w:b/>
          <w:bCs/>
          <w:color w:val="auto"/>
          <w:sz w:val="28"/>
          <w:szCs w:val="28"/>
          <w:highlight w:val="none"/>
          <w:lang w:val="en-US" w:eastAsia="zh-CN"/>
        </w:rPr>
        <w:t>2标段技术参数要求</w:t>
      </w:r>
    </w:p>
    <w:p w14:paraId="16B38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全数字化高端彩色多普勒超声诊断仪</w:t>
      </w:r>
    </w:p>
    <w:p w14:paraId="1C930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sz w:val="24"/>
          <w:szCs w:val="24"/>
          <w:lang w:eastAsia="zh-CN"/>
        </w:rPr>
      </w:pPr>
    </w:p>
    <w:p w14:paraId="1A81D3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设备名称：</w:t>
      </w:r>
      <w:r>
        <w:rPr>
          <w:rFonts w:hint="eastAsia" w:ascii="仿宋" w:hAnsi="仿宋" w:eastAsia="仿宋" w:cs="仿宋"/>
          <w:sz w:val="24"/>
          <w:szCs w:val="24"/>
        </w:rPr>
        <w:t>全数字化高端彩色多普勒超声诊断仪</w:t>
      </w:r>
    </w:p>
    <w:p w14:paraId="2EA3A5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二、配置要求：</w:t>
      </w:r>
      <w:r>
        <w:rPr>
          <w:rFonts w:hint="eastAsia" w:ascii="仿宋" w:hAnsi="仿宋" w:eastAsia="仿宋" w:cs="仿宋"/>
          <w:b w:val="0"/>
          <w:bCs w:val="0"/>
          <w:sz w:val="24"/>
          <w:szCs w:val="24"/>
          <w:lang w:val="en-US" w:eastAsia="zh-CN"/>
        </w:rPr>
        <w:t>主机1套；标配探头数量：8把，包括单晶腹部探头、小器官高频探头、低频线阵血管探头、腔内探头，心脏探头、腹腔镜探头、术中机器人探头、双平面探头；多影像融合导航系统1套</w:t>
      </w:r>
    </w:p>
    <w:p w14:paraId="677942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用途：</w:t>
      </w:r>
      <w:r>
        <w:rPr>
          <w:rFonts w:hint="eastAsia" w:ascii="仿宋" w:hAnsi="仿宋" w:eastAsia="仿宋" w:cs="仿宋"/>
          <w:sz w:val="24"/>
          <w:szCs w:val="24"/>
        </w:rPr>
        <w:t>主要用于腹部、心脏、泌尿、新生儿、小儿、血管（外周、颅脑、腹部）、小器官、骨骼肌肉、神经、造影、介入等方面的临床诊断和教学工作，具备持续升级能力，能满足开展新的临床应用需求。</w:t>
      </w:r>
    </w:p>
    <w:p w14:paraId="3B3B68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主要技术规格及系统概述</w:t>
      </w:r>
    </w:p>
    <w:p w14:paraId="4D2F89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主机成像系统</w:t>
      </w:r>
    </w:p>
    <w:p w14:paraId="139A696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rPr>
        <w:t>高分辨率液晶显示器≥23英寸，无闪烁，不间断逐行扫描，可上下左右旋转</w:t>
      </w:r>
    </w:p>
    <w:p w14:paraId="3317848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操作面板具备角度可调液晶触摸屏≥10英寸，可通过手指滑动触摸屏进行翻页，支持手势操作，直接点击触摸屏可调节的参数 </w:t>
      </w:r>
    </w:p>
    <w:p w14:paraId="2418E85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1.3</w:t>
      </w:r>
      <w:r>
        <w:rPr>
          <w:rFonts w:hint="eastAsia" w:ascii="仿宋" w:hAnsi="仿宋" w:eastAsia="仿宋" w:cs="仿宋"/>
          <w:sz w:val="24"/>
          <w:szCs w:val="24"/>
        </w:rPr>
        <w:t>主机内置探头接口数量≥6个，（4激活互通互用）</w:t>
      </w:r>
    </w:p>
    <w:p w14:paraId="2CBF4BA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操作面板具有≥4向独立调节功能（即上下升降、左右旋转）</w:t>
      </w:r>
    </w:p>
    <w:p w14:paraId="6BF47A9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数字波束形成器</w:t>
      </w:r>
    </w:p>
    <w:p w14:paraId="3211BD4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设备物理通道数≥256通道</w:t>
      </w:r>
    </w:p>
    <w:p w14:paraId="4CC02A3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两种成像方式，支持数字化全域聚焦或全程实时连续动态聚焦技术，全场图像均匀一致，也支持开启焦点调节，可视可调</w:t>
      </w:r>
    </w:p>
    <w:p w14:paraId="116634A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数字化可变孔径及动态变迹技术，A/D≥14 bit</w:t>
      </w:r>
    </w:p>
    <w:p w14:paraId="6E54EC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二维灰阶成像及M型显像单元</w:t>
      </w:r>
    </w:p>
    <w:p w14:paraId="59F3FCB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1.10</w:t>
      </w:r>
      <w:r>
        <w:rPr>
          <w:rFonts w:hint="eastAsia" w:ascii="仿宋" w:hAnsi="仿宋" w:eastAsia="仿宋" w:cs="仿宋"/>
          <w:sz w:val="24"/>
          <w:szCs w:val="24"/>
        </w:rPr>
        <w:t>解剖M型技术≥3条取样线，可360度任意旋转， 支持本次所配凸阵、线阵、相控阵探头</w:t>
      </w:r>
    </w:p>
    <w:p w14:paraId="34BB327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w:t>
      </w:r>
      <w:r>
        <w:rPr>
          <w:rFonts w:hint="eastAsia" w:ascii="仿宋" w:hAnsi="仿宋" w:eastAsia="仿宋" w:cs="仿宋"/>
          <w:sz w:val="24"/>
          <w:szCs w:val="24"/>
        </w:rPr>
        <w:t>脉冲反相谐波成像</w:t>
      </w:r>
    </w:p>
    <w:p w14:paraId="7834C86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1.12</w:t>
      </w:r>
      <w:r>
        <w:rPr>
          <w:rFonts w:hint="eastAsia" w:ascii="仿宋" w:hAnsi="仿宋" w:eastAsia="仿宋" w:cs="仿宋"/>
          <w:sz w:val="24"/>
          <w:szCs w:val="24"/>
        </w:rPr>
        <w:t>彩色多普勒能量图技术、方向性能量图技术</w:t>
      </w:r>
    </w:p>
    <w:p w14:paraId="4F4BC74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1.13</w:t>
      </w:r>
      <w:r>
        <w:rPr>
          <w:rFonts w:hint="eastAsia" w:ascii="仿宋" w:hAnsi="仿宋" w:eastAsia="仿宋" w:cs="仿宋"/>
          <w:sz w:val="24"/>
          <w:szCs w:val="24"/>
        </w:rPr>
        <w:t>数字化频谱多普勒显示和分析单元(包括PW、CW和HPRF)</w:t>
      </w:r>
    </w:p>
    <w:p w14:paraId="344BF64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1.14</w:t>
      </w:r>
      <w:r>
        <w:rPr>
          <w:rFonts w:hint="eastAsia" w:ascii="仿宋" w:hAnsi="仿宋" w:eastAsia="仿宋" w:cs="仿宋"/>
          <w:sz w:val="24"/>
          <w:szCs w:val="24"/>
        </w:rPr>
        <w:t>空间复合成像技术，支持多档位调节和多参数联合应用</w:t>
      </w:r>
    </w:p>
    <w:p w14:paraId="5009CD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1.15</w:t>
      </w:r>
      <w:r>
        <w:rPr>
          <w:rFonts w:hint="eastAsia" w:ascii="仿宋" w:hAnsi="仿宋" w:eastAsia="仿宋" w:cs="仿宋"/>
          <w:sz w:val="24"/>
          <w:szCs w:val="24"/>
        </w:rPr>
        <w:t>斑点噪声抑制技术，改善边界显示，提高分辨率，可分级调节≥7级</w:t>
      </w:r>
    </w:p>
    <w:p w14:paraId="5963315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1.16</w:t>
      </w:r>
      <w:r>
        <w:rPr>
          <w:rFonts w:hint="eastAsia" w:ascii="仿宋" w:hAnsi="仿宋" w:eastAsia="仿宋" w:cs="仿宋"/>
          <w:sz w:val="24"/>
          <w:szCs w:val="24"/>
        </w:rPr>
        <w:t>高清成像技术，整场图像锐化处理，提高组织内部分辨率和边界锐化显示，独立分级调节≥5级</w:t>
      </w:r>
    </w:p>
    <w:p w14:paraId="7A2C7A5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1.17</w:t>
      </w:r>
      <w:r>
        <w:rPr>
          <w:rFonts w:hint="eastAsia" w:ascii="仿宋" w:hAnsi="仿宋" w:eastAsia="仿宋" w:cs="仿宋"/>
          <w:sz w:val="24"/>
          <w:szCs w:val="24"/>
        </w:rPr>
        <w:t>内置DICOM3.0标准输出接口</w:t>
      </w:r>
    </w:p>
    <w:p w14:paraId="2349DA8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1.18</w:t>
      </w:r>
      <w:r>
        <w:rPr>
          <w:rFonts w:hint="eastAsia" w:ascii="仿宋" w:hAnsi="仿宋" w:eastAsia="仿宋" w:cs="仿宋"/>
          <w:sz w:val="24"/>
          <w:szCs w:val="24"/>
        </w:rPr>
        <w:t>具备自动声速校正技术，自动匹配最佳成像声速，并将具体声速数值在屏幕上显示</w:t>
      </w:r>
    </w:p>
    <w:p w14:paraId="0BCBBD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高级成像技术</w:t>
      </w:r>
    </w:p>
    <w:p w14:paraId="0C91F65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造影成像技术</w:t>
      </w:r>
    </w:p>
    <w:p w14:paraId="3C5FEC5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2.2.1</w:t>
      </w:r>
      <w:r>
        <w:rPr>
          <w:rFonts w:hint="eastAsia" w:ascii="仿宋" w:hAnsi="仿宋" w:eastAsia="仿宋" w:cs="仿宋"/>
          <w:sz w:val="24"/>
          <w:szCs w:val="24"/>
        </w:rPr>
        <w:t>具备高帧频造影成像，腹部、浅表、腔内、腹腔镜等探头支持造影成像，</w:t>
      </w:r>
    </w:p>
    <w:p w14:paraId="51DB40A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2.2.2</w:t>
      </w:r>
      <w:r>
        <w:rPr>
          <w:rFonts w:hint="eastAsia" w:ascii="仿宋" w:hAnsi="仿宋" w:eastAsia="仿宋" w:cs="仿宋"/>
          <w:sz w:val="24"/>
          <w:szCs w:val="24"/>
        </w:rPr>
        <w:t xml:space="preserve">具备TIC时间强度曲线分析 </w:t>
      </w:r>
    </w:p>
    <w:p w14:paraId="4D94991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bookmarkStart w:id="866" w:name="_Hlk179641268"/>
      <w:r>
        <w:rPr>
          <w:rFonts w:hint="eastAsia" w:ascii="仿宋" w:hAnsi="仿宋" w:eastAsia="仿宋" w:cs="仿宋"/>
          <w:sz w:val="24"/>
          <w:szCs w:val="24"/>
          <w:lang w:val="en-US" w:eastAsia="zh-CN"/>
        </w:rPr>
        <w:t>2.2.3</w:t>
      </w:r>
      <w:r>
        <w:rPr>
          <w:rFonts w:hint="eastAsia" w:ascii="仿宋" w:hAnsi="仿宋" w:eastAsia="仿宋" w:cs="仿宋"/>
          <w:sz w:val="24"/>
          <w:szCs w:val="24"/>
        </w:rPr>
        <w:t>实时双幅显示组织图像和造影图像，</w:t>
      </w:r>
      <w:bookmarkEnd w:id="866"/>
      <w:r>
        <w:rPr>
          <w:rFonts w:hint="eastAsia" w:ascii="仿宋" w:hAnsi="仿宋" w:eastAsia="仿宋" w:cs="仿宋"/>
          <w:sz w:val="24"/>
          <w:szCs w:val="24"/>
        </w:rPr>
        <w:t>造影图像和组织图像的位置可以进行互换</w:t>
      </w:r>
    </w:p>
    <w:p w14:paraId="2B529E9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2.2.4</w:t>
      </w:r>
      <w:r>
        <w:rPr>
          <w:rFonts w:hint="eastAsia" w:ascii="仿宋" w:hAnsi="仿宋" w:eastAsia="仿宋" w:cs="仿宋"/>
          <w:sz w:val="24"/>
          <w:szCs w:val="24"/>
        </w:rPr>
        <w:t xml:space="preserve">实时微血管造影增强成像技术，可清晰显示组织内微小血管的灌注及走行 </w:t>
      </w:r>
    </w:p>
    <w:p w14:paraId="675E33B0">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2.2.5</w:t>
      </w:r>
      <w:r>
        <w:rPr>
          <w:rFonts w:hint="eastAsia" w:ascii="仿宋" w:hAnsi="仿宋" w:eastAsia="仿宋" w:cs="仿宋"/>
          <w:sz w:val="24"/>
          <w:szCs w:val="24"/>
        </w:rPr>
        <w:t>血流对比模式，造影成像下支持造影和血流混合成像模式，将血流和造影实时同屏融合在同一幅图图像上成像，有助于医生在造影下同步关注血流灌注情况</w:t>
      </w:r>
    </w:p>
    <w:p w14:paraId="3E9112E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2.2.6</w:t>
      </w:r>
      <w:r>
        <w:rPr>
          <w:rFonts w:hint="eastAsia" w:ascii="仿宋" w:hAnsi="仿宋" w:eastAsia="仿宋" w:cs="仿宋"/>
          <w:sz w:val="24"/>
          <w:szCs w:val="24"/>
        </w:rPr>
        <w:t>具备宽带造影谐波成像技术，可以提取到更大范围的造影谐波信号， 造影谐波的敏感性更高</w:t>
      </w:r>
    </w:p>
    <w:p w14:paraId="6BD8BB4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2.2.7</w:t>
      </w:r>
      <w:r>
        <w:rPr>
          <w:rFonts w:hint="eastAsia" w:ascii="仿宋" w:hAnsi="仿宋" w:eastAsia="仿宋" w:cs="仿宋"/>
          <w:sz w:val="24"/>
          <w:szCs w:val="24"/>
        </w:rPr>
        <w:t>具有时间强度曲线分析，具备双计时器</w:t>
      </w:r>
    </w:p>
    <w:p w14:paraId="529D2EE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2.2.8</w:t>
      </w:r>
      <w:r>
        <w:rPr>
          <w:rFonts w:hint="eastAsia" w:ascii="仿宋" w:hAnsi="仿宋" w:eastAsia="仿宋" w:cs="仿宋"/>
          <w:sz w:val="24"/>
          <w:szCs w:val="24"/>
        </w:rPr>
        <w:t>具有造影时序彩色编码成像技术，根据造影剂灌注时间进行彩色编码，单一平面内用不同颜色显示各组织间造影剂时序差别</w:t>
      </w:r>
    </w:p>
    <w:p w14:paraId="2F123AA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2.2.9</w:t>
      </w:r>
      <w:r>
        <w:rPr>
          <w:rFonts w:hint="eastAsia" w:ascii="仿宋" w:hAnsi="仿宋" w:eastAsia="仿宋" w:cs="仿宋"/>
          <w:sz w:val="24"/>
          <w:szCs w:val="24"/>
        </w:rPr>
        <w:t>具备减影成像功能，减影显示方式≥5种，可以通过对分析帧范围内的减影图像着色重叠图像，在时间单位内可以显示多种颜色的叠加</w:t>
      </w:r>
    </w:p>
    <w:p w14:paraId="76E173E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超宽视野成像扫描技术</w:t>
      </w:r>
    </w:p>
    <w:p w14:paraId="7B7003D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弹性成像技术</w:t>
      </w:r>
    </w:p>
    <w:p w14:paraId="5E09E8A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rPr>
        <w:t>2.3.1压力应变式弹性成像</w:t>
      </w:r>
    </w:p>
    <w:p w14:paraId="0E45AC85">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具备应变曲线，应变平均值的时间变化可实时显示于图形上</w:t>
      </w:r>
    </w:p>
    <w:p w14:paraId="28E36CD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主机内置一体化实时弹性定量分析软件，可对弹性图像进行面积对比、弹性对比分析</w:t>
      </w:r>
    </w:p>
    <w:p w14:paraId="214FC5D6">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弹性成像模式下，支持本次所配凸阵、线阵、腔内、腹腔镜等探头 </w:t>
      </w:r>
    </w:p>
    <w:p w14:paraId="4A69841A">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具备自动应变比值定量分析功能，点击病灶部位即可自动取样病灶和脂肪层ROI，并进行应变比值测量</w:t>
      </w:r>
    </w:p>
    <w:p w14:paraId="0E6D1014">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rPr>
        <w:t>2.3.2支持剪切波弹性成像</w:t>
      </w:r>
    </w:p>
    <w:p w14:paraId="3CBEAD7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测量值可以两种显示杨氏模量（KPa）、剪切波速度（m/s），同时显示四分位间距。具备质控指数，提高测量准确性及重复性</w:t>
      </w:r>
    </w:p>
    <w:p w14:paraId="209D455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剪切波弹性成像模式下，支持腹部、浅表等探头，</w:t>
      </w:r>
    </w:p>
    <w:p w14:paraId="5BADADF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具备剪切波速度分布直方图，同时可进行脂肪衰减系数测量</w:t>
      </w:r>
    </w:p>
    <w:p w14:paraId="08EDC75F">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同一切面下同时进行应变式弹性成像和剪切波实时双幅显示</w:t>
      </w:r>
    </w:p>
    <w:p w14:paraId="13F574D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2.4</w:t>
      </w:r>
      <w:r>
        <w:rPr>
          <w:rFonts w:hint="eastAsia" w:ascii="仿宋" w:hAnsi="仿宋" w:eastAsia="仿宋" w:cs="仿宋"/>
          <w:sz w:val="24"/>
          <w:szCs w:val="24"/>
        </w:rPr>
        <w:t>具备声衰减成像和多模态弹性成像功能，具备多种肝脏状态的定量指标， 具备多种肝脏状态的定量指标，可提供肝纤维化指数、炎症指数、声衰减指数等，可进行精准的定量评估</w:t>
      </w:r>
    </w:p>
    <w:p w14:paraId="349B7FA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2.5</w:t>
      </w:r>
      <w:r>
        <w:rPr>
          <w:rFonts w:hint="eastAsia" w:ascii="仿宋" w:hAnsi="仿宋" w:eastAsia="仿宋" w:cs="仿宋"/>
          <w:sz w:val="24"/>
          <w:szCs w:val="24"/>
        </w:rPr>
        <w:t xml:space="preserve">具备自动肝纤维化的分级定量成像功能，通过对弹性取样框内应变和纹理数据进行解析，可得到组织硬度及组织弥散分布的特征量，不受肝脏炎症影响，实现对肝炎分期的无创评价并可用于评价治疗前后的肝纤维化改变 </w:t>
      </w:r>
    </w:p>
    <w:p w14:paraId="7118FE9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支持产科自动测量</w:t>
      </w:r>
    </w:p>
    <w:p w14:paraId="39F3C92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2.6.1</w:t>
      </w:r>
      <w:r>
        <w:rPr>
          <w:rFonts w:hint="eastAsia" w:ascii="仿宋" w:hAnsi="仿宋" w:eastAsia="仿宋" w:cs="仿宋"/>
          <w:sz w:val="24"/>
          <w:szCs w:val="24"/>
        </w:rPr>
        <w:t>具备自动胎儿心率测量功能：在B模式成像时，通过追踪胎儿心脏感兴趣区的运动，自动测量胎儿心率满足</w:t>
      </w:r>
    </w:p>
    <w:p w14:paraId="49D76499">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2.6.2</w:t>
      </w:r>
      <w:r>
        <w:rPr>
          <w:rFonts w:hint="eastAsia" w:ascii="仿宋" w:hAnsi="仿宋" w:eastAsia="仿宋" w:cs="仿宋"/>
          <w:sz w:val="24"/>
          <w:szCs w:val="24"/>
        </w:rPr>
        <w:t xml:space="preserve">具有胎儿生长参数智能检测功能：图像上智能识别胎儿双顶径、头围、腹围、股骨等主要结构并自动测量生长径线，预估胎儿体重，减少重复操作及检查时间    </w:t>
      </w:r>
    </w:p>
    <w:p w14:paraId="225CB11C">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2.6.3</w:t>
      </w:r>
      <w:r>
        <w:rPr>
          <w:rFonts w:hint="eastAsia" w:ascii="仿宋" w:hAnsi="仿宋" w:eastAsia="仿宋" w:cs="仿宋"/>
          <w:sz w:val="24"/>
          <w:szCs w:val="24"/>
        </w:rPr>
        <w:t xml:space="preserve">具有胎儿自动颈项透明层测量功能，可准确地测量NT值，并有效进行质量控制 </w:t>
      </w:r>
    </w:p>
    <w:p w14:paraId="4761BCF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融合成像功能</w:t>
      </w:r>
    </w:p>
    <w:p w14:paraId="4BD1A22D">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2.7.1</w:t>
      </w:r>
      <w:r>
        <w:rPr>
          <w:rFonts w:hint="eastAsia" w:ascii="仿宋" w:hAnsi="仿宋" w:eastAsia="仿宋" w:cs="仿宋"/>
          <w:sz w:val="24"/>
          <w:szCs w:val="24"/>
        </w:rPr>
        <w:t>具有多影像融合导航系统，融合了实时US与CT/MR/PET/US的容积数据图像，多种成像方式优势提取，实现精准定位及介入、术中治疗</w:t>
      </w:r>
    </w:p>
    <w:p w14:paraId="110765C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2.7.2</w:t>
      </w:r>
      <w:r>
        <w:rPr>
          <w:rFonts w:hint="eastAsia" w:ascii="仿宋" w:hAnsi="仿宋" w:eastAsia="仿宋" w:cs="仿宋"/>
          <w:sz w:val="24"/>
          <w:szCs w:val="24"/>
        </w:rPr>
        <w:t>可切换超声造影/CT增强不同时相的图像作对比，具备3D体标显示功能，</w:t>
      </w:r>
    </w:p>
    <w:p w14:paraId="44387DEB">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2.7.3</w:t>
      </w:r>
      <w:r>
        <w:rPr>
          <w:rFonts w:hint="eastAsia" w:ascii="仿宋" w:hAnsi="仿宋" w:eastAsia="仿宋" w:cs="仿宋"/>
          <w:sz w:val="24"/>
          <w:szCs w:val="24"/>
        </w:rPr>
        <w:t>具备感兴趣标识功能，靶目标位置提示，多个位点追踪</w:t>
      </w:r>
    </w:p>
    <w:p w14:paraId="5FA15771">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2.7.4</w:t>
      </w:r>
      <w:r>
        <w:rPr>
          <w:rFonts w:hint="eastAsia" w:ascii="仿宋" w:hAnsi="仿宋" w:eastAsia="仿宋" w:cs="仿宋"/>
          <w:sz w:val="24"/>
          <w:szCs w:val="24"/>
        </w:rPr>
        <w:t>临床应用广泛，支持所配凸阵、线阵、腔内等探头</w:t>
      </w:r>
    </w:p>
    <w:p w14:paraId="354BA7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所配腹腔镜术中探头功能要求：支持术中超声造影成像、术中弹性成像，支持高精细血流成像，扫查视野≥36mm，偏转方向≥4个，偏转角度≥90°，支持低温等离子消毒。（附图标明探头型号）</w:t>
      </w:r>
    </w:p>
    <w:p w14:paraId="5BBADA6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二维心肌组织斑点智能追踪技术</w:t>
      </w:r>
    </w:p>
    <w:p w14:paraId="06470AC3">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2.9.1</w:t>
      </w:r>
      <w:r>
        <w:rPr>
          <w:rFonts w:hint="eastAsia" w:ascii="仿宋" w:hAnsi="仿宋" w:eastAsia="仿宋" w:cs="仿宋"/>
          <w:sz w:val="24"/>
          <w:szCs w:val="24"/>
        </w:rPr>
        <w:t>单键启动自动追踪心肌内外膜；获得各阶段心肌周向、径向、纵向的应变、应变率、厚度、厚度变化率；心脏GLS、扭转角度、扭率等定量分析</w:t>
      </w:r>
    </w:p>
    <w:p w14:paraId="712BF472">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2.9.2</w:t>
      </w:r>
      <w:r>
        <w:rPr>
          <w:rFonts w:hint="eastAsia" w:ascii="仿宋" w:hAnsi="仿宋" w:eastAsia="仿宋" w:cs="仿宋"/>
          <w:sz w:val="24"/>
          <w:szCs w:val="24"/>
        </w:rPr>
        <w:t>具备曲线图、彩色编码图、曲线&amp;彩色编码图、牛眼图等多种显示模式</w:t>
      </w:r>
    </w:p>
    <w:p w14:paraId="52D0953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2.10</w:t>
      </w:r>
      <w:r>
        <w:rPr>
          <w:rFonts w:hint="eastAsia" w:ascii="仿宋" w:hAnsi="仿宋" w:eastAsia="仿宋" w:cs="仿宋"/>
          <w:sz w:val="24"/>
          <w:szCs w:val="24"/>
        </w:rPr>
        <w:t>具备示教软件，可支持画中画显示实时教学</w:t>
      </w:r>
    </w:p>
    <w:p w14:paraId="42DC2B8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2.11</w:t>
      </w:r>
      <w:r>
        <w:rPr>
          <w:rFonts w:hint="eastAsia" w:ascii="仿宋" w:hAnsi="仿宋" w:eastAsia="仿宋" w:cs="仿宋"/>
          <w:sz w:val="24"/>
          <w:szCs w:val="24"/>
        </w:rPr>
        <w:t>穿刺针增强技术，凸阵和线阵探头均可支持，具有双屏双实时对比显示增强前后效果，并支持自适应校正角度。</w:t>
      </w:r>
    </w:p>
    <w:p w14:paraId="516507D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2.12</w:t>
      </w:r>
      <w:r>
        <w:rPr>
          <w:rFonts w:hint="eastAsia" w:ascii="仿宋" w:hAnsi="仿宋" w:eastAsia="仿宋" w:cs="仿宋"/>
          <w:sz w:val="24"/>
          <w:szCs w:val="24"/>
        </w:rPr>
        <w:t>支持术中机器人探头，可支持弹性及造影相关功能。</w:t>
      </w:r>
    </w:p>
    <w:p w14:paraId="4C5BDC3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2.13</w:t>
      </w:r>
      <w:r>
        <w:rPr>
          <w:rFonts w:hint="eastAsia" w:ascii="仿宋" w:hAnsi="仿宋" w:eastAsia="仿宋" w:cs="仿宋"/>
          <w:sz w:val="24"/>
          <w:szCs w:val="24"/>
        </w:rPr>
        <w:t>可选配中央开槽穿刺探头，支持弹性及多影像融合导航功能。</w:t>
      </w:r>
    </w:p>
    <w:p w14:paraId="7C1F0B6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2.14</w:t>
      </w:r>
      <w:r>
        <w:rPr>
          <w:rFonts w:hint="eastAsia" w:ascii="仿宋" w:hAnsi="仿宋" w:eastAsia="仿宋" w:cs="仿宋"/>
          <w:sz w:val="24"/>
          <w:szCs w:val="24"/>
        </w:rPr>
        <w:t>具备扩展成像技术</w:t>
      </w:r>
    </w:p>
    <w:p w14:paraId="417D13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测量和分析：(B型、M型、D型、彩色模式)</w:t>
      </w:r>
    </w:p>
    <w:p w14:paraId="7AB717B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常规测量软件包</w:t>
      </w:r>
    </w:p>
    <w:p w14:paraId="7742009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基础测量包，2B模式下支持双幅跨幅测量</w:t>
      </w:r>
    </w:p>
    <w:p w14:paraId="5A30646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具备图像一键优化功能，快速优化二维图像、彩色图像、彩色取样框位置、频谱图像、频谱取样门大小、取样门位置频谱自动测量分析软件，用户可自由配置显示的参数</w:t>
      </w:r>
    </w:p>
    <w:p w14:paraId="263B0B6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3.4定点测速功能，彩色多普勒模式下可同屏测量血管腔内任意位置的血流速度</w:t>
      </w:r>
    </w:p>
    <w:p w14:paraId="375EB08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3.5频谱自动测量分析软件，用户可自由配置显示的参数</w:t>
      </w:r>
    </w:p>
    <w:p w14:paraId="52E7C85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3.6专科测量软件包支持腹部、妇科、产科、心脏、泌尿、小器官、儿科、血管，自动生成报告。</w:t>
      </w:r>
    </w:p>
    <w:p w14:paraId="070AEAE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3.7妇科测量软件包</w:t>
      </w:r>
    </w:p>
    <w:p w14:paraId="17EF9BB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可测量盆底、子宫、子宫动脉、卵巢、卵泡等，并自动生成报告;</w:t>
      </w:r>
    </w:p>
    <w:p w14:paraId="663ABE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二维卵巢测量功能，支持识别卵巢标准切面组织结构并自动测量卵巢长径、宽径、厚径和体积，自动生成报告；支持左右卵巢快速注释</w:t>
      </w:r>
    </w:p>
    <w:p w14:paraId="33489F4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子宫内膜厚度测量功能，支持B模式下识别子宫内膜并对内膜厚度进行自动测量</w:t>
      </w:r>
    </w:p>
    <w:p w14:paraId="6B952ED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具备专业卵泡测量软件包，可自动计算卵泡大小及平均值，具备专业卵泡评估报告，卵泡可自动大小排序，报告中每侧显示卵泡≥10个</w:t>
      </w:r>
    </w:p>
    <w:p w14:paraId="00C42D4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3.8心脏测量软件包：心肌功能指数，支持心内膜自动描迹</w:t>
      </w:r>
    </w:p>
    <w:p w14:paraId="6BCCCE0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3.9腹部测量软件包：支持膀胱自动测量</w:t>
      </w:r>
    </w:p>
    <w:p w14:paraId="53B26A0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3.10小器官测量软件包，包含乳腺测量包</w:t>
      </w:r>
    </w:p>
    <w:p w14:paraId="5DD0776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3.11血管测量软件包：IMT血管内中膜自动测量，具备前、后壁同屏独立测量显示</w:t>
      </w:r>
    </w:p>
    <w:p w14:paraId="3CBB73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图像存储(电影)回放重显及病案管理单元</w:t>
      </w:r>
    </w:p>
    <w:p w14:paraId="45F755A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数字化捕捉、回放、存储静、动态图像，实时图像传输</w:t>
      </w:r>
    </w:p>
    <w:p w14:paraId="19A1126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w:t>
      </w:r>
      <w:r>
        <w:rPr>
          <w:rFonts w:hint="eastAsia" w:ascii="仿宋" w:hAnsi="仿宋" w:eastAsia="仿宋" w:cs="仿宋"/>
          <w:sz w:val="24"/>
          <w:szCs w:val="24"/>
        </w:rPr>
        <w:t>内置主机硬盘（非外接硬盘），硬盘容量≥1TB</w:t>
      </w:r>
    </w:p>
    <w:p w14:paraId="2F717F3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电影回放≥51200帧</w:t>
      </w:r>
    </w:p>
    <w:p w14:paraId="724DE79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4.4</w:t>
      </w:r>
      <w:r>
        <w:rPr>
          <w:rFonts w:hint="eastAsia" w:ascii="仿宋" w:hAnsi="仿宋" w:eastAsia="仿宋" w:cs="仿宋"/>
          <w:sz w:val="24"/>
          <w:szCs w:val="24"/>
        </w:rPr>
        <w:t>支持不同探头12幅图像同屏动态回放，回放速度可调</w:t>
      </w:r>
    </w:p>
    <w:p w14:paraId="2B0D6E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连通性：医学数字图像和通信DICOM3.0版接口部件</w:t>
      </w:r>
    </w:p>
    <w:p w14:paraId="61F791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探头规格</w:t>
      </w:r>
    </w:p>
    <w:p w14:paraId="74431A8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6.1</w:t>
      </w:r>
      <w:r>
        <w:rPr>
          <w:rFonts w:hint="eastAsia" w:ascii="仿宋" w:hAnsi="仿宋" w:eastAsia="仿宋" w:cs="仿宋"/>
          <w:sz w:val="24"/>
          <w:szCs w:val="24"/>
        </w:rPr>
        <w:t>频率：超宽频带探头，1MHz到22MHz</w:t>
      </w:r>
    </w:p>
    <w:p w14:paraId="393C7D2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6.2</w:t>
      </w:r>
      <w:r>
        <w:rPr>
          <w:rFonts w:hint="eastAsia" w:ascii="仿宋" w:hAnsi="仿宋" w:eastAsia="仿宋" w:cs="仿宋"/>
          <w:sz w:val="24"/>
          <w:szCs w:val="24"/>
        </w:rPr>
        <w:t>二维、彩色、多普勒均可独立变频</w:t>
      </w:r>
    </w:p>
    <w:p w14:paraId="44FE802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6.3</w:t>
      </w:r>
      <w:r>
        <w:rPr>
          <w:rFonts w:hint="eastAsia" w:ascii="仿宋" w:hAnsi="仿宋" w:eastAsia="仿宋" w:cs="仿宋"/>
          <w:sz w:val="24"/>
          <w:szCs w:val="24"/>
        </w:rPr>
        <w:t>类型：电子扇扫、线阵、凸阵</w:t>
      </w:r>
    </w:p>
    <w:p w14:paraId="06DB72F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6.4</w:t>
      </w:r>
      <w:r>
        <w:rPr>
          <w:rFonts w:hint="eastAsia" w:ascii="仿宋" w:hAnsi="仿宋" w:eastAsia="仿宋" w:cs="仿宋"/>
          <w:sz w:val="24"/>
          <w:szCs w:val="24"/>
        </w:rPr>
        <w:t>单晶体探头≥3种</w:t>
      </w:r>
    </w:p>
    <w:p w14:paraId="6480621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6.5</w:t>
      </w:r>
      <w:r>
        <w:rPr>
          <w:rFonts w:hint="eastAsia" w:ascii="仿宋" w:hAnsi="仿宋" w:eastAsia="仿宋" w:cs="仿宋"/>
          <w:sz w:val="24"/>
          <w:szCs w:val="24"/>
        </w:rPr>
        <w:t>电子线阵探头阵元数≥256</w:t>
      </w:r>
    </w:p>
    <w:p w14:paraId="1E7C7D6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6.6</w:t>
      </w:r>
      <w:r>
        <w:rPr>
          <w:rFonts w:hint="eastAsia" w:ascii="仿宋" w:hAnsi="仿宋" w:eastAsia="仿宋" w:cs="仿宋"/>
          <w:sz w:val="24"/>
          <w:szCs w:val="24"/>
        </w:rPr>
        <w:t>单晶腹部凸阵探头频率：1.0-6.0MHz</w:t>
      </w:r>
    </w:p>
    <w:p w14:paraId="499B9FA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6.7</w:t>
      </w:r>
      <w:r>
        <w:rPr>
          <w:rFonts w:hint="eastAsia" w:ascii="仿宋" w:hAnsi="仿宋" w:eastAsia="仿宋" w:cs="仿宋"/>
          <w:sz w:val="24"/>
          <w:szCs w:val="24"/>
        </w:rPr>
        <w:t>心脏探头频率范围：1.0-5.0MHz</w:t>
      </w:r>
    </w:p>
    <w:p w14:paraId="78EF46D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6.8</w:t>
      </w:r>
      <w:r>
        <w:rPr>
          <w:rFonts w:hint="eastAsia" w:ascii="仿宋" w:hAnsi="仿宋" w:eastAsia="仿宋" w:cs="仿宋"/>
          <w:sz w:val="24"/>
          <w:szCs w:val="24"/>
        </w:rPr>
        <w:t>双平面探头(凸阵+线阵） ：频率 2-10MHz/2-14MHz</w:t>
      </w:r>
    </w:p>
    <w:p w14:paraId="134181A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6.9</w:t>
      </w:r>
      <w:r>
        <w:rPr>
          <w:rFonts w:hint="eastAsia" w:ascii="仿宋" w:hAnsi="仿宋" w:eastAsia="仿宋" w:cs="仿宋"/>
          <w:sz w:val="24"/>
          <w:szCs w:val="24"/>
        </w:rPr>
        <w:t>低频线阵血管探头频率范围：2.0-12.0MHz</w:t>
      </w:r>
    </w:p>
    <w:p w14:paraId="086FE6B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6.10</w:t>
      </w:r>
      <w:r>
        <w:rPr>
          <w:rFonts w:hint="eastAsia" w:ascii="仿宋" w:hAnsi="仿宋" w:eastAsia="仿宋" w:cs="仿宋"/>
          <w:sz w:val="24"/>
          <w:szCs w:val="24"/>
        </w:rPr>
        <w:t>术中机器人探头频率范围：2.0-12.0MHz</w:t>
      </w:r>
    </w:p>
    <w:p w14:paraId="524F76F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6.11</w:t>
      </w:r>
      <w:r>
        <w:rPr>
          <w:rFonts w:hint="eastAsia" w:ascii="仿宋" w:hAnsi="仿宋" w:eastAsia="仿宋" w:cs="仿宋"/>
          <w:sz w:val="24"/>
          <w:szCs w:val="24"/>
        </w:rPr>
        <w:t>腹腔镜探头频率范围：2.0-13.0MHz，支持术中超声造影成像、术中弹性成像，支持高精细血流成像，扫查视野≥36mm，偏转方向≥4个，偏转角度≥90°，支持低温等离子消毒。（附图标明探头型号）</w:t>
      </w:r>
    </w:p>
    <w:p w14:paraId="57E37DE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.12高频线阵探头频率范围：5.0-18.0MHz</w:t>
      </w:r>
    </w:p>
    <w:p w14:paraId="2C685E9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.13腔内微凸探头：频率2-10MHz</w:t>
      </w:r>
    </w:p>
    <w:p w14:paraId="77918C5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.14穿刺导向：探头可配穿刺导向装置</w:t>
      </w:r>
    </w:p>
    <w:p w14:paraId="2DE23C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二维显像主要参数</w:t>
      </w:r>
    </w:p>
    <w:p w14:paraId="7DC4E8B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成像速度：相控阵探头，88°角，18CM深度时，帧速度≥60帧/秒</w:t>
      </w:r>
    </w:p>
    <w:p w14:paraId="3B439E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增益调节：物理及电子TGC，TGC增益补偿≥8段，LGC侧向增益补偿≥8段，B/M可独立调节</w:t>
      </w:r>
    </w:p>
    <w:p w14:paraId="2BE5721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7.3 </w:t>
      </w:r>
      <w:r>
        <w:rPr>
          <w:rFonts w:hint="eastAsia" w:ascii="仿宋" w:hAnsi="仿宋" w:eastAsia="仿宋" w:cs="仿宋"/>
          <w:sz w:val="24"/>
          <w:szCs w:val="24"/>
        </w:rPr>
        <w:t>A/D≥14bit</w:t>
      </w:r>
    </w:p>
    <w:p w14:paraId="14660E2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7.4</w:t>
      </w:r>
      <w:r>
        <w:rPr>
          <w:rFonts w:hint="eastAsia" w:ascii="仿宋" w:hAnsi="仿宋" w:eastAsia="仿宋" w:cs="仿宋"/>
          <w:sz w:val="24"/>
          <w:szCs w:val="24"/>
        </w:rPr>
        <w:t>接收方式：独立接收和发射通道数，多倍信号并行处理、</w:t>
      </w:r>
    </w:p>
    <w:p w14:paraId="3ABDB3B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7.5</w:t>
      </w:r>
      <w:r>
        <w:rPr>
          <w:rFonts w:hint="eastAsia" w:ascii="仿宋" w:hAnsi="仿宋" w:eastAsia="仿宋" w:cs="仿宋"/>
          <w:sz w:val="24"/>
          <w:szCs w:val="24"/>
        </w:rPr>
        <w:t>二维灰阶成像</w:t>
      </w:r>
      <w:r>
        <w:rPr>
          <w:rFonts w:hint="eastAsia" w:ascii="仿宋" w:hAnsi="仿宋" w:eastAsia="仿宋" w:cs="仿宋"/>
          <w:sz w:val="24"/>
          <w:szCs w:val="24"/>
        </w:rPr>
        <w:sym w:font="Symbol" w:char="F0B3"/>
      </w:r>
      <w:r>
        <w:rPr>
          <w:rFonts w:hint="eastAsia" w:ascii="仿宋" w:hAnsi="仿宋" w:eastAsia="仿宋" w:cs="仿宋"/>
          <w:sz w:val="24"/>
          <w:szCs w:val="24"/>
        </w:rPr>
        <w:t>256灰阶</w:t>
      </w:r>
    </w:p>
    <w:p w14:paraId="7224683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7.6</w:t>
      </w:r>
      <w:r>
        <w:rPr>
          <w:rFonts w:hint="eastAsia" w:ascii="仿宋" w:hAnsi="仿宋" w:eastAsia="仿宋" w:cs="仿宋"/>
          <w:sz w:val="24"/>
          <w:szCs w:val="24"/>
        </w:rPr>
        <w:t>伪彩：≥16档可调</w:t>
      </w:r>
    </w:p>
    <w:p w14:paraId="17F47CF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7.7</w:t>
      </w:r>
      <w:r>
        <w:rPr>
          <w:rFonts w:hint="eastAsia" w:ascii="仿宋" w:hAnsi="仿宋" w:eastAsia="仿宋" w:cs="仿宋"/>
          <w:sz w:val="24"/>
          <w:szCs w:val="24"/>
        </w:rPr>
        <w:t>组织特性匹配，用户可根据人体组织真实情况进行调节，多级可调，匹配至最佳成像声速</w:t>
      </w:r>
    </w:p>
    <w:p w14:paraId="66E26C1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7.8</w:t>
      </w:r>
      <w:r>
        <w:rPr>
          <w:rFonts w:hint="eastAsia" w:ascii="仿宋" w:hAnsi="仿宋" w:eastAsia="仿宋" w:cs="仿宋"/>
          <w:sz w:val="24"/>
          <w:szCs w:val="24"/>
        </w:rPr>
        <w:t>系统动态范围：≥320dB</w:t>
      </w:r>
    </w:p>
    <w:p w14:paraId="122D36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频谱多普勒</w:t>
      </w:r>
    </w:p>
    <w:p w14:paraId="7316CA7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8.1</w:t>
      </w:r>
      <w:r>
        <w:rPr>
          <w:rFonts w:hint="eastAsia" w:ascii="仿宋" w:hAnsi="仿宋" w:eastAsia="仿宋" w:cs="仿宋"/>
          <w:sz w:val="24"/>
          <w:szCs w:val="24"/>
        </w:rPr>
        <w:t>显示模式：</w:t>
      </w:r>
    </w:p>
    <w:p w14:paraId="707D642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高脉冲重复频率(HPRF)</w:t>
      </w:r>
    </w:p>
    <w:p w14:paraId="5DC9A68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连续波多普勒（CW）</w:t>
      </w:r>
    </w:p>
    <w:p w14:paraId="3FFA595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脉冲多普勒(PWD)</w:t>
      </w:r>
    </w:p>
    <w:p w14:paraId="38F7191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多门多普勒（PW&amp;PW、TDI&amp;PW、TDI/TDI）</w:t>
      </w:r>
    </w:p>
    <w:p w14:paraId="6F0158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8.2</w:t>
      </w:r>
      <w:r>
        <w:rPr>
          <w:rFonts w:hint="eastAsia" w:ascii="仿宋" w:hAnsi="仿宋" w:eastAsia="仿宋" w:cs="仿宋"/>
          <w:sz w:val="24"/>
          <w:szCs w:val="24"/>
        </w:rPr>
        <w:t>最大测量速度：PWD正或反向血流速度：≥8，2m/s；CWD：血流速度</w:t>
      </w:r>
      <w:r>
        <w:rPr>
          <w:rFonts w:hint="eastAsia" w:ascii="仿宋" w:hAnsi="仿宋" w:eastAsia="仿宋" w:cs="仿宋"/>
          <w:sz w:val="24"/>
          <w:szCs w:val="24"/>
        </w:rPr>
        <w:sym w:font="Symbol" w:char="F0B3"/>
      </w:r>
      <w:r>
        <w:rPr>
          <w:rFonts w:hint="eastAsia" w:ascii="仿宋" w:hAnsi="仿宋" w:eastAsia="仿宋" w:cs="仿宋"/>
          <w:sz w:val="24"/>
          <w:szCs w:val="24"/>
        </w:rPr>
        <w:t>16.0m/s</w:t>
      </w:r>
    </w:p>
    <w:p w14:paraId="4B52869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8.3</w:t>
      </w:r>
      <w:r>
        <w:rPr>
          <w:rFonts w:hint="eastAsia" w:ascii="仿宋" w:hAnsi="仿宋" w:eastAsia="仿宋" w:cs="仿宋"/>
          <w:sz w:val="24"/>
          <w:szCs w:val="24"/>
        </w:rPr>
        <w:t>最低测量速度：≤1mm/s(非噪音信号)</w:t>
      </w:r>
    </w:p>
    <w:p w14:paraId="581BA12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8.4</w:t>
      </w:r>
      <w:r>
        <w:rPr>
          <w:rFonts w:hint="eastAsia" w:ascii="仿宋" w:hAnsi="仿宋" w:eastAsia="仿宋" w:cs="仿宋"/>
          <w:sz w:val="24"/>
          <w:szCs w:val="24"/>
        </w:rPr>
        <w:t>取样宽度及位置范围：宽度0.5mm至20mm多级可调</w:t>
      </w:r>
    </w:p>
    <w:p w14:paraId="69B9675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8.5</w:t>
      </w:r>
      <w:r>
        <w:rPr>
          <w:rFonts w:hint="eastAsia" w:ascii="仿宋" w:hAnsi="仿宋" w:eastAsia="仿宋" w:cs="仿宋"/>
          <w:sz w:val="24"/>
          <w:szCs w:val="24"/>
        </w:rPr>
        <w:t>零位移动：</w:t>
      </w:r>
      <w:r>
        <w:rPr>
          <w:rFonts w:hint="eastAsia" w:ascii="仿宋" w:hAnsi="仿宋" w:eastAsia="仿宋" w:cs="仿宋"/>
          <w:sz w:val="24"/>
          <w:szCs w:val="24"/>
        </w:rPr>
        <w:sym w:font="Symbol" w:char="F0B3"/>
      </w:r>
      <w:r>
        <w:rPr>
          <w:rFonts w:hint="eastAsia" w:ascii="仿宋" w:hAnsi="仿宋" w:eastAsia="仿宋" w:cs="仿宋"/>
          <w:sz w:val="24"/>
          <w:szCs w:val="24"/>
        </w:rPr>
        <w:t>15级</w:t>
      </w:r>
    </w:p>
    <w:p w14:paraId="23BD5C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彩色多普勒</w:t>
      </w:r>
    </w:p>
    <w:p w14:paraId="0328187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9.1</w:t>
      </w:r>
      <w:r>
        <w:rPr>
          <w:rFonts w:hint="eastAsia" w:ascii="仿宋" w:hAnsi="仿宋" w:eastAsia="仿宋" w:cs="仿宋"/>
          <w:sz w:val="24"/>
          <w:szCs w:val="24"/>
        </w:rPr>
        <w:t>显示方式：速度图(CFM)、能量图(PDI)、方向性能量图（DPDI）</w:t>
      </w:r>
    </w:p>
    <w:p w14:paraId="2908C0E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9.2</w:t>
      </w:r>
      <w:r>
        <w:rPr>
          <w:rFonts w:hint="eastAsia" w:ascii="仿宋" w:hAnsi="仿宋" w:eastAsia="仿宋" w:cs="仿宋"/>
          <w:sz w:val="24"/>
          <w:szCs w:val="24"/>
        </w:rPr>
        <w:t>扫描速率：凸阵探头，全视野，18cm深度时，彩色扫描帧率</w:t>
      </w:r>
      <w:r>
        <w:rPr>
          <w:rFonts w:hint="eastAsia" w:ascii="仿宋" w:hAnsi="仿宋" w:eastAsia="仿宋" w:cs="仿宋"/>
          <w:sz w:val="24"/>
          <w:szCs w:val="24"/>
        </w:rPr>
        <w:sym w:font="Symbol" w:char="F0B3"/>
      </w:r>
      <w:r>
        <w:rPr>
          <w:rFonts w:hint="eastAsia" w:ascii="仿宋" w:hAnsi="仿宋" w:eastAsia="仿宋" w:cs="仿宋"/>
          <w:sz w:val="24"/>
          <w:szCs w:val="24"/>
        </w:rPr>
        <w:t>63帧/秒</w:t>
      </w:r>
    </w:p>
    <w:p w14:paraId="76DC59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9.3</w:t>
      </w:r>
      <w:r>
        <w:rPr>
          <w:rFonts w:hint="eastAsia" w:ascii="仿宋" w:hAnsi="仿宋" w:eastAsia="仿宋" w:cs="仿宋"/>
          <w:sz w:val="24"/>
          <w:szCs w:val="24"/>
        </w:rPr>
        <w:t>彩色增强功能：彩色多普勒能量图(PDI);组织多普勒(TDI)</w:t>
      </w:r>
    </w:p>
    <w:p w14:paraId="39ED228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9.4</w:t>
      </w:r>
      <w:r>
        <w:rPr>
          <w:rFonts w:hint="eastAsia" w:ascii="仿宋" w:hAnsi="仿宋" w:eastAsia="仿宋" w:cs="仿宋"/>
          <w:sz w:val="24"/>
          <w:szCs w:val="24"/>
        </w:rPr>
        <w:t>具有彩色双实时功能</w:t>
      </w:r>
    </w:p>
    <w:p w14:paraId="691C924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9.5</w:t>
      </w:r>
      <w:r>
        <w:rPr>
          <w:rFonts w:hint="eastAsia" w:ascii="仿宋" w:hAnsi="仿宋" w:eastAsia="仿宋" w:cs="仿宋"/>
          <w:sz w:val="24"/>
          <w:szCs w:val="24"/>
        </w:rPr>
        <w:t>显示位置调整：线阵扫描感兴趣的图像范围：-30°～+30°</w:t>
      </w:r>
    </w:p>
    <w:p w14:paraId="0402D5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9.6</w:t>
      </w:r>
      <w:r>
        <w:rPr>
          <w:rFonts w:hint="eastAsia" w:ascii="仿宋" w:hAnsi="仿宋" w:eastAsia="仿宋" w:cs="仿宋"/>
          <w:sz w:val="24"/>
          <w:szCs w:val="24"/>
        </w:rPr>
        <w:t>高分辨率血流成像，提供高空间分辨率和时间分辨率的彩色血流图像，更细微的显示末梢血流的动态情况</w:t>
      </w:r>
    </w:p>
    <w:p w14:paraId="1F85D4D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9.7</w:t>
      </w:r>
      <w:r>
        <w:rPr>
          <w:rFonts w:hint="eastAsia" w:ascii="仿宋" w:hAnsi="仿宋" w:eastAsia="仿宋" w:cs="仿宋"/>
          <w:sz w:val="24"/>
          <w:szCs w:val="24"/>
        </w:rPr>
        <w:t>微细血流成像，经过创新的技术有效滤除软组织和噪声信号，最大限度保留超低速微细血流的信号，显著提升超微细血流信号的敏感性和成束性，有别于能量血流和高分辨率血流</w:t>
      </w:r>
    </w:p>
    <w:p w14:paraId="0C6B2B7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color w:val="231F20"/>
          <w:kern w:val="0"/>
          <w:sz w:val="24"/>
          <w:szCs w:val="24"/>
          <w:lang w:val="en-US" w:eastAsia="zh-CN"/>
        </w:rPr>
        <w:t>▲</w:t>
      </w:r>
      <w:r>
        <w:rPr>
          <w:rFonts w:hint="eastAsia" w:ascii="仿宋" w:hAnsi="仿宋" w:eastAsia="仿宋" w:cs="仿宋"/>
          <w:sz w:val="24"/>
          <w:szCs w:val="24"/>
          <w:lang w:val="en-US" w:eastAsia="zh-CN"/>
        </w:rPr>
        <w:t>9.8</w:t>
      </w:r>
      <w:r>
        <w:rPr>
          <w:rFonts w:hint="eastAsia" w:ascii="仿宋" w:hAnsi="仿宋" w:eastAsia="仿宋" w:cs="仿宋"/>
          <w:sz w:val="24"/>
          <w:szCs w:val="24"/>
        </w:rPr>
        <w:t>具备二维立体血流成像技术，对二维彩色多普勒进行立体渲染，增强血流边界的显示及可视化效果，可以与彩色血流、彩色能量、高分辨率血流、超精微血流联合使用</w:t>
      </w:r>
    </w:p>
    <w:p w14:paraId="1EE9DC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超声功率输出调节</w:t>
      </w:r>
    </w:p>
    <w:p w14:paraId="2BA90C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10.1具有</w:t>
      </w:r>
      <w:r>
        <w:rPr>
          <w:rFonts w:hint="eastAsia" w:ascii="仿宋" w:hAnsi="仿宋" w:eastAsia="仿宋" w:cs="仿宋"/>
          <w:sz w:val="24"/>
          <w:szCs w:val="24"/>
        </w:rPr>
        <w:t>B、M、PWD、CFM</w:t>
      </w:r>
    </w:p>
    <w:p w14:paraId="702E7C4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10.2</w:t>
      </w:r>
      <w:r>
        <w:rPr>
          <w:rFonts w:hint="eastAsia" w:ascii="仿宋" w:hAnsi="仿宋" w:eastAsia="仿宋" w:cs="仿宋"/>
          <w:sz w:val="24"/>
          <w:szCs w:val="24"/>
        </w:rPr>
        <w:t>输出功率选择独立分级可调</w:t>
      </w:r>
    </w:p>
    <w:p w14:paraId="53B881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记录装置</w:t>
      </w:r>
    </w:p>
    <w:p w14:paraId="02B28C5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11.1</w:t>
      </w:r>
      <w:r>
        <w:rPr>
          <w:rFonts w:hint="eastAsia" w:ascii="仿宋" w:hAnsi="仿宋" w:eastAsia="仿宋" w:cs="仿宋"/>
          <w:sz w:val="24"/>
          <w:szCs w:val="24"/>
        </w:rPr>
        <w:t>内置一体化超声工作站：数字化储存静态及动态图像，动态图像及静态图像以AVI、WMV、TIF、BMP或JPG等PC通用格式直接储存。</w:t>
      </w:r>
    </w:p>
    <w:p w14:paraId="0E29C6B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11.2</w:t>
      </w:r>
      <w:r>
        <w:rPr>
          <w:rFonts w:hint="eastAsia" w:ascii="仿宋" w:hAnsi="仿宋" w:eastAsia="仿宋" w:cs="仿宋"/>
          <w:sz w:val="24"/>
          <w:szCs w:val="24"/>
        </w:rPr>
        <w:t>DVD-RW或USB图像存储</w:t>
      </w:r>
    </w:p>
    <w:p w14:paraId="26F422E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11.3</w:t>
      </w:r>
      <w:r>
        <w:rPr>
          <w:rFonts w:hint="eastAsia" w:ascii="仿宋" w:hAnsi="仿宋" w:eastAsia="仿宋" w:cs="仿宋"/>
          <w:sz w:val="24"/>
          <w:szCs w:val="24"/>
        </w:rPr>
        <w:t>内置USB接口≥5个，用于图像传输</w:t>
      </w:r>
    </w:p>
    <w:p w14:paraId="69BEED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售后及其他</w:t>
      </w:r>
    </w:p>
    <w:p w14:paraId="7CF8C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所投彩色多普勒超声诊断仪产品整机质保≥3年，所投产品在保修期内维修保养次数≥4次/年，驻地以上城市具有厂家备件库及售后服务工程师，支持安装、调试、培训及维修</w:t>
      </w:r>
      <w:r>
        <w:rPr>
          <w:rFonts w:hint="eastAsia" w:ascii="仿宋" w:hAnsi="仿宋" w:eastAsia="仿宋" w:cs="仿宋"/>
          <w:sz w:val="24"/>
          <w:szCs w:val="24"/>
          <w:lang w:eastAsia="zh-CN"/>
        </w:rPr>
        <w:t>。</w:t>
      </w:r>
    </w:p>
    <w:p w14:paraId="3D60EE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2.配备</w:t>
      </w:r>
      <w:r>
        <w:rPr>
          <w:rFonts w:hint="eastAsia" w:ascii="仿宋" w:hAnsi="仿宋" w:eastAsia="仿宋" w:cs="仿宋"/>
          <w:sz w:val="24"/>
          <w:szCs w:val="24"/>
        </w:rPr>
        <w:t>超声计算机图文工作站、可升降检查床1张，2张检查专业椅</w:t>
      </w:r>
      <w:r>
        <w:rPr>
          <w:rFonts w:hint="eastAsia" w:ascii="仿宋" w:hAnsi="仿宋" w:eastAsia="仿宋" w:cs="仿宋"/>
          <w:sz w:val="24"/>
          <w:szCs w:val="24"/>
          <w:lang w:eastAsia="zh-CN"/>
        </w:rPr>
        <w:t>。</w:t>
      </w:r>
    </w:p>
    <w:p w14:paraId="58821BE8">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44D9FB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8"/>
          <w:szCs w:val="28"/>
          <w:highlight w:val="none"/>
          <w:lang w:val="en-US" w:eastAsia="zh-CN"/>
        </w:rPr>
        <w:t>商务要求</w:t>
      </w:r>
    </w:p>
    <w:p w14:paraId="0D147F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1.项目实施地点：采购人指定地点。</w:t>
      </w:r>
    </w:p>
    <w:p w14:paraId="7332E9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2.付款方式：验收合格后，按照合同约定的期限医院向中标方支付验收合格货款总额的90%，合同履约结束后，无息支付验收合格货款总额的10% 。</w:t>
      </w:r>
    </w:p>
    <w:p w14:paraId="50AC0F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3.中标人在供货时，须保证各类产品质量合格，证件齐全有效。</w:t>
      </w:r>
    </w:p>
    <w:p w14:paraId="257F49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产品必须满足现行国家、行业标准的规定。采购的产品应保证是全新、未使用过的，完全符合采购要求规定的质量、规格、性能和技术规范的要求；所供的产品必须具有出厂产品质量合格证，国家有关质量检测合格、手续齐全且合法的产品。</w:t>
      </w:r>
    </w:p>
    <w:p w14:paraId="04CD63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5.供应商提供的产品应是最新生产且检验合格的产品（供货时需提供产品检验合格证明或检验报告），如果采购人购买的产品需要调换且在质保期内的，应无条件予以更换。</w:t>
      </w:r>
    </w:p>
    <w:p w14:paraId="5FCAF3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供应商对所供的耗材应在医院库房适当备货（至少备一个月的估算供货量），确保医院需要。接到医院下达的采购通知后，应在2日内供货到位，临时采购计划在规定的时间内供货，急用产品必须保证随时下达计划随时供货，不得因供货不及时影响采购人正常医疗工作。</w:t>
      </w:r>
    </w:p>
    <w:p w14:paraId="0ED864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7.采购标的验收标准为：</w:t>
      </w:r>
    </w:p>
    <w:p w14:paraId="22628B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1)采购人对不符合要求的产品，有权拒绝接受供应商应对不符合要求的产品及时进行更换，不得影响采购人的使用。</w:t>
      </w:r>
    </w:p>
    <w:p w14:paraId="41C99E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48E46904">
      <w:pPr>
        <w:pStyle w:val="2"/>
        <w:pageBreakBefore w:val="0"/>
        <w:kinsoku/>
        <w:bidi w:val="0"/>
        <w:spacing w:before="0" w:after="0" w:line="360" w:lineRule="auto"/>
        <w:jc w:val="center"/>
        <w:rPr>
          <w:rFonts w:hint="eastAsia" w:ascii="仿宋" w:hAnsi="仿宋" w:eastAsia="仿宋" w:cs="仿宋"/>
          <w:color w:val="auto"/>
          <w:highlight w:val="none"/>
        </w:rPr>
      </w:pPr>
      <w:bookmarkStart w:id="867" w:name="_Toc15841"/>
      <w:r>
        <w:rPr>
          <w:rFonts w:hint="eastAsia" w:ascii="仿宋" w:hAnsi="仿宋" w:eastAsia="仿宋" w:cs="仿宋"/>
          <w:color w:val="auto"/>
          <w:highlight w:val="none"/>
        </w:rPr>
        <w:t>第七章 附件</w:t>
      </w:r>
      <w:bookmarkEnd w:id="847"/>
      <w:bookmarkEnd w:id="848"/>
      <w:bookmarkEnd w:id="849"/>
      <w:bookmarkEnd w:id="861"/>
      <w:bookmarkEnd w:id="862"/>
      <w:bookmarkEnd w:id="863"/>
      <w:bookmarkEnd w:id="864"/>
      <w:bookmarkEnd w:id="865"/>
      <w:bookmarkEnd w:id="867"/>
    </w:p>
    <w:p w14:paraId="0E0C3AAB">
      <w:pPr>
        <w:pStyle w:val="4"/>
        <w:pageBreakBefore w:val="0"/>
        <w:kinsoku/>
        <w:bidi w:val="0"/>
        <w:spacing w:line="360" w:lineRule="auto"/>
        <w:jc w:val="center"/>
        <w:rPr>
          <w:rFonts w:hint="eastAsia" w:ascii="仿宋" w:hAnsi="仿宋" w:eastAsia="仿宋" w:cs="仿宋"/>
          <w:color w:val="auto"/>
          <w:sz w:val="24"/>
          <w:szCs w:val="24"/>
          <w:highlight w:val="none"/>
        </w:rPr>
      </w:pPr>
      <w:bookmarkStart w:id="868" w:name="_Toc71734777"/>
      <w:bookmarkStart w:id="869" w:name="_Toc8082"/>
      <w:bookmarkStart w:id="870" w:name="_Toc31789"/>
      <w:r>
        <w:rPr>
          <w:rFonts w:hint="eastAsia" w:ascii="仿宋" w:hAnsi="仿宋" w:eastAsia="仿宋" w:cs="仿宋"/>
          <w:color w:val="auto"/>
          <w:sz w:val="24"/>
          <w:szCs w:val="24"/>
          <w:highlight w:val="none"/>
        </w:rPr>
        <w:t>1.</w:t>
      </w:r>
      <w:bookmarkEnd w:id="868"/>
      <w:bookmarkEnd w:id="869"/>
      <w:bookmarkEnd w:id="870"/>
      <w:bookmarkStart w:id="871" w:name="_Hlk91521107"/>
      <w:r>
        <w:rPr>
          <w:rFonts w:hint="eastAsia" w:ascii="仿宋" w:hAnsi="仿宋" w:eastAsia="仿宋" w:cs="仿宋"/>
          <w:color w:val="auto"/>
          <w:sz w:val="24"/>
          <w:szCs w:val="24"/>
          <w:highlight w:val="none"/>
        </w:rPr>
        <w:t>中小企业声明函(货物) （若有）</w:t>
      </w:r>
    </w:p>
    <w:p w14:paraId="6B308510">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rPr>
        <w:t xml:space="preserve"> </w:t>
      </w:r>
      <w:r>
        <w:rPr>
          <w:rFonts w:hint="eastAsia" w:ascii="仿宋" w:hAnsi="仿宋" w:eastAsia="仿宋" w:cs="仿宋"/>
          <w:color w:val="auto"/>
          <w:highlight w:val="none"/>
        </w:rPr>
        <w:t>本公司（联合体）郑重声明，根据《政府采购促进中小企业发展管理办法》（财库﹝2020﹞46 号）的规定，本公司（联合体）参加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08E61762">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rPr>
        <w:t xml:space="preserve">1. </w:t>
      </w:r>
      <w:r>
        <w:rPr>
          <w:rFonts w:hint="eastAsia" w:ascii="仿宋" w:hAnsi="仿宋" w:eastAsia="仿宋" w:cs="仿宋"/>
          <w:color w:val="auto"/>
          <w:highlight w:val="none"/>
          <w:u w:val="single"/>
        </w:rPr>
        <w:t xml:space="preserve">（标的名称） </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w:t>
      </w:r>
      <w:r>
        <w:rPr>
          <w:rFonts w:hint="eastAsia" w:ascii="仿宋" w:hAnsi="仿宋" w:eastAsia="仿宋" w:cs="仿宋"/>
          <w:color w:val="auto"/>
          <w:highlight w:val="none"/>
          <w:vertAlign w:val="superscript"/>
        </w:rPr>
        <w:t>1</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74004C7C">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rPr>
        <w:t xml:space="preserve">2. </w:t>
      </w:r>
      <w:r>
        <w:rPr>
          <w:rFonts w:hint="eastAsia" w:ascii="仿宋" w:hAnsi="仿宋" w:eastAsia="仿宋" w:cs="仿宋"/>
          <w:color w:val="auto"/>
          <w:highlight w:val="none"/>
          <w:u w:val="single"/>
        </w:rPr>
        <w:t xml:space="preserve">（标的名称） </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693D3F32">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（标的名称） </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w:t>
      </w:r>
      <w:r>
        <w:rPr>
          <w:rFonts w:hint="eastAsia" w:ascii="仿宋" w:hAnsi="仿宋" w:eastAsia="仿宋" w:cs="仿宋"/>
          <w:color w:val="auto"/>
          <w:highlight w:val="none"/>
          <w:vertAlign w:val="superscript"/>
        </w:rPr>
        <w:t>1</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45B4DDDA">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rPr>
        <w:t>……</w:t>
      </w:r>
    </w:p>
    <w:p w14:paraId="1BB42B46">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BA53F4A">
      <w:pPr>
        <w:pageBreakBefore w:val="0"/>
        <w:kinsoku/>
        <w:autoSpaceDE w:val="0"/>
        <w:autoSpaceDN w:val="0"/>
        <w:bidi w:val="0"/>
        <w:adjustRightInd w:val="0"/>
        <w:spacing w:line="360" w:lineRule="auto"/>
        <w:ind w:firstLine="561"/>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566CAFDA">
      <w:pPr>
        <w:pageBreakBefore w:val="0"/>
        <w:kinsoku/>
        <w:bidi w:val="0"/>
        <w:spacing w:line="360" w:lineRule="auto"/>
        <w:ind w:firstLine="420" w:firstLineChars="200"/>
        <w:rPr>
          <w:rFonts w:hint="eastAsia" w:ascii="仿宋" w:hAnsi="仿宋" w:eastAsia="仿宋" w:cs="仿宋"/>
          <w:color w:val="auto"/>
          <w:highlight w:val="none"/>
        </w:rPr>
      </w:pPr>
    </w:p>
    <w:p w14:paraId="26DA69E1">
      <w:pPr>
        <w:pStyle w:val="63"/>
        <w:pageBreakBefore w:val="0"/>
        <w:kinsoku/>
        <w:bidi w:val="0"/>
        <w:spacing w:before="120" w:line="360" w:lineRule="auto"/>
        <w:ind w:firstLine="5775" w:firstLineChars="2750"/>
        <w:rPr>
          <w:rFonts w:hint="eastAsia" w:ascii="仿宋" w:hAnsi="仿宋" w:eastAsia="仿宋" w:cs="仿宋"/>
          <w:color w:val="auto"/>
          <w:kern w:val="2"/>
          <w:sz w:val="21"/>
          <w:szCs w:val="21"/>
          <w:highlight w:val="none"/>
        </w:rPr>
      </w:pPr>
    </w:p>
    <w:p w14:paraId="652A5BEF">
      <w:pPr>
        <w:pStyle w:val="63"/>
        <w:pageBreakBefore w:val="0"/>
        <w:kinsoku/>
        <w:bidi w:val="0"/>
        <w:spacing w:before="120" w:line="360" w:lineRule="auto"/>
        <w:ind w:firstLine="4830" w:firstLineChars="2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企业名称（加盖电子公章）：</w:t>
      </w:r>
    </w:p>
    <w:p w14:paraId="28540146">
      <w:pPr>
        <w:pageBreakBefore w:val="0"/>
        <w:kinsoku/>
        <w:bidi w:val="0"/>
        <w:spacing w:line="360" w:lineRule="auto"/>
        <w:ind w:right="960"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E5725C0">
      <w:pPr>
        <w:pageBreakBefore w:val="0"/>
        <w:kinsoku/>
        <w:bidi w:val="0"/>
        <w:spacing w:line="360" w:lineRule="auto"/>
        <w:ind w:right="960"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______</w:t>
      </w:r>
      <w:r>
        <w:rPr>
          <w:rFonts w:hint="eastAsia" w:ascii="仿宋" w:hAnsi="仿宋" w:eastAsia="仿宋" w:cs="仿宋"/>
          <w:color w:val="auto"/>
          <w:highlight w:val="none"/>
        </w:rPr>
        <w:t>年</w:t>
      </w:r>
      <w:r>
        <w:rPr>
          <w:rFonts w:hint="eastAsia" w:ascii="仿宋" w:hAnsi="仿宋" w:eastAsia="仿宋" w:cs="仿宋"/>
          <w:color w:val="auto"/>
          <w:highlight w:val="none"/>
          <w:u w:val="single"/>
        </w:rPr>
        <w:t>_____</w:t>
      </w:r>
      <w:r>
        <w:rPr>
          <w:rFonts w:hint="eastAsia" w:ascii="仿宋" w:hAnsi="仿宋" w:eastAsia="仿宋" w:cs="仿宋"/>
          <w:color w:val="auto"/>
          <w:highlight w:val="none"/>
        </w:rPr>
        <w:t>月</w:t>
      </w:r>
      <w:r>
        <w:rPr>
          <w:rFonts w:hint="eastAsia" w:ascii="仿宋" w:hAnsi="仿宋" w:eastAsia="仿宋" w:cs="仿宋"/>
          <w:color w:val="auto"/>
          <w:highlight w:val="none"/>
          <w:u w:val="single"/>
        </w:rPr>
        <w:t>_____</w:t>
      </w:r>
      <w:r>
        <w:rPr>
          <w:rFonts w:hint="eastAsia" w:ascii="仿宋" w:hAnsi="仿宋" w:eastAsia="仿宋" w:cs="仿宋"/>
          <w:color w:val="auto"/>
          <w:highlight w:val="none"/>
        </w:rPr>
        <w:t>日</w:t>
      </w:r>
    </w:p>
    <w:p w14:paraId="64584A4E">
      <w:pPr>
        <w:pStyle w:val="10"/>
        <w:pageBreakBefore w:val="0"/>
        <w:kinsoku/>
        <w:bidi w:val="0"/>
        <w:spacing w:line="360" w:lineRule="auto"/>
        <w:ind w:firstLine="422"/>
        <w:jc w:val="left"/>
        <w:rPr>
          <w:rFonts w:hint="eastAsia" w:ascii="仿宋" w:hAnsi="仿宋" w:eastAsia="仿宋" w:cs="仿宋"/>
          <w:b/>
          <w:color w:val="auto"/>
          <w:highlight w:val="none"/>
        </w:rPr>
      </w:pPr>
    </w:p>
    <w:p w14:paraId="664024A0">
      <w:pPr>
        <w:pageBreakBefore w:val="0"/>
        <w:kinsoku/>
        <w:bidi w:val="0"/>
        <w:spacing w:line="360"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注：</w:t>
      </w:r>
    </w:p>
    <w:p w14:paraId="60EFD3D8">
      <w:pPr>
        <w:pageBreakBefore w:val="0"/>
        <w:kinsoku/>
        <w:bidi w:val="0"/>
        <w:spacing w:line="360"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1.从业人员、营业收入、资产总额填报上一年度数据，无上一年度数据的新成立企业可不填报。</w:t>
      </w:r>
    </w:p>
    <w:p w14:paraId="3F195109">
      <w:pPr>
        <w:pageBreakBefore w:val="0"/>
        <w:kinsoku/>
        <w:bidi w:val="0"/>
        <w:spacing w:line="360" w:lineRule="auto"/>
        <w:rPr>
          <w:rFonts w:hint="eastAsia" w:ascii="仿宋" w:hAnsi="仿宋" w:eastAsia="仿宋" w:cs="仿宋"/>
          <w:snapToGrid w:val="0"/>
          <w:color w:val="auto"/>
          <w:highlight w:val="none"/>
        </w:rPr>
      </w:pPr>
    </w:p>
    <w:p w14:paraId="00A2478F">
      <w:pPr>
        <w:pageBreakBefore w:val="0"/>
        <w:widowControl/>
        <w:shd w:val="clear" w:color="auto" w:fill="FFFFFF"/>
        <w:kinsoku/>
        <w:bidi w:val="0"/>
        <w:spacing w:line="360" w:lineRule="auto"/>
        <w:ind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67608767">
      <w:pPr>
        <w:pageBreakBefore w:val="0"/>
        <w:widowControl/>
        <w:numPr>
          <w:ilvl w:val="0"/>
          <w:numId w:val="0"/>
        </w:numPr>
        <w:shd w:val="clear" w:color="auto" w:fill="FFFFFF"/>
        <w:kinsoku/>
        <w:bidi w:val="0"/>
        <w:spacing w:line="360" w:lineRule="auto"/>
        <w:ind w:firstLine="48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b/>
          <w:bCs/>
          <w:color w:val="auto"/>
          <w:kern w:val="0"/>
          <w:sz w:val="24"/>
          <w:szCs w:val="24"/>
          <w:highlight w:val="none"/>
        </w:rPr>
        <w:t>如不是</w:t>
      </w:r>
      <w:r>
        <w:rPr>
          <w:rFonts w:hint="eastAsia" w:ascii="仿宋" w:hAnsi="仿宋" w:eastAsia="仿宋" w:cs="仿宋"/>
          <w:b/>
          <w:bCs/>
          <w:color w:val="auto"/>
          <w:sz w:val="24"/>
          <w:szCs w:val="24"/>
          <w:highlight w:val="none"/>
        </w:rPr>
        <w:t>中小企业，则无需提供或填写。</w:t>
      </w:r>
    </w:p>
    <w:p w14:paraId="365C6748">
      <w:pPr>
        <w:pageBreakBefore w:val="0"/>
        <w:widowControl/>
        <w:numPr>
          <w:ilvl w:val="0"/>
          <w:numId w:val="0"/>
        </w:numPr>
        <w:shd w:val="clear" w:color="auto" w:fill="FFFFFF"/>
        <w:kinsoku/>
        <w:bidi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SA"/>
        </w:rPr>
        <w:t>2、</w:t>
      </w:r>
      <w:r>
        <w:rPr>
          <w:rFonts w:hint="eastAsia" w:ascii="仿宋" w:hAnsi="仿宋" w:eastAsia="仿宋" w:cs="仿宋"/>
          <w:b/>
          <w:bCs/>
          <w:color w:val="auto"/>
          <w:kern w:val="0"/>
          <w:sz w:val="24"/>
          <w:szCs w:val="24"/>
          <w:highlight w:val="none"/>
        </w:rPr>
        <w:t>享受本招标文件规定的中小企业扶持政策的，将随中标结果公开中标人的《中小企业声明函》。</w:t>
      </w:r>
    </w:p>
    <w:p w14:paraId="22159A48">
      <w:pPr>
        <w:pageBreakBefore w:val="0"/>
        <w:widowControl/>
        <w:numPr>
          <w:ilvl w:val="0"/>
          <w:numId w:val="0"/>
        </w:numPr>
        <w:shd w:val="clear" w:color="auto" w:fill="FFFFFF"/>
        <w:kinsoku/>
        <w:bidi w:val="0"/>
        <w:spacing w:line="360" w:lineRule="auto"/>
        <w:ind w:firstLine="48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SA"/>
        </w:rPr>
        <w:t>3、</w:t>
      </w:r>
      <w:r>
        <w:rPr>
          <w:rFonts w:hint="eastAsia" w:ascii="仿宋" w:hAnsi="仿宋" w:eastAsia="仿宋" w:cs="仿宋"/>
          <w:b/>
          <w:bCs/>
          <w:color w:val="auto"/>
          <w:kern w:val="0"/>
          <w:sz w:val="24"/>
          <w:szCs w:val="24"/>
          <w:highlight w:val="none"/>
        </w:rPr>
        <w:t>所声明的从业人员人数、营业收入金额或资产总额不实的，依照《中华人民共和国政府采购法》等国家有关规定追究相应责任。</w:t>
      </w:r>
    </w:p>
    <w:p w14:paraId="371A5C2B">
      <w:pPr>
        <w:pageBreakBefore w:val="0"/>
        <w:widowControl/>
        <w:numPr>
          <w:ilvl w:val="0"/>
          <w:numId w:val="0"/>
        </w:numPr>
        <w:shd w:val="clear" w:color="auto" w:fill="FFFFFF"/>
        <w:kinsoku/>
        <w:bidi w:val="0"/>
        <w:spacing w:line="360" w:lineRule="auto"/>
        <w:ind w:firstLine="480" w:firstLineChars="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SA"/>
        </w:rPr>
        <w:t>4、</w:t>
      </w:r>
      <w:r>
        <w:rPr>
          <w:rFonts w:hint="eastAsia" w:ascii="仿宋" w:hAnsi="仿宋" w:eastAsia="仿宋" w:cs="仿宋"/>
          <w:b/>
          <w:bCs/>
          <w:color w:val="auto"/>
          <w:kern w:val="0"/>
          <w:sz w:val="24"/>
          <w:szCs w:val="24"/>
          <w:highlight w:val="none"/>
          <w:lang w:eastAsia="zh-CN"/>
        </w:rPr>
        <w:t>供应商</w:t>
      </w:r>
      <w:r>
        <w:rPr>
          <w:rFonts w:hint="eastAsia" w:ascii="仿宋" w:hAnsi="仿宋" w:eastAsia="仿宋" w:cs="仿宋"/>
          <w:b/>
          <w:bCs/>
          <w:color w:val="auto"/>
          <w:kern w:val="0"/>
          <w:sz w:val="24"/>
          <w:szCs w:val="24"/>
          <w:highlight w:val="none"/>
        </w:rPr>
        <w:t>须核对《关于印发中小企业划型标准规定的通知》（工信部联企业〔2011〕300号）规定的中小企业划型标准及招标文件中明确的所属行业填列，中小企业划型填写错误或所属行业填写错误的，评标委员会将不予进行价格扣除。</w:t>
      </w:r>
    </w:p>
    <w:p w14:paraId="2969AE44">
      <w:pPr>
        <w:pStyle w:val="63"/>
        <w:pageBreakBefore w:val="0"/>
        <w:kinsoku/>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871"/>
    <w:p w14:paraId="6CAAF41B">
      <w:pPr>
        <w:pStyle w:val="4"/>
        <w:pageBreakBefore w:val="0"/>
        <w:kinsoku/>
        <w:bidi w:val="0"/>
        <w:spacing w:before="0" w:after="0" w:line="360" w:lineRule="auto"/>
        <w:ind w:left="420" w:leftChars="200"/>
        <w:jc w:val="center"/>
        <w:rPr>
          <w:rFonts w:hint="eastAsia" w:ascii="仿宋" w:hAnsi="仿宋" w:eastAsia="仿宋" w:cs="仿宋"/>
          <w:color w:val="auto"/>
          <w:sz w:val="24"/>
          <w:szCs w:val="24"/>
          <w:highlight w:val="none"/>
        </w:rPr>
      </w:pPr>
      <w:bookmarkStart w:id="872" w:name="_Toc71734778"/>
      <w:bookmarkStart w:id="873" w:name="_Toc2417"/>
      <w:bookmarkStart w:id="874" w:name="_Toc3518"/>
      <w:bookmarkStart w:id="875" w:name="_Toc56070134"/>
      <w:r>
        <w:rPr>
          <w:rFonts w:hint="eastAsia" w:ascii="仿宋" w:hAnsi="仿宋" w:eastAsia="仿宋" w:cs="仿宋"/>
          <w:color w:val="auto"/>
          <w:sz w:val="24"/>
          <w:szCs w:val="24"/>
          <w:highlight w:val="none"/>
        </w:rPr>
        <w:t>2.监狱企业证明文件（如有）</w:t>
      </w:r>
      <w:bookmarkEnd w:id="872"/>
      <w:bookmarkEnd w:id="873"/>
      <w:bookmarkEnd w:id="874"/>
      <w:bookmarkEnd w:id="875"/>
    </w:p>
    <w:p w14:paraId="6DE783C3">
      <w:pPr>
        <w:pageBreakBefore w:val="0"/>
        <w:kinsoku/>
        <w:bidi w:val="0"/>
        <w:spacing w:line="360" w:lineRule="auto"/>
        <w:ind w:left="420" w:leftChars="200" w:firstLine="480" w:firstLineChars="200"/>
        <w:jc w:val="left"/>
        <w:rPr>
          <w:rFonts w:hint="eastAsia" w:ascii="仿宋" w:hAnsi="仿宋" w:eastAsia="仿宋" w:cs="仿宋"/>
          <w:color w:val="auto"/>
          <w:sz w:val="24"/>
          <w:szCs w:val="24"/>
          <w:highlight w:val="none"/>
        </w:rPr>
      </w:pPr>
    </w:p>
    <w:p w14:paraId="2209D1AC">
      <w:pPr>
        <w:pageBreakBefore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46FD14">
      <w:pPr>
        <w:pageBreakBefore w:val="0"/>
        <w:kinsoku/>
        <w:bidi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0"/>
          <w:highlight w:val="none"/>
        </w:rPr>
        <w:t>监狱企业参加政府采购活动时，应当提供由省级以上监狱管理局、戒毒管理局（含新疆生产建设兵团）出具的属于监狱企业的证明文件。</w:t>
      </w:r>
    </w:p>
    <w:p w14:paraId="3971B179">
      <w:pPr>
        <w:pageBreakBefore w:val="0"/>
        <w:kinsoku/>
        <w:bidi w:val="0"/>
        <w:spacing w:line="360" w:lineRule="auto"/>
        <w:ind w:left="420" w:leftChars="200"/>
        <w:rPr>
          <w:rFonts w:hint="eastAsia" w:ascii="仿宋" w:hAnsi="仿宋" w:eastAsia="仿宋" w:cs="仿宋"/>
          <w:color w:val="auto"/>
          <w:kern w:val="0"/>
          <w:sz w:val="24"/>
          <w:szCs w:val="24"/>
          <w:highlight w:val="none"/>
        </w:rPr>
      </w:pPr>
    </w:p>
    <w:p w14:paraId="552F6A8E">
      <w:pPr>
        <w:pageBreakBefore w:val="0"/>
        <w:widowControl/>
        <w:shd w:val="clear" w:color="auto" w:fill="FFFFFF"/>
        <w:kinsoku/>
        <w:bidi w:val="0"/>
        <w:spacing w:line="360" w:lineRule="auto"/>
        <w:ind w:left="420" w:leftChars="200" w:firstLine="480"/>
        <w:jc w:val="left"/>
        <w:rPr>
          <w:rFonts w:hint="eastAsia" w:ascii="仿宋" w:hAnsi="仿宋" w:eastAsia="仿宋" w:cs="仿宋"/>
          <w:color w:val="auto"/>
          <w:kern w:val="0"/>
          <w:sz w:val="24"/>
          <w:szCs w:val="24"/>
          <w:highlight w:val="none"/>
        </w:rPr>
      </w:pPr>
    </w:p>
    <w:p w14:paraId="447E8729">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7C40D692">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5D83DBD7">
      <w:pPr>
        <w:pageBreakBefore w:val="0"/>
        <w:widowControl/>
        <w:shd w:val="clear" w:color="auto" w:fill="FFFFFF"/>
        <w:kinsoku/>
        <w:bidi w:val="0"/>
        <w:spacing w:line="360" w:lineRule="auto"/>
        <w:ind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注：如不是监狱企业</w:t>
      </w:r>
      <w:r>
        <w:rPr>
          <w:rFonts w:hint="eastAsia" w:ascii="仿宋" w:hAnsi="仿宋" w:eastAsia="仿宋" w:cs="仿宋"/>
          <w:b/>
          <w:bCs/>
          <w:color w:val="auto"/>
          <w:sz w:val="24"/>
          <w:szCs w:val="24"/>
          <w:highlight w:val="none"/>
        </w:rPr>
        <w:t>，则无需提供或填写。</w:t>
      </w:r>
    </w:p>
    <w:p w14:paraId="2530DF5C">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243216C0">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7499C83D">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30FD0B2D">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178B90D2">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37694E38">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617FD9E6">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5C95A3B3">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6556155A">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4B5399B9">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13288C9A">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74126EEE">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0AE024D1">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7693E923">
      <w:pPr>
        <w:pStyle w:val="15"/>
        <w:pageBreakBefore w:val="0"/>
        <w:kinsoku/>
        <w:bidi w:val="0"/>
        <w:spacing w:line="360" w:lineRule="auto"/>
        <w:ind w:left="420" w:leftChars="200"/>
        <w:rPr>
          <w:rFonts w:hint="eastAsia" w:ascii="仿宋" w:hAnsi="仿宋" w:eastAsia="仿宋" w:cs="仿宋"/>
          <w:color w:val="auto"/>
          <w:highlight w:val="none"/>
          <w:lang w:val="en-US" w:bidi="ar-SA"/>
        </w:rPr>
      </w:pPr>
    </w:p>
    <w:p w14:paraId="3A56B212">
      <w:pPr>
        <w:pageBreakBefore w:val="0"/>
        <w:widowControl/>
        <w:kinsoku/>
        <w:bidi w:val="0"/>
        <w:spacing w:line="360" w:lineRule="auto"/>
        <w:jc w:val="left"/>
        <w:rPr>
          <w:rFonts w:hint="eastAsia" w:ascii="仿宋" w:hAnsi="仿宋" w:eastAsia="仿宋" w:cs="仿宋"/>
          <w:b/>
          <w:bCs/>
          <w:color w:val="auto"/>
          <w:kern w:val="0"/>
          <w:sz w:val="24"/>
          <w:szCs w:val="24"/>
          <w:highlight w:val="none"/>
        </w:rPr>
      </w:pPr>
      <w:bookmarkStart w:id="876" w:name="_Toc71734779"/>
      <w:bookmarkStart w:id="877" w:name="_Toc28099"/>
      <w:bookmarkStart w:id="878" w:name="_Toc11354"/>
    </w:p>
    <w:p w14:paraId="14278A5D">
      <w:pPr>
        <w:pStyle w:val="4"/>
        <w:pageBreakBefore w:val="0"/>
        <w:kinsoku/>
        <w:bidi w:val="0"/>
        <w:spacing w:before="0" w:after="0" w:line="360" w:lineRule="auto"/>
        <w:ind w:left="42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3.残疾人福利性单位声明函</w:t>
      </w:r>
      <w:bookmarkEnd w:id="876"/>
      <w:bookmarkEnd w:id="877"/>
      <w:bookmarkEnd w:id="878"/>
      <w:bookmarkStart w:id="879" w:name="_Hlk57461325"/>
      <w:r>
        <w:rPr>
          <w:rFonts w:hint="eastAsia" w:ascii="仿宋" w:hAnsi="仿宋" w:eastAsia="仿宋" w:cs="仿宋"/>
          <w:color w:val="auto"/>
          <w:sz w:val="24"/>
          <w:szCs w:val="24"/>
          <w:highlight w:val="none"/>
        </w:rPr>
        <w:t>（如有）</w:t>
      </w:r>
    </w:p>
    <w:p w14:paraId="2C55BE01">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01F5C4">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378FA9FD">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p>
    <w:p w14:paraId="70D572E3">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p>
    <w:p w14:paraId="2EBC7C86">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单位名称（盖章）：</w:t>
      </w:r>
    </w:p>
    <w:p w14:paraId="7A12F185">
      <w:pPr>
        <w:pStyle w:val="8"/>
        <w:pageBreakBefore w:val="0"/>
        <w:shd w:val="clear" w:color="auto" w:fill="FFFFFF"/>
        <w:kinsoku/>
        <w:bidi w:val="0"/>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日期：</w:t>
      </w:r>
    </w:p>
    <w:p w14:paraId="3793659A">
      <w:pPr>
        <w:pageBreakBefore w:val="0"/>
        <w:kinsoku/>
        <w:bidi w:val="0"/>
        <w:spacing w:line="360" w:lineRule="auto"/>
        <w:ind w:left="420" w:leftChars="200"/>
        <w:rPr>
          <w:rFonts w:hint="eastAsia" w:ascii="仿宋" w:hAnsi="仿宋" w:eastAsia="仿宋" w:cs="仿宋"/>
          <w:color w:val="auto"/>
          <w:highlight w:val="none"/>
        </w:rPr>
      </w:pPr>
    </w:p>
    <w:p w14:paraId="73D26CB7">
      <w:pPr>
        <w:pageBreakBefore w:val="0"/>
        <w:kinsoku/>
        <w:bidi w:val="0"/>
        <w:spacing w:line="360" w:lineRule="auto"/>
        <w:rPr>
          <w:rFonts w:hint="eastAsia" w:ascii="仿宋" w:hAnsi="仿宋" w:eastAsia="仿宋" w:cs="仿宋"/>
          <w:color w:val="auto"/>
          <w:highlight w:val="none"/>
        </w:rPr>
      </w:pPr>
    </w:p>
    <w:bookmarkEnd w:id="879"/>
    <w:p w14:paraId="39873F39">
      <w:pPr>
        <w:pageBreakBefore w:val="0"/>
        <w:widowControl/>
        <w:shd w:val="clear" w:color="auto" w:fill="FFFFFF"/>
        <w:kinsoku/>
        <w:bidi w:val="0"/>
        <w:spacing w:line="360" w:lineRule="auto"/>
        <w:ind w:left="420" w:leftChars="20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注： </w:t>
      </w:r>
    </w:p>
    <w:p w14:paraId="67EE9493">
      <w:pPr>
        <w:pageBreakBefore w:val="0"/>
        <w:widowControl/>
        <w:shd w:val="clear" w:color="auto" w:fill="FFFFFF"/>
        <w:kinsoku/>
        <w:bidi w:val="0"/>
        <w:spacing w:line="360" w:lineRule="auto"/>
        <w:ind w:left="420" w:leftChars="20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eastAsia="zh-CN"/>
        </w:rPr>
        <w:t>供应商</w:t>
      </w:r>
      <w:r>
        <w:rPr>
          <w:rFonts w:hint="eastAsia" w:ascii="仿宋" w:hAnsi="仿宋" w:eastAsia="仿宋" w:cs="仿宋"/>
          <w:b/>
          <w:bCs/>
          <w:color w:val="auto"/>
          <w:kern w:val="0"/>
          <w:sz w:val="24"/>
          <w:szCs w:val="24"/>
          <w:highlight w:val="none"/>
        </w:rPr>
        <w:t>若非上述企业，则不需提供此附件</w:t>
      </w:r>
    </w:p>
    <w:p w14:paraId="305E323E">
      <w:pPr>
        <w:pageBreakBefore w:val="0"/>
        <w:widowControl/>
        <w:shd w:val="clear" w:color="auto" w:fill="FFFFFF"/>
        <w:kinsoku/>
        <w:bidi w:val="0"/>
        <w:spacing w:line="360" w:lineRule="auto"/>
        <w:ind w:left="420" w:leftChars="20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2、中标供应商为残疾人福利性单位的，其《残疾人福利性单位声明函》将随中标结果同时公告，接受社会监督。供应商提供的《残疾人福利性单位声明函》与事实不符的，依照《</w:t>
      </w:r>
      <w:r>
        <w:rPr>
          <w:rFonts w:hint="eastAsia" w:ascii="仿宋" w:hAnsi="仿宋" w:eastAsia="仿宋" w:cs="仿宋"/>
          <w:b/>
          <w:bCs/>
          <w:color w:val="auto"/>
          <w:kern w:val="0"/>
          <w:sz w:val="24"/>
          <w:szCs w:val="24"/>
          <w:highlight w:val="none"/>
          <w:lang w:eastAsia="zh-CN"/>
        </w:rPr>
        <w:t>中华人民共和国政府采购法</w:t>
      </w:r>
      <w:r>
        <w:rPr>
          <w:rFonts w:hint="eastAsia" w:ascii="仿宋" w:hAnsi="仿宋" w:eastAsia="仿宋" w:cs="仿宋"/>
          <w:b/>
          <w:bCs/>
          <w:color w:val="auto"/>
          <w:kern w:val="0"/>
          <w:sz w:val="24"/>
          <w:szCs w:val="24"/>
          <w:highlight w:val="none"/>
        </w:rPr>
        <w:t>》第七十七条第一款的规定追究法律责任。</w:t>
      </w:r>
    </w:p>
    <w:p w14:paraId="37BACE4C">
      <w:pPr>
        <w:pStyle w:val="63"/>
        <w:pageBreakBefore w:val="0"/>
        <w:kinsoku/>
        <w:bidi w:val="0"/>
        <w:spacing w:line="360" w:lineRule="auto"/>
        <w:rPr>
          <w:rFonts w:hint="eastAsia" w:ascii="仿宋" w:hAnsi="仿宋" w:eastAsia="仿宋" w:cs="仿宋"/>
          <w:color w:val="auto"/>
          <w:highlight w:val="none"/>
        </w:rPr>
      </w:pPr>
    </w:p>
    <w:p w14:paraId="44CC4865">
      <w:pPr>
        <w:pStyle w:val="63"/>
        <w:pageBreakBefore w:val="0"/>
        <w:kinsoku/>
        <w:bidi w:val="0"/>
        <w:spacing w:line="360" w:lineRule="auto"/>
        <w:rPr>
          <w:rFonts w:hint="eastAsia" w:ascii="仿宋" w:hAnsi="仿宋" w:eastAsia="仿宋" w:cs="仿宋"/>
          <w:color w:val="auto"/>
          <w:highlight w:val="none"/>
        </w:rPr>
      </w:pPr>
    </w:p>
    <w:p w14:paraId="28C688E4">
      <w:pPr>
        <w:pStyle w:val="63"/>
        <w:pageBreakBefore w:val="0"/>
        <w:kinsoku/>
        <w:bidi w:val="0"/>
        <w:spacing w:line="360" w:lineRule="auto"/>
        <w:rPr>
          <w:rFonts w:hint="eastAsia" w:ascii="仿宋" w:hAnsi="仿宋" w:eastAsia="仿宋" w:cs="仿宋"/>
          <w:color w:val="auto"/>
          <w:highlight w:val="none"/>
        </w:rPr>
      </w:pPr>
    </w:p>
    <w:p w14:paraId="3C89F282">
      <w:pPr>
        <w:pStyle w:val="63"/>
        <w:pageBreakBefore w:val="0"/>
        <w:kinsoku/>
        <w:bidi w:val="0"/>
        <w:spacing w:line="360" w:lineRule="auto"/>
        <w:rPr>
          <w:rFonts w:hint="eastAsia" w:ascii="仿宋" w:hAnsi="仿宋" w:eastAsia="仿宋" w:cs="仿宋"/>
          <w:color w:val="auto"/>
          <w:highlight w:val="none"/>
        </w:rPr>
      </w:pPr>
    </w:p>
    <w:p w14:paraId="77563F6E">
      <w:pPr>
        <w:rPr>
          <w:rFonts w:hint="eastAsia" w:ascii="仿宋" w:hAnsi="仿宋" w:eastAsia="仿宋" w:cs="仿宋"/>
          <w:color w:val="auto"/>
          <w:sz w:val="24"/>
          <w:szCs w:val="24"/>
          <w:highlight w:val="none"/>
        </w:rPr>
      </w:pPr>
    </w:p>
    <w:sectPr>
      <w:footerReference r:id="rId10" w:type="default"/>
      <w:pgSz w:w="11906" w:h="16838"/>
      <w:pgMar w:top="1440" w:right="1083" w:bottom="1440" w:left="1083" w:header="850" w:footer="1077" w:gutter="0"/>
      <w:pgBorders>
        <w:top w:val="none" w:sz="0" w:space="0"/>
        <w:left w:val="none" w:sz="0" w:space="0"/>
        <w:bottom w:val="none" w:sz="0" w:space="0"/>
        <w:right w:val="none" w:sz="0" w:space="0"/>
      </w:pgBorders>
      <w:pgNumType w:fmt="decimal" w:chapStyle="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MS PMincho">
    <w:altName w:val="@Yu Gothic UI"/>
    <w:panose1 w:val="00000000000000000000"/>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宋体, SimSun">
    <w:altName w:val="宋体"/>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8F85">
    <w:pPr>
      <w:pStyle w:val="2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7439">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135C">
                          <w:pPr>
                            <w:pStyle w:val="25"/>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dDeBndAQAAvwMAAA4AAAAAAAAA&#10;AQAgAAAAHgEAAGRycy9lMm9Eb2MueG1sUEsFBgAAAAAGAAYAWQEAAG0FAAAAAA==&#10;">
              <v:fill on="f" focussize="0,0"/>
              <v:stroke on="f"/>
              <v:imagedata o:title=""/>
              <o:lock v:ext="edit" aspectratio="f"/>
              <v:textbox inset="0mm,0mm,0mm,0mm" style="mso-fit-shape-to-text:t;">
                <w:txbxContent>
                  <w:p w14:paraId="2CA6135C">
                    <w:pPr>
                      <w:pStyle w:val="25"/>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2578">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3A405">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83A405">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77B8">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88A705">
                          <w:pPr>
                            <w:pStyle w:val="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95</w:t>
                          </w:r>
                          <w:r>
                            <w:rPr>
                              <w:rFonts w:hint="eastAsia" w:ascii="仿宋" w:hAnsi="仿宋" w:eastAsia="仿宋" w:cs="仿宋"/>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N4d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Ic3h3gEAAL8DAAAOAAAAAAAA&#10;AAEAIAAAAB4BAABkcnMvZTJvRG9jLnhtbFBLBQYAAAAABgAGAFkBAABuBQAAAAA=&#10;">
              <v:fill on="f" focussize="0,0"/>
              <v:stroke on="f"/>
              <v:imagedata o:title=""/>
              <o:lock v:ext="edit" aspectratio="f"/>
              <v:textbox inset="0mm,0mm,0mm,0mm" style="mso-fit-shape-to-text:t;">
                <w:txbxContent>
                  <w:p w14:paraId="5C88A705">
                    <w:pPr>
                      <w:pStyle w:val="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95</w:t>
                    </w:r>
                    <w:r>
                      <w:rPr>
                        <w:rFonts w:hint="eastAsia"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1EC7">
    <w:pPr>
      <w:pStyle w:val="26"/>
      <w:pBdr>
        <w:bottom w:val="single" w:color="auto" w:sz="4" w:space="1"/>
      </w:pBdr>
      <w:jc w:val="left"/>
      <w:rPr>
        <w:rFonts w:hint="eastAsia"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B1C0">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2F0E">
    <w:pPr>
      <w:pStyle w:val="26"/>
      <w:jc w:val="left"/>
      <w:rPr>
        <w:rFonts w:hint="eastAsia" w:ascii="仿宋" w:hAnsi="仿宋" w:eastAsia="仿宋" w:cs="仿宋"/>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5DC05">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738B7"/>
    <w:multiLevelType w:val="singleLevel"/>
    <w:tmpl w:val="D6E738B7"/>
    <w:lvl w:ilvl="0" w:tentative="0">
      <w:start w:val="6"/>
      <w:numFmt w:val="chineseCounting"/>
      <w:suff w:val="space"/>
      <w:lvlText w:val="第%1章"/>
      <w:lvlJc w:val="left"/>
      <w:rPr>
        <w:rFonts w:hint="eastAsia"/>
      </w:rPr>
    </w:lvl>
  </w:abstractNum>
  <w:abstractNum w:abstractNumId="1">
    <w:nsid w:val="191ECE14"/>
    <w:multiLevelType w:val="singleLevel"/>
    <w:tmpl w:val="191ECE14"/>
    <w:lvl w:ilvl="0" w:tentative="0">
      <w:start w:val="1"/>
      <w:numFmt w:val="decimal"/>
      <w:suff w:val="nothing"/>
      <w:lvlText w:val="（%1）"/>
      <w:lvlJc w:val="left"/>
    </w:lvl>
  </w:abstractNum>
  <w:abstractNum w:abstractNumId="2">
    <w:nsid w:val="566E3E80"/>
    <w:multiLevelType w:val="singleLevel"/>
    <w:tmpl w:val="566E3E80"/>
    <w:lvl w:ilvl="0" w:tentative="0">
      <w:start w:val="1"/>
      <w:numFmt w:val="decimal"/>
      <w:suff w:val="nothing"/>
      <w:lvlText w:val="%1、"/>
      <w:lvlJc w:val="left"/>
    </w:lvl>
  </w:abstractNum>
  <w:abstractNum w:abstractNumId="3">
    <w:nsid w:val="5C0F9C53"/>
    <w:multiLevelType w:val="singleLevel"/>
    <w:tmpl w:val="5C0F9C53"/>
    <w:lvl w:ilvl="0" w:tentative="0">
      <w:start w:val="1"/>
      <w:numFmt w:val="decimal"/>
      <w:pStyle w:val="7"/>
      <w:lvlText w:val="%1."/>
      <w:lvlJc w:val="left"/>
      <w:pPr>
        <w:tabs>
          <w:tab w:val="left" w:pos="780"/>
        </w:tabs>
        <w:ind w:left="780" w:hanging="360"/>
      </w:pPr>
    </w:lvl>
  </w:abstractNum>
  <w:abstractNum w:abstractNumId="4">
    <w:nsid w:val="6EE2127F"/>
    <w:multiLevelType w:val="multilevel"/>
    <w:tmpl w:val="6EE2127F"/>
    <w:lvl w:ilvl="0" w:tentative="0">
      <w:start w:val="1"/>
      <w:numFmt w:val="decimal"/>
      <w:pStyle w:val="196"/>
      <w:lvlText w:val="（%1）"/>
      <w:lvlJc w:val="left"/>
      <w:pPr>
        <w:ind w:left="1138" w:hanging="72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YzA3MTdiNDNiODExZWM3MmIzOGFiODFhMWQzOWQifQ=="/>
  </w:docVars>
  <w:rsids>
    <w:rsidRoot w:val="00172A27"/>
    <w:rsid w:val="00000017"/>
    <w:rsid w:val="00015C36"/>
    <w:rsid w:val="00015E02"/>
    <w:rsid w:val="000176B4"/>
    <w:rsid w:val="00021485"/>
    <w:rsid w:val="00023057"/>
    <w:rsid w:val="00027490"/>
    <w:rsid w:val="0003412B"/>
    <w:rsid w:val="000365D1"/>
    <w:rsid w:val="000417E0"/>
    <w:rsid w:val="000446F3"/>
    <w:rsid w:val="00044B7C"/>
    <w:rsid w:val="00044EF2"/>
    <w:rsid w:val="000461CA"/>
    <w:rsid w:val="000476B7"/>
    <w:rsid w:val="0005034B"/>
    <w:rsid w:val="000504E0"/>
    <w:rsid w:val="000530CF"/>
    <w:rsid w:val="000568F0"/>
    <w:rsid w:val="00060215"/>
    <w:rsid w:val="000609FD"/>
    <w:rsid w:val="00061472"/>
    <w:rsid w:val="00062C48"/>
    <w:rsid w:val="00066F30"/>
    <w:rsid w:val="00072648"/>
    <w:rsid w:val="0007415C"/>
    <w:rsid w:val="000752B6"/>
    <w:rsid w:val="00076FA9"/>
    <w:rsid w:val="00077065"/>
    <w:rsid w:val="000831FC"/>
    <w:rsid w:val="00083B57"/>
    <w:rsid w:val="00093A10"/>
    <w:rsid w:val="00095AE6"/>
    <w:rsid w:val="00097230"/>
    <w:rsid w:val="000A12B3"/>
    <w:rsid w:val="000A16F3"/>
    <w:rsid w:val="000A2353"/>
    <w:rsid w:val="000A3034"/>
    <w:rsid w:val="000A3837"/>
    <w:rsid w:val="000A410E"/>
    <w:rsid w:val="000A4681"/>
    <w:rsid w:val="000A6952"/>
    <w:rsid w:val="000B1B2D"/>
    <w:rsid w:val="000B51DB"/>
    <w:rsid w:val="000B6235"/>
    <w:rsid w:val="000B7FCE"/>
    <w:rsid w:val="000C01D2"/>
    <w:rsid w:val="000C668D"/>
    <w:rsid w:val="000C73BA"/>
    <w:rsid w:val="000D11C8"/>
    <w:rsid w:val="000D1D61"/>
    <w:rsid w:val="000D247B"/>
    <w:rsid w:val="000D2B33"/>
    <w:rsid w:val="000D5A77"/>
    <w:rsid w:val="000D63AD"/>
    <w:rsid w:val="000E1678"/>
    <w:rsid w:val="000E2F67"/>
    <w:rsid w:val="000F44B2"/>
    <w:rsid w:val="000F61B1"/>
    <w:rsid w:val="00101F5C"/>
    <w:rsid w:val="001030B8"/>
    <w:rsid w:val="00104AB3"/>
    <w:rsid w:val="00104BED"/>
    <w:rsid w:val="00106A32"/>
    <w:rsid w:val="00125D54"/>
    <w:rsid w:val="00131837"/>
    <w:rsid w:val="00132726"/>
    <w:rsid w:val="0013315B"/>
    <w:rsid w:val="00134EBE"/>
    <w:rsid w:val="00135473"/>
    <w:rsid w:val="0013670C"/>
    <w:rsid w:val="00137645"/>
    <w:rsid w:val="00140C18"/>
    <w:rsid w:val="0014206E"/>
    <w:rsid w:val="00147930"/>
    <w:rsid w:val="001545D0"/>
    <w:rsid w:val="0015764D"/>
    <w:rsid w:val="00160B77"/>
    <w:rsid w:val="0016580D"/>
    <w:rsid w:val="00165BD1"/>
    <w:rsid w:val="00166479"/>
    <w:rsid w:val="00166783"/>
    <w:rsid w:val="00172C38"/>
    <w:rsid w:val="00184109"/>
    <w:rsid w:val="00187928"/>
    <w:rsid w:val="00197A3C"/>
    <w:rsid w:val="001A001D"/>
    <w:rsid w:val="001A5716"/>
    <w:rsid w:val="001A5836"/>
    <w:rsid w:val="001A693B"/>
    <w:rsid w:val="001A6B0E"/>
    <w:rsid w:val="001B0335"/>
    <w:rsid w:val="001B15D5"/>
    <w:rsid w:val="001B5AAE"/>
    <w:rsid w:val="001C377F"/>
    <w:rsid w:val="001C66E0"/>
    <w:rsid w:val="001C7D5A"/>
    <w:rsid w:val="001C7D5F"/>
    <w:rsid w:val="001D0C9E"/>
    <w:rsid w:val="001D0DC8"/>
    <w:rsid w:val="001D0E24"/>
    <w:rsid w:val="001D5FCF"/>
    <w:rsid w:val="001D659B"/>
    <w:rsid w:val="001E0199"/>
    <w:rsid w:val="001E548D"/>
    <w:rsid w:val="001F0671"/>
    <w:rsid w:val="001F4076"/>
    <w:rsid w:val="001F62DB"/>
    <w:rsid w:val="001F6CAB"/>
    <w:rsid w:val="001F7EF1"/>
    <w:rsid w:val="0020015B"/>
    <w:rsid w:val="0020353E"/>
    <w:rsid w:val="00205B95"/>
    <w:rsid w:val="00211AE0"/>
    <w:rsid w:val="00214B23"/>
    <w:rsid w:val="00222D43"/>
    <w:rsid w:val="002235A2"/>
    <w:rsid w:val="00230323"/>
    <w:rsid w:val="002326D8"/>
    <w:rsid w:val="00235B6F"/>
    <w:rsid w:val="00235E17"/>
    <w:rsid w:val="00237D15"/>
    <w:rsid w:val="00253DE7"/>
    <w:rsid w:val="00256CD8"/>
    <w:rsid w:val="00261744"/>
    <w:rsid w:val="00263A7F"/>
    <w:rsid w:val="00266596"/>
    <w:rsid w:val="00267EE3"/>
    <w:rsid w:val="00272993"/>
    <w:rsid w:val="0027754C"/>
    <w:rsid w:val="002809DD"/>
    <w:rsid w:val="0028223C"/>
    <w:rsid w:val="00283124"/>
    <w:rsid w:val="00284B02"/>
    <w:rsid w:val="00290BC3"/>
    <w:rsid w:val="00290FAC"/>
    <w:rsid w:val="00292BB4"/>
    <w:rsid w:val="00294271"/>
    <w:rsid w:val="00294A67"/>
    <w:rsid w:val="002B06D1"/>
    <w:rsid w:val="002B13D4"/>
    <w:rsid w:val="002B253A"/>
    <w:rsid w:val="002B3C4C"/>
    <w:rsid w:val="002D2CDF"/>
    <w:rsid w:val="002D66B8"/>
    <w:rsid w:val="002E02CB"/>
    <w:rsid w:val="002E1A54"/>
    <w:rsid w:val="002E70B4"/>
    <w:rsid w:val="002E731A"/>
    <w:rsid w:val="002E7C0A"/>
    <w:rsid w:val="002F34FF"/>
    <w:rsid w:val="002F7353"/>
    <w:rsid w:val="00305022"/>
    <w:rsid w:val="003056DC"/>
    <w:rsid w:val="003068F7"/>
    <w:rsid w:val="0030691E"/>
    <w:rsid w:val="003105B0"/>
    <w:rsid w:val="003146EE"/>
    <w:rsid w:val="0031650C"/>
    <w:rsid w:val="00321D09"/>
    <w:rsid w:val="00322D03"/>
    <w:rsid w:val="00326FD1"/>
    <w:rsid w:val="0032765E"/>
    <w:rsid w:val="00332AEB"/>
    <w:rsid w:val="00332F2F"/>
    <w:rsid w:val="0033374D"/>
    <w:rsid w:val="00337DE2"/>
    <w:rsid w:val="00340BFA"/>
    <w:rsid w:val="0035376F"/>
    <w:rsid w:val="003540E8"/>
    <w:rsid w:val="00354B49"/>
    <w:rsid w:val="00354F65"/>
    <w:rsid w:val="00361D86"/>
    <w:rsid w:val="003635F4"/>
    <w:rsid w:val="00366000"/>
    <w:rsid w:val="00371DD8"/>
    <w:rsid w:val="0037476C"/>
    <w:rsid w:val="00375C13"/>
    <w:rsid w:val="00377C23"/>
    <w:rsid w:val="00384FB5"/>
    <w:rsid w:val="00385FD5"/>
    <w:rsid w:val="003900BA"/>
    <w:rsid w:val="00391267"/>
    <w:rsid w:val="00391E1E"/>
    <w:rsid w:val="003921F0"/>
    <w:rsid w:val="0039435B"/>
    <w:rsid w:val="003A0232"/>
    <w:rsid w:val="003B376B"/>
    <w:rsid w:val="003B3CF1"/>
    <w:rsid w:val="003B704A"/>
    <w:rsid w:val="003B7718"/>
    <w:rsid w:val="003C3942"/>
    <w:rsid w:val="003C5093"/>
    <w:rsid w:val="003D3869"/>
    <w:rsid w:val="003D509F"/>
    <w:rsid w:val="003E0025"/>
    <w:rsid w:val="003E4A73"/>
    <w:rsid w:val="003F029B"/>
    <w:rsid w:val="003F0C05"/>
    <w:rsid w:val="003F0EEB"/>
    <w:rsid w:val="003F0F01"/>
    <w:rsid w:val="003F117D"/>
    <w:rsid w:val="003F7D23"/>
    <w:rsid w:val="00402A9D"/>
    <w:rsid w:val="00410EEA"/>
    <w:rsid w:val="00413571"/>
    <w:rsid w:val="00414C7D"/>
    <w:rsid w:val="0041527B"/>
    <w:rsid w:val="004156B4"/>
    <w:rsid w:val="00416DEB"/>
    <w:rsid w:val="0042302C"/>
    <w:rsid w:val="00424F87"/>
    <w:rsid w:val="004268B2"/>
    <w:rsid w:val="00434AEC"/>
    <w:rsid w:val="0043730A"/>
    <w:rsid w:val="00442A9C"/>
    <w:rsid w:val="00442B6F"/>
    <w:rsid w:val="00447A1F"/>
    <w:rsid w:val="00447F27"/>
    <w:rsid w:val="00460976"/>
    <w:rsid w:val="00464030"/>
    <w:rsid w:val="0046418C"/>
    <w:rsid w:val="00465F11"/>
    <w:rsid w:val="00471E31"/>
    <w:rsid w:val="004745D1"/>
    <w:rsid w:val="00474764"/>
    <w:rsid w:val="0047525E"/>
    <w:rsid w:val="00476EF9"/>
    <w:rsid w:val="004846D3"/>
    <w:rsid w:val="00484F56"/>
    <w:rsid w:val="00490CF3"/>
    <w:rsid w:val="0049530D"/>
    <w:rsid w:val="004A15A8"/>
    <w:rsid w:val="004A1E15"/>
    <w:rsid w:val="004A2AAD"/>
    <w:rsid w:val="004A4E0C"/>
    <w:rsid w:val="004B05E3"/>
    <w:rsid w:val="004B127E"/>
    <w:rsid w:val="004B50ED"/>
    <w:rsid w:val="004C2480"/>
    <w:rsid w:val="004C4DD8"/>
    <w:rsid w:val="004C5090"/>
    <w:rsid w:val="004D3095"/>
    <w:rsid w:val="004D30A0"/>
    <w:rsid w:val="004D6899"/>
    <w:rsid w:val="004E0030"/>
    <w:rsid w:val="004E2786"/>
    <w:rsid w:val="004E4755"/>
    <w:rsid w:val="004F0B4F"/>
    <w:rsid w:val="004F14F3"/>
    <w:rsid w:val="004F309B"/>
    <w:rsid w:val="004F617E"/>
    <w:rsid w:val="004F7F99"/>
    <w:rsid w:val="0050625C"/>
    <w:rsid w:val="00510D5E"/>
    <w:rsid w:val="005130BE"/>
    <w:rsid w:val="00513AA8"/>
    <w:rsid w:val="00515FC7"/>
    <w:rsid w:val="00520A5A"/>
    <w:rsid w:val="005217BA"/>
    <w:rsid w:val="00523089"/>
    <w:rsid w:val="00523242"/>
    <w:rsid w:val="00524305"/>
    <w:rsid w:val="005256A3"/>
    <w:rsid w:val="00530D67"/>
    <w:rsid w:val="00532772"/>
    <w:rsid w:val="0053286E"/>
    <w:rsid w:val="005365D5"/>
    <w:rsid w:val="00546591"/>
    <w:rsid w:val="005535DA"/>
    <w:rsid w:val="005539C6"/>
    <w:rsid w:val="00553DF0"/>
    <w:rsid w:val="00554725"/>
    <w:rsid w:val="0055780E"/>
    <w:rsid w:val="00563569"/>
    <w:rsid w:val="005720B9"/>
    <w:rsid w:val="005726AD"/>
    <w:rsid w:val="00576FA2"/>
    <w:rsid w:val="005826AD"/>
    <w:rsid w:val="00585DFE"/>
    <w:rsid w:val="00587BC3"/>
    <w:rsid w:val="005909F4"/>
    <w:rsid w:val="00591233"/>
    <w:rsid w:val="005956D5"/>
    <w:rsid w:val="0059683B"/>
    <w:rsid w:val="005A1567"/>
    <w:rsid w:val="005B0C38"/>
    <w:rsid w:val="005B4745"/>
    <w:rsid w:val="005C6199"/>
    <w:rsid w:val="005C6415"/>
    <w:rsid w:val="005C6EBE"/>
    <w:rsid w:val="005C7056"/>
    <w:rsid w:val="005D2854"/>
    <w:rsid w:val="005D3964"/>
    <w:rsid w:val="005D3F4C"/>
    <w:rsid w:val="005D73D7"/>
    <w:rsid w:val="005D7DE7"/>
    <w:rsid w:val="005E2569"/>
    <w:rsid w:val="005E419E"/>
    <w:rsid w:val="005E78E8"/>
    <w:rsid w:val="005E7A0D"/>
    <w:rsid w:val="005F0610"/>
    <w:rsid w:val="005F26FC"/>
    <w:rsid w:val="005F550D"/>
    <w:rsid w:val="005F6D29"/>
    <w:rsid w:val="00600918"/>
    <w:rsid w:val="00604CEB"/>
    <w:rsid w:val="00605554"/>
    <w:rsid w:val="00605BD6"/>
    <w:rsid w:val="00606ECB"/>
    <w:rsid w:val="0060740B"/>
    <w:rsid w:val="006123DD"/>
    <w:rsid w:val="00612DFA"/>
    <w:rsid w:val="006171AB"/>
    <w:rsid w:val="006204E8"/>
    <w:rsid w:val="0062109F"/>
    <w:rsid w:val="00622A63"/>
    <w:rsid w:val="00623DC6"/>
    <w:rsid w:val="006313CC"/>
    <w:rsid w:val="006313DA"/>
    <w:rsid w:val="006329C5"/>
    <w:rsid w:val="0064351D"/>
    <w:rsid w:val="006508D3"/>
    <w:rsid w:val="00656FB8"/>
    <w:rsid w:val="00666C6C"/>
    <w:rsid w:val="00667292"/>
    <w:rsid w:val="00670065"/>
    <w:rsid w:val="0067366B"/>
    <w:rsid w:val="0068133E"/>
    <w:rsid w:val="00682C80"/>
    <w:rsid w:val="006862BD"/>
    <w:rsid w:val="006910D0"/>
    <w:rsid w:val="00696CD7"/>
    <w:rsid w:val="006A2DA7"/>
    <w:rsid w:val="006B1150"/>
    <w:rsid w:val="006B2846"/>
    <w:rsid w:val="006B6CA4"/>
    <w:rsid w:val="006C2A54"/>
    <w:rsid w:val="006C2FBF"/>
    <w:rsid w:val="006C3FA2"/>
    <w:rsid w:val="006C4CCF"/>
    <w:rsid w:val="006C74C1"/>
    <w:rsid w:val="006C74F9"/>
    <w:rsid w:val="006C7B56"/>
    <w:rsid w:val="006C7C0A"/>
    <w:rsid w:val="006C7E44"/>
    <w:rsid w:val="006D0D95"/>
    <w:rsid w:val="006D2B7C"/>
    <w:rsid w:val="006D34B8"/>
    <w:rsid w:val="006D6B77"/>
    <w:rsid w:val="006E12F4"/>
    <w:rsid w:val="006E43A7"/>
    <w:rsid w:val="006E7196"/>
    <w:rsid w:val="006F08B3"/>
    <w:rsid w:val="006F141C"/>
    <w:rsid w:val="006F49AA"/>
    <w:rsid w:val="00702294"/>
    <w:rsid w:val="007034A5"/>
    <w:rsid w:val="00713275"/>
    <w:rsid w:val="00720924"/>
    <w:rsid w:val="007225DE"/>
    <w:rsid w:val="00722A09"/>
    <w:rsid w:val="00722CEB"/>
    <w:rsid w:val="00723B10"/>
    <w:rsid w:val="00732044"/>
    <w:rsid w:val="00733ADB"/>
    <w:rsid w:val="00735983"/>
    <w:rsid w:val="00740C9C"/>
    <w:rsid w:val="00760966"/>
    <w:rsid w:val="00761030"/>
    <w:rsid w:val="00761D6B"/>
    <w:rsid w:val="00762BD3"/>
    <w:rsid w:val="0076588E"/>
    <w:rsid w:val="00771CAB"/>
    <w:rsid w:val="007725D1"/>
    <w:rsid w:val="00772D0A"/>
    <w:rsid w:val="00773252"/>
    <w:rsid w:val="007755FB"/>
    <w:rsid w:val="007758A2"/>
    <w:rsid w:val="0077606C"/>
    <w:rsid w:val="00776AF8"/>
    <w:rsid w:val="007803FE"/>
    <w:rsid w:val="00782B37"/>
    <w:rsid w:val="00784770"/>
    <w:rsid w:val="00784E99"/>
    <w:rsid w:val="00784F9E"/>
    <w:rsid w:val="00791010"/>
    <w:rsid w:val="00791B4B"/>
    <w:rsid w:val="00791D2E"/>
    <w:rsid w:val="00792A37"/>
    <w:rsid w:val="007A5767"/>
    <w:rsid w:val="007A735B"/>
    <w:rsid w:val="007A7856"/>
    <w:rsid w:val="007B0325"/>
    <w:rsid w:val="007C2A97"/>
    <w:rsid w:val="007C4C1F"/>
    <w:rsid w:val="007C6D89"/>
    <w:rsid w:val="007D0D2B"/>
    <w:rsid w:val="007D15A5"/>
    <w:rsid w:val="007D19A5"/>
    <w:rsid w:val="007D3949"/>
    <w:rsid w:val="007D5444"/>
    <w:rsid w:val="007E09A8"/>
    <w:rsid w:val="007E114C"/>
    <w:rsid w:val="007E1403"/>
    <w:rsid w:val="007E2B61"/>
    <w:rsid w:val="007E526C"/>
    <w:rsid w:val="007E60F1"/>
    <w:rsid w:val="007F4F5C"/>
    <w:rsid w:val="007F6616"/>
    <w:rsid w:val="00802ECB"/>
    <w:rsid w:val="00810BF4"/>
    <w:rsid w:val="0081225B"/>
    <w:rsid w:val="00814300"/>
    <w:rsid w:val="008154B2"/>
    <w:rsid w:val="00815631"/>
    <w:rsid w:val="00817ACA"/>
    <w:rsid w:val="008239BB"/>
    <w:rsid w:val="00824F88"/>
    <w:rsid w:val="008264F5"/>
    <w:rsid w:val="00831B4A"/>
    <w:rsid w:val="00832504"/>
    <w:rsid w:val="00841163"/>
    <w:rsid w:val="0084384C"/>
    <w:rsid w:val="00843933"/>
    <w:rsid w:val="0084622B"/>
    <w:rsid w:val="00846FB1"/>
    <w:rsid w:val="008525F7"/>
    <w:rsid w:val="00861497"/>
    <w:rsid w:val="00861C4C"/>
    <w:rsid w:val="00862B77"/>
    <w:rsid w:val="00867B86"/>
    <w:rsid w:val="00867C01"/>
    <w:rsid w:val="00875B8B"/>
    <w:rsid w:val="00877370"/>
    <w:rsid w:val="00877D28"/>
    <w:rsid w:val="008827B9"/>
    <w:rsid w:val="00882EE8"/>
    <w:rsid w:val="00883E37"/>
    <w:rsid w:val="00885DD2"/>
    <w:rsid w:val="00885DD8"/>
    <w:rsid w:val="0089229B"/>
    <w:rsid w:val="008934DF"/>
    <w:rsid w:val="00893A25"/>
    <w:rsid w:val="008A028B"/>
    <w:rsid w:val="008A21C0"/>
    <w:rsid w:val="008A543B"/>
    <w:rsid w:val="008A5EC0"/>
    <w:rsid w:val="008B1170"/>
    <w:rsid w:val="008B2D88"/>
    <w:rsid w:val="008C2FFE"/>
    <w:rsid w:val="008C74BC"/>
    <w:rsid w:val="008D040F"/>
    <w:rsid w:val="008D3C15"/>
    <w:rsid w:val="008D42F5"/>
    <w:rsid w:val="008D5CC1"/>
    <w:rsid w:val="008D6738"/>
    <w:rsid w:val="008E38C3"/>
    <w:rsid w:val="008F03DC"/>
    <w:rsid w:val="00901596"/>
    <w:rsid w:val="00904046"/>
    <w:rsid w:val="0091061B"/>
    <w:rsid w:val="00910CD3"/>
    <w:rsid w:val="00911D4D"/>
    <w:rsid w:val="00912074"/>
    <w:rsid w:val="009162A7"/>
    <w:rsid w:val="009164A5"/>
    <w:rsid w:val="009169DA"/>
    <w:rsid w:val="00923B80"/>
    <w:rsid w:val="00924C60"/>
    <w:rsid w:val="0093464D"/>
    <w:rsid w:val="00934C5B"/>
    <w:rsid w:val="00934D63"/>
    <w:rsid w:val="009409BD"/>
    <w:rsid w:val="009424A2"/>
    <w:rsid w:val="009441B0"/>
    <w:rsid w:val="0094459B"/>
    <w:rsid w:val="00944892"/>
    <w:rsid w:val="009449C8"/>
    <w:rsid w:val="00960813"/>
    <w:rsid w:val="00960C0F"/>
    <w:rsid w:val="009614DD"/>
    <w:rsid w:val="00961D07"/>
    <w:rsid w:val="00962E50"/>
    <w:rsid w:val="009659F6"/>
    <w:rsid w:val="00967842"/>
    <w:rsid w:val="009718D2"/>
    <w:rsid w:val="009754D2"/>
    <w:rsid w:val="00976827"/>
    <w:rsid w:val="00976943"/>
    <w:rsid w:val="009801A9"/>
    <w:rsid w:val="00983DA9"/>
    <w:rsid w:val="00985321"/>
    <w:rsid w:val="00986267"/>
    <w:rsid w:val="009867F3"/>
    <w:rsid w:val="00992E23"/>
    <w:rsid w:val="00997CCE"/>
    <w:rsid w:val="009A0BB7"/>
    <w:rsid w:val="009A2EA8"/>
    <w:rsid w:val="009A2F97"/>
    <w:rsid w:val="009A7454"/>
    <w:rsid w:val="009A7C5A"/>
    <w:rsid w:val="009B7ADE"/>
    <w:rsid w:val="009C3180"/>
    <w:rsid w:val="009C3950"/>
    <w:rsid w:val="009D2B03"/>
    <w:rsid w:val="009E22A7"/>
    <w:rsid w:val="009E4FD1"/>
    <w:rsid w:val="009E5345"/>
    <w:rsid w:val="009E7FA6"/>
    <w:rsid w:val="009F3F46"/>
    <w:rsid w:val="009F6E06"/>
    <w:rsid w:val="009F728B"/>
    <w:rsid w:val="00A0273F"/>
    <w:rsid w:val="00A052AC"/>
    <w:rsid w:val="00A05DDA"/>
    <w:rsid w:val="00A10321"/>
    <w:rsid w:val="00A12480"/>
    <w:rsid w:val="00A12D8C"/>
    <w:rsid w:val="00A15BE8"/>
    <w:rsid w:val="00A1715B"/>
    <w:rsid w:val="00A179AD"/>
    <w:rsid w:val="00A23E30"/>
    <w:rsid w:val="00A24B9F"/>
    <w:rsid w:val="00A368B1"/>
    <w:rsid w:val="00A41455"/>
    <w:rsid w:val="00A415FC"/>
    <w:rsid w:val="00A43B48"/>
    <w:rsid w:val="00A445D6"/>
    <w:rsid w:val="00A46A52"/>
    <w:rsid w:val="00A57E5C"/>
    <w:rsid w:val="00A604AE"/>
    <w:rsid w:val="00A611BC"/>
    <w:rsid w:val="00A63E52"/>
    <w:rsid w:val="00A662DB"/>
    <w:rsid w:val="00A707AC"/>
    <w:rsid w:val="00A76B44"/>
    <w:rsid w:val="00A800CB"/>
    <w:rsid w:val="00A8098E"/>
    <w:rsid w:val="00A83373"/>
    <w:rsid w:val="00A90261"/>
    <w:rsid w:val="00A912E3"/>
    <w:rsid w:val="00A9608E"/>
    <w:rsid w:val="00A96E9C"/>
    <w:rsid w:val="00AA1391"/>
    <w:rsid w:val="00AA52EC"/>
    <w:rsid w:val="00AA7F2A"/>
    <w:rsid w:val="00AB17D7"/>
    <w:rsid w:val="00AB1DA4"/>
    <w:rsid w:val="00AB307B"/>
    <w:rsid w:val="00AB69FE"/>
    <w:rsid w:val="00AC0489"/>
    <w:rsid w:val="00AC36BC"/>
    <w:rsid w:val="00AD03A2"/>
    <w:rsid w:val="00AD6D7F"/>
    <w:rsid w:val="00AD7CB4"/>
    <w:rsid w:val="00AE10AE"/>
    <w:rsid w:val="00AE3418"/>
    <w:rsid w:val="00AE6898"/>
    <w:rsid w:val="00AE6ABD"/>
    <w:rsid w:val="00AF1262"/>
    <w:rsid w:val="00AF1799"/>
    <w:rsid w:val="00AF44C7"/>
    <w:rsid w:val="00AF4C99"/>
    <w:rsid w:val="00B02AA4"/>
    <w:rsid w:val="00B03D7B"/>
    <w:rsid w:val="00B052BC"/>
    <w:rsid w:val="00B06A6B"/>
    <w:rsid w:val="00B12754"/>
    <w:rsid w:val="00B13BEE"/>
    <w:rsid w:val="00B14571"/>
    <w:rsid w:val="00B14BCE"/>
    <w:rsid w:val="00B153C1"/>
    <w:rsid w:val="00B16B3F"/>
    <w:rsid w:val="00B20073"/>
    <w:rsid w:val="00B204E9"/>
    <w:rsid w:val="00B21573"/>
    <w:rsid w:val="00B22700"/>
    <w:rsid w:val="00B26302"/>
    <w:rsid w:val="00B26C06"/>
    <w:rsid w:val="00B36ECD"/>
    <w:rsid w:val="00B45EFF"/>
    <w:rsid w:val="00B56169"/>
    <w:rsid w:val="00B56744"/>
    <w:rsid w:val="00B56C2C"/>
    <w:rsid w:val="00B6021A"/>
    <w:rsid w:val="00B61544"/>
    <w:rsid w:val="00B61E19"/>
    <w:rsid w:val="00B63566"/>
    <w:rsid w:val="00B63847"/>
    <w:rsid w:val="00B6567F"/>
    <w:rsid w:val="00B65EB4"/>
    <w:rsid w:val="00B66011"/>
    <w:rsid w:val="00B67BBD"/>
    <w:rsid w:val="00B70ADE"/>
    <w:rsid w:val="00B71F48"/>
    <w:rsid w:val="00B73005"/>
    <w:rsid w:val="00B748CA"/>
    <w:rsid w:val="00B7596C"/>
    <w:rsid w:val="00B77F13"/>
    <w:rsid w:val="00B80EB9"/>
    <w:rsid w:val="00B81146"/>
    <w:rsid w:val="00B82A3F"/>
    <w:rsid w:val="00B84224"/>
    <w:rsid w:val="00B84327"/>
    <w:rsid w:val="00B86B1A"/>
    <w:rsid w:val="00B924BF"/>
    <w:rsid w:val="00B95F8E"/>
    <w:rsid w:val="00B97127"/>
    <w:rsid w:val="00B973A7"/>
    <w:rsid w:val="00BA0006"/>
    <w:rsid w:val="00BA5A5A"/>
    <w:rsid w:val="00BA5D88"/>
    <w:rsid w:val="00BB01D7"/>
    <w:rsid w:val="00BB3B35"/>
    <w:rsid w:val="00BC05CC"/>
    <w:rsid w:val="00BC1EAA"/>
    <w:rsid w:val="00BC3549"/>
    <w:rsid w:val="00BC72E4"/>
    <w:rsid w:val="00BD4A66"/>
    <w:rsid w:val="00BE351D"/>
    <w:rsid w:val="00BE6A96"/>
    <w:rsid w:val="00BF1A08"/>
    <w:rsid w:val="00BF2B04"/>
    <w:rsid w:val="00BF77D6"/>
    <w:rsid w:val="00C005F8"/>
    <w:rsid w:val="00C04DD9"/>
    <w:rsid w:val="00C072A6"/>
    <w:rsid w:val="00C104D9"/>
    <w:rsid w:val="00C13D6B"/>
    <w:rsid w:val="00C16313"/>
    <w:rsid w:val="00C17C1B"/>
    <w:rsid w:val="00C34CB9"/>
    <w:rsid w:val="00C368EB"/>
    <w:rsid w:val="00C36931"/>
    <w:rsid w:val="00C43588"/>
    <w:rsid w:val="00C47E28"/>
    <w:rsid w:val="00C51C7E"/>
    <w:rsid w:val="00C538AB"/>
    <w:rsid w:val="00C53EAC"/>
    <w:rsid w:val="00C55DFE"/>
    <w:rsid w:val="00C64E75"/>
    <w:rsid w:val="00C716BC"/>
    <w:rsid w:val="00C71F29"/>
    <w:rsid w:val="00C80726"/>
    <w:rsid w:val="00C82ADA"/>
    <w:rsid w:val="00C8628E"/>
    <w:rsid w:val="00C9105B"/>
    <w:rsid w:val="00C9136A"/>
    <w:rsid w:val="00C97E99"/>
    <w:rsid w:val="00CA0FD3"/>
    <w:rsid w:val="00CA17FF"/>
    <w:rsid w:val="00CA1A66"/>
    <w:rsid w:val="00CA2784"/>
    <w:rsid w:val="00CB0340"/>
    <w:rsid w:val="00CB0968"/>
    <w:rsid w:val="00CB266B"/>
    <w:rsid w:val="00CB5628"/>
    <w:rsid w:val="00CB734A"/>
    <w:rsid w:val="00CC452C"/>
    <w:rsid w:val="00CC539D"/>
    <w:rsid w:val="00CD027C"/>
    <w:rsid w:val="00CD3C6A"/>
    <w:rsid w:val="00CD4CBD"/>
    <w:rsid w:val="00CD76E3"/>
    <w:rsid w:val="00CE24E8"/>
    <w:rsid w:val="00CE2936"/>
    <w:rsid w:val="00CE456C"/>
    <w:rsid w:val="00CF66B7"/>
    <w:rsid w:val="00CF68DF"/>
    <w:rsid w:val="00D0057A"/>
    <w:rsid w:val="00D01C5D"/>
    <w:rsid w:val="00D04982"/>
    <w:rsid w:val="00D11134"/>
    <w:rsid w:val="00D116F6"/>
    <w:rsid w:val="00D11FC0"/>
    <w:rsid w:val="00D16989"/>
    <w:rsid w:val="00D176AA"/>
    <w:rsid w:val="00D205C4"/>
    <w:rsid w:val="00D26E90"/>
    <w:rsid w:val="00D30CE9"/>
    <w:rsid w:val="00D34751"/>
    <w:rsid w:val="00D36D33"/>
    <w:rsid w:val="00D36FDA"/>
    <w:rsid w:val="00D406DB"/>
    <w:rsid w:val="00D4090E"/>
    <w:rsid w:val="00D40F97"/>
    <w:rsid w:val="00D42BB7"/>
    <w:rsid w:val="00D50592"/>
    <w:rsid w:val="00D5327F"/>
    <w:rsid w:val="00D56ADD"/>
    <w:rsid w:val="00D574F9"/>
    <w:rsid w:val="00D57A45"/>
    <w:rsid w:val="00D61D69"/>
    <w:rsid w:val="00D623D1"/>
    <w:rsid w:val="00D623D2"/>
    <w:rsid w:val="00D6443C"/>
    <w:rsid w:val="00D714E5"/>
    <w:rsid w:val="00D7309D"/>
    <w:rsid w:val="00D74966"/>
    <w:rsid w:val="00D7556A"/>
    <w:rsid w:val="00D771A1"/>
    <w:rsid w:val="00D81F44"/>
    <w:rsid w:val="00D83397"/>
    <w:rsid w:val="00D858F0"/>
    <w:rsid w:val="00D85B06"/>
    <w:rsid w:val="00D92F3F"/>
    <w:rsid w:val="00D97136"/>
    <w:rsid w:val="00DA3405"/>
    <w:rsid w:val="00DB22CD"/>
    <w:rsid w:val="00DB622A"/>
    <w:rsid w:val="00DB6E7D"/>
    <w:rsid w:val="00DD45E6"/>
    <w:rsid w:val="00DE265F"/>
    <w:rsid w:val="00DE2F62"/>
    <w:rsid w:val="00DE3A32"/>
    <w:rsid w:val="00DF0916"/>
    <w:rsid w:val="00DF2416"/>
    <w:rsid w:val="00DF31F0"/>
    <w:rsid w:val="00DF5706"/>
    <w:rsid w:val="00DF5B7A"/>
    <w:rsid w:val="00E026B6"/>
    <w:rsid w:val="00E04363"/>
    <w:rsid w:val="00E12A98"/>
    <w:rsid w:val="00E13DB6"/>
    <w:rsid w:val="00E15F89"/>
    <w:rsid w:val="00E208D0"/>
    <w:rsid w:val="00E243F3"/>
    <w:rsid w:val="00E24C34"/>
    <w:rsid w:val="00E26853"/>
    <w:rsid w:val="00E26BEC"/>
    <w:rsid w:val="00E3248A"/>
    <w:rsid w:val="00E3782D"/>
    <w:rsid w:val="00E40852"/>
    <w:rsid w:val="00E447FE"/>
    <w:rsid w:val="00E453F4"/>
    <w:rsid w:val="00E47A16"/>
    <w:rsid w:val="00E54204"/>
    <w:rsid w:val="00E5530D"/>
    <w:rsid w:val="00E56CE1"/>
    <w:rsid w:val="00E60E1B"/>
    <w:rsid w:val="00E6300C"/>
    <w:rsid w:val="00E663DD"/>
    <w:rsid w:val="00E666E9"/>
    <w:rsid w:val="00E667A4"/>
    <w:rsid w:val="00E67F4A"/>
    <w:rsid w:val="00E725E8"/>
    <w:rsid w:val="00E74B01"/>
    <w:rsid w:val="00E7509F"/>
    <w:rsid w:val="00E77245"/>
    <w:rsid w:val="00E810FD"/>
    <w:rsid w:val="00E9182F"/>
    <w:rsid w:val="00E9220D"/>
    <w:rsid w:val="00E92EAF"/>
    <w:rsid w:val="00E9600D"/>
    <w:rsid w:val="00E9647C"/>
    <w:rsid w:val="00E971D0"/>
    <w:rsid w:val="00EA2C4B"/>
    <w:rsid w:val="00EA4769"/>
    <w:rsid w:val="00EA4AD5"/>
    <w:rsid w:val="00EA6211"/>
    <w:rsid w:val="00EA7126"/>
    <w:rsid w:val="00EB39B0"/>
    <w:rsid w:val="00EB4ABD"/>
    <w:rsid w:val="00EB5A47"/>
    <w:rsid w:val="00EC26F9"/>
    <w:rsid w:val="00EC3503"/>
    <w:rsid w:val="00ED0182"/>
    <w:rsid w:val="00ED03AC"/>
    <w:rsid w:val="00ED471F"/>
    <w:rsid w:val="00ED4D7D"/>
    <w:rsid w:val="00EE048F"/>
    <w:rsid w:val="00EE2371"/>
    <w:rsid w:val="00EE49E9"/>
    <w:rsid w:val="00EE6DE6"/>
    <w:rsid w:val="00EE77A5"/>
    <w:rsid w:val="00EE7B49"/>
    <w:rsid w:val="00EF0C94"/>
    <w:rsid w:val="00EF1F8F"/>
    <w:rsid w:val="00EF253E"/>
    <w:rsid w:val="00EF332A"/>
    <w:rsid w:val="00EF48EF"/>
    <w:rsid w:val="00EF4BB0"/>
    <w:rsid w:val="00EF7AC9"/>
    <w:rsid w:val="00EF7D76"/>
    <w:rsid w:val="00F06EF7"/>
    <w:rsid w:val="00F13B19"/>
    <w:rsid w:val="00F14E89"/>
    <w:rsid w:val="00F154B0"/>
    <w:rsid w:val="00F15A65"/>
    <w:rsid w:val="00F20DA5"/>
    <w:rsid w:val="00F21DFD"/>
    <w:rsid w:val="00F22A46"/>
    <w:rsid w:val="00F246B3"/>
    <w:rsid w:val="00F25880"/>
    <w:rsid w:val="00F269F8"/>
    <w:rsid w:val="00F26F41"/>
    <w:rsid w:val="00F32959"/>
    <w:rsid w:val="00F37224"/>
    <w:rsid w:val="00F4101C"/>
    <w:rsid w:val="00F43E70"/>
    <w:rsid w:val="00F4510C"/>
    <w:rsid w:val="00F45D3E"/>
    <w:rsid w:val="00F53795"/>
    <w:rsid w:val="00F5540A"/>
    <w:rsid w:val="00F55BED"/>
    <w:rsid w:val="00F61120"/>
    <w:rsid w:val="00F623FC"/>
    <w:rsid w:val="00F62D64"/>
    <w:rsid w:val="00F643A2"/>
    <w:rsid w:val="00F71BA4"/>
    <w:rsid w:val="00F731A5"/>
    <w:rsid w:val="00F739B1"/>
    <w:rsid w:val="00F756C2"/>
    <w:rsid w:val="00F8077F"/>
    <w:rsid w:val="00F8632C"/>
    <w:rsid w:val="00F96DA7"/>
    <w:rsid w:val="00FA4720"/>
    <w:rsid w:val="00FA5A67"/>
    <w:rsid w:val="00FB223A"/>
    <w:rsid w:val="00FB41B7"/>
    <w:rsid w:val="00FB4392"/>
    <w:rsid w:val="00FB6ABD"/>
    <w:rsid w:val="00FC20AA"/>
    <w:rsid w:val="00FC4FBB"/>
    <w:rsid w:val="00FD20EB"/>
    <w:rsid w:val="00FD52B1"/>
    <w:rsid w:val="00FE5739"/>
    <w:rsid w:val="00FE5CE5"/>
    <w:rsid w:val="00FF09CE"/>
    <w:rsid w:val="00FF0F91"/>
    <w:rsid w:val="00FF1633"/>
    <w:rsid w:val="00FF76FF"/>
    <w:rsid w:val="01101675"/>
    <w:rsid w:val="01140CD8"/>
    <w:rsid w:val="01390BCC"/>
    <w:rsid w:val="01406E8C"/>
    <w:rsid w:val="014852B3"/>
    <w:rsid w:val="017717A7"/>
    <w:rsid w:val="017765BB"/>
    <w:rsid w:val="0196601E"/>
    <w:rsid w:val="01967DCC"/>
    <w:rsid w:val="019D73AC"/>
    <w:rsid w:val="01A00C4B"/>
    <w:rsid w:val="01E14D63"/>
    <w:rsid w:val="01F33470"/>
    <w:rsid w:val="020C008E"/>
    <w:rsid w:val="02216117"/>
    <w:rsid w:val="02544886"/>
    <w:rsid w:val="025A3A6A"/>
    <w:rsid w:val="02702D13"/>
    <w:rsid w:val="02816CCE"/>
    <w:rsid w:val="02823A8A"/>
    <w:rsid w:val="028A0C50"/>
    <w:rsid w:val="02B01145"/>
    <w:rsid w:val="02B81561"/>
    <w:rsid w:val="02BB280A"/>
    <w:rsid w:val="02D7069C"/>
    <w:rsid w:val="02DA2D11"/>
    <w:rsid w:val="02E363C8"/>
    <w:rsid w:val="02E37041"/>
    <w:rsid w:val="02E425BC"/>
    <w:rsid w:val="03004097"/>
    <w:rsid w:val="030D40BE"/>
    <w:rsid w:val="03111AF4"/>
    <w:rsid w:val="031E276F"/>
    <w:rsid w:val="033213F9"/>
    <w:rsid w:val="033E642B"/>
    <w:rsid w:val="03401ADE"/>
    <w:rsid w:val="0347043C"/>
    <w:rsid w:val="034F5D29"/>
    <w:rsid w:val="03627619"/>
    <w:rsid w:val="03830824"/>
    <w:rsid w:val="038D3451"/>
    <w:rsid w:val="03C86237"/>
    <w:rsid w:val="03C93AAD"/>
    <w:rsid w:val="03CF7575"/>
    <w:rsid w:val="03D72322"/>
    <w:rsid w:val="03D816BF"/>
    <w:rsid w:val="03EA2EFC"/>
    <w:rsid w:val="04430100"/>
    <w:rsid w:val="044F4115"/>
    <w:rsid w:val="04510922"/>
    <w:rsid w:val="047361A0"/>
    <w:rsid w:val="04A46CA4"/>
    <w:rsid w:val="04BF393A"/>
    <w:rsid w:val="04C74740"/>
    <w:rsid w:val="04CE4425"/>
    <w:rsid w:val="04D53301"/>
    <w:rsid w:val="04E83035"/>
    <w:rsid w:val="04E860AE"/>
    <w:rsid w:val="05292D09"/>
    <w:rsid w:val="053557A1"/>
    <w:rsid w:val="05707259"/>
    <w:rsid w:val="05734F81"/>
    <w:rsid w:val="059A6855"/>
    <w:rsid w:val="05BE78F1"/>
    <w:rsid w:val="05C30DD1"/>
    <w:rsid w:val="05D435B9"/>
    <w:rsid w:val="05D56E1B"/>
    <w:rsid w:val="05EF3F4F"/>
    <w:rsid w:val="060E4278"/>
    <w:rsid w:val="06110424"/>
    <w:rsid w:val="0621779F"/>
    <w:rsid w:val="063B53E6"/>
    <w:rsid w:val="064E227C"/>
    <w:rsid w:val="06516CC6"/>
    <w:rsid w:val="066A2DFA"/>
    <w:rsid w:val="06701C84"/>
    <w:rsid w:val="067A5F0E"/>
    <w:rsid w:val="06862B05"/>
    <w:rsid w:val="068C6DFC"/>
    <w:rsid w:val="068D4557"/>
    <w:rsid w:val="068F18BB"/>
    <w:rsid w:val="069A16CF"/>
    <w:rsid w:val="069F3BC7"/>
    <w:rsid w:val="06C57CBA"/>
    <w:rsid w:val="06D60F17"/>
    <w:rsid w:val="06FB53BF"/>
    <w:rsid w:val="07027FC7"/>
    <w:rsid w:val="071C134F"/>
    <w:rsid w:val="07354BE2"/>
    <w:rsid w:val="076444C8"/>
    <w:rsid w:val="07823B0E"/>
    <w:rsid w:val="078A2181"/>
    <w:rsid w:val="078B7CD4"/>
    <w:rsid w:val="079511E1"/>
    <w:rsid w:val="07A508A7"/>
    <w:rsid w:val="07AD5E6F"/>
    <w:rsid w:val="07CF242B"/>
    <w:rsid w:val="07D110D0"/>
    <w:rsid w:val="07D96C64"/>
    <w:rsid w:val="07F62A3C"/>
    <w:rsid w:val="080F6B2A"/>
    <w:rsid w:val="08147C9D"/>
    <w:rsid w:val="083B3147"/>
    <w:rsid w:val="08431698"/>
    <w:rsid w:val="08451CDF"/>
    <w:rsid w:val="08607386"/>
    <w:rsid w:val="089B5A42"/>
    <w:rsid w:val="08C20D83"/>
    <w:rsid w:val="08C358A9"/>
    <w:rsid w:val="08DD6D78"/>
    <w:rsid w:val="08EE7729"/>
    <w:rsid w:val="08F52D2D"/>
    <w:rsid w:val="08FC5DB4"/>
    <w:rsid w:val="0926263E"/>
    <w:rsid w:val="09336E74"/>
    <w:rsid w:val="093D204A"/>
    <w:rsid w:val="095F36E5"/>
    <w:rsid w:val="096E162E"/>
    <w:rsid w:val="09783914"/>
    <w:rsid w:val="097E5B1A"/>
    <w:rsid w:val="098350DA"/>
    <w:rsid w:val="0992531D"/>
    <w:rsid w:val="099B1A2D"/>
    <w:rsid w:val="09A432A2"/>
    <w:rsid w:val="09AC40FD"/>
    <w:rsid w:val="09CD5AB8"/>
    <w:rsid w:val="09D84B4A"/>
    <w:rsid w:val="09DA4F17"/>
    <w:rsid w:val="09DF0B88"/>
    <w:rsid w:val="09E42B7E"/>
    <w:rsid w:val="0A261F09"/>
    <w:rsid w:val="0A492C37"/>
    <w:rsid w:val="0A572C82"/>
    <w:rsid w:val="0A6C3DC0"/>
    <w:rsid w:val="0A7F479F"/>
    <w:rsid w:val="0A7F55A7"/>
    <w:rsid w:val="0AD82704"/>
    <w:rsid w:val="0AE05CC8"/>
    <w:rsid w:val="0AEC4F01"/>
    <w:rsid w:val="0AFA76C6"/>
    <w:rsid w:val="0AFD2A60"/>
    <w:rsid w:val="0B0E4E77"/>
    <w:rsid w:val="0B1338B8"/>
    <w:rsid w:val="0B1D155E"/>
    <w:rsid w:val="0B463FFD"/>
    <w:rsid w:val="0B4B5097"/>
    <w:rsid w:val="0B5A00BC"/>
    <w:rsid w:val="0B756CA4"/>
    <w:rsid w:val="0B7A250D"/>
    <w:rsid w:val="0B8415DD"/>
    <w:rsid w:val="0B8C3FEE"/>
    <w:rsid w:val="0B8D2240"/>
    <w:rsid w:val="0B9935D4"/>
    <w:rsid w:val="0B9A670B"/>
    <w:rsid w:val="0BDA768D"/>
    <w:rsid w:val="0BDD6E15"/>
    <w:rsid w:val="0BFC5617"/>
    <w:rsid w:val="0BFF7DD3"/>
    <w:rsid w:val="0C0F227B"/>
    <w:rsid w:val="0C10107E"/>
    <w:rsid w:val="0C110C02"/>
    <w:rsid w:val="0C1B3CF0"/>
    <w:rsid w:val="0C2B1A59"/>
    <w:rsid w:val="0C3C3C66"/>
    <w:rsid w:val="0C402010"/>
    <w:rsid w:val="0C4F1BEB"/>
    <w:rsid w:val="0C566E57"/>
    <w:rsid w:val="0C5F6A70"/>
    <w:rsid w:val="0C6F1945"/>
    <w:rsid w:val="0C700E15"/>
    <w:rsid w:val="0C7D0506"/>
    <w:rsid w:val="0C8C699B"/>
    <w:rsid w:val="0C8E4429"/>
    <w:rsid w:val="0CBD5E72"/>
    <w:rsid w:val="0D29243C"/>
    <w:rsid w:val="0D4F5010"/>
    <w:rsid w:val="0D85092A"/>
    <w:rsid w:val="0D865199"/>
    <w:rsid w:val="0DAE55C6"/>
    <w:rsid w:val="0DBA7086"/>
    <w:rsid w:val="0DC61A39"/>
    <w:rsid w:val="0E07001D"/>
    <w:rsid w:val="0E243F48"/>
    <w:rsid w:val="0E3C7F4D"/>
    <w:rsid w:val="0E4833FA"/>
    <w:rsid w:val="0E630164"/>
    <w:rsid w:val="0E911B51"/>
    <w:rsid w:val="0EB61AAE"/>
    <w:rsid w:val="0EC266A4"/>
    <w:rsid w:val="0EE83C31"/>
    <w:rsid w:val="0EEB6C1D"/>
    <w:rsid w:val="0EF32D02"/>
    <w:rsid w:val="0F2B4FB6"/>
    <w:rsid w:val="0F380715"/>
    <w:rsid w:val="0F451083"/>
    <w:rsid w:val="0F527B22"/>
    <w:rsid w:val="0F657030"/>
    <w:rsid w:val="0F661726"/>
    <w:rsid w:val="0F763E6D"/>
    <w:rsid w:val="0F8C4A52"/>
    <w:rsid w:val="0F974D98"/>
    <w:rsid w:val="0FA77868"/>
    <w:rsid w:val="0FAB7138"/>
    <w:rsid w:val="0FAC77FE"/>
    <w:rsid w:val="0FB71F0A"/>
    <w:rsid w:val="0FBA381F"/>
    <w:rsid w:val="0FC84090"/>
    <w:rsid w:val="0FCD0B16"/>
    <w:rsid w:val="0FD77F2D"/>
    <w:rsid w:val="0FE16FFE"/>
    <w:rsid w:val="0FEC55E8"/>
    <w:rsid w:val="0FFE19E5"/>
    <w:rsid w:val="10180779"/>
    <w:rsid w:val="101A220C"/>
    <w:rsid w:val="10376E43"/>
    <w:rsid w:val="10484987"/>
    <w:rsid w:val="104B091B"/>
    <w:rsid w:val="105226B6"/>
    <w:rsid w:val="105B0B5E"/>
    <w:rsid w:val="107C1391"/>
    <w:rsid w:val="109B71AD"/>
    <w:rsid w:val="10AB2993"/>
    <w:rsid w:val="10B62239"/>
    <w:rsid w:val="10BF0C8D"/>
    <w:rsid w:val="10E33CBA"/>
    <w:rsid w:val="11194576"/>
    <w:rsid w:val="112006C5"/>
    <w:rsid w:val="1129722C"/>
    <w:rsid w:val="113D2012"/>
    <w:rsid w:val="114B725C"/>
    <w:rsid w:val="115A1308"/>
    <w:rsid w:val="11A51AAD"/>
    <w:rsid w:val="12097BB6"/>
    <w:rsid w:val="12113088"/>
    <w:rsid w:val="121511E1"/>
    <w:rsid w:val="1222745A"/>
    <w:rsid w:val="123553DF"/>
    <w:rsid w:val="123A6BC3"/>
    <w:rsid w:val="125F4915"/>
    <w:rsid w:val="12617F82"/>
    <w:rsid w:val="12641821"/>
    <w:rsid w:val="127B49BD"/>
    <w:rsid w:val="129B2484"/>
    <w:rsid w:val="12BD2BE6"/>
    <w:rsid w:val="12C109A8"/>
    <w:rsid w:val="12D20E80"/>
    <w:rsid w:val="12D95730"/>
    <w:rsid w:val="12E52961"/>
    <w:rsid w:val="12EE1A21"/>
    <w:rsid w:val="13054DB2"/>
    <w:rsid w:val="13512355"/>
    <w:rsid w:val="13522EE3"/>
    <w:rsid w:val="135D2E40"/>
    <w:rsid w:val="137816DF"/>
    <w:rsid w:val="13AB4CBE"/>
    <w:rsid w:val="13CE5AEB"/>
    <w:rsid w:val="13E669F4"/>
    <w:rsid w:val="143B021C"/>
    <w:rsid w:val="14442136"/>
    <w:rsid w:val="14514B1B"/>
    <w:rsid w:val="14630B1C"/>
    <w:rsid w:val="14641344"/>
    <w:rsid w:val="14A92AFF"/>
    <w:rsid w:val="14BE16BC"/>
    <w:rsid w:val="14DA6EB8"/>
    <w:rsid w:val="14EB78DF"/>
    <w:rsid w:val="14F46852"/>
    <w:rsid w:val="15051099"/>
    <w:rsid w:val="1526009A"/>
    <w:rsid w:val="155938F3"/>
    <w:rsid w:val="155C2C83"/>
    <w:rsid w:val="15674B2D"/>
    <w:rsid w:val="15D626B2"/>
    <w:rsid w:val="16021A7C"/>
    <w:rsid w:val="161F43DC"/>
    <w:rsid w:val="16273291"/>
    <w:rsid w:val="1628178D"/>
    <w:rsid w:val="163C6D3C"/>
    <w:rsid w:val="16554ABB"/>
    <w:rsid w:val="16802D57"/>
    <w:rsid w:val="16AB5C70"/>
    <w:rsid w:val="16C64858"/>
    <w:rsid w:val="16CC293F"/>
    <w:rsid w:val="16D7281C"/>
    <w:rsid w:val="17225127"/>
    <w:rsid w:val="1738789A"/>
    <w:rsid w:val="174967B5"/>
    <w:rsid w:val="174B6EE2"/>
    <w:rsid w:val="17714417"/>
    <w:rsid w:val="17793FC0"/>
    <w:rsid w:val="17800EAB"/>
    <w:rsid w:val="17966977"/>
    <w:rsid w:val="179B3F36"/>
    <w:rsid w:val="17B56708"/>
    <w:rsid w:val="17C246FF"/>
    <w:rsid w:val="17D3547E"/>
    <w:rsid w:val="17EA6D3D"/>
    <w:rsid w:val="18143491"/>
    <w:rsid w:val="182E653E"/>
    <w:rsid w:val="18340258"/>
    <w:rsid w:val="18381785"/>
    <w:rsid w:val="18925339"/>
    <w:rsid w:val="18982224"/>
    <w:rsid w:val="19031D93"/>
    <w:rsid w:val="190371B8"/>
    <w:rsid w:val="190C306B"/>
    <w:rsid w:val="190E24E6"/>
    <w:rsid w:val="193877A6"/>
    <w:rsid w:val="193C52A5"/>
    <w:rsid w:val="19467ED2"/>
    <w:rsid w:val="19484A03"/>
    <w:rsid w:val="196F11D7"/>
    <w:rsid w:val="197467ED"/>
    <w:rsid w:val="19AA220F"/>
    <w:rsid w:val="19B66E06"/>
    <w:rsid w:val="19BA4723"/>
    <w:rsid w:val="19E576EB"/>
    <w:rsid w:val="19F811CC"/>
    <w:rsid w:val="19F93BD9"/>
    <w:rsid w:val="19FE2C18"/>
    <w:rsid w:val="1A017FBA"/>
    <w:rsid w:val="1A0A53A3"/>
    <w:rsid w:val="1A1D6E85"/>
    <w:rsid w:val="1A1F7AE2"/>
    <w:rsid w:val="1A2E4BEE"/>
    <w:rsid w:val="1A5E2F03"/>
    <w:rsid w:val="1A68495E"/>
    <w:rsid w:val="1A8B49AD"/>
    <w:rsid w:val="1AA043AF"/>
    <w:rsid w:val="1AB23A71"/>
    <w:rsid w:val="1AD734D7"/>
    <w:rsid w:val="1B074E0A"/>
    <w:rsid w:val="1B4E1A47"/>
    <w:rsid w:val="1B5F527B"/>
    <w:rsid w:val="1B722C0B"/>
    <w:rsid w:val="1B8F790E"/>
    <w:rsid w:val="1B9F6E88"/>
    <w:rsid w:val="1BA04215"/>
    <w:rsid w:val="1BA17641"/>
    <w:rsid w:val="1BAD4238"/>
    <w:rsid w:val="1BB27AA1"/>
    <w:rsid w:val="1BBB7A8F"/>
    <w:rsid w:val="1BD442B9"/>
    <w:rsid w:val="1C0A168B"/>
    <w:rsid w:val="1C163B8C"/>
    <w:rsid w:val="1C212645"/>
    <w:rsid w:val="1C4F2FE2"/>
    <w:rsid w:val="1C5332B4"/>
    <w:rsid w:val="1C6C63AD"/>
    <w:rsid w:val="1C730FDE"/>
    <w:rsid w:val="1C792111"/>
    <w:rsid w:val="1CA75653"/>
    <w:rsid w:val="1CAC4C91"/>
    <w:rsid w:val="1CD40FFA"/>
    <w:rsid w:val="1CD62445"/>
    <w:rsid w:val="1CFF2872"/>
    <w:rsid w:val="1D0D6EC9"/>
    <w:rsid w:val="1D1B6505"/>
    <w:rsid w:val="1D383FD6"/>
    <w:rsid w:val="1D440BCC"/>
    <w:rsid w:val="1D621DD0"/>
    <w:rsid w:val="1D6552B6"/>
    <w:rsid w:val="1D77292D"/>
    <w:rsid w:val="1D782F2A"/>
    <w:rsid w:val="1D9236E6"/>
    <w:rsid w:val="1DA96F45"/>
    <w:rsid w:val="1DB63878"/>
    <w:rsid w:val="1DB86AB2"/>
    <w:rsid w:val="1DED200F"/>
    <w:rsid w:val="1E0A3BC4"/>
    <w:rsid w:val="1E2645FF"/>
    <w:rsid w:val="1E445910"/>
    <w:rsid w:val="1E46401A"/>
    <w:rsid w:val="1E5C600C"/>
    <w:rsid w:val="1E6A69C7"/>
    <w:rsid w:val="1E6E5F01"/>
    <w:rsid w:val="1E7948A6"/>
    <w:rsid w:val="1EDD4E34"/>
    <w:rsid w:val="1EDE2083"/>
    <w:rsid w:val="1EE6653D"/>
    <w:rsid w:val="1EFF4DAB"/>
    <w:rsid w:val="1F16618C"/>
    <w:rsid w:val="1F430494"/>
    <w:rsid w:val="1F5E41C7"/>
    <w:rsid w:val="1F5F6ADA"/>
    <w:rsid w:val="1F882FF2"/>
    <w:rsid w:val="1F8B4890"/>
    <w:rsid w:val="1F9E2816"/>
    <w:rsid w:val="1FA17046"/>
    <w:rsid w:val="1FA31BDA"/>
    <w:rsid w:val="1FB0008D"/>
    <w:rsid w:val="1FDC6E9A"/>
    <w:rsid w:val="1FFE5062"/>
    <w:rsid w:val="200A3A07"/>
    <w:rsid w:val="2023469C"/>
    <w:rsid w:val="204A02A8"/>
    <w:rsid w:val="204A584F"/>
    <w:rsid w:val="20595C87"/>
    <w:rsid w:val="2087725F"/>
    <w:rsid w:val="209D0D1F"/>
    <w:rsid w:val="20A35C0A"/>
    <w:rsid w:val="20AD3B5D"/>
    <w:rsid w:val="20AF3CA4"/>
    <w:rsid w:val="20AF45AF"/>
    <w:rsid w:val="20DC089D"/>
    <w:rsid w:val="20DC3830"/>
    <w:rsid w:val="20ED764A"/>
    <w:rsid w:val="20F46CAC"/>
    <w:rsid w:val="20F5433F"/>
    <w:rsid w:val="20FB77F4"/>
    <w:rsid w:val="21004C8D"/>
    <w:rsid w:val="21090163"/>
    <w:rsid w:val="211D51B4"/>
    <w:rsid w:val="21246D4B"/>
    <w:rsid w:val="2125701E"/>
    <w:rsid w:val="21463165"/>
    <w:rsid w:val="21556F04"/>
    <w:rsid w:val="217B11D7"/>
    <w:rsid w:val="219A0DBB"/>
    <w:rsid w:val="21A17792"/>
    <w:rsid w:val="21AF4251"/>
    <w:rsid w:val="21B856E5"/>
    <w:rsid w:val="21D32B8D"/>
    <w:rsid w:val="21DE1C50"/>
    <w:rsid w:val="22277958"/>
    <w:rsid w:val="225B679C"/>
    <w:rsid w:val="225C42C2"/>
    <w:rsid w:val="227E25FD"/>
    <w:rsid w:val="228B2608"/>
    <w:rsid w:val="22AD2D70"/>
    <w:rsid w:val="22FA25EF"/>
    <w:rsid w:val="2304280F"/>
    <w:rsid w:val="23264AF2"/>
    <w:rsid w:val="2330555F"/>
    <w:rsid w:val="233F4C01"/>
    <w:rsid w:val="234C77C1"/>
    <w:rsid w:val="23503E27"/>
    <w:rsid w:val="235928CB"/>
    <w:rsid w:val="23622CB4"/>
    <w:rsid w:val="236A340B"/>
    <w:rsid w:val="236A3A0E"/>
    <w:rsid w:val="238B564A"/>
    <w:rsid w:val="239207B4"/>
    <w:rsid w:val="23B25A64"/>
    <w:rsid w:val="23C317A7"/>
    <w:rsid w:val="23C60D30"/>
    <w:rsid w:val="23D25D03"/>
    <w:rsid w:val="23D700A4"/>
    <w:rsid w:val="24062738"/>
    <w:rsid w:val="241A5BDA"/>
    <w:rsid w:val="241D54C1"/>
    <w:rsid w:val="241E2177"/>
    <w:rsid w:val="241F1A4B"/>
    <w:rsid w:val="242E44B6"/>
    <w:rsid w:val="244308DF"/>
    <w:rsid w:val="244A2F6C"/>
    <w:rsid w:val="245C1D65"/>
    <w:rsid w:val="24742847"/>
    <w:rsid w:val="248F6BD1"/>
    <w:rsid w:val="249917FE"/>
    <w:rsid w:val="24B200C9"/>
    <w:rsid w:val="24C77D7F"/>
    <w:rsid w:val="24CA2E27"/>
    <w:rsid w:val="24D521F1"/>
    <w:rsid w:val="24DD5B8E"/>
    <w:rsid w:val="24E87962"/>
    <w:rsid w:val="24EF6648"/>
    <w:rsid w:val="25233CAC"/>
    <w:rsid w:val="253003E8"/>
    <w:rsid w:val="2533755C"/>
    <w:rsid w:val="253432D4"/>
    <w:rsid w:val="25745BC3"/>
    <w:rsid w:val="257A33DD"/>
    <w:rsid w:val="25A14E0E"/>
    <w:rsid w:val="25A934A3"/>
    <w:rsid w:val="25A93CC2"/>
    <w:rsid w:val="25C74FE4"/>
    <w:rsid w:val="25E134A8"/>
    <w:rsid w:val="25E91A6B"/>
    <w:rsid w:val="25EF5989"/>
    <w:rsid w:val="26096E7C"/>
    <w:rsid w:val="262B46D7"/>
    <w:rsid w:val="2652648B"/>
    <w:rsid w:val="2668060D"/>
    <w:rsid w:val="266B71CA"/>
    <w:rsid w:val="26CE7A97"/>
    <w:rsid w:val="272C3E52"/>
    <w:rsid w:val="275E288B"/>
    <w:rsid w:val="27B349FE"/>
    <w:rsid w:val="27B34F57"/>
    <w:rsid w:val="27D67DD4"/>
    <w:rsid w:val="27E234BC"/>
    <w:rsid w:val="27ED406A"/>
    <w:rsid w:val="28072F22"/>
    <w:rsid w:val="28081174"/>
    <w:rsid w:val="28173165"/>
    <w:rsid w:val="285C5406"/>
    <w:rsid w:val="285D5091"/>
    <w:rsid w:val="28650375"/>
    <w:rsid w:val="286E6DBD"/>
    <w:rsid w:val="286F5E18"/>
    <w:rsid w:val="28725EFD"/>
    <w:rsid w:val="288115B2"/>
    <w:rsid w:val="28832986"/>
    <w:rsid w:val="288B5901"/>
    <w:rsid w:val="28A40ACA"/>
    <w:rsid w:val="28C33ADB"/>
    <w:rsid w:val="28CC03F4"/>
    <w:rsid w:val="28F416F8"/>
    <w:rsid w:val="28F60FCD"/>
    <w:rsid w:val="28F6143C"/>
    <w:rsid w:val="29152F93"/>
    <w:rsid w:val="29163888"/>
    <w:rsid w:val="291805D6"/>
    <w:rsid w:val="291965CF"/>
    <w:rsid w:val="291D29FD"/>
    <w:rsid w:val="294455B3"/>
    <w:rsid w:val="294B43F6"/>
    <w:rsid w:val="29635C48"/>
    <w:rsid w:val="29E03A2B"/>
    <w:rsid w:val="29E14E12"/>
    <w:rsid w:val="29F23E8A"/>
    <w:rsid w:val="2A181417"/>
    <w:rsid w:val="2A1831C5"/>
    <w:rsid w:val="2A261D85"/>
    <w:rsid w:val="2A391AB9"/>
    <w:rsid w:val="2A3E0FCD"/>
    <w:rsid w:val="2A443FBA"/>
    <w:rsid w:val="2A781CEC"/>
    <w:rsid w:val="2A7E571E"/>
    <w:rsid w:val="2A837167"/>
    <w:rsid w:val="2AA42601"/>
    <w:rsid w:val="2AAE58D7"/>
    <w:rsid w:val="2AB70C30"/>
    <w:rsid w:val="2ACE2818"/>
    <w:rsid w:val="2AE94068"/>
    <w:rsid w:val="2AEA3379"/>
    <w:rsid w:val="2AEA4B61"/>
    <w:rsid w:val="2AF21C68"/>
    <w:rsid w:val="2AF67688"/>
    <w:rsid w:val="2B00574B"/>
    <w:rsid w:val="2B0D6AA1"/>
    <w:rsid w:val="2B1E4185"/>
    <w:rsid w:val="2B7D391B"/>
    <w:rsid w:val="2B9176D3"/>
    <w:rsid w:val="2BD03E17"/>
    <w:rsid w:val="2BDD5A5F"/>
    <w:rsid w:val="2BED7625"/>
    <w:rsid w:val="2BF538A7"/>
    <w:rsid w:val="2C0A4D8F"/>
    <w:rsid w:val="2C2C73FB"/>
    <w:rsid w:val="2C3C1D56"/>
    <w:rsid w:val="2C484235"/>
    <w:rsid w:val="2C6C4D44"/>
    <w:rsid w:val="2C6D69AD"/>
    <w:rsid w:val="2CB80F55"/>
    <w:rsid w:val="2CC07DE9"/>
    <w:rsid w:val="2CCA4199"/>
    <w:rsid w:val="2CF84117"/>
    <w:rsid w:val="2CFB12A7"/>
    <w:rsid w:val="2CFF241A"/>
    <w:rsid w:val="2D1A37C7"/>
    <w:rsid w:val="2D1D4B3D"/>
    <w:rsid w:val="2D23435A"/>
    <w:rsid w:val="2D300825"/>
    <w:rsid w:val="2D420CB7"/>
    <w:rsid w:val="2D4A7B39"/>
    <w:rsid w:val="2D591E19"/>
    <w:rsid w:val="2D7A131A"/>
    <w:rsid w:val="2D7D0FD6"/>
    <w:rsid w:val="2D8D2C9D"/>
    <w:rsid w:val="2D940DB4"/>
    <w:rsid w:val="2DB5644C"/>
    <w:rsid w:val="2DD811ED"/>
    <w:rsid w:val="2DE33AC6"/>
    <w:rsid w:val="2E0017F1"/>
    <w:rsid w:val="2E0A35A5"/>
    <w:rsid w:val="2E122031"/>
    <w:rsid w:val="2E1A79E2"/>
    <w:rsid w:val="2E1D6FFC"/>
    <w:rsid w:val="2E212147"/>
    <w:rsid w:val="2E383E35"/>
    <w:rsid w:val="2E3E745A"/>
    <w:rsid w:val="2E5F7614"/>
    <w:rsid w:val="2E76670C"/>
    <w:rsid w:val="2E837F7D"/>
    <w:rsid w:val="2E9C43C4"/>
    <w:rsid w:val="2EDE49DD"/>
    <w:rsid w:val="2EE87609"/>
    <w:rsid w:val="2EED69CE"/>
    <w:rsid w:val="2EFB296A"/>
    <w:rsid w:val="2F0957D2"/>
    <w:rsid w:val="2F0C3A5F"/>
    <w:rsid w:val="2F126434"/>
    <w:rsid w:val="2F422338"/>
    <w:rsid w:val="2F473A37"/>
    <w:rsid w:val="2F4E0F62"/>
    <w:rsid w:val="2F513095"/>
    <w:rsid w:val="2F5B548D"/>
    <w:rsid w:val="2F6A7682"/>
    <w:rsid w:val="2F6D7B0F"/>
    <w:rsid w:val="2F805A94"/>
    <w:rsid w:val="2F81180C"/>
    <w:rsid w:val="2FB92DF9"/>
    <w:rsid w:val="2FBB66A8"/>
    <w:rsid w:val="2FBD1047"/>
    <w:rsid w:val="2FC55B9D"/>
    <w:rsid w:val="2FC736C3"/>
    <w:rsid w:val="2FCA75A6"/>
    <w:rsid w:val="2FD132D2"/>
    <w:rsid w:val="2FD22529"/>
    <w:rsid w:val="2FD9098F"/>
    <w:rsid w:val="2FDE6C5E"/>
    <w:rsid w:val="2FE00390"/>
    <w:rsid w:val="2FE83639"/>
    <w:rsid w:val="2FF147B6"/>
    <w:rsid w:val="30136908"/>
    <w:rsid w:val="301C6E7A"/>
    <w:rsid w:val="304A7E50"/>
    <w:rsid w:val="30547C8A"/>
    <w:rsid w:val="309A10A9"/>
    <w:rsid w:val="309C4B4F"/>
    <w:rsid w:val="309C64CF"/>
    <w:rsid w:val="30AE03DF"/>
    <w:rsid w:val="30DF67EA"/>
    <w:rsid w:val="30F304E8"/>
    <w:rsid w:val="30FD4E97"/>
    <w:rsid w:val="310821E5"/>
    <w:rsid w:val="310B02A3"/>
    <w:rsid w:val="311D7312"/>
    <w:rsid w:val="316E0F09"/>
    <w:rsid w:val="317F1F85"/>
    <w:rsid w:val="318B043C"/>
    <w:rsid w:val="31B732C3"/>
    <w:rsid w:val="31C14BEA"/>
    <w:rsid w:val="31DB16A7"/>
    <w:rsid w:val="31F167D5"/>
    <w:rsid w:val="31FA59A3"/>
    <w:rsid w:val="320B0C45"/>
    <w:rsid w:val="32301707"/>
    <w:rsid w:val="3234700A"/>
    <w:rsid w:val="3240256F"/>
    <w:rsid w:val="324146D0"/>
    <w:rsid w:val="32550A9C"/>
    <w:rsid w:val="325B1273"/>
    <w:rsid w:val="327F1F37"/>
    <w:rsid w:val="32947EF5"/>
    <w:rsid w:val="329A6E6D"/>
    <w:rsid w:val="32AE7E98"/>
    <w:rsid w:val="32B54F97"/>
    <w:rsid w:val="32D71713"/>
    <w:rsid w:val="32DE4190"/>
    <w:rsid w:val="32E53E60"/>
    <w:rsid w:val="33296443"/>
    <w:rsid w:val="333F7A14"/>
    <w:rsid w:val="33447788"/>
    <w:rsid w:val="335565C6"/>
    <w:rsid w:val="33557238"/>
    <w:rsid w:val="335A484E"/>
    <w:rsid w:val="338673F1"/>
    <w:rsid w:val="33B02D19"/>
    <w:rsid w:val="33CB12A8"/>
    <w:rsid w:val="33DD7A60"/>
    <w:rsid w:val="33E41275"/>
    <w:rsid w:val="33F86541"/>
    <w:rsid w:val="34015F3F"/>
    <w:rsid w:val="341A4D80"/>
    <w:rsid w:val="34311251"/>
    <w:rsid w:val="3431735D"/>
    <w:rsid w:val="343C4BAB"/>
    <w:rsid w:val="34473E79"/>
    <w:rsid w:val="344C245A"/>
    <w:rsid w:val="345A0157"/>
    <w:rsid w:val="348046C2"/>
    <w:rsid w:val="34845AD1"/>
    <w:rsid w:val="348D0665"/>
    <w:rsid w:val="34B37311"/>
    <w:rsid w:val="34E7418D"/>
    <w:rsid w:val="34FF745B"/>
    <w:rsid w:val="35134CB4"/>
    <w:rsid w:val="353473E8"/>
    <w:rsid w:val="353D61D5"/>
    <w:rsid w:val="35492DCC"/>
    <w:rsid w:val="355B5299"/>
    <w:rsid w:val="356609D8"/>
    <w:rsid w:val="356B6E78"/>
    <w:rsid w:val="35726BF9"/>
    <w:rsid w:val="35742278"/>
    <w:rsid w:val="357A2FAC"/>
    <w:rsid w:val="357E2415"/>
    <w:rsid w:val="35847960"/>
    <w:rsid w:val="358A04B2"/>
    <w:rsid w:val="359009FB"/>
    <w:rsid w:val="35966825"/>
    <w:rsid w:val="359F3C2D"/>
    <w:rsid w:val="35C90E59"/>
    <w:rsid w:val="3639699D"/>
    <w:rsid w:val="365437D6"/>
    <w:rsid w:val="365C5E32"/>
    <w:rsid w:val="366C0EB3"/>
    <w:rsid w:val="368E5EDF"/>
    <w:rsid w:val="36932551"/>
    <w:rsid w:val="36B0782A"/>
    <w:rsid w:val="36B14785"/>
    <w:rsid w:val="36C941C4"/>
    <w:rsid w:val="37024FE0"/>
    <w:rsid w:val="370F76FD"/>
    <w:rsid w:val="372653C0"/>
    <w:rsid w:val="374203AA"/>
    <w:rsid w:val="3775222B"/>
    <w:rsid w:val="37906A90"/>
    <w:rsid w:val="37C67446"/>
    <w:rsid w:val="37D050DF"/>
    <w:rsid w:val="37E23721"/>
    <w:rsid w:val="37E42938"/>
    <w:rsid w:val="37EB43B8"/>
    <w:rsid w:val="37FE1C4C"/>
    <w:rsid w:val="382025DC"/>
    <w:rsid w:val="38284205"/>
    <w:rsid w:val="383A3F98"/>
    <w:rsid w:val="386E0396"/>
    <w:rsid w:val="38785A35"/>
    <w:rsid w:val="389205E6"/>
    <w:rsid w:val="38995E18"/>
    <w:rsid w:val="38997BC6"/>
    <w:rsid w:val="38AA5930"/>
    <w:rsid w:val="38AD49B0"/>
    <w:rsid w:val="38D66072"/>
    <w:rsid w:val="38D806EF"/>
    <w:rsid w:val="38EF5A38"/>
    <w:rsid w:val="38F17A02"/>
    <w:rsid w:val="38F60B75"/>
    <w:rsid w:val="39162FC5"/>
    <w:rsid w:val="392274DB"/>
    <w:rsid w:val="393D7B1A"/>
    <w:rsid w:val="39461D44"/>
    <w:rsid w:val="396555DB"/>
    <w:rsid w:val="39A71E6F"/>
    <w:rsid w:val="39C24200"/>
    <w:rsid w:val="39D45A5F"/>
    <w:rsid w:val="39DF0585"/>
    <w:rsid w:val="39EB6200"/>
    <w:rsid w:val="3A23599A"/>
    <w:rsid w:val="3A365341"/>
    <w:rsid w:val="3A8735DD"/>
    <w:rsid w:val="3A8D565B"/>
    <w:rsid w:val="3AA90A46"/>
    <w:rsid w:val="3AB26D1E"/>
    <w:rsid w:val="3B005CDB"/>
    <w:rsid w:val="3B016339"/>
    <w:rsid w:val="3B516536"/>
    <w:rsid w:val="3B614124"/>
    <w:rsid w:val="3B7F30A4"/>
    <w:rsid w:val="3BA3333C"/>
    <w:rsid w:val="3BA7084C"/>
    <w:rsid w:val="3BAF044C"/>
    <w:rsid w:val="3BCB3F9B"/>
    <w:rsid w:val="3BE0528C"/>
    <w:rsid w:val="3C096E11"/>
    <w:rsid w:val="3C1B7A65"/>
    <w:rsid w:val="3C1D466B"/>
    <w:rsid w:val="3C395948"/>
    <w:rsid w:val="3C8458E7"/>
    <w:rsid w:val="3C8D516B"/>
    <w:rsid w:val="3CB60D47"/>
    <w:rsid w:val="3CB7061B"/>
    <w:rsid w:val="3CC65EFD"/>
    <w:rsid w:val="3CC95919"/>
    <w:rsid w:val="3CCA034E"/>
    <w:rsid w:val="3CD25455"/>
    <w:rsid w:val="3CF43399"/>
    <w:rsid w:val="3D0B2F30"/>
    <w:rsid w:val="3D182B46"/>
    <w:rsid w:val="3D271A98"/>
    <w:rsid w:val="3D2F28A7"/>
    <w:rsid w:val="3D31661F"/>
    <w:rsid w:val="3D324146"/>
    <w:rsid w:val="3D4225DB"/>
    <w:rsid w:val="3D464932"/>
    <w:rsid w:val="3D8175A7"/>
    <w:rsid w:val="3D9A2900"/>
    <w:rsid w:val="3DA7326B"/>
    <w:rsid w:val="3DAB28B5"/>
    <w:rsid w:val="3DAF030F"/>
    <w:rsid w:val="3DC72AE0"/>
    <w:rsid w:val="3DFC3C71"/>
    <w:rsid w:val="3E010A8D"/>
    <w:rsid w:val="3E0B50C2"/>
    <w:rsid w:val="3E133F77"/>
    <w:rsid w:val="3E197E7B"/>
    <w:rsid w:val="3E393B42"/>
    <w:rsid w:val="3E4D1237"/>
    <w:rsid w:val="3E553B18"/>
    <w:rsid w:val="3E5E1696"/>
    <w:rsid w:val="3E732AB2"/>
    <w:rsid w:val="3E8135D7"/>
    <w:rsid w:val="3EAB0654"/>
    <w:rsid w:val="3EEA4CD8"/>
    <w:rsid w:val="3EFE0783"/>
    <w:rsid w:val="3F055FB6"/>
    <w:rsid w:val="3F062B01"/>
    <w:rsid w:val="3F255D10"/>
    <w:rsid w:val="3F405C22"/>
    <w:rsid w:val="3F680170"/>
    <w:rsid w:val="3F79627D"/>
    <w:rsid w:val="3F8213B4"/>
    <w:rsid w:val="3F974586"/>
    <w:rsid w:val="3F9F1F66"/>
    <w:rsid w:val="3FA23805"/>
    <w:rsid w:val="3FA51A35"/>
    <w:rsid w:val="3FAF23C9"/>
    <w:rsid w:val="3FBF4D1D"/>
    <w:rsid w:val="3FC5486C"/>
    <w:rsid w:val="3FD122A4"/>
    <w:rsid w:val="3FEA5477"/>
    <w:rsid w:val="3FF35E0E"/>
    <w:rsid w:val="40175FA1"/>
    <w:rsid w:val="401F6658"/>
    <w:rsid w:val="402A4C4C"/>
    <w:rsid w:val="403D25CD"/>
    <w:rsid w:val="407D2837"/>
    <w:rsid w:val="4084115C"/>
    <w:rsid w:val="409D38F9"/>
    <w:rsid w:val="40A24682"/>
    <w:rsid w:val="40A8309D"/>
    <w:rsid w:val="40AC59F8"/>
    <w:rsid w:val="40C357E1"/>
    <w:rsid w:val="40E2498A"/>
    <w:rsid w:val="410F4ECA"/>
    <w:rsid w:val="41322966"/>
    <w:rsid w:val="413A55AA"/>
    <w:rsid w:val="41656898"/>
    <w:rsid w:val="41760AA5"/>
    <w:rsid w:val="417E204F"/>
    <w:rsid w:val="418036D2"/>
    <w:rsid w:val="418F7145"/>
    <w:rsid w:val="419A7F55"/>
    <w:rsid w:val="41A41AB6"/>
    <w:rsid w:val="41A55BC2"/>
    <w:rsid w:val="41CA0AE0"/>
    <w:rsid w:val="41CA68C5"/>
    <w:rsid w:val="41CD7C17"/>
    <w:rsid w:val="41D06682"/>
    <w:rsid w:val="41D519FE"/>
    <w:rsid w:val="41DB4DAC"/>
    <w:rsid w:val="420460B1"/>
    <w:rsid w:val="421A3E84"/>
    <w:rsid w:val="421F758E"/>
    <w:rsid w:val="422B7AE1"/>
    <w:rsid w:val="42336A5D"/>
    <w:rsid w:val="42417305"/>
    <w:rsid w:val="425A2175"/>
    <w:rsid w:val="426923B8"/>
    <w:rsid w:val="426C48F3"/>
    <w:rsid w:val="426F745B"/>
    <w:rsid w:val="4285461D"/>
    <w:rsid w:val="42C35F6C"/>
    <w:rsid w:val="432F3601"/>
    <w:rsid w:val="43600767"/>
    <w:rsid w:val="436A63E7"/>
    <w:rsid w:val="4391606A"/>
    <w:rsid w:val="43B0122A"/>
    <w:rsid w:val="43EF4B3E"/>
    <w:rsid w:val="43F12BD6"/>
    <w:rsid w:val="44031B3A"/>
    <w:rsid w:val="441822E7"/>
    <w:rsid w:val="441B0B2C"/>
    <w:rsid w:val="442A1C1D"/>
    <w:rsid w:val="444529B0"/>
    <w:rsid w:val="44551C28"/>
    <w:rsid w:val="445F2722"/>
    <w:rsid w:val="44646277"/>
    <w:rsid w:val="447514E8"/>
    <w:rsid w:val="44784B34"/>
    <w:rsid w:val="447D1346"/>
    <w:rsid w:val="44A87D87"/>
    <w:rsid w:val="44B44617"/>
    <w:rsid w:val="44BD765D"/>
    <w:rsid w:val="44BF2763"/>
    <w:rsid w:val="44D559FA"/>
    <w:rsid w:val="44D62828"/>
    <w:rsid w:val="450665E4"/>
    <w:rsid w:val="45161CE6"/>
    <w:rsid w:val="45356997"/>
    <w:rsid w:val="45475D1F"/>
    <w:rsid w:val="454B5300"/>
    <w:rsid w:val="455D5DC2"/>
    <w:rsid w:val="456A1083"/>
    <w:rsid w:val="457E43CC"/>
    <w:rsid w:val="4599306C"/>
    <w:rsid w:val="45BB4EB2"/>
    <w:rsid w:val="45DC4B29"/>
    <w:rsid w:val="45E00BE3"/>
    <w:rsid w:val="45E2071C"/>
    <w:rsid w:val="4603726A"/>
    <w:rsid w:val="463A4797"/>
    <w:rsid w:val="46455732"/>
    <w:rsid w:val="467B07B2"/>
    <w:rsid w:val="4689068E"/>
    <w:rsid w:val="46A71178"/>
    <w:rsid w:val="46B55B20"/>
    <w:rsid w:val="46B67B95"/>
    <w:rsid w:val="46F801AE"/>
    <w:rsid w:val="470D212F"/>
    <w:rsid w:val="472F1E22"/>
    <w:rsid w:val="474048D1"/>
    <w:rsid w:val="476E0F71"/>
    <w:rsid w:val="479A0FBB"/>
    <w:rsid w:val="47A1352B"/>
    <w:rsid w:val="47CA1B4A"/>
    <w:rsid w:val="47E514AB"/>
    <w:rsid w:val="47EF15B1"/>
    <w:rsid w:val="47F617DD"/>
    <w:rsid w:val="4800731A"/>
    <w:rsid w:val="480A63EB"/>
    <w:rsid w:val="48154007"/>
    <w:rsid w:val="481728B6"/>
    <w:rsid w:val="483F42E6"/>
    <w:rsid w:val="48401E0D"/>
    <w:rsid w:val="48455675"/>
    <w:rsid w:val="486A0BF3"/>
    <w:rsid w:val="48931F3C"/>
    <w:rsid w:val="489F6B33"/>
    <w:rsid w:val="48AE6C4B"/>
    <w:rsid w:val="48AF4A60"/>
    <w:rsid w:val="48C41E39"/>
    <w:rsid w:val="48D05B25"/>
    <w:rsid w:val="48D7702C"/>
    <w:rsid w:val="48DB7C07"/>
    <w:rsid w:val="49040DE8"/>
    <w:rsid w:val="49351F9D"/>
    <w:rsid w:val="493F20C4"/>
    <w:rsid w:val="495A5281"/>
    <w:rsid w:val="496F0BFB"/>
    <w:rsid w:val="49767B7C"/>
    <w:rsid w:val="49804BB7"/>
    <w:rsid w:val="498B355B"/>
    <w:rsid w:val="498B5CF3"/>
    <w:rsid w:val="49AB59AC"/>
    <w:rsid w:val="49C83B9E"/>
    <w:rsid w:val="49D722FD"/>
    <w:rsid w:val="49EA3F0C"/>
    <w:rsid w:val="49EB34D3"/>
    <w:rsid w:val="49EE1C10"/>
    <w:rsid w:val="4A190B67"/>
    <w:rsid w:val="4A2D258B"/>
    <w:rsid w:val="4A33331D"/>
    <w:rsid w:val="4A3A131E"/>
    <w:rsid w:val="4A4315A2"/>
    <w:rsid w:val="4A4928ED"/>
    <w:rsid w:val="4A7730B7"/>
    <w:rsid w:val="4AAC230E"/>
    <w:rsid w:val="4ACC6B34"/>
    <w:rsid w:val="4AD52225"/>
    <w:rsid w:val="4AD73C29"/>
    <w:rsid w:val="4AF13892"/>
    <w:rsid w:val="4B026236"/>
    <w:rsid w:val="4B0B5B41"/>
    <w:rsid w:val="4B0C4228"/>
    <w:rsid w:val="4B105AC6"/>
    <w:rsid w:val="4B445747"/>
    <w:rsid w:val="4B7320FA"/>
    <w:rsid w:val="4B9E7576"/>
    <w:rsid w:val="4BA3693A"/>
    <w:rsid w:val="4BC220E1"/>
    <w:rsid w:val="4BDA60D4"/>
    <w:rsid w:val="4BE01CBF"/>
    <w:rsid w:val="4BFA22D2"/>
    <w:rsid w:val="4C184159"/>
    <w:rsid w:val="4C324162"/>
    <w:rsid w:val="4C392DFB"/>
    <w:rsid w:val="4C3D6D8F"/>
    <w:rsid w:val="4C6373E0"/>
    <w:rsid w:val="4C777FC6"/>
    <w:rsid w:val="4C806C7C"/>
    <w:rsid w:val="4C891207"/>
    <w:rsid w:val="4C8F4728"/>
    <w:rsid w:val="4CD46FC7"/>
    <w:rsid w:val="4CE86D9F"/>
    <w:rsid w:val="4D1B0752"/>
    <w:rsid w:val="4D2A68C4"/>
    <w:rsid w:val="4D3C7046"/>
    <w:rsid w:val="4D445E3E"/>
    <w:rsid w:val="4D45156C"/>
    <w:rsid w:val="4D5231AC"/>
    <w:rsid w:val="4D5521EB"/>
    <w:rsid w:val="4D573E80"/>
    <w:rsid w:val="4D615962"/>
    <w:rsid w:val="4D6C3353"/>
    <w:rsid w:val="4D7F7B17"/>
    <w:rsid w:val="4D857D1E"/>
    <w:rsid w:val="4D901140"/>
    <w:rsid w:val="4DA150FB"/>
    <w:rsid w:val="4DB36BDD"/>
    <w:rsid w:val="4DB476F4"/>
    <w:rsid w:val="4DBE1C1A"/>
    <w:rsid w:val="4DD52FF7"/>
    <w:rsid w:val="4E004361"/>
    <w:rsid w:val="4E035DB6"/>
    <w:rsid w:val="4E037D29"/>
    <w:rsid w:val="4E0C3561"/>
    <w:rsid w:val="4E0E5159"/>
    <w:rsid w:val="4E2065CE"/>
    <w:rsid w:val="4E4915CE"/>
    <w:rsid w:val="4E597784"/>
    <w:rsid w:val="4E5B2A3B"/>
    <w:rsid w:val="4E712D20"/>
    <w:rsid w:val="4E8B1DD6"/>
    <w:rsid w:val="4E99063C"/>
    <w:rsid w:val="4EA54D47"/>
    <w:rsid w:val="4EB86BA1"/>
    <w:rsid w:val="4EE3563D"/>
    <w:rsid w:val="4F191306"/>
    <w:rsid w:val="4F1F277C"/>
    <w:rsid w:val="4F22401A"/>
    <w:rsid w:val="4F3A1BE4"/>
    <w:rsid w:val="4F535E10"/>
    <w:rsid w:val="4F557A58"/>
    <w:rsid w:val="4F8814C9"/>
    <w:rsid w:val="4F895E47"/>
    <w:rsid w:val="4F9610F1"/>
    <w:rsid w:val="4FA03191"/>
    <w:rsid w:val="4FB807F5"/>
    <w:rsid w:val="4FBA017F"/>
    <w:rsid w:val="4FC441FB"/>
    <w:rsid w:val="4FE73DB1"/>
    <w:rsid w:val="4FF81E23"/>
    <w:rsid w:val="4FFC2ABD"/>
    <w:rsid w:val="4FFE4A87"/>
    <w:rsid w:val="500D0826"/>
    <w:rsid w:val="500F5BC4"/>
    <w:rsid w:val="50404089"/>
    <w:rsid w:val="50406175"/>
    <w:rsid w:val="505F4DFA"/>
    <w:rsid w:val="506F6924"/>
    <w:rsid w:val="50897AA1"/>
    <w:rsid w:val="509155A6"/>
    <w:rsid w:val="50AA2519"/>
    <w:rsid w:val="50B24F96"/>
    <w:rsid w:val="50B94CBB"/>
    <w:rsid w:val="50BF52E7"/>
    <w:rsid w:val="50C01D3C"/>
    <w:rsid w:val="50C03D87"/>
    <w:rsid w:val="50CC6EA4"/>
    <w:rsid w:val="50CF01D2"/>
    <w:rsid w:val="50DE7239"/>
    <w:rsid w:val="50E307B7"/>
    <w:rsid w:val="50E37C04"/>
    <w:rsid w:val="51004C16"/>
    <w:rsid w:val="51105E6B"/>
    <w:rsid w:val="5115798C"/>
    <w:rsid w:val="5122743D"/>
    <w:rsid w:val="512E4EF8"/>
    <w:rsid w:val="51310168"/>
    <w:rsid w:val="5137016C"/>
    <w:rsid w:val="51402E7D"/>
    <w:rsid w:val="515A2106"/>
    <w:rsid w:val="516A1CA8"/>
    <w:rsid w:val="519B00B4"/>
    <w:rsid w:val="51CE0489"/>
    <w:rsid w:val="51E23F34"/>
    <w:rsid w:val="51EC40D1"/>
    <w:rsid w:val="52245D03"/>
    <w:rsid w:val="52253BD6"/>
    <w:rsid w:val="52257E88"/>
    <w:rsid w:val="524F5E6D"/>
    <w:rsid w:val="525224D1"/>
    <w:rsid w:val="52650DED"/>
    <w:rsid w:val="527C7EE5"/>
    <w:rsid w:val="527D7346"/>
    <w:rsid w:val="528D5C4E"/>
    <w:rsid w:val="52900760"/>
    <w:rsid w:val="529342AC"/>
    <w:rsid w:val="52AB1D72"/>
    <w:rsid w:val="52D25795"/>
    <w:rsid w:val="52E30126"/>
    <w:rsid w:val="52F6637E"/>
    <w:rsid w:val="53075959"/>
    <w:rsid w:val="530C52DB"/>
    <w:rsid w:val="53207210"/>
    <w:rsid w:val="532E50A7"/>
    <w:rsid w:val="532E5683"/>
    <w:rsid w:val="53336D62"/>
    <w:rsid w:val="53351A9E"/>
    <w:rsid w:val="536A32A3"/>
    <w:rsid w:val="537955B1"/>
    <w:rsid w:val="538F5D23"/>
    <w:rsid w:val="53937294"/>
    <w:rsid w:val="53B051A6"/>
    <w:rsid w:val="53B90CB8"/>
    <w:rsid w:val="53B97684"/>
    <w:rsid w:val="53D7089D"/>
    <w:rsid w:val="53D82031"/>
    <w:rsid w:val="53E21FCA"/>
    <w:rsid w:val="54014B46"/>
    <w:rsid w:val="54021428"/>
    <w:rsid w:val="54154176"/>
    <w:rsid w:val="54270F5B"/>
    <w:rsid w:val="544A055A"/>
    <w:rsid w:val="548F1A22"/>
    <w:rsid w:val="548F6D8F"/>
    <w:rsid w:val="54A13C33"/>
    <w:rsid w:val="54B912F3"/>
    <w:rsid w:val="54CA2876"/>
    <w:rsid w:val="54DF343E"/>
    <w:rsid w:val="54ED50CA"/>
    <w:rsid w:val="554051FA"/>
    <w:rsid w:val="555D5DAC"/>
    <w:rsid w:val="558D41B7"/>
    <w:rsid w:val="55967510"/>
    <w:rsid w:val="55AE1142"/>
    <w:rsid w:val="55B04212"/>
    <w:rsid w:val="55DA73FC"/>
    <w:rsid w:val="55DC043C"/>
    <w:rsid w:val="55F06949"/>
    <w:rsid w:val="55F34962"/>
    <w:rsid w:val="560C77D2"/>
    <w:rsid w:val="562905CB"/>
    <w:rsid w:val="562E2CA0"/>
    <w:rsid w:val="564B654C"/>
    <w:rsid w:val="56625F5C"/>
    <w:rsid w:val="56982E14"/>
    <w:rsid w:val="56B03938"/>
    <w:rsid w:val="56D42E4A"/>
    <w:rsid w:val="56DE2F1C"/>
    <w:rsid w:val="56E46059"/>
    <w:rsid w:val="56E972B2"/>
    <w:rsid w:val="56F02C50"/>
    <w:rsid w:val="571921A6"/>
    <w:rsid w:val="571B04BA"/>
    <w:rsid w:val="57347774"/>
    <w:rsid w:val="57711FE2"/>
    <w:rsid w:val="578003E1"/>
    <w:rsid w:val="578130E3"/>
    <w:rsid w:val="57AD38D0"/>
    <w:rsid w:val="57AF6667"/>
    <w:rsid w:val="57B123DF"/>
    <w:rsid w:val="57BB500C"/>
    <w:rsid w:val="57CB6E0C"/>
    <w:rsid w:val="57D37A7C"/>
    <w:rsid w:val="57D50143"/>
    <w:rsid w:val="57DB5691"/>
    <w:rsid w:val="57DE7C91"/>
    <w:rsid w:val="57F62D9D"/>
    <w:rsid w:val="57FB5343"/>
    <w:rsid w:val="57FE7AF9"/>
    <w:rsid w:val="582C7CB7"/>
    <w:rsid w:val="582D4834"/>
    <w:rsid w:val="583A4183"/>
    <w:rsid w:val="58471FC4"/>
    <w:rsid w:val="588253D3"/>
    <w:rsid w:val="588C0756"/>
    <w:rsid w:val="589A2844"/>
    <w:rsid w:val="589E6E07"/>
    <w:rsid w:val="58B51FC2"/>
    <w:rsid w:val="58C32EDC"/>
    <w:rsid w:val="58C425E6"/>
    <w:rsid w:val="58C93758"/>
    <w:rsid w:val="58CA6DBA"/>
    <w:rsid w:val="58DE239C"/>
    <w:rsid w:val="58EB7B73"/>
    <w:rsid w:val="58F24B0F"/>
    <w:rsid w:val="590824D3"/>
    <w:rsid w:val="59162E41"/>
    <w:rsid w:val="592C4EAA"/>
    <w:rsid w:val="593F084E"/>
    <w:rsid w:val="59463D94"/>
    <w:rsid w:val="595F079A"/>
    <w:rsid w:val="598A5B73"/>
    <w:rsid w:val="5996188C"/>
    <w:rsid w:val="59B92E21"/>
    <w:rsid w:val="59C1640D"/>
    <w:rsid w:val="59D2663D"/>
    <w:rsid w:val="5A014D41"/>
    <w:rsid w:val="5A132EDD"/>
    <w:rsid w:val="5A27469E"/>
    <w:rsid w:val="5A315A59"/>
    <w:rsid w:val="5A4A73D0"/>
    <w:rsid w:val="5A5C5ECC"/>
    <w:rsid w:val="5AAD1CD3"/>
    <w:rsid w:val="5AD76600"/>
    <w:rsid w:val="5AE339B6"/>
    <w:rsid w:val="5AED1980"/>
    <w:rsid w:val="5B1C4013"/>
    <w:rsid w:val="5B235C95"/>
    <w:rsid w:val="5B307ABF"/>
    <w:rsid w:val="5B484E08"/>
    <w:rsid w:val="5B5C6B06"/>
    <w:rsid w:val="5B7A08A2"/>
    <w:rsid w:val="5BA31FE2"/>
    <w:rsid w:val="5BBF5F2A"/>
    <w:rsid w:val="5BFC438A"/>
    <w:rsid w:val="5C07081F"/>
    <w:rsid w:val="5C070AC9"/>
    <w:rsid w:val="5C121CE2"/>
    <w:rsid w:val="5C3D6937"/>
    <w:rsid w:val="5C485F5C"/>
    <w:rsid w:val="5C52672F"/>
    <w:rsid w:val="5C5636C1"/>
    <w:rsid w:val="5C64411C"/>
    <w:rsid w:val="5C67023E"/>
    <w:rsid w:val="5C7303AB"/>
    <w:rsid w:val="5C8F621E"/>
    <w:rsid w:val="5C914A34"/>
    <w:rsid w:val="5C9C18B0"/>
    <w:rsid w:val="5CEB0141"/>
    <w:rsid w:val="5CEE4131"/>
    <w:rsid w:val="5CF32934"/>
    <w:rsid w:val="5D335B8A"/>
    <w:rsid w:val="5D4023D0"/>
    <w:rsid w:val="5D557CB0"/>
    <w:rsid w:val="5D5F28DD"/>
    <w:rsid w:val="5D720862"/>
    <w:rsid w:val="5D7E19A2"/>
    <w:rsid w:val="5D814602"/>
    <w:rsid w:val="5D8365CC"/>
    <w:rsid w:val="5D861C18"/>
    <w:rsid w:val="5D901924"/>
    <w:rsid w:val="5DC85CF0"/>
    <w:rsid w:val="5DDE6906"/>
    <w:rsid w:val="5DE5528C"/>
    <w:rsid w:val="5DE81CA0"/>
    <w:rsid w:val="5DEC4171"/>
    <w:rsid w:val="5DF72B16"/>
    <w:rsid w:val="5DF73238"/>
    <w:rsid w:val="5E0A2849"/>
    <w:rsid w:val="5E276285"/>
    <w:rsid w:val="5E280F21"/>
    <w:rsid w:val="5E356E2D"/>
    <w:rsid w:val="5E3C49B3"/>
    <w:rsid w:val="5E465F22"/>
    <w:rsid w:val="5E543AC4"/>
    <w:rsid w:val="5E5463B1"/>
    <w:rsid w:val="5E821298"/>
    <w:rsid w:val="5E84400B"/>
    <w:rsid w:val="5E855173"/>
    <w:rsid w:val="5E934DA7"/>
    <w:rsid w:val="5EA00698"/>
    <w:rsid w:val="5EC82AC9"/>
    <w:rsid w:val="5EEC20EF"/>
    <w:rsid w:val="5F182601"/>
    <w:rsid w:val="5F2B0CC9"/>
    <w:rsid w:val="5F310628"/>
    <w:rsid w:val="5F4C0C3F"/>
    <w:rsid w:val="5F6D308F"/>
    <w:rsid w:val="5F751F44"/>
    <w:rsid w:val="5F8513F4"/>
    <w:rsid w:val="5FEA016C"/>
    <w:rsid w:val="5FF71508"/>
    <w:rsid w:val="600510B5"/>
    <w:rsid w:val="60163727"/>
    <w:rsid w:val="601E14F7"/>
    <w:rsid w:val="60285B2E"/>
    <w:rsid w:val="602D6CC3"/>
    <w:rsid w:val="60844C72"/>
    <w:rsid w:val="6088632C"/>
    <w:rsid w:val="609C060F"/>
    <w:rsid w:val="60C61C86"/>
    <w:rsid w:val="60E37DD5"/>
    <w:rsid w:val="60E455D3"/>
    <w:rsid w:val="60F442E1"/>
    <w:rsid w:val="610139B4"/>
    <w:rsid w:val="61026CBC"/>
    <w:rsid w:val="611778D9"/>
    <w:rsid w:val="611C2FBF"/>
    <w:rsid w:val="61202383"/>
    <w:rsid w:val="6122399D"/>
    <w:rsid w:val="616566F5"/>
    <w:rsid w:val="618550E0"/>
    <w:rsid w:val="6186210A"/>
    <w:rsid w:val="618C716E"/>
    <w:rsid w:val="61932399"/>
    <w:rsid w:val="61A92379"/>
    <w:rsid w:val="61CE46CE"/>
    <w:rsid w:val="61D50643"/>
    <w:rsid w:val="61DA0784"/>
    <w:rsid w:val="61F47A98"/>
    <w:rsid w:val="61F73D2B"/>
    <w:rsid w:val="61FF7C55"/>
    <w:rsid w:val="62137E26"/>
    <w:rsid w:val="621B6368"/>
    <w:rsid w:val="621E1434"/>
    <w:rsid w:val="62207310"/>
    <w:rsid w:val="62214113"/>
    <w:rsid w:val="622C77EE"/>
    <w:rsid w:val="62377F63"/>
    <w:rsid w:val="623E0D13"/>
    <w:rsid w:val="62414596"/>
    <w:rsid w:val="625472E1"/>
    <w:rsid w:val="62562501"/>
    <w:rsid w:val="625C16EF"/>
    <w:rsid w:val="628B1540"/>
    <w:rsid w:val="62976CEA"/>
    <w:rsid w:val="62A434C5"/>
    <w:rsid w:val="62B3538E"/>
    <w:rsid w:val="62B760F4"/>
    <w:rsid w:val="62C423D3"/>
    <w:rsid w:val="62CC5787"/>
    <w:rsid w:val="62DB47B4"/>
    <w:rsid w:val="6311386F"/>
    <w:rsid w:val="63295570"/>
    <w:rsid w:val="63332842"/>
    <w:rsid w:val="634560D1"/>
    <w:rsid w:val="63526D6C"/>
    <w:rsid w:val="63572933"/>
    <w:rsid w:val="635C2626"/>
    <w:rsid w:val="63666D84"/>
    <w:rsid w:val="637A2437"/>
    <w:rsid w:val="63A82261"/>
    <w:rsid w:val="63AD43A2"/>
    <w:rsid w:val="63B079EF"/>
    <w:rsid w:val="63C33BC6"/>
    <w:rsid w:val="6401024A"/>
    <w:rsid w:val="64267CB1"/>
    <w:rsid w:val="64334AC2"/>
    <w:rsid w:val="64355278"/>
    <w:rsid w:val="64425500"/>
    <w:rsid w:val="6461364D"/>
    <w:rsid w:val="64902E1B"/>
    <w:rsid w:val="64A14287"/>
    <w:rsid w:val="64AC2E4A"/>
    <w:rsid w:val="64BF375C"/>
    <w:rsid w:val="64C179D9"/>
    <w:rsid w:val="64EB07DC"/>
    <w:rsid w:val="64F272F3"/>
    <w:rsid w:val="64F90154"/>
    <w:rsid w:val="64F931A5"/>
    <w:rsid w:val="65077AE2"/>
    <w:rsid w:val="65165F77"/>
    <w:rsid w:val="65433C96"/>
    <w:rsid w:val="654E74BF"/>
    <w:rsid w:val="654F59C5"/>
    <w:rsid w:val="657F3B1C"/>
    <w:rsid w:val="65B03CD6"/>
    <w:rsid w:val="65B4371E"/>
    <w:rsid w:val="65BE32AA"/>
    <w:rsid w:val="65E676F8"/>
    <w:rsid w:val="65EF3AE1"/>
    <w:rsid w:val="660562B3"/>
    <w:rsid w:val="6635372B"/>
    <w:rsid w:val="663B68C7"/>
    <w:rsid w:val="66507267"/>
    <w:rsid w:val="665B4198"/>
    <w:rsid w:val="667967BE"/>
    <w:rsid w:val="66826C25"/>
    <w:rsid w:val="66DE67BA"/>
    <w:rsid w:val="66FE6CC3"/>
    <w:rsid w:val="672777C9"/>
    <w:rsid w:val="672E75A8"/>
    <w:rsid w:val="674C5C80"/>
    <w:rsid w:val="676A298C"/>
    <w:rsid w:val="677634BA"/>
    <w:rsid w:val="67BF46A4"/>
    <w:rsid w:val="67C6773F"/>
    <w:rsid w:val="67CE18C9"/>
    <w:rsid w:val="67D1247E"/>
    <w:rsid w:val="67D57EBF"/>
    <w:rsid w:val="68161C36"/>
    <w:rsid w:val="683230C8"/>
    <w:rsid w:val="683A76EE"/>
    <w:rsid w:val="683B3926"/>
    <w:rsid w:val="68662D72"/>
    <w:rsid w:val="68666E92"/>
    <w:rsid w:val="686E1C26"/>
    <w:rsid w:val="686F2D59"/>
    <w:rsid w:val="688E0CAC"/>
    <w:rsid w:val="68975621"/>
    <w:rsid w:val="689E4ED0"/>
    <w:rsid w:val="689F0B5F"/>
    <w:rsid w:val="68A002AD"/>
    <w:rsid w:val="68AB664F"/>
    <w:rsid w:val="68AD08CA"/>
    <w:rsid w:val="68B00B70"/>
    <w:rsid w:val="68C33D20"/>
    <w:rsid w:val="68CB0C58"/>
    <w:rsid w:val="690D4E92"/>
    <w:rsid w:val="69112CDD"/>
    <w:rsid w:val="69433DF3"/>
    <w:rsid w:val="69460607"/>
    <w:rsid w:val="69723036"/>
    <w:rsid w:val="699B78A9"/>
    <w:rsid w:val="69B30239"/>
    <w:rsid w:val="69D1406C"/>
    <w:rsid w:val="69D607B8"/>
    <w:rsid w:val="69E65A80"/>
    <w:rsid w:val="69EE1271"/>
    <w:rsid w:val="6A1621F6"/>
    <w:rsid w:val="6A2344C7"/>
    <w:rsid w:val="6A3D7B8E"/>
    <w:rsid w:val="6A8E035E"/>
    <w:rsid w:val="6AAB7162"/>
    <w:rsid w:val="6AB11F2A"/>
    <w:rsid w:val="6AB60470"/>
    <w:rsid w:val="6ACC3B87"/>
    <w:rsid w:val="6ACD0A8B"/>
    <w:rsid w:val="6AD761A9"/>
    <w:rsid w:val="6ADB7A47"/>
    <w:rsid w:val="6AE00AB1"/>
    <w:rsid w:val="6AFC67D6"/>
    <w:rsid w:val="6B0B7C00"/>
    <w:rsid w:val="6B1636C4"/>
    <w:rsid w:val="6B457BA1"/>
    <w:rsid w:val="6B5376F4"/>
    <w:rsid w:val="6B637A3C"/>
    <w:rsid w:val="6B6F4633"/>
    <w:rsid w:val="6B825B99"/>
    <w:rsid w:val="6B87372B"/>
    <w:rsid w:val="6BA50055"/>
    <w:rsid w:val="6BA918F3"/>
    <w:rsid w:val="6BC524A5"/>
    <w:rsid w:val="6BF45283"/>
    <w:rsid w:val="6BF62A54"/>
    <w:rsid w:val="6C1D5C0D"/>
    <w:rsid w:val="6C3E7D34"/>
    <w:rsid w:val="6C5F0204"/>
    <w:rsid w:val="6C5F63CA"/>
    <w:rsid w:val="6C871509"/>
    <w:rsid w:val="6C9C6D62"/>
    <w:rsid w:val="6CA05A90"/>
    <w:rsid w:val="6CA93E78"/>
    <w:rsid w:val="6CB233E5"/>
    <w:rsid w:val="6CC4716C"/>
    <w:rsid w:val="6CDF4C49"/>
    <w:rsid w:val="6CF74F68"/>
    <w:rsid w:val="6CF94E2F"/>
    <w:rsid w:val="6D0C402C"/>
    <w:rsid w:val="6D3E606B"/>
    <w:rsid w:val="6D667370"/>
    <w:rsid w:val="6DA477AA"/>
    <w:rsid w:val="6DB00A59"/>
    <w:rsid w:val="6DC42A14"/>
    <w:rsid w:val="6DE5215B"/>
    <w:rsid w:val="6DE86E24"/>
    <w:rsid w:val="6E041318"/>
    <w:rsid w:val="6E0E6395"/>
    <w:rsid w:val="6E1D6396"/>
    <w:rsid w:val="6E3033EB"/>
    <w:rsid w:val="6E34034C"/>
    <w:rsid w:val="6E382D5B"/>
    <w:rsid w:val="6E3A5F0F"/>
    <w:rsid w:val="6E511DCE"/>
    <w:rsid w:val="6E5673E4"/>
    <w:rsid w:val="6E6352F6"/>
    <w:rsid w:val="6E6B7334"/>
    <w:rsid w:val="6E6C2030"/>
    <w:rsid w:val="6E6E2980"/>
    <w:rsid w:val="6E7166F0"/>
    <w:rsid w:val="6E717E07"/>
    <w:rsid w:val="6E7F06E9"/>
    <w:rsid w:val="6E873A42"/>
    <w:rsid w:val="6E981635"/>
    <w:rsid w:val="6EA75E92"/>
    <w:rsid w:val="6EB04D47"/>
    <w:rsid w:val="6ED44ED9"/>
    <w:rsid w:val="6ED76777"/>
    <w:rsid w:val="6F0D3F47"/>
    <w:rsid w:val="6F105616"/>
    <w:rsid w:val="6F1B2D36"/>
    <w:rsid w:val="6F307D32"/>
    <w:rsid w:val="6F4B0F13"/>
    <w:rsid w:val="6F541C31"/>
    <w:rsid w:val="6F806E0F"/>
    <w:rsid w:val="6F8812BE"/>
    <w:rsid w:val="6FAD1D17"/>
    <w:rsid w:val="6FB23F40"/>
    <w:rsid w:val="6FCB3DC6"/>
    <w:rsid w:val="70002AE5"/>
    <w:rsid w:val="70473489"/>
    <w:rsid w:val="704F712F"/>
    <w:rsid w:val="70582981"/>
    <w:rsid w:val="706C109B"/>
    <w:rsid w:val="707B2007"/>
    <w:rsid w:val="70A65488"/>
    <w:rsid w:val="70AA483F"/>
    <w:rsid w:val="70AA73F9"/>
    <w:rsid w:val="70BB11CD"/>
    <w:rsid w:val="70BB6F88"/>
    <w:rsid w:val="70BE6AB7"/>
    <w:rsid w:val="70CA26B2"/>
    <w:rsid w:val="70EB319F"/>
    <w:rsid w:val="71080E6A"/>
    <w:rsid w:val="71092E34"/>
    <w:rsid w:val="71184E25"/>
    <w:rsid w:val="71330772"/>
    <w:rsid w:val="71494462"/>
    <w:rsid w:val="714C15EF"/>
    <w:rsid w:val="716A5681"/>
    <w:rsid w:val="71777D9E"/>
    <w:rsid w:val="71852264"/>
    <w:rsid w:val="71937FB0"/>
    <w:rsid w:val="71AB703F"/>
    <w:rsid w:val="71CA4371"/>
    <w:rsid w:val="71E27E6A"/>
    <w:rsid w:val="71F15DA2"/>
    <w:rsid w:val="71FC3305"/>
    <w:rsid w:val="72033233"/>
    <w:rsid w:val="72043227"/>
    <w:rsid w:val="720553A9"/>
    <w:rsid w:val="721675B7"/>
    <w:rsid w:val="72181581"/>
    <w:rsid w:val="722259F8"/>
    <w:rsid w:val="72225C6D"/>
    <w:rsid w:val="72367C59"/>
    <w:rsid w:val="723E077B"/>
    <w:rsid w:val="72442376"/>
    <w:rsid w:val="7249173A"/>
    <w:rsid w:val="729130E1"/>
    <w:rsid w:val="729E0256"/>
    <w:rsid w:val="72AB122F"/>
    <w:rsid w:val="72CA214F"/>
    <w:rsid w:val="72D8486C"/>
    <w:rsid w:val="72EE0533"/>
    <w:rsid w:val="72F53670"/>
    <w:rsid w:val="72FF6F4C"/>
    <w:rsid w:val="73085D83"/>
    <w:rsid w:val="73131D48"/>
    <w:rsid w:val="73171838"/>
    <w:rsid w:val="731C5F37"/>
    <w:rsid w:val="731E7BF9"/>
    <w:rsid w:val="7375655F"/>
    <w:rsid w:val="737C78ED"/>
    <w:rsid w:val="73880040"/>
    <w:rsid w:val="73B54BAD"/>
    <w:rsid w:val="73B94DD5"/>
    <w:rsid w:val="73D75CFC"/>
    <w:rsid w:val="73E32D1E"/>
    <w:rsid w:val="73EB05CF"/>
    <w:rsid w:val="74152E80"/>
    <w:rsid w:val="741B1823"/>
    <w:rsid w:val="742835D1"/>
    <w:rsid w:val="743C4DEE"/>
    <w:rsid w:val="744F6DB0"/>
    <w:rsid w:val="7461682A"/>
    <w:rsid w:val="74685708"/>
    <w:rsid w:val="746C5BB4"/>
    <w:rsid w:val="74827185"/>
    <w:rsid w:val="7490001A"/>
    <w:rsid w:val="74C96B62"/>
    <w:rsid w:val="74E4399C"/>
    <w:rsid w:val="74E51289"/>
    <w:rsid w:val="74E95D46"/>
    <w:rsid w:val="74F27667"/>
    <w:rsid w:val="75020A7E"/>
    <w:rsid w:val="75097772"/>
    <w:rsid w:val="75215BBB"/>
    <w:rsid w:val="752C3F84"/>
    <w:rsid w:val="753025E5"/>
    <w:rsid w:val="75412B9C"/>
    <w:rsid w:val="754E5840"/>
    <w:rsid w:val="75625887"/>
    <w:rsid w:val="75640F2C"/>
    <w:rsid w:val="756D573F"/>
    <w:rsid w:val="756F65F9"/>
    <w:rsid w:val="757110FC"/>
    <w:rsid w:val="75745B0B"/>
    <w:rsid w:val="75830E68"/>
    <w:rsid w:val="75AD5807"/>
    <w:rsid w:val="75B64EC3"/>
    <w:rsid w:val="75CB4B5C"/>
    <w:rsid w:val="75E55C1E"/>
    <w:rsid w:val="75E92833"/>
    <w:rsid w:val="75F257F1"/>
    <w:rsid w:val="75F70C11"/>
    <w:rsid w:val="76301101"/>
    <w:rsid w:val="76425B66"/>
    <w:rsid w:val="764741E2"/>
    <w:rsid w:val="767A306F"/>
    <w:rsid w:val="7682346D"/>
    <w:rsid w:val="768A3EA1"/>
    <w:rsid w:val="76984232"/>
    <w:rsid w:val="76A017C3"/>
    <w:rsid w:val="76A103EC"/>
    <w:rsid w:val="76B4051B"/>
    <w:rsid w:val="76B927E3"/>
    <w:rsid w:val="76BE3E2C"/>
    <w:rsid w:val="76C609E9"/>
    <w:rsid w:val="76EB0A95"/>
    <w:rsid w:val="76F81981"/>
    <w:rsid w:val="76FA74A7"/>
    <w:rsid w:val="77027ED2"/>
    <w:rsid w:val="7706409E"/>
    <w:rsid w:val="770E4D00"/>
    <w:rsid w:val="77100FE4"/>
    <w:rsid w:val="7732658F"/>
    <w:rsid w:val="77336515"/>
    <w:rsid w:val="773D7394"/>
    <w:rsid w:val="77471FC0"/>
    <w:rsid w:val="774C016C"/>
    <w:rsid w:val="775070C7"/>
    <w:rsid w:val="776E413E"/>
    <w:rsid w:val="77C33D3D"/>
    <w:rsid w:val="77C92B03"/>
    <w:rsid w:val="77D835D3"/>
    <w:rsid w:val="77DC0A50"/>
    <w:rsid w:val="77E15873"/>
    <w:rsid w:val="77E97667"/>
    <w:rsid w:val="780E52FA"/>
    <w:rsid w:val="782A6897"/>
    <w:rsid w:val="783E33C3"/>
    <w:rsid w:val="783F6371"/>
    <w:rsid w:val="78571967"/>
    <w:rsid w:val="786077DD"/>
    <w:rsid w:val="78A618F7"/>
    <w:rsid w:val="78AA0A59"/>
    <w:rsid w:val="78B13B95"/>
    <w:rsid w:val="78D6184E"/>
    <w:rsid w:val="78F30652"/>
    <w:rsid w:val="79004B1D"/>
    <w:rsid w:val="79051EDE"/>
    <w:rsid w:val="791A673D"/>
    <w:rsid w:val="791D0569"/>
    <w:rsid w:val="79276150"/>
    <w:rsid w:val="792A3948"/>
    <w:rsid w:val="7931117A"/>
    <w:rsid w:val="79360F44"/>
    <w:rsid w:val="794E7636"/>
    <w:rsid w:val="79613632"/>
    <w:rsid w:val="797F0283"/>
    <w:rsid w:val="7982471D"/>
    <w:rsid w:val="79992D84"/>
    <w:rsid w:val="799B44DA"/>
    <w:rsid w:val="79A05E1A"/>
    <w:rsid w:val="79A656C4"/>
    <w:rsid w:val="79B37205"/>
    <w:rsid w:val="79BD0A0F"/>
    <w:rsid w:val="79C27EA4"/>
    <w:rsid w:val="79C41E92"/>
    <w:rsid w:val="79CD4BFB"/>
    <w:rsid w:val="79DE7C47"/>
    <w:rsid w:val="7A102B3D"/>
    <w:rsid w:val="7A4167EB"/>
    <w:rsid w:val="7A435078"/>
    <w:rsid w:val="7A4F7B0A"/>
    <w:rsid w:val="7A5A025C"/>
    <w:rsid w:val="7A5E3CD9"/>
    <w:rsid w:val="7A5E792A"/>
    <w:rsid w:val="7A954F89"/>
    <w:rsid w:val="7A9E45ED"/>
    <w:rsid w:val="7ABC0AEF"/>
    <w:rsid w:val="7AC1208A"/>
    <w:rsid w:val="7ACF29F8"/>
    <w:rsid w:val="7AD33A6E"/>
    <w:rsid w:val="7AEA15E0"/>
    <w:rsid w:val="7AFE6E3A"/>
    <w:rsid w:val="7B2F6525"/>
    <w:rsid w:val="7B456A82"/>
    <w:rsid w:val="7B580441"/>
    <w:rsid w:val="7B5946C9"/>
    <w:rsid w:val="7B5B4433"/>
    <w:rsid w:val="7B5F5B2A"/>
    <w:rsid w:val="7B7B66DC"/>
    <w:rsid w:val="7B865683"/>
    <w:rsid w:val="7B8D358D"/>
    <w:rsid w:val="7BB045D8"/>
    <w:rsid w:val="7BB06386"/>
    <w:rsid w:val="7BB4686B"/>
    <w:rsid w:val="7BE72BFB"/>
    <w:rsid w:val="7C134C6F"/>
    <w:rsid w:val="7C164291"/>
    <w:rsid w:val="7C257CE7"/>
    <w:rsid w:val="7C310546"/>
    <w:rsid w:val="7C4474A8"/>
    <w:rsid w:val="7C501917"/>
    <w:rsid w:val="7C9A2D3C"/>
    <w:rsid w:val="7CBF14A8"/>
    <w:rsid w:val="7CD2057E"/>
    <w:rsid w:val="7CDA2ACD"/>
    <w:rsid w:val="7CE502B1"/>
    <w:rsid w:val="7CFA3CE7"/>
    <w:rsid w:val="7D131B74"/>
    <w:rsid w:val="7D253D79"/>
    <w:rsid w:val="7D2C7C8E"/>
    <w:rsid w:val="7D39684F"/>
    <w:rsid w:val="7D5D253D"/>
    <w:rsid w:val="7D664EA5"/>
    <w:rsid w:val="7D8C3E06"/>
    <w:rsid w:val="7D8E26F7"/>
    <w:rsid w:val="7D913B11"/>
    <w:rsid w:val="7D9B4E14"/>
    <w:rsid w:val="7DA0242A"/>
    <w:rsid w:val="7DA035F5"/>
    <w:rsid w:val="7DB85F4F"/>
    <w:rsid w:val="7DBF1F70"/>
    <w:rsid w:val="7DC720AD"/>
    <w:rsid w:val="7DCE6F97"/>
    <w:rsid w:val="7DFA5FDE"/>
    <w:rsid w:val="7E005CCB"/>
    <w:rsid w:val="7E270AEE"/>
    <w:rsid w:val="7E442590"/>
    <w:rsid w:val="7E736095"/>
    <w:rsid w:val="7E757FAB"/>
    <w:rsid w:val="7E947A89"/>
    <w:rsid w:val="7EA11FF5"/>
    <w:rsid w:val="7EA27C6F"/>
    <w:rsid w:val="7EA650ED"/>
    <w:rsid w:val="7EBA751C"/>
    <w:rsid w:val="7EBE525E"/>
    <w:rsid w:val="7ED36125"/>
    <w:rsid w:val="7EE2719E"/>
    <w:rsid w:val="7EE705EA"/>
    <w:rsid w:val="7F0A3FFF"/>
    <w:rsid w:val="7F0F61E5"/>
    <w:rsid w:val="7F201A75"/>
    <w:rsid w:val="7F207CC7"/>
    <w:rsid w:val="7F2B4578"/>
    <w:rsid w:val="7F3870A8"/>
    <w:rsid w:val="7F460DAF"/>
    <w:rsid w:val="7F6776A3"/>
    <w:rsid w:val="7F6B0867"/>
    <w:rsid w:val="7F750048"/>
    <w:rsid w:val="7F886DA8"/>
    <w:rsid w:val="7FBD4551"/>
    <w:rsid w:val="7FBE3DA0"/>
    <w:rsid w:val="7FC67F33"/>
    <w:rsid w:val="7FCA19E0"/>
    <w:rsid w:val="7FCE327F"/>
    <w:rsid w:val="7FD6763E"/>
    <w:rsid w:val="7FD8234F"/>
    <w:rsid w:val="7FE231CE"/>
    <w:rsid w:val="7FFB7D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5"/>
    <w:qFormat/>
    <w:uiPriority w:val="9"/>
    <w:pPr>
      <w:keepNext/>
      <w:keepLines/>
      <w:spacing w:before="260" w:after="260" w:line="416" w:lineRule="auto"/>
      <w:outlineLvl w:val="1"/>
    </w:pPr>
    <w:rPr>
      <w:rFonts w:ascii="@Yu Mincho Light" w:hAnsi="@Yu Mincho Light" w:eastAsia="@Yu Mincho Light"/>
      <w:b/>
      <w:bCs/>
      <w:kern w:val="0"/>
      <w:sz w:val="32"/>
      <w:szCs w:val="32"/>
    </w:rPr>
  </w:style>
  <w:style w:type="paragraph" w:styleId="4">
    <w:name w:val="heading 3"/>
    <w:basedOn w:val="1"/>
    <w:next w:val="1"/>
    <w:link w:val="46"/>
    <w:qFormat/>
    <w:uiPriority w:val="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7"/>
    <w:next w:val="8"/>
    <w:link w:val="48"/>
    <w:unhideWhenUsed/>
    <w:qFormat/>
    <w:uiPriority w:val="9"/>
    <w:pPr>
      <w:keepNext/>
      <w:keepLines/>
      <w:tabs>
        <w:tab w:val="left" w:pos="780"/>
      </w:tabs>
      <w:spacing w:before="280" w:after="290" w:line="376" w:lineRule="auto"/>
      <w:outlineLvl w:val="4"/>
    </w:pPr>
    <w:rPr>
      <w:b/>
      <w:bCs/>
      <w:sz w:val="28"/>
      <w:szCs w:val="28"/>
    </w:rPr>
  </w:style>
  <w:style w:type="character" w:default="1" w:styleId="38">
    <w:name w:val="Default Paragraph Font"/>
    <w:unhideWhenUsed/>
    <w:qFormat/>
    <w:uiPriority w:val="1"/>
  </w:style>
  <w:style w:type="table" w:default="1" w:styleId="3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Number 2"/>
    <w:basedOn w:val="1"/>
    <w:unhideWhenUsed/>
    <w:qFormat/>
    <w:uiPriority w:val="99"/>
    <w:pPr>
      <w:numPr>
        <w:ilvl w:val="0"/>
        <w:numId w:val="1"/>
      </w:numPr>
    </w:pPr>
  </w:style>
  <w:style w:type="paragraph" w:styleId="8">
    <w:name w:val="Normal (Web)"/>
    <w:basedOn w:val="1"/>
    <w:unhideWhenUsed/>
    <w:qFormat/>
    <w:uiPriority w:val="99"/>
    <w:pPr>
      <w:widowControl/>
      <w:spacing w:before="100" w:beforeAutospacing="1" w:after="100" w:afterAutospacing="1"/>
      <w:jc w:val="left"/>
    </w:pPr>
    <w:rPr>
      <w:rFonts w:ascii="@Yu Mincho Light" w:hAnsi="@Yu Mincho Light" w:cs="@Yu Mincho Light"/>
      <w:kern w:val="0"/>
      <w:sz w:val="24"/>
      <w:szCs w:val="24"/>
    </w:rPr>
  </w:style>
  <w:style w:type="paragraph" w:styleId="9">
    <w:name w:val="toc 7"/>
    <w:basedOn w:val="1"/>
    <w:next w:val="1"/>
    <w:unhideWhenUsed/>
    <w:qFormat/>
    <w:uiPriority w:val="39"/>
    <w:pPr>
      <w:ind w:left="2520" w:leftChars="1200"/>
    </w:pPr>
    <w:rPr>
      <w:rFonts w:ascii="黑体" w:hAnsi="黑体" w:eastAsia="@Yu Mincho Light" w:cs="@MS PMincho"/>
      <w:szCs w:val="22"/>
    </w:rPr>
  </w:style>
  <w:style w:type="paragraph" w:styleId="10">
    <w:name w:val="Normal Indent"/>
    <w:basedOn w:val="1"/>
    <w:link w:val="49"/>
    <w:unhideWhenUsed/>
    <w:qFormat/>
    <w:uiPriority w:val="99"/>
    <w:pPr>
      <w:ind w:firstLine="420"/>
    </w:pPr>
    <w:rPr>
      <w:rFonts w:ascii="等线" w:hAnsi="等线" w:eastAsia="等线"/>
      <w:szCs w:val="22"/>
    </w:rPr>
  </w:style>
  <w:style w:type="paragraph" w:styleId="11">
    <w:name w:val="List Bullet"/>
    <w:basedOn w:val="1"/>
    <w:unhideWhenUsed/>
    <w:qFormat/>
    <w:uiPriority w:val="99"/>
    <w:pPr>
      <w:tabs>
        <w:tab w:val="left" w:pos="360"/>
      </w:tabs>
      <w:ind w:left="360" w:hanging="360"/>
    </w:pPr>
    <w:rPr>
      <w:rFonts w:ascii="@MS PMincho" w:hAnsi="@MS PMincho"/>
      <w:szCs w:val="24"/>
    </w:rPr>
  </w:style>
  <w:style w:type="paragraph" w:styleId="12">
    <w:name w:val="Document Map"/>
    <w:basedOn w:val="1"/>
    <w:link w:val="50"/>
    <w:unhideWhenUsed/>
    <w:qFormat/>
    <w:uiPriority w:val="99"/>
    <w:rPr>
      <w:rFonts w:ascii="@Yu Mincho Light" w:hAnsi="Times New Roman"/>
      <w:kern w:val="0"/>
      <w:sz w:val="18"/>
      <w:szCs w:val="18"/>
    </w:rPr>
  </w:style>
  <w:style w:type="paragraph" w:styleId="13">
    <w:name w:val="annotation text"/>
    <w:basedOn w:val="1"/>
    <w:link w:val="61"/>
    <w:unhideWhenUsed/>
    <w:qFormat/>
    <w:uiPriority w:val="99"/>
    <w:pPr>
      <w:jc w:val="left"/>
    </w:pPr>
    <w:rPr>
      <w:rFonts w:ascii="Times New Roman" w:hAnsi="Times New Roman"/>
      <w:kern w:val="0"/>
      <w:sz w:val="20"/>
      <w:szCs w:val="20"/>
    </w:rPr>
  </w:style>
  <w:style w:type="paragraph" w:styleId="14">
    <w:name w:val="Body Text 3"/>
    <w:basedOn w:val="1"/>
    <w:unhideWhenUsed/>
    <w:qFormat/>
    <w:uiPriority w:val="99"/>
    <w:pPr>
      <w:widowControl/>
    </w:pPr>
    <w:rPr>
      <w:rFonts w:ascii="宋体"/>
      <w:b/>
      <w:bCs/>
      <w:sz w:val="21"/>
      <w:szCs w:val="20"/>
      <w:lang w:eastAsia="zh-CN"/>
    </w:rPr>
  </w:style>
  <w:style w:type="paragraph" w:styleId="15">
    <w:name w:val="Body Text"/>
    <w:basedOn w:val="1"/>
    <w:link w:val="52"/>
    <w:qFormat/>
    <w:uiPriority w:val="0"/>
    <w:rPr>
      <w:rFonts w:ascii="@MS PMincho" w:hAnsi="@MS PMincho" w:eastAsia="@MS PMincho" w:cs="@MS PMincho"/>
      <w:kern w:val="0"/>
      <w:sz w:val="24"/>
      <w:szCs w:val="24"/>
      <w:lang w:val="zh-CN" w:bidi="zh-CN"/>
    </w:rPr>
  </w:style>
  <w:style w:type="paragraph" w:styleId="16">
    <w:name w:val="Body Text Indent"/>
    <w:basedOn w:val="1"/>
    <w:link w:val="53"/>
    <w:unhideWhenUsed/>
    <w:qFormat/>
    <w:uiPriority w:val="99"/>
    <w:pPr>
      <w:spacing w:after="120"/>
      <w:ind w:left="420" w:leftChars="200"/>
    </w:pPr>
    <w:rPr>
      <w:rFonts w:ascii="Times New Roman" w:hAnsi="Times New Roman"/>
      <w:szCs w:val="22"/>
    </w:rPr>
  </w:style>
  <w:style w:type="paragraph" w:styleId="17">
    <w:name w:val="toc 5"/>
    <w:basedOn w:val="1"/>
    <w:next w:val="1"/>
    <w:unhideWhenUsed/>
    <w:qFormat/>
    <w:uiPriority w:val="39"/>
    <w:pPr>
      <w:ind w:left="1680" w:leftChars="800"/>
    </w:pPr>
    <w:rPr>
      <w:rFonts w:ascii="黑体" w:hAnsi="黑体" w:eastAsia="@Yu Mincho Light" w:cs="@MS PMincho"/>
      <w:szCs w:val="22"/>
    </w:rPr>
  </w:style>
  <w:style w:type="paragraph" w:styleId="18">
    <w:name w:val="toc 3"/>
    <w:basedOn w:val="1"/>
    <w:next w:val="1"/>
    <w:unhideWhenUsed/>
    <w:qFormat/>
    <w:uiPriority w:val="39"/>
    <w:pPr>
      <w:ind w:left="840" w:leftChars="400"/>
    </w:pPr>
    <w:rPr>
      <w:rFonts w:ascii="Times New Roman" w:hAnsi="Times New Roman"/>
      <w:szCs w:val="22"/>
    </w:rPr>
  </w:style>
  <w:style w:type="paragraph" w:styleId="19">
    <w:name w:val="Plain Text"/>
    <w:basedOn w:val="1"/>
    <w:link w:val="54"/>
    <w:unhideWhenUsed/>
    <w:qFormat/>
    <w:uiPriority w:val="99"/>
    <w:rPr>
      <w:rFonts w:ascii="@Yu Mincho Light" w:hAnsi="@Yu Mincho Light"/>
      <w:kern w:val="0"/>
      <w:sz w:val="20"/>
    </w:rPr>
  </w:style>
  <w:style w:type="paragraph" w:styleId="20">
    <w:name w:val="toc 8"/>
    <w:basedOn w:val="1"/>
    <w:next w:val="1"/>
    <w:unhideWhenUsed/>
    <w:qFormat/>
    <w:uiPriority w:val="39"/>
    <w:pPr>
      <w:ind w:left="2940" w:leftChars="1400"/>
    </w:pPr>
    <w:rPr>
      <w:rFonts w:ascii="黑体" w:hAnsi="黑体" w:eastAsia="@Yu Mincho Light" w:cs="@MS PMincho"/>
      <w:szCs w:val="22"/>
    </w:rPr>
  </w:style>
  <w:style w:type="paragraph" w:styleId="21">
    <w:name w:val="Date"/>
    <w:basedOn w:val="1"/>
    <w:next w:val="1"/>
    <w:link w:val="55"/>
    <w:unhideWhenUsed/>
    <w:qFormat/>
    <w:uiPriority w:val="99"/>
    <w:pPr>
      <w:ind w:left="100" w:leftChars="2500"/>
    </w:pPr>
    <w:rPr>
      <w:rFonts w:ascii="等线" w:hAnsi="等线" w:eastAsia="等线"/>
      <w:szCs w:val="22"/>
    </w:rPr>
  </w:style>
  <w:style w:type="paragraph" w:styleId="22">
    <w:name w:val="Body Text Indent 2"/>
    <w:basedOn w:val="1"/>
    <w:link w:val="56"/>
    <w:unhideWhenUsed/>
    <w:qFormat/>
    <w:uiPriority w:val="99"/>
    <w:pPr>
      <w:autoSpaceDE w:val="0"/>
      <w:autoSpaceDN w:val="0"/>
      <w:adjustRightInd w:val="0"/>
      <w:spacing w:after="120" w:line="480" w:lineRule="auto"/>
      <w:ind w:left="420" w:leftChars="200"/>
      <w:jc w:val="left"/>
      <w:textAlignment w:val="baseline"/>
    </w:pPr>
    <w:rPr>
      <w:rFonts w:ascii="@MS PMincho" w:hAnsi="@MS PMincho"/>
      <w:kern w:val="0"/>
      <w:sz w:val="24"/>
      <w:szCs w:val="20"/>
    </w:rPr>
  </w:style>
  <w:style w:type="paragraph" w:styleId="23">
    <w:name w:val="endnote text"/>
    <w:basedOn w:val="1"/>
    <w:unhideWhenUsed/>
    <w:qFormat/>
    <w:uiPriority w:val="99"/>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rFonts w:ascii="Times New Roman" w:hAnsi="Times New Roman"/>
      <w:sz w:val="24"/>
      <w:szCs w:val="20"/>
      <w:lang w:eastAsia="zh-CN"/>
    </w:rPr>
  </w:style>
  <w:style w:type="paragraph" w:styleId="24">
    <w:name w:val="Balloon Text"/>
    <w:basedOn w:val="1"/>
    <w:link w:val="57"/>
    <w:unhideWhenUsed/>
    <w:qFormat/>
    <w:uiPriority w:val="99"/>
    <w:rPr>
      <w:rFonts w:ascii="Times New Roman" w:hAnsi="Times New Roman"/>
      <w:kern w:val="0"/>
      <w:sz w:val="18"/>
      <w:szCs w:val="18"/>
    </w:rPr>
  </w:style>
  <w:style w:type="paragraph" w:styleId="25">
    <w:name w:val="footer"/>
    <w:basedOn w:val="1"/>
    <w:link w:val="58"/>
    <w:unhideWhenUsed/>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59"/>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unhideWhenUsed/>
    <w:qFormat/>
    <w:uiPriority w:val="39"/>
    <w:pPr>
      <w:tabs>
        <w:tab w:val="right" w:leader="dot" w:pos="9736"/>
      </w:tabs>
    </w:pPr>
    <w:rPr>
      <w:rFonts w:ascii="@Yu Mincho Light" w:hAnsi="@Yu Mincho Light"/>
      <w:b/>
      <w:szCs w:val="22"/>
    </w:rPr>
  </w:style>
  <w:style w:type="paragraph" w:styleId="28">
    <w:name w:val="toc 4"/>
    <w:basedOn w:val="1"/>
    <w:next w:val="1"/>
    <w:unhideWhenUsed/>
    <w:qFormat/>
    <w:uiPriority w:val="39"/>
    <w:pPr>
      <w:ind w:left="1260" w:leftChars="600"/>
    </w:pPr>
    <w:rPr>
      <w:rFonts w:ascii="黑体" w:hAnsi="黑体" w:eastAsia="@Yu Mincho Light" w:cs="@MS PMincho"/>
      <w:szCs w:val="22"/>
    </w:rPr>
  </w:style>
  <w:style w:type="paragraph" w:styleId="29">
    <w:name w:val="toc 6"/>
    <w:basedOn w:val="1"/>
    <w:next w:val="1"/>
    <w:unhideWhenUsed/>
    <w:qFormat/>
    <w:uiPriority w:val="39"/>
    <w:pPr>
      <w:ind w:left="2100" w:leftChars="1000"/>
    </w:pPr>
    <w:rPr>
      <w:rFonts w:ascii="黑体" w:hAnsi="黑体" w:eastAsia="@Yu Mincho Light" w:cs="@MS PMincho"/>
      <w:szCs w:val="22"/>
    </w:rPr>
  </w:style>
  <w:style w:type="paragraph" w:styleId="30">
    <w:name w:val="toc 2"/>
    <w:basedOn w:val="1"/>
    <w:next w:val="1"/>
    <w:unhideWhenUsed/>
    <w:qFormat/>
    <w:uiPriority w:val="39"/>
    <w:pPr>
      <w:ind w:left="420" w:leftChars="200"/>
    </w:pPr>
    <w:rPr>
      <w:rFonts w:ascii="Times New Roman" w:hAnsi="Times New Roman"/>
      <w:szCs w:val="22"/>
    </w:rPr>
  </w:style>
  <w:style w:type="paragraph" w:styleId="31">
    <w:name w:val="toc 9"/>
    <w:basedOn w:val="1"/>
    <w:next w:val="1"/>
    <w:unhideWhenUsed/>
    <w:qFormat/>
    <w:uiPriority w:val="39"/>
    <w:pPr>
      <w:ind w:left="3360" w:leftChars="1600"/>
    </w:pPr>
    <w:rPr>
      <w:rFonts w:ascii="黑体" w:hAnsi="黑体" w:eastAsia="@Yu Mincho Light" w:cs="@MS PMincho"/>
      <w:szCs w:val="22"/>
    </w:rPr>
  </w:style>
  <w:style w:type="paragraph" w:styleId="32">
    <w:name w:val="Body Text 2"/>
    <w:basedOn w:val="1"/>
    <w:next w:val="1"/>
    <w:unhideWhenUsed/>
    <w:qFormat/>
    <w:uiPriority w:val="99"/>
    <w:pPr>
      <w:widowControl/>
      <w:tabs>
        <w:tab w:val="left" w:pos="210"/>
      </w:tabs>
    </w:pPr>
    <w:rPr>
      <w:rFonts w:ascii="宋体" w:hAnsi="宋体"/>
      <w:sz w:val="24"/>
      <w:szCs w:val="20"/>
      <w:lang w:eastAsia="zh-CN"/>
    </w:rPr>
  </w:style>
  <w:style w:type="paragraph" w:styleId="33">
    <w:name w:val="annotation subject"/>
    <w:basedOn w:val="13"/>
    <w:next w:val="13"/>
    <w:link w:val="60"/>
    <w:unhideWhenUsed/>
    <w:qFormat/>
    <w:uiPriority w:val="99"/>
    <w:rPr>
      <w:b/>
      <w:bCs/>
    </w:rPr>
  </w:style>
  <w:style w:type="paragraph" w:styleId="34">
    <w:name w:val="Body Text First Indent"/>
    <w:basedOn w:val="15"/>
    <w:unhideWhenUsed/>
    <w:qFormat/>
    <w:uiPriority w:val="99"/>
    <w:pPr>
      <w:tabs>
        <w:tab w:val="center" w:pos="2185"/>
      </w:tabs>
      <w:spacing w:before="156" w:beforeLines="50" w:line="300" w:lineRule="auto"/>
      <w:ind w:firstLine="200" w:firstLineChars="200"/>
    </w:pPr>
    <w:rPr>
      <w:rFonts w:ascii="楷体_GB2312" w:eastAsia="楷体_GB2312"/>
      <w:spacing w:val="4"/>
    </w:rPr>
  </w:style>
  <w:style w:type="paragraph" w:styleId="35">
    <w:name w:val="Body Text First Indent 2"/>
    <w:basedOn w:val="16"/>
    <w:unhideWhenUsed/>
    <w:qFormat/>
    <w:uiPriority w:val="99"/>
    <w:pPr>
      <w:ind w:firstLine="420" w:firstLineChars="200"/>
    </w:pPr>
    <w:rPr>
      <w:rFonts w:eastAsia="方正小标宋_GBK"/>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FollowedHyperlink"/>
    <w:basedOn w:val="38"/>
    <w:unhideWhenUsed/>
    <w:qFormat/>
    <w:uiPriority w:val="99"/>
    <w:rPr>
      <w:color w:val="954F72"/>
      <w:u w:val="single"/>
    </w:rPr>
  </w:style>
  <w:style w:type="character" w:styleId="41">
    <w:name w:val="Emphasis"/>
    <w:qFormat/>
    <w:uiPriority w:val="20"/>
    <w:rPr>
      <w:i/>
      <w:iCs/>
    </w:rPr>
  </w:style>
  <w:style w:type="character" w:styleId="42">
    <w:name w:val="Hyperlink"/>
    <w:basedOn w:val="38"/>
    <w:unhideWhenUsed/>
    <w:qFormat/>
    <w:uiPriority w:val="99"/>
    <w:rPr>
      <w:rFonts w:ascii="@MS PMincho" w:hAnsi="@MS PMincho" w:eastAsia="@Yu Mincho Light" w:cs="@MS PMincho"/>
      <w:color w:val="0000FF"/>
      <w:u w:val="single"/>
    </w:rPr>
  </w:style>
  <w:style w:type="character" w:styleId="43">
    <w:name w:val="annotation reference"/>
    <w:basedOn w:val="38"/>
    <w:unhideWhenUsed/>
    <w:qFormat/>
    <w:uiPriority w:val="99"/>
    <w:rPr>
      <w:sz w:val="21"/>
      <w:szCs w:val="21"/>
    </w:rPr>
  </w:style>
  <w:style w:type="character" w:customStyle="1" w:styleId="44">
    <w:name w:val="标题 1 字符"/>
    <w:basedOn w:val="38"/>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Yu Mincho Light" w:hAnsi="@Yu Mincho Light" w:eastAsia="@Yu Mincho Light" w:cs="Times New Roman"/>
      <w:b/>
      <w:bCs/>
      <w:kern w:val="0"/>
      <w:sz w:val="32"/>
      <w:szCs w:val="32"/>
    </w:rPr>
  </w:style>
  <w:style w:type="character" w:customStyle="1" w:styleId="46">
    <w:name w:val="标题 3 字符"/>
    <w:link w:val="4"/>
    <w:qFormat/>
    <w:uiPriority w:val="0"/>
    <w:rPr>
      <w:rFonts w:ascii="Times New Roman" w:hAnsi="Times New Roman" w:eastAsia="宋体" w:cs="Times New Roman"/>
      <w:b/>
      <w:bCs/>
      <w:kern w:val="0"/>
      <w:sz w:val="32"/>
      <w:szCs w:val="32"/>
    </w:rPr>
  </w:style>
  <w:style w:type="character" w:customStyle="1" w:styleId="47">
    <w:name w:val="标题 4 字符"/>
    <w:link w:val="5"/>
    <w:qFormat/>
    <w:uiPriority w:val="9"/>
    <w:rPr>
      <w:rFonts w:ascii="等线 Light" w:hAnsi="等线 Light" w:eastAsia="等线 Light" w:cs="Times New Roman"/>
      <w:b/>
      <w:bCs/>
      <w:kern w:val="2"/>
      <w:sz w:val="28"/>
      <w:szCs w:val="28"/>
    </w:rPr>
  </w:style>
  <w:style w:type="character" w:customStyle="1" w:styleId="48">
    <w:name w:val="标题 5 字符"/>
    <w:link w:val="6"/>
    <w:qFormat/>
    <w:uiPriority w:val="9"/>
    <w:rPr>
      <w:rFonts w:ascii="Calibri" w:hAnsi="Calibri"/>
      <w:b/>
      <w:bCs/>
      <w:kern w:val="2"/>
      <w:sz w:val="28"/>
      <w:szCs w:val="28"/>
    </w:rPr>
  </w:style>
  <w:style w:type="character" w:customStyle="1" w:styleId="49">
    <w:name w:val="正文缩进 字符"/>
    <w:link w:val="10"/>
    <w:qFormat/>
    <w:uiPriority w:val="0"/>
    <w:rPr>
      <w:rFonts w:ascii="等线" w:hAnsi="等线" w:eastAsia="等线" w:cs="Times New Roman"/>
    </w:rPr>
  </w:style>
  <w:style w:type="character" w:customStyle="1" w:styleId="50">
    <w:name w:val="文档结构图 字符"/>
    <w:link w:val="12"/>
    <w:qFormat/>
    <w:uiPriority w:val="0"/>
    <w:rPr>
      <w:rFonts w:ascii="@Yu Mincho Light" w:hAnsi="Times New Roman" w:eastAsia="宋体" w:cs="Times New Roman"/>
      <w:kern w:val="0"/>
      <w:sz w:val="18"/>
      <w:szCs w:val="18"/>
    </w:rPr>
  </w:style>
  <w:style w:type="character" w:customStyle="1" w:styleId="51">
    <w:name w:val="批注文字 字符"/>
    <w:basedOn w:val="38"/>
    <w:link w:val="13"/>
    <w:qFormat/>
    <w:uiPriority w:val="0"/>
    <w:rPr>
      <w:rFonts w:ascii="Times New Roman" w:hAnsi="Times New Roman" w:eastAsia="宋体" w:cs="Times New Roman"/>
    </w:rPr>
  </w:style>
  <w:style w:type="character" w:customStyle="1" w:styleId="52">
    <w:name w:val="正文文本 字符"/>
    <w:link w:val="15"/>
    <w:qFormat/>
    <w:uiPriority w:val="0"/>
    <w:rPr>
      <w:rFonts w:ascii="@MS PMincho" w:hAnsi="@MS PMincho" w:eastAsia="@MS PMincho" w:cs="@MS PMincho"/>
      <w:kern w:val="0"/>
      <w:sz w:val="24"/>
      <w:szCs w:val="24"/>
      <w:lang w:val="zh-CN" w:bidi="zh-CN"/>
    </w:rPr>
  </w:style>
  <w:style w:type="character" w:customStyle="1" w:styleId="53">
    <w:name w:val="正文文本缩进 字符"/>
    <w:link w:val="16"/>
    <w:qFormat/>
    <w:uiPriority w:val="0"/>
    <w:rPr>
      <w:kern w:val="2"/>
      <w:sz w:val="21"/>
      <w:szCs w:val="22"/>
    </w:rPr>
  </w:style>
  <w:style w:type="character" w:customStyle="1" w:styleId="54">
    <w:name w:val="纯文本 字符"/>
    <w:link w:val="19"/>
    <w:qFormat/>
    <w:uiPriority w:val="0"/>
    <w:rPr>
      <w:rFonts w:ascii="@Yu Mincho Light" w:hAnsi="@Yu Mincho Light" w:eastAsia="宋体" w:cs="Times New Roman"/>
      <w:kern w:val="0"/>
      <w:sz w:val="20"/>
      <w:szCs w:val="21"/>
    </w:rPr>
  </w:style>
  <w:style w:type="character" w:customStyle="1" w:styleId="55">
    <w:name w:val="日期 字符"/>
    <w:link w:val="21"/>
    <w:qFormat/>
    <w:uiPriority w:val="0"/>
    <w:rPr>
      <w:rFonts w:ascii="等线" w:hAnsi="等线" w:eastAsia="等线" w:cs="Times New Roman"/>
    </w:rPr>
  </w:style>
  <w:style w:type="character" w:customStyle="1" w:styleId="56">
    <w:name w:val="正文文本缩进 2 字符"/>
    <w:link w:val="22"/>
    <w:qFormat/>
    <w:uiPriority w:val="0"/>
    <w:rPr>
      <w:rFonts w:ascii="@MS PMincho" w:hAnsi="@MS PMincho" w:eastAsia="宋体" w:cs="Times New Roman"/>
      <w:kern w:val="0"/>
      <w:sz w:val="24"/>
      <w:szCs w:val="20"/>
    </w:rPr>
  </w:style>
  <w:style w:type="character" w:customStyle="1" w:styleId="57">
    <w:name w:val="批注框文本 字符"/>
    <w:basedOn w:val="38"/>
    <w:link w:val="24"/>
    <w:qFormat/>
    <w:uiPriority w:val="0"/>
    <w:rPr>
      <w:rFonts w:ascii="Times New Roman" w:hAnsi="Times New Roman" w:eastAsia="宋体" w:cs="Times New Roman"/>
      <w:kern w:val="0"/>
      <w:sz w:val="18"/>
      <w:szCs w:val="18"/>
    </w:rPr>
  </w:style>
  <w:style w:type="character" w:customStyle="1" w:styleId="58">
    <w:name w:val="页脚 字符"/>
    <w:link w:val="25"/>
    <w:qFormat/>
    <w:uiPriority w:val="0"/>
    <w:rPr>
      <w:sz w:val="18"/>
      <w:szCs w:val="18"/>
    </w:rPr>
  </w:style>
  <w:style w:type="character" w:customStyle="1" w:styleId="59">
    <w:name w:val="页眉 字符"/>
    <w:link w:val="26"/>
    <w:qFormat/>
    <w:uiPriority w:val="0"/>
    <w:rPr>
      <w:sz w:val="18"/>
      <w:szCs w:val="18"/>
    </w:rPr>
  </w:style>
  <w:style w:type="character" w:customStyle="1" w:styleId="60">
    <w:name w:val="批注主题 字符"/>
    <w:basedOn w:val="51"/>
    <w:link w:val="33"/>
    <w:qFormat/>
    <w:uiPriority w:val="0"/>
    <w:rPr>
      <w:rFonts w:ascii="Times New Roman" w:hAnsi="Times New Roman" w:eastAsia="宋体" w:cs="Times New Roman"/>
      <w:b/>
      <w:bCs/>
      <w:kern w:val="0"/>
      <w:sz w:val="20"/>
      <w:szCs w:val="20"/>
    </w:rPr>
  </w:style>
  <w:style w:type="character" w:customStyle="1" w:styleId="61">
    <w:name w:val="批注文字 字符2"/>
    <w:link w:val="13"/>
    <w:qFormat/>
    <w:uiPriority w:val="0"/>
    <w:rPr>
      <w:rFonts w:ascii="Times New Roman" w:hAnsi="Times New Roman" w:eastAsia="宋体" w:cs="Times New Roman"/>
      <w:kern w:val="0"/>
      <w:sz w:val="20"/>
      <w:szCs w:val="20"/>
    </w:rPr>
  </w:style>
  <w:style w:type="character" w:customStyle="1" w:styleId="62">
    <w:name w:val="要点11"/>
    <w:qFormat/>
    <w:uiPriority w:val="0"/>
    <w:rPr>
      <w:b/>
      <w:bCs/>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页脚 字符2"/>
    <w:semiHidden/>
    <w:qFormat/>
    <w:uiPriority w:val="99"/>
    <w:rPr>
      <w:rFonts w:ascii="Times New Roman" w:hAnsi="Times New Roman" w:eastAsia="宋体" w:cs="Times New Roman"/>
      <w:sz w:val="18"/>
      <w:szCs w:val="18"/>
    </w:rPr>
  </w:style>
  <w:style w:type="character" w:customStyle="1" w:styleId="65">
    <w:name w:val="批注主题 字符1"/>
    <w:semiHidden/>
    <w:qFormat/>
    <w:uiPriority w:val="0"/>
    <w:rPr>
      <w:b/>
      <w:bCs/>
      <w:kern w:val="2"/>
      <w:sz w:val="21"/>
      <w:szCs w:val="22"/>
    </w:rPr>
  </w:style>
  <w:style w:type="character" w:customStyle="1" w:styleId="66">
    <w:name w:val="未处理的提及1"/>
    <w:unhideWhenUsed/>
    <w:qFormat/>
    <w:uiPriority w:val="99"/>
    <w:rPr>
      <w:color w:val="605E5C"/>
      <w:shd w:val="clear" w:color="auto" w:fill="E1DFDD"/>
    </w:rPr>
  </w:style>
  <w:style w:type="character" w:customStyle="1" w:styleId="67">
    <w:name w:val="纯文本 字符2"/>
    <w:semiHidden/>
    <w:qFormat/>
    <w:uiPriority w:val="99"/>
    <w:rPr>
      <w:rFonts w:ascii="等线" w:hAnsi="Courier New" w:cs="Courier New"/>
    </w:rPr>
  </w:style>
  <w:style w:type="character" w:customStyle="1" w:styleId="68">
    <w:name w:val="apple-converted-space"/>
    <w:qFormat/>
    <w:uiPriority w:val="0"/>
  </w:style>
  <w:style w:type="character" w:customStyle="1" w:styleId="69">
    <w:name w:val="无间距字符"/>
    <w:link w:val="70"/>
    <w:qFormat/>
    <w:uiPriority w:val="0"/>
    <w:rPr>
      <w:color w:val="000000"/>
      <w:szCs w:val="21"/>
    </w:rPr>
  </w:style>
  <w:style w:type="paragraph" w:customStyle="1" w:styleId="70">
    <w:name w:val="无间距"/>
    <w:link w:val="69"/>
    <w:qFormat/>
    <w:uiPriority w:val="0"/>
    <w:rPr>
      <w:rFonts w:ascii="等线" w:hAnsi="等线" w:eastAsia="等线" w:cs="Times New Roman"/>
      <w:color w:val="000000"/>
      <w:kern w:val="2"/>
      <w:sz w:val="21"/>
      <w:szCs w:val="21"/>
      <w:lang w:val="en-US" w:eastAsia="zh-CN" w:bidi="ar-SA"/>
    </w:rPr>
  </w:style>
  <w:style w:type="character" w:customStyle="1" w:styleId="71">
    <w:name w:val="日期 字符2"/>
    <w:semiHidden/>
    <w:qFormat/>
    <w:uiPriority w:val="99"/>
    <w:rPr>
      <w:rFonts w:ascii="Times New Roman" w:hAnsi="Times New Roman" w:eastAsia="宋体" w:cs="Times New Roman"/>
    </w:rPr>
  </w:style>
  <w:style w:type="character" w:customStyle="1" w:styleId="72">
    <w:name w:val="批注文字 字符1"/>
    <w:semiHidden/>
    <w:qFormat/>
    <w:uiPriority w:val="99"/>
    <w:rPr>
      <w:kern w:val="2"/>
      <w:sz w:val="21"/>
      <w:szCs w:val="22"/>
    </w:rPr>
  </w:style>
  <w:style w:type="character" w:customStyle="1" w:styleId="73">
    <w:name w:val="正文文本缩进 2 字符2"/>
    <w:semiHidden/>
    <w:qFormat/>
    <w:uiPriority w:val="99"/>
    <w:rPr>
      <w:rFonts w:ascii="Times New Roman" w:hAnsi="Times New Roman" w:eastAsia="宋体" w:cs="Times New Roman"/>
    </w:rPr>
  </w:style>
  <w:style w:type="character" w:customStyle="1" w:styleId="74">
    <w:name w:val="日期 字符1"/>
    <w:semiHidden/>
    <w:qFormat/>
    <w:uiPriority w:val="0"/>
    <w:rPr>
      <w:kern w:val="2"/>
      <w:sz w:val="21"/>
      <w:szCs w:val="22"/>
    </w:rPr>
  </w:style>
  <w:style w:type="character" w:customStyle="1" w:styleId="75">
    <w:name w:val="文档结构图 字符1"/>
    <w:semiHidden/>
    <w:qFormat/>
    <w:uiPriority w:val="0"/>
    <w:rPr>
      <w:rFonts w:ascii="MS Mincho" w:eastAsia="MS Mincho"/>
      <w:kern w:val="2"/>
      <w:sz w:val="18"/>
      <w:szCs w:val="18"/>
    </w:rPr>
  </w:style>
  <w:style w:type="character" w:customStyle="1" w:styleId="76">
    <w:name w:val="页眉 字符1"/>
    <w:semiHidden/>
    <w:qFormat/>
    <w:uiPriority w:val="0"/>
    <w:rPr>
      <w:kern w:val="2"/>
      <w:sz w:val="18"/>
      <w:szCs w:val="18"/>
    </w:rPr>
  </w:style>
  <w:style w:type="character" w:customStyle="1" w:styleId="77">
    <w:name w:val="批注框文本 字符2"/>
    <w:semiHidden/>
    <w:qFormat/>
    <w:uiPriority w:val="99"/>
    <w:rPr>
      <w:rFonts w:ascii="Times New Roman" w:hAnsi="Times New Roman" w:eastAsia="宋体" w:cs="Times New Roman"/>
      <w:sz w:val="18"/>
      <w:szCs w:val="18"/>
    </w:rPr>
  </w:style>
  <w:style w:type="character" w:customStyle="1" w:styleId="78">
    <w:name w:val="纯文本 字符1"/>
    <w:semiHidden/>
    <w:qFormat/>
    <w:uiPriority w:val="0"/>
    <w:rPr>
      <w:rFonts w:ascii="MS Mincho" w:hAnsi="MS Mincho" w:eastAsia="MS Mincho" w:cs="MS Mincho"/>
      <w:kern w:val="2"/>
      <w:sz w:val="21"/>
      <w:szCs w:val="22"/>
    </w:rPr>
  </w:style>
  <w:style w:type="character" w:customStyle="1" w:styleId="79">
    <w:name w:val="正文文本 字符1"/>
    <w:semiHidden/>
    <w:qFormat/>
    <w:uiPriority w:val="99"/>
    <w:rPr>
      <w:rFonts w:ascii="Times New Roman" w:hAnsi="Times New Roman" w:eastAsia="宋体" w:cs="Times New Roman"/>
    </w:rPr>
  </w:style>
  <w:style w:type="character" w:customStyle="1" w:styleId="80">
    <w:name w:val="文档结构图 字符2"/>
    <w:semiHidden/>
    <w:qFormat/>
    <w:uiPriority w:val="99"/>
    <w:rPr>
      <w:rFonts w:ascii="Microsoft YaHei UI" w:hAnsi="Times New Roman" w:eastAsia="Microsoft YaHei UI" w:cs="Times New Roman"/>
      <w:sz w:val="18"/>
      <w:szCs w:val="18"/>
    </w:rPr>
  </w:style>
  <w:style w:type="character" w:customStyle="1" w:styleId="81">
    <w:name w:val="页脚 字符1"/>
    <w:semiHidden/>
    <w:qFormat/>
    <w:uiPriority w:val="0"/>
    <w:rPr>
      <w:kern w:val="2"/>
      <w:sz w:val="18"/>
      <w:szCs w:val="18"/>
    </w:rPr>
  </w:style>
  <w:style w:type="character" w:customStyle="1" w:styleId="82">
    <w:name w:val="正文文本缩进 2 字符1"/>
    <w:semiHidden/>
    <w:qFormat/>
    <w:uiPriority w:val="0"/>
    <w:rPr>
      <w:kern w:val="2"/>
      <w:sz w:val="21"/>
      <w:szCs w:val="22"/>
    </w:rPr>
  </w:style>
  <w:style w:type="character" w:customStyle="1" w:styleId="83">
    <w:name w:val="批注主题 字符2"/>
    <w:semiHidden/>
    <w:qFormat/>
    <w:uiPriority w:val="99"/>
    <w:rPr>
      <w:rFonts w:ascii="Times New Roman" w:hAnsi="Times New Roman" w:eastAsia="宋体" w:cs="Times New Roman"/>
      <w:b/>
      <w:bCs/>
    </w:rPr>
  </w:style>
  <w:style w:type="character" w:customStyle="1" w:styleId="84">
    <w:name w:val="批注框文本 字符1"/>
    <w:semiHidden/>
    <w:qFormat/>
    <w:uiPriority w:val="0"/>
    <w:rPr>
      <w:kern w:val="2"/>
      <w:sz w:val="18"/>
      <w:szCs w:val="18"/>
    </w:rPr>
  </w:style>
  <w:style w:type="character" w:customStyle="1" w:styleId="85">
    <w:name w:val="页眉 字符2"/>
    <w:semiHidden/>
    <w:qFormat/>
    <w:uiPriority w:val="99"/>
    <w:rPr>
      <w:rFonts w:ascii="Times New Roman" w:hAnsi="Times New Roman" w:eastAsia="宋体" w:cs="Times New Roman"/>
      <w:sz w:val="18"/>
      <w:szCs w:val="18"/>
    </w:rPr>
  </w:style>
  <w:style w:type="character" w:customStyle="1" w:styleId="86">
    <w:name w:val="font41"/>
    <w:basedOn w:val="38"/>
    <w:qFormat/>
    <w:uiPriority w:val="0"/>
    <w:rPr>
      <w:rFonts w:ascii="Arial" w:hAnsi="Arial" w:cs="Arial"/>
      <w:color w:val="000000"/>
      <w:sz w:val="20"/>
      <w:szCs w:val="20"/>
      <w:u w:val="none"/>
    </w:rPr>
  </w:style>
  <w:style w:type="character" w:customStyle="1" w:styleId="87">
    <w:name w:val="font21"/>
    <w:basedOn w:val="38"/>
    <w:qFormat/>
    <w:uiPriority w:val="0"/>
    <w:rPr>
      <w:rFonts w:hint="eastAsia" w:ascii="宋体" w:hAnsi="宋体" w:eastAsia="宋体" w:cs="宋体"/>
      <w:color w:val="000000"/>
      <w:sz w:val="20"/>
      <w:szCs w:val="20"/>
      <w:u w:val="none"/>
    </w:rPr>
  </w:style>
  <w:style w:type="character" w:customStyle="1" w:styleId="88">
    <w:name w:val="font51"/>
    <w:qFormat/>
    <w:uiPriority w:val="0"/>
    <w:rPr>
      <w:rFonts w:ascii="Wingdings 2" w:hAnsi="Wingdings 2" w:eastAsia="Wingdings 2" w:cs="Wingdings 2"/>
      <w:color w:val="000000"/>
      <w:sz w:val="20"/>
      <w:szCs w:val="20"/>
      <w:u w:val="none"/>
    </w:rPr>
  </w:style>
  <w:style w:type="character" w:customStyle="1" w:styleId="89">
    <w:name w:val="font11"/>
    <w:qFormat/>
    <w:uiPriority w:val="0"/>
    <w:rPr>
      <w:rFonts w:hint="eastAsia" w:ascii="宋体" w:hAnsi="宋体" w:eastAsia="宋体" w:cs="宋体"/>
      <w:color w:val="000000"/>
      <w:sz w:val="20"/>
      <w:szCs w:val="20"/>
      <w:u w:val="none"/>
    </w:rPr>
  </w:style>
  <w:style w:type="character" w:customStyle="1" w:styleId="90">
    <w:name w:val="font01"/>
    <w:qFormat/>
    <w:uiPriority w:val="0"/>
    <w:rPr>
      <w:rFonts w:ascii="Arial" w:hAnsi="Arial" w:cs="Arial"/>
      <w:color w:val="000000"/>
      <w:sz w:val="20"/>
      <w:szCs w:val="20"/>
      <w:u w:val="none"/>
    </w:rPr>
  </w:style>
  <w:style w:type="character" w:customStyle="1" w:styleId="91">
    <w:name w:val="font61"/>
    <w:qFormat/>
    <w:uiPriority w:val="0"/>
    <w:rPr>
      <w:rFonts w:ascii="Wingdings 2" w:hAnsi="Wingdings 2" w:eastAsia="Wingdings 2" w:cs="Wingdings 2"/>
      <w:color w:val="000000"/>
      <w:sz w:val="20"/>
      <w:szCs w:val="20"/>
      <w:u w:val="none"/>
    </w:rPr>
  </w:style>
  <w:style w:type="character" w:customStyle="1" w:styleId="92">
    <w:name w:val="font31"/>
    <w:basedOn w:val="38"/>
    <w:qFormat/>
    <w:uiPriority w:val="0"/>
    <w:rPr>
      <w:rFonts w:ascii="Arial" w:hAnsi="Arial" w:cs="Arial"/>
      <w:color w:val="000000"/>
      <w:sz w:val="20"/>
      <w:szCs w:val="20"/>
      <w:u w:val="none"/>
    </w:rPr>
  </w:style>
  <w:style w:type="character" w:customStyle="1" w:styleId="93">
    <w:name w:val="font81"/>
    <w:qFormat/>
    <w:uiPriority w:val="0"/>
    <w:rPr>
      <w:rFonts w:ascii="Calibri" w:hAnsi="Calibri" w:cs="Calibri"/>
      <w:color w:val="000000"/>
      <w:sz w:val="20"/>
      <w:szCs w:val="20"/>
      <w:u w:val="none"/>
    </w:rPr>
  </w:style>
  <w:style w:type="paragraph" w:customStyle="1" w:styleId="9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9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7">
    <w:name w:val="列出段落2"/>
    <w:basedOn w:val="1"/>
    <w:qFormat/>
    <w:uiPriority w:val="34"/>
    <w:pPr>
      <w:adjustRightInd w:val="0"/>
      <w:spacing w:line="312" w:lineRule="atLeast"/>
      <w:ind w:firstLine="420" w:firstLineChars="200"/>
      <w:textAlignment w:val="baseline"/>
    </w:pPr>
    <w:rPr>
      <w:rFonts w:ascii="@MS PMincho" w:hAnsi="@MS PMincho"/>
      <w:kern w:val="0"/>
      <w:szCs w:val="20"/>
    </w:rPr>
  </w:style>
  <w:style w:type="paragraph" w:customStyle="1" w:styleId="9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kern w:val="0"/>
      <w:sz w:val="24"/>
      <w:szCs w:val="24"/>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4"/>
      <w:szCs w:val="24"/>
    </w:rPr>
  </w:style>
  <w:style w:type="paragraph" w:customStyle="1" w:styleId="10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10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0"/>
      <w:szCs w:val="20"/>
    </w:rPr>
  </w:style>
  <w:style w:type="paragraph" w:customStyle="1" w:styleId="102">
    <w:name w:val="TOC 标题1"/>
    <w:basedOn w:val="2"/>
    <w:next w:val="1"/>
    <w:qFormat/>
    <w:uiPriority w:val="39"/>
    <w:pPr>
      <w:widowControl/>
      <w:spacing w:before="480" w:after="0" w:line="276" w:lineRule="auto"/>
      <w:jc w:val="left"/>
      <w:outlineLvl w:val="9"/>
    </w:pPr>
    <w:rPr>
      <w:rFonts w:ascii="@Yu Mincho Light" w:hAnsi="@Yu Mincho Light" w:eastAsia="@MS PMincho" w:cs="MS Mincho"/>
      <w:color w:val="365F91"/>
      <w:kern w:val="0"/>
      <w:sz w:val="28"/>
      <w:szCs w:val="28"/>
    </w:rPr>
  </w:style>
  <w:style w:type="paragraph" w:customStyle="1" w:styleId="103">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0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B050"/>
      <w:kern w:val="0"/>
      <w:sz w:val="20"/>
      <w:szCs w:val="20"/>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1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4"/>
      <w:szCs w:val="24"/>
    </w:rPr>
  </w:style>
  <w:style w:type="paragraph" w:customStyle="1" w:styleId="108">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kern w:val="0"/>
      <w:sz w:val="24"/>
      <w:szCs w:val="24"/>
    </w:rPr>
  </w:style>
  <w:style w:type="paragraph" w:customStyle="1" w:styleId="10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11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11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1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B050"/>
      <w:kern w:val="0"/>
      <w:sz w:val="24"/>
      <w:szCs w:val="24"/>
    </w:rPr>
  </w:style>
  <w:style w:type="paragraph" w:customStyle="1" w:styleId="11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styleId="114">
    <w:name w:val="List Paragraph"/>
    <w:basedOn w:val="1"/>
    <w:link w:val="115"/>
    <w:qFormat/>
    <w:uiPriority w:val="99"/>
    <w:pPr>
      <w:ind w:firstLine="420" w:firstLineChars="200"/>
    </w:pPr>
    <w:rPr>
      <w:rFonts w:ascii="@MS PMincho" w:hAnsi="@MS PMincho"/>
      <w:szCs w:val="24"/>
    </w:rPr>
  </w:style>
  <w:style w:type="character" w:customStyle="1" w:styleId="115">
    <w:name w:val="列表段落 字符"/>
    <w:link w:val="114"/>
    <w:qFormat/>
    <w:uiPriority w:val="0"/>
    <w:rPr>
      <w:rFonts w:ascii="@MS PMincho" w:hAnsi="@MS PMincho" w:eastAsia="宋体" w:cs="Times New Roman"/>
      <w:szCs w:val="24"/>
    </w:rPr>
  </w:style>
  <w:style w:type="paragraph" w:customStyle="1" w:styleId="116">
    <w:name w:val="列表段落1"/>
    <w:basedOn w:val="1"/>
    <w:qFormat/>
    <w:uiPriority w:val="34"/>
    <w:pPr>
      <w:ind w:firstLine="420" w:firstLineChars="200"/>
    </w:pPr>
    <w:rPr>
      <w:rFonts w:ascii="MS Mincho" w:hAnsi="MS Mincho" w:eastAsia="@MS PMincho" w:cs="MS Mincho"/>
      <w:szCs w:val="24"/>
    </w:rPr>
  </w:style>
  <w:style w:type="paragraph" w:customStyle="1" w:styleId="11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2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121">
    <w:name w:val="纯文本1"/>
    <w:basedOn w:val="1"/>
    <w:qFormat/>
    <w:uiPriority w:val="0"/>
    <w:rPr>
      <w:rFonts w:ascii="宋体" w:hAnsi="Courier New"/>
      <w:kern w:val="0"/>
      <w:sz w:val="20"/>
    </w:rPr>
  </w:style>
  <w:style w:type="paragraph" w:customStyle="1" w:styleId="1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12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6">
    <w:name w:val="font5"/>
    <w:basedOn w:val="1"/>
    <w:qFormat/>
    <w:uiPriority w:val="0"/>
    <w:pPr>
      <w:widowControl/>
      <w:spacing w:before="100" w:beforeAutospacing="1" w:after="100" w:afterAutospacing="1"/>
      <w:jc w:val="left"/>
    </w:pPr>
    <w:rPr>
      <w:rFonts w:ascii="新宋体" w:hAnsi="新宋体" w:eastAsia="新宋体" w:cs="宋体"/>
      <w:b/>
      <w:bCs/>
      <w:kern w:val="0"/>
      <w:sz w:val="22"/>
      <w:szCs w:val="22"/>
    </w:rPr>
  </w:style>
  <w:style w:type="paragraph" w:customStyle="1" w:styleId="127">
    <w:name w:val="xl104"/>
    <w:basedOn w:val="1"/>
    <w:qFormat/>
    <w:uiPriority w:val="0"/>
    <w:pPr>
      <w:widowControl/>
      <w:spacing w:before="100" w:beforeAutospacing="1" w:after="100" w:afterAutospacing="1"/>
      <w:ind w:firstLine="200" w:firstLineChars="200"/>
    </w:pPr>
    <w:rPr>
      <w:rFonts w:ascii="宋体" w:hAnsi="宋体" w:cs="宋体"/>
      <w:kern w:val="0"/>
      <w:sz w:val="24"/>
      <w:szCs w:val="24"/>
    </w:rPr>
  </w:style>
  <w:style w:type="paragraph" w:customStyle="1" w:styleId="1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 w:val="24"/>
      <w:szCs w:val="24"/>
    </w:rPr>
  </w:style>
  <w:style w:type="paragraph" w:customStyle="1" w:styleId="129">
    <w:name w:val="xl69"/>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130">
    <w:name w:val="xl68"/>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1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13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b/>
      <w:bCs/>
      <w:color w:val="00B050"/>
      <w:kern w:val="0"/>
      <w:sz w:val="20"/>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1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4"/>
      <w:szCs w:val="24"/>
    </w:rPr>
  </w:style>
  <w:style w:type="paragraph" w:customStyle="1" w:styleId="1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kern w:val="0"/>
      <w:sz w:val="24"/>
      <w:szCs w:val="24"/>
    </w:rPr>
  </w:style>
  <w:style w:type="paragraph" w:customStyle="1" w:styleId="136">
    <w:name w:val="_Style 118"/>
    <w:qFormat/>
    <w:uiPriority w:val="0"/>
    <w:rPr>
      <w:rFonts w:ascii="Times New Roman" w:hAnsi="Times New Roman" w:eastAsia="宋体" w:cs="Times New Roman"/>
      <w:kern w:val="2"/>
      <w:sz w:val="21"/>
      <w:szCs w:val="22"/>
      <w:lang w:val="en-US" w:eastAsia="zh-CN" w:bidi="ar-SA"/>
    </w:rPr>
  </w:style>
  <w:style w:type="paragraph" w:customStyle="1" w:styleId="13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8">
    <w:name w:val="p0"/>
    <w:basedOn w:val="1"/>
    <w:qFormat/>
    <w:uiPriority w:val="0"/>
    <w:pPr>
      <w:widowControl/>
    </w:pPr>
    <w:rPr>
      <w:rFonts w:ascii="@MS PMincho" w:hAnsi="@MS PMincho"/>
      <w:kern w:val="0"/>
    </w:rPr>
  </w:style>
  <w:style w:type="paragraph" w:customStyle="1" w:styleId="139">
    <w:name w:val="修订1"/>
    <w:qFormat/>
    <w:uiPriority w:val="99"/>
    <w:rPr>
      <w:rFonts w:ascii="MS Mincho" w:hAnsi="MS Mincho" w:eastAsia="@MS PMincho" w:cs="MS Mincho"/>
      <w:kern w:val="2"/>
      <w:sz w:val="21"/>
      <w:szCs w:val="22"/>
      <w:lang w:val="en-US" w:eastAsia="zh-CN" w:bidi="ar-SA"/>
    </w:rPr>
  </w:style>
  <w:style w:type="paragraph" w:customStyle="1" w:styleId="140">
    <w:name w:val="font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4"/>
      <w:szCs w:val="24"/>
    </w:rPr>
  </w:style>
  <w:style w:type="paragraph" w:customStyle="1" w:styleId="14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FF0000"/>
      <w:kern w:val="0"/>
      <w:sz w:val="24"/>
      <w:szCs w:val="24"/>
    </w:rPr>
  </w:style>
  <w:style w:type="paragraph" w:customStyle="1" w:styleId="143">
    <w:name w:val="p2"/>
    <w:basedOn w:val="1"/>
    <w:qFormat/>
    <w:uiPriority w:val="0"/>
    <w:pPr>
      <w:widowControl/>
      <w:spacing w:line="480" w:lineRule="auto"/>
      <w:ind w:firstLine="420"/>
      <w:jc w:val="left"/>
    </w:pPr>
    <w:rPr>
      <w:rFonts w:ascii="@Yu Mincho Light" w:hAnsi="@Yu Mincho Light" w:eastAsia="@Yu Mincho Light" w:cs="@Yu Mincho Light"/>
      <w:kern w:val="0"/>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24"/>
      <w:szCs w:val="24"/>
    </w:rPr>
  </w:style>
  <w:style w:type="paragraph" w:customStyle="1" w:styleId="14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color w:val="00B050"/>
      <w:kern w:val="0"/>
      <w:sz w:val="24"/>
      <w:szCs w:val="24"/>
    </w:rPr>
  </w:style>
  <w:style w:type="paragraph" w:customStyle="1" w:styleId="146">
    <w:name w:val="Table Paragraph"/>
    <w:basedOn w:val="1"/>
    <w:qFormat/>
    <w:uiPriority w:val="1"/>
    <w:pPr>
      <w:spacing w:line="292" w:lineRule="exact"/>
    </w:pPr>
    <w:rPr>
      <w:rFonts w:ascii="@MS PMincho" w:hAnsi="@MS PMincho" w:eastAsia="@MS PMincho" w:cs="@MS PMincho"/>
      <w:szCs w:val="22"/>
      <w:lang w:val="zh-CN" w:bidi="zh-CN"/>
    </w:rPr>
  </w:style>
  <w:style w:type="paragraph" w:customStyle="1" w:styleId="14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_Style 131"/>
    <w:basedOn w:val="2"/>
    <w:next w:val="1"/>
    <w:qFormat/>
    <w:uiPriority w:val="39"/>
    <w:pPr>
      <w:widowControl/>
      <w:spacing w:before="480" w:after="0" w:line="276" w:lineRule="auto"/>
      <w:jc w:val="left"/>
      <w:outlineLvl w:val="9"/>
    </w:pPr>
    <w:rPr>
      <w:rFonts w:ascii="@Yu Mincho Light" w:hAnsi="@Yu Mincho Light" w:eastAsia="@Yu Mincho Light" w:cs="@MS PMincho"/>
      <w:color w:val="365F91"/>
      <w:kern w:val="0"/>
      <w:sz w:val="28"/>
      <w:szCs w:val="28"/>
    </w:rPr>
  </w:style>
  <w:style w:type="paragraph" w:customStyle="1" w:styleId="150">
    <w:name w:val="xl70"/>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151">
    <w:name w:val="font6"/>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152">
    <w:name w:val="xl67"/>
    <w:basedOn w:val="1"/>
    <w:qFormat/>
    <w:uiPriority w:val="0"/>
    <w:pPr>
      <w:widowControl/>
      <w:spacing w:before="100" w:beforeAutospacing="1" w:after="100" w:afterAutospacing="1"/>
      <w:jc w:val="center"/>
    </w:pPr>
    <w:rPr>
      <w:rFonts w:ascii="Times New Roman" w:hAnsi="Times New Roman"/>
      <w:color w:val="000000"/>
      <w:kern w:val="0"/>
      <w:sz w:val="24"/>
      <w:szCs w:val="24"/>
    </w:rPr>
  </w:style>
  <w:style w:type="table" w:customStyle="1" w:styleId="153">
    <w:name w:val="Table Normal_0"/>
    <w:unhideWhenUsed/>
    <w:qFormat/>
    <w:uiPriority w:val="0"/>
    <w:rPr>
      <w:lang w:val="en-US" w:eastAsia="zh-CN" w:bidi="ar-SA"/>
    </w:rPr>
    <w:tblPr>
      <w:tblCellMar>
        <w:top w:w="0" w:type="dxa"/>
        <w:left w:w="0" w:type="dxa"/>
        <w:bottom w:w="0" w:type="dxa"/>
        <w:right w:w="0" w:type="dxa"/>
      </w:tblCellMar>
    </w:tblPr>
  </w:style>
  <w:style w:type="paragraph" w:customStyle="1" w:styleId="154">
    <w:name w:val="WPSOffice手动目录 1"/>
    <w:qFormat/>
    <w:uiPriority w:val="0"/>
    <w:rPr>
      <w:rFonts w:ascii="Times New Roman" w:hAnsi="Times New Roman" w:eastAsia="宋体" w:cs="Times New Roman"/>
      <w:lang w:val="en-US" w:eastAsia="zh-CN" w:bidi="ar-SA"/>
    </w:rPr>
  </w:style>
  <w:style w:type="paragraph" w:customStyle="1" w:styleId="1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56">
    <w:name w:val="批注文字 Char"/>
    <w:qFormat/>
    <w:uiPriority w:val="0"/>
    <w:rPr>
      <w:kern w:val="2"/>
      <w:sz w:val="21"/>
      <w:szCs w:val="24"/>
    </w:rPr>
  </w:style>
  <w:style w:type="paragraph" w:customStyle="1" w:styleId="157">
    <w:name w:val="TOC 标题2"/>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158">
    <w:name w:val="正文文本首行缩进 2 字符"/>
    <w:qFormat/>
    <w:uiPriority w:val="0"/>
    <w:rPr>
      <w:kern w:val="2"/>
      <w:sz w:val="21"/>
      <w:szCs w:val="22"/>
    </w:rPr>
  </w:style>
  <w:style w:type="paragraph" w:customStyle="1" w:styleId="159">
    <w:name w:val="修订2"/>
    <w:semiHidden/>
    <w:qFormat/>
    <w:uiPriority w:val="99"/>
    <w:rPr>
      <w:rFonts w:ascii="Times New Roman" w:hAnsi="Times New Roman" w:eastAsia="宋体" w:cs="Times New Roman"/>
      <w:kern w:val="2"/>
      <w:sz w:val="21"/>
      <w:szCs w:val="21"/>
      <w:lang w:val="en-US" w:eastAsia="zh-CN" w:bidi="ar-SA"/>
    </w:rPr>
  </w:style>
  <w:style w:type="paragraph" w:customStyle="1" w:styleId="160">
    <w:name w:val="Revision"/>
    <w:semiHidden/>
    <w:qFormat/>
    <w:uiPriority w:val="99"/>
    <w:rPr>
      <w:rFonts w:ascii="Times New Roman" w:hAnsi="Times New Roman" w:eastAsia="宋体" w:cs="Times New Roman"/>
      <w:kern w:val="2"/>
      <w:sz w:val="21"/>
      <w:szCs w:val="21"/>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
    <w:name w:val="正文_1"/>
    <w:qFormat/>
    <w:uiPriority w:val="0"/>
    <w:pPr>
      <w:widowControl w:val="0"/>
      <w:spacing w:line="360" w:lineRule="auto"/>
      <w:ind w:firstLine="512" w:firstLineChars="200"/>
      <w:jc w:val="both"/>
    </w:pPr>
    <w:rPr>
      <w:rFonts w:ascii="宋体" w:hAnsi="宋体" w:eastAsia="宋体" w:cs="Times New Roman"/>
      <w:spacing w:val="8"/>
      <w:kern w:val="2"/>
      <w:sz w:val="24"/>
      <w:szCs w:val="24"/>
      <w:lang w:val="en-US" w:eastAsia="zh-CN" w:bidi="ar-SA"/>
    </w:rPr>
  </w:style>
  <w:style w:type="paragraph" w:customStyle="1" w:styleId="163">
    <w:name w:val="0- 正文"/>
    <w:basedOn w:val="1"/>
    <w:qFormat/>
    <w:uiPriority w:val="0"/>
    <w:pPr>
      <w:spacing w:line="360" w:lineRule="auto"/>
      <w:ind w:firstLine="482"/>
    </w:pPr>
    <w:rPr>
      <w:sz w:val="24"/>
      <w:szCs w:val="20"/>
    </w:rPr>
  </w:style>
  <w:style w:type="paragraph" w:customStyle="1" w:styleId="16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customStyle="1" w:styleId="165">
    <w:name w:val="网格型1"/>
    <w:basedOn w:val="36"/>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Normal"/>
    <w:basedOn w:val="36"/>
    <w:qFormat/>
    <w:uiPriority w:val="0"/>
    <w:rPr>
      <w:rFonts w:eastAsia="Times New Roman"/>
    </w:rPr>
    <w:tblPr>
      <w:tblCellMar>
        <w:left w:w="0" w:type="dxa"/>
        <w:right w:w="0" w:type="dxa"/>
      </w:tblCellMar>
    </w:tblPr>
  </w:style>
  <w:style w:type="paragraph" w:customStyle="1" w:styleId="167">
    <w:name w:val="正文文本1"/>
    <w:basedOn w:val="1"/>
    <w:qFormat/>
    <w:uiPriority w:val="0"/>
    <w:pPr>
      <w:shd w:val="clear" w:color="auto" w:fill="FFFFFF"/>
      <w:spacing w:line="442" w:lineRule="auto"/>
    </w:pPr>
    <w:rPr>
      <w:rFonts w:ascii="黑体" w:hAnsi="黑体" w:eastAsia="黑体" w:cs="黑体"/>
      <w:sz w:val="36"/>
      <w:szCs w:val="36"/>
      <w:lang w:val="zh-CN" w:bidi="zh-CN"/>
    </w:rPr>
  </w:style>
  <w:style w:type="paragraph" w:customStyle="1" w:styleId="168">
    <w:name w:val="正文文本 人培"/>
    <w:basedOn w:val="1"/>
    <w:qFormat/>
    <w:uiPriority w:val="0"/>
    <w:pPr>
      <w:spacing w:line="500" w:lineRule="exact"/>
      <w:ind w:firstLine="480" w:firstLineChars="200"/>
    </w:pPr>
    <w:rPr>
      <w:rFonts w:ascii="仿宋_GB2312" w:hAnsi="仿宋_GB2312" w:eastAsia="仿宋_GB2312" w:cs="仿宋_GB2312"/>
      <w:sz w:val="24"/>
      <w:szCs w:val="24"/>
    </w:rPr>
  </w:style>
  <w:style w:type="paragraph" w:customStyle="1" w:styleId="169">
    <w:name w:val="_Style 167"/>
    <w:unhideWhenUsed/>
    <w:qFormat/>
    <w:uiPriority w:val="99"/>
    <w:rPr>
      <w:rFonts w:ascii="Times New Roman" w:hAnsi="Times New Roman" w:eastAsia="宋体" w:cs="Times New Roman"/>
      <w:kern w:val="2"/>
      <w:sz w:val="21"/>
      <w:szCs w:val="21"/>
      <w:lang w:val="en-US" w:eastAsia="zh-CN" w:bidi="ar-SA"/>
    </w:rPr>
  </w:style>
  <w:style w:type="paragraph" w:customStyle="1" w:styleId="17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xl6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方正仿宋_GB2312" w:hAnsi="方正仿宋_GB2312" w:eastAsia="方正仿宋_GB2312" w:cs="宋体"/>
      <w:b/>
      <w:bCs/>
      <w:color w:val="000000"/>
      <w:kern w:val="0"/>
      <w:sz w:val="24"/>
      <w:szCs w:val="24"/>
    </w:rPr>
  </w:style>
  <w:style w:type="paragraph" w:customStyle="1" w:styleId="172">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方正仿宋_GB2312" w:hAnsi="方正仿宋_GB2312" w:eastAsia="方正仿宋_GB2312" w:cs="宋体"/>
      <w:b/>
      <w:bCs/>
      <w:color w:val="000000"/>
      <w:kern w:val="0"/>
      <w:sz w:val="24"/>
      <w:szCs w:val="24"/>
    </w:rPr>
  </w:style>
  <w:style w:type="paragraph" w:customStyle="1" w:styleId="173">
    <w:name w:val="xl108"/>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74">
    <w:name w:val="xl10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75">
    <w:name w:val="xl110"/>
    <w:basedOn w:val="1"/>
    <w:qFormat/>
    <w:uiPriority w:val="0"/>
    <w:pPr>
      <w:widowControl/>
      <w:pBdr>
        <w:top w:val="single" w:color="000000" w:sz="8" w:space="0"/>
        <w:left w:val="single" w:color="000000" w:sz="8" w:space="0"/>
        <w:bottom w:val="single" w:color="000000" w:sz="8" w:space="0"/>
      </w:pBdr>
      <w:spacing w:before="100" w:beforeAutospacing="1" w:after="100" w:afterAutospacing="1"/>
      <w:textAlignment w:val="center"/>
    </w:pPr>
    <w:rPr>
      <w:rFonts w:ascii="宋体" w:hAnsi="宋体" w:cs="宋体"/>
      <w:b/>
      <w:bCs/>
      <w:color w:val="000000"/>
      <w:kern w:val="0"/>
      <w:sz w:val="24"/>
      <w:szCs w:val="24"/>
    </w:rPr>
  </w:style>
  <w:style w:type="paragraph" w:customStyle="1" w:styleId="176">
    <w:name w:val="xl111"/>
    <w:basedOn w:val="1"/>
    <w:qFormat/>
    <w:uiPriority w:val="0"/>
    <w:pPr>
      <w:widowControl/>
      <w:pBdr>
        <w:top w:val="single" w:color="000000" w:sz="8" w:space="0"/>
        <w:bottom w:val="single" w:color="000000" w:sz="8" w:space="0"/>
      </w:pBdr>
      <w:spacing w:before="100" w:beforeAutospacing="1" w:after="100" w:afterAutospacing="1"/>
      <w:textAlignment w:val="center"/>
    </w:pPr>
    <w:rPr>
      <w:rFonts w:ascii="宋体" w:hAnsi="宋体" w:cs="宋体"/>
      <w:b/>
      <w:bCs/>
      <w:color w:val="000000"/>
      <w:kern w:val="0"/>
      <w:sz w:val="24"/>
      <w:szCs w:val="24"/>
    </w:rPr>
  </w:style>
  <w:style w:type="paragraph" w:customStyle="1" w:styleId="177">
    <w:name w:val="xl112"/>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b/>
      <w:bCs/>
      <w:color w:val="000000"/>
      <w:kern w:val="0"/>
      <w:sz w:val="24"/>
      <w:szCs w:val="24"/>
    </w:rPr>
  </w:style>
  <w:style w:type="paragraph" w:customStyle="1" w:styleId="178">
    <w:name w:val="xl113"/>
    <w:basedOn w:val="1"/>
    <w:qFormat/>
    <w:uiPriority w:val="0"/>
    <w:pPr>
      <w:widowControl/>
      <w:pBdr>
        <w:left w:val="single" w:color="000000" w:sz="8" w:space="0"/>
        <w:bottom w:val="single" w:color="auto" w:sz="8" w:space="0"/>
        <w:right w:val="single" w:color="000000"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79">
    <w:name w:val="xl114"/>
    <w:basedOn w:val="1"/>
    <w:qFormat/>
    <w:uiPriority w:val="0"/>
    <w:pPr>
      <w:widowControl/>
      <w:pBdr>
        <w:left w:val="single" w:color="000000" w:sz="8" w:space="0"/>
        <w:bottom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0">
    <w:name w:val="xl115"/>
    <w:basedOn w:val="1"/>
    <w:qFormat/>
    <w:uiPriority w:val="0"/>
    <w:pPr>
      <w:widowControl/>
      <w:pBdr>
        <w:top w:val="single" w:color="auto" w:sz="8" w:space="0"/>
        <w:left w:val="single" w:color="000000" w:sz="8" w:space="0"/>
        <w:right w:val="single" w:color="000000"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81">
    <w:name w:val="xl116"/>
    <w:basedOn w:val="1"/>
    <w:qFormat/>
    <w:uiPriority w:val="0"/>
    <w:pPr>
      <w:widowControl/>
      <w:pBdr>
        <w:top w:val="single" w:color="auto"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2">
    <w:name w:val="xl11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83">
    <w:name w:val="xl118"/>
    <w:basedOn w:val="1"/>
    <w:qFormat/>
    <w:uiPriority w:val="0"/>
    <w:pPr>
      <w:widowControl/>
      <w:pBdr>
        <w:left w:val="single" w:color="auto" w:sz="8" w:space="0"/>
        <w:right w:val="single" w:color="auto"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84">
    <w:name w:val="xl11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85">
    <w:name w:val="xl12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6">
    <w:name w:val="xl121"/>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87">
    <w:name w:val="xl12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188">
    <w:name w:val="font91"/>
    <w:qFormat/>
    <w:uiPriority w:val="0"/>
    <w:rPr>
      <w:rFonts w:hint="default" w:ascii="Calibri" w:hAnsi="Calibri" w:cs="Calibri"/>
      <w:color w:val="000000"/>
      <w:sz w:val="18"/>
      <w:szCs w:val="18"/>
      <w:u w:val="none"/>
    </w:rPr>
  </w:style>
  <w:style w:type="character" w:customStyle="1" w:styleId="189">
    <w:name w:val="font101"/>
    <w:qFormat/>
    <w:uiPriority w:val="0"/>
    <w:rPr>
      <w:rFonts w:ascii="微软雅黑" w:hAnsi="微软雅黑" w:eastAsia="微软雅黑" w:cs="微软雅黑"/>
      <w:color w:val="000000"/>
      <w:sz w:val="18"/>
      <w:szCs w:val="18"/>
      <w:u w:val="none"/>
    </w:rPr>
  </w:style>
  <w:style w:type="character" w:customStyle="1" w:styleId="190">
    <w:name w:val="font112"/>
    <w:qFormat/>
    <w:uiPriority w:val="0"/>
    <w:rPr>
      <w:rFonts w:hint="default" w:ascii="Calibri" w:hAnsi="Calibri" w:cs="Calibri"/>
      <w:color w:val="000000"/>
      <w:sz w:val="18"/>
      <w:szCs w:val="18"/>
      <w:u w:val="none"/>
    </w:rPr>
  </w:style>
  <w:style w:type="paragraph" w:customStyle="1" w:styleId="191">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 w:type="paragraph" w:customStyle="1" w:styleId="192">
    <w:name w:val="正文1"/>
    <w:qFormat/>
    <w:uiPriority w:val="0"/>
    <w:pPr>
      <w:overflowPunct w:val="0"/>
      <w:autoSpaceDE w:val="0"/>
      <w:autoSpaceDN w:val="0"/>
      <w:adjustRightInd w:val="0"/>
      <w:spacing w:line="360" w:lineRule="auto"/>
      <w:textAlignment w:val="baseline"/>
    </w:pPr>
    <w:rPr>
      <w:rFonts w:ascii="Times New Roman" w:hAnsi="Times New Roman" w:eastAsia="宋体" w:cs="Times New Roman"/>
      <w:lang w:val="en-US" w:eastAsia="zh-CN" w:bidi="ar-SA"/>
    </w:rPr>
  </w:style>
  <w:style w:type="paragraph" w:customStyle="1" w:styleId="193">
    <w:name w:val="数字标题1"/>
    <w:basedOn w:val="2"/>
    <w:qFormat/>
    <w:uiPriority w:val="0"/>
    <w:pPr>
      <w:keepLines/>
      <w:widowControl w:val="0"/>
      <w:numPr>
        <w:ilvl w:val="0"/>
        <w:numId w:val="2"/>
      </w:numPr>
      <w:spacing w:before="340" w:after="330" w:line="578" w:lineRule="auto"/>
      <w:jc w:val="both"/>
    </w:pPr>
    <w:rPr>
      <w:rFonts w:ascii="宋体" w:hAnsi="宋体" w:eastAsia="宋体" w:cs="Times New Roman"/>
      <w:kern w:val="44"/>
      <w:sz w:val="30"/>
      <w:lang w:val="en-US" w:eastAsia="zh-CN"/>
    </w:rPr>
  </w:style>
  <w:style w:type="paragraph" w:customStyle="1" w:styleId="194">
    <w:name w:val="数字标题2"/>
    <w:basedOn w:val="3"/>
    <w:qFormat/>
    <w:uiPriority w:val="0"/>
    <w:pPr>
      <w:keepLines/>
      <w:widowControl w:val="0"/>
      <w:numPr>
        <w:ilvl w:val="0"/>
        <w:numId w:val="2"/>
      </w:numPr>
      <w:spacing w:before="200" w:after="200"/>
      <w:jc w:val="both"/>
    </w:pPr>
    <w:rPr>
      <w:rFonts w:ascii="宋体" w:hAnsi="宋体" w:eastAsia="宋体"/>
      <w:kern w:val="2"/>
      <w:sz w:val="28"/>
      <w:szCs w:val="32"/>
      <w:lang w:val="en-US" w:eastAsia="zh-CN"/>
    </w:rPr>
  </w:style>
  <w:style w:type="paragraph" w:customStyle="1" w:styleId="195">
    <w:name w:val="_Style 29"/>
    <w:basedOn w:val="1"/>
    <w:next w:val="114"/>
    <w:qFormat/>
    <w:uiPriority w:val="0"/>
    <w:pPr>
      <w:ind w:firstLine="420" w:firstLineChars="200"/>
    </w:pPr>
    <w:rPr>
      <w:rFonts w:ascii="Calibri" w:hAnsi="Calibri" w:eastAsia="宋体" w:cs="Times New Roman"/>
      <w:szCs w:val="24"/>
    </w:rPr>
  </w:style>
  <w:style w:type="paragraph" w:customStyle="1" w:styleId="196">
    <w:name w:val="数字标题3"/>
    <w:basedOn w:val="4"/>
    <w:qFormat/>
    <w:uiPriority w:val="0"/>
    <w:pPr>
      <w:keepLines/>
      <w:widowControl w:val="0"/>
      <w:numPr>
        <w:ilvl w:val="0"/>
        <w:numId w:val="2"/>
      </w:numPr>
      <w:spacing w:before="260" w:after="260" w:line="416" w:lineRule="auto"/>
    </w:pPr>
    <w:rPr>
      <w:rFonts w:ascii="Calibri" w:hAnsi="Calibri" w:eastAsia="宋体" w:cs="Times New Roman"/>
      <w:kern w:val="2"/>
      <w:szCs w:val="32"/>
    </w:rPr>
  </w:style>
  <w:style w:type="character" w:customStyle="1" w:styleId="197">
    <w:name w:val="font71"/>
    <w:qFormat/>
    <w:uiPriority w:val="0"/>
    <w:rPr>
      <w:rFonts w:hint="default" w:ascii="Arial" w:hAnsi="Arial" w:cs="Arial"/>
      <w:color w:val="000000"/>
      <w:sz w:val="18"/>
      <w:szCs w:val="18"/>
      <w:u w:val="none"/>
    </w:rPr>
  </w:style>
  <w:style w:type="paragraph" w:customStyle="1" w:styleId="198">
    <w:name w:val="_Style 638"/>
    <w:basedOn w:val="1"/>
    <w:next w:val="114"/>
    <w:qFormat/>
    <w:uiPriority w:val="0"/>
    <w:pPr>
      <w:ind w:firstLine="420" w:firstLineChars="200"/>
      <w:jc w:val="both"/>
    </w:pPr>
    <w:rPr>
      <w:kern w:val="2"/>
      <w:sz w:val="21"/>
      <w:szCs w:val="24"/>
      <w:lang w:eastAsia="zh-CN"/>
    </w:rPr>
  </w:style>
  <w:style w:type="character" w:customStyle="1" w:styleId="199">
    <w:name w:val="NormalCharacter"/>
    <w:semiHidden/>
    <w:qFormat/>
    <w:uiPriority w:val="0"/>
  </w:style>
  <w:style w:type="paragraph" w:customStyle="1" w:styleId="200">
    <w:name w:val="Medium Grid 21"/>
    <w:qFormat/>
    <w:uiPriority w:val="1"/>
    <w:rPr>
      <w:rFonts w:ascii="Calibri" w:hAnsi="Calibri" w:eastAsia="宋体" w:cs="Times New Roman"/>
      <w:sz w:val="22"/>
      <w:szCs w:val="22"/>
      <w:lang w:val="en-US" w:eastAsia="zh-CN" w:bidi="ar-SA"/>
    </w:rPr>
  </w:style>
  <w:style w:type="paragraph" w:customStyle="1" w:styleId="201">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202">
    <w:name w:val="样式 样式 首行缩进:  2.57 字符 + 首行缩进:  2.57 字符"/>
    <w:basedOn w:val="1"/>
    <w:qFormat/>
    <w:uiPriority w:val="0"/>
    <w:pPr>
      <w:widowControl/>
      <w:spacing w:line="360" w:lineRule="auto"/>
      <w:ind w:firstLine="771" w:firstLineChars="257"/>
      <w:jc w:val="left"/>
    </w:pPr>
    <w:rPr>
      <w:rFonts w:ascii="Times New Roman" w:hAnsi="Times New Roman" w:eastAsia="仿宋" w:cs="宋体"/>
      <w:kern w:val="0"/>
      <w:sz w:val="30"/>
      <w:szCs w:val="30"/>
    </w:rPr>
  </w:style>
  <w:style w:type="character" w:customStyle="1" w:styleId="203">
    <w:name w:val="要点1"/>
    <w:qFormat/>
    <w:uiPriority w:val="0"/>
    <w:rPr>
      <w:kern w:val="2"/>
      <w:sz w:val="21"/>
      <w:szCs w:val="21"/>
      <w:lang w:val="en-US" w:eastAsia="zh-CN" w:bidi="ar-SA"/>
    </w:rPr>
  </w:style>
  <w:style w:type="paragraph" w:customStyle="1" w:styleId="204">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131</Pages>
  <Words>4246</Words>
  <Characters>5049</Characters>
  <Lines>422</Lines>
  <Paragraphs>118</Paragraphs>
  <TotalTime>1</TotalTime>
  <ScaleCrop>false</ScaleCrop>
  <LinksUpToDate>false</LinksUpToDate>
  <CharactersWithSpaces>5147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2023-12-21T08:27:00Z</dcterms:created>
  <dc:creator>云南中招招标</dc:creator>
  <cp:lastModifiedBy>啊蛋蛋</cp:lastModifiedBy>
  <cp:lastPrinted>2026-04-27T07:21:00Z</cp:lastPrinted>
  <dcterms:modified xsi:type="dcterms:W3CDTF">2026-05-22T08:32:36Z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A8A795B6E93148FDAAF6E78571219346_13</vt:lpwstr>
  </property>
  <property fmtid="{D5CDD505-2E9C-101B-9397-08002B2CF9AE}" pid="3" name="KSOProductBuildVer">
    <vt:lpwstr>2052-12.1.0.26375</vt:lpwstr>
  </property>
  <property fmtid="{D5CDD505-2E9C-101B-9397-08002B2CF9AE}" pid="4" name="KSOTemplateDocerSaveRecord">
    <vt:lpwstr>eyJoZGlkIjoiYzVkYzQ0NDBkZDdjYjU5MGJmYzA4YTY0ZjFmOWQ3MTQiLCJ1c2VySWQiOiI3NjU4MDA3ODIifQ==</vt:lpwstr>
  </property>
</Properties>
</file>