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AF2C">
      <w:pPr>
        <w:jc w:val="center"/>
        <w:rPr>
          <w:snapToGrid w:val="0"/>
          <w:kern w:val="21"/>
        </w:rPr>
      </w:pPr>
      <w:bookmarkStart w:id="0" w:name="_Hlk170894370"/>
    </w:p>
    <w:p w14:paraId="00164641">
      <w:pPr>
        <w:jc w:val="center"/>
        <w:rPr>
          <w:rFonts w:ascii="宋体" w:hAnsi="宋体" w:cs="宋体"/>
          <w:b/>
          <w:sz w:val="52"/>
          <w:szCs w:val="52"/>
        </w:rPr>
      </w:pPr>
    </w:p>
    <w:p w14:paraId="6FCE46AC">
      <w:pPr>
        <w:jc w:val="center"/>
        <w:rPr>
          <w:rFonts w:hint="default" w:ascii="宋体" w:hAnsi="宋体" w:eastAsia="宋体" w:cs="宋体"/>
          <w:b/>
          <w:sz w:val="52"/>
          <w:szCs w:val="52"/>
          <w:lang w:val="en-US" w:eastAsia="zh-CN"/>
        </w:rPr>
      </w:pPr>
      <w:r>
        <w:rPr>
          <w:rFonts w:hint="eastAsia" w:ascii="宋体" w:hAnsi="宋体" w:cs="宋体"/>
          <w:b/>
          <w:sz w:val="52"/>
          <w:szCs w:val="52"/>
          <w:lang w:eastAsia="zh-CN"/>
        </w:rPr>
        <w:t>牟定县职业高级中学图书购置和电子阅览室建设项目（</w:t>
      </w:r>
      <w:r>
        <w:rPr>
          <w:rFonts w:hint="eastAsia" w:ascii="宋体" w:hAnsi="宋体" w:cs="宋体"/>
          <w:b/>
          <w:sz w:val="52"/>
          <w:szCs w:val="52"/>
          <w:lang w:val="en-US" w:eastAsia="zh-CN"/>
        </w:rPr>
        <w:t>二标段）</w:t>
      </w:r>
    </w:p>
    <w:bookmarkEnd w:id="0"/>
    <w:p w14:paraId="5B8904AD">
      <w:pPr>
        <w:pStyle w:val="10"/>
        <w:rPr>
          <w:rFonts w:hAnsi="宋体"/>
        </w:rPr>
      </w:pPr>
    </w:p>
    <w:p w14:paraId="50ED220C">
      <w:pPr>
        <w:pStyle w:val="10"/>
        <w:rPr>
          <w:rFonts w:hAnsi="宋体"/>
        </w:rPr>
      </w:pPr>
    </w:p>
    <w:p w14:paraId="5358E5F7">
      <w:pPr>
        <w:pStyle w:val="10"/>
        <w:rPr>
          <w:rFonts w:hAnsi="宋体"/>
        </w:rPr>
      </w:pPr>
    </w:p>
    <w:p w14:paraId="25B84025">
      <w:pPr>
        <w:pStyle w:val="10"/>
        <w:rPr>
          <w:rFonts w:hAnsi="宋体"/>
        </w:rPr>
      </w:pPr>
    </w:p>
    <w:p w14:paraId="250DDF97">
      <w:pPr>
        <w:pStyle w:val="10"/>
        <w:rPr>
          <w:rFonts w:hAnsi="宋体"/>
        </w:rPr>
      </w:pPr>
    </w:p>
    <w:p w14:paraId="385EC82C">
      <w:pPr>
        <w:pStyle w:val="10"/>
        <w:rPr>
          <w:rFonts w:hAnsi="宋体"/>
        </w:rPr>
      </w:pPr>
    </w:p>
    <w:p w14:paraId="019C4A4A">
      <w:pPr>
        <w:pStyle w:val="10"/>
        <w:rPr>
          <w:rFonts w:hAnsi="宋体"/>
        </w:rPr>
      </w:pPr>
    </w:p>
    <w:p w14:paraId="1734272B">
      <w:pPr>
        <w:pStyle w:val="10"/>
        <w:rPr>
          <w:rFonts w:hAnsi="宋体"/>
        </w:rPr>
      </w:pPr>
    </w:p>
    <w:p w14:paraId="3590D03A">
      <w:pPr>
        <w:autoSpaceDE w:val="0"/>
        <w:autoSpaceDN w:val="0"/>
        <w:adjustRightInd w:val="0"/>
        <w:spacing w:line="360" w:lineRule="auto"/>
        <w:jc w:val="center"/>
        <w:rPr>
          <w:rFonts w:ascii="宋体" w:hAnsi="宋体" w:cs="宋体"/>
          <w:b/>
          <w:bCs/>
          <w:sz w:val="72"/>
          <w:szCs w:val="72"/>
        </w:rPr>
      </w:pPr>
      <w:r>
        <w:rPr>
          <w:rFonts w:hint="eastAsia" w:ascii="宋体" w:hAnsi="宋体" w:cs="宋体"/>
          <w:b/>
          <w:bCs/>
          <w:sz w:val="72"/>
          <w:szCs w:val="72"/>
        </w:rPr>
        <w:t>招 标 文 件</w:t>
      </w:r>
    </w:p>
    <w:p w14:paraId="3E01A897">
      <w:pPr>
        <w:autoSpaceDE w:val="0"/>
        <w:autoSpaceDN w:val="0"/>
        <w:adjustRightInd w:val="0"/>
        <w:spacing w:line="360" w:lineRule="auto"/>
        <w:jc w:val="center"/>
        <w:rPr>
          <w:rFonts w:hint="eastAsia" w:ascii="宋体" w:hAnsi="宋体" w:cs="宋体"/>
          <w:b/>
          <w:bCs/>
          <w:sz w:val="32"/>
          <w:szCs w:val="32"/>
          <w:lang w:val="en-US"/>
        </w:rPr>
      </w:pPr>
      <w:r>
        <w:rPr>
          <w:rFonts w:hint="eastAsia" w:ascii="宋体" w:hAnsi="宋体" w:cs="宋体"/>
          <w:b/>
          <w:bCs/>
          <w:sz w:val="32"/>
          <w:szCs w:val="32"/>
        </w:rPr>
        <w:t>招标编号：</w:t>
      </w:r>
      <w:r>
        <w:rPr>
          <w:rFonts w:hint="eastAsia" w:ascii="宋体" w:hAnsi="宋体" w:cs="宋体"/>
          <w:b/>
          <w:bCs/>
          <w:sz w:val="32"/>
          <w:szCs w:val="32"/>
          <w:lang w:eastAsia="zh-CN"/>
        </w:rPr>
        <w:t>YNDZ-CX-202</w:t>
      </w:r>
      <w:r>
        <w:rPr>
          <w:rFonts w:hint="eastAsia" w:ascii="宋体" w:hAnsi="宋体" w:cs="宋体"/>
          <w:b/>
          <w:bCs/>
          <w:sz w:val="32"/>
          <w:szCs w:val="32"/>
          <w:lang w:val="en-US" w:eastAsia="zh-CN"/>
        </w:rPr>
        <w:t>6</w:t>
      </w:r>
      <w:r>
        <w:rPr>
          <w:rFonts w:hint="eastAsia" w:ascii="宋体" w:hAnsi="宋体" w:cs="宋体"/>
          <w:b/>
          <w:bCs/>
          <w:sz w:val="32"/>
          <w:szCs w:val="32"/>
          <w:lang w:eastAsia="zh-CN"/>
        </w:rPr>
        <w:t>-</w:t>
      </w:r>
      <w:r>
        <w:rPr>
          <w:rFonts w:hint="eastAsia" w:ascii="宋体" w:hAnsi="宋体" w:cs="宋体"/>
          <w:b/>
          <w:bCs/>
          <w:sz w:val="32"/>
          <w:szCs w:val="32"/>
          <w:lang w:val="en-US" w:eastAsia="zh-CN"/>
        </w:rPr>
        <w:t>ZB045</w:t>
      </w:r>
    </w:p>
    <w:p w14:paraId="7D09BA2B">
      <w:pPr>
        <w:autoSpaceDE w:val="0"/>
        <w:autoSpaceDN w:val="0"/>
        <w:adjustRightInd w:val="0"/>
        <w:spacing w:line="360" w:lineRule="auto"/>
        <w:jc w:val="center"/>
        <w:rPr>
          <w:rFonts w:ascii="宋体" w:hAnsi="宋体" w:cs="宋体"/>
          <w:bCs/>
          <w:sz w:val="32"/>
          <w:szCs w:val="32"/>
          <w:u w:val="single"/>
        </w:rPr>
      </w:pPr>
    </w:p>
    <w:p w14:paraId="5A146CEA">
      <w:pPr>
        <w:pStyle w:val="10"/>
        <w:rPr>
          <w:rFonts w:hAnsi="宋体"/>
        </w:rPr>
      </w:pPr>
    </w:p>
    <w:p w14:paraId="4877FFF5">
      <w:pPr>
        <w:pStyle w:val="10"/>
        <w:rPr>
          <w:rFonts w:hAnsi="宋体"/>
        </w:rPr>
      </w:pPr>
    </w:p>
    <w:p w14:paraId="4D3E7634">
      <w:pPr>
        <w:pStyle w:val="10"/>
        <w:rPr>
          <w:rFonts w:hAnsi="宋体"/>
        </w:rPr>
      </w:pPr>
    </w:p>
    <w:p w14:paraId="7932826E">
      <w:pPr>
        <w:pStyle w:val="10"/>
        <w:rPr>
          <w:rFonts w:hAnsi="宋体"/>
        </w:rPr>
      </w:pPr>
    </w:p>
    <w:p w14:paraId="0FBFBAA3">
      <w:pPr>
        <w:pStyle w:val="10"/>
        <w:rPr>
          <w:rFonts w:hAnsi="宋体"/>
        </w:rPr>
      </w:pPr>
    </w:p>
    <w:p w14:paraId="68D56D41">
      <w:pPr>
        <w:pStyle w:val="10"/>
        <w:rPr>
          <w:rFonts w:hAnsi="宋体"/>
        </w:rPr>
      </w:pPr>
    </w:p>
    <w:p w14:paraId="36504E65">
      <w:pPr>
        <w:pStyle w:val="10"/>
        <w:rPr>
          <w:rFonts w:hAnsi="宋体"/>
        </w:rPr>
      </w:pPr>
    </w:p>
    <w:p w14:paraId="12FA324F">
      <w:pPr>
        <w:spacing w:line="360" w:lineRule="auto"/>
        <w:jc w:val="center"/>
        <w:rPr>
          <w:rFonts w:hint="eastAsia" w:ascii="宋体" w:hAnsi="宋体" w:cs="宋体"/>
          <w:b/>
          <w:bCs/>
          <w:w w:val="95"/>
          <w:sz w:val="32"/>
          <w:lang w:eastAsia="zh-CN"/>
        </w:rPr>
      </w:pPr>
      <w:r>
        <w:rPr>
          <w:rFonts w:hint="eastAsia" w:ascii="宋体" w:hAnsi="宋体" w:cs="宋体"/>
          <w:b/>
          <w:bCs/>
          <w:w w:val="95"/>
          <w:sz w:val="32"/>
        </w:rPr>
        <w:t>采购人：</w:t>
      </w:r>
      <w:r>
        <w:rPr>
          <w:rFonts w:hint="eastAsia" w:ascii="宋体" w:hAnsi="宋体" w:cs="宋体"/>
          <w:b/>
          <w:bCs/>
          <w:w w:val="95"/>
          <w:sz w:val="32"/>
          <w:lang w:eastAsia="zh-CN"/>
        </w:rPr>
        <w:t>牟定县职业高级中学</w:t>
      </w:r>
    </w:p>
    <w:p w14:paraId="6240A89A">
      <w:pPr>
        <w:spacing w:line="360" w:lineRule="auto"/>
        <w:jc w:val="center"/>
        <w:rPr>
          <w:rFonts w:hint="eastAsia" w:ascii="宋体" w:hAnsi="宋体" w:cs="宋体"/>
          <w:b/>
          <w:bCs/>
          <w:w w:val="95"/>
          <w:sz w:val="32"/>
          <w:lang w:eastAsia="zh-CN"/>
        </w:rPr>
      </w:pPr>
    </w:p>
    <w:p w14:paraId="66EC8AF7">
      <w:pPr>
        <w:spacing w:line="360" w:lineRule="auto"/>
        <w:jc w:val="center"/>
        <w:rPr>
          <w:rFonts w:hint="eastAsia" w:ascii="宋体" w:hAnsi="宋体" w:eastAsia="宋体" w:cs="宋体"/>
          <w:b/>
          <w:bCs/>
          <w:w w:val="95"/>
          <w:sz w:val="32"/>
          <w:lang w:eastAsia="zh-CN"/>
        </w:rPr>
      </w:pPr>
      <w:r>
        <w:rPr>
          <w:rFonts w:hint="eastAsia" w:ascii="宋体" w:hAnsi="宋体" w:cs="宋体"/>
          <w:b/>
          <w:bCs/>
          <w:w w:val="95"/>
          <w:sz w:val="32"/>
        </w:rPr>
        <w:t>采购代理机构：</w:t>
      </w:r>
      <w:r>
        <w:rPr>
          <w:rFonts w:hint="eastAsia" w:ascii="宋体" w:hAnsi="宋体" w:cs="宋体"/>
          <w:b/>
          <w:bCs/>
          <w:w w:val="95"/>
          <w:sz w:val="32"/>
          <w:lang w:eastAsia="zh-CN"/>
        </w:rPr>
        <w:t>云南东臻工程项目管理有限公司</w:t>
      </w:r>
    </w:p>
    <w:p w14:paraId="3796E842">
      <w:pPr>
        <w:jc w:val="center"/>
        <w:rPr>
          <w:rFonts w:ascii="宋体" w:hAnsi="宋体" w:cs="宋体"/>
          <w:b/>
          <w:sz w:val="36"/>
        </w:rPr>
      </w:pPr>
      <w:r>
        <w:rPr>
          <w:rFonts w:hint="eastAsia" w:ascii="宋体" w:hAnsi="宋体" w:cs="宋体"/>
          <w:b/>
          <w:bCs/>
          <w:iCs/>
          <w:w w:val="95"/>
          <w:sz w:val="32"/>
        </w:rPr>
        <w:t>二○二</w:t>
      </w:r>
      <w:r>
        <w:rPr>
          <w:rFonts w:hint="eastAsia" w:ascii="宋体" w:hAnsi="宋体" w:cs="宋体"/>
          <w:b/>
          <w:bCs/>
          <w:iCs/>
          <w:w w:val="95"/>
          <w:sz w:val="32"/>
          <w:lang w:val="en-US" w:eastAsia="zh-CN"/>
        </w:rPr>
        <w:t>六</w:t>
      </w:r>
      <w:r>
        <w:rPr>
          <w:rFonts w:hint="eastAsia" w:ascii="宋体" w:hAnsi="宋体" w:cs="宋体"/>
          <w:b/>
          <w:bCs/>
          <w:iCs/>
          <w:w w:val="95"/>
          <w:sz w:val="32"/>
        </w:rPr>
        <w:t>年</w:t>
      </w:r>
      <w:r>
        <w:rPr>
          <w:rFonts w:hint="eastAsia" w:ascii="宋体" w:hAnsi="宋体" w:cs="宋体"/>
          <w:b/>
          <w:bCs/>
          <w:iCs/>
          <w:w w:val="95"/>
          <w:sz w:val="32"/>
          <w:lang w:val="en-US" w:eastAsia="zh-CN"/>
        </w:rPr>
        <w:t>六</w:t>
      </w:r>
      <w:r>
        <w:rPr>
          <w:rFonts w:hint="eastAsia" w:ascii="宋体" w:hAnsi="宋体" w:cs="宋体"/>
          <w:b/>
          <w:bCs/>
          <w:iCs/>
          <w:w w:val="95"/>
          <w:sz w:val="32"/>
        </w:rPr>
        <w:t>月</w:t>
      </w:r>
    </w:p>
    <w:p w14:paraId="1D381641">
      <w:pPr>
        <w:pStyle w:val="10"/>
        <w:spacing w:line="360" w:lineRule="auto"/>
        <w:jc w:val="center"/>
        <w:rPr>
          <w:rFonts w:hint="eastAsia" w:hAnsi="宋体" w:cs="宋体"/>
          <w:b/>
          <w:sz w:val="36"/>
          <w:szCs w:val="36"/>
        </w:rPr>
        <w:sectPr>
          <w:headerReference r:id="rId4" w:type="first"/>
          <w:headerReference r:id="rId3" w:type="default"/>
          <w:pgSz w:w="11906" w:h="16838"/>
          <w:pgMar w:top="1134" w:right="851" w:bottom="1304" w:left="1134" w:header="720" w:footer="720" w:gutter="0"/>
          <w:cols w:space="720" w:num="1"/>
          <w:docGrid w:type="linesAndChars" w:linePitch="331" w:charSpace="0"/>
        </w:sectPr>
      </w:pPr>
    </w:p>
    <w:p w14:paraId="4394F828">
      <w:pPr>
        <w:pStyle w:val="10"/>
        <w:spacing w:line="360" w:lineRule="auto"/>
        <w:jc w:val="center"/>
        <w:rPr>
          <w:rFonts w:hint="eastAsia" w:ascii="宋体" w:hAnsi="宋体" w:eastAsia="宋体" w:cs="宋体"/>
          <w:sz w:val="21"/>
          <w:szCs w:val="21"/>
        </w:rPr>
      </w:pPr>
      <w:r>
        <w:rPr>
          <w:rFonts w:hint="eastAsia" w:ascii="宋体" w:hAnsi="宋体" w:eastAsia="宋体" w:cs="宋体"/>
          <w:b/>
          <w:sz w:val="21"/>
          <w:szCs w:val="21"/>
        </w:rPr>
        <w:t>目  录</w:t>
      </w:r>
    </w:p>
    <w:p w14:paraId="5BA55FFB">
      <w:pPr>
        <w:pStyle w:val="13"/>
        <w:tabs>
          <w:tab w:val="right" w:leader="dot" w:pos="8306"/>
          <w:tab w:val="clear" w:pos="9628"/>
        </w:tabs>
        <w:rPr>
          <w:rFonts w:hint="eastAsia" w:ascii="宋体" w:hAnsi="宋体" w:cs="宋体"/>
          <w:sz w:val="21"/>
          <w:szCs w:val="21"/>
        </w:rPr>
      </w:pPr>
      <w:r>
        <w:rPr>
          <w:rFonts w:hint="eastAsia" w:ascii="宋体" w:hAnsi="宋体" w:eastAsia="宋体" w:cs="宋体"/>
          <w:b w:val="0"/>
          <w:caps w:val="0"/>
          <w:smallCaps/>
          <w:sz w:val="21"/>
          <w:szCs w:val="21"/>
        </w:rPr>
        <w:fldChar w:fldCharType="begin"/>
      </w:r>
      <w:r>
        <w:rPr>
          <w:rFonts w:hint="eastAsia" w:ascii="宋体" w:hAnsi="宋体" w:eastAsia="宋体" w:cs="宋体"/>
          <w:b w:val="0"/>
          <w:caps w:val="0"/>
          <w:smallCaps/>
          <w:sz w:val="21"/>
          <w:szCs w:val="21"/>
        </w:rPr>
        <w:instrText xml:space="preserve"> TOC \o "1-3" \h \z \u </w:instrText>
      </w:r>
      <w:r>
        <w:rPr>
          <w:rFonts w:hint="eastAsia" w:ascii="宋体" w:hAnsi="宋体" w:eastAsia="宋体" w:cs="宋体"/>
          <w:b w:val="0"/>
          <w:caps w:val="0"/>
          <w:smallCaps/>
          <w:sz w:val="21"/>
          <w:szCs w:val="21"/>
        </w:rPr>
        <w:fldChar w:fldCharType="separate"/>
      </w: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_Toc6868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第一章  招标公告</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_Toc6868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65A24938">
      <w:pPr>
        <w:pStyle w:val="14"/>
        <w:tabs>
          <w:tab w:val="right" w:leader="dot" w:pos="8306"/>
          <w:tab w:val="clear" w:pos="9628"/>
        </w:tabs>
        <w:rPr>
          <w:rFonts w:hint="eastAsia" w:ascii="宋体" w:hAnsi="宋体" w:eastAsia="宋体" w:cs="宋体"/>
          <w:bCs/>
          <w:caps/>
          <w:smallCaps/>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_Toc10717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一、项目基本情况</w:t>
      </w:r>
      <w:r>
        <w:rPr>
          <w:rFonts w:hint="eastAsia" w:ascii="宋体" w:hAnsi="宋体" w:eastAsia="宋体" w:cs="宋体"/>
          <w:bCs/>
          <w:caps/>
          <w:smallCaps/>
          <w:sz w:val="21"/>
          <w:szCs w:val="21"/>
        </w:rPr>
        <w:tab/>
      </w: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PAGEREF _Toc10717 \h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3</w:t>
      </w:r>
      <w:r>
        <w:rPr>
          <w:rFonts w:hint="eastAsia" w:ascii="宋体" w:hAnsi="宋体" w:eastAsia="宋体" w:cs="宋体"/>
          <w:bCs/>
          <w:caps/>
          <w:smallCaps/>
          <w:sz w:val="21"/>
          <w:szCs w:val="21"/>
        </w:rPr>
        <w:fldChar w:fldCharType="end"/>
      </w:r>
      <w:r>
        <w:rPr>
          <w:rFonts w:hint="eastAsia" w:ascii="宋体" w:hAnsi="宋体" w:eastAsia="宋体" w:cs="宋体"/>
          <w:bCs/>
          <w:caps/>
          <w:smallCaps/>
          <w:sz w:val="21"/>
          <w:szCs w:val="21"/>
        </w:rPr>
        <w:fldChar w:fldCharType="end"/>
      </w:r>
    </w:p>
    <w:p w14:paraId="76C9E589">
      <w:pPr>
        <w:pStyle w:val="14"/>
        <w:tabs>
          <w:tab w:val="right" w:leader="dot" w:pos="8306"/>
          <w:tab w:val="clear" w:pos="9628"/>
        </w:tabs>
        <w:rPr>
          <w:rFonts w:hint="eastAsia" w:ascii="宋体" w:hAnsi="宋体" w:eastAsia="宋体" w:cs="宋体"/>
          <w:bCs/>
          <w:caps/>
          <w:smallCaps/>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_Toc29446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二、投标人的资格要求</w:t>
      </w:r>
      <w:r>
        <w:rPr>
          <w:rFonts w:hint="eastAsia" w:ascii="宋体" w:hAnsi="宋体" w:eastAsia="宋体" w:cs="宋体"/>
          <w:bCs/>
          <w:caps/>
          <w:smallCaps/>
          <w:sz w:val="21"/>
          <w:szCs w:val="21"/>
        </w:rPr>
        <w:tab/>
      </w:r>
      <w:r>
        <w:rPr>
          <w:rFonts w:hint="eastAsia" w:ascii="宋体" w:hAnsi="宋体" w:eastAsia="宋体" w:cs="宋体"/>
          <w:bCs/>
          <w:caps/>
          <w:smallCaps/>
          <w:sz w:val="21"/>
          <w:szCs w:val="21"/>
          <w:lang w:val="en-US" w:eastAsia="zh-CN"/>
        </w:rPr>
        <w:t>4</w:t>
      </w:r>
      <w:r>
        <w:rPr>
          <w:rFonts w:hint="eastAsia" w:ascii="宋体" w:hAnsi="宋体" w:eastAsia="宋体" w:cs="宋体"/>
          <w:bCs/>
          <w:caps/>
          <w:smallCaps/>
          <w:sz w:val="21"/>
          <w:szCs w:val="21"/>
        </w:rPr>
        <w:fldChar w:fldCharType="end"/>
      </w:r>
    </w:p>
    <w:p w14:paraId="540EC131">
      <w:pPr>
        <w:pStyle w:val="14"/>
        <w:tabs>
          <w:tab w:val="right" w:leader="dot" w:pos="8306"/>
          <w:tab w:val="clear" w:pos="9628"/>
        </w:tabs>
        <w:rPr>
          <w:rFonts w:hint="eastAsia" w:ascii="宋体" w:hAnsi="宋体" w:eastAsia="宋体" w:cs="宋体"/>
          <w:bCs/>
          <w:caps/>
          <w:smallCaps/>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_Toc25552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三、获取招标文件</w:t>
      </w:r>
      <w:r>
        <w:rPr>
          <w:rFonts w:hint="eastAsia" w:ascii="宋体" w:hAnsi="宋体" w:eastAsia="宋体" w:cs="宋体"/>
          <w:bCs/>
          <w:caps/>
          <w:smallCaps/>
          <w:sz w:val="21"/>
          <w:szCs w:val="21"/>
        </w:rPr>
        <w:tab/>
      </w: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PAGEREF _Toc25552 \h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5</w:t>
      </w:r>
      <w:r>
        <w:rPr>
          <w:rFonts w:hint="eastAsia" w:ascii="宋体" w:hAnsi="宋体" w:eastAsia="宋体" w:cs="宋体"/>
          <w:bCs/>
          <w:caps/>
          <w:smallCaps/>
          <w:sz w:val="21"/>
          <w:szCs w:val="21"/>
        </w:rPr>
        <w:fldChar w:fldCharType="end"/>
      </w:r>
      <w:r>
        <w:rPr>
          <w:rFonts w:hint="eastAsia" w:ascii="宋体" w:hAnsi="宋体" w:eastAsia="宋体" w:cs="宋体"/>
          <w:bCs/>
          <w:caps/>
          <w:smallCaps/>
          <w:sz w:val="21"/>
          <w:szCs w:val="21"/>
        </w:rPr>
        <w:fldChar w:fldCharType="end"/>
      </w:r>
    </w:p>
    <w:p w14:paraId="66C27B4B">
      <w:pPr>
        <w:pStyle w:val="14"/>
        <w:tabs>
          <w:tab w:val="right" w:leader="dot" w:pos="8306"/>
          <w:tab w:val="clear" w:pos="9628"/>
        </w:tabs>
        <w:rPr>
          <w:rFonts w:hint="eastAsia" w:ascii="宋体" w:hAnsi="宋体" w:eastAsia="宋体" w:cs="宋体"/>
          <w:bCs/>
          <w:caps/>
          <w:smallCaps/>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_Toc6165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四、投标文件提交截止时间、开标时间和地点</w:t>
      </w:r>
      <w:r>
        <w:rPr>
          <w:rFonts w:hint="eastAsia" w:ascii="宋体" w:hAnsi="宋体" w:eastAsia="宋体" w:cs="宋体"/>
          <w:bCs/>
          <w:caps/>
          <w:smallCaps/>
          <w:sz w:val="21"/>
          <w:szCs w:val="21"/>
        </w:rPr>
        <w:tab/>
      </w: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PAGEREF _Toc6165 \h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5</w:t>
      </w:r>
      <w:r>
        <w:rPr>
          <w:rFonts w:hint="eastAsia" w:ascii="宋体" w:hAnsi="宋体" w:eastAsia="宋体" w:cs="宋体"/>
          <w:bCs/>
          <w:caps/>
          <w:smallCaps/>
          <w:sz w:val="21"/>
          <w:szCs w:val="21"/>
        </w:rPr>
        <w:fldChar w:fldCharType="end"/>
      </w:r>
      <w:r>
        <w:rPr>
          <w:rFonts w:hint="eastAsia" w:ascii="宋体" w:hAnsi="宋体" w:eastAsia="宋体" w:cs="宋体"/>
          <w:bCs/>
          <w:caps/>
          <w:smallCaps/>
          <w:sz w:val="21"/>
          <w:szCs w:val="21"/>
        </w:rPr>
        <w:fldChar w:fldCharType="end"/>
      </w:r>
    </w:p>
    <w:p w14:paraId="6064953D">
      <w:pPr>
        <w:pStyle w:val="14"/>
        <w:tabs>
          <w:tab w:val="right" w:leader="dot" w:pos="8306"/>
          <w:tab w:val="clear" w:pos="9628"/>
        </w:tabs>
        <w:rPr>
          <w:rFonts w:hint="eastAsia" w:ascii="宋体" w:hAnsi="宋体" w:eastAsia="宋体" w:cs="宋体"/>
          <w:bCs/>
          <w:caps/>
          <w:smallCaps/>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_Toc25866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五、公告期限</w:t>
      </w:r>
      <w:r>
        <w:rPr>
          <w:rFonts w:hint="eastAsia" w:ascii="宋体" w:hAnsi="宋体" w:eastAsia="宋体" w:cs="宋体"/>
          <w:bCs/>
          <w:caps/>
          <w:smallCaps/>
          <w:sz w:val="21"/>
          <w:szCs w:val="21"/>
        </w:rPr>
        <w:tab/>
      </w: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PAGEREF _Toc25866 \h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5</w:t>
      </w:r>
      <w:r>
        <w:rPr>
          <w:rFonts w:hint="eastAsia" w:ascii="宋体" w:hAnsi="宋体" w:eastAsia="宋体" w:cs="宋体"/>
          <w:bCs/>
          <w:caps/>
          <w:smallCaps/>
          <w:sz w:val="21"/>
          <w:szCs w:val="21"/>
        </w:rPr>
        <w:fldChar w:fldCharType="end"/>
      </w:r>
      <w:r>
        <w:rPr>
          <w:rFonts w:hint="eastAsia" w:ascii="宋体" w:hAnsi="宋体" w:eastAsia="宋体" w:cs="宋体"/>
          <w:bCs/>
          <w:caps/>
          <w:smallCaps/>
          <w:sz w:val="21"/>
          <w:szCs w:val="21"/>
        </w:rPr>
        <w:fldChar w:fldCharType="end"/>
      </w:r>
    </w:p>
    <w:p w14:paraId="60B69CFB">
      <w:pPr>
        <w:pStyle w:val="14"/>
        <w:tabs>
          <w:tab w:val="right" w:leader="dot" w:pos="8306"/>
          <w:tab w:val="clear" w:pos="9628"/>
        </w:tabs>
        <w:rPr>
          <w:rFonts w:hint="eastAsia" w:ascii="宋体" w:hAnsi="宋体" w:eastAsia="宋体" w:cs="宋体"/>
          <w:bCs/>
          <w:caps/>
          <w:smallCaps/>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_Toc1996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六、其他补充事宜</w:t>
      </w:r>
      <w:r>
        <w:rPr>
          <w:rFonts w:hint="eastAsia" w:ascii="宋体" w:hAnsi="宋体" w:eastAsia="宋体" w:cs="宋体"/>
          <w:bCs/>
          <w:caps/>
          <w:smallCaps/>
          <w:sz w:val="21"/>
          <w:szCs w:val="21"/>
        </w:rPr>
        <w:tab/>
      </w: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PAGEREF _Toc1996 \h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6</w:t>
      </w:r>
      <w:r>
        <w:rPr>
          <w:rFonts w:hint="eastAsia" w:ascii="宋体" w:hAnsi="宋体" w:eastAsia="宋体" w:cs="宋体"/>
          <w:bCs/>
          <w:caps/>
          <w:smallCaps/>
          <w:sz w:val="21"/>
          <w:szCs w:val="21"/>
        </w:rPr>
        <w:fldChar w:fldCharType="end"/>
      </w:r>
      <w:r>
        <w:rPr>
          <w:rFonts w:hint="eastAsia" w:ascii="宋体" w:hAnsi="宋体" w:eastAsia="宋体" w:cs="宋体"/>
          <w:bCs/>
          <w:caps/>
          <w:smallCaps/>
          <w:sz w:val="21"/>
          <w:szCs w:val="21"/>
        </w:rPr>
        <w:fldChar w:fldCharType="end"/>
      </w:r>
    </w:p>
    <w:p w14:paraId="64DA8445">
      <w:pPr>
        <w:pStyle w:val="14"/>
        <w:tabs>
          <w:tab w:val="right" w:leader="dot" w:pos="8306"/>
          <w:tab w:val="clear" w:pos="9628"/>
        </w:tabs>
        <w:rPr>
          <w:rFonts w:hint="eastAsia" w:ascii="宋体" w:hAnsi="宋体" w:eastAsia="宋体" w:cs="宋体"/>
          <w:bCs/>
          <w:caps/>
          <w:smallCaps/>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_Toc28115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七、对本次招标提出询问，请按以下方式联系。</w:t>
      </w:r>
      <w:r>
        <w:rPr>
          <w:rFonts w:hint="eastAsia" w:ascii="宋体" w:hAnsi="宋体" w:eastAsia="宋体" w:cs="宋体"/>
          <w:bCs/>
          <w:caps/>
          <w:smallCaps/>
          <w:sz w:val="21"/>
          <w:szCs w:val="21"/>
        </w:rPr>
        <w:tab/>
      </w: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PAGEREF _Toc28115 \h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6</w:t>
      </w:r>
      <w:r>
        <w:rPr>
          <w:rFonts w:hint="eastAsia" w:ascii="宋体" w:hAnsi="宋体" w:eastAsia="宋体" w:cs="宋体"/>
          <w:bCs/>
          <w:caps/>
          <w:smallCaps/>
          <w:sz w:val="21"/>
          <w:szCs w:val="21"/>
        </w:rPr>
        <w:fldChar w:fldCharType="end"/>
      </w:r>
      <w:r>
        <w:rPr>
          <w:rFonts w:hint="eastAsia" w:ascii="宋体" w:hAnsi="宋体" w:eastAsia="宋体" w:cs="宋体"/>
          <w:bCs/>
          <w:caps/>
          <w:smallCaps/>
          <w:sz w:val="21"/>
          <w:szCs w:val="21"/>
        </w:rPr>
        <w:fldChar w:fldCharType="end"/>
      </w:r>
    </w:p>
    <w:p w14:paraId="6A96905C">
      <w:pPr>
        <w:pStyle w:val="14"/>
        <w:tabs>
          <w:tab w:val="right" w:leader="dot" w:pos="8306"/>
          <w:tab w:val="clear" w:pos="9628"/>
        </w:tabs>
        <w:rPr>
          <w:rFonts w:hint="eastAsia" w:ascii="宋体" w:hAnsi="宋体" w:eastAsia="宋体" w:cs="宋体"/>
          <w:bCs/>
          <w:caps/>
          <w:smallCaps/>
          <w:sz w:val="21"/>
          <w:szCs w:val="21"/>
        </w:rPr>
      </w:pPr>
    </w:p>
    <w:p w14:paraId="2FE38764">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_Toc16427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第二章  投标人须知</w:t>
      </w:r>
      <w:r>
        <w:rPr>
          <w:rFonts w:hint="eastAsia" w:ascii="宋体" w:hAnsi="宋体" w:eastAsia="宋体" w:cs="宋体"/>
          <w:bCs/>
          <w:caps/>
          <w:smallCaps/>
          <w:sz w:val="21"/>
          <w:szCs w:val="21"/>
        </w:rPr>
        <w:tab/>
      </w: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PAGEREF _Toc16427 \h </w:instrText>
      </w:r>
      <w:r>
        <w:rPr>
          <w:rFonts w:hint="eastAsia" w:ascii="宋体" w:hAnsi="宋体" w:eastAsia="宋体" w:cs="宋体"/>
          <w:bCs/>
          <w:caps/>
          <w:smallCaps/>
          <w:sz w:val="21"/>
          <w:szCs w:val="21"/>
        </w:rPr>
        <w:fldChar w:fldCharType="separate"/>
      </w:r>
      <w:r>
        <w:rPr>
          <w:rFonts w:hint="eastAsia" w:ascii="宋体" w:hAnsi="宋体" w:eastAsia="宋体" w:cs="宋体"/>
          <w:bCs/>
          <w:caps/>
          <w:smallCaps/>
          <w:sz w:val="21"/>
          <w:szCs w:val="21"/>
        </w:rPr>
        <w:t>7</w:t>
      </w:r>
      <w:r>
        <w:rPr>
          <w:rFonts w:hint="eastAsia" w:ascii="宋体" w:hAnsi="宋体" w:eastAsia="宋体" w:cs="宋体"/>
          <w:bCs/>
          <w:caps/>
          <w:smallCaps/>
          <w:sz w:val="21"/>
          <w:szCs w:val="21"/>
        </w:rPr>
        <w:fldChar w:fldCharType="end"/>
      </w:r>
      <w:r>
        <w:rPr>
          <w:rFonts w:hint="eastAsia" w:ascii="宋体" w:hAnsi="宋体" w:eastAsia="宋体" w:cs="宋体"/>
          <w:bCs/>
          <w:caps/>
          <w:smallCaps/>
          <w:sz w:val="21"/>
          <w:szCs w:val="21"/>
        </w:rPr>
        <w:fldChar w:fldCharType="end"/>
      </w:r>
    </w:p>
    <w:p w14:paraId="4D022A4A">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_Toc9137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投标人须知前附表</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_Toc9137 \h </w:instrText>
      </w:r>
      <w:r>
        <w:rPr>
          <w:rFonts w:hint="eastAsia" w:ascii="宋体" w:hAnsi="宋体" w:cs="宋体"/>
          <w:sz w:val="21"/>
          <w:szCs w:val="21"/>
        </w:rPr>
        <w:fldChar w:fldCharType="separate"/>
      </w:r>
      <w:r>
        <w:rPr>
          <w:rFonts w:hint="eastAsia" w:ascii="宋体" w:hAnsi="宋体" w:cs="宋体"/>
          <w:sz w:val="21"/>
          <w:szCs w:val="21"/>
        </w:rPr>
        <w:t>7</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68C019C9">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_Toc28924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一、总则</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_Toc28924 \h </w:instrText>
      </w:r>
      <w:r>
        <w:rPr>
          <w:rFonts w:hint="eastAsia" w:ascii="宋体" w:hAnsi="宋体" w:cs="宋体"/>
          <w:sz w:val="21"/>
          <w:szCs w:val="21"/>
        </w:rPr>
        <w:fldChar w:fldCharType="separate"/>
      </w:r>
      <w:r>
        <w:rPr>
          <w:rFonts w:hint="eastAsia" w:ascii="宋体" w:hAnsi="宋体" w:cs="宋体"/>
          <w:sz w:val="21"/>
          <w:szCs w:val="21"/>
        </w:rPr>
        <w:t>15</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687486CF">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_Toc25908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二、招标文件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_Toc25908 \h </w:instrText>
      </w:r>
      <w:r>
        <w:rPr>
          <w:rFonts w:hint="eastAsia" w:ascii="宋体" w:hAnsi="宋体" w:cs="宋体"/>
          <w:sz w:val="21"/>
          <w:szCs w:val="21"/>
        </w:rPr>
        <w:fldChar w:fldCharType="separate"/>
      </w:r>
      <w:r>
        <w:rPr>
          <w:rFonts w:hint="eastAsia" w:ascii="宋体" w:hAnsi="宋体" w:cs="宋体"/>
          <w:sz w:val="21"/>
          <w:szCs w:val="21"/>
        </w:rPr>
        <w:t>17</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2B9F1991">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_Toc26931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三、投标文件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_Toc26931 \h </w:instrText>
      </w:r>
      <w:r>
        <w:rPr>
          <w:rFonts w:hint="eastAsia" w:ascii="宋体" w:hAnsi="宋体" w:cs="宋体"/>
          <w:sz w:val="21"/>
          <w:szCs w:val="21"/>
        </w:rPr>
        <w:fldChar w:fldCharType="separate"/>
      </w:r>
      <w:r>
        <w:rPr>
          <w:rFonts w:hint="eastAsia" w:ascii="宋体" w:hAnsi="宋体" w:cs="宋体"/>
          <w:sz w:val="21"/>
          <w:szCs w:val="21"/>
        </w:rPr>
        <w:t>18</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35DDE9FC">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_Toc7283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四、投标文件的提交</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_Toc7283 \h </w:instrText>
      </w:r>
      <w:r>
        <w:rPr>
          <w:rFonts w:hint="eastAsia" w:ascii="宋体" w:hAnsi="宋体" w:cs="宋体"/>
          <w:sz w:val="21"/>
          <w:szCs w:val="21"/>
        </w:rPr>
        <w:fldChar w:fldCharType="separate"/>
      </w:r>
      <w:r>
        <w:rPr>
          <w:rFonts w:hint="eastAsia" w:ascii="宋体" w:hAnsi="宋体" w:cs="宋体"/>
          <w:sz w:val="21"/>
          <w:szCs w:val="21"/>
        </w:rPr>
        <w:t>21</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608418B0">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_Toc24940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五、开标与评标</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_Toc24940 \h </w:instrText>
      </w:r>
      <w:r>
        <w:rPr>
          <w:rFonts w:hint="eastAsia" w:ascii="宋体" w:hAnsi="宋体" w:cs="宋体"/>
          <w:sz w:val="21"/>
          <w:szCs w:val="21"/>
        </w:rPr>
        <w:fldChar w:fldCharType="separate"/>
      </w:r>
      <w:r>
        <w:rPr>
          <w:rFonts w:hint="eastAsia" w:ascii="宋体" w:hAnsi="宋体" w:cs="宋体"/>
          <w:sz w:val="21"/>
          <w:szCs w:val="21"/>
        </w:rPr>
        <w:t>21</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79D9C7B2">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_Toc24833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六、中标结果</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_Toc24833 \h </w:instrText>
      </w:r>
      <w:r>
        <w:rPr>
          <w:rFonts w:hint="eastAsia" w:ascii="宋体" w:hAnsi="宋体" w:cs="宋体"/>
          <w:sz w:val="21"/>
          <w:szCs w:val="21"/>
        </w:rPr>
        <w:fldChar w:fldCharType="separate"/>
      </w:r>
      <w:r>
        <w:rPr>
          <w:rFonts w:hint="eastAsia" w:ascii="宋体" w:hAnsi="宋体" w:cs="宋体"/>
          <w:sz w:val="21"/>
          <w:szCs w:val="21"/>
        </w:rPr>
        <w:t>22</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555A650B">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_Toc30388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七、其他事项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_Toc30388 \h </w:instrText>
      </w:r>
      <w:r>
        <w:rPr>
          <w:rFonts w:hint="eastAsia" w:ascii="宋体" w:hAnsi="宋体" w:cs="宋体"/>
          <w:sz w:val="21"/>
          <w:szCs w:val="21"/>
        </w:rPr>
        <w:fldChar w:fldCharType="separate"/>
      </w:r>
      <w:r>
        <w:rPr>
          <w:rFonts w:hint="eastAsia" w:ascii="宋体" w:hAnsi="宋体" w:cs="宋体"/>
          <w:sz w:val="21"/>
          <w:szCs w:val="21"/>
        </w:rPr>
        <w:t>23</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6185B78E">
      <w:pPr>
        <w:pStyle w:val="13"/>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_Toc14452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第三章  合同书样式及主要条款</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_Toc14452 \h </w:instrText>
      </w:r>
      <w:r>
        <w:rPr>
          <w:rFonts w:hint="eastAsia" w:ascii="宋体" w:hAnsi="宋体" w:cs="宋体"/>
          <w:sz w:val="21"/>
          <w:szCs w:val="21"/>
        </w:rPr>
        <w:fldChar w:fldCharType="separate"/>
      </w:r>
      <w:r>
        <w:rPr>
          <w:rFonts w:hint="eastAsia" w:ascii="宋体" w:hAnsi="宋体" w:cs="宋体"/>
          <w:sz w:val="21"/>
          <w:szCs w:val="21"/>
        </w:rPr>
        <w:t>25</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21110621">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_Toc27163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lang w:val="en-US" w:eastAsia="zh-CN"/>
        </w:rPr>
        <w:t>1、</w:t>
      </w:r>
      <w:r>
        <w:rPr>
          <w:rFonts w:hint="eastAsia" w:ascii="宋体" w:hAnsi="宋体" w:eastAsia="宋体" w:cs="宋体"/>
          <w:sz w:val="21"/>
          <w:szCs w:val="21"/>
        </w:rPr>
        <w:t>合同条款前附表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_Toc27163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23680395">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_Toc12840 </w:instrText>
      </w:r>
      <w:r>
        <w:rPr>
          <w:rFonts w:hint="eastAsia" w:ascii="宋体" w:hAnsi="宋体" w:eastAsia="宋体" w:cs="宋体"/>
          <w:bCs/>
          <w:caps/>
          <w:smallCaps/>
          <w:sz w:val="21"/>
          <w:szCs w:val="21"/>
        </w:rPr>
        <w:fldChar w:fldCharType="separate"/>
      </w:r>
      <w:r>
        <w:rPr>
          <w:rFonts w:hint="eastAsia" w:ascii="宋体" w:hAnsi="宋体" w:eastAsia="宋体" w:cs="宋体"/>
          <w:kern w:val="0"/>
          <w:sz w:val="21"/>
          <w:szCs w:val="21"/>
          <w:lang w:val="en-US" w:eastAsia="zh-CN"/>
        </w:rPr>
        <w:t>2、</w:t>
      </w:r>
      <w:r>
        <w:rPr>
          <w:rFonts w:hint="eastAsia" w:ascii="宋体" w:hAnsi="宋体" w:eastAsia="宋体" w:cs="宋体"/>
          <w:sz w:val="21"/>
          <w:szCs w:val="21"/>
          <w:highlight w:val="none"/>
        </w:rPr>
        <w:t>合同格式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_Toc12840 \h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199788C8">
      <w:pPr>
        <w:pStyle w:val="13"/>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_Toc15851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第四章  投标文件格式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_Toc15851 \h </w:instrText>
      </w:r>
      <w:r>
        <w:rPr>
          <w:rFonts w:hint="eastAsia" w:ascii="宋体" w:hAnsi="宋体" w:cs="宋体"/>
          <w:sz w:val="21"/>
          <w:szCs w:val="21"/>
        </w:rPr>
        <w:fldChar w:fldCharType="separate"/>
      </w:r>
      <w:r>
        <w:rPr>
          <w:rFonts w:hint="eastAsia" w:ascii="宋体" w:hAnsi="宋体" w:cs="宋体"/>
          <w:sz w:val="21"/>
          <w:szCs w:val="21"/>
        </w:rPr>
        <w:t>32</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5F1D787E">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_Toc15891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一、资格审查格式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_Toc15891 \h </w:instrText>
      </w:r>
      <w:r>
        <w:rPr>
          <w:rFonts w:hint="eastAsia" w:ascii="宋体" w:hAnsi="宋体" w:cs="宋体"/>
          <w:sz w:val="21"/>
          <w:szCs w:val="21"/>
        </w:rPr>
        <w:fldChar w:fldCharType="separate"/>
      </w:r>
      <w:r>
        <w:rPr>
          <w:rFonts w:hint="eastAsia" w:ascii="宋体" w:hAnsi="宋体" w:cs="宋体"/>
          <w:sz w:val="21"/>
          <w:szCs w:val="21"/>
        </w:rPr>
        <w:t>33</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3EF62C29">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_Toc9652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格式1</w:t>
      </w:r>
      <w:r>
        <w:rPr>
          <w:rFonts w:hint="eastAsia" w:ascii="宋体" w:hAnsi="宋体" w:eastAsia="宋体" w:cs="宋体"/>
          <w:sz w:val="21"/>
          <w:szCs w:val="21"/>
          <w:lang w:val="en-US" w:eastAsia="zh-CN"/>
        </w:rPr>
        <w:t xml:space="preserve"> </w:t>
      </w:r>
      <w:r>
        <w:rPr>
          <w:rFonts w:hint="eastAsia" w:ascii="宋体" w:hAnsi="宋体" w:eastAsia="宋体" w:cs="宋体"/>
          <w:kern w:val="0"/>
          <w:sz w:val="21"/>
          <w:szCs w:val="21"/>
        </w:rPr>
        <w:t>投标人基本信息表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_Toc9652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7125F7E7">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_Toc32562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具有良好的商业信誉和健全的财务会计制度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_Toc32562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49AC5C5E">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_Toc10117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具有履行合同所必需的设备和专业技术能力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_Toc10117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54E9E91A">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_Toc7764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有依法缴纳税收和社会保障资金的良好记录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_Toc7764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3D145A61">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_Toc2127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参加政府采购活动前三年内在经营活动中没有重大违法记录的书面声明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_Toc2127 \h </w:instrText>
      </w:r>
      <w:r>
        <w:rPr>
          <w:rFonts w:hint="eastAsia" w:ascii="宋体" w:hAnsi="宋体" w:eastAsia="宋体" w:cs="宋体"/>
          <w:sz w:val="21"/>
          <w:szCs w:val="21"/>
        </w:rPr>
        <w:fldChar w:fldCharType="separate"/>
      </w:r>
      <w:r>
        <w:rPr>
          <w:rFonts w:hint="eastAsia" w:ascii="宋体" w:hAnsi="宋体" w:eastAsia="宋体" w:cs="宋体"/>
          <w:sz w:val="21"/>
          <w:szCs w:val="21"/>
        </w:rPr>
        <w:t>37</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769D4C6D">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_Toc10316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其他资格证明文件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_Toc10316 \h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384EB063">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_Toc6891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格式7</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法定代表人身份证明书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_Toc6891 \h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42B6BBE5">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_Toc5049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格式8</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_Toc5049 \h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2B985115">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_Toc7680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二、技术</w:t>
      </w:r>
      <w:r>
        <w:rPr>
          <w:rFonts w:hint="eastAsia" w:ascii="宋体" w:hAnsi="宋体" w:eastAsia="宋体" w:cs="宋体"/>
          <w:sz w:val="21"/>
          <w:szCs w:val="21"/>
          <w:lang w:val="en-US" w:eastAsia="zh-CN"/>
        </w:rPr>
        <w:t>部分</w:t>
      </w:r>
      <w:r>
        <w:rPr>
          <w:rFonts w:hint="eastAsia" w:ascii="宋体" w:hAnsi="宋体" w:eastAsia="宋体" w:cs="宋体"/>
          <w:sz w:val="21"/>
          <w:szCs w:val="21"/>
        </w:rPr>
        <w:t>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_Toc7680 \h </w:instrText>
      </w:r>
      <w:r>
        <w:rPr>
          <w:rFonts w:hint="eastAsia" w:ascii="宋体" w:hAnsi="宋体" w:cs="宋体"/>
          <w:sz w:val="21"/>
          <w:szCs w:val="21"/>
        </w:rPr>
        <w:fldChar w:fldCharType="separate"/>
      </w:r>
      <w:r>
        <w:rPr>
          <w:rFonts w:hint="eastAsia" w:ascii="宋体" w:hAnsi="宋体" w:cs="宋体"/>
          <w:sz w:val="21"/>
          <w:szCs w:val="21"/>
        </w:rPr>
        <w:t>41</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5F625CDC">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_Toc11526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格式1</w:t>
      </w:r>
      <w:r>
        <w:rPr>
          <w:rFonts w:hint="eastAsia" w:ascii="宋体" w:hAnsi="宋体" w:eastAsia="宋体" w:cs="宋体"/>
          <w:sz w:val="21"/>
          <w:szCs w:val="21"/>
          <w:lang w:val="en-US" w:eastAsia="zh-CN"/>
        </w:rPr>
        <w:t xml:space="preserve">  </w:t>
      </w:r>
      <w:r>
        <w:rPr>
          <w:rFonts w:hint="eastAsia" w:ascii="宋体" w:hAnsi="宋体" w:eastAsia="宋体" w:cs="宋体"/>
          <w:bCs/>
          <w:kern w:val="0"/>
          <w:sz w:val="21"/>
          <w:szCs w:val="21"/>
          <w:highlight w:val="none"/>
        </w:rPr>
        <w:t>项目实施方案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_Toc11526 \h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2FC42935">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_Toc4758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格式2</w:t>
      </w:r>
      <w:r>
        <w:rPr>
          <w:rFonts w:hint="eastAsia" w:ascii="宋体" w:hAnsi="宋体" w:eastAsia="宋体" w:cs="宋体"/>
          <w:sz w:val="21"/>
          <w:szCs w:val="21"/>
          <w:lang w:val="en-US" w:eastAsia="zh-CN"/>
        </w:rPr>
        <w:t xml:space="preserve"> </w:t>
      </w:r>
      <w:r>
        <w:rPr>
          <w:rFonts w:hint="eastAsia" w:ascii="宋体" w:hAnsi="宋体" w:eastAsia="宋体" w:cs="宋体"/>
          <w:bCs/>
          <w:kern w:val="0"/>
          <w:sz w:val="21"/>
          <w:szCs w:val="21"/>
          <w:highlight w:val="none"/>
        </w:rPr>
        <w:t>质量保证措施及违约责任承诺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_Toc4758 \h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05557B64">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_Toc5482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highlight w:val="none"/>
        </w:rPr>
        <w:t>技术指标偏离表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_Toc5482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06C9FC34">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_Toc28691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highlight w:val="none"/>
        </w:rPr>
        <w:t>投标质量保证书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_Toc28691 \h </w:instrText>
      </w:r>
      <w:r>
        <w:rPr>
          <w:rFonts w:hint="eastAsia" w:ascii="宋体" w:hAnsi="宋体" w:eastAsia="宋体" w:cs="宋体"/>
          <w:sz w:val="21"/>
          <w:szCs w:val="21"/>
        </w:rPr>
        <w:fldChar w:fldCharType="separate"/>
      </w:r>
      <w:r>
        <w:rPr>
          <w:rFonts w:hint="eastAsia" w:ascii="宋体" w:hAnsi="宋体" w:eastAsia="宋体" w:cs="宋体"/>
          <w:sz w:val="21"/>
          <w:szCs w:val="21"/>
        </w:rPr>
        <w:t>44</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31A91EED">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_Toc32154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highlight w:val="none"/>
        </w:rPr>
        <w:t>技术部分其它资料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_Toc32154 \h </w:instrText>
      </w:r>
      <w:r>
        <w:rPr>
          <w:rFonts w:hint="eastAsia" w:ascii="宋体" w:hAnsi="宋体" w:eastAsia="宋体" w:cs="宋体"/>
          <w:sz w:val="21"/>
          <w:szCs w:val="21"/>
        </w:rPr>
        <w:fldChar w:fldCharType="separate"/>
      </w:r>
      <w:r>
        <w:rPr>
          <w:rFonts w:hint="eastAsia" w:ascii="宋体" w:hAnsi="宋体" w:eastAsia="宋体" w:cs="宋体"/>
          <w:sz w:val="21"/>
          <w:szCs w:val="21"/>
        </w:rPr>
        <w:t>45</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1F9673F2">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_Toc26544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三、商务</w:t>
      </w:r>
      <w:r>
        <w:rPr>
          <w:rFonts w:hint="eastAsia" w:ascii="宋体" w:hAnsi="宋体" w:eastAsia="宋体" w:cs="宋体"/>
          <w:sz w:val="21"/>
          <w:szCs w:val="21"/>
          <w:lang w:val="en-US" w:eastAsia="zh-CN"/>
        </w:rPr>
        <w:t>部分</w:t>
      </w:r>
      <w:r>
        <w:rPr>
          <w:rFonts w:hint="eastAsia" w:ascii="宋体" w:hAnsi="宋体" w:eastAsia="宋体" w:cs="宋体"/>
          <w:sz w:val="21"/>
          <w:szCs w:val="21"/>
        </w:rPr>
        <w:t>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_Toc26544 \h </w:instrText>
      </w:r>
      <w:r>
        <w:rPr>
          <w:rFonts w:hint="eastAsia" w:ascii="宋体" w:hAnsi="宋体" w:cs="宋体"/>
          <w:sz w:val="21"/>
          <w:szCs w:val="21"/>
        </w:rPr>
        <w:fldChar w:fldCharType="separate"/>
      </w:r>
      <w:r>
        <w:rPr>
          <w:rFonts w:hint="eastAsia" w:ascii="宋体" w:hAnsi="宋体" w:cs="宋体"/>
          <w:sz w:val="21"/>
          <w:szCs w:val="21"/>
        </w:rPr>
        <w:t>46</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3F95B223">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_Toc28632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投标函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_Toc28632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04CF75CE">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_Toc18644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highlight w:val="none"/>
        </w:rPr>
        <w:t>开标一览表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_Toc18644 \h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7040B307">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_Toc23413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w:t>
      </w:r>
      <w:r>
        <w:rPr>
          <w:rFonts w:hint="eastAsia" w:ascii="宋体" w:hAnsi="宋体" w:eastAsia="宋体" w:cs="宋体"/>
          <w:sz w:val="21"/>
          <w:szCs w:val="21"/>
          <w:lang w:val="en-US" w:eastAsia="zh-CN"/>
        </w:rPr>
        <w:t xml:space="preserve">3 </w:t>
      </w:r>
      <w:r>
        <w:rPr>
          <w:rFonts w:hint="eastAsia" w:ascii="宋体" w:hAnsi="宋体" w:eastAsia="宋体" w:cs="宋体"/>
          <w:bCs/>
          <w:sz w:val="21"/>
          <w:szCs w:val="21"/>
          <w:highlight w:val="none"/>
        </w:rPr>
        <w:t>投标报价汇总表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_Toc23413 \h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5FA12E15">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_Toc13572 </w:instrText>
      </w:r>
      <w:r>
        <w:rPr>
          <w:rFonts w:hint="eastAsia" w:ascii="宋体" w:hAnsi="宋体" w:eastAsia="宋体" w:cs="宋体"/>
          <w:bCs/>
          <w:caps/>
          <w:smallCaps/>
          <w:sz w:val="21"/>
          <w:szCs w:val="21"/>
        </w:rPr>
        <w:fldChar w:fldCharType="separate"/>
      </w:r>
      <w:r>
        <w:rPr>
          <w:rFonts w:hint="eastAsia" w:ascii="宋体" w:hAnsi="宋体" w:eastAsia="宋体" w:cs="宋体"/>
          <w:bCs w:val="0"/>
          <w:sz w:val="21"/>
          <w:szCs w:val="21"/>
        </w:rPr>
        <w:t>格式</w:t>
      </w:r>
      <w:r>
        <w:rPr>
          <w:rFonts w:hint="eastAsia" w:ascii="宋体" w:hAnsi="宋体" w:eastAsia="宋体" w:cs="宋体"/>
          <w:bCs w:val="0"/>
          <w:sz w:val="21"/>
          <w:szCs w:val="21"/>
          <w:lang w:val="en-US" w:eastAsia="zh-CN"/>
        </w:rPr>
        <w:t xml:space="preserve">4  </w:t>
      </w:r>
      <w:r>
        <w:rPr>
          <w:rFonts w:hint="eastAsia" w:ascii="宋体" w:hAnsi="宋体" w:eastAsia="宋体" w:cs="宋体"/>
          <w:bCs w:val="0"/>
          <w:sz w:val="21"/>
          <w:szCs w:val="21"/>
          <w:highlight w:val="none"/>
        </w:rPr>
        <w:t>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_Toc13572 \h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362E5771">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_Toc30068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w:t>
      </w:r>
      <w:r>
        <w:rPr>
          <w:rFonts w:hint="eastAsia" w:ascii="宋体" w:hAnsi="宋体" w:eastAsia="宋体" w:cs="宋体"/>
          <w:sz w:val="21"/>
          <w:szCs w:val="21"/>
          <w:lang w:val="en-US" w:eastAsia="zh-CN"/>
        </w:rPr>
        <w:t xml:space="preserve">5  </w:t>
      </w:r>
      <w:r>
        <w:rPr>
          <w:rFonts w:hint="eastAsia" w:ascii="宋体" w:hAnsi="宋体" w:eastAsia="宋体" w:cs="宋体"/>
          <w:sz w:val="21"/>
          <w:szCs w:val="21"/>
          <w:highlight w:val="none"/>
        </w:rPr>
        <w:t>投标人廉政承诺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_Toc30068 \h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5C9A15A4">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_Toc2178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w:t>
      </w:r>
      <w:r>
        <w:rPr>
          <w:rFonts w:hint="eastAsia" w:ascii="宋体" w:hAnsi="宋体" w:eastAsia="宋体" w:cs="宋体"/>
          <w:sz w:val="21"/>
          <w:szCs w:val="21"/>
          <w:lang w:val="en-US" w:eastAsia="zh-CN"/>
        </w:rPr>
        <w:t xml:space="preserve">6  </w:t>
      </w:r>
      <w:r>
        <w:rPr>
          <w:rFonts w:hint="eastAsia" w:ascii="宋体" w:hAnsi="宋体" w:eastAsia="宋体" w:cs="宋体"/>
          <w:sz w:val="21"/>
          <w:szCs w:val="21"/>
          <w:highlight w:val="none"/>
        </w:rPr>
        <w:t>保密承诺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_Toc2178 \h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6298742A">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_Toc24364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w:t>
      </w:r>
      <w:r>
        <w:rPr>
          <w:rFonts w:hint="eastAsia" w:ascii="宋体" w:hAnsi="宋体" w:eastAsia="宋体" w:cs="宋体"/>
          <w:sz w:val="21"/>
          <w:szCs w:val="21"/>
          <w:lang w:val="en-US" w:eastAsia="zh-CN"/>
        </w:rPr>
        <w:t xml:space="preserve">7 </w:t>
      </w:r>
      <w:r>
        <w:rPr>
          <w:rFonts w:hint="eastAsia" w:ascii="宋体" w:hAnsi="宋体" w:eastAsia="宋体" w:cs="宋体"/>
          <w:sz w:val="21"/>
          <w:szCs w:val="21"/>
          <w:highlight w:val="none"/>
        </w:rPr>
        <w:t>商务条款偏离表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_Toc24364 \h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20D82157">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_Toc17631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w:t>
      </w:r>
      <w:r>
        <w:rPr>
          <w:rFonts w:hint="eastAsia" w:ascii="宋体" w:hAnsi="宋体" w:eastAsia="宋体" w:cs="宋体"/>
          <w:sz w:val="21"/>
          <w:szCs w:val="21"/>
          <w:lang w:val="en-US" w:eastAsia="zh-CN"/>
        </w:rPr>
        <w:t xml:space="preserve">8 </w:t>
      </w:r>
      <w:r>
        <w:rPr>
          <w:rFonts w:hint="eastAsia" w:ascii="宋体" w:hAnsi="宋体" w:eastAsia="宋体" w:cs="宋体"/>
          <w:sz w:val="21"/>
          <w:szCs w:val="21"/>
          <w:highlight w:val="none"/>
        </w:rPr>
        <w:t>售后响应方案及培训方案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_Toc17631 \h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0B615D7E">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_Toc19233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格式</w:t>
      </w:r>
      <w:r>
        <w:rPr>
          <w:rFonts w:hint="eastAsia" w:ascii="宋体" w:hAnsi="宋体" w:eastAsia="宋体" w:cs="宋体"/>
          <w:sz w:val="21"/>
          <w:szCs w:val="21"/>
          <w:lang w:val="en-US" w:eastAsia="zh-CN"/>
        </w:rPr>
        <w:t>9</w:t>
      </w:r>
      <w:r>
        <w:rPr>
          <w:rFonts w:hint="eastAsia" w:ascii="宋体" w:hAnsi="宋体" w:eastAsia="宋体" w:cs="宋体"/>
          <w:bCs w:val="0"/>
          <w:sz w:val="21"/>
          <w:szCs w:val="21"/>
          <w:lang w:val="en-US" w:eastAsia="zh-CN"/>
        </w:rPr>
        <w:t xml:space="preserve">  </w:t>
      </w:r>
      <w:r>
        <w:rPr>
          <w:rFonts w:hint="eastAsia" w:ascii="宋体" w:hAnsi="宋体" w:eastAsia="宋体" w:cs="宋体"/>
          <w:sz w:val="21"/>
          <w:szCs w:val="21"/>
          <w:highlight w:val="none"/>
        </w:rPr>
        <w:t>中小企业声明函（货物）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_Toc19233 \h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1D9EA7CC">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_Toc29952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lang w:val="en-US" w:eastAsia="zh-CN"/>
        </w:rPr>
        <w:t xml:space="preserve">格式10  </w:t>
      </w:r>
      <w:r>
        <w:rPr>
          <w:rFonts w:hint="eastAsia" w:ascii="宋体" w:hAnsi="宋体" w:eastAsia="宋体" w:cs="宋体"/>
          <w:sz w:val="21"/>
          <w:szCs w:val="21"/>
        </w:rPr>
        <w:t>企业综合实力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_Toc29952 \h </w:instrText>
      </w:r>
      <w:r>
        <w:rPr>
          <w:rFonts w:hint="eastAsia" w:ascii="宋体" w:hAnsi="宋体" w:eastAsia="宋体" w:cs="宋体"/>
          <w:sz w:val="21"/>
          <w:szCs w:val="21"/>
        </w:rPr>
        <w:fldChar w:fldCharType="separate"/>
      </w:r>
      <w:r>
        <w:rPr>
          <w:rFonts w:hint="eastAsia" w:ascii="宋体" w:hAnsi="宋体" w:eastAsia="宋体" w:cs="宋体"/>
          <w:sz w:val="21"/>
          <w:szCs w:val="21"/>
        </w:rPr>
        <w:t>59</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6DB33BAA">
      <w:pPr>
        <w:pStyle w:val="9"/>
        <w:tabs>
          <w:tab w:val="right" w:leader="dot" w:pos="8306"/>
        </w:tabs>
        <w:rPr>
          <w:rFonts w:hint="eastAsia" w:ascii="宋体" w:hAnsi="宋体" w:eastAsia="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_Toc22883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lang w:val="en-US" w:eastAsia="zh-CN"/>
        </w:rPr>
        <w:t xml:space="preserve">格式11  </w:t>
      </w:r>
      <w:r>
        <w:rPr>
          <w:rFonts w:hint="eastAsia" w:ascii="宋体" w:hAnsi="宋体" w:eastAsia="宋体" w:cs="宋体"/>
          <w:sz w:val="21"/>
          <w:szCs w:val="21"/>
        </w:rPr>
        <w:t>构成投标文件商务</w:t>
      </w:r>
      <w:r>
        <w:rPr>
          <w:rFonts w:hint="eastAsia" w:ascii="宋体" w:hAnsi="宋体" w:eastAsia="宋体" w:cs="宋体"/>
          <w:sz w:val="21"/>
          <w:szCs w:val="21"/>
          <w:lang w:val="en-US" w:eastAsia="zh-CN"/>
        </w:rPr>
        <w:t>部分</w:t>
      </w:r>
      <w:r>
        <w:rPr>
          <w:rFonts w:hint="eastAsia" w:ascii="宋体" w:hAnsi="宋体" w:eastAsia="宋体" w:cs="宋体"/>
          <w:sz w:val="21"/>
          <w:szCs w:val="21"/>
        </w:rPr>
        <w:t>的其它资料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_Toc22883 \h </w:instrText>
      </w:r>
      <w:r>
        <w:rPr>
          <w:rFonts w:hint="eastAsia" w:ascii="宋体" w:hAnsi="宋体" w:eastAsia="宋体" w:cs="宋体"/>
          <w:sz w:val="21"/>
          <w:szCs w:val="21"/>
        </w:rPr>
        <w:fldChar w:fldCharType="separate"/>
      </w:r>
      <w:r>
        <w:rPr>
          <w:rFonts w:hint="eastAsia" w:ascii="宋体" w:hAnsi="宋体" w:eastAsia="宋体" w:cs="宋体"/>
          <w:sz w:val="21"/>
          <w:szCs w:val="21"/>
        </w:rPr>
        <w:t>60</w:t>
      </w:r>
      <w:r>
        <w:rPr>
          <w:rFonts w:hint="eastAsia" w:ascii="宋体" w:hAnsi="宋体" w:eastAsia="宋体" w:cs="宋体"/>
          <w:sz w:val="21"/>
          <w:szCs w:val="21"/>
        </w:rPr>
        <w:fldChar w:fldCharType="end"/>
      </w:r>
      <w:r>
        <w:rPr>
          <w:rFonts w:hint="eastAsia" w:ascii="宋体" w:hAnsi="宋体" w:eastAsia="宋体" w:cs="宋体"/>
          <w:bCs/>
          <w:caps/>
          <w:smallCaps/>
          <w:sz w:val="21"/>
          <w:szCs w:val="21"/>
        </w:rPr>
        <w:fldChar w:fldCharType="end"/>
      </w:r>
    </w:p>
    <w:p w14:paraId="55784294">
      <w:pPr>
        <w:pStyle w:val="13"/>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_Toc32361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第五章  采购需求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_Toc32361 \h </w:instrText>
      </w:r>
      <w:r>
        <w:rPr>
          <w:rFonts w:hint="eastAsia" w:ascii="宋体" w:hAnsi="宋体" w:cs="宋体"/>
          <w:sz w:val="21"/>
          <w:szCs w:val="21"/>
        </w:rPr>
        <w:fldChar w:fldCharType="separate"/>
      </w:r>
      <w:r>
        <w:rPr>
          <w:rFonts w:hint="eastAsia" w:ascii="宋体" w:hAnsi="宋体" w:cs="宋体"/>
          <w:sz w:val="21"/>
          <w:szCs w:val="21"/>
        </w:rPr>
        <w:t>61</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7DE16E99">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_Toc28730 </w:instrText>
      </w:r>
      <w:r>
        <w:rPr>
          <w:rFonts w:hint="eastAsia" w:ascii="宋体" w:hAnsi="宋体" w:eastAsia="宋体" w:cs="宋体"/>
          <w:bCs/>
          <w:caps/>
          <w:smallCaps/>
          <w:sz w:val="21"/>
          <w:szCs w:val="21"/>
        </w:rPr>
        <w:fldChar w:fldCharType="separate"/>
      </w:r>
      <w:r>
        <w:rPr>
          <w:rFonts w:hint="eastAsia" w:ascii="宋体" w:hAnsi="宋体" w:eastAsia="宋体" w:cs="宋体"/>
          <w:kern w:val="44"/>
          <w:sz w:val="21"/>
          <w:szCs w:val="21"/>
        </w:rPr>
        <w:t xml:space="preserve">一、 </w:t>
      </w:r>
      <w:r>
        <w:rPr>
          <w:rFonts w:hint="eastAsia" w:ascii="宋体" w:hAnsi="宋体" w:eastAsia="宋体" w:cs="宋体"/>
          <w:kern w:val="44"/>
          <w:sz w:val="21"/>
          <w:szCs w:val="21"/>
          <w:highlight w:val="none"/>
        </w:rPr>
        <w:t>技术要求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_Toc28730 \h </w:instrText>
      </w:r>
      <w:r>
        <w:rPr>
          <w:rFonts w:hint="eastAsia" w:ascii="宋体" w:hAnsi="宋体" w:cs="宋体"/>
          <w:sz w:val="21"/>
          <w:szCs w:val="21"/>
        </w:rPr>
        <w:fldChar w:fldCharType="separate"/>
      </w:r>
      <w:r>
        <w:rPr>
          <w:rFonts w:hint="eastAsia" w:ascii="宋体" w:hAnsi="宋体" w:cs="宋体"/>
          <w:sz w:val="21"/>
          <w:szCs w:val="21"/>
        </w:rPr>
        <w:t>61</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375DCFF7">
      <w:pPr>
        <w:pStyle w:val="14"/>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_Toc12749 </w:instrText>
      </w:r>
      <w:r>
        <w:rPr>
          <w:rFonts w:hint="eastAsia" w:ascii="宋体" w:hAnsi="宋体" w:eastAsia="宋体" w:cs="宋体"/>
          <w:bCs/>
          <w:caps/>
          <w:smallCaps/>
          <w:sz w:val="21"/>
          <w:szCs w:val="21"/>
        </w:rPr>
        <w:fldChar w:fldCharType="separate"/>
      </w:r>
      <w:r>
        <w:rPr>
          <w:rFonts w:hint="eastAsia" w:ascii="宋体" w:hAnsi="宋体" w:eastAsia="宋体" w:cs="宋体"/>
          <w:kern w:val="44"/>
          <w:sz w:val="21"/>
          <w:szCs w:val="21"/>
          <w:highlight w:val="none"/>
        </w:rPr>
        <w:t>二、商务要求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_Toc12749 \h </w:instrText>
      </w:r>
      <w:r>
        <w:rPr>
          <w:rFonts w:hint="eastAsia" w:ascii="宋体" w:hAnsi="宋体" w:cs="宋体"/>
          <w:sz w:val="21"/>
          <w:szCs w:val="21"/>
        </w:rPr>
        <w:fldChar w:fldCharType="separate"/>
      </w:r>
      <w:r>
        <w:rPr>
          <w:rFonts w:hint="eastAsia" w:ascii="宋体" w:hAnsi="宋体" w:cs="宋体"/>
          <w:sz w:val="21"/>
          <w:szCs w:val="21"/>
        </w:rPr>
        <w:t>72</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5B33385B">
      <w:pPr>
        <w:pStyle w:val="13"/>
        <w:tabs>
          <w:tab w:val="right" w:leader="dot" w:pos="8306"/>
          <w:tab w:val="clear" w:pos="9628"/>
        </w:tabs>
        <w:rPr>
          <w:rFonts w:hint="eastAsia" w:ascii="宋体" w:hAnsi="宋体" w:cs="宋体"/>
          <w:sz w:val="21"/>
          <w:szCs w:val="21"/>
        </w:rPr>
      </w:pPr>
      <w:r>
        <w:rPr>
          <w:rFonts w:hint="eastAsia" w:ascii="宋体" w:hAnsi="宋体" w:eastAsia="宋体" w:cs="宋体"/>
          <w:bCs/>
          <w:caps/>
          <w:smallCaps/>
          <w:sz w:val="21"/>
          <w:szCs w:val="21"/>
        </w:rPr>
        <w:fldChar w:fldCharType="begin"/>
      </w:r>
      <w:r>
        <w:rPr>
          <w:rFonts w:hint="eastAsia" w:ascii="宋体" w:hAnsi="宋体" w:eastAsia="宋体" w:cs="宋体"/>
          <w:bCs/>
          <w:caps/>
          <w:smallCaps/>
          <w:sz w:val="21"/>
          <w:szCs w:val="21"/>
        </w:rPr>
        <w:instrText xml:space="preserve"> HYPERLINK \l _Toc15085 </w:instrText>
      </w:r>
      <w:r>
        <w:rPr>
          <w:rFonts w:hint="eastAsia" w:ascii="宋体" w:hAnsi="宋体" w:eastAsia="宋体" w:cs="宋体"/>
          <w:bCs/>
          <w:caps/>
          <w:smallCaps/>
          <w:sz w:val="21"/>
          <w:szCs w:val="21"/>
        </w:rPr>
        <w:fldChar w:fldCharType="separate"/>
      </w:r>
      <w:r>
        <w:rPr>
          <w:rFonts w:hint="eastAsia" w:ascii="宋体" w:hAnsi="宋体" w:eastAsia="宋体" w:cs="宋体"/>
          <w:sz w:val="21"/>
          <w:szCs w:val="21"/>
        </w:rPr>
        <w:t>第六章  评标方法（综合评分法）</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_Toc15085 \h </w:instrText>
      </w:r>
      <w:r>
        <w:rPr>
          <w:rFonts w:hint="eastAsia" w:ascii="宋体" w:hAnsi="宋体" w:cs="宋体"/>
          <w:sz w:val="21"/>
          <w:szCs w:val="21"/>
        </w:rPr>
        <w:fldChar w:fldCharType="separate"/>
      </w:r>
      <w:r>
        <w:rPr>
          <w:rFonts w:hint="eastAsia" w:ascii="宋体" w:hAnsi="宋体" w:cs="宋体"/>
          <w:sz w:val="21"/>
          <w:szCs w:val="21"/>
        </w:rPr>
        <w:t>74</w:t>
      </w:r>
      <w:r>
        <w:rPr>
          <w:rFonts w:hint="eastAsia" w:ascii="宋体" w:hAnsi="宋体" w:cs="宋体"/>
          <w:sz w:val="21"/>
          <w:szCs w:val="21"/>
        </w:rPr>
        <w:fldChar w:fldCharType="end"/>
      </w:r>
      <w:r>
        <w:rPr>
          <w:rFonts w:hint="eastAsia" w:ascii="宋体" w:hAnsi="宋体" w:eastAsia="宋体" w:cs="宋体"/>
          <w:bCs/>
          <w:caps/>
          <w:smallCaps/>
          <w:sz w:val="21"/>
          <w:szCs w:val="21"/>
        </w:rPr>
        <w:fldChar w:fldCharType="end"/>
      </w:r>
    </w:p>
    <w:p w14:paraId="4FF785C3">
      <w:pPr>
        <w:pStyle w:val="2"/>
        <w:numPr>
          <w:ilvl w:val="0"/>
          <w:numId w:val="0"/>
        </w:numPr>
        <w:jc w:val="center"/>
        <w:rPr>
          <w:rFonts w:ascii="宋体" w:hAnsi="宋体" w:eastAsia="宋体" w:cs="宋体"/>
          <w:sz w:val="32"/>
          <w:szCs w:val="32"/>
        </w:rPr>
      </w:pPr>
      <w:r>
        <w:rPr>
          <w:rFonts w:hint="eastAsia" w:ascii="宋体" w:hAnsi="宋体" w:eastAsia="宋体" w:cs="宋体"/>
          <w:bCs/>
          <w:caps/>
          <w:smallCaps/>
          <w:sz w:val="21"/>
          <w:szCs w:val="21"/>
        </w:rPr>
        <w:fldChar w:fldCharType="end"/>
      </w:r>
      <w:bookmarkStart w:id="1" w:name="_Toc25596"/>
      <w:bookmarkStart w:id="2" w:name="_Toc6868"/>
      <w:bookmarkStart w:id="3" w:name="_Toc7385"/>
      <w:bookmarkStart w:id="4" w:name="_Toc10645"/>
      <w:bookmarkStart w:id="5" w:name="_Toc7405"/>
      <w:bookmarkStart w:id="6" w:name="_Toc23694"/>
      <w:r>
        <w:rPr>
          <w:rFonts w:hint="eastAsia" w:ascii="宋体" w:hAnsi="宋体" w:eastAsia="宋体" w:cs="宋体"/>
          <w:b w:val="0"/>
          <w:sz w:val="21"/>
          <w:szCs w:val="21"/>
        </w:rPr>
        <w:br w:type="page"/>
      </w:r>
      <w:bookmarkEnd w:id="1"/>
      <w:bookmarkEnd w:id="2"/>
      <w:bookmarkEnd w:id="3"/>
      <w:bookmarkEnd w:id="4"/>
      <w:bookmarkEnd w:id="5"/>
      <w:bookmarkEnd w:id="6"/>
      <w:bookmarkStart w:id="7" w:name="_Toc447720930"/>
      <w:bookmarkStart w:id="8" w:name="_Toc373252437"/>
      <w:bookmarkStart w:id="9" w:name="_Toc212648361"/>
      <w:bookmarkStart w:id="10" w:name="_Hlk186202267"/>
      <w:bookmarkStart w:id="11" w:name="_Toc373252444"/>
      <w:r>
        <w:rPr>
          <w:rFonts w:hint="eastAsia" w:ascii="宋体" w:hAnsi="宋体" w:eastAsia="宋体" w:cs="宋体"/>
          <w:sz w:val="32"/>
          <w:szCs w:val="32"/>
        </w:rPr>
        <w:t xml:space="preserve">第一章  </w:t>
      </w:r>
      <w:bookmarkEnd w:id="7"/>
      <w:bookmarkEnd w:id="8"/>
      <w:bookmarkStart w:id="12" w:name="_Hlk170763661"/>
      <w:r>
        <w:rPr>
          <w:rFonts w:hint="eastAsia" w:ascii="宋体" w:hAnsi="宋体" w:eastAsia="宋体" w:cs="宋体"/>
          <w:sz w:val="32"/>
          <w:szCs w:val="32"/>
        </w:rPr>
        <w:t>招标公告</w:t>
      </w:r>
      <w:bookmarkEnd w:id="9"/>
    </w:p>
    <w:p w14:paraId="2ECBA922">
      <w:pPr>
        <w:pBdr>
          <w:top w:val="single" w:color="auto" w:sz="4" w:space="1"/>
          <w:left w:val="single" w:color="auto" w:sz="4" w:space="4"/>
          <w:bottom w:val="single" w:color="auto" w:sz="4" w:space="1"/>
          <w:right w:val="single" w:color="auto" w:sz="4" w:space="4"/>
        </w:pBdr>
        <w:adjustRightInd w:val="0"/>
        <w:spacing w:line="360" w:lineRule="auto"/>
        <w:jc w:val="left"/>
        <w:rPr>
          <w:rFonts w:ascii="宋体" w:hAnsi="宋体" w:cs="宋体"/>
          <w:szCs w:val="21"/>
        </w:rPr>
      </w:pPr>
      <w:r>
        <w:rPr>
          <w:rFonts w:hint="eastAsia" w:ascii="宋体" w:hAnsi="宋体" w:cs="宋体"/>
          <w:szCs w:val="21"/>
        </w:rPr>
        <w:t>项目概况</w:t>
      </w:r>
    </w:p>
    <w:p w14:paraId="6F1B42F5">
      <w:pPr>
        <w:pBdr>
          <w:top w:val="single" w:color="auto" w:sz="4" w:space="1"/>
          <w:left w:val="single" w:color="auto" w:sz="4" w:space="4"/>
          <w:bottom w:val="single" w:color="auto" w:sz="4" w:space="1"/>
          <w:right w:val="single" w:color="auto" w:sz="4" w:space="4"/>
        </w:pBdr>
        <w:adjustRightInd w:val="0"/>
        <w:spacing w:line="360" w:lineRule="auto"/>
        <w:ind w:firstLine="420" w:firstLineChars="200"/>
        <w:jc w:val="left"/>
        <w:rPr>
          <w:rFonts w:ascii="宋体" w:hAnsi="宋体" w:cs="宋体"/>
          <w:szCs w:val="21"/>
        </w:rPr>
      </w:pPr>
      <w:r>
        <w:rPr>
          <w:rFonts w:hint="eastAsia" w:ascii="宋体" w:hAnsi="宋体" w:cs="宋体"/>
          <w:szCs w:val="21"/>
          <w:u w:val="single"/>
          <w:lang w:eastAsia="zh-CN"/>
        </w:rPr>
        <w:t>牟定县职业高级中学图书购置和电子阅览室建设项目</w:t>
      </w:r>
      <w:r>
        <w:rPr>
          <w:rFonts w:hint="eastAsia" w:ascii="宋体" w:hAnsi="宋体" w:cs="宋体"/>
          <w:szCs w:val="21"/>
        </w:rPr>
        <w:t>招标项目的潜在投标人应在</w:t>
      </w:r>
      <w:r>
        <w:rPr>
          <w:rFonts w:hint="eastAsia" w:ascii="宋体" w:hAnsi="宋体" w:cs="宋体"/>
          <w:szCs w:val="21"/>
          <w:u w:val="single"/>
        </w:rPr>
        <w:t xml:space="preserve"> 政采云平台（https://www.zcygov.cn/） </w:t>
      </w:r>
      <w:r>
        <w:rPr>
          <w:rFonts w:hint="eastAsia" w:ascii="宋体" w:hAnsi="宋体" w:cs="宋体"/>
          <w:szCs w:val="21"/>
        </w:rPr>
        <w:t>获取招标文件，并于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日</w:t>
      </w:r>
      <w:r>
        <w:rPr>
          <w:rFonts w:ascii="宋体" w:hAnsi="宋体" w:cs="宋体"/>
          <w:szCs w:val="21"/>
          <w:highlight w:val="none"/>
          <w:u w:val="single"/>
        </w:rPr>
        <w:t>09</w:t>
      </w:r>
      <w:r>
        <w:rPr>
          <w:rFonts w:hint="eastAsia" w:ascii="宋体" w:hAnsi="宋体" w:cs="宋体"/>
          <w:szCs w:val="21"/>
          <w:highlight w:val="none"/>
          <w:u w:val="single"/>
        </w:rPr>
        <w:t>点30分</w:t>
      </w:r>
      <w:r>
        <w:rPr>
          <w:rFonts w:hint="eastAsia" w:ascii="宋体" w:hAnsi="宋体" w:cs="宋体"/>
          <w:bCs/>
          <w:szCs w:val="21"/>
          <w:u w:val="single"/>
        </w:rPr>
        <w:t>（</w:t>
      </w:r>
      <w:r>
        <w:rPr>
          <w:rFonts w:hint="eastAsia" w:ascii="宋体" w:hAnsi="宋体" w:cs="宋体"/>
          <w:bCs/>
          <w:szCs w:val="21"/>
        </w:rPr>
        <w:t>北京时间）前递交投标文件</w:t>
      </w:r>
      <w:r>
        <w:rPr>
          <w:rFonts w:hint="eastAsia" w:ascii="宋体" w:hAnsi="宋体" w:cs="宋体"/>
          <w:szCs w:val="21"/>
        </w:rPr>
        <w:t>。</w:t>
      </w:r>
    </w:p>
    <w:p w14:paraId="51176141">
      <w:pPr>
        <w:pStyle w:val="3"/>
        <w:numPr>
          <w:ilvl w:val="1"/>
          <w:numId w:val="0"/>
        </w:numPr>
        <w:jc w:val="left"/>
        <w:rPr>
          <w:rFonts w:ascii="宋体" w:hAnsi="宋体" w:eastAsia="宋体" w:cs="宋体"/>
          <w:sz w:val="21"/>
          <w:szCs w:val="21"/>
        </w:rPr>
      </w:pPr>
      <w:bookmarkStart w:id="13" w:name="_Toc35393621"/>
      <w:bookmarkStart w:id="14" w:name="_Toc10717"/>
      <w:bookmarkStart w:id="15" w:name="_Toc21624"/>
      <w:bookmarkStart w:id="16" w:name="_Toc35393790"/>
      <w:bookmarkStart w:id="17" w:name="_Toc8613"/>
      <w:bookmarkStart w:id="18" w:name="_Toc17229"/>
      <w:bookmarkStart w:id="19" w:name="_Toc212648362"/>
      <w:bookmarkStart w:id="20" w:name="_Toc5713"/>
      <w:bookmarkStart w:id="21" w:name="_Toc28359002"/>
      <w:bookmarkStart w:id="22" w:name="_Toc28359079"/>
      <w:bookmarkStart w:id="23" w:name="_Hlk24379207"/>
      <w:r>
        <w:rPr>
          <w:rFonts w:hint="eastAsia" w:ascii="宋体" w:hAnsi="宋体" w:eastAsia="宋体" w:cs="宋体"/>
          <w:sz w:val="21"/>
          <w:szCs w:val="21"/>
        </w:rPr>
        <w:t>一、项目基本情况</w:t>
      </w:r>
      <w:bookmarkEnd w:id="13"/>
      <w:bookmarkEnd w:id="14"/>
      <w:bookmarkEnd w:id="15"/>
      <w:bookmarkEnd w:id="16"/>
      <w:bookmarkEnd w:id="17"/>
      <w:bookmarkEnd w:id="18"/>
      <w:bookmarkEnd w:id="19"/>
      <w:bookmarkEnd w:id="20"/>
      <w:bookmarkEnd w:id="21"/>
      <w:bookmarkEnd w:id="22"/>
    </w:p>
    <w:p w14:paraId="125B7C41">
      <w:pPr>
        <w:adjustRightInd w:val="0"/>
        <w:spacing w:line="360" w:lineRule="auto"/>
        <w:ind w:firstLine="420" w:firstLineChars="200"/>
        <w:jc w:val="left"/>
        <w:rPr>
          <w:rFonts w:hint="default" w:ascii="宋体" w:hAnsi="宋体" w:cs="宋体"/>
          <w:szCs w:val="21"/>
          <w:lang w:val="en-US"/>
        </w:rPr>
      </w:pPr>
      <w:r>
        <w:rPr>
          <w:rFonts w:hint="eastAsia" w:ascii="宋体" w:hAnsi="宋体" w:cs="宋体"/>
          <w:szCs w:val="21"/>
        </w:rPr>
        <w:t>1.招标编号：</w:t>
      </w:r>
      <w:r>
        <w:rPr>
          <w:rFonts w:hint="eastAsia" w:ascii="宋体" w:hAnsi="宋体" w:cs="宋体"/>
          <w:szCs w:val="21"/>
          <w:lang w:eastAsia="zh-CN"/>
        </w:rPr>
        <w:t>YNDZ-CX-202</w:t>
      </w: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lang w:val="en-US" w:eastAsia="zh-CN"/>
        </w:rPr>
        <w:t>ZB045</w:t>
      </w:r>
    </w:p>
    <w:p w14:paraId="197C5DF7">
      <w:pPr>
        <w:adjustRightIn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2.项目名称：</w:t>
      </w:r>
      <w:bookmarkEnd w:id="23"/>
      <w:r>
        <w:rPr>
          <w:rFonts w:hint="eastAsia" w:ascii="宋体" w:hAnsi="宋体" w:cs="宋体"/>
          <w:szCs w:val="21"/>
          <w:lang w:eastAsia="zh-CN"/>
        </w:rPr>
        <w:t>牟定县职业高级中学图书购置和电子阅览</w:t>
      </w:r>
      <w:r>
        <w:rPr>
          <w:rFonts w:hint="eastAsia" w:ascii="宋体" w:hAnsi="宋体" w:cs="宋体"/>
          <w:szCs w:val="21"/>
          <w:lang w:val="en-US" w:eastAsia="zh-CN"/>
        </w:rPr>
        <w:t>室</w:t>
      </w:r>
      <w:r>
        <w:rPr>
          <w:rFonts w:hint="eastAsia" w:ascii="宋体" w:hAnsi="宋体" w:cs="宋体"/>
          <w:szCs w:val="21"/>
          <w:lang w:eastAsia="zh-CN"/>
        </w:rPr>
        <w:t>建设项目</w:t>
      </w:r>
    </w:p>
    <w:p w14:paraId="31FFFB98">
      <w:pPr>
        <w:adjustRightIn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3.预算金额：</w:t>
      </w:r>
      <w:r>
        <w:rPr>
          <w:rFonts w:hint="eastAsia" w:ascii="宋体" w:hAnsi="宋体" w:cs="宋体"/>
          <w:szCs w:val="21"/>
          <w:lang w:val="en-US" w:eastAsia="zh-CN"/>
        </w:rPr>
        <w:t>86万元。其中</w:t>
      </w:r>
      <w:r>
        <w:rPr>
          <w:rFonts w:hint="eastAsia" w:ascii="宋体" w:hAnsi="宋体"/>
          <w:szCs w:val="21"/>
          <w:lang w:val="en-US" w:eastAsia="zh-CN"/>
        </w:rPr>
        <w:t>1</w:t>
      </w:r>
      <w:r>
        <w:rPr>
          <w:rFonts w:hint="eastAsia" w:ascii="宋体" w:hAnsi="宋体"/>
          <w:szCs w:val="21"/>
        </w:rPr>
        <w:t>标段（</w:t>
      </w:r>
      <w:r>
        <w:rPr>
          <w:rFonts w:hint="eastAsia" w:ascii="宋体" w:hAnsi="宋体"/>
          <w:szCs w:val="21"/>
          <w:lang w:val="en-US" w:eastAsia="zh-CN"/>
        </w:rPr>
        <w:t>纸质图书</w:t>
      </w:r>
      <w:r>
        <w:rPr>
          <w:rFonts w:hint="eastAsia" w:ascii="宋体" w:hAnsi="宋体"/>
          <w:szCs w:val="21"/>
        </w:rPr>
        <w:t>）</w:t>
      </w:r>
      <w:r>
        <w:rPr>
          <w:rFonts w:hint="eastAsia" w:ascii="宋体" w:hAnsi="宋体"/>
          <w:szCs w:val="21"/>
          <w:lang w:val="en-US" w:eastAsia="zh-CN"/>
        </w:rPr>
        <w:t>76.5万元，2</w:t>
      </w:r>
      <w:r>
        <w:rPr>
          <w:rFonts w:hint="eastAsia" w:ascii="宋体" w:hAnsi="宋体"/>
          <w:szCs w:val="21"/>
        </w:rPr>
        <w:t>标段（</w:t>
      </w:r>
      <w:r>
        <w:rPr>
          <w:rFonts w:hint="eastAsia" w:ascii="宋体" w:hAnsi="宋体"/>
          <w:szCs w:val="21"/>
          <w:lang w:val="en-US" w:eastAsia="zh-CN"/>
        </w:rPr>
        <w:t>图书管理系统</w:t>
      </w:r>
      <w:r>
        <w:rPr>
          <w:rFonts w:hint="eastAsia" w:ascii="宋体" w:hAnsi="宋体"/>
          <w:szCs w:val="21"/>
        </w:rPr>
        <w:t>）</w:t>
      </w:r>
      <w:r>
        <w:rPr>
          <w:rFonts w:hint="eastAsia" w:ascii="宋体" w:hAnsi="宋体" w:cs="宋体"/>
          <w:szCs w:val="21"/>
          <w:lang w:val="en-US" w:eastAsia="zh-CN"/>
        </w:rPr>
        <w:t>9.5万</w:t>
      </w:r>
      <w:r>
        <w:rPr>
          <w:rFonts w:hint="eastAsia" w:ascii="宋体" w:hAnsi="宋体" w:cs="宋体"/>
          <w:szCs w:val="21"/>
        </w:rPr>
        <w:t>元</w:t>
      </w:r>
    </w:p>
    <w:p w14:paraId="21950F98">
      <w:pPr>
        <w:adjustRightInd w:val="0"/>
        <w:spacing w:line="360" w:lineRule="auto"/>
        <w:ind w:firstLine="420" w:firstLineChars="200"/>
        <w:jc w:val="left"/>
        <w:rPr>
          <w:rFonts w:hint="eastAsia" w:ascii="宋体" w:hAnsi="宋体" w:cs="宋体"/>
          <w:szCs w:val="21"/>
          <w:lang w:val="en-US" w:eastAsia="zh-CN"/>
        </w:rPr>
      </w:pPr>
      <w:r>
        <w:rPr>
          <w:rFonts w:hint="eastAsia" w:ascii="宋体" w:hAnsi="宋体" w:cs="宋体"/>
          <w:szCs w:val="21"/>
        </w:rPr>
        <w:t>4.</w:t>
      </w:r>
      <w:r>
        <w:rPr>
          <w:rFonts w:hint="eastAsia" w:ascii="宋体" w:hAnsi="宋体" w:cs="宋体"/>
          <w:szCs w:val="21"/>
          <w:lang w:val="en-US" w:eastAsia="zh-CN"/>
        </w:rPr>
        <w:t>标段划分：本项目划分为2个标段：</w:t>
      </w:r>
    </w:p>
    <w:p w14:paraId="3C189627">
      <w:pPr>
        <w:adjustRightInd w:val="0"/>
        <w:spacing w:line="360" w:lineRule="auto"/>
        <w:ind w:firstLine="420" w:firstLineChars="200"/>
        <w:jc w:val="left"/>
        <w:rPr>
          <w:rFonts w:hint="eastAsia"/>
          <w:bCs/>
          <w:color w:val="auto"/>
          <w:szCs w:val="21"/>
          <w:highlight w:val="none"/>
          <w:lang w:val="en-US" w:eastAsia="zh-CN"/>
        </w:rPr>
      </w:pPr>
      <w:r>
        <w:rPr>
          <w:rFonts w:hint="eastAsia" w:ascii="宋体" w:hAnsi="宋体"/>
          <w:szCs w:val="21"/>
          <w:lang w:val="en-US" w:eastAsia="zh-CN"/>
        </w:rPr>
        <w:t>一</w:t>
      </w:r>
      <w:r>
        <w:rPr>
          <w:rFonts w:hint="eastAsia" w:ascii="宋体" w:hAnsi="宋体"/>
          <w:szCs w:val="21"/>
        </w:rPr>
        <w:t>标段（</w:t>
      </w:r>
      <w:r>
        <w:rPr>
          <w:rFonts w:hint="eastAsia" w:ascii="宋体" w:hAnsi="宋体"/>
          <w:szCs w:val="21"/>
          <w:lang w:val="en-US" w:eastAsia="zh-CN"/>
        </w:rPr>
        <w:t>纸质图书</w:t>
      </w:r>
      <w:r>
        <w:rPr>
          <w:rFonts w:hint="eastAsia" w:ascii="宋体" w:hAnsi="宋体"/>
          <w:szCs w:val="21"/>
        </w:rPr>
        <w:t>）</w:t>
      </w:r>
      <w:r>
        <w:rPr>
          <w:rFonts w:hint="eastAsia" w:ascii="宋体" w:hAnsi="宋体"/>
          <w:szCs w:val="21"/>
          <w:lang w:eastAsia="zh-CN"/>
        </w:rPr>
        <w:t>：</w:t>
      </w:r>
      <w:r>
        <w:rPr>
          <w:rFonts w:hint="eastAsia" w:ascii="宋体" w:hAnsi="宋体" w:cs="宋体"/>
          <w:szCs w:val="21"/>
        </w:rPr>
        <w:t>最高限价</w:t>
      </w:r>
      <w:r>
        <w:rPr>
          <w:rFonts w:hint="eastAsia" w:ascii="宋体" w:hAnsi="宋体" w:cs="宋体"/>
          <w:szCs w:val="21"/>
          <w:lang w:val="en-US" w:eastAsia="zh-CN"/>
        </w:rPr>
        <w:t>76.5万</w:t>
      </w:r>
      <w:r>
        <w:rPr>
          <w:rFonts w:hint="eastAsia" w:ascii="宋体" w:hAnsi="宋体" w:cs="宋体"/>
          <w:szCs w:val="21"/>
        </w:rPr>
        <w:t>元，采用</w:t>
      </w:r>
      <w:r>
        <w:rPr>
          <w:rFonts w:hint="eastAsia" w:ascii="宋体" w:hAnsi="宋体" w:cs="宋体"/>
          <w:szCs w:val="21"/>
          <w:lang w:val="en-US" w:eastAsia="zh-CN"/>
        </w:rPr>
        <w:t>图书综合折扣率</w:t>
      </w:r>
      <w:r>
        <w:rPr>
          <w:rFonts w:hint="eastAsia" w:ascii="宋体" w:hAnsi="宋体" w:cs="宋体"/>
          <w:szCs w:val="21"/>
        </w:rPr>
        <w:t>进行报价</w:t>
      </w:r>
      <w:r>
        <w:rPr>
          <w:rFonts w:hint="eastAsia"/>
          <w:bCs/>
          <w:color w:val="auto"/>
          <w:szCs w:val="21"/>
          <w:highlight w:val="none"/>
          <w:lang w:val="en-US" w:eastAsia="zh-CN"/>
        </w:rPr>
        <w:t>（如按标价打七折，则图书综合折扣率为70%。即</w:t>
      </w:r>
      <w:r>
        <w:t>图书原价（码洋价）为</w:t>
      </w:r>
      <w:r>
        <w:rPr>
          <w:spacing w:val="-26"/>
        </w:rPr>
        <w:t xml:space="preserve"> </w:t>
      </w:r>
      <w:r>
        <w:t>100</w:t>
      </w:r>
      <w:r>
        <w:rPr>
          <w:spacing w:val="-42"/>
        </w:rPr>
        <w:t xml:space="preserve"> </w:t>
      </w:r>
      <w:r>
        <w:t>元的，结算价为</w:t>
      </w:r>
      <w:r>
        <w:rPr>
          <w:spacing w:val="-27"/>
        </w:rPr>
        <w:t xml:space="preserve"> </w:t>
      </w:r>
      <w:r>
        <w:t>100×</w:t>
      </w:r>
      <w:r>
        <w:rPr>
          <w:rFonts w:hint="eastAsia"/>
          <w:lang w:val="en-US" w:eastAsia="zh-CN"/>
        </w:rPr>
        <w:t>7</w:t>
      </w:r>
      <w:r>
        <w:t>0%</w:t>
      </w:r>
      <w:r>
        <w:rPr>
          <w:spacing w:val="-1"/>
        </w:rPr>
        <w:t>=</w:t>
      </w:r>
      <w:r>
        <w:rPr>
          <w:rFonts w:hint="eastAsia"/>
          <w:spacing w:val="-1"/>
          <w:lang w:val="en-US" w:eastAsia="zh-CN"/>
        </w:rPr>
        <w:t>7</w:t>
      </w:r>
      <w:r>
        <w:rPr>
          <w:spacing w:val="-1"/>
        </w:rPr>
        <w:t>0</w:t>
      </w:r>
      <w:r>
        <w:rPr>
          <w:spacing w:val="-42"/>
        </w:rPr>
        <w:t xml:space="preserve"> </w:t>
      </w:r>
      <w:r>
        <w:rPr>
          <w:spacing w:val="-1"/>
        </w:rPr>
        <w:t>元。</w:t>
      </w:r>
      <w:r>
        <w:rPr>
          <w:rFonts w:hint="eastAsia"/>
          <w:bCs/>
          <w:color w:val="auto"/>
          <w:szCs w:val="21"/>
          <w:highlight w:val="none"/>
          <w:lang w:val="en-US" w:eastAsia="zh-CN"/>
        </w:rPr>
        <w:t>）</w:t>
      </w:r>
    </w:p>
    <w:p w14:paraId="407F79AB">
      <w:pPr>
        <w:adjustRightInd w:val="0"/>
        <w:spacing w:line="360" w:lineRule="auto"/>
        <w:ind w:firstLine="420" w:firstLineChars="200"/>
        <w:jc w:val="left"/>
        <w:rPr>
          <w:rFonts w:hint="eastAsia"/>
          <w:bCs/>
          <w:color w:val="auto"/>
          <w:szCs w:val="21"/>
          <w:highlight w:val="none"/>
          <w:lang w:val="en-US" w:eastAsia="zh-CN"/>
        </w:rPr>
      </w:pPr>
      <w:r>
        <w:rPr>
          <w:rFonts w:hint="eastAsia" w:ascii="宋体" w:hAnsi="宋体"/>
          <w:szCs w:val="21"/>
          <w:lang w:val="en-US" w:eastAsia="zh-CN"/>
        </w:rPr>
        <w:t>二</w:t>
      </w:r>
      <w:r>
        <w:rPr>
          <w:rFonts w:hint="eastAsia" w:ascii="宋体" w:hAnsi="宋体"/>
          <w:szCs w:val="21"/>
        </w:rPr>
        <w:t>标段（</w:t>
      </w:r>
      <w:r>
        <w:rPr>
          <w:rFonts w:hint="eastAsia" w:ascii="宋体" w:hAnsi="宋体"/>
          <w:szCs w:val="21"/>
          <w:lang w:val="en-US" w:eastAsia="zh-CN"/>
        </w:rPr>
        <w:t>图书管理系统</w:t>
      </w:r>
      <w:r>
        <w:rPr>
          <w:rFonts w:hint="eastAsia" w:ascii="宋体" w:hAnsi="宋体"/>
          <w:szCs w:val="21"/>
        </w:rPr>
        <w:t>）</w:t>
      </w:r>
      <w:r>
        <w:rPr>
          <w:rFonts w:hint="eastAsia" w:ascii="宋体" w:hAnsi="宋体"/>
          <w:szCs w:val="21"/>
          <w:lang w:eastAsia="zh-CN"/>
        </w:rPr>
        <w:t>：</w:t>
      </w:r>
      <w:r>
        <w:rPr>
          <w:rFonts w:hint="eastAsia" w:ascii="宋体" w:hAnsi="宋体" w:cs="宋体"/>
          <w:szCs w:val="21"/>
        </w:rPr>
        <w:t>最高限价</w:t>
      </w:r>
      <w:r>
        <w:rPr>
          <w:rFonts w:hint="eastAsia" w:ascii="宋体" w:hAnsi="宋体" w:cs="宋体"/>
          <w:szCs w:val="21"/>
          <w:lang w:val="en-US" w:eastAsia="zh-CN"/>
        </w:rPr>
        <w:t>9.5万</w:t>
      </w:r>
      <w:r>
        <w:rPr>
          <w:rFonts w:hint="eastAsia" w:ascii="宋体" w:hAnsi="宋体" w:cs="宋体"/>
          <w:szCs w:val="21"/>
        </w:rPr>
        <w:t>元，采用</w:t>
      </w:r>
      <w:r>
        <w:rPr>
          <w:rFonts w:hint="eastAsia" w:ascii="宋体" w:hAnsi="宋体" w:cs="宋体"/>
          <w:szCs w:val="21"/>
          <w:lang w:val="en-US" w:eastAsia="zh-CN"/>
        </w:rPr>
        <w:t>投标总报价</w:t>
      </w:r>
      <w:r>
        <w:rPr>
          <w:rFonts w:hint="eastAsia" w:ascii="宋体" w:hAnsi="宋体" w:cs="宋体"/>
          <w:szCs w:val="21"/>
        </w:rPr>
        <w:t>进行报价</w:t>
      </w:r>
      <w:r>
        <w:rPr>
          <w:rFonts w:hint="eastAsia"/>
          <w:bCs/>
          <w:color w:val="auto"/>
          <w:szCs w:val="21"/>
          <w:highlight w:val="none"/>
          <w:lang w:val="en-US" w:eastAsia="zh-CN"/>
        </w:rPr>
        <w:t>。</w:t>
      </w:r>
    </w:p>
    <w:p w14:paraId="27433543">
      <w:pPr>
        <w:adjustRightInd w:val="0"/>
        <w:spacing w:line="360" w:lineRule="auto"/>
        <w:ind w:firstLine="420" w:firstLineChars="200"/>
        <w:jc w:val="left"/>
        <w:rPr>
          <w:rFonts w:ascii="宋体" w:hAnsi="宋体" w:cs="宋体"/>
          <w:szCs w:val="21"/>
        </w:rPr>
      </w:pPr>
      <w:r>
        <w:rPr>
          <w:rFonts w:hint="eastAsia" w:ascii="宋体" w:hAnsi="宋体" w:cs="宋体"/>
          <w:szCs w:val="21"/>
        </w:rPr>
        <w:t>各标段限价详见下表</w:t>
      </w:r>
    </w:p>
    <w:tbl>
      <w:tblPr>
        <w:tblStyle w:val="16"/>
        <w:tblW w:w="93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663"/>
        <w:gridCol w:w="3210"/>
        <w:gridCol w:w="705"/>
        <w:gridCol w:w="1194"/>
        <w:gridCol w:w="1031"/>
      </w:tblGrid>
      <w:tr w14:paraId="5FA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16" w:type="dxa"/>
            <w:shd w:val="clear" w:color="auto" w:fill="auto"/>
            <w:noWrap/>
            <w:vAlign w:val="center"/>
          </w:tcPr>
          <w:p w14:paraId="0617A688">
            <w:pPr>
              <w:widowControl/>
              <w:jc w:val="center"/>
              <w:rPr>
                <w:rFonts w:ascii="宋体" w:hAnsi="宋体" w:cs="宋体"/>
                <w:kern w:val="0"/>
                <w:szCs w:val="21"/>
              </w:rPr>
            </w:pPr>
            <w:bookmarkStart w:id="24" w:name="OLE_LINK9"/>
            <w:r>
              <w:rPr>
                <w:rFonts w:hint="eastAsia" w:ascii="宋体" w:hAnsi="宋体" w:cs="宋体"/>
                <w:kern w:val="0"/>
                <w:szCs w:val="21"/>
              </w:rPr>
              <w:t>序号</w:t>
            </w:r>
          </w:p>
        </w:tc>
        <w:tc>
          <w:tcPr>
            <w:tcW w:w="2663" w:type="dxa"/>
            <w:shd w:val="clear" w:color="auto" w:fill="auto"/>
            <w:noWrap/>
            <w:vAlign w:val="center"/>
          </w:tcPr>
          <w:p w14:paraId="18B92447">
            <w:pPr>
              <w:widowControl/>
              <w:jc w:val="center"/>
              <w:rPr>
                <w:rFonts w:ascii="宋体" w:hAnsi="宋体" w:cs="宋体"/>
                <w:kern w:val="0"/>
                <w:szCs w:val="21"/>
              </w:rPr>
            </w:pPr>
            <w:r>
              <w:rPr>
                <w:rFonts w:hint="eastAsia" w:ascii="宋体" w:hAnsi="宋体" w:cs="宋体"/>
                <w:kern w:val="0"/>
                <w:szCs w:val="21"/>
              </w:rPr>
              <w:t>标段名称</w:t>
            </w:r>
          </w:p>
        </w:tc>
        <w:tc>
          <w:tcPr>
            <w:tcW w:w="3210" w:type="dxa"/>
            <w:shd w:val="clear" w:color="auto" w:fill="auto"/>
            <w:noWrap/>
            <w:vAlign w:val="center"/>
          </w:tcPr>
          <w:p w14:paraId="53916B56">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图书类别（型号）</w:t>
            </w:r>
          </w:p>
        </w:tc>
        <w:tc>
          <w:tcPr>
            <w:tcW w:w="705" w:type="dxa"/>
            <w:shd w:val="clear" w:color="auto" w:fill="auto"/>
            <w:noWrap/>
            <w:vAlign w:val="center"/>
          </w:tcPr>
          <w:p w14:paraId="41EEBB5E">
            <w:pPr>
              <w:widowControl/>
              <w:jc w:val="center"/>
              <w:rPr>
                <w:rFonts w:ascii="宋体" w:hAnsi="宋体" w:cs="宋体"/>
                <w:kern w:val="0"/>
                <w:szCs w:val="21"/>
              </w:rPr>
            </w:pPr>
            <w:r>
              <w:rPr>
                <w:rFonts w:hint="eastAsia" w:ascii="宋体" w:hAnsi="宋体" w:cs="宋体"/>
                <w:kern w:val="0"/>
                <w:szCs w:val="21"/>
              </w:rPr>
              <w:t>单位</w:t>
            </w:r>
          </w:p>
        </w:tc>
        <w:tc>
          <w:tcPr>
            <w:tcW w:w="1194" w:type="dxa"/>
            <w:shd w:val="clear" w:color="auto" w:fill="auto"/>
            <w:noWrap/>
            <w:vAlign w:val="center"/>
          </w:tcPr>
          <w:p w14:paraId="7BEA2BFC">
            <w:pPr>
              <w:widowControl/>
              <w:jc w:val="center"/>
              <w:rPr>
                <w:rFonts w:ascii="宋体" w:hAnsi="宋体" w:cs="宋体"/>
                <w:kern w:val="0"/>
                <w:szCs w:val="21"/>
              </w:rPr>
            </w:pPr>
            <w:r>
              <w:rPr>
                <w:rFonts w:hint="eastAsia" w:ascii="宋体" w:hAnsi="宋体" w:cs="宋体"/>
                <w:kern w:val="0"/>
                <w:szCs w:val="21"/>
              </w:rPr>
              <w:t>数量</w:t>
            </w:r>
          </w:p>
        </w:tc>
        <w:tc>
          <w:tcPr>
            <w:tcW w:w="1031" w:type="dxa"/>
            <w:shd w:val="clear" w:color="auto" w:fill="auto"/>
            <w:noWrap/>
            <w:vAlign w:val="center"/>
          </w:tcPr>
          <w:p w14:paraId="7FC44F37">
            <w:pPr>
              <w:widowControl/>
              <w:jc w:val="center"/>
              <w:rPr>
                <w:rFonts w:ascii="宋体" w:hAnsi="宋体" w:cs="宋体"/>
                <w:kern w:val="0"/>
                <w:szCs w:val="21"/>
              </w:rPr>
            </w:pPr>
            <w:r>
              <w:rPr>
                <w:rFonts w:hint="eastAsia" w:ascii="宋体" w:hAnsi="宋体" w:cs="宋体"/>
                <w:kern w:val="0"/>
                <w:szCs w:val="21"/>
              </w:rPr>
              <w:t>金额</w:t>
            </w:r>
          </w:p>
        </w:tc>
      </w:tr>
      <w:tr w14:paraId="14C3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16" w:type="dxa"/>
            <w:shd w:val="clear" w:color="auto" w:fill="auto"/>
            <w:noWrap/>
            <w:vAlign w:val="center"/>
          </w:tcPr>
          <w:p w14:paraId="12571C48">
            <w:pPr>
              <w:widowControl/>
              <w:jc w:val="center"/>
              <w:rPr>
                <w:rFonts w:ascii="宋体" w:hAnsi="宋体" w:cs="宋体"/>
                <w:kern w:val="0"/>
                <w:szCs w:val="21"/>
              </w:rPr>
            </w:pPr>
            <w:r>
              <w:rPr>
                <w:rFonts w:hint="eastAsia" w:ascii="宋体" w:hAnsi="宋体" w:cs="宋体"/>
                <w:kern w:val="0"/>
                <w:szCs w:val="21"/>
              </w:rPr>
              <w:t>1</w:t>
            </w:r>
          </w:p>
        </w:tc>
        <w:tc>
          <w:tcPr>
            <w:tcW w:w="2663" w:type="dxa"/>
            <w:shd w:val="clear" w:color="auto" w:fill="auto"/>
            <w:noWrap/>
            <w:vAlign w:val="center"/>
          </w:tcPr>
          <w:p w14:paraId="5D90087A">
            <w:pPr>
              <w:jc w:val="center"/>
              <w:rPr>
                <w:rFonts w:ascii="宋体" w:hAnsi="宋体" w:cs="宋体"/>
                <w:kern w:val="0"/>
                <w:szCs w:val="21"/>
              </w:rPr>
            </w:pPr>
            <w:r>
              <w:rPr>
                <w:rFonts w:hint="eastAsia" w:hAnsi="宋体" w:cs="宋体"/>
                <w:szCs w:val="21"/>
                <w:lang w:eastAsia="zh-CN"/>
              </w:rPr>
              <w:t>牟定县职业高级中学图书购置和电子阅览室建设项目</w:t>
            </w:r>
            <w:r>
              <w:rPr>
                <w:rFonts w:hint="eastAsia" w:ascii="宋体" w:hAnsi="宋体" w:cs="宋体"/>
                <w:szCs w:val="21"/>
                <w:lang w:val="en-US" w:eastAsia="zh-CN"/>
              </w:rPr>
              <w:t>一</w:t>
            </w:r>
            <w:r>
              <w:rPr>
                <w:rFonts w:hint="eastAsia" w:hAnsi="宋体" w:cs="宋体"/>
                <w:kern w:val="2"/>
                <w:sz w:val="21"/>
                <w:szCs w:val="21"/>
              </w:rPr>
              <w:t>标段（</w:t>
            </w:r>
            <w:r>
              <w:rPr>
                <w:rFonts w:hint="eastAsia" w:hAnsi="宋体" w:cs="宋体"/>
                <w:kern w:val="2"/>
                <w:sz w:val="21"/>
                <w:szCs w:val="21"/>
                <w:lang w:val="en-US" w:eastAsia="zh-CN"/>
              </w:rPr>
              <w:t>纸质</w:t>
            </w:r>
            <w:r>
              <w:rPr>
                <w:rFonts w:hint="eastAsia" w:hAnsi="宋体" w:cs="宋体"/>
                <w:kern w:val="2"/>
                <w:sz w:val="21"/>
                <w:szCs w:val="21"/>
              </w:rPr>
              <w:t>图书）</w:t>
            </w:r>
          </w:p>
        </w:tc>
        <w:tc>
          <w:tcPr>
            <w:tcW w:w="3210" w:type="dxa"/>
            <w:shd w:val="clear" w:color="auto" w:fill="auto"/>
            <w:noWrap/>
            <w:vAlign w:val="center"/>
          </w:tcPr>
          <w:p w14:paraId="0CBC1BAB">
            <w:pPr>
              <w:rPr>
                <w:rFonts w:ascii="宋体" w:hAnsi="宋体" w:cs="宋体"/>
                <w:kern w:val="0"/>
                <w:szCs w:val="21"/>
              </w:rPr>
            </w:pPr>
            <w:r>
              <w:rPr>
                <w:rFonts w:hint="eastAsia" w:ascii="宋体" w:hAnsi="宋体"/>
                <w:szCs w:val="21"/>
              </w:rPr>
              <w:t>专业</w:t>
            </w:r>
            <w:r>
              <w:rPr>
                <w:rFonts w:hint="eastAsia" w:ascii="宋体" w:hAnsi="宋体"/>
                <w:szCs w:val="21"/>
                <w:lang w:val="en-US" w:eastAsia="zh-CN"/>
              </w:rPr>
              <w:t>类</w:t>
            </w:r>
            <w:r>
              <w:rPr>
                <w:rFonts w:hint="eastAsia" w:ascii="宋体" w:hAnsi="宋体"/>
                <w:szCs w:val="21"/>
                <w:lang w:eastAsia="zh-CN"/>
              </w:rPr>
              <w:t>、文学</w:t>
            </w:r>
            <w:r>
              <w:rPr>
                <w:rFonts w:hint="eastAsia" w:ascii="宋体" w:hAnsi="宋体"/>
                <w:szCs w:val="21"/>
                <w:lang w:val="en-US" w:eastAsia="zh-CN"/>
              </w:rPr>
              <w:t>类、社科类、艺术类、红色书系、自然科学、综合类图书</w:t>
            </w:r>
            <w:r>
              <w:rPr>
                <w:rFonts w:hint="eastAsia" w:ascii="宋体" w:hAnsi="宋体"/>
                <w:szCs w:val="21"/>
                <w:lang w:eastAsia="zh-CN"/>
              </w:rPr>
              <w:t>；畅销书：近3年热门出版物等。</w:t>
            </w:r>
          </w:p>
        </w:tc>
        <w:tc>
          <w:tcPr>
            <w:tcW w:w="705" w:type="dxa"/>
            <w:shd w:val="clear" w:color="auto" w:fill="auto"/>
            <w:noWrap/>
            <w:vAlign w:val="center"/>
          </w:tcPr>
          <w:p w14:paraId="7DFE7E3A">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册</w:t>
            </w:r>
          </w:p>
        </w:tc>
        <w:tc>
          <w:tcPr>
            <w:tcW w:w="1194" w:type="dxa"/>
            <w:shd w:val="clear" w:color="auto" w:fill="auto"/>
            <w:noWrap/>
            <w:vAlign w:val="center"/>
          </w:tcPr>
          <w:p w14:paraId="3C85B32B">
            <w:pPr>
              <w:widowControl/>
              <w:jc w:val="center"/>
              <w:rPr>
                <w:rFonts w:hint="default" w:ascii="宋体" w:hAnsi="宋体" w:eastAsia="宋体" w:cs="宋体"/>
                <w:kern w:val="0"/>
                <w:szCs w:val="21"/>
                <w:lang w:val="en-US" w:eastAsia="zh-CN"/>
              </w:rPr>
            </w:pPr>
            <w:r>
              <w:rPr>
                <w:rFonts w:hint="eastAsia" w:ascii="宋体" w:hAnsi="宋体" w:eastAsia="宋体" w:cs="宋体"/>
                <w:b w:val="0"/>
                <w:bCs w:val="0"/>
                <w:sz w:val="21"/>
                <w:szCs w:val="21"/>
                <w:highlight w:val="none"/>
                <w:vertAlign w:val="baseline"/>
                <w:lang w:val="en-US" w:eastAsia="zh-CN"/>
              </w:rPr>
              <w:t>不低于</w:t>
            </w:r>
            <w:r>
              <w:rPr>
                <w:rFonts w:hint="eastAsia" w:ascii="宋体" w:hAnsi="宋体" w:cs="宋体"/>
                <w:kern w:val="0"/>
                <w:szCs w:val="21"/>
                <w:lang w:val="en-US" w:eastAsia="zh-CN"/>
              </w:rPr>
              <w:t>15000.00</w:t>
            </w:r>
          </w:p>
        </w:tc>
        <w:tc>
          <w:tcPr>
            <w:tcW w:w="1031" w:type="dxa"/>
            <w:shd w:val="clear" w:color="auto" w:fill="auto"/>
            <w:noWrap/>
            <w:vAlign w:val="center"/>
          </w:tcPr>
          <w:p w14:paraId="6C95919D">
            <w:pPr>
              <w:jc w:val="center"/>
              <w:rPr>
                <w:rFonts w:ascii="宋体" w:hAnsi="宋体" w:cs="宋体"/>
                <w:kern w:val="0"/>
                <w:szCs w:val="21"/>
              </w:rPr>
            </w:pPr>
            <w:r>
              <w:rPr>
                <w:rFonts w:hint="eastAsia" w:ascii="宋体" w:hAnsi="宋体"/>
                <w:szCs w:val="21"/>
                <w:lang w:val="en-US" w:eastAsia="zh-CN"/>
              </w:rPr>
              <w:t>76.5</w:t>
            </w:r>
            <w:r>
              <w:rPr>
                <w:rFonts w:hint="eastAsia" w:ascii="宋体" w:hAnsi="宋体"/>
                <w:szCs w:val="21"/>
              </w:rPr>
              <w:t>万元</w:t>
            </w:r>
          </w:p>
        </w:tc>
      </w:tr>
      <w:tr w14:paraId="360A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16" w:type="dxa"/>
            <w:shd w:val="clear" w:color="auto" w:fill="auto"/>
            <w:noWrap/>
            <w:vAlign w:val="center"/>
          </w:tcPr>
          <w:p w14:paraId="24FD7C3B">
            <w:pPr>
              <w:widowControl/>
              <w:jc w:val="center"/>
              <w:rPr>
                <w:rFonts w:ascii="宋体" w:hAnsi="宋体" w:cs="宋体"/>
                <w:kern w:val="0"/>
                <w:szCs w:val="21"/>
              </w:rPr>
            </w:pPr>
            <w:r>
              <w:rPr>
                <w:rFonts w:hint="eastAsia" w:ascii="宋体" w:hAnsi="宋体" w:cs="宋体"/>
                <w:kern w:val="0"/>
                <w:szCs w:val="21"/>
              </w:rPr>
              <w:t>2</w:t>
            </w:r>
          </w:p>
        </w:tc>
        <w:tc>
          <w:tcPr>
            <w:tcW w:w="2663" w:type="dxa"/>
            <w:shd w:val="clear" w:color="000000" w:fill="FFFFFF"/>
            <w:vAlign w:val="center"/>
          </w:tcPr>
          <w:p w14:paraId="2CB1BAC7">
            <w:pPr>
              <w:jc w:val="center"/>
              <w:rPr>
                <w:rFonts w:ascii="宋体" w:hAnsi="宋体" w:cs="宋体"/>
                <w:kern w:val="0"/>
                <w:szCs w:val="21"/>
              </w:rPr>
            </w:pPr>
            <w:r>
              <w:rPr>
                <w:rFonts w:hint="eastAsia" w:hAnsi="宋体" w:cs="宋体"/>
                <w:szCs w:val="21"/>
                <w:lang w:eastAsia="zh-CN"/>
              </w:rPr>
              <w:t>牟定县职业高级中学图书购置和电子阅览室建设项目</w:t>
            </w:r>
            <w:r>
              <w:rPr>
                <w:rFonts w:hint="eastAsia" w:hAnsi="宋体" w:cs="宋体"/>
                <w:kern w:val="2"/>
                <w:sz w:val="21"/>
                <w:szCs w:val="21"/>
                <w:lang w:val="en-US" w:eastAsia="zh-CN"/>
              </w:rPr>
              <w:t>二</w:t>
            </w:r>
            <w:r>
              <w:rPr>
                <w:rFonts w:hint="eastAsia" w:hAnsi="宋体" w:cs="宋体"/>
                <w:kern w:val="2"/>
                <w:sz w:val="21"/>
                <w:szCs w:val="21"/>
              </w:rPr>
              <w:t>标段（</w:t>
            </w:r>
            <w:r>
              <w:rPr>
                <w:rFonts w:hint="eastAsia" w:hAnsi="宋体" w:cs="宋体"/>
                <w:kern w:val="2"/>
                <w:sz w:val="21"/>
                <w:szCs w:val="21"/>
                <w:lang w:val="en-US" w:eastAsia="zh-CN"/>
              </w:rPr>
              <w:t>图书管理系统</w:t>
            </w:r>
            <w:r>
              <w:rPr>
                <w:rFonts w:hint="eastAsia" w:hAnsi="宋体" w:cs="宋体"/>
                <w:kern w:val="2"/>
                <w:sz w:val="21"/>
                <w:szCs w:val="21"/>
              </w:rPr>
              <w:t>）</w:t>
            </w:r>
          </w:p>
        </w:tc>
        <w:tc>
          <w:tcPr>
            <w:tcW w:w="3210" w:type="dxa"/>
            <w:shd w:val="clear" w:color="auto" w:fill="auto"/>
            <w:noWrap/>
            <w:vAlign w:val="center"/>
          </w:tcPr>
          <w:p w14:paraId="1C87B3B8">
            <w:pPr>
              <w:jc w:val="left"/>
              <w:rPr>
                <w:rFonts w:ascii="宋体" w:hAnsi="宋体"/>
                <w:szCs w:val="21"/>
              </w:rPr>
            </w:pPr>
            <w:r>
              <w:rPr>
                <w:rFonts w:hint="eastAsia" w:ascii="宋体" w:hAnsi="宋体"/>
                <w:szCs w:val="21"/>
              </w:rPr>
              <w:t>系统可平稳运行于微软 Windows XP、Windows7到Windows10、安卓等操作系统</w:t>
            </w:r>
          </w:p>
        </w:tc>
        <w:tc>
          <w:tcPr>
            <w:tcW w:w="705" w:type="dxa"/>
            <w:shd w:val="clear" w:color="000000" w:fill="FFFFFF"/>
            <w:noWrap/>
            <w:vAlign w:val="center"/>
          </w:tcPr>
          <w:p w14:paraId="3A34F909">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套</w:t>
            </w:r>
          </w:p>
        </w:tc>
        <w:tc>
          <w:tcPr>
            <w:tcW w:w="1194" w:type="dxa"/>
            <w:shd w:val="clear" w:color="auto" w:fill="auto"/>
            <w:noWrap/>
            <w:vAlign w:val="center"/>
          </w:tcPr>
          <w:p w14:paraId="0C2D689B">
            <w:pPr>
              <w:widowControl/>
              <w:jc w:val="center"/>
              <w:rPr>
                <w:rFonts w:ascii="宋体" w:hAnsi="宋体" w:cs="宋体"/>
                <w:kern w:val="0"/>
                <w:szCs w:val="21"/>
              </w:rPr>
            </w:pPr>
            <w:r>
              <w:rPr>
                <w:rFonts w:hint="eastAsia" w:ascii="宋体" w:hAnsi="宋体" w:cs="宋体"/>
                <w:kern w:val="0"/>
                <w:szCs w:val="21"/>
              </w:rPr>
              <w:t>1</w:t>
            </w:r>
          </w:p>
        </w:tc>
        <w:tc>
          <w:tcPr>
            <w:tcW w:w="1031" w:type="dxa"/>
            <w:shd w:val="clear" w:color="auto" w:fill="auto"/>
            <w:noWrap/>
            <w:vAlign w:val="center"/>
          </w:tcPr>
          <w:p w14:paraId="0B86255C">
            <w:pPr>
              <w:jc w:val="center"/>
              <w:rPr>
                <w:rFonts w:ascii="宋体" w:hAnsi="宋体" w:cs="宋体"/>
                <w:kern w:val="0"/>
                <w:szCs w:val="21"/>
              </w:rPr>
            </w:pPr>
            <w:r>
              <w:rPr>
                <w:rFonts w:hint="eastAsia" w:ascii="宋体" w:hAnsi="宋体"/>
                <w:szCs w:val="21"/>
              </w:rPr>
              <w:t>9</w:t>
            </w:r>
            <w:r>
              <w:rPr>
                <w:rFonts w:hint="eastAsia" w:ascii="宋体" w:hAnsi="宋体"/>
                <w:szCs w:val="21"/>
                <w:lang w:val="en-US" w:eastAsia="zh-CN"/>
              </w:rPr>
              <w:t>.5</w:t>
            </w:r>
            <w:r>
              <w:rPr>
                <w:rFonts w:hint="eastAsia" w:ascii="宋体" w:hAnsi="宋体"/>
                <w:szCs w:val="21"/>
              </w:rPr>
              <w:t>万元</w:t>
            </w:r>
          </w:p>
        </w:tc>
      </w:tr>
      <w:tr w14:paraId="53F3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8" w:type="dxa"/>
            <w:gridSpan w:val="5"/>
            <w:shd w:val="clear" w:color="auto" w:fill="auto"/>
            <w:noWrap/>
            <w:vAlign w:val="center"/>
          </w:tcPr>
          <w:p w14:paraId="6EC5C668">
            <w:pPr>
              <w:widowControl/>
              <w:jc w:val="center"/>
              <w:rPr>
                <w:rFonts w:ascii="宋体" w:hAnsi="宋体" w:cs="宋体"/>
                <w:kern w:val="0"/>
                <w:szCs w:val="21"/>
              </w:rPr>
            </w:pPr>
            <w:r>
              <w:rPr>
                <w:rFonts w:hint="eastAsia" w:ascii="宋体" w:hAnsi="宋体" w:cs="宋体"/>
                <w:kern w:val="0"/>
                <w:szCs w:val="21"/>
              </w:rPr>
              <w:t>合计</w:t>
            </w:r>
          </w:p>
        </w:tc>
        <w:tc>
          <w:tcPr>
            <w:tcW w:w="1031" w:type="dxa"/>
            <w:shd w:val="clear" w:color="auto" w:fill="auto"/>
            <w:noWrap/>
            <w:vAlign w:val="center"/>
          </w:tcPr>
          <w:p w14:paraId="26832434">
            <w:pPr>
              <w:widowControl/>
              <w:jc w:val="center"/>
              <w:rPr>
                <w:rFonts w:ascii="宋体" w:hAnsi="宋体" w:cs="宋体"/>
                <w:kern w:val="0"/>
                <w:szCs w:val="21"/>
              </w:rPr>
            </w:pPr>
            <w:r>
              <w:rPr>
                <w:rFonts w:hint="eastAsia" w:ascii="宋体" w:hAnsi="宋体" w:cs="宋体"/>
                <w:kern w:val="0"/>
                <w:szCs w:val="21"/>
                <w:lang w:val="en-US" w:eastAsia="zh-CN"/>
              </w:rPr>
              <w:t>86</w:t>
            </w:r>
            <w:r>
              <w:rPr>
                <w:rFonts w:hint="eastAsia" w:ascii="宋体" w:hAnsi="宋体" w:cs="宋体"/>
                <w:kern w:val="0"/>
                <w:szCs w:val="21"/>
              </w:rPr>
              <w:t>万元</w:t>
            </w:r>
          </w:p>
        </w:tc>
      </w:tr>
      <w:bookmarkEnd w:id="24"/>
    </w:tbl>
    <w:p w14:paraId="31E3E87F">
      <w:pPr>
        <w:adjustRightInd w:val="0"/>
        <w:spacing w:line="360" w:lineRule="auto"/>
        <w:ind w:firstLine="420" w:firstLineChars="200"/>
        <w:jc w:val="left"/>
        <w:rPr>
          <w:rFonts w:ascii="宋体" w:hAnsi="宋体" w:cs="宋体"/>
          <w:szCs w:val="21"/>
        </w:rPr>
      </w:pPr>
      <w:r>
        <w:rPr>
          <w:rFonts w:hint="eastAsia" w:ascii="宋体" w:hAnsi="宋体" w:cs="宋体"/>
          <w:szCs w:val="21"/>
        </w:rPr>
        <w:t>注：各潜在投标人可就上述所有标段提出投标申请，</w:t>
      </w:r>
      <w:bookmarkStart w:id="25" w:name="_Hlk132995793"/>
      <w:r>
        <w:rPr>
          <w:rFonts w:hint="eastAsia" w:ascii="宋体" w:hAnsi="宋体" w:cs="宋体"/>
          <w:szCs w:val="21"/>
        </w:rPr>
        <w:t>允许兼投兼中。</w:t>
      </w:r>
    </w:p>
    <w:bookmarkEnd w:id="25"/>
    <w:p w14:paraId="181E1835">
      <w:pPr>
        <w:adjustRightInd w:val="0"/>
        <w:spacing w:line="360" w:lineRule="auto"/>
        <w:ind w:firstLine="420" w:firstLineChars="200"/>
        <w:jc w:val="left"/>
        <w:rPr>
          <w:rFonts w:ascii="宋体" w:hAnsi="宋体" w:cs="宋体"/>
          <w:szCs w:val="21"/>
        </w:rPr>
      </w:pPr>
      <w:r>
        <w:rPr>
          <w:rFonts w:hint="eastAsia" w:ascii="宋体" w:hAnsi="宋体" w:cs="宋体"/>
          <w:szCs w:val="21"/>
        </w:rPr>
        <w:t>5.采购需求：完成本项目货品供应，具体参数详见第五章“采购需求”</w:t>
      </w:r>
    </w:p>
    <w:p w14:paraId="413F17C6">
      <w:pPr>
        <w:adjustRightInd w:val="0"/>
        <w:spacing w:line="360" w:lineRule="auto"/>
        <w:ind w:firstLine="420" w:firstLineChars="200"/>
        <w:jc w:val="left"/>
        <w:rPr>
          <w:rFonts w:hint="eastAsia" w:ascii="宋体" w:hAnsi="宋体" w:cs="宋体"/>
          <w:szCs w:val="21"/>
        </w:rPr>
      </w:pPr>
      <w:r>
        <w:rPr>
          <w:rFonts w:hint="eastAsia" w:ascii="宋体" w:hAnsi="宋体" w:cs="宋体"/>
          <w:szCs w:val="21"/>
        </w:rPr>
        <w:t>6.合同履行期限：</w:t>
      </w:r>
    </w:p>
    <w:p w14:paraId="1167703B">
      <w:pPr>
        <w:adjustRightInd w:val="0"/>
        <w:spacing w:line="360" w:lineRule="auto"/>
        <w:ind w:firstLine="420" w:firstLineChars="200"/>
        <w:jc w:val="left"/>
        <w:rPr>
          <w:rFonts w:hint="eastAsia" w:ascii="宋体" w:hAnsi="宋体"/>
          <w:szCs w:val="21"/>
        </w:rPr>
      </w:pPr>
      <w:r>
        <w:rPr>
          <w:rFonts w:hint="eastAsia" w:ascii="宋体" w:hAnsi="宋体"/>
          <w:szCs w:val="21"/>
          <w:lang w:val="en-US" w:eastAsia="zh-CN"/>
        </w:rPr>
        <w:t>1</w:t>
      </w:r>
      <w:r>
        <w:rPr>
          <w:rFonts w:hint="eastAsia" w:ascii="宋体" w:hAnsi="宋体"/>
          <w:szCs w:val="21"/>
        </w:rPr>
        <w:t>标段（</w:t>
      </w:r>
      <w:r>
        <w:rPr>
          <w:rFonts w:hint="eastAsia" w:ascii="宋体" w:hAnsi="宋体"/>
          <w:szCs w:val="21"/>
          <w:lang w:val="en-US" w:eastAsia="zh-CN"/>
        </w:rPr>
        <w:t>纸质图书</w:t>
      </w:r>
      <w:r>
        <w:rPr>
          <w:rFonts w:hint="eastAsia" w:ascii="宋体" w:hAnsi="宋体"/>
          <w:szCs w:val="21"/>
        </w:rPr>
        <w:t>）合同签订后</w:t>
      </w:r>
      <w:r>
        <w:rPr>
          <w:rFonts w:hint="eastAsia" w:ascii="宋体" w:hAnsi="宋体"/>
          <w:szCs w:val="21"/>
          <w:lang w:eastAsia="zh-CN"/>
        </w:rPr>
        <w:t>3</w:t>
      </w:r>
      <w:r>
        <w:rPr>
          <w:rFonts w:hint="eastAsia" w:ascii="宋体" w:hAnsi="宋体"/>
          <w:szCs w:val="21"/>
          <w:lang w:val="en-US" w:eastAsia="zh-CN"/>
        </w:rPr>
        <w:t>0天内完成供货</w:t>
      </w:r>
      <w:r>
        <w:rPr>
          <w:rFonts w:hint="eastAsia" w:ascii="宋体" w:hAnsi="宋体"/>
          <w:szCs w:val="21"/>
        </w:rPr>
        <w:t>；</w:t>
      </w:r>
    </w:p>
    <w:p w14:paraId="33C0FFF7">
      <w:pPr>
        <w:adjustRightInd w:val="0"/>
        <w:spacing w:line="360" w:lineRule="auto"/>
        <w:ind w:firstLine="420" w:firstLineChars="200"/>
        <w:jc w:val="left"/>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2标段（图书管理系统）</w:t>
      </w:r>
      <w:bookmarkStart w:id="26" w:name="_Toc212648363"/>
      <w:bookmarkStart w:id="27" w:name="_Toc1781"/>
      <w:bookmarkStart w:id="28" w:name="_Toc23765"/>
      <w:bookmarkStart w:id="29" w:name="_Toc28359003"/>
      <w:bookmarkStart w:id="30" w:name="_Toc28359080"/>
      <w:bookmarkStart w:id="31" w:name="_Toc35393622"/>
      <w:bookmarkStart w:id="32" w:name="_Toc35393791"/>
      <w:bookmarkStart w:id="33" w:name="_Toc28300"/>
      <w:bookmarkStart w:id="34" w:name="_Toc29446"/>
      <w:bookmarkStart w:id="35" w:name="_Toc12351"/>
      <w:r>
        <w:rPr>
          <w:rFonts w:hint="eastAsia" w:ascii="宋体" w:hAnsi="宋体" w:eastAsia="宋体" w:cs="Times New Roman"/>
          <w:b w:val="0"/>
          <w:kern w:val="2"/>
          <w:sz w:val="21"/>
          <w:szCs w:val="21"/>
          <w:lang w:val="en-US" w:eastAsia="zh-CN" w:bidi="ar-SA"/>
        </w:rPr>
        <w:t xml:space="preserve">签订合同后 </w:t>
      </w:r>
      <w:r>
        <w:rPr>
          <w:rFonts w:hint="eastAsia" w:ascii="宋体" w:hAnsi="宋体" w:cs="Times New Roman"/>
          <w:b w:val="0"/>
          <w:kern w:val="2"/>
          <w:sz w:val="21"/>
          <w:szCs w:val="21"/>
          <w:lang w:val="en-US" w:eastAsia="zh-CN" w:bidi="ar-SA"/>
        </w:rPr>
        <w:t>30</w:t>
      </w:r>
      <w:r>
        <w:rPr>
          <w:rFonts w:hint="eastAsia" w:ascii="宋体" w:hAnsi="宋体" w:eastAsia="宋体" w:cs="Times New Roman"/>
          <w:b w:val="0"/>
          <w:kern w:val="2"/>
          <w:sz w:val="21"/>
          <w:szCs w:val="21"/>
          <w:lang w:val="en-US" w:eastAsia="zh-CN" w:bidi="ar-SA"/>
        </w:rPr>
        <w:t xml:space="preserve"> 个日历天完成项目的硬件设备部分，包括：产品供应、安装、调试及验收移交使用（投标人在此期限内自报最短交货期）。软件部分根据甲方实际情况可延长120个日历日完成安装、调试及验收移交使用。</w:t>
      </w:r>
    </w:p>
    <w:p w14:paraId="73FD6926">
      <w:pPr>
        <w:pStyle w:val="3"/>
        <w:numPr>
          <w:ilvl w:val="1"/>
          <w:numId w:val="0"/>
        </w:numPr>
        <w:jc w:val="left"/>
        <w:rPr>
          <w:rFonts w:hint="eastAsia" w:ascii="宋体" w:hAnsi="宋体" w:eastAsia="宋体" w:cs="宋体"/>
          <w:sz w:val="21"/>
          <w:szCs w:val="21"/>
        </w:rPr>
      </w:pPr>
      <w:r>
        <w:rPr>
          <w:rFonts w:hint="eastAsia" w:ascii="宋体" w:hAnsi="宋体" w:eastAsia="宋体" w:cs="宋体"/>
          <w:sz w:val="21"/>
          <w:szCs w:val="21"/>
        </w:rPr>
        <w:t>二、投标人的资格要求</w:t>
      </w:r>
      <w:bookmarkEnd w:id="26"/>
      <w:bookmarkEnd w:id="27"/>
      <w:bookmarkEnd w:id="28"/>
      <w:bookmarkEnd w:id="29"/>
      <w:bookmarkEnd w:id="30"/>
      <w:bookmarkEnd w:id="31"/>
      <w:bookmarkEnd w:id="32"/>
      <w:bookmarkEnd w:id="33"/>
      <w:bookmarkEnd w:id="34"/>
      <w:bookmarkEnd w:id="35"/>
    </w:p>
    <w:p w14:paraId="37B40009">
      <w:pPr>
        <w:adjustRightInd w:val="0"/>
        <w:spacing w:line="360" w:lineRule="auto"/>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53F960B1">
      <w:pPr>
        <w:adjustRightInd w:val="0"/>
        <w:spacing w:line="360" w:lineRule="auto"/>
        <w:ind w:firstLine="420" w:firstLineChars="200"/>
        <w:jc w:val="left"/>
        <w:rPr>
          <w:rFonts w:ascii="宋体" w:hAnsi="宋体" w:cs="宋体"/>
          <w:szCs w:val="21"/>
        </w:rPr>
      </w:pPr>
      <w:r>
        <w:rPr>
          <w:rFonts w:hint="eastAsia" w:ascii="宋体" w:hAnsi="宋体" w:cs="宋体"/>
          <w:szCs w:val="21"/>
        </w:rPr>
        <w:t>1.1具有独立承担民事责任的能力：提供有效的营业执照或事业单位法人证书或其他类似的法定证明文件；</w:t>
      </w:r>
    </w:p>
    <w:p w14:paraId="29DE9DCC">
      <w:pPr>
        <w:adjustRightInd w:val="0"/>
        <w:spacing w:line="360" w:lineRule="auto"/>
        <w:ind w:firstLine="420" w:firstLineChars="200"/>
        <w:jc w:val="left"/>
        <w:rPr>
          <w:rFonts w:ascii="宋体" w:hAnsi="宋体" w:cs="宋体"/>
          <w:szCs w:val="21"/>
        </w:rPr>
      </w:pPr>
      <w:r>
        <w:rPr>
          <w:rFonts w:hint="eastAsia" w:ascii="宋体" w:hAnsi="宋体" w:cs="宋体"/>
          <w:szCs w:val="21"/>
        </w:rPr>
        <w:t>1.2具有良好的商业信誉和健全的财务会计制度：提供2022年度至2</w:t>
      </w:r>
      <w:r>
        <w:rPr>
          <w:rFonts w:ascii="宋体" w:hAnsi="宋体" w:cs="宋体"/>
          <w:szCs w:val="21"/>
        </w:rPr>
        <w:t>0</w:t>
      </w: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年度任意一年经第三方审计的财务报告及报表，成立时间不足一年的投标人若不能提供上述财务报告及报表的，可提供投标文件提交截止时间前三个月内开户银行出具的资信证明或财务情况说明；</w:t>
      </w:r>
    </w:p>
    <w:p w14:paraId="6B362727">
      <w:pPr>
        <w:adjustRightInd w:val="0"/>
        <w:spacing w:line="360" w:lineRule="auto"/>
        <w:ind w:firstLine="420" w:firstLineChars="200"/>
        <w:jc w:val="left"/>
        <w:rPr>
          <w:rFonts w:ascii="宋体" w:hAnsi="宋体" w:cs="宋体"/>
          <w:szCs w:val="21"/>
        </w:rPr>
      </w:pPr>
      <w:r>
        <w:rPr>
          <w:rFonts w:hint="eastAsia" w:ascii="宋体" w:hAnsi="宋体" w:cs="宋体"/>
          <w:szCs w:val="21"/>
        </w:rPr>
        <w:t>1.3具有履行合同所必需的设备和专业技术能力：提供投标人具有履行合同所必需的设备和专业技术能力证明材料或书面声明；</w:t>
      </w:r>
    </w:p>
    <w:p w14:paraId="509F5043">
      <w:pPr>
        <w:adjustRightInd w:val="0"/>
        <w:spacing w:line="360" w:lineRule="auto"/>
        <w:ind w:firstLine="420" w:firstLineChars="200"/>
        <w:jc w:val="left"/>
        <w:rPr>
          <w:rFonts w:ascii="宋体" w:hAnsi="宋体" w:cs="宋体"/>
          <w:szCs w:val="21"/>
        </w:rPr>
      </w:pPr>
      <w:r>
        <w:rPr>
          <w:rFonts w:hint="eastAsia" w:ascii="宋体" w:hAnsi="宋体" w:cs="宋体"/>
          <w:szCs w:val="21"/>
        </w:rPr>
        <w:t>1.4有依法缴纳税收和社会保障资金的良好记录：提供202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月至今任意1个月依法缴纳税收和缴纳社会保障资金的证明（成立未满1个月的可提供相关情况说明；依法免税或不需要缴纳社会保障资金的，应提供相应文件证明其依法免税或不需要缴纳社会保障资金）；</w:t>
      </w:r>
    </w:p>
    <w:p w14:paraId="524B2DF2">
      <w:pPr>
        <w:adjustRightInd w:val="0"/>
        <w:spacing w:line="360" w:lineRule="auto"/>
        <w:ind w:firstLine="420" w:firstLineChars="200"/>
        <w:jc w:val="left"/>
        <w:rPr>
          <w:rFonts w:ascii="宋体" w:hAnsi="宋体" w:cs="宋体"/>
          <w:szCs w:val="21"/>
        </w:rPr>
      </w:pPr>
      <w:r>
        <w:rPr>
          <w:rFonts w:hint="eastAsia" w:ascii="宋体" w:hAnsi="宋体" w:cs="宋体"/>
          <w:szCs w:val="21"/>
        </w:rPr>
        <w:t>1.5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w:t>
      </w:r>
    </w:p>
    <w:p w14:paraId="61E05CA6">
      <w:pPr>
        <w:adjustRightInd w:val="0"/>
        <w:spacing w:line="360" w:lineRule="auto"/>
        <w:ind w:firstLine="420" w:firstLineChars="200"/>
        <w:jc w:val="left"/>
        <w:rPr>
          <w:rFonts w:ascii="宋体" w:hAnsi="宋体" w:cs="宋体"/>
          <w:szCs w:val="21"/>
        </w:rPr>
      </w:pPr>
      <w:r>
        <w:rPr>
          <w:rFonts w:hint="eastAsia" w:ascii="宋体" w:hAnsi="宋体" w:cs="宋体"/>
          <w:szCs w:val="21"/>
        </w:rPr>
        <w:t>1.6法律、行政法规规定的其他条件：</w:t>
      </w:r>
      <w:bookmarkStart w:id="36" w:name="_Hlk153573847"/>
      <w:r>
        <w:rPr>
          <w:rFonts w:hint="eastAsia" w:ascii="宋体" w:hAnsi="宋体" w:cs="宋体"/>
          <w:szCs w:val="21"/>
        </w:rPr>
        <w:t>投标人</w:t>
      </w:r>
      <w:bookmarkEnd w:id="36"/>
      <w:r>
        <w:rPr>
          <w:rFonts w:hint="eastAsia" w:ascii="宋体" w:hAnsi="宋体" w:cs="宋体"/>
          <w:szCs w:val="21"/>
        </w:rPr>
        <w:t>在中国政府采购网（www.ccgp.gov.cn）政府采购严重违法失信行为记录名单中无不良信息记录；投标人未被列入中国执行信息公开网（zxgk.court.gov.cn）“失信被执行人”名单记录；投标人在“信用中国”网站(www.creditchina.gov.cn)未被列入重大税收违法失信主体，上述网站查询记录最终以投标文件递交截止时间当天由采购人或采购代理机构查询的为准，并将查询记录留存。</w:t>
      </w:r>
    </w:p>
    <w:p w14:paraId="780F8A23">
      <w:pPr>
        <w:adjustRightInd w:val="0"/>
        <w:spacing w:line="360" w:lineRule="auto"/>
        <w:ind w:firstLine="420" w:firstLineChars="200"/>
        <w:jc w:val="left"/>
        <w:rPr>
          <w:rFonts w:hint="eastAsia" w:ascii="宋体" w:hAnsi="宋体" w:cs="宋体"/>
          <w:szCs w:val="21"/>
        </w:rPr>
      </w:pPr>
      <w:bookmarkStart w:id="37" w:name="_Toc28359004"/>
      <w:bookmarkStart w:id="38" w:name="_Toc28359081"/>
      <w:r>
        <w:rPr>
          <w:rFonts w:hint="eastAsia" w:ascii="宋体" w:hAnsi="宋体" w:cs="宋体"/>
          <w:szCs w:val="21"/>
        </w:rPr>
        <w:t>2.</w:t>
      </w:r>
      <w:r>
        <w:rPr>
          <w:rFonts w:hint="eastAsia" w:ascii="宋体" w:hAnsi="宋体" w:eastAsia="宋体" w:cs="宋体"/>
          <w:kern w:val="2"/>
          <w:sz w:val="21"/>
          <w:szCs w:val="21"/>
          <w:lang w:bidi="ar"/>
        </w:rPr>
        <w:t>落实政府采购政策需满足的资格要求：</w:t>
      </w:r>
      <w:r>
        <w:rPr>
          <w:rFonts w:hint="eastAsia" w:ascii="宋体" w:hAnsi="宋体" w:eastAsia="宋体" w:cs="宋体"/>
          <w:kern w:val="2"/>
          <w:sz w:val="21"/>
          <w:szCs w:val="21"/>
          <w:lang w:eastAsia="zh-CN" w:bidi="ar"/>
        </w:rPr>
        <w:t>本项目（不属于）专门面向中小企业采购的项目</w:t>
      </w:r>
      <w:r>
        <w:rPr>
          <w:rFonts w:hint="eastAsia" w:ascii="宋体" w:hAnsi="宋体" w:eastAsia="宋体" w:cs="宋体"/>
          <w:kern w:val="2"/>
          <w:sz w:val="21"/>
          <w:szCs w:val="21"/>
          <w:lang w:eastAsia="zh-CN"/>
        </w:rPr>
        <w:t>。</w:t>
      </w:r>
    </w:p>
    <w:p w14:paraId="246906E8">
      <w:pPr>
        <w:adjustRightInd w:val="0"/>
        <w:spacing w:line="360" w:lineRule="auto"/>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b/>
          <w:bCs/>
          <w:szCs w:val="21"/>
        </w:rPr>
        <w:t>本项目的特定资格要求：</w:t>
      </w:r>
    </w:p>
    <w:p w14:paraId="5733F5C9">
      <w:pPr>
        <w:adjustRightInd w:val="0"/>
        <w:spacing w:line="360" w:lineRule="auto"/>
        <w:ind w:firstLine="420" w:firstLineChars="200"/>
        <w:jc w:val="left"/>
        <w:rPr>
          <w:rFonts w:hint="eastAsia" w:ascii="宋体" w:hAnsi="宋体" w:cs="宋体"/>
          <w:szCs w:val="21"/>
        </w:rPr>
      </w:pPr>
      <w:r>
        <w:rPr>
          <w:rFonts w:hint="eastAsia" w:ascii="宋体" w:hAnsi="宋体" w:cs="宋体"/>
          <w:szCs w:val="21"/>
        </w:rPr>
        <w:t>3.1</w:t>
      </w:r>
      <w:r>
        <w:rPr>
          <w:rFonts w:hint="eastAsia" w:ascii="宋体" w:hAnsi="宋体" w:cs="宋体"/>
          <w:szCs w:val="21"/>
          <w:lang w:val="en-US" w:eastAsia="zh-CN"/>
        </w:rPr>
        <w:t xml:space="preserve"> ：</w:t>
      </w:r>
      <w:r>
        <w:rPr>
          <w:rFonts w:hint="eastAsia" w:ascii="宋体" w:hAnsi="宋体" w:cs="宋体"/>
          <w:b/>
          <w:bCs/>
          <w:szCs w:val="21"/>
        </w:rPr>
        <w:t>1标段（纸质图书）</w:t>
      </w:r>
      <w:r>
        <w:rPr>
          <w:rFonts w:hint="eastAsia" w:ascii="宋体" w:hAnsi="宋体" w:cs="宋体"/>
          <w:b/>
          <w:bCs/>
          <w:szCs w:val="21"/>
          <w:lang w:eastAsia="zh-CN"/>
        </w:rPr>
        <w:t>：</w:t>
      </w:r>
      <w:r>
        <w:rPr>
          <w:rFonts w:hint="eastAsia" w:ascii="宋体" w:hAnsi="宋体" w:cs="宋体"/>
          <w:szCs w:val="21"/>
        </w:rPr>
        <w:t>投标人须具有行政主管部门颁发的有效的《出版物经营许可证》。</w:t>
      </w:r>
    </w:p>
    <w:p w14:paraId="5048C1D3">
      <w:pPr>
        <w:adjustRightInd w:val="0"/>
        <w:spacing w:line="360" w:lineRule="auto"/>
        <w:ind w:firstLine="1054" w:firstLineChars="500"/>
        <w:jc w:val="left"/>
        <w:rPr>
          <w:rFonts w:hint="default" w:ascii="宋体" w:hAnsi="宋体" w:eastAsia="宋体" w:cs="宋体"/>
          <w:szCs w:val="21"/>
          <w:lang w:val="en-US" w:eastAsia="zh-CN"/>
        </w:rPr>
      </w:pPr>
      <w:r>
        <w:rPr>
          <w:rFonts w:hint="eastAsia" w:ascii="宋体" w:hAnsi="宋体" w:cs="宋体"/>
          <w:b/>
          <w:bCs/>
          <w:szCs w:val="21"/>
        </w:rPr>
        <w:t>2标段（图书管理系统）</w:t>
      </w:r>
      <w:r>
        <w:rPr>
          <w:rFonts w:hint="eastAsia" w:ascii="宋体" w:hAnsi="宋体" w:cs="宋体"/>
          <w:b/>
          <w:bCs/>
          <w:szCs w:val="21"/>
          <w:lang w:eastAsia="zh-CN"/>
        </w:rPr>
        <w:t>：</w:t>
      </w:r>
      <w:r>
        <w:rPr>
          <w:rFonts w:hint="eastAsia" w:ascii="宋体" w:hAnsi="宋体" w:cs="宋体"/>
          <w:szCs w:val="21"/>
          <w:lang w:val="en-US" w:eastAsia="zh-CN"/>
        </w:rPr>
        <w:t>无</w:t>
      </w:r>
    </w:p>
    <w:p w14:paraId="60AE581E">
      <w:pPr>
        <w:adjustRightInd w:val="0"/>
        <w:spacing w:line="360" w:lineRule="auto"/>
        <w:ind w:firstLine="420" w:firstLineChars="200"/>
        <w:jc w:val="left"/>
        <w:rPr>
          <w:rFonts w:hint="eastAsia"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5F64464">
      <w:pPr>
        <w:adjustRightIn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3.3.</w:t>
      </w:r>
      <w:r>
        <w:rPr>
          <w:rFonts w:hint="eastAsia" w:ascii="宋体" w:hAnsi="宋体" w:cs="宋体"/>
          <w:color w:val="auto"/>
          <w:kern w:val="2"/>
          <w:sz w:val="21"/>
          <w:szCs w:val="21"/>
        </w:rPr>
        <w:t>本次采购不接受联合体投标。</w:t>
      </w:r>
    </w:p>
    <w:p w14:paraId="3B164941">
      <w:pPr>
        <w:pStyle w:val="3"/>
        <w:numPr>
          <w:ilvl w:val="1"/>
          <w:numId w:val="0"/>
        </w:numPr>
        <w:jc w:val="left"/>
        <w:rPr>
          <w:rFonts w:ascii="宋体" w:hAnsi="宋体" w:eastAsia="宋体" w:cs="宋体"/>
          <w:sz w:val="21"/>
          <w:szCs w:val="21"/>
        </w:rPr>
      </w:pPr>
      <w:bookmarkStart w:id="39" w:name="_Toc25552"/>
      <w:bookmarkStart w:id="40" w:name="_Toc5186"/>
      <w:bookmarkStart w:id="41" w:name="_Toc13152"/>
      <w:bookmarkStart w:id="42" w:name="_Toc32451"/>
      <w:bookmarkStart w:id="43" w:name="_Toc5763"/>
      <w:bookmarkStart w:id="44" w:name="_Toc35393623"/>
      <w:bookmarkStart w:id="45" w:name="_Toc212648364"/>
      <w:bookmarkStart w:id="46" w:name="_Toc35393792"/>
      <w:r>
        <w:rPr>
          <w:rFonts w:hint="eastAsia" w:ascii="宋体" w:hAnsi="宋体" w:eastAsia="宋体" w:cs="宋体"/>
          <w:sz w:val="21"/>
          <w:szCs w:val="21"/>
        </w:rPr>
        <w:t>三、获取招标文件</w:t>
      </w:r>
      <w:bookmarkEnd w:id="37"/>
      <w:bookmarkEnd w:id="38"/>
      <w:bookmarkEnd w:id="39"/>
      <w:bookmarkEnd w:id="40"/>
      <w:bookmarkEnd w:id="41"/>
      <w:bookmarkEnd w:id="42"/>
      <w:bookmarkEnd w:id="43"/>
      <w:bookmarkEnd w:id="44"/>
      <w:bookmarkEnd w:id="45"/>
      <w:bookmarkEnd w:id="46"/>
    </w:p>
    <w:p w14:paraId="2F21CB20">
      <w:pPr>
        <w:adjustRightInd w:val="0"/>
        <w:spacing w:line="360" w:lineRule="auto"/>
        <w:ind w:firstLine="540"/>
        <w:jc w:val="left"/>
        <w:rPr>
          <w:rFonts w:ascii="宋体" w:hAnsi="宋体" w:cs="宋体"/>
          <w:szCs w:val="21"/>
          <w:highlight w:val="none"/>
        </w:rPr>
      </w:pPr>
      <w:r>
        <w:rPr>
          <w:rFonts w:hint="eastAsia" w:ascii="宋体" w:hAnsi="宋体" w:cs="宋体"/>
          <w:szCs w:val="21"/>
        </w:rPr>
        <w:t>1.时间：</w:t>
      </w:r>
      <w:r>
        <w:rPr>
          <w:rFonts w:hint="eastAsia" w:ascii="宋体" w:hAnsi="宋体" w:cs="宋体"/>
          <w:szCs w:val="21"/>
          <w:u w:val="single"/>
        </w:rPr>
        <w:t xml:space="preserve"> </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日至202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16</w:t>
      </w:r>
      <w:r>
        <w:rPr>
          <w:rFonts w:hint="eastAsia" w:ascii="宋体" w:hAnsi="宋体" w:cs="宋体"/>
          <w:szCs w:val="21"/>
          <w:highlight w:val="none"/>
          <w:u w:val="single"/>
        </w:rPr>
        <w:t>日，每天上午0</w:t>
      </w:r>
      <w:r>
        <w:rPr>
          <w:rFonts w:ascii="宋体" w:hAnsi="宋体" w:cs="宋体"/>
          <w:szCs w:val="21"/>
          <w:highlight w:val="none"/>
          <w:u w:val="single"/>
        </w:rPr>
        <w:t>0</w:t>
      </w:r>
      <w:r>
        <w:rPr>
          <w:rFonts w:hint="eastAsia" w:ascii="宋体" w:hAnsi="宋体" w:cs="宋体"/>
          <w:szCs w:val="21"/>
          <w:highlight w:val="none"/>
          <w:u w:val="single"/>
        </w:rPr>
        <w:t>:</w:t>
      </w:r>
      <w:r>
        <w:rPr>
          <w:rFonts w:ascii="宋体" w:hAnsi="宋体" w:cs="宋体"/>
          <w:szCs w:val="21"/>
          <w:highlight w:val="none"/>
          <w:u w:val="single"/>
        </w:rPr>
        <w:t>0</w:t>
      </w:r>
      <w:r>
        <w:rPr>
          <w:rFonts w:hint="eastAsia" w:ascii="宋体" w:hAnsi="宋体" w:cs="宋体"/>
          <w:szCs w:val="21"/>
          <w:highlight w:val="none"/>
          <w:u w:val="single"/>
        </w:rPr>
        <w:t>0至1</w:t>
      </w:r>
      <w:r>
        <w:rPr>
          <w:rFonts w:ascii="宋体" w:hAnsi="宋体" w:cs="宋体"/>
          <w:szCs w:val="21"/>
          <w:highlight w:val="none"/>
          <w:u w:val="single"/>
        </w:rPr>
        <w:t>2</w:t>
      </w:r>
      <w:r>
        <w:rPr>
          <w:rFonts w:hint="eastAsia" w:ascii="宋体" w:hAnsi="宋体" w:cs="宋体"/>
          <w:szCs w:val="21"/>
          <w:highlight w:val="none"/>
          <w:u w:val="single"/>
        </w:rPr>
        <w:t>:</w:t>
      </w:r>
      <w:r>
        <w:rPr>
          <w:rFonts w:ascii="宋体" w:hAnsi="宋体" w:cs="宋体"/>
          <w:szCs w:val="21"/>
          <w:highlight w:val="none"/>
          <w:u w:val="single"/>
        </w:rPr>
        <w:t>0</w:t>
      </w:r>
      <w:r>
        <w:rPr>
          <w:rFonts w:hint="eastAsia" w:ascii="宋体" w:hAnsi="宋体" w:cs="宋体"/>
          <w:szCs w:val="21"/>
          <w:highlight w:val="none"/>
          <w:u w:val="single"/>
        </w:rPr>
        <w:t>0，下午</w:t>
      </w:r>
      <w:r>
        <w:rPr>
          <w:rFonts w:ascii="宋体" w:hAnsi="宋体" w:cs="宋体"/>
          <w:szCs w:val="21"/>
          <w:highlight w:val="none"/>
          <w:u w:val="single"/>
        </w:rPr>
        <w:t>12</w:t>
      </w:r>
      <w:r>
        <w:rPr>
          <w:rFonts w:hint="eastAsia" w:ascii="宋体" w:hAnsi="宋体" w:cs="宋体"/>
          <w:szCs w:val="21"/>
          <w:highlight w:val="none"/>
          <w:u w:val="single"/>
        </w:rPr>
        <w:t>:</w:t>
      </w:r>
      <w:r>
        <w:rPr>
          <w:rFonts w:ascii="宋体" w:hAnsi="宋体" w:cs="宋体"/>
          <w:szCs w:val="21"/>
          <w:highlight w:val="none"/>
          <w:u w:val="single"/>
        </w:rPr>
        <w:t>0</w:t>
      </w:r>
      <w:r>
        <w:rPr>
          <w:rFonts w:hint="eastAsia" w:ascii="宋体" w:hAnsi="宋体" w:cs="宋体"/>
          <w:szCs w:val="21"/>
          <w:highlight w:val="none"/>
          <w:u w:val="single"/>
        </w:rPr>
        <w:t>0至</w:t>
      </w:r>
      <w:r>
        <w:rPr>
          <w:rFonts w:ascii="宋体" w:hAnsi="宋体" w:cs="宋体"/>
          <w:szCs w:val="21"/>
          <w:highlight w:val="none"/>
          <w:u w:val="single"/>
        </w:rPr>
        <w:t>23</w:t>
      </w:r>
      <w:r>
        <w:rPr>
          <w:rFonts w:hint="eastAsia" w:ascii="宋体" w:hAnsi="宋体" w:cs="宋体"/>
          <w:szCs w:val="21"/>
          <w:highlight w:val="none"/>
          <w:u w:val="single"/>
        </w:rPr>
        <w:t>:</w:t>
      </w:r>
      <w:r>
        <w:rPr>
          <w:rFonts w:ascii="宋体" w:hAnsi="宋体" w:cs="宋体"/>
          <w:szCs w:val="21"/>
          <w:highlight w:val="none"/>
          <w:u w:val="single"/>
        </w:rPr>
        <w:t>59</w:t>
      </w:r>
      <w:r>
        <w:rPr>
          <w:rFonts w:hint="eastAsia" w:ascii="宋体" w:hAnsi="宋体" w:cs="宋体"/>
          <w:szCs w:val="21"/>
          <w:highlight w:val="none"/>
          <w:u w:val="single"/>
        </w:rPr>
        <w:t>（北京时间，法定节假日除外）</w:t>
      </w:r>
      <w:r>
        <w:rPr>
          <w:rFonts w:hint="eastAsia" w:ascii="宋体" w:hAnsi="宋体" w:cs="宋体"/>
          <w:szCs w:val="21"/>
          <w:highlight w:val="none"/>
        </w:rPr>
        <w:t>。</w:t>
      </w:r>
    </w:p>
    <w:p w14:paraId="324AE630">
      <w:pPr>
        <w:adjustRightInd w:val="0"/>
        <w:spacing w:line="360" w:lineRule="auto"/>
        <w:ind w:firstLine="540"/>
        <w:jc w:val="left"/>
        <w:rPr>
          <w:rFonts w:ascii="宋体" w:hAnsi="宋体" w:cs="宋体"/>
          <w:szCs w:val="21"/>
          <w:u w:val="single"/>
        </w:rPr>
      </w:pPr>
      <w:r>
        <w:rPr>
          <w:rFonts w:hint="eastAsia" w:ascii="宋体" w:hAnsi="宋体" w:cs="宋体"/>
          <w:szCs w:val="21"/>
        </w:rPr>
        <w:t>2.地点：</w:t>
      </w:r>
      <w:r>
        <w:rPr>
          <w:rFonts w:hint="eastAsia" w:ascii="宋体" w:hAnsi="宋体" w:cs="宋体"/>
          <w:szCs w:val="21"/>
          <w:u w:val="single"/>
        </w:rPr>
        <w:t>投标人可自行在“政采云”平台（http：//www.zcygov.cn）下载招标文件（操作路径：登录“政采云”平台-项目采购-获取采购文件-找到本项目-点击“申请获取采购文件”），电子投标文件制作需要基于“政采云”平台（http：//www.zcygov.cn）获取的招标文件编制</w:t>
      </w:r>
      <w:r>
        <w:rPr>
          <w:rFonts w:hint="eastAsia" w:ascii="宋体" w:hAnsi="宋体" w:cs="宋体"/>
          <w:szCs w:val="21"/>
        </w:rPr>
        <w:t>。</w:t>
      </w:r>
    </w:p>
    <w:p w14:paraId="605A2405">
      <w:pPr>
        <w:wordWrap w:val="0"/>
        <w:adjustRightInd w:val="0"/>
        <w:spacing w:line="360" w:lineRule="auto"/>
        <w:ind w:firstLine="539"/>
        <w:jc w:val="left"/>
        <w:rPr>
          <w:rFonts w:ascii="宋体" w:hAnsi="宋体" w:cs="宋体"/>
          <w:szCs w:val="21"/>
          <w:u w:val="single"/>
        </w:rPr>
      </w:pPr>
      <w:r>
        <w:rPr>
          <w:rFonts w:hint="eastAsia" w:ascii="宋体" w:hAnsi="宋体" w:cs="宋体"/>
          <w:szCs w:val="21"/>
        </w:rPr>
        <w:t>3.方式：</w:t>
      </w:r>
      <w:r>
        <w:rPr>
          <w:rFonts w:hint="eastAsia" w:ascii="宋体" w:hAnsi="宋体" w:cs="宋体"/>
          <w:szCs w:val="21"/>
          <w:u w:val="single"/>
        </w:rPr>
        <w:t>网上获取，具体要求：凡有意参加投标者，须在政“政采云”台办理数字证书（CA），CA申领链接：</w:t>
      </w:r>
      <w:r>
        <w:rPr>
          <w:rFonts w:ascii="宋体" w:hAnsi="宋体" w:cs="宋体"/>
          <w:szCs w:val="21"/>
          <w:u w:val="single"/>
        </w:rPr>
        <w:t>http://yzt.ynsmartcert.cn/cms/yztynbkgc.html</w:t>
      </w:r>
      <w:r>
        <w:rPr>
          <w:rFonts w:hint="eastAsia" w:ascii="宋体" w:hAnsi="宋体" w:cs="宋体"/>
          <w:szCs w:val="21"/>
          <w:u w:val="single"/>
        </w:rPr>
        <w:t>（客服热线：0871-67276028&lt;紧急可拨19988166369&gt;）或https://middle.zcygov.cn/ca/apply/edit?certType=32，并在政采云绑定数字证书（CA）后在网上获取招标文件及其它采购资料，数字证书（CA）详见其办理流程。注：云南本地投标人如之前已在云南CA在线数字证书办理网进行过注册并办理过企业数字证书（CA），直接绑定即可，无需重复办理（2022年1月1日前办理的云南 CA 需到云南CA办理处进行升级）。外省投标人在政采云平台办理的其他CA可直接使用，无需重复办理。</w:t>
      </w:r>
    </w:p>
    <w:p w14:paraId="0AA48690">
      <w:pPr>
        <w:pStyle w:val="3"/>
        <w:numPr>
          <w:ilvl w:val="1"/>
          <w:numId w:val="0"/>
        </w:numPr>
        <w:jc w:val="left"/>
        <w:rPr>
          <w:rFonts w:ascii="宋体" w:hAnsi="宋体" w:eastAsia="宋体" w:cs="宋体"/>
          <w:sz w:val="21"/>
          <w:szCs w:val="21"/>
        </w:rPr>
      </w:pPr>
      <w:bookmarkStart w:id="47" w:name="_Toc28359082"/>
      <w:bookmarkStart w:id="48" w:name="_Toc28359005"/>
      <w:bookmarkStart w:id="49" w:name="_Toc35393793"/>
      <w:bookmarkStart w:id="50" w:name="_Toc212648365"/>
      <w:bookmarkStart w:id="51" w:name="_Toc13168"/>
      <w:bookmarkStart w:id="52" w:name="_Toc6165"/>
      <w:bookmarkStart w:id="53" w:name="_Toc15056"/>
      <w:bookmarkStart w:id="54" w:name="_Toc27266"/>
      <w:bookmarkStart w:id="55" w:name="_Toc19929"/>
      <w:bookmarkStart w:id="56" w:name="_Toc35393624"/>
      <w:r>
        <w:rPr>
          <w:rFonts w:hint="eastAsia" w:ascii="宋体" w:hAnsi="宋体" w:eastAsia="宋体" w:cs="宋体"/>
          <w:sz w:val="21"/>
          <w:szCs w:val="21"/>
        </w:rPr>
        <w:t>四、投标文件</w:t>
      </w:r>
      <w:bookmarkEnd w:id="47"/>
      <w:bookmarkEnd w:id="48"/>
      <w:r>
        <w:rPr>
          <w:rFonts w:hint="eastAsia" w:ascii="宋体" w:hAnsi="宋体" w:eastAsia="宋体" w:cs="宋体"/>
          <w:sz w:val="21"/>
          <w:szCs w:val="21"/>
        </w:rPr>
        <w:t>提交截止时间、开标时间和地点</w:t>
      </w:r>
      <w:bookmarkEnd w:id="49"/>
      <w:bookmarkEnd w:id="50"/>
      <w:bookmarkEnd w:id="51"/>
      <w:bookmarkEnd w:id="52"/>
      <w:bookmarkEnd w:id="53"/>
      <w:bookmarkEnd w:id="54"/>
      <w:bookmarkEnd w:id="55"/>
      <w:bookmarkEnd w:id="56"/>
    </w:p>
    <w:p w14:paraId="49714B1A">
      <w:pPr>
        <w:adjustRightInd w:val="0"/>
        <w:spacing w:line="360" w:lineRule="auto"/>
        <w:ind w:firstLine="420" w:firstLineChars="200"/>
        <w:jc w:val="left"/>
        <w:rPr>
          <w:rFonts w:ascii="宋体" w:hAnsi="宋体" w:cs="宋体"/>
          <w:bCs/>
          <w:szCs w:val="21"/>
        </w:rPr>
      </w:pPr>
      <w:r>
        <w:rPr>
          <w:rFonts w:hint="eastAsia" w:ascii="宋体" w:hAnsi="宋体" w:cs="宋体"/>
          <w:bCs/>
          <w:szCs w:val="21"/>
        </w:rPr>
        <w:t>1.投标文件提交截止时间（开标时间）：</w:t>
      </w:r>
      <w:r>
        <w:rPr>
          <w:rFonts w:hint="eastAsia" w:ascii="宋体" w:hAnsi="宋体" w:cs="宋体"/>
          <w:bCs/>
          <w:szCs w:val="21"/>
          <w:highlight w:val="none"/>
          <w:u w:val="single"/>
        </w:rPr>
        <w:t>202</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30</w:t>
      </w:r>
      <w:r>
        <w:rPr>
          <w:rFonts w:hint="eastAsia" w:ascii="宋体" w:hAnsi="宋体" w:cs="宋体"/>
          <w:bCs/>
          <w:szCs w:val="21"/>
          <w:highlight w:val="none"/>
          <w:u w:val="single"/>
        </w:rPr>
        <w:t xml:space="preserve">日 </w:t>
      </w:r>
      <w:r>
        <w:rPr>
          <w:rFonts w:ascii="宋体" w:hAnsi="宋体" w:cs="宋体"/>
          <w:bCs/>
          <w:szCs w:val="21"/>
          <w:highlight w:val="none"/>
          <w:u w:val="single"/>
        </w:rPr>
        <w:t>09</w:t>
      </w:r>
      <w:r>
        <w:rPr>
          <w:rFonts w:hint="eastAsia" w:ascii="宋体" w:hAnsi="宋体" w:cs="宋体"/>
          <w:bCs/>
          <w:szCs w:val="21"/>
          <w:highlight w:val="none"/>
          <w:u w:val="single"/>
        </w:rPr>
        <w:t xml:space="preserve"> 点 30 分</w:t>
      </w:r>
      <w:r>
        <w:rPr>
          <w:rFonts w:hint="eastAsia" w:ascii="宋体" w:hAnsi="宋体" w:cs="宋体"/>
          <w:bCs/>
          <w:szCs w:val="21"/>
          <w:highlight w:val="none"/>
        </w:rPr>
        <w:t>（</w:t>
      </w:r>
      <w:r>
        <w:rPr>
          <w:rFonts w:hint="eastAsia" w:ascii="宋体" w:hAnsi="宋体" w:cs="宋体"/>
          <w:bCs/>
          <w:szCs w:val="21"/>
        </w:rPr>
        <w:t>北京时间）</w:t>
      </w:r>
    </w:p>
    <w:p w14:paraId="1AE88D24">
      <w:pPr>
        <w:adjustRightInd w:val="0"/>
        <w:spacing w:line="360" w:lineRule="auto"/>
        <w:ind w:firstLine="420" w:firstLineChars="200"/>
        <w:jc w:val="left"/>
        <w:rPr>
          <w:rFonts w:ascii="宋体" w:hAnsi="宋体" w:cs="宋体"/>
          <w:szCs w:val="21"/>
        </w:rPr>
      </w:pPr>
      <w:r>
        <w:rPr>
          <w:rFonts w:hint="eastAsia" w:ascii="宋体" w:hAnsi="宋体" w:cs="宋体"/>
          <w:bCs/>
          <w:szCs w:val="21"/>
        </w:rPr>
        <w:t>2.</w:t>
      </w:r>
      <w:r>
        <w:rPr>
          <w:rFonts w:hint="eastAsia" w:ascii="宋体" w:hAnsi="宋体"/>
        </w:rPr>
        <w:t>地点：</w:t>
      </w:r>
      <w:r>
        <w:rPr>
          <w:rFonts w:hint="eastAsia" w:ascii="宋体" w:hAnsi="宋体" w:cs="宋体"/>
          <w:bCs/>
          <w:szCs w:val="21"/>
          <w:u w:val="single"/>
        </w:rPr>
        <w:t>“政采云”平台开标大厅。投标人应按照本项目招标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r>
        <w:rPr>
          <w:rFonts w:hint="eastAsia" w:ascii="宋体" w:hAnsi="宋体" w:cs="宋体"/>
          <w:bCs/>
          <w:szCs w:val="21"/>
        </w:rPr>
        <w:t>。</w:t>
      </w:r>
    </w:p>
    <w:p w14:paraId="3D3FFAA6">
      <w:pPr>
        <w:pStyle w:val="3"/>
        <w:numPr>
          <w:ilvl w:val="1"/>
          <w:numId w:val="0"/>
        </w:numPr>
        <w:jc w:val="left"/>
        <w:rPr>
          <w:rFonts w:ascii="宋体" w:hAnsi="宋体" w:eastAsia="宋体" w:cs="宋体"/>
          <w:sz w:val="21"/>
          <w:szCs w:val="21"/>
        </w:rPr>
      </w:pPr>
      <w:bookmarkStart w:id="57" w:name="_Toc35393625"/>
      <w:bookmarkStart w:id="58" w:name="_Toc12624"/>
      <w:bookmarkStart w:id="59" w:name="_Toc28359084"/>
      <w:bookmarkStart w:id="60" w:name="_Toc212648366"/>
      <w:bookmarkStart w:id="61" w:name="_Toc28359007"/>
      <w:bookmarkStart w:id="62" w:name="_Toc25866"/>
      <w:bookmarkStart w:id="63" w:name="_Toc167"/>
      <w:bookmarkStart w:id="64" w:name="_Toc2373"/>
      <w:bookmarkStart w:id="65" w:name="_Toc35393794"/>
      <w:bookmarkStart w:id="66" w:name="_Toc28795"/>
      <w:r>
        <w:rPr>
          <w:rFonts w:hint="eastAsia" w:ascii="宋体" w:hAnsi="宋体" w:eastAsia="宋体" w:cs="宋体"/>
          <w:sz w:val="21"/>
          <w:szCs w:val="21"/>
        </w:rPr>
        <w:t>五、公告期限</w:t>
      </w:r>
      <w:bookmarkEnd w:id="57"/>
      <w:bookmarkEnd w:id="58"/>
      <w:bookmarkEnd w:id="59"/>
      <w:bookmarkEnd w:id="60"/>
      <w:bookmarkEnd w:id="61"/>
      <w:bookmarkEnd w:id="62"/>
      <w:bookmarkEnd w:id="63"/>
      <w:bookmarkEnd w:id="64"/>
      <w:bookmarkEnd w:id="65"/>
      <w:bookmarkEnd w:id="66"/>
    </w:p>
    <w:p w14:paraId="1DE85B48">
      <w:pPr>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自本公告发布之日起5个工作日。</w:t>
      </w:r>
    </w:p>
    <w:p w14:paraId="131896FC">
      <w:pPr>
        <w:pStyle w:val="3"/>
        <w:numPr>
          <w:ilvl w:val="1"/>
          <w:numId w:val="0"/>
        </w:numPr>
        <w:jc w:val="left"/>
        <w:rPr>
          <w:rFonts w:ascii="宋体" w:hAnsi="宋体" w:eastAsia="宋体" w:cs="宋体"/>
          <w:sz w:val="21"/>
          <w:szCs w:val="21"/>
        </w:rPr>
      </w:pPr>
      <w:bookmarkStart w:id="67" w:name="_Toc35393795"/>
      <w:bookmarkStart w:id="68" w:name="_Toc3067"/>
      <w:bookmarkStart w:id="69" w:name="_Toc35393626"/>
      <w:bookmarkStart w:id="70" w:name="_Toc23063"/>
      <w:bookmarkStart w:id="71" w:name="_Toc31739"/>
      <w:bookmarkStart w:id="72" w:name="_Toc1996"/>
      <w:bookmarkStart w:id="73" w:name="_Toc212648367"/>
      <w:bookmarkStart w:id="74" w:name="_Toc20210"/>
      <w:r>
        <w:rPr>
          <w:rFonts w:hint="eastAsia" w:ascii="宋体" w:hAnsi="宋体" w:eastAsia="宋体" w:cs="宋体"/>
          <w:sz w:val="21"/>
          <w:szCs w:val="21"/>
        </w:rPr>
        <w:t>六、其他补充事宜</w:t>
      </w:r>
      <w:bookmarkEnd w:id="67"/>
      <w:bookmarkEnd w:id="68"/>
      <w:bookmarkEnd w:id="69"/>
      <w:bookmarkEnd w:id="70"/>
      <w:bookmarkEnd w:id="71"/>
      <w:bookmarkEnd w:id="72"/>
      <w:bookmarkEnd w:id="73"/>
      <w:bookmarkEnd w:id="74"/>
    </w:p>
    <w:p w14:paraId="516C3014">
      <w:pPr>
        <w:widowControl/>
        <w:wordWrap w:val="0"/>
        <w:adjustRightInd w:val="0"/>
        <w:spacing w:line="360" w:lineRule="auto"/>
        <w:ind w:firstLine="420" w:firstLineChars="200"/>
        <w:jc w:val="left"/>
        <w:rPr>
          <w:rFonts w:ascii="宋体" w:hAnsi="宋体" w:cs="宋体"/>
          <w:szCs w:val="21"/>
        </w:rPr>
      </w:pPr>
      <w:r>
        <w:rPr>
          <w:rFonts w:hint="eastAsia" w:ascii="宋体" w:hAnsi="宋体" w:cs="宋体"/>
          <w:szCs w:val="21"/>
        </w:rPr>
        <w:t>本招标公告在云南省政府采购网（http://www.yngp.com/）上发布，采购人或采购代理机构对其他网站或媒体转载的公告及公告内容不承担任何责任。</w:t>
      </w:r>
    </w:p>
    <w:p w14:paraId="2AE3B40C">
      <w:pPr>
        <w:pStyle w:val="3"/>
        <w:numPr>
          <w:ilvl w:val="1"/>
          <w:numId w:val="0"/>
        </w:numPr>
        <w:jc w:val="left"/>
        <w:rPr>
          <w:rFonts w:ascii="宋体" w:hAnsi="宋体" w:eastAsia="宋体" w:cs="宋体"/>
          <w:sz w:val="21"/>
          <w:szCs w:val="21"/>
        </w:rPr>
      </w:pPr>
      <w:bookmarkStart w:id="75" w:name="_Toc28115"/>
      <w:bookmarkStart w:id="76" w:name="_Toc29114"/>
      <w:bookmarkStart w:id="77" w:name="_Toc12441"/>
      <w:bookmarkStart w:id="78" w:name="_Toc23625"/>
      <w:bookmarkStart w:id="79" w:name="_Toc212648368"/>
      <w:bookmarkStart w:id="80" w:name="_Toc35393796"/>
      <w:bookmarkStart w:id="81" w:name="_Toc13041"/>
      <w:bookmarkStart w:id="82" w:name="_Toc28359085"/>
      <w:bookmarkStart w:id="83" w:name="_Toc28359008"/>
      <w:bookmarkStart w:id="84" w:name="_Toc35393627"/>
      <w:r>
        <w:rPr>
          <w:rFonts w:hint="eastAsia" w:ascii="宋体" w:hAnsi="宋体" w:eastAsia="宋体" w:cs="宋体"/>
          <w:sz w:val="21"/>
          <w:szCs w:val="21"/>
        </w:rPr>
        <w:t>七、对本次招标提出询问，请按以下方式联系。</w:t>
      </w:r>
      <w:bookmarkEnd w:id="75"/>
      <w:bookmarkEnd w:id="76"/>
      <w:bookmarkEnd w:id="77"/>
      <w:bookmarkEnd w:id="78"/>
      <w:bookmarkEnd w:id="79"/>
      <w:bookmarkEnd w:id="80"/>
      <w:bookmarkEnd w:id="81"/>
      <w:bookmarkEnd w:id="82"/>
      <w:bookmarkEnd w:id="83"/>
      <w:bookmarkEnd w:id="84"/>
    </w:p>
    <w:p w14:paraId="5F55666B">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1.采购人信息</w:t>
      </w:r>
    </w:p>
    <w:p w14:paraId="3E86B4D5">
      <w:pPr>
        <w:adjustRightIn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名称：</w:t>
      </w:r>
      <w:r>
        <w:rPr>
          <w:rFonts w:hint="eastAsia" w:ascii="宋体" w:hAnsi="宋体" w:cs="宋体"/>
          <w:szCs w:val="21"/>
          <w:lang w:eastAsia="zh-CN"/>
        </w:rPr>
        <w:t>牟定县职业高级中学</w:t>
      </w:r>
    </w:p>
    <w:p w14:paraId="17962787">
      <w:pPr>
        <w:adjustRightInd w:val="0"/>
        <w:spacing w:line="360" w:lineRule="auto"/>
        <w:ind w:firstLine="420" w:firstLineChars="200"/>
        <w:jc w:val="left"/>
        <w:rPr>
          <w:rFonts w:ascii="宋体" w:hAnsi="宋体" w:cs="宋体"/>
          <w:szCs w:val="21"/>
        </w:rPr>
      </w:pPr>
      <w:r>
        <w:rPr>
          <w:rFonts w:hint="eastAsia" w:ascii="宋体" w:hAnsi="宋体" w:cs="宋体"/>
          <w:szCs w:val="21"/>
        </w:rPr>
        <w:t>地址：牟定县共和镇清波邑社区</w:t>
      </w:r>
    </w:p>
    <w:p w14:paraId="1BCD0B37">
      <w:pPr>
        <w:adjustRightInd w:val="0"/>
        <w:spacing w:line="360" w:lineRule="auto"/>
        <w:ind w:firstLine="420" w:firstLineChars="200"/>
        <w:jc w:val="left"/>
        <w:rPr>
          <w:rFonts w:ascii="宋体" w:hAnsi="宋体" w:cs="宋体"/>
          <w:szCs w:val="21"/>
          <w:u w:val="single"/>
        </w:rPr>
      </w:pPr>
      <w:r>
        <w:rPr>
          <w:rFonts w:hint="eastAsia" w:ascii="宋体" w:hAnsi="宋体" w:cs="宋体"/>
          <w:szCs w:val="21"/>
        </w:rPr>
        <w:t>联系方式：</w:t>
      </w:r>
      <w:bookmarkStart w:id="85" w:name="_Toc28359086"/>
      <w:bookmarkStart w:id="86" w:name="_Toc28359009"/>
      <w:r>
        <w:rPr>
          <w:rFonts w:hint="eastAsia" w:ascii="宋体" w:hAnsi="宋体" w:cs="宋体"/>
          <w:szCs w:val="21"/>
          <w:lang w:val="en-US" w:eastAsia="zh-CN"/>
        </w:rPr>
        <w:t>李</w:t>
      </w:r>
      <w:r>
        <w:rPr>
          <w:rFonts w:hint="eastAsia" w:ascii="宋体" w:hAnsi="宋体" w:cs="宋体"/>
          <w:szCs w:val="21"/>
        </w:rPr>
        <w:t>老师 0878-5212245</w:t>
      </w:r>
    </w:p>
    <w:p w14:paraId="4B9D9D69">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2.采购代理机构信息</w:t>
      </w:r>
      <w:bookmarkEnd w:id="85"/>
      <w:bookmarkEnd w:id="86"/>
    </w:p>
    <w:p w14:paraId="03D6AF91">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名称：</w:t>
      </w:r>
      <w:r>
        <w:rPr>
          <w:rFonts w:hint="eastAsia" w:ascii="宋体" w:hAnsi="宋体" w:cs="宋体"/>
          <w:szCs w:val="21"/>
          <w:lang w:eastAsia="zh-CN"/>
        </w:rPr>
        <w:t>云南东臻工程项目管理有限公司</w:t>
      </w:r>
      <w:r>
        <w:rPr>
          <w:rFonts w:hint="eastAsia" w:ascii="宋体" w:hAnsi="宋体" w:cs="宋体"/>
          <w:szCs w:val="21"/>
        </w:rPr>
        <w:t xml:space="preserve"> </w:t>
      </w:r>
    </w:p>
    <w:p w14:paraId="42512710">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地址：楚雄市高新区黎明路26号3楼</w:t>
      </w:r>
    </w:p>
    <w:p w14:paraId="3376718F">
      <w:pPr>
        <w:widowControl/>
        <w:adjustRightIn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联系方式：</w:t>
      </w:r>
      <w:bookmarkStart w:id="87" w:name="_Toc28359010"/>
      <w:bookmarkStart w:id="88" w:name="_Toc28359087"/>
      <w:r>
        <w:rPr>
          <w:rFonts w:hint="eastAsia" w:ascii="宋体" w:hAnsi="宋体" w:cs="宋体"/>
          <w:szCs w:val="21"/>
          <w:lang w:val="en-US" w:eastAsia="zh-CN"/>
        </w:rPr>
        <w:t>邱东</w:t>
      </w:r>
      <w:r>
        <w:rPr>
          <w:rFonts w:hint="eastAsia" w:ascii="宋体" w:hAnsi="宋体" w:cs="宋体"/>
          <w:szCs w:val="21"/>
        </w:rPr>
        <w:t>、</w:t>
      </w:r>
      <w:r>
        <w:rPr>
          <w:rFonts w:hint="eastAsia" w:ascii="宋体" w:hAnsi="宋体" w:cs="宋体"/>
          <w:szCs w:val="21"/>
          <w:lang w:val="en-US" w:eastAsia="zh-CN"/>
        </w:rPr>
        <w:t>金芹</w:t>
      </w:r>
      <w:r>
        <w:rPr>
          <w:rFonts w:hint="eastAsia" w:ascii="宋体" w:hAnsi="宋体" w:cs="宋体"/>
          <w:szCs w:val="21"/>
        </w:rPr>
        <w:t>、</w:t>
      </w:r>
      <w:r>
        <w:rPr>
          <w:rFonts w:hint="eastAsia" w:ascii="宋体" w:hAnsi="宋体" w:cs="宋体"/>
          <w:szCs w:val="21"/>
          <w:lang w:val="en-US" w:eastAsia="zh-CN"/>
        </w:rPr>
        <w:t xml:space="preserve">刘斌 </w:t>
      </w:r>
      <w:r>
        <w:rPr>
          <w:rFonts w:ascii="宋体" w:hAnsi="宋体" w:cs="宋体"/>
          <w:szCs w:val="21"/>
        </w:rPr>
        <w:t>087</w:t>
      </w:r>
      <w:r>
        <w:rPr>
          <w:rFonts w:hint="eastAsia" w:ascii="宋体" w:hAnsi="宋体" w:cs="宋体"/>
          <w:szCs w:val="21"/>
          <w:lang w:val="en-US" w:eastAsia="zh-CN"/>
        </w:rPr>
        <w:t>8</w:t>
      </w:r>
      <w:r>
        <w:rPr>
          <w:rFonts w:ascii="宋体" w:hAnsi="宋体" w:cs="宋体"/>
          <w:szCs w:val="21"/>
        </w:rPr>
        <w:t>-</w:t>
      </w:r>
      <w:r>
        <w:rPr>
          <w:rFonts w:hint="eastAsia" w:ascii="宋体" w:hAnsi="宋体" w:cs="宋体"/>
          <w:szCs w:val="21"/>
          <w:lang w:val="en-US" w:eastAsia="zh-CN"/>
        </w:rPr>
        <w:t>8966058</w:t>
      </w:r>
    </w:p>
    <w:p w14:paraId="7058BDCB">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3.项目联系方式</w:t>
      </w:r>
      <w:bookmarkEnd w:id="87"/>
      <w:bookmarkEnd w:id="88"/>
    </w:p>
    <w:p w14:paraId="1F68FA60">
      <w:pPr>
        <w:widowControl/>
        <w:adjustRightIn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项目联系人：</w:t>
      </w:r>
      <w:r>
        <w:rPr>
          <w:rFonts w:hint="eastAsia" w:ascii="宋体" w:hAnsi="宋体" w:cs="宋体"/>
          <w:szCs w:val="21"/>
          <w:lang w:val="en-US" w:eastAsia="zh-CN"/>
        </w:rPr>
        <w:t>邱东</w:t>
      </w:r>
    </w:p>
    <w:p w14:paraId="020DE128">
      <w:pPr>
        <w:widowControl/>
        <w:adjustRightIn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电话：</w:t>
      </w:r>
      <w:bookmarkEnd w:id="12"/>
      <w:r>
        <w:rPr>
          <w:rFonts w:hint="eastAsia" w:ascii="宋体" w:hAnsi="宋体" w:cs="宋体"/>
          <w:szCs w:val="21"/>
          <w:lang w:val="en-US" w:eastAsia="zh-CN"/>
        </w:rPr>
        <w:t>13769263111</w:t>
      </w:r>
    </w:p>
    <w:p w14:paraId="332F673A">
      <w:pPr>
        <w:widowControl/>
        <w:adjustRightInd w:val="0"/>
        <w:spacing w:line="360" w:lineRule="auto"/>
        <w:ind w:firstLine="420" w:firstLineChars="200"/>
        <w:jc w:val="left"/>
        <w:rPr>
          <w:rFonts w:hint="default" w:ascii="宋体" w:hAnsi="宋体" w:eastAsia="宋体" w:cs="宋体"/>
          <w:szCs w:val="21"/>
          <w:lang w:val="en-US" w:eastAsia="zh-CN"/>
        </w:rPr>
      </w:pPr>
    </w:p>
    <w:bookmarkEnd w:id="10"/>
    <w:p w14:paraId="4A1E8DBC">
      <w:pPr>
        <w:pStyle w:val="2"/>
        <w:numPr>
          <w:ilvl w:val="0"/>
          <w:numId w:val="0"/>
        </w:numPr>
        <w:jc w:val="center"/>
        <w:rPr>
          <w:rFonts w:ascii="宋体" w:hAnsi="宋体" w:eastAsia="宋体" w:cs="宋体"/>
          <w:b w:val="0"/>
          <w:bCs/>
          <w:sz w:val="32"/>
          <w:szCs w:val="32"/>
        </w:rPr>
      </w:pPr>
      <w:r>
        <w:rPr>
          <w:rFonts w:hint="eastAsia" w:ascii="宋体" w:hAnsi="宋体" w:eastAsia="宋体" w:cs="宋体"/>
          <w:b w:val="0"/>
          <w:sz w:val="36"/>
        </w:rPr>
        <w:br w:type="page"/>
      </w:r>
      <w:bookmarkStart w:id="89" w:name="_Toc27124"/>
      <w:bookmarkStart w:id="90" w:name="_Toc18783"/>
      <w:bookmarkStart w:id="91" w:name="_Toc447720936"/>
      <w:bookmarkStart w:id="92" w:name="_Toc1705"/>
      <w:bookmarkStart w:id="93" w:name="_Toc23037"/>
      <w:bookmarkStart w:id="94" w:name="_Toc212648369"/>
      <w:bookmarkStart w:id="95" w:name="_Toc16427"/>
      <w:bookmarkStart w:id="96" w:name="_Toc20296"/>
      <w:r>
        <w:rPr>
          <w:rFonts w:hint="eastAsia" w:ascii="宋体" w:hAnsi="宋体" w:eastAsia="宋体" w:cs="宋体"/>
          <w:sz w:val="32"/>
          <w:szCs w:val="32"/>
        </w:rPr>
        <w:t>第二章  投标人须知</w:t>
      </w:r>
      <w:bookmarkEnd w:id="11"/>
      <w:bookmarkEnd w:id="89"/>
      <w:bookmarkEnd w:id="90"/>
      <w:bookmarkEnd w:id="91"/>
      <w:bookmarkEnd w:id="92"/>
      <w:bookmarkEnd w:id="93"/>
      <w:bookmarkEnd w:id="94"/>
      <w:bookmarkEnd w:id="95"/>
      <w:bookmarkEnd w:id="96"/>
    </w:p>
    <w:p w14:paraId="6090A5E7">
      <w:pPr>
        <w:pStyle w:val="3"/>
        <w:numPr>
          <w:ilvl w:val="1"/>
          <w:numId w:val="0"/>
        </w:numPr>
        <w:spacing w:before="0" w:line="240" w:lineRule="auto"/>
        <w:jc w:val="center"/>
        <w:rPr>
          <w:rFonts w:ascii="宋体" w:hAnsi="宋体" w:eastAsia="宋体" w:cs="宋体"/>
          <w:szCs w:val="28"/>
        </w:rPr>
      </w:pPr>
      <w:bookmarkStart w:id="97" w:name="_Toc27964"/>
      <w:bookmarkStart w:id="98" w:name="_Toc212648370"/>
      <w:bookmarkStart w:id="99" w:name="_Toc14627"/>
      <w:bookmarkStart w:id="100" w:name="_Toc1894"/>
      <w:bookmarkStart w:id="101" w:name="_Toc13563"/>
      <w:bookmarkStart w:id="102" w:name="_Toc447720937"/>
      <w:bookmarkStart w:id="103" w:name="_Toc9137"/>
      <w:bookmarkStart w:id="104" w:name="_Toc21240"/>
      <w:bookmarkStart w:id="105" w:name="_Toc373252445"/>
      <w:r>
        <w:rPr>
          <w:rFonts w:hint="eastAsia" w:ascii="宋体" w:hAnsi="宋体" w:eastAsia="宋体" w:cs="宋体"/>
          <w:szCs w:val="28"/>
        </w:rPr>
        <w:t>投标人须知前附表</w:t>
      </w:r>
      <w:bookmarkEnd w:id="97"/>
      <w:bookmarkEnd w:id="98"/>
      <w:bookmarkEnd w:id="99"/>
      <w:bookmarkEnd w:id="100"/>
      <w:bookmarkEnd w:id="101"/>
      <w:bookmarkEnd w:id="102"/>
      <w:bookmarkEnd w:id="103"/>
      <w:bookmarkEnd w:id="104"/>
      <w:bookmarkEnd w:id="105"/>
    </w:p>
    <w:tbl>
      <w:tblPr>
        <w:tblStyle w:val="16"/>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41"/>
        <w:gridCol w:w="2410"/>
        <w:gridCol w:w="6332"/>
      </w:tblGrid>
      <w:tr w14:paraId="5CDC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4327FFFC">
            <w:pPr>
              <w:pStyle w:val="10"/>
              <w:spacing w:line="360" w:lineRule="auto"/>
              <w:jc w:val="center"/>
              <w:rPr>
                <w:rFonts w:hAnsi="宋体" w:cs="宋体"/>
                <w:b/>
                <w:kern w:val="2"/>
                <w:sz w:val="21"/>
                <w:szCs w:val="21"/>
              </w:rPr>
            </w:pPr>
            <w:r>
              <w:rPr>
                <w:rFonts w:hint="eastAsia" w:hAnsi="宋体" w:cs="宋体"/>
                <w:b/>
                <w:kern w:val="2"/>
                <w:sz w:val="21"/>
                <w:szCs w:val="21"/>
              </w:rPr>
              <w:t>条款号</w:t>
            </w:r>
          </w:p>
        </w:tc>
        <w:tc>
          <w:tcPr>
            <w:tcW w:w="2410" w:type="dxa"/>
            <w:vAlign w:val="center"/>
          </w:tcPr>
          <w:p w14:paraId="5DAA7F44">
            <w:pPr>
              <w:pStyle w:val="10"/>
              <w:spacing w:line="360" w:lineRule="auto"/>
              <w:jc w:val="center"/>
              <w:rPr>
                <w:rFonts w:hAnsi="宋体" w:cs="宋体"/>
                <w:b/>
                <w:kern w:val="2"/>
                <w:sz w:val="21"/>
                <w:szCs w:val="21"/>
              </w:rPr>
            </w:pPr>
            <w:r>
              <w:rPr>
                <w:rFonts w:hint="eastAsia" w:hAnsi="宋体" w:cs="宋体"/>
                <w:b/>
                <w:kern w:val="2"/>
                <w:sz w:val="21"/>
                <w:szCs w:val="21"/>
              </w:rPr>
              <w:t>条款名称</w:t>
            </w:r>
          </w:p>
        </w:tc>
        <w:tc>
          <w:tcPr>
            <w:tcW w:w="6332" w:type="dxa"/>
            <w:vAlign w:val="center"/>
          </w:tcPr>
          <w:p w14:paraId="3176825C">
            <w:pPr>
              <w:pStyle w:val="10"/>
              <w:spacing w:line="360" w:lineRule="auto"/>
              <w:jc w:val="center"/>
              <w:rPr>
                <w:rFonts w:hAnsi="宋体" w:cs="宋体"/>
                <w:b/>
                <w:kern w:val="2"/>
                <w:sz w:val="21"/>
                <w:szCs w:val="21"/>
              </w:rPr>
            </w:pPr>
            <w:r>
              <w:rPr>
                <w:rFonts w:hint="eastAsia" w:hAnsi="宋体" w:cs="宋体"/>
                <w:b/>
                <w:kern w:val="2"/>
                <w:sz w:val="21"/>
                <w:szCs w:val="21"/>
              </w:rPr>
              <w:t>编 列 内 容</w:t>
            </w:r>
          </w:p>
        </w:tc>
      </w:tr>
      <w:tr w14:paraId="6F36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Merge w:val="restart"/>
            <w:vAlign w:val="center"/>
          </w:tcPr>
          <w:p w14:paraId="5450D9D3">
            <w:pPr>
              <w:pStyle w:val="10"/>
              <w:spacing w:line="360" w:lineRule="auto"/>
              <w:jc w:val="center"/>
              <w:rPr>
                <w:rFonts w:hAnsi="宋体" w:cs="宋体"/>
                <w:kern w:val="2"/>
                <w:sz w:val="21"/>
                <w:szCs w:val="21"/>
              </w:rPr>
            </w:pPr>
            <w:r>
              <w:rPr>
                <w:rFonts w:hint="eastAsia" w:hAnsi="宋体" w:cs="宋体"/>
                <w:kern w:val="2"/>
                <w:sz w:val="21"/>
                <w:szCs w:val="21"/>
              </w:rPr>
              <w:t>1</w:t>
            </w:r>
          </w:p>
        </w:tc>
        <w:tc>
          <w:tcPr>
            <w:tcW w:w="2410" w:type="dxa"/>
            <w:vAlign w:val="center"/>
          </w:tcPr>
          <w:p w14:paraId="00D95368">
            <w:pPr>
              <w:pStyle w:val="10"/>
              <w:spacing w:line="360" w:lineRule="auto"/>
              <w:jc w:val="center"/>
              <w:rPr>
                <w:rFonts w:hAnsi="宋体" w:cs="宋体"/>
                <w:kern w:val="2"/>
                <w:sz w:val="21"/>
                <w:szCs w:val="21"/>
              </w:rPr>
            </w:pPr>
            <w:r>
              <w:rPr>
                <w:rFonts w:hint="eastAsia" w:hAnsi="宋体" w:cs="宋体"/>
                <w:bCs/>
                <w:kern w:val="2"/>
                <w:sz w:val="21"/>
                <w:szCs w:val="21"/>
              </w:rPr>
              <w:t>采购人</w:t>
            </w:r>
          </w:p>
        </w:tc>
        <w:tc>
          <w:tcPr>
            <w:tcW w:w="6332" w:type="dxa"/>
            <w:vAlign w:val="center"/>
          </w:tcPr>
          <w:p w14:paraId="43730637">
            <w:pPr>
              <w:pStyle w:val="10"/>
              <w:spacing w:line="360" w:lineRule="auto"/>
              <w:rPr>
                <w:rFonts w:hAnsi="宋体" w:cs="宋体"/>
                <w:bCs/>
                <w:kern w:val="2"/>
                <w:sz w:val="21"/>
                <w:szCs w:val="21"/>
              </w:rPr>
            </w:pPr>
            <w:r>
              <w:rPr>
                <w:rFonts w:hint="eastAsia" w:hAnsi="宋体" w:cs="宋体"/>
                <w:bCs/>
                <w:kern w:val="2"/>
                <w:sz w:val="21"/>
                <w:szCs w:val="21"/>
                <w:lang w:eastAsia="zh-CN"/>
              </w:rPr>
              <w:t>牟定县职业高级中学</w:t>
            </w:r>
            <w:r>
              <w:rPr>
                <w:rFonts w:hint="eastAsia" w:hAnsi="宋体" w:cs="宋体"/>
                <w:bCs/>
                <w:kern w:val="2"/>
                <w:sz w:val="21"/>
                <w:szCs w:val="21"/>
              </w:rPr>
              <w:t>。</w:t>
            </w:r>
          </w:p>
        </w:tc>
      </w:tr>
      <w:tr w14:paraId="47BA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Merge w:val="continue"/>
            <w:vAlign w:val="center"/>
          </w:tcPr>
          <w:p w14:paraId="74E87F0B">
            <w:pPr>
              <w:spacing w:line="360" w:lineRule="auto"/>
              <w:jc w:val="center"/>
              <w:rPr>
                <w:rFonts w:ascii="宋体" w:hAnsi="宋体" w:cs="宋体"/>
                <w:szCs w:val="21"/>
              </w:rPr>
            </w:pPr>
          </w:p>
        </w:tc>
        <w:tc>
          <w:tcPr>
            <w:tcW w:w="2410" w:type="dxa"/>
            <w:vAlign w:val="center"/>
          </w:tcPr>
          <w:p w14:paraId="70584D8B">
            <w:pPr>
              <w:pStyle w:val="10"/>
              <w:spacing w:line="360" w:lineRule="auto"/>
              <w:jc w:val="center"/>
              <w:rPr>
                <w:rFonts w:hAnsi="宋体" w:cs="宋体"/>
                <w:bCs/>
                <w:kern w:val="2"/>
                <w:sz w:val="21"/>
                <w:szCs w:val="21"/>
              </w:rPr>
            </w:pPr>
            <w:r>
              <w:rPr>
                <w:rFonts w:hint="eastAsia" w:hAnsi="宋体" w:cs="宋体"/>
                <w:bCs/>
                <w:kern w:val="2"/>
                <w:sz w:val="21"/>
                <w:szCs w:val="21"/>
              </w:rPr>
              <w:t>采购代理机构</w:t>
            </w:r>
          </w:p>
        </w:tc>
        <w:tc>
          <w:tcPr>
            <w:tcW w:w="6332" w:type="dxa"/>
            <w:vAlign w:val="center"/>
          </w:tcPr>
          <w:p w14:paraId="5960D74E">
            <w:pPr>
              <w:pStyle w:val="10"/>
              <w:spacing w:line="360" w:lineRule="auto"/>
              <w:rPr>
                <w:rFonts w:hAnsi="宋体" w:cs="宋体"/>
                <w:kern w:val="2"/>
                <w:sz w:val="21"/>
                <w:szCs w:val="21"/>
              </w:rPr>
            </w:pPr>
            <w:r>
              <w:rPr>
                <w:rFonts w:hint="eastAsia" w:hAnsi="宋体" w:cs="宋体"/>
                <w:kern w:val="2"/>
                <w:sz w:val="21"/>
                <w:szCs w:val="21"/>
                <w:lang w:eastAsia="zh-CN"/>
              </w:rPr>
              <w:t>云南东臻工程项目管理有限公司</w:t>
            </w:r>
            <w:r>
              <w:rPr>
                <w:rFonts w:hint="eastAsia" w:hAnsi="宋体" w:cs="宋体"/>
                <w:kern w:val="2"/>
                <w:sz w:val="21"/>
                <w:szCs w:val="21"/>
              </w:rPr>
              <w:t>。</w:t>
            </w:r>
          </w:p>
        </w:tc>
      </w:tr>
      <w:tr w14:paraId="24FF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Merge w:val="continue"/>
            <w:vAlign w:val="center"/>
          </w:tcPr>
          <w:p w14:paraId="5A8A16F8">
            <w:pPr>
              <w:spacing w:line="360" w:lineRule="auto"/>
              <w:jc w:val="center"/>
              <w:rPr>
                <w:rFonts w:ascii="宋体" w:hAnsi="宋体" w:cs="宋体"/>
                <w:szCs w:val="21"/>
              </w:rPr>
            </w:pPr>
          </w:p>
        </w:tc>
        <w:tc>
          <w:tcPr>
            <w:tcW w:w="2410" w:type="dxa"/>
            <w:vAlign w:val="center"/>
          </w:tcPr>
          <w:p w14:paraId="4FC84036">
            <w:pPr>
              <w:pStyle w:val="10"/>
              <w:spacing w:line="360" w:lineRule="auto"/>
              <w:jc w:val="center"/>
              <w:rPr>
                <w:rFonts w:hAnsi="宋体" w:cs="宋体"/>
                <w:kern w:val="2"/>
                <w:sz w:val="21"/>
                <w:szCs w:val="21"/>
              </w:rPr>
            </w:pPr>
            <w:r>
              <w:rPr>
                <w:rFonts w:hint="eastAsia" w:hAnsi="宋体" w:cs="宋体"/>
                <w:kern w:val="2"/>
                <w:sz w:val="21"/>
                <w:szCs w:val="21"/>
              </w:rPr>
              <w:t>项目名称及招标编号</w:t>
            </w:r>
          </w:p>
        </w:tc>
        <w:tc>
          <w:tcPr>
            <w:tcW w:w="6332" w:type="dxa"/>
            <w:vAlign w:val="center"/>
          </w:tcPr>
          <w:p w14:paraId="32FAAB1B">
            <w:pPr>
              <w:pStyle w:val="10"/>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项目名称：牟定县职业高级中学图书购置和电子阅览室建设项目。</w:t>
            </w:r>
          </w:p>
          <w:p w14:paraId="543B2112">
            <w:pPr>
              <w:pStyle w:val="10"/>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标段名称：牟定县职业高级中学图书购置和电子阅览室建设项目</w:t>
            </w:r>
            <w:r>
              <w:rPr>
                <w:rFonts w:hint="eastAsia" w:hAnsi="宋体" w:cs="宋体"/>
                <w:kern w:val="2"/>
                <w:sz w:val="21"/>
                <w:szCs w:val="21"/>
                <w:highlight w:val="none"/>
                <w:lang w:val="en-US" w:eastAsia="zh-CN" w:bidi="ar-SA"/>
              </w:rPr>
              <w:t>（二</w:t>
            </w:r>
            <w:r>
              <w:rPr>
                <w:rFonts w:hint="eastAsia" w:ascii="宋体" w:hAnsi="宋体" w:eastAsia="宋体" w:cs="宋体"/>
                <w:kern w:val="2"/>
                <w:sz w:val="21"/>
                <w:szCs w:val="21"/>
                <w:highlight w:val="none"/>
                <w:lang w:val="en-US" w:eastAsia="zh-CN" w:bidi="ar-SA"/>
              </w:rPr>
              <w:t>标段</w:t>
            </w:r>
            <w:r>
              <w:rPr>
                <w:rFonts w:hint="eastAsia"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w:t>
            </w:r>
          </w:p>
          <w:p w14:paraId="1A67FA22">
            <w:pPr>
              <w:pStyle w:val="10"/>
              <w:spacing w:line="360" w:lineRule="auto"/>
              <w:rPr>
                <w:rFonts w:hAnsi="宋体" w:cs="宋体"/>
                <w:kern w:val="2"/>
                <w:sz w:val="21"/>
                <w:szCs w:val="21"/>
              </w:rPr>
            </w:pPr>
            <w:r>
              <w:rPr>
                <w:rFonts w:hint="eastAsia" w:ascii="宋体" w:hAnsi="宋体" w:eastAsia="宋体" w:cs="宋体"/>
                <w:kern w:val="2"/>
                <w:sz w:val="21"/>
                <w:szCs w:val="21"/>
                <w:highlight w:val="none"/>
                <w:lang w:val="en-US" w:eastAsia="zh-CN" w:bidi="ar-SA"/>
              </w:rPr>
              <w:t>招标编号：YNDZ-CX-2026-ZB045。</w:t>
            </w:r>
          </w:p>
        </w:tc>
      </w:tr>
      <w:tr w14:paraId="73ED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0FD69541">
            <w:pPr>
              <w:spacing w:line="360" w:lineRule="auto"/>
              <w:jc w:val="center"/>
              <w:rPr>
                <w:rFonts w:ascii="宋体" w:hAnsi="宋体" w:cs="宋体"/>
                <w:szCs w:val="21"/>
              </w:rPr>
            </w:pPr>
            <w:r>
              <w:rPr>
                <w:rFonts w:hint="eastAsia" w:ascii="宋体" w:hAnsi="宋体" w:cs="宋体"/>
                <w:szCs w:val="21"/>
              </w:rPr>
              <w:t>2.1</w:t>
            </w:r>
          </w:p>
        </w:tc>
        <w:tc>
          <w:tcPr>
            <w:tcW w:w="2410" w:type="dxa"/>
            <w:vAlign w:val="center"/>
          </w:tcPr>
          <w:p w14:paraId="5FFDBC62">
            <w:pPr>
              <w:pStyle w:val="10"/>
              <w:spacing w:line="360" w:lineRule="auto"/>
              <w:jc w:val="center"/>
              <w:rPr>
                <w:rFonts w:hAnsi="宋体" w:cs="宋体"/>
                <w:kern w:val="2"/>
                <w:sz w:val="21"/>
                <w:szCs w:val="21"/>
              </w:rPr>
            </w:pPr>
            <w:r>
              <w:rPr>
                <w:rFonts w:hint="eastAsia" w:hAnsi="宋体" w:cs="宋体"/>
                <w:kern w:val="2"/>
                <w:sz w:val="21"/>
                <w:szCs w:val="21"/>
              </w:rPr>
              <w:t>资金来源</w:t>
            </w:r>
          </w:p>
        </w:tc>
        <w:tc>
          <w:tcPr>
            <w:tcW w:w="6332" w:type="dxa"/>
            <w:vAlign w:val="center"/>
          </w:tcPr>
          <w:p w14:paraId="29189C81">
            <w:pPr>
              <w:pStyle w:val="10"/>
              <w:spacing w:line="360" w:lineRule="auto"/>
              <w:rPr>
                <w:rFonts w:hAnsi="宋体" w:cs="宋体"/>
                <w:kern w:val="2"/>
                <w:sz w:val="21"/>
                <w:szCs w:val="21"/>
              </w:rPr>
            </w:pPr>
            <w:r>
              <w:rPr>
                <w:rFonts w:hint="eastAsia" w:hAnsi="宋体" w:cs="宋体"/>
                <w:kern w:val="2"/>
                <w:sz w:val="21"/>
                <w:szCs w:val="21"/>
              </w:rPr>
              <w:t>财政资金。</w:t>
            </w:r>
          </w:p>
        </w:tc>
      </w:tr>
      <w:tr w14:paraId="37B9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76B5CE0E">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2410" w:type="dxa"/>
            <w:vAlign w:val="center"/>
          </w:tcPr>
          <w:p w14:paraId="03A74524">
            <w:pPr>
              <w:pStyle w:val="10"/>
              <w:spacing w:line="360" w:lineRule="auto"/>
              <w:jc w:val="center"/>
              <w:rPr>
                <w:rFonts w:hint="eastAsia" w:hAnsi="宋体" w:cs="宋体"/>
                <w:kern w:val="2"/>
                <w:sz w:val="21"/>
                <w:szCs w:val="21"/>
              </w:rPr>
            </w:pPr>
            <w:r>
              <w:rPr>
                <w:rFonts w:hint="eastAsia" w:hAnsi="宋体" w:cs="宋体"/>
                <w:kern w:val="2"/>
                <w:sz w:val="21"/>
                <w:szCs w:val="21"/>
              </w:rPr>
              <w:t>采购预算</w:t>
            </w:r>
          </w:p>
        </w:tc>
        <w:tc>
          <w:tcPr>
            <w:tcW w:w="6332" w:type="dxa"/>
            <w:vAlign w:val="center"/>
          </w:tcPr>
          <w:p w14:paraId="1064400C">
            <w:pPr>
              <w:pStyle w:val="10"/>
              <w:spacing w:line="360" w:lineRule="auto"/>
              <w:rPr>
                <w:rFonts w:hint="eastAsia" w:hAnsi="宋体" w:cs="宋体"/>
                <w:kern w:val="2"/>
                <w:sz w:val="21"/>
                <w:szCs w:val="21"/>
              </w:rPr>
            </w:pPr>
            <w:r>
              <w:rPr>
                <w:rFonts w:hint="eastAsia" w:cs="宋体"/>
                <w:color w:val="auto"/>
                <w:szCs w:val="21"/>
              </w:rPr>
              <w:t>详</w:t>
            </w:r>
            <w:r>
              <w:rPr>
                <w:rFonts w:hint="eastAsia" w:ascii="宋体" w:hAnsi="宋体" w:eastAsia="宋体" w:cs="宋体"/>
                <w:kern w:val="2"/>
                <w:sz w:val="21"/>
                <w:szCs w:val="21"/>
                <w:highlight w:val="none"/>
                <w:lang w:val="en-US" w:eastAsia="zh-CN" w:bidi="ar-SA"/>
              </w:rPr>
              <w:t>见第一章“招标公告”。</w:t>
            </w:r>
          </w:p>
        </w:tc>
      </w:tr>
      <w:tr w14:paraId="66FF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261DA81E">
            <w:pPr>
              <w:pStyle w:val="10"/>
              <w:spacing w:line="360" w:lineRule="auto"/>
              <w:jc w:val="center"/>
              <w:rPr>
                <w:rFonts w:hAnsi="宋体" w:cs="宋体"/>
                <w:kern w:val="2"/>
                <w:sz w:val="21"/>
                <w:szCs w:val="21"/>
              </w:rPr>
            </w:pPr>
            <w:r>
              <w:rPr>
                <w:rFonts w:hint="eastAsia" w:hAnsi="宋体" w:cs="宋体"/>
                <w:kern w:val="2"/>
                <w:sz w:val="21"/>
                <w:szCs w:val="21"/>
              </w:rPr>
              <w:t>3.1</w:t>
            </w:r>
          </w:p>
        </w:tc>
        <w:tc>
          <w:tcPr>
            <w:tcW w:w="2410" w:type="dxa"/>
            <w:vAlign w:val="center"/>
          </w:tcPr>
          <w:p w14:paraId="0E834EFC">
            <w:pPr>
              <w:pStyle w:val="10"/>
              <w:spacing w:line="360" w:lineRule="auto"/>
              <w:jc w:val="center"/>
              <w:rPr>
                <w:rFonts w:hAnsi="宋体" w:cs="宋体"/>
                <w:kern w:val="2"/>
                <w:sz w:val="21"/>
                <w:szCs w:val="21"/>
              </w:rPr>
            </w:pPr>
            <w:r>
              <w:rPr>
                <w:rFonts w:hint="eastAsia" w:hAnsi="宋体" w:cs="宋体"/>
                <w:kern w:val="2"/>
                <w:sz w:val="21"/>
                <w:szCs w:val="21"/>
              </w:rPr>
              <w:t>招标范围</w:t>
            </w:r>
          </w:p>
        </w:tc>
        <w:tc>
          <w:tcPr>
            <w:tcW w:w="6332" w:type="dxa"/>
            <w:vAlign w:val="center"/>
          </w:tcPr>
          <w:p w14:paraId="0BC37E98">
            <w:pPr>
              <w:pStyle w:val="10"/>
              <w:spacing w:line="360" w:lineRule="auto"/>
              <w:rPr>
                <w:rFonts w:hAnsi="宋体" w:cs="宋体"/>
                <w:kern w:val="2"/>
                <w:sz w:val="21"/>
                <w:szCs w:val="21"/>
              </w:rPr>
            </w:pPr>
            <w:r>
              <w:rPr>
                <w:rFonts w:hint="eastAsia" w:hAnsi="宋体" w:cs="宋体"/>
                <w:kern w:val="2"/>
                <w:sz w:val="21"/>
                <w:szCs w:val="21"/>
              </w:rPr>
              <w:t>详见招标公告及第五章“采购需求”。</w:t>
            </w:r>
          </w:p>
        </w:tc>
      </w:tr>
      <w:tr w14:paraId="2B06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2DFEAD23">
            <w:pPr>
              <w:pStyle w:val="10"/>
              <w:spacing w:line="360" w:lineRule="auto"/>
              <w:jc w:val="center"/>
              <w:rPr>
                <w:rFonts w:hAnsi="宋体" w:cs="宋体"/>
                <w:kern w:val="2"/>
                <w:sz w:val="21"/>
                <w:szCs w:val="21"/>
              </w:rPr>
            </w:pPr>
            <w:r>
              <w:rPr>
                <w:rFonts w:hint="eastAsia" w:hAnsi="宋体" w:cs="宋体"/>
                <w:kern w:val="2"/>
                <w:sz w:val="21"/>
                <w:szCs w:val="21"/>
              </w:rPr>
              <w:t>3.2</w:t>
            </w:r>
          </w:p>
        </w:tc>
        <w:tc>
          <w:tcPr>
            <w:tcW w:w="2410" w:type="dxa"/>
            <w:vAlign w:val="center"/>
          </w:tcPr>
          <w:p w14:paraId="12232836">
            <w:pPr>
              <w:pStyle w:val="10"/>
              <w:spacing w:line="360" w:lineRule="auto"/>
              <w:jc w:val="center"/>
              <w:rPr>
                <w:rFonts w:hAnsi="宋体" w:cs="宋体"/>
                <w:kern w:val="2"/>
                <w:sz w:val="21"/>
                <w:szCs w:val="21"/>
              </w:rPr>
            </w:pPr>
            <w:r>
              <w:rPr>
                <w:rFonts w:hint="eastAsia" w:hAnsi="宋体" w:cs="宋体"/>
                <w:kern w:val="2"/>
                <w:sz w:val="21"/>
                <w:szCs w:val="21"/>
              </w:rPr>
              <w:t>交货期和交货地点</w:t>
            </w:r>
          </w:p>
        </w:tc>
        <w:tc>
          <w:tcPr>
            <w:tcW w:w="6332" w:type="dxa"/>
            <w:vAlign w:val="center"/>
          </w:tcPr>
          <w:p w14:paraId="620390B4">
            <w:pPr>
              <w:adjustRightInd w:val="0"/>
              <w:spacing w:line="360" w:lineRule="auto"/>
              <w:jc w:val="left"/>
              <w:rPr>
                <w:rFonts w:hAnsi="宋体" w:cs="宋体"/>
                <w:szCs w:val="21"/>
                <w:highlight w:val="none"/>
              </w:rPr>
            </w:pPr>
            <w:r>
              <w:rPr>
                <w:rFonts w:hint="eastAsia" w:hAnsi="宋体" w:cs="宋体"/>
                <w:sz w:val="21"/>
                <w:szCs w:val="21"/>
                <w:highlight w:val="none"/>
              </w:rPr>
              <w:t>▲</w:t>
            </w:r>
            <w:r>
              <w:rPr>
                <w:rFonts w:hint="eastAsia" w:ascii="宋体" w:hAnsi="宋体" w:cs="宋体"/>
                <w:sz w:val="21"/>
                <w:szCs w:val="21"/>
                <w:highlight w:val="none"/>
              </w:rPr>
              <w:t xml:space="preserve">合同履行期限：签订合同后 </w:t>
            </w:r>
            <w:r>
              <w:rPr>
                <w:rFonts w:hint="eastAsia" w:ascii="宋体" w:hAnsi="宋体" w:cs="宋体"/>
                <w:sz w:val="21"/>
                <w:szCs w:val="21"/>
                <w:highlight w:val="none"/>
                <w:lang w:val="en-US" w:eastAsia="zh-CN"/>
              </w:rPr>
              <w:t>30</w:t>
            </w:r>
            <w:r>
              <w:rPr>
                <w:rFonts w:hint="eastAsia" w:ascii="宋体" w:hAnsi="宋体" w:cs="宋体"/>
                <w:sz w:val="21"/>
                <w:szCs w:val="21"/>
                <w:highlight w:val="none"/>
              </w:rPr>
              <w:t>个日历天完成项目的硬件设备部分，包括：产品供应、安装、调试及验收移交使用（投标人在此期限内自报最短交货期）。软件部分根据甲方实际情况可延长120个日历日完成安装、调试及验收移交使用。</w:t>
            </w:r>
          </w:p>
          <w:p w14:paraId="477A230A">
            <w:pPr>
              <w:pStyle w:val="10"/>
              <w:spacing w:line="360" w:lineRule="auto"/>
              <w:rPr>
                <w:rFonts w:hAnsi="宋体" w:cs="宋体"/>
                <w:kern w:val="2"/>
                <w:sz w:val="21"/>
                <w:szCs w:val="21"/>
              </w:rPr>
            </w:pPr>
            <w:r>
              <w:rPr>
                <w:rFonts w:hint="eastAsia" w:hAnsi="宋体" w:cs="宋体"/>
                <w:sz w:val="21"/>
                <w:szCs w:val="21"/>
              </w:rPr>
              <w:t>▲</w:t>
            </w:r>
            <w:r>
              <w:rPr>
                <w:rFonts w:hint="eastAsia" w:hAnsi="宋体" w:cs="宋体"/>
                <w:b/>
                <w:kern w:val="2"/>
                <w:sz w:val="21"/>
                <w:szCs w:val="21"/>
              </w:rPr>
              <w:t>交货地点</w:t>
            </w:r>
            <w:r>
              <w:rPr>
                <w:rFonts w:hint="eastAsia" w:hAnsi="宋体" w:cs="宋体"/>
                <w:kern w:val="2"/>
                <w:sz w:val="21"/>
                <w:szCs w:val="21"/>
              </w:rPr>
              <w:t>：</w:t>
            </w: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2B8E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4" w:type="dxa"/>
            <w:gridSpan w:val="2"/>
            <w:vAlign w:val="center"/>
          </w:tcPr>
          <w:p w14:paraId="5FDCFD10">
            <w:pPr>
              <w:pStyle w:val="10"/>
              <w:spacing w:line="360" w:lineRule="auto"/>
              <w:jc w:val="center"/>
              <w:rPr>
                <w:rFonts w:hint="default" w:hAnsi="宋体" w:eastAsia="宋体" w:cs="宋体"/>
                <w:kern w:val="2"/>
                <w:sz w:val="21"/>
                <w:szCs w:val="21"/>
                <w:highlight w:val="none"/>
                <w:lang w:val="en-US" w:eastAsia="zh-CN"/>
              </w:rPr>
            </w:pPr>
            <w:r>
              <w:rPr>
                <w:rFonts w:hint="eastAsia" w:hAnsi="宋体" w:cs="宋体"/>
                <w:kern w:val="2"/>
                <w:sz w:val="21"/>
                <w:szCs w:val="21"/>
                <w:highlight w:val="none"/>
                <w:lang w:val="en-US" w:eastAsia="zh-CN"/>
              </w:rPr>
              <w:t>3.3</w:t>
            </w:r>
          </w:p>
        </w:tc>
        <w:tc>
          <w:tcPr>
            <w:tcW w:w="2410" w:type="dxa"/>
            <w:vAlign w:val="center"/>
          </w:tcPr>
          <w:p w14:paraId="6B7AF54C">
            <w:pPr>
              <w:jc w:val="center"/>
              <w:rPr>
                <w:rFonts w:hint="eastAsia" w:hAnsi="宋体" w:cs="宋体"/>
                <w:kern w:val="2"/>
                <w:sz w:val="21"/>
                <w:szCs w:val="21"/>
                <w:highlight w:val="none"/>
              </w:rPr>
            </w:pPr>
            <w:r>
              <w:rPr>
                <w:rFonts w:hint="eastAsia" w:ascii="宋体" w:hAnsi="宋体" w:cs="宋体"/>
                <w:color w:val="auto"/>
                <w:sz w:val="21"/>
                <w:szCs w:val="21"/>
                <w:highlight w:val="none"/>
              </w:rPr>
              <w:t>质保期</w:t>
            </w:r>
          </w:p>
        </w:tc>
        <w:tc>
          <w:tcPr>
            <w:tcW w:w="6332" w:type="dxa"/>
            <w:vAlign w:val="center"/>
          </w:tcPr>
          <w:p w14:paraId="69D18753">
            <w:pPr>
              <w:spacing w:line="360" w:lineRule="auto"/>
              <w:rPr>
                <w:rFonts w:hint="eastAsia" w:hAnsi="宋体" w:cs="宋体"/>
                <w:sz w:val="21"/>
                <w:szCs w:val="21"/>
                <w:highlight w:val="none"/>
              </w:rPr>
            </w:pPr>
            <w:r>
              <w:rPr>
                <w:rFonts w:hint="eastAsia" w:ascii="宋体" w:hAnsi="宋体" w:cs="宋体"/>
                <w:color w:val="auto"/>
                <w:sz w:val="21"/>
                <w:szCs w:val="21"/>
                <w:highlight w:val="none"/>
              </w:rPr>
              <w:t>不少于</w:t>
            </w:r>
            <w:r>
              <w:rPr>
                <w:rFonts w:hint="eastAsia" w:ascii="宋体" w:hAnsi="宋体" w:cs="宋体"/>
                <w:color w:val="auto"/>
                <w:spacing w:val="-2"/>
                <w:sz w:val="21"/>
                <w:szCs w:val="21"/>
                <w:highlight w:val="none"/>
              </w:rPr>
              <w:t>叁</w:t>
            </w:r>
            <w:r>
              <w:rPr>
                <w:rFonts w:hint="eastAsia" w:ascii="宋体" w:hAnsi="宋体" w:cs="宋体"/>
                <w:color w:val="auto"/>
                <w:sz w:val="21"/>
                <w:szCs w:val="21"/>
                <w:highlight w:val="none"/>
              </w:rPr>
              <w:t>年。</w:t>
            </w:r>
          </w:p>
        </w:tc>
      </w:tr>
      <w:tr w14:paraId="21BB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523" w:type="dxa"/>
            <w:vMerge w:val="restart"/>
            <w:vAlign w:val="center"/>
          </w:tcPr>
          <w:p w14:paraId="002C11C7">
            <w:pPr>
              <w:pStyle w:val="10"/>
              <w:spacing w:line="360" w:lineRule="auto"/>
              <w:jc w:val="center"/>
              <w:rPr>
                <w:rFonts w:hAnsi="宋体" w:cs="宋体"/>
                <w:kern w:val="2"/>
                <w:sz w:val="21"/>
                <w:szCs w:val="21"/>
              </w:rPr>
            </w:pPr>
            <w:r>
              <w:rPr>
                <w:rFonts w:hint="eastAsia" w:hAnsi="宋体" w:cs="宋体"/>
                <w:kern w:val="2"/>
                <w:sz w:val="21"/>
                <w:szCs w:val="21"/>
              </w:rPr>
              <w:t>4合格的投标人</w:t>
            </w:r>
          </w:p>
        </w:tc>
        <w:tc>
          <w:tcPr>
            <w:tcW w:w="741" w:type="dxa"/>
            <w:vAlign w:val="center"/>
          </w:tcPr>
          <w:p w14:paraId="061D3B77">
            <w:pPr>
              <w:pStyle w:val="10"/>
              <w:spacing w:line="360" w:lineRule="auto"/>
              <w:jc w:val="center"/>
              <w:rPr>
                <w:rFonts w:hAnsi="宋体" w:cs="宋体"/>
                <w:b/>
                <w:bCs/>
                <w:kern w:val="2"/>
                <w:sz w:val="21"/>
                <w:szCs w:val="21"/>
              </w:rPr>
            </w:pPr>
            <w:r>
              <w:rPr>
                <w:rFonts w:hint="eastAsia" w:hAnsi="宋体" w:cs="宋体"/>
                <w:b/>
                <w:bCs/>
                <w:kern w:val="2"/>
                <w:sz w:val="21"/>
                <w:szCs w:val="21"/>
              </w:rPr>
              <w:t>4.1</w:t>
            </w:r>
          </w:p>
        </w:tc>
        <w:tc>
          <w:tcPr>
            <w:tcW w:w="8742" w:type="dxa"/>
            <w:gridSpan w:val="2"/>
            <w:vAlign w:val="center"/>
          </w:tcPr>
          <w:p w14:paraId="27481603">
            <w:pPr>
              <w:spacing w:line="360" w:lineRule="auto"/>
              <w:rPr>
                <w:rFonts w:ascii="宋体" w:hAnsi="宋体" w:cs="宋体"/>
                <w:b/>
                <w:bCs/>
                <w:szCs w:val="21"/>
              </w:rPr>
            </w:pPr>
            <w:r>
              <w:rPr>
                <w:rFonts w:hint="eastAsia" w:ascii="宋体" w:hAnsi="宋体" w:cs="宋体"/>
                <w:b/>
                <w:bCs/>
                <w:szCs w:val="21"/>
              </w:rPr>
              <w:t>投标人应符合《中华人民共和国政府采购法》第二十二条之规定，并提供下列材料</w:t>
            </w:r>
          </w:p>
        </w:tc>
      </w:tr>
      <w:tr w14:paraId="3835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30F6E4D9">
            <w:pPr>
              <w:pStyle w:val="10"/>
              <w:spacing w:line="360" w:lineRule="auto"/>
              <w:jc w:val="center"/>
              <w:rPr>
                <w:rFonts w:hAnsi="宋体" w:cs="宋体"/>
                <w:kern w:val="2"/>
                <w:sz w:val="21"/>
                <w:szCs w:val="21"/>
              </w:rPr>
            </w:pPr>
          </w:p>
        </w:tc>
        <w:tc>
          <w:tcPr>
            <w:tcW w:w="741" w:type="dxa"/>
            <w:vAlign w:val="center"/>
          </w:tcPr>
          <w:p w14:paraId="61183B2F">
            <w:pPr>
              <w:spacing w:line="360" w:lineRule="auto"/>
              <w:rPr>
                <w:rFonts w:ascii="宋体" w:hAnsi="宋体" w:cs="宋体"/>
                <w:szCs w:val="21"/>
              </w:rPr>
            </w:pPr>
            <w:r>
              <w:rPr>
                <w:rFonts w:hint="eastAsia" w:ascii="宋体" w:hAnsi="宋体" w:cs="宋体"/>
                <w:szCs w:val="21"/>
              </w:rPr>
              <w:t>4.1.1</w:t>
            </w:r>
          </w:p>
        </w:tc>
        <w:tc>
          <w:tcPr>
            <w:tcW w:w="2410" w:type="dxa"/>
            <w:vAlign w:val="center"/>
          </w:tcPr>
          <w:p w14:paraId="0EDB9D6C">
            <w:pPr>
              <w:spacing w:line="360" w:lineRule="auto"/>
              <w:rPr>
                <w:rFonts w:ascii="宋体" w:hAnsi="宋体" w:cs="宋体"/>
                <w:szCs w:val="21"/>
              </w:rPr>
            </w:pPr>
            <w:r>
              <w:rPr>
                <w:rFonts w:hint="eastAsia" w:ascii="宋体" w:hAnsi="宋体" w:cs="宋体"/>
                <w:szCs w:val="21"/>
              </w:rPr>
              <w:t>具有独立承担民事责任的能力</w:t>
            </w:r>
          </w:p>
        </w:tc>
        <w:tc>
          <w:tcPr>
            <w:tcW w:w="6332" w:type="dxa"/>
            <w:vAlign w:val="center"/>
          </w:tcPr>
          <w:p w14:paraId="055794CE">
            <w:pPr>
              <w:spacing w:line="360" w:lineRule="auto"/>
              <w:rPr>
                <w:rFonts w:ascii="宋体" w:hAnsi="宋体" w:cs="宋体"/>
                <w:szCs w:val="21"/>
              </w:rPr>
            </w:pPr>
            <w:r>
              <w:rPr>
                <w:rFonts w:hint="eastAsia" w:ascii="宋体" w:hAnsi="宋体" w:cs="宋体"/>
                <w:szCs w:val="21"/>
              </w:rPr>
              <w:t>提供有效的营业执照或事业单位法人证书或其他类似的法定证明文件。</w:t>
            </w:r>
          </w:p>
        </w:tc>
      </w:tr>
      <w:tr w14:paraId="22CE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612C92D3">
            <w:pPr>
              <w:pStyle w:val="10"/>
              <w:spacing w:line="360" w:lineRule="auto"/>
              <w:jc w:val="center"/>
              <w:rPr>
                <w:rFonts w:hAnsi="宋体" w:cs="宋体"/>
                <w:kern w:val="2"/>
                <w:sz w:val="21"/>
                <w:szCs w:val="21"/>
              </w:rPr>
            </w:pPr>
          </w:p>
        </w:tc>
        <w:tc>
          <w:tcPr>
            <w:tcW w:w="741" w:type="dxa"/>
            <w:vAlign w:val="center"/>
          </w:tcPr>
          <w:p w14:paraId="19D81FBA">
            <w:pPr>
              <w:spacing w:line="360" w:lineRule="auto"/>
              <w:rPr>
                <w:rFonts w:ascii="宋体" w:hAnsi="宋体" w:cs="宋体"/>
                <w:szCs w:val="21"/>
              </w:rPr>
            </w:pPr>
            <w:r>
              <w:rPr>
                <w:rFonts w:hint="eastAsia" w:ascii="宋体" w:hAnsi="宋体" w:cs="宋体"/>
                <w:szCs w:val="21"/>
              </w:rPr>
              <w:t>4.1.2</w:t>
            </w:r>
          </w:p>
        </w:tc>
        <w:tc>
          <w:tcPr>
            <w:tcW w:w="2410" w:type="dxa"/>
            <w:vAlign w:val="center"/>
          </w:tcPr>
          <w:p w14:paraId="4FB23291">
            <w:pPr>
              <w:spacing w:line="360" w:lineRule="auto"/>
              <w:rPr>
                <w:rFonts w:ascii="宋体" w:hAnsi="宋体" w:cs="宋体"/>
                <w:szCs w:val="21"/>
              </w:rPr>
            </w:pPr>
            <w:r>
              <w:rPr>
                <w:rFonts w:hint="eastAsia" w:ascii="宋体" w:hAnsi="宋体" w:cs="宋体"/>
                <w:szCs w:val="21"/>
              </w:rPr>
              <w:t>具有良好的商业信誉和健全的财务会计制度</w:t>
            </w:r>
          </w:p>
        </w:tc>
        <w:tc>
          <w:tcPr>
            <w:tcW w:w="6332" w:type="dxa"/>
            <w:vAlign w:val="center"/>
          </w:tcPr>
          <w:p w14:paraId="5EAD70D6">
            <w:pPr>
              <w:spacing w:line="360" w:lineRule="auto"/>
              <w:rPr>
                <w:rFonts w:ascii="宋体" w:hAnsi="宋体" w:cs="宋体"/>
                <w:b/>
                <w:bCs/>
                <w:szCs w:val="21"/>
              </w:rPr>
            </w:pPr>
            <w:r>
              <w:rPr>
                <w:rFonts w:hint="eastAsia" w:ascii="宋体" w:hAnsi="宋体" w:cs="宋体"/>
                <w:szCs w:val="21"/>
              </w:rPr>
              <w:t>提供202</w:t>
            </w:r>
            <w:r>
              <w:rPr>
                <w:rFonts w:hint="eastAsia" w:ascii="宋体" w:hAnsi="宋体" w:cs="宋体"/>
                <w:szCs w:val="21"/>
                <w:lang w:val="en-US" w:eastAsia="zh-CN"/>
              </w:rPr>
              <w:t>3</w:t>
            </w:r>
            <w:r>
              <w:rPr>
                <w:rFonts w:hint="eastAsia" w:ascii="宋体" w:hAnsi="宋体" w:cs="宋体"/>
                <w:szCs w:val="21"/>
              </w:rPr>
              <w:t>年度至202</w:t>
            </w:r>
            <w:r>
              <w:rPr>
                <w:rFonts w:hint="eastAsia" w:ascii="宋体" w:hAnsi="宋体" w:cs="宋体"/>
                <w:szCs w:val="21"/>
                <w:lang w:val="en-US" w:eastAsia="zh-CN"/>
              </w:rPr>
              <w:t>5</w:t>
            </w:r>
            <w:r>
              <w:rPr>
                <w:rFonts w:hint="eastAsia" w:ascii="宋体" w:hAnsi="宋体" w:cs="宋体"/>
                <w:szCs w:val="21"/>
              </w:rPr>
              <w:t>年度任意一年经第三方审计的财务报告及报表，成立时间不足一年的投标人若不能提供上述财务报告及报表的，可提供投标文件提交截止时间前三个月内开户银行出具的资信证明或财务情况说明。</w:t>
            </w:r>
          </w:p>
        </w:tc>
      </w:tr>
      <w:tr w14:paraId="7E36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4A77074E">
            <w:pPr>
              <w:pStyle w:val="10"/>
              <w:spacing w:line="360" w:lineRule="auto"/>
              <w:jc w:val="center"/>
              <w:rPr>
                <w:rFonts w:hAnsi="宋体" w:cs="宋体"/>
                <w:kern w:val="2"/>
                <w:sz w:val="21"/>
                <w:szCs w:val="21"/>
              </w:rPr>
            </w:pPr>
          </w:p>
        </w:tc>
        <w:tc>
          <w:tcPr>
            <w:tcW w:w="741" w:type="dxa"/>
            <w:vAlign w:val="center"/>
          </w:tcPr>
          <w:p w14:paraId="4365FCDA">
            <w:pPr>
              <w:spacing w:line="360" w:lineRule="auto"/>
              <w:rPr>
                <w:rFonts w:ascii="宋体" w:hAnsi="宋体" w:cs="宋体"/>
                <w:szCs w:val="21"/>
              </w:rPr>
            </w:pPr>
            <w:r>
              <w:rPr>
                <w:rFonts w:hint="eastAsia" w:ascii="宋体" w:hAnsi="宋体" w:cs="宋体"/>
                <w:szCs w:val="21"/>
              </w:rPr>
              <w:t>4.1.3</w:t>
            </w:r>
          </w:p>
        </w:tc>
        <w:tc>
          <w:tcPr>
            <w:tcW w:w="2410" w:type="dxa"/>
            <w:vAlign w:val="center"/>
          </w:tcPr>
          <w:p w14:paraId="0352BE77">
            <w:pPr>
              <w:spacing w:line="360" w:lineRule="auto"/>
              <w:rPr>
                <w:rFonts w:ascii="宋体" w:hAnsi="宋体" w:cs="宋体"/>
                <w:szCs w:val="21"/>
              </w:rPr>
            </w:pPr>
            <w:r>
              <w:rPr>
                <w:rFonts w:hint="eastAsia" w:ascii="宋体" w:hAnsi="宋体" w:cs="宋体"/>
                <w:szCs w:val="21"/>
              </w:rPr>
              <w:t>具有履行合同所必需的设备和专业技术能力</w:t>
            </w:r>
          </w:p>
        </w:tc>
        <w:tc>
          <w:tcPr>
            <w:tcW w:w="6332" w:type="dxa"/>
            <w:vAlign w:val="center"/>
          </w:tcPr>
          <w:p w14:paraId="525F4CF5">
            <w:pPr>
              <w:spacing w:line="360" w:lineRule="auto"/>
              <w:rPr>
                <w:rFonts w:ascii="宋体" w:hAnsi="宋体" w:cs="宋体"/>
                <w:szCs w:val="21"/>
              </w:rPr>
            </w:pPr>
            <w:r>
              <w:rPr>
                <w:rFonts w:hint="eastAsia" w:ascii="宋体" w:hAnsi="宋体" w:cs="宋体"/>
                <w:szCs w:val="21"/>
              </w:rPr>
              <w:t>提供投标人具有履行合同所必需的设备和专业技术能力证明材料或书面声明。</w:t>
            </w:r>
          </w:p>
        </w:tc>
      </w:tr>
      <w:tr w14:paraId="524D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2EC0620A">
            <w:pPr>
              <w:pStyle w:val="10"/>
              <w:spacing w:line="360" w:lineRule="auto"/>
              <w:jc w:val="center"/>
              <w:rPr>
                <w:rFonts w:hAnsi="宋体" w:cs="宋体"/>
                <w:kern w:val="2"/>
                <w:sz w:val="21"/>
                <w:szCs w:val="21"/>
              </w:rPr>
            </w:pPr>
          </w:p>
        </w:tc>
        <w:tc>
          <w:tcPr>
            <w:tcW w:w="741" w:type="dxa"/>
            <w:vAlign w:val="center"/>
          </w:tcPr>
          <w:p w14:paraId="1462DFCA">
            <w:pPr>
              <w:spacing w:line="360" w:lineRule="auto"/>
              <w:rPr>
                <w:rFonts w:ascii="宋体" w:hAnsi="宋体" w:cs="宋体"/>
                <w:szCs w:val="21"/>
              </w:rPr>
            </w:pPr>
            <w:r>
              <w:rPr>
                <w:rFonts w:hint="eastAsia" w:ascii="宋体" w:hAnsi="宋体" w:cs="宋体"/>
                <w:szCs w:val="21"/>
              </w:rPr>
              <w:t>4.1.4</w:t>
            </w:r>
          </w:p>
        </w:tc>
        <w:tc>
          <w:tcPr>
            <w:tcW w:w="2410" w:type="dxa"/>
            <w:vAlign w:val="center"/>
          </w:tcPr>
          <w:p w14:paraId="6D052AFD">
            <w:pPr>
              <w:spacing w:line="360" w:lineRule="auto"/>
              <w:rPr>
                <w:rFonts w:ascii="宋体" w:hAnsi="宋体" w:cs="宋体"/>
                <w:szCs w:val="21"/>
              </w:rPr>
            </w:pPr>
            <w:r>
              <w:rPr>
                <w:rFonts w:hint="eastAsia" w:ascii="宋体" w:hAnsi="宋体" w:cs="宋体"/>
                <w:szCs w:val="21"/>
              </w:rPr>
              <w:t>有依法缴纳税收和社会保障资金的良好记录</w:t>
            </w:r>
          </w:p>
        </w:tc>
        <w:tc>
          <w:tcPr>
            <w:tcW w:w="6332" w:type="dxa"/>
            <w:vAlign w:val="center"/>
          </w:tcPr>
          <w:p w14:paraId="2955CDCD">
            <w:pPr>
              <w:spacing w:line="360" w:lineRule="auto"/>
              <w:rPr>
                <w:rFonts w:ascii="宋体" w:hAnsi="宋体" w:cs="宋体"/>
                <w:szCs w:val="21"/>
              </w:rPr>
            </w:pPr>
            <w:r>
              <w:rPr>
                <w:rFonts w:hint="eastAsia" w:ascii="宋体" w:hAnsi="宋体" w:cs="宋体"/>
                <w:szCs w:val="21"/>
              </w:rPr>
              <w:t>提供202</w:t>
            </w:r>
            <w:r>
              <w:rPr>
                <w:rFonts w:hint="eastAsia" w:ascii="宋体" w:hAnsi="宋体" w:cs="宋体"/>
                <w:szCs w:val="21"/>
                <w:lang w:val="en-US" w:eastAsia="zh-CN"/>
              </w:rPr>
              <w:t>5</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月至今任意1个月依法缴纳税收和缴纳社会保障资金的证明（成立未满1个月的可提供相关情况说明；依法免税或不需要缴纳社会保障资金的，应提供相应文件证明其依法免税或不需要缴纳社会保障资金）。</w:t>
            </w:r>
          </w:p>
        </w:tc>
      </w:tr>
      <w:tr w14:paraId="3681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0AB0D537">
            <w:pPr>
              <w:pStyle w:val="10"/>
              <w:spacing w:line="360" w:lineRule="auto"/>
              <w:jc w:val="center"/>
              <w:rPr>
                <w:rFonts w:hAnsi="宋体" w:cs="宋体"/>
                <w:kern w:val="2"/>
                <w:sz w:val="21"/>
                <w:szCs w:val="21"/>
              </w:rPr>
            </w:pPr>
          </w:p>
        </w:tc>
        <w:tc>
          <w:tcPr>
            <w:tcW w:w="741" w:type="dxa"/>
            <w:vAlign w:val="center"/>
          </w:tcPr>
          <w:p w14:paraId="1B3939D9">
            <w:pPr>
              <w:spacing w:line="360" w:lineRule="auto"/>
              <w:rPr>
                <w:rFonts w:ascii="宋体" w:hAnsi="宋体" w:cs="宋体"/>
                <w:szCs w:val="21"/>
              </w:rPr>
            </w:pPr>
            <w:r>
              <w:rPr>
                <w:rFonts w:hint="eastAsia" w:ascii="宋体" w:hAnsi="宋体" w:cs="宋体"/>
                <w:szCs w:val="21"/>
              </w:rPr>
              <w:t>4.1.5</w:t>
            </w:r>
          </w:p>
        </w:tc>
        <w:tc>
          <w:tcPr>
            <w:tcW w:w="2410" w:type="dxa"/>
            <w:vAlign w:val="center"/>
          </w:tcPr>
          <w:p w14:paraId="6D609434">
            <w:pPr>
              <w:spacing w:line="360" w:lineRule="auto"/>
              <w:rPr>
                <w:rFonts w:ascii="宋体" w:hAnsi="宋体" w:cs="宋体"/>
                <w:szCs w:val="21"/>
              </w:rPr>
            </w:pPr>
            <w:r>
              <w:rPr>
                <w:rFonts w:hint="eastAsia" w:ascii="宋体" w:hAnsi="宋体" w:cs="宋体"/>
                <w:szCs w:val="21"/>
              </w:rPr>
              <w:t>参加政府采购活动前三年内，在经营活动中没有重大违法记录</w:t>
            </w:r>
          </w:p>
        </w:tc>
        <w:tc>
          <w:tcPr>
            <w:tcW w:w="6332" w:type="dxa"/>
            <w:vAlign w:val="center"/>
          </w:tcPr>
          <w:p w14:paraId="48383401">
            <w:pPr>
              <w:spacing w:line="360" w:lineRule="auto"/>
              <w:rPr>
                <w:rFonts w:ascii="宋体" w:hAnsi="宋体" w:cs="宋体"/>
                <w:szCs w:val="21"/>
              </w:rPr>
            </w:pPr>
            <w:r>
              <w:rPr>
                <w:rFonts w:hint="eastAsia" w:ascii="宋体" w:hAnsi="宋体" w:cs="宋体"/>
                <w:szCs w:val="21"/>
              </w:rPr>
              <w:t>提供投标人参加政府采购活动前三年内，在经营活动中没有重大违法记录（重大违法记录，是指投标人因违法经营受到刑事处罚或者责令停产停业、吊销许可证或者执照、较大数额罚款等行政处罚）的书面声明。</w:t>
            </w:r>
          </w:p>
        </w:tc>
      </w:tr>
      <w:tr w14:paraId="3829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5EDA5DD5">
            <w:pPr>
              <w:pStyle w:val="10"/>
              <w:spacing w:line="360" w:lineRule="auto"/>
              <w:jc w:val="center"/>
              <w:rPr>
                <w:rFonts w:hAnsi="宋体" w:cs="宋体"/>
                <w:kern w:val="2"/>
                <w:sz w:val="21"/>
                <w:szCs w:val="21"/>
              </w:rPr>
            </w:pPr>
          </w:p>
        </w:tc>
        <w:tc>
          <w:tcPr>
            <w:tcW w:w="741" w:type="dxa"/>
            <w:vAlign w:val="center"/>
          </w:tcPr>
          <w:p w14:paraId="5DE64757">
            <w:pPr>
              <w:spacing w:line="360" w:lineRule="auto"/>
              <w:rPr>
                <w:rFonts w:ascii="宋体" w:hAnsi="宋体" w:cs="宋体"/>
                <w:szCs w:val="21"/>
              </w:rPr>
            </w:pPr>
            <w:r>
              <w:rPr>
                <w:rFonts w:hint="eastAsia" w:ascii="宋体" w:hAnsi="宋体" w:cs="宋体"/>
                <w:szCs w:val="21"/>
              </w:rPr>
              <w:t>4.1.6</w:t>
            </w:r>
          </w:p>
        </w:tc>
        <w:tc>
          <w:tcPr>
            <w:tcW w:w="2410" w:type="dxa"/>
            <w:vAlign w:val="center"/>
          </w:tcPr>
          <w:p w14:paraId="2A740CD9">
            <w:pPr>
              <w:spacing w:line="360" w:lineRule="auto"/>
              <w:rPr>
                <w:rFonts w:ascii="宋体" w:hAnsi="宋体" w:cs="宋体"/>
                <w:szCs w:val="21"/>
              </w:rPr>
            </w:pPr>
            <w:r>
              <w:rPr>
                <w:rFonts w:hint="eastAsia" w:ascii="宋体" w:hAnsi="宋体" w:cs="宋体"/>
                <w:szCs w:val="21"/>
              </w:rPr>
              <w:t>法律、行政法规规定的其他条件</w:t>
            </w:r>
          </w:p>
        </w:tc>
        <w:tc>
          <w:tcPr>
            <w:tcW w:w="6332" w:type="dxa"/>
            <w:vAlign w:val="center"/>
          </w:tcPr>
          <w:p w14:paraId="0CBC5700">
            <w:pPr>
              <w:spacing w:line="360" w:lineRule="auto"/>
              <w:rPr>
                <w:rFonts w:ascii="宋体" w:hAnsi="宋体" w:cs="宋体"/>
                <w:szCs w:val="21"/>
              </w:rPr>
            </w:pPr>
            <w:r>
              <w:rPr>
                <w:rFonts w:hint="eastAsia" w:ascii="宋体" w:hAnsi="宋体" w:cs="宋体"/>
                <w:szCs w:val="21"/>
              </w:rPr>
              <w:t>投标人在中国政府采购网（www.ccgp.gov.cn）政府采购严重违法失信行为记录名单中无不良信息记录；投标人未被列入中国执行信息公开网（zxgk.court.gov.cn）“失信被执行人”名单记录；投标人在“信用中国”网站(www.creditchina.gov.cn)未被列入重大税收违法失信主体，上述网站查询记录最终以投标文件递交截止时间当天由采购人或采购代理机构查询的为准，并将查询记录留存。</w:t>
            </w:r>
          </w:p>
        </w:tc>
      </w:tr>
      <w:tr w14:paraId="1905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48CCC013">
            <w:pPr>
              <w:pStyle w:val="10"/>
              <w:spacing w:line="360" w:lineRule="auto"/>
              <w:jc w:val="center"/>
              <w:rPr>
                <w:rFonts w:hAnsi="宋体" w:cs="宋体"/>
                <w:kern w:val="2"/>
                <w:sz w:val="21"/>
                <w:szCs w:val="21"/>
              </w:rPr>
            </w:pPr>
          </w:p>
        </w:tc>
        <w:tc>
          <w:tcPr>
            <w:tcW w:w="741" w:type="dxa"/>
            <w:vAlign w:val="center"/>
          </w:tcPr>
          <w:p w14:paraId="5D56C9E2">
            <w:pPr>
              <w:spacing w:line="360" w:lineRule="auto"/>
              <w:rPr>
                <w:rFonts w:ascii="宋体" w:hAnsi="宋体" w:cs="宋体"/>
                <w:b/>
                <w:bCs/>
                <w:szCs w:val="21"/>
              </w:rPr>
            </w:pPr>
            <w:r>
              <w:rPr>
                <w:rFonts w:hint="eastAsia" w:ascii="宋体" w:hAnsi="宋体" w:cs="宋体"/>
                <w:b/>
                <w:bCs/>
                <w:szCs w:val="21"/>
              </w:rPr>
              <w:t>4.2</w:t>
            </w:r>
          </w:p>
        </w:tc>
        <w:tc>
          <w:tcPr>
            <w:tcW w:w="8742" w:type="dxa"/>
            <w:gridSpan w:val="2"/>
            <w:vAlign w:val="center"/>
          </w:tcPr>
          <w:p w14:paraId="1253391A">
            <w:pPr>
              <w:spacing w:line="360" w:lineRule="auto"/>
              <w:rPr>
                <w:rFonts w:ascii="宋体" w:hAnsi="宋体" w:cs="宋体"/>
                <w:b/>
                <w:bCs/>
                <w:szCs w:val="21"/>
              </w:rPr>
            </w:pPr>
            <w:r>
              <w:rPr>
                <w:rFonts w:hint="eastAsia" w:ascii="宋体" w:hAnsi="宋体" w:cs="宋体"/>
                <w:b/>
                <w:bCs/>
                <w:szCs w:val="21"/>
              </w:rPr>
              <w:t>采购人根据采购项目的特殊要求，规定投标人的特定条件：</w:t>
            </w:r>
          </w:p>
        </w:tc>
      </w:tr>
      <w:tr w14:paraId="6474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49A9F7EB">
            <w:pPr>
              <w:pStyle w:val="10"/>
              <w:spacing w:line="360" w:lineRule="auto"/>
              <w:jc w:val="center"/>
              <w:rPr>
                <w:rFonts w:hAnsi="宋体" w:cs="宋体"/>
                <w:kern w:val="2"/>
                <w:sz w:val="21"/>
                <w:szCs w:val="21"/>
              </w:rPr>
            </w:pPr>
          </w:p>
        </w:tc>
        <w:tc>
          <w:tcPr>
            <w:tcW w:w="741" w:type="dxa"/>
            <w:vAlign w:val="center"/>
          </w:tcPr>
          <w:p w14:paraId="57C57DB9">
            <w:pPr>
              <w:spacing w:line="360" w:lineRule="auto"/>
              <w:rPr>
                <w:rFonts w:ascii="宋体" w:hAnsi="宋体" w:cs="宋体"/>
                <w:szCs w:val="21"/>
              </w:rPr>
            </w:pPr>
            <w:r>
              <w:rPr>
                <w:rFonts w:hint="eastAsia" w:ascii="宋体" w:hAnsi="宋体" w:cs="宋体"/>
                <w:szCs w:val="21"/>
              </w:rPr>
              <w:t>4.2.1</w:t>
            </w:r>
          </w:p>
        </w:tc>
        <w:tc>
          <w:tcPr>
            <w:tcW w:w="2410" w:type="dxa"/>
            <w:vAlign w:val="center"/>
          </w:tcPr>
          <w:p w14:paraId="691AAAF5">
            <w:pPr>
              <w:spacing w:line="360" w:lineRule="auto"/>
              <w:rPr>
                <w:rFonts w:ascii="宋体" w:hAnsi="宋体" w:cs="宋体"/>
                <w:szCs w:val="21"/>
              </w:rPr>
            </w:pPr>
            <w:r>
              <w:rPr>
                <w:rFonts w:hint="eastAsia" w:ascii="宋体" w:hAnsi="宋体" w:cs="宋体"/>
                <w:szCs w:val="21"/>
              </w:rPr>
              <w:t>资格要求</w:t>
            </w:r>
          </w:p>
        </w:tc>
        <w:tc>
          <w:tcPr>
            <w:tcW w:w="6332" w:type="dxa"/>
            <w:vAlign w:val="center"/>
          </w:tcPr>
          <w:p w14:paraId="6DD84A99">
            <w:pPr>
              <w:spacing w:line="360" w:lineRule="auto"/>
              <w:rPr>
                <w:rFonts w:hint="eastAsia" w:ascii="宋体" w:hAnsi="宋体" w:eastAsia="宋体" w:cs="宋体"/>
                <w:szCs w:val="21"/>
                <w:lang w:eastAsia="zh-CN"/>
              </w:rPr>
            </w:pPr>
            <w:r>
              <w:rPr>
                <w:rFonts w:hint="eastAsia" w:ascii="宋体" w:hAnsi="宋体" w:cs="宋体"/>
                <w:szCs w:val="21"/>
                <w:lang w:val="en-US" w:eastAsia="zh-CN"/>
              </w:rPr>
              <w:t>/</w:t>
            </w:r>
          </w:p>
        </w:tc>
      </w:tr>
      <w:tr w14:paraId="4094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36403377">
            <w:pPr>
              <w:pStyle w:val="10"/>
              <w:spacing w:line="360" w:lineRule="auto"/>
              <w:jc w:val="center"/>
              <w:rPr>
                <w:rFonts w:hAnsi="宋体" w:cs="宋体"/>
                <w:kern w:val="2"/>
                <w:sz w:val="21"/>
                <w:szCs w:val="21"/>
              </w:rPr>
            </w:pPr>
          </w:p>
        </w:tc>
        <w:tc>
          <w:tcPr>
            <w:tcW w:w="741" w:type="dxa"/>
            <w:vAlign w:val="center"/>
          </w:tcPr>
          <w:p w14:paraId="14F77C93">
            <w:pPr>
              <w:spacing w:line="360" w:lineRule="auto"/>
              <w:rPr>
                <w:rFonts w:ascii="宋体" w:hAnsi="宋体" w:cs="宋体"/>
                <w:szCs w:val="21"/>
              </w:rPr>
            </w:pPr>
            <w:r>
              <w:rPr>
                <w:rFonts w:hint="eastAsia" w:ascii="宋体" w:hAnsi="宋体" w:cs="宋体"/>
                <w:szCs w:val="21"/>
              </w:rPr>
              <w:t>4.3</w:t>
            </w:r>
          </w:p>
        </w:tc>
        <w:tc>
          <w:tcPr>
            <w:tcW w:w="8742" w:type="dxa"/>
            <w:gridSpan w:val="2"/>
            <w:vAlign w:val="center"/>
          </w:tcPr>
          <w:p w14:paraId="209D7CC3">
            <w:pPr>
              <w:spacing w:line="360" w:lineRule="auto"/>
              <w:rPr>
                <w:rFonts w:ascii="宋体" w:hAnsi="宋体" w:cs="宋体"/>
                <w:szCs w:val="21"/>
              </w:rPr>
            </w:pPr>
            <w:r>
              <w:rPr>
                <w:rFonts w:hint="eastAsia" w:ascii="宋体" w:hAnsi="宋体" w:cs="宋体"/>
                <w:szCs w:val="21"/>
              </w:rPr>
              <w:t>单位负责人为同一人或者存在直接控股、管理关系的不同投标人，不得参加同一采购项目包的政府采购活动。</w:t>
            </w:r>
          </w:p>
        </w:tc>
      </w:tr>
      <w:tr w14:paraId="29E3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3AD40FFB">
            <w:pPr>
              <w:pStyle w:val="10"/>
              <w:spacing w:line="360" w:lineRule="auto"/>
              <w:jc w:val="center"/>
              <w:rPr>
                <w:rFonts w:hAnsi="宋体" w:cs="宋体"/>
                <w:kern w:val="2"/>
                <w:sz w:val="21"/>
                <w:szCs w:val="21"/>
              </w:rPr>
            </w:pPr>
          </w:p>
        </w:tc>
        <w:tc>
          <w:tcPr>
            <w:tcW w:w="741" w:type="dxa"/>
            <w:vAlign w:val="center"/>
          </w:tcPr>
          <w:p w14:paraId="15DCEC2C">
            <w:pPr>
              <w:spacing w:line="360" w:lineRule="auto"/>
              <w:rPr>
                <w:rFonts w:ascii="宋体" w:hAnsi="宋体" w:cs="宋体"/>
                <w:szCs w:val="21"/>
              </w:rPr>
            </w:pPr>
            <w:r>
              <w:rPr>
                <w:rFonts w:hint="eastAsia" w:ascii="宋体" w:hAnsi="宋体" w:cs="宋体"/>
                <w:szCs w:val="21"/>
              </w:rPr>
              <w:t>4.4</w:t>
            </w:r>
          </w:p>
        </w:tc>
        <w:tc>
          <w:tcPr>
            <w:tcW w:w="8742" w:type="dxa"/>
            <w:gridSpan w:val="2"/>
            <w:vAlign w:val="center"/>
          </w:tcPr>
          <w:p w14:paraId="11F053E8">
            <w:pPr>
              <w:spacing w:line="360" w:lineRule="auto"/>
              <w:rPr>
                <w:rFonts w:ascii="宋体" w:hAnsi="宋体" w:cs="宋体"/>
                <w:szCs w:val="21"/>
              </w:rPr>
            </w:pPr>
            <w:r>
              <w:rPr>
                <w:rFonts w:hint="eastAsia" w:ascii="宋体" w:hAnsi="宋体" w:cs="宋体"/>
                <w:szCs w:val="21"/>
              </w:rPr>
              <w:t>除单一来源采购项目外，为采购项目提供整体设计、规范编制或者项目管理、监理、检测等服务的供应商，不得再参加该采购项目的其他采购活动。</w:t>
            </w:r>
          </w:p>
        </w:tc>
      </w:tr>
      <w:tr w14:paraId="20E5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2B5DD61A">
            <w:pPr>
              <w:pStyle w:val="10"/>
              <w:spacing w:line="360" w:lineRule="auto"/>
              <w:jc w:val="center"/>
              <w:rPr>
                <w:rFonts w:hAnsi="宋体" w:cs="宋体"/>
                <w:kern w:val="2"/>
                <w:sz w:val="21"/>
                <w:szCs w:val="21"/>
              </w:rPr>
            </w:pPr>
          </w:p>
        </w:tc>
        <w:tc>
          <w:tcPr>
            <w:tcW w:w="741" w:type="dxa"/>
            <w:vAlign w:val="center"/>
          </w:tcPr>
          <w:p w14:paraId="1AD05569">
            <w:pPr>
              <w:spacing w:line="360" w:lineRule="auto"/>
              <w:rPr>
                <w:rFonts w:ascii="宋体" w:hAnsi="宋体" w:cs="宋体"/>
                <w:szCs w:val="21"/>
              </w:rPr>
            </w:pPr>
            <w:r>
              <w:rPr>
                <w:rFonts w:hint="eastAsia" w:ascii="宋体" w:hAnsi="宋体" w:cs="宋体"/>
                <w:szCs w:val="21"/>
              </w:rPr>
              <w:t>4.</w:t>
            </w:r>
            <w:r>
              <w:rPr>
                <w:rFonts w:ascii="宋体" w:hAnsi="宋体" w:cs="宋体"/>
                <w:szCs w:val="21"/>
              </w:rPr>
              <w:t>5</w:t>
            </w:r>
          </w:p>
        </w:tc>
        <w:tc>
          <w:tcPr>
            <w:tcW w:w="2410" w:type="dxa"/>
            <w:vAlign w:val="center"/>
          </w:tcPr>
          <w:p w14:paraId="2FCD2D40">
            <w:pPr>
              <w:spacing w:line="360" w:lineRule="auto"/>
              <w:rPr>
                <w:rFonts w:ascii="宋体" w:hAnsi="宋体" w:cs="宋体"/>
                <w:szCs w:val="21"/>
              </w:rPr>
            </w:pPr>
            <w:r>
              <w:rPr>
                <w:rFonts w:hint="eastAsia" w:ascii="宋体" w:hAnsi="宋体" w:cs="宋体"/>
                <w:szCs w:val="21"/>
              </w:rPr>
              <w:t>是否接受联合体参加</w:t>
            </w:r>
          </w:p>
        </w:tc>
        <w:tc>
          <w:tcPr>
            <w:tcW w:w="6332" w:type="dxa"/>
            <w:vAlign w:val="center"/>
          </w:tcPr>
          <w:p w14:paraId="65073AFE">
            <w:pPr>
              <w:spacing w:line="360" w:lineRule="auto"/>
              <w:rPr>
                <w:rFonts w:ascii="宋体" w:hAnsi="宋体" w:cs="宋体"/>
                <w:szCs w:val="21"/>
              </w:rPr>
            </w:pPr>
            <w:r>
              <w:rPr>
                <w:rFonts w:hint="eastAsia" w:ascii="宋体" w:hAnsi="宋体" w:cs="宋体"/>
                <w:szCs w:val="21"/>
              </w:rPr>
              <w:t>不接受。</w:t>
            </w:r>
          </w:p>
        </w:tc>
      </w:tr>
      <w:tr w14:paraId="3CBB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4EA7F35E">
            <w:pPr>
              <w:pStyle w:val="10"/>
              <w:spacing w:line="360" w:lineRule="auto"/>
              <w:jc w:val="center"/>
              <w:rPr>
                <w:rFonts w:hAnsi="宋体" w:cs="宋体"/>
                <w:kern w:val="2"/>
                <w:sz w:val="21"/>
                <w:szCs w:val="21"/>
              </w:rPr>
            </w:pPr>
            <w:r>
              <w:rPr>
                <w:rFonts w:hint="eastAsia" w:hAnsi="宋体" w:cs="宋体"/>
                <w:kern w:val="2"/>
                <w:sz w:val="21"/>
                <w:szCs w:val="21"/>
              </w:rPr>
              <w:t>9.1</w:t>
            </w:r>
          </w:p>
        </w:tc>
        <w:tc>
          <w:tcPr>
            <w:tcW w:w="2410" w:type="dxa"/>
            <w:vAlign w:val="center"/>
          </w:tcPr>
          <w:p w14:paraId="2DA3110B">
            <w:pPr>
              <w:pStyle w:val="10"/>
              <w:spacing w:line="360" w:lineRule="auto"/>
              <w:jc w:val="center"/>
              <w:rPr>
                <w:rFonts w:hAnsi="宋体" w:cs="宋体"/>
                <w:kern w:val="2"/>
                <w:sz w:val="21"/>
                <w:szCs w:val="21"/>
              </w:rPr>
            </w:pPr>
            <w:r>
              <w:rPr>
                <w:rFonts w:hint="eastAsia" w:hAnsi="宋体" w:cs="宋体"/>
                <w:kern w:val="2"/>
                <w:sz w:val="21"/>
                <w:szCs w:val="21"/>
              </w:rPr>
              <w:t>招标文件澄清截止时间</w:t>
            </w:r>
          </w:p>
        </w:tc>
        <w:tc>
          <w:tcPr>
            <w:tcW w:w="6332" w:type="dxa"/>
            <w:vAlign w:val="center"/>
          </w:tcPr>
          <w:p w14:paraId="51148E5F">
            <w:pPr>
              <w:pStyle w:val="10"/>
              <w:spacing w:line="360" w:lineRule="auto"/>
              <w:rPr>
                <w:rFonts w:hAnsi="宋体" w:cs="宋体"/>
                <w:kern w:val="2"/>
                <w:sz w:val="21"/>
                <w:szCs w:val="21"/>
              </w:rPr>
            </w:pPr>
            <w:r>
              <w:rPr>
                <w:rFonts w:hint="eastAsia" w:hAnsi="宋体" w:cs="宋体"/>
                <w:kern w:val="2"/>
                <w:sz w:val="21"/>
                <w:szCs w:val="21"/>
              </w:rPr>
              <w:t>提交投标文件截止时间十五日前。</w:t>
            </w:r>
          </w:p>
        </w:tc>
      </w:tr>
      <w:tr w14:paraId="7DF1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3AF39777">
            <w:pPr>
              <w:pStyle w:val="10"/>
              <w:spacing w:line="360" w:lineRule="auto"/>
              <w:jc w:val="center"/>
              <w:rPr>
                <w:rFonts w:hAnsi="宋体" w:cs="宋体"/>
                <w:kern w:val="2"/>
                <w:sz w:val="21"/>
                <w:szCs w:val="21"/>
              </w:rPr>
            </w:pPr>
            <w:r>
              <w:rPr>
                <w:rFonts w:hint="eastAsia" w:hAnsi="宋体" w:cs="宋体"/>
                <w:kern w:val="2"/>
                <w:sz w:val="21"/>
                <w:szCs w:val="21"/>
              </w:rPr>
              <w:t>13.1</w:t>
            </w:r>
          </w:p>
        </w:tc>
        <w:tc>
          <w:tcPr>
            <w:tcW w:w="2410" w:type="dxa"/>
            <w:tcBorders>
              <w:bottom w:val="single" w:color="auto" w:sz="4" w:space="0"/>
            </w:tcBorders>
            <w:vAlign w:val="center"/>
          </w:tcPr>
          <w:p w14:paraId="2DA83014">
            <w:pPr>
              <w:pStyle w:val="10"/>
              <w:spacing w:line="360" w:lineRule="auto"/>
              <w:jc w:val="center"/>
              <w:rPr>
                <w:rFonts w:hAnsi="宋体" w:cs="宋体"/>
                <w:sz w:val="21"/>
                <w:szCs w:val="21"/>
              </w:rPr>
            </w:pPr>
            <w:r>
              <w:rPr>
                <w:rFonts w:hint="eastAsia" w:hAnsi="宋体" w:cs="宋体"/>
                <w:kern w:val="2"/>
                <w:sz w:val="21"/>
                <w:szCs w:val="21"/>
              </w:rPr>
              <w:t>构成投标文件的其他资料</w:t>
            </w:r>
          </w:p>
        </w:tc>
        <w:tc>
          <w:tcPr>
            <w:tcW w:w="6332" w:type="dxa"/>
            <w:tcBorders>
              <w:bottom w:val="single" w:color="auto" w:sz="4" w:space="0"/>
            </w:tcBorders>
            <w:vAlign w:val="center"/>
          </w:tcPr>
          <w:p w14:paraId="158B1FB3">
            <w:pPr>
              <w:pStyle w:val="10"/>
              <w:spacing w:line="360" w:lineRule="auto"/>
              <w:rPr>
                <w:rFonts w:hAnsi="宋体" w:cs="宋体"/>
                <w:kern w:val="2"/>
                <w:sz w:val="21"/>
                <w:szCs w:val="21"/>
              </w:rPr>
            </w:pPr>
            <w:r>
              <w:rPr>
                <w:rFonts w:hint="eastAsia" w:hAnsi="宋体" w:cs="宋体"/>
                <w:kern w:val="2"/>
                <w:sz w:val="21"/>
                <w:szCs w:val="21"/>
              </w:rPr>
              <w:t>1、第五章“采购需求”中要求提供的其他资料；</w:t>
            </w:r>
          </w:p>
          <w:p w14:paraId="19FE0A6F">
            <w:pPr>
              <w:pStyle w:val="10"/>
              <w:spacing w:line="360" w:lineRule="auto"/>
              <w:rPr>
                <w:rFonts w:hAnsi="宋体" w:cs="宋体"/>
                <w:b/>
                <w:sz w:val="21"/>
                <w:szCs w:val="21"/>
              </w:rPr>
            </w:pPr>
            <w:r>
              <w:rPr>
                <w:rFonts w:hint="eastAsia" w:hAnsi="宋体" w:cs="宋体"/>
                <w:kern w:val="2"/>
                <w:sz w:val="21"/>
                <w:szCs w:val="21"/>
              </w:rPr>
              <w:t>2、招标文件中所涉及到的相关资料及证明文件或投标人认为必须提供的其他相关资料。</w:t>
            </w:r>
          </w:p>
        </w:tc>
      </w:tr>
      <w:tr w14:paraId="7422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444A56A1">
            <w:pPr>
              <w:pStyle w:val="10"/>
              <w:spacing w:line="360" w:lineRule="auto"/>
              <w:jc w:val="center"/>
              <w:rPr>
                <w:rFonts w:hAnsi="宋体" w:cs="宋体"/>
                <w:kern w:val="2"/>
                <w:sz w:val="21"/>
                <w:szCs w:val="21"/>
              </w:rPr>
            </w:pPr>
            <w:r>
              <w:rPr>
                <w:rFonts w:hint="eastAsia" w:hAnsi="宋体" w:cs="宋体"/>
                <w:kern w:val="2"/>
                <w:sz w:val="21"/>
                <w:szCs w:val="21"/>
              </w:rPr>
              <w:t>15.1</w:t>
            </w:r>
          </w:p>
        </w:tc>
        <w:tc>
          <w:tcPr>
            <w:tcW w:w="2410" w:type="dxa"/>
            <w:tcBorders>
              <w:bottom w:val="single" w:color="auto" w:sz="4" w:space="0"/>
            </w:tcBorders>
            <w:vAlign w:val="center"/>
          </w:tcPr>
          <w:p w14:paraId="11A8A72E">
            <w:pPr>
              <w:pStyle w:val="10"/>
              <w:spacing w:line="360" w:lineRule="auto"/>
              <w:jc w:val="center"/>
              <w:rPr>
                <w:rFonts w:hAnsi="宋体" w:cs="宋体"/>
                <w:kern w:val="2"/>
                <w:sz w:val="21"/>
                <w:szCs w:val="21"/>
              </w:rPr>
            </w:pPr>
            <w:r>
              <w:rPr>
                <w:rFonts w:hint="eastAsia" w:hAnsi="宋体" w:cs="宋体"/>
                <w:kern w:val="2"/>
                <w:sz w:val="21"/>
                <w:szCs w:val="21"/>
              </w:rPr>
              <w:t>投标报价</w:t>
            </w:r>
          </w:p>
        </w:tc>
        <w:tc>
          <w:tcPr>
            <w:tcW w:w="6332" w:type="dxa"/>
            <w:tcBorders>
              <w:bottom w:val="single" w:color="auto" w:sz="4" w:space="0"/>
            </w:tcBorders>
            <w:vAlign w:val="center"/>
          </w:tcPr>
          <w:p w14:paraId="3ADB86EA">
            <w:pPr>
              <w:pStyle w:val="10"/>
              <w:spacing w:line="360" w:lineRule="auto"/>
              <w:rPr>
                <w:rFonts w:hint="eastAsia" w:hAnsi="宋体" w:cs="宋体"/>
                <w:kern w:val="2"/>
                <w:sz w:val="21"/>
                <w:szCs w:val="21"/>
                <w:lang w:val="en-US" w:eastAsia="zh-CN"/>
              </w:rPr>
            </w:pPr>
            <w:r>
              <w:rPr>
                <w:rFonts w:hint="eastAsia" w:hAnsi="宋体" w:cs="宋体"/>
                <w:kern w:val="2"/>
                <w:sz w:val="21"/>
                <w:szCs w:val="21"/>
              </w:rPr>
              <w:t>报价方式：采用</w:t>
            </w:r>
            <w:r>
              <w:rPr>
                <w:rFonts w:hint="eastAsia" w:hAnsi="宋体" w:cs="宋体"/>
                <w:kern w:val="2"/>
                <w:sz w:val="21"/>
                <w:szCs w:val="21"/>
                <w:lang w:val="en-US" w:eastAsia="zh-CN"/>
              </w:rPr>
              <w:t>投标总报价</w:t>
            </w:r>
            <w:r>
              <w:rPr>
                <w:rFonts w:hint="eastAsia" w:hAnsi="宋体" w:cs="宋体"/>
                <w:kern w:val="2"/>
                <w:sz w:val="21"/>
                <w:szCs w:val="21"/>
              </w:rPr>
              <w:t>进行报价</w:t>
            </w:r>
            <w:r>
              <w:rPr>
                <w:rFonts w:hint="eastAsia" w:hAnsi="宋体" w:cs="宋体"/>
                <w:kern w:val="2"/>
                <w:sz w:val="21"/>
                <w:szCs w:val="21"/>
                <w:lang w:val="en-US" w:eastAsia="zh-CN"/>
              </w:rPr>
              <w:t>。</w:t>
            </w:r>
          </w:p>
          <w:p w14:paraId="5BED01AF">
            <w:pPr>
              <w:pStyle w:val="10"/>
              <w:spacing w:line="360" w:lineRule="auto"/>
              <w:rPr>
                <w:rFonts w:hAnsi="宋体" w:cs="宋体"/>
                <w:kern w:val="2"/>
                <w:sz w:val="21"/>
                <w:szCs w:val="21"/>
              </w:rPr>
            </w:pPr>
            <w:r>
              <w:rPr>
                <w:rFonts w:hint="eastAsia" w:hAnsi="宋体" w:cs="宋体"/>
                <w:kern w:val="2"/>
                <w:sz w:val="21"/>
                <w:szCs w:val="21"/>
                <w:lang w:val="en-US" w:eastAsia="zh-CN"/>
              </w:rPr>
              <w:t>投标报价</w:t>
            </w:r>
            <w:r>
              <w:rPr>
                <w:rFonts w:hint="default" w:hAnsi="宋体" w:cs="宋体"/>
                <w:kern w:val="2"/>
                <w:sz w:val="21"/>
                <w:szCs w:val="21"/>
              </w:rPr>
              <w:t>包括：（1）货物的价格；（2）运输、装卸、调试、培训、技术支持、售后服务等费用；（3）必要的保险费用和各项税费；（4）包括安装费用，采购人不再支付任何费用。</w:t>
            </w:r>
          </w:p>
        </w:tc>
      </w:tr>
      <w:tr w14:paraId="23B9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708F01E0">
            <w:pPr>
              <w:pStyle w:val="10"/>
              <w:spacing w:line="360" w:lineRule="auto"/>
              <w:jc w:val="center"/>
              <w:rPr>
                <w:rFonts w:hAnsi="宋体" w:cs="宋体"/>
                <w:kern w:val="2"/>
                <w:sz w:val="21"/>
                <w:szCs w:val="21"/>
              </w:rPr>
            </w:pPr>
            <w:r>
              <w:rPr>
                <w:rFonts w:hint="eastAsia" w:hAnsi="宋体" w:cs="宋体"/>
                <w:kern w:val="2"/>
                <w:sz w:val="21"/>
                <w:szCs w:val="21"/>
              </w:rPr>
              <w:t>17.1</w:t>
            </w:r>
          </w:p>
        </w:tc>
        <w:tc>
          <w:tcPr>
            <w:tcW w:w="2410" w:type="dxa"/>
            <w:vAlign w:val="center"/>
          </w:tcPr>
          <w:p w14:paraId="727348A1">
            <w:pPr>
              <w:pStyle w:val="10"/>
              <w:spacing w:line="360" w:lineRule="auto"/>
              <w:jc w:val="center"/>
              <w:rPr>
                <w:rFonts w:hAnsi="宋体" w:cs="宋体"/>
                <w:kern w:val="2"/>
                <w:sz w:val="21"/>
                <w:szCs w:val="21"/>
              </w:rPr>
            </w:pPr>
            <w:r>
              <w:rPr>
                <w:rFonts w:hint="eastAsia" w:hAnsi="宋体" w:cs="宋体"/>
                <w:kern w:val="2"/>
                <w:sz w:val="21"/>
                <w:szCs w:val="21"/>
              </w:rPr>
              <w:t>投标文件有效期</w:t>
            </w:r>
          </w:p>
        </w:tc>
        <w:tc>
          <w:tcPr>
            <w:tcW w:w="6332" w:type="dxa"/>
            <w:vAlign w:val="center"/>
          </w:tcPr>
          <w:p w14:paraId="34D7CAC9">
            <w:pPr>
              <w:pStyle w:val="10"/>
              <w:spacing w:line="360" w:lineRule="auto"/>
              <w:rPr>
                <w:rFonts w:hAnsi="宋体" w:cs="宋体"/>
                <w:kern w:val="2"/>
                <w:sz w:val="21"/>
                <w:szCs w:val="21"/>
              </w:rPr>
            </w:pPr>
            <w:r>
              <w:rPr>
                <w:rFonts w:hint="eastAsia" w:hAnsi="宋体" w:cs="宋体"/>
                <w:sz w:val="24"/>
              </w:rPr>
              <w:t>▲</w:t>
            </w:r>
            <w:r>
              <w:rPr>
                <w:rFonts w:hint="eastAsia" w:hAnsi="宋体" w:cs="宋体"/>
                <w:kern w:val="2"/>
                <w:sz w:val="21"/>
                <w:szCs w:val="21"/>
              </w:rPr>
              <w:t>从提交投标文件截止之日起90日历天。</w:t>
            </w:r>
          </w:p>
        </w:tc>
      </w:tr>
      <w:tr w14:paraId="5EB3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506117A6">
            <w:pPr>
              <w:pStyle w:val="10"/>
              <w:spacing w:line="360" w:lineRule="auto"/>
              <w:jc w:val="center"/>
              <w:rPr>
                <w:rFonts w:hint="default" w:hAnsi="宋体" w:eastAsia="宋体" w:cs="宋体"/>
                <w:kern w:val="2"/>
                <w:sz w:val="21"/>
                <w:szCs w:val="21"/>
                <w:lang w:val="en-US" w:eastAsia="zh-CN"/>
              </w:rPr>
            </w:pPr>
            <w:r>
              <w:rPr>
                <w:rFonts w:hint="eastAsia" w:hAnsi="宋体" w:cs="宋体"/>
                <w:kern w:val="2"/>
                <w:sz w:val="21"/>
                <w:szCs w:val="21"/>
              </w:rPr>
              <w:t>18</w:t>
            </w:r>
            <w:r>
              <w:rPr>
                <w:rFonts w:hint="eastAsia" w:hAnsi="宋体" w:cs="宋体"/>
                <w:kern w:val="2"/>
                <w:sz w:val="21"/>
                <w:szCs w:val="21"/>
                <w:lang w:eastAsia="zh-CN"/>
              </w:rPr>
              <w:t>.</w:t>
            </w:r>
            <w:r>
              <w:rPr>
                <w:rFonts w:hint="eastAsia" w:hAnsi="宋体" w:cs="宋体"/>
                <w:kern w:val="2"/>
                <w:sz w:val="21"/>
                <w:szCs w:val="21"/>
                <w:lang w:val="en-US" w:eastAsia="zh-CN"/>
              </w:rPr>
              <w:t>1</w:t>
            </w:r>
          </w:p>
        </w:tc>
        <w:tc>
          <w:tcPr>
            <w:tcW w:w="2410" w:type="dxa"/>
            <w:vAlign w:val="center"/>
          </w:tcPr>
          <w:p w14:paraId="06126EE0">
            <w:pPr>
              <w:pStyle w:val="10"/>
              <w:spacing w:line="360" w:lineRule="auto"/>
              <w:jc w:val="center"/>
              <w:rPr>
                <w:rFonts w:hAnsi="宋体" w:cs="宋体"/>
                <w:kern w:val="2"/>
                <w:sz w:val="21"/>
                <w:szCs w:val="21"/>
              </w:rPr>
            </w:pPr>
            <w:r>
              <w:rPr>
                <w:rFonts w:hint="eastAsia" w:hAnsi="宋体" w:cs="宋体"/>
                <w:kern w:val="2"/>
                <w:sz w:val="21"/>
                <w:szCs w:val="21"/>
              </w:rPr>
              <w:t>投标保证金</w:t>
            </w:r>
          </w:p>
        </w:tc>
        <w:tc>
          <w:tcPr>
            <w:tcW w:w="6332" w:type="dxa"/>
            <w:vAlign w:val="center"/>
          </w:tcPr>
          <w:p w14:paraId="1D2FBC53">
            <w:pPr>
              <w:pStyle w:val="10"/>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□不要求递交投标保证金</w:t>
            </w:r>
          </w:p>
          <w:p w14:paraId="30D4A7A5">
            <w:pPr>
              <w:pStyle w:val="10"/>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☑要求递交投标保证金</w:t>
            </w:r>
          </w:p>
          <w:p w14:paraId="00AABBD9">
            <w:pPr>
              <w:pStyle w:val="10"/>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投标保证金的缴纳时间以实际到账的时间为准，未按时到账的投标保证金无效。投标保证金的交付人和供应商的名称必须一致，否则其投标文件将被否决。</w:t>
            </w:r>
          </w:p>
          <w:p w14:paraId="7C41917B">
            <w:pPr>
              <w:pStyle w:val="10"/>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投标保证金的缴纳方式：支票、汇票、本票、保函、网银、转账、电汇等非现金形式，供应商可根据实际情况，选择保证金的缴纳方式。</w:t>
            </w:r>
          </w:p>
          <w:p w14:paraId="582FB162">
            <w:pPr>
              <w:pStyle w:val="10"/>
              <w:spacing w:line="360" w:lineRule="auto"/>
              <w:rPr>
                <w:rFonts w:hint="eastAsia" w:ascii="宋体" w:hAnsi="宋体" w:eastAsia="宋体" w:cs="宋体"/>
                <w:kern w:val="2"/>
                <w:sz w:val="21"/>
                <w:szCs w:val="21"/>
                <w:lang w:val="en-US" w:eastAsia="zh-CN"/>
              </w:rPr>
            </w:pPr>
            <w:r>
              <w:rPr>
                <w:rFonts w:hint="eastAsia" w:ascii="宋体" w:hAnsi="宋体" w:eastAsia="宋体" w:cs="宋体"/>
                <w:b/>
                <w:bCs/>
                <w:color w:val="auto"/>
                <w:sz w:val="24"/>
                <w:szCs w:val="24"/>
                <w:highlight w:val="none"/>
                <w:lang w:val="en-US" w:eastAsia="zh-CN"/>
              </w:rPr>
              <w:t>投标保证金金额：</w:t>
            </w:r>
            <w:r>
              <w:rPr>
                <w:rFonts w:hint="eastAsia" w:ascii="宋体" w:hAnsi="宋体" w:eastAsia="宋体" w:cs="宋体"/>
                <w:kern w:val="2"/>
                <w:sz w:val="21"/>
                <w:szCs w:val="21"/>
                <w:lang w:val="en-US" w:eastAsia="zh-CN"/>
              </w:rPr>
              <w:t>根据《云南省发展和改革委员会等部门关于鼓励减免政府投资项目投标保证金的通知》（云发改交易管理〔2023〕397号）文件精神，自2023年5月1日起，政府投资项目进行招标投标活动时，减免投标保证金，降幅不得低于现收取数额的50%，采购人、招标代理机构应当在招标文件中明确减免投标保证金的情况。本项目投标保证金均按标准下浮50%收取。</w:t>
            </w:r>
          </w:p>
          <w:p w14:paraId="22362E30">
            <w:pPr>
              <w:pStyle w:val="10"/>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投标保证金金额：</w:t>
            </w:r>
          </w:p>
          <w:p w14:paraId="1AAFBA58">
            <w:pPr>
              <w:pStyle w:val="10"/>
              <w:spacing w:line="360" w:lineRule="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标项2：图书管理系统；</w:t>
            </w:r>
          </w:p>
          <w:p w14:paraId="0D21EC0B">
            <w:pPr>
              <w:pStyle w:val="10"/>
              <w:spacing w:line="360" w:lineRule="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保证金金额：¥950.00元；</w:t>
            </w:r>
          </w:p>
          <w:p w14:paraId="1E645980">
            <w:pPr>
              <w:keepNext w:val="0"/>
              <w:keepLines w:val="0"/>
              <w:pageBreakBefore w:val="0"/>
              <w:widowControl w:val="0"/>
              <w:kinsoku/>
              <w:wordWrap w:val="0"/>
              <w:overflowPunct/>
              <w:topLinePunct/>
              <w:autoSpaceDE/>
              <w:autoSpaceDN/>
              <w:bidi w:val="0"/>
              <w:adjustRightInd/>
              <w:snapToGrid/>
              <w:spacing w:line="360" w:lineRule="auto"/>
              <w:ind w:right="0" w:rightChars="0" w:firstLine="211"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color w:val="auto"/>
                <w:kern w:val="0"/>
                <w:sz w:val="21"/>
                <w:szCs w:val="21"/>
                <w:highlight w:val="none"/>
                <w:lang w:val="en-US" w:eastAsia="zh-CN" w:bidi="ar"/>
              </w:rPr>
              <w:t>（一）投标保证金采用银行转账方式的：</w:t>
            </w:r>
            <w:r>
              <w:rPr>
                <w:rFonts w:hint="eastAsia" w:ascii="宋体" w:hAnsi="宋体" w:eastAsia="宋体" w:cs="宋体"/>
                <w:kern w:val="2"/>
                <w:sz w:val="21"/>
                <w:szCs w:val="21"/>
                <w:lang w:val="en-US" w:eastAsia="zh-CN" w:bidi="ar-SA"/>
              </w:rPr>
              <w:t>应以供应商名义提交且必须从供应商基本账户转出，不得以分支机构及其他名义提交。供应商应在投标截止时间前递交保证金并注明项目名称+项目编号等信息，到账时间以实际到达已公布的项目银行账号时间为准，未在投标截止时间前到账的保证金视为未提交。</w:t>
            </w:r>
          </w:p>
          <w:p w14:paraId="277596CD">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开户名称：云南东臻工程项目管理有限公司</w:t>
            </w:r>
          </w:p>
          <w:p w14:paraId="5E1B5612">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开户行：中国建设银行股份有限公司楚雄开发区支行</w:t>
            </w:r>
          </w:p>
          <w:p w14:paraId="79E58257">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保证金提交账号：5305 0170 6155 0000 1010</w:t>
            </w:r>
          </w:p>
          <w:p w14:paraId="7CDFBC89">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 系 人：邱东</w:t>
            </w:r>
          </w:p>
          <w:p w14:paraId="1B1FD3D2">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联系电话：13769263111</w:t>
            </w:r>
          </w:p>
          <w:p w14:paraId="5F6D6189">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1"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color w:val="auto"/>
                <w:kern w:val="0"/>
                <w:sz w:val="21"/>
                <w:szCs w:val="21"/>
                <w:highlight w:val="none"/>
                <w:lang w:val="en-US" w:eastAsia="zh-CN" w:bidi="ar"/>
              </w:rPr>
              <w:t>（二）投标保证金采用银行保函方式的：</w:t>
            </w:r>
            <w:r>
              <w:rPr>
                <w:rFonts w:hint="eastAsia" w:ascii="宋体" w:hAnsi="宋体" w:eastAsia="宋体" w:cs="宋体"/>
                <w:kern w:val="2"/>
                <w:sz w:val="21"/>
                <w:szCs w:val="21"/>
                <w:lang w:val="en-US" w:eastAsia="zh-CN" w:bidi="ar-SA"/>
              </w:rPr>
              <w:t>保函供应商应是供应商，受益人应是采购人，保证人应是供应商基本账号的开户银行。银行保函应正确填写受益人和供应商的全称，并与招标文件规定的项目名称相一致，以免造成投标无效。当供应商违反政府采购法律法规规章等规定且符合保证金不予退回情形的，由银行按照银行保函合同对采购人代偿投标保证金额。</w:t>
            </w:r>
          </w:p>
          <w:p w14:paraId="428457A9">
            <w:pPr>
              <w:spacing w:line="360" w:lineRule="auto"/>
              <w:jc w:val="left"/>
              <w:rPr>
                <w:rFonts w:ascii="宋体" w:hAnsi="宋体" w:cs="宋体"/>
                <w:b/>
                <w:szCs w:val="21"/>
              </w:rPr>
            </w:pPr>
            <w:r>
              <w:rPr>
                <w:rFonts w:hint="eastAsia" w:ascii="宋体" w:hAnsi="宋体" w:eastAsia="宋体" w:cs="宋体"/>
                <w:b/>
                <w:bCs/>
                <w:color w:val="auto"/>
                <w:kern w:val="0"/>
                <w:sz w:val="21"/>
                <w:szCs w:val="21"/>
                <w:highlight w:val="none"/>
                <w:lang w:val="en-US" w:eastAsia="zh-CN" w:bidi="ar"/>
              </w:rPr>
              <w:t>（三）投标保证金采用电子</w:t>
            </w:r>
            <w:r>
              <w:rPr>
                <w:rFonts w:hint="eastAsia" w:ascii="宋体" w:hAnsi="宋体" w:eastAsia="宋体" w:cs="宋体"/>
                <w:color w:val="auto"/>
                <w:kern w:val="0"/>
                <w:sz w:val="21"/>
                <w:szCs w:val="21"/>
                <w:highlight w:val="none"/>
                <w:lang w:val="en-US" w:eastAsia="zh-CN" w:bidi="ar"/>
              </w:rPr>
              <w:t>保证保险</w:t>
            </w:r>
            <w:r>
              <w:rPr>
                <w:rFonts w:hint="eastAsia" w:ascii="宋体" w:hAnsi="宋体" w:eastAsia="宋体" w:cs="宋体"/>
                <w:b/>
                <w:bCs/>
                <w:color w:val="auto"/>
                <w:kern w:val="0"/>
                <w:sz w:val="21"/>
                <w:szCs w:val="21"/>
                <w:highlight w:val="none"/>
                <w:lang w:val="en-US" w:eastAsia="zh-CN" w:bidi="ar"/>
              </w:rPr>
              <w:t>方式的</w:t>
            </w: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kern w:val="2"/>
                <w:sz w:val="21"/>
                <w:szCs w:val="21"/>
                <w:lang w:val="en-US" w:eastAsia="zh-CN" w:bidi="ar-SA"/>
              </w:rPr>
              <w:t>在投标保证保险中，供应商为投保人，采购人为被保险人。当供应商违反法律法规且符合投标保证金不予退回情形的，由保险公司按照保险合同对采购人代偿投标保证金金额。</w:t>
            </w:r>
          </w:p>
        </w:tc>
      </w:tr>
      <w:tr w14:paraId="7F5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2755218E">
            <w:pPr>
              <w:pStyle w:val="10"/>
              <w:spacing w:line="360" w:lineRule="auto"/>
              <w:jc w:val="center"/>
              <w:rPr>
                <w:rFonts w:hint="default" w:hAnsi="宋体" w:eastAsia="宋体" w:cs="宋体"/>
                <w:kern w:val="2"/>
                <w:sz w:val="21"/>
                <w:szCs w:val="21"/>
                <w:lang w:val="en-US" w:eastAsia="zh-CN"/>
              </w:rPr>
            </w:pPr>
            <w:r>
              <w:rPr>
                <w:rFonts w:hint="eastAsia" w:hAnsi="宋体" w:cs="宋体"/>
                <w:kern w:val="2"/>
                <w:sz w:val="21"/>
                <w:szCs w:val="21"/>
                <w:lang w:val="en-US" w:eastAsia="zh-CN"/>
              </w:rPr>
              <w:t>18.2</w:t>
            </w:r>
          </w:p>
        </w:tc>
        <w:tc>
          <w:tcPr>
            <w:tcW w:w="2410" w:type="dxa"/>
            <w:vAlign w:val="center"/>
          </w:tcPr>
          <w:p w14:paraId="1C7FE623">
            <w:pPr>
              <w:pStyle w:val="10"/>
              <w:spacing w:line="360" w:lineRule="auto"/>
              <w:jc w:val="center"/>
              <w:rPr>
                <w:rFonts w:hint="eastAsia" w:hAnsi="宋体" w:cs="宋体"/>
                <w:kern w:val="2"/>
                <w:sz w:val="21"/>
                <w:szCs w:val="21"/>
              </w:rPr>
            </w:pPr>
            <w:r>
              <w:rPr>
                <w:rFonts w:hint="eastAsia" w:hAnsi="宋体" w:cs="宋体"/>
                <w:kern w:val="2"/>
                <w:sz w:val="21"/>
                <w:szCs w:val="21"/>
                <w:lang w:eastAsia="zh-CN"/>
              </w:rPr>
              <w:t>投标保证</w:t>
            </w:r>
            <w:r>
              <w:rPr>
                <w:rFonts w:hint="eastAsia" w:hAnsi="宋体" w:cs="宋体"/>
                <w:kern w:val="2"/>
                <w:sz w:val="21"/>
                <w:szCs w:val="21"/>
                <w:lang w:val="en-US" w:eastAsia="zh-CN"/>
              </w:rPr>
              <w:t>金</w:t>
            </w:r>
            <w:r>
              <w:rPr>
                <w:rFonts w:hint="eastAsia" w:hAnsi="宋体" w:cs="宋体"/>
                <w:kern w:val="2"/>
                <w:sz w:val="21"/>
                <w:szCs w:val="21"/>
                <w:lang w:eastAsia="zh-CN"/>
              </w:rPr>
              <w:t>退还方式</w:t>
            </w:r>
          </w:p>
        </w:tc>
        <w:tc>
          <w:tcPr>
            <w:tcW w:w="6332" w:type="dxa"/>
            <w:shd w:val="clear" w:color="auto" w:fill="auto"/>
            <w:vAlign w:val="center"/>
          </w:tcPr>
          <w:p w14:paraId="140AD8CE">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1" w:firstLineChars="10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投标保证</w:t>
            </w:r>
            <w:r>
              <w:rPr>
                <w:rFonts w:hint="eastAsia" w:ascii="宋体" w:hAnsi="宋体" w:eastAsia="宋体" w:cs="宋体"/>
                <w:b/>
                <w:bCs/>
                <w:color w:val="auto"/>
                <w:sz w:val="21"/>
                <w:szCs w:val="21"/>
                <w:highlight w:val="none"/>
                <w:lang w:val="en-US" w:eastAsia="zh-CN"/>
              </w:rPr>
              <w:t>金</w:t>
            </w:r>
            <w:r>
              <w:rPr>
                <w:rFonts w:hint="eastAsia" w:ascii="宋体" w:hAnsi="宋体" w:eastAsia="宋体" w:cs="宋体"/>
                <w:b/>
                <w:bCs/>
                <w:color w:val="auto"/>
                <w:sz w:val="21"/>
                <w:szCs w:val="21"/>
                <w:highlight w:val="none"/>
                <w:lang w:eastAsia="zh-CN"/>
              </w:rPr>
              <w:t>退还方式：</w:t>
            </w:r>
          </w:p>
          <w:p w14:paraId="5FEFDA90">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1、以电汇、网银、转账方式缴纳的保证金，以网银对公转账的方式退还到供应商打款账户；</w:t>
            </w:r>
          </w:p>
          <w:p w14:paraId="05D86B35">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2、以支票、汇票及本票等票据方式缴纳的保证金，经财务查账确认后以网银对公转账的方式退还到供应商开户账户；</w:t>
            </w:r>
          </w:p>
          <w:p w14:paraId="51F0B713">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3、以银行保函或者保证保险方式缴纳的保证金由供应商自行联系出函机构进行退还。</w:t>
            </w:r>
          </w:p>
          <w:p w14:paraId="06D85855">
            <w:pPr>
              <w:keepNext w:val="0"/>
              <w:keepLines w:val="0"/>
              <w:pageBreakBefore w:val="0"/>
              <w:widowControl w:val="0"/>
              <w:kinsoku/>
              <w:wordWrap w:val="0"/>
              <w:overflowPunct/>
              <w:topLinePunct/>
              <w:autoSpaceDE/>
              <w:autoSpaceDN/>
              <w:bidi w:val="0"/>
              <w:adjustRightInd/>
              <w:snapToGrid/>
              <w:spacing w:line="360" w:lineRule="auto"/>
              <w:ind w:right="0" w:rightChars="0" w:firstLine="211" w:firstLineChars="1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其他可以不予退还投标保证金的情形：</w:t>
            </w:r>
          </w:p>
          <w:p w14:paraId="430B8F84">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1、如中标人不按照招标文件规定交纳代理服务费，其投标保证金将不予退还；</w:t>
            </w:r>
          </w:p>
          <w:p w14:paraId="77DD21DF">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2、供应商围标串标和弄虚作假的；</w:t>
            </w:r>
          </w:p>
          <w:p w14:paraId="492E7A55">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3、供应商存在违法违规行为的；</w:t>
            </w:r>
          </w:p>
          <w:p w14:paraId="0B84BA16">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4、供应商在投标文件中提供虚假材料的；</w:t>
            </w:r>
          </w:p>
          <w:p w14:paraId="784A1C4C">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5、中标人将中标项目转让给他人，或者在投标文件中未说明，且未经采购人同意，将中标项目分包给他人的；</w:t>
            </w:r>
          </w:p>
          <w:p w14:paraId="1E3E6EB5">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6、中标人中标后除因不可抗力拒绝与采购人签订合同的；</w:t>
            </w:r>
          </w:p>
          <w:p w14:paraId="02D414AD">
            <w:pPr>
              <w:keepNext w:val="0"/>
              <w:keepLines w:val="0"/>
              <w:pageBreakBefore w:val="0"/>
              <w:widowControl w:val="0"/>
              <w:suppressLineNumbers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kern w:val="2"/>
                <w:sz w:val="21"/>
                <w:szCs w:val="21"/>
                <w:lang w:val="en-US" w:eastAsia="zh-CN" w:bidi="ar-SA"/>
              </w:rPr>
              <w:t>7、招标文件规定的其他情形的。</w:t>
            </w:r>
          </w:p>
        </w:tc>
      </w:tr>
      <w:tr w14:paraId="697A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071DD78B">
            <w:pPr>
              <w:pStyle w:val="10"/>
              <w:spacing w:line="360" w:lineRule="auto"/>
              <w:jc w:val="center"/>
              <w:rPr>
                <w:rFonts w:hAnsi="宋体" w:cs="宋体"/>
                <w:kern w:val="2"/>
                <w:sz w:val="21"/>
                <w:szCs w:val="21"/>
              </w:rPr>
            </w:pPr>
            <w:r>
              <w:rPr>
                <w:rFonts w:hint="eastAsia" w:hAnsi="宋体" w:cs="宋体"/>
                <w:kern w:val="2"/>
                <w:sz w:val="21"/>
                <w:szCs w:val="21"/>
              </w:rPr>
              <w:t>19.1</w:t>
            </w:r>
          </w:p>
        </w:tc>
        <w:tc>
          <w:tcPr>
            <w:tcW w:w="2410" w:type="dxa"/>
            <w:vAlign w:val="center"/>
          </w:tcPr>
          <w:p w14:paraId="68122017">
            <w:pPr>
              <w:pStyle w:val="10"/>
              <w:spacing w:line="360" w:lineRule="auto"/>
              <w:jc w:val="center"/>
              <w:rPr>
                <w:rFonts w:hAnsi="宋体" w:cs="宋体"/>
                <w:kern w:val="2"/>
                <w:sz w:val="21"/>
                <w:szCs w:val="21"/>
              </w:rPr>
            </w:pPr>
            <w:r>
              <w:rPr>
                <w:rFonts w:hint="eastAsia" w:hAnsi="宋体" w:cs="宋体"/>
                <w:kern w:val="2"/>
                <w:sz w:val="21"/>
                <w:szCs w:val="21"/>
              </w:rPr>
              <w:t>投标文件递交及有关内容</w:t>
            </w:r>
          </w:p>
        </w:tc>
        <w:tc>
          <w:tcPr>
            <w:tcW w:w="6332" w:type="dxa"/>
            <w:shd w:val="clear" w:color="auto" w:fill="auto"/>
            <w:vAlign w:val="center"/>
          </w:tcPr>
          <w:p w14:paraId="3AA696AD">
            <w:pPr>
              <w:adjustRightInd w:val="0"/>
              <w:snapToGrid w:val="0"/>
              <w:spacing w:line="360" w:lineRule="auto"/>
              <w:rPr>
                <w:rFonts w:ascii="宋体" w:hAnsi="宋体" w:eastAsia="宋体" w:cs="宋体"/>
                <w:kern w:val="2"/>
                <w:sz w:val="21"/>
                <w:szCs w:val="21"/>
                <w:lang w:val="en-US" w:eastAsia="zh-CN" w:bidi="ar-SA"/>
              </w:rPr>
            </w:pPr>
            <w:r>
              <w:rPr>
                <w:rFonts w:hint="eastAsia" w:ascii="宋体" w:hAnsi="宋体" w:cs="宋体"/>
                <w:b/>
                <w:kern w:val="0"/>
                <w:szCs w:val="21"/>
              </w:rPr>
              <w:t>网上递交：</w:t>
            </w:r>
            <w:r>
              <w:rPr>
                <w:rFonts w:hint="eastAsia" w:ascii="宋体" w:hAnsi="宋体" w:cs="宋体"/>
                <w:kern w:val="0"/>
                <w:szCs w:val="21"/>
              </w:rPr>
              <w:t>投标人应按照本项目招标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tc>
      </w:tr>
      <w:tr w14:paraId="3392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58F788F8">
            <w:pPr>
              <w:pStyle w:val="10"/>
              <w:spacing w:line="360" w:lineRule="auto"/>
              <w:jc w:val="center"/>
              <w:rPr>
                <w:rFonts w:hAnsi="宋体" w:cs="宋体"/>
                <w:kern w:val="2"/>
                <w:sz w:val="21"/>
                <w:szCs w:val="21"/>
              </w:rPr>
            </w:pPr>
            <w:r>
              <w:rPr>
                <w:rFonts w:hint="eastAsia" w:hAnsi="宋体" w:cs="宋体"/>
                <w:kern w:val="2"/>
                <w:sz w:val="21"/>
                <w:szCs w:val="21"/>
              </w:rPr>
              <w:t>19.2</w:t>
            </w:r>
          </w:p>
        </w:tc>
        <w:tc>
          <w:tcPr>
            <w:tcW w:w="2410" w:type="dxa"/>
            <w:vAlign w:val="center"/>
          </w:tcPr>
          <w:p w14:paraId="53BAEA81">
            <w:pPr>
              <w:pStyle w:val="10"/>
              <w:spacing w:line="360" w:lineRule="auto"/>
              <w:jc w:val="center"/>
              <w:rPr>
                <w:rFonts w:hAnsi="宋体" w:cs="宋体"/>
                <w:kern w:val="2"/>
                <w:sz w:val="21"/>
                <w:szCs w:val="21"/>
              </w:rPr>
            </w:pPr>
            <w:r>
              <w:rPr>
                <w:rFonts w:hint="eastAsia" w:hAnsi="宋体" w:cs="宋体"/>
                <w:kern w:val="2"/>
                <w:sz w:val="21"/>
                <w:szCs w:val="21"/>
              </w:rPr>
              <w:t>投标文件的加密</w:t>
            </w:r>
          </w:p>
        </w:tc>
        <w:tc>
          <w:tcPr>
            <w:tcW w:w="6332" w:type="dxa"/>
            <w:vAlign w:val="center"/>
          </w:tcPr>
          <w:p w14:paraId="00148A3F">
            <w:pPr>
              <w:pStyle w:val="10"/>
              <w:spacing w:line="360" w:lineRule="auto"/>
              <w:rPr>
                <w:rFonts w:hAnsi="宋体" w:cs="宋体"/>
                <w:kern w:val="2"/>
                <w:sz w:val="21"/>
                <w:szCs w:val="21"/>
              </w:rPr>
            </w:pPr>
            <w:r>
              <w:rPr>
                <w:rFonts w:hint="eastAsia" w:hAnsi="宋体" w:cs="宋体"/>
                <w:kern w:val="2"/>
                <w:sz w:val="21"/>
                <w:szCs w:val="21"/>
              </w:rPr>
              <w:t xml:space="preserve">（1）投标人进行电子交易应安装客户端软件—“政采云电子交易客户端”，并按照招标文件和平台的要求编制并加密投标文件。投标人未按规定加密的投标文件，电子交易平台将拒收并提示； </w:t>
            </w:r>
          </w:p>
          <w:p w14:paraId="0DA75D7C">
            <w:pPr>
              <w:pStyle w:val="10"/>
              <w:spacing w:line="360" w:lineRule="auto"/>
              <w:rPr>
                <w:rFonts w:hAnsi="宋体" w:cs="宋体"/>
                <w:kern w:val="2"/>
                <w:sz w:val="21"/>
                <w:szCs w:val="21"/>
              </w:rPr>
            </w:pPr>
            <w:r>
              <w:rPr>
                <w:rFonts w:hint="eastAsia" w:hAnsi="宋体" w:cs="宋体"/>
                <w:kern w:val="2"/>
                <w:sz w:val="21"/>
                <w:szCs w:val="21"/>
              </w:rPr>
              <w:t xml:space="preserve">（2）使用“政采云电子交易客户端”需要提前申领 CA 数字证书，申领流程见该项目招标公告； </w:t>
            </w:r>
          </w:p>
          <w:p w14:paraId="5B574CEC">
            <w:pPr>
              <w:pStyle w:val="10"/>
              <w:spacing w:line="360" w:lineRule="auto"/>
              <w:rPr>
                <w:rFonts w:hAnsi="宋体" w:cs="宋体"/>
                <w:kern w:val="2"/>
                <w:sz w:val="21"/>
                <w:szCs w:val="21"/>
              </w:rPr>
            </w:pPr>
            <w:r>
              <w:rPr>
                <w:rFonts w:hint="eastAsia" w:hAnsi="宋体" w:cs="宋体"/>
                <w:kern w:val="2"/>
                <w:sz w:val="21"/>
                <w:szCs w:val="21"/>
              </w:rPr>
              <w:t>（3）为确保网上操作合法、有效和安全，投标人应当在投标文件提交截止时间前完成在“政府采购云 平台”的身份认证，确保在电子交易过程中能够对相关数据电文进行加密和使用电子签名。</w:t>
            </w:r>
          </w:p>
        </w:tc>
      </w:tr>
      <w:tr w14:paraId="6D42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gridSpan w:val="2"/>
            <w:vAlign w:val="center"/>
          </w:tcPr>
          <w:p w14:paraId="6AB31451">
            <w:pPr>
              <w:pStyle w:val="10"/>
              <w:spacing w:line="360" w:lineRule="auto"/>
              <w:jc w:val="center"/>
              <w:rPr>
                <w:rFonts w:hAnsi="宋体" w:cs="宋体"/>
                <w:kern w:val="2"/>
                <w:sz w:val="21"/>
                <w:szCs w:val="21"/>
              </w:rPr>
            </w:pPr>
            <w:r>
              <w:rPr>
                <w:rFonts w:hint="eastAsia" w:hAnsi="宋体" w:cs="宋体"/>
                <w:kern w:val="2"/>
                <w:sz w:val="21"/>
                <w:szCs w:val="21"/>
              </w:rPr>
              <w:t>21.1</w:t>
            </w:r>
          </w:p>
        </w:tc>
        <w:tc>
          <w:tcPr>
            <w:tcW w:w="2410" w:type="dxa"/>
            <w:vAlign w:val="center"/>
          </w:tcPr>
          <w:p w14:paraId="4FC0FEA4">
            <w:pPr>
              <w:pStyle w:val="10"/>
              <w:spacing w:line="360" w:lineRule="auto"/>
              <w:jc w:val="center"/>
              <w:rPr>
                <w:rFonts w:hAnsi="宋体" w:cs="宋体"/>
                <w:kern w:val="2"/>
                <w:sz w:val="21"/>
                <w:szCs w:val="21"/>
              </w:rPr>
            </w:pPr>
            <w:r>
              <w:rPr>
                <w:rFonts w:hint="eastAsia" w:hAnsi="宋体" w:cs="宋体"/>
                <w:kern w:val="2"/>
                <w:sz w:val="21"/>
                <w:szCs w:val="21"/>
              </w:rPr>
              <w:t>提交投标文件截止时间</w:t>
            </w:r>
          </w:p>
        </w:tc>
        <w:tc>
          <w:tcPr>
            <w:tcW w:w="6332" w:type="dxa"/>
            <w:vAlign w:val="center"/>
          </w:tcPr>
          <w:p w14:paraId="6C5A1725">
            <w:pPr>
              <w:pStyle w:val="10"/>
              <w:spacing w:line="360" w:lineRule="auto"/>
              <w:rPr>
                <w:rFonts w:hAnsi="宋体" w:cs="宋体"/>
                <w:kern w:val="2"/>
                <w:sz w:val="21"/>
                <w:szCs w:val="21"/>
              </w:rPr>
            </w:pPr>
            <w:r>
              <w:rPr>
                <w:rFonts w:hint="eastAsia" w:hAnsi="宋体" w:cs="宋体"/>
                <w:kern w:val="2"/>
                <w:sz w:val="21"/>
                <w:szCs w:val="21"/>
              </w:rPr>
              <w:t>详见招标公告。</w:t>
            </w:r>
          </w:p>
        </w:tc>
      </w:tr>
      <w:tr w14:paraId="0ECD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7CDFB079">
            <w:pPr>
              <w:pStyle w:val="10"/>
              <w:spacing w:line="360" w:lineRule="auto"/>
              <w:jc w:val="center"/>
              <w:rPr>
                <w:rFonts w:hAnsi="宋体" w:cs="宋体"/>
                <w:kern w:val="2"/>
                <w:sz w:val="21"/>
                <w:szCs w:val="21"/>
              </w:rPr>
            </w:pPr>
            <w:r>
              <w:rPr>
                <w:rFonts w:hint="eastAsia" w:hAnsi="宋体" w:cs="宋体"/>
                <w:kern w:val="2"/>
                <w:sz w:val="21"/>
                <w:szCs w:val="21"/>
              </w:rPr>
              <w:t>21.2</w:t>
            </w:r>
          </w:p>
        </w:tc>
        <w:tc>
          <w:tcPr>
            <w:tcW w:w="2410" w:type="dxa"/>
            <w:vAlign w:val="center"/>
          </w:tcPr>
          <w:p w14:paraId="6DC82076">
            <w:pPr>
              <w:pStyle w:val="10"/>
              <w:spacing w:line="360" w:lineRule="auto"/>
              <w:jc w:val="center"/>
              <w:rPr>
                <w:rFonts w:hAnsi="宋体" w:cs="宋体"/>
                <w:kern w:val="2"/>
                <w:sz w:val="21"/>
                <w:szCs w:val="21"/>
              </w:rPr>
            </w:pPr>
            <w:r>
              <w:rPr>
                <w:rFonts w:hint="eastAsia" w:hAnsi="宋体" w:cs="宋体"/>
                <w:kern w:val="2"/>
                <w:sz w:val="21"/>
                <w:szCs w:val="21"/>
              </w:rPr>
              <w:t>提交投标文件地点</w:t>
            </w:r>
          </w:p>
        </w:tc>
        <w:tc>
          <w:tcPr>
            <w:tcW w:w="6332" w:type="dxa"/>
            <w:vAlign w:val="center"/>
          </w:tcPr>
          <w:p w14:paraId="63F6D52B">
            <w:pPr>
              <w:pStyle w:val="10"/>
              <w:spacing w:line="360" w:lineRule="auto"/>
              <w:rPr>
                <w:rFonts w:hAnsi="宋体" w:cs="宋体"/>
                <w:kern w:val="2"/>
                <w:sz w:val="21"/>
                <w:szCs w:val="21"/>
              </w:rPr>
            </w:pPr>
            <w:r>
              <w:rPr>
                <w:rFonts w:hint="eastAsia" w:hAnsi="宋体" w:cs="宋体"/>
                <w:kern w:val="2"/>
                <w:sz w:val="21"/>
                <w:szCs w:val="21"/>
              </w:rPr>
              <w:t>本项目开标方式为网上开标，投标人无需到现场递交投标文件。</w:t>
            </w:r>
          </w:p>
        </w:tc>
      </w:tr>
      <w:tr w14:paraId="2273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526B7463">
            <w:pPr>
              <w:pStyle w:val="10"/>
              <w:spacing w:line="360" w:lineRule="auto"/>
              <w:jc w:val="center"/>
              <w:rPr>
                <w:rFonts w:hAnsi="宋体" w:cs="宋体"/>
                <w:kern w:val="2"/>
                <w:sz w:val="21"/>
                <w:szCs w:val="21"/>
              </w:rPr>
            </w:pPr>
            <w:r>
              <w:rPr>
                <w:rFonts w:hint="eastAsia" w:hAnsi="宋体" w:cs="宋体"/>
                <w:kern w:val="2"/>
                <w:sz w:val="21"/>
                <w:szCs w:val="21"/>
              </w:rPr>
              <w:t>21.3</w:t>
            </w:r>
          </w:p>
        </w:tc>
        <w:tc>
          <w:tcPr>
            <w:tcW w:w="2410" w:type="dxa"/>
            <w:vAlign w:val="center"/>
          </w:tcPr>
          <w:p w14:paraId="021B449E">
            <w:pPr>
              <w:pStyle w:val="10"/>
              <w:spacing w:line="360" w:lineRule="auto"/>
              <w:jc w:val="center"/>
              <w:rPr>
                <w:rFonts w:hAnsi="宋体" w:cs="宋体"/>
                <w:kern w:val="2"/>
                <w:sz w:val="21"/>
                <w:szCs w:val="21"/>
              </w:rPr>
            </w:pPr>
            <w:r>
              <w:rPr>
                <w:rFonts w:hint="eastAsia" w:hAnsi="宋体" w:cs="宋体"/>
                <w:kern w:val="2"/>
                <w:sz w:val="21"/>
                <w:szCs w:val="21"/>
              </w:rPr>
              <w:t>投标文件的退还</w:t>
            </w:r>
          </w:p>
        </w:tc>
        <w:tc>
          <w:tcPr>
            <w:tcW w:w="6332" w:type="dxa"/>
            <w:vAlign w:val="center"/>
          </w:tcPr>
          <w:p w14:paraId="3384A590">
            <w:pPr>
              <w:pStyle w:val="10"/>
              <w:spacing w:line="360" w:lineRule="auto"/>
              <w:rPr>
                <w:rFonts w:hAnsi="宋体" w:cs="宋体"/>
                <w:kern w:val="2"/>
                <w:sz w:val="21"/>
                <w:szCs w:val="21"/>
              </w:rPr>
            </w:pPr>
            <w:r>
              <w:rPr>
                <w:rFonts w:hint="eastAsia" w:hAnsi="宋体" w:cs="宋体"/>
                <w:kern w:val="2"/>
                <w:sz w:val="21"/>
                <w:szCs w:val="21"/>
              </w:rPr>
              <w:t>不予退还。</w:t>
            </w:r>
          </w:p>
        </w:tc>
      </w:tr>
      <w:tr w14:paraId="3149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56EDBEDA">
            <w:pPr>
              <w:pStyle w:val="10"/>
              <w:spacing w:line="360" w:lineRule="auto"/>
              <w:jc w:val="center"/>
              <w:rPr>
                <w:rFonts w:hAnsi="宋体" w:cs="宋体"/>
                <w:kern w:val="2"/>
                <w:sz w:val="21"/>
                <w:szCs w:val="21"/>
              </w:rPr>
            </w:pPr>
            <w:r>
              <w:rPr>
                <w:rFonts w:hint="eastAsia" w:hAnsi="宋体" w:cs="宋体"/>
                <w:kern w:val="2"/>
                <w:sz w:val="21"/>
                <w:szCs w:val="21"/>
              </w:rPr>
              <w:t>22.1</w:t>
            </w:r>
          </w:p>
        </w:tc>
        <w:tc>
          <w:tcPr>
            <w:tcW w:w="2410" w:type="dxa"/>
            <w:vAlign w:val="center"/>
          </w:tcPr>
          <w:p w14:paraId="550BD395">
            <w:pPr>
              <w:pStyle w:val="10"/>
              <w:spacing w:line="360" w:lineRule="auto"/>
              <w:jc w:val="center"/>
              <w:rPr>
                <w:rFonts w:hAnsi="宋体" w:cs="宋体"/>
                <w:kern w:val="2"/>
                <w:sz w:val="21"/>
                <w:szCs w:val="21"/>
              </w:rPr>
            </w:pPr>
            <w:r>
              <w:rPr>
                <w:rFonts w:hint="eastAsia" w:hAnsi="宋体" w:cs="宋体"/>
                <w:kern w:val="2"/>
                <w:sz w:val="21"/>
                <w:szCs w:val="21"/>
              </w:rPr>
              <w:t>开标时间和地点</w:t>
            </w:r>
          </w:p>
        </w:tc>
        <w:tc>
          <w:tcPr>
            <w:tcW w:w="6332" w:type="dxa"/>
            <w:vAlign w:val="center"/>
          </w:tcPr>
          <w:p w14:paraId="0B40C7E5">
            <w:pPr>
              <w:pStyle w:val="10"/>
              <w:spacing w:line="360" w:lineRule="auto"/>
              <w:rPr>
                <w:rFonts w:hAnsi="宋体" w:cs="宋体"/>
                <w:kern w:val="2"/>
                <w:sz w:val="21"/>
                <w:szCs w:val="21"/>
              </w:rPr>
            </w:pPr>
            <w:r>
              <w:rPr>
                <w:rFonts w:hint="eastAsia" w:hAnsi="宋体" w:cs="宋体"/>
                <w:kern w:val="2"/>
                <w:sz w:val="21"/>
                <w:szCs w:val="21"/>
              </w:rPr>
              <w:t>开标时间：详见招标公告；</w:t>
            </w:r>
          </w:p>
          <w:p w14:paraId="32ECAC90">
            <w:pPr>
              <w:pStyle w:val="10"/>
              <w:spacing w:line="360" w:lineRule="auto"/>
              <w:rPr>
                <w:rFonts w:hAnsi="宋体" w:cs="宋体"/>
                <w:kern w:val="2"/>
                <w:sz w:val="21"/>
                <w:szCs w:val="21"/>
              </w:rPr>
            </w:pPr>
            <w:r>
              <w:rPr>
                <w:rFonts w:hint="eastAsia" w:hAnsi="宋体" w:cs="宋体"/>
                <w:kern w:val="2"/>
                <w:sz w:val="21"/>
                <w:szCs w:val="21"/>
              </w:rPr>
              <w:t>开标地点：详见招标公告。</w:t>
            </w:r>
          </w:p>
        </w:tc>
      </w:tr>
      <w:tr w14:paraId="02A5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2709F36B">
            <w:pPr>
              <w:pStyle w:val="10"/>
              <w:spacing w:line="360" w:lineRule="auto"/>
              <w:jc w:val="center"/>
              <w:rPr>
                <w:rFonts w:hAnsi="宋体" w:cs="宋体"/>
                <w:kern w:val="2"/>
                <w:sz w:val="21"/>
                <w:szCs w:val="21"/>
              </w:rPr>
            </w:pPr>
            <w:r>
              <w:rPr>
                <w:rFonts w:hint="eastAsia" w:hAnsi="宋体" w:cs="宋体"/>
                <w:kern w:val="2"/>
                <w:sz w:val="21"/>
                <w:szCs w:val="21"/>
              </w:rPr>
              <w:t>22.</w:t>
            </w:r>
            <w:r>
              <w:rPr>
                <w:rFonts w:hAnsi="宋体" w:cs="宋体"/>
                <w:kern w:val="2"/>
                <w:sz w:val="21"/>
                <w:szCs w:val="21"/>
              </w:rPr>
              <w:t>3</w:t>
            </w:r>
          </w:p>
        </w:tc>
        <w:tc>
          <w:tcPr>
            <w:tcW w:w="2410" w:type="dxa"/>
            <w:vAlign w:val="center"/>
          </w:tcPr>
          <w:p w14:paraId="31B9B092">
            <w:pPr>
              <w:pStyle w:val="10"/>
              <w:spacing w:line="360" w:lineRule="auto"/>
              <w:jc w:val="center"/>
              <w:rPr>
                <w:rFonts w:hAnsi="宋体" w:cs="宋体"/>
                <w:kern w:val="2"/>
                <w:sz w:val="21"/>
                <w:szCs w:val="21"/>
              </w:rPr>
            </w:pPr>
            <w:r>
              <w:rPr>
                <w:rFonts w:hint="eastAsia" w:hAnsi="宋体" w:cs="宋体"/>
                <w:kern w:val="2"/>
                <w:sz w:val="21"/>
                <w:szCs w:val="21"/>
              </w:rPr>
              <w:t>开标程序</w:t>
            </w:r>
          </w:p>
        </w:tc>
        <w:tc>
          <w:tcPr>
            <w:tcW w:w="6332" w:type="dxa"/>
            <w:vAlign w:val="center"/>
          </w:tcPr>
          <w:p w14:paraId="05C730E4">
            <w:pPr>
              <w:pStyle w:val="10"/>
              <w:spacing w:line="360" w:lineRule="auto"/>
              <w:rPr>
                <w:rFonts w:hAnsi="宋体" w:cs="宋体"/>
                <w:kern w:val="2"/>
                <w:sz w:val="21"/>
                <w:szCs w:val="21"/>
              </w:rPr>
            </w:pPr>
            <w:r>
              <w:rPr>
                <w:rFonts w:hAnsi="宋体" w:cs="宋体"/>
                <w:kern w:val="2"/>
                <w:sz w:val="21"/>
                <w:szCs w:val="21"/>
              </w:rPr>
              <w:t>1</w:t>
            </w:r>
            <w:r>
              <w:rPr>
                <w:rFonts w:hint="eastAsia" w:hAnsi="宋体" w:cs="宋体"/>
                <w:kern w:val="2"/>
                <w:sz w:val="21"/>
                <w:szCs w:val="21"/>
              </w:rPr>
              <w:t>、宣布开标纪律；</w:t>
            </w:r>
          </w:p>
          <w:p w14:paraId="3987B848">
            <w:pPr>
              <w:pStyle w:val="10"/>
              <w:spacing w:line="360" w:lineRule="auto"/>
              <w:rPr>
                <w:rFonts w:hAnsi="宋体" w:cs="宋体"/>
                <w:kern w:val="2"/>
                <w:sz w:val="21"/>
                <w:szCs w:val="21"/>
              </w:rPr>
            </w:pPr>
            <w:r>
              <w:rPr>
                <w:rFonts w:hAnsi="宋体" w:cs="宋体"/>
                <w:kern w:val="2"/>
                <w:sz w:val="21"/>
                <w:szCs w:val="21"/>
              </w:rPr>
              <w:t>2</w:t>
            </w:r>
            <w:r>
              <w:rPr>
                <w:rFonts w:hint="eastAsia" w:hAnsi="宋体" w:cs="宋体"/>
                <w:kern w:val="2"/>
                <w:sz w:val="21"/>
                <w:szCs w:val="21"/>
              </w:rPr>
              <w:t>、公布在投标截止时间前递交投标文件的投标人名称；</w:t>
            </w:r>
          </w:p>
          <w:p w14:paraId="74550F74">
            <w:pPr>
              <w:pStyle w:val="10"/>
              <w:spacing w:line="360" w:lineRule="auto"/>
              <w:rPr>
                <w:rFonts w:hAnsi="宋体" w:cs="宋体"/>
                <w:kern w:val="2"/>
                <w:sz w:val="21"/>
                <w:szCs w:val="21"/>
              </w:rPr>
            </w:pPr>
            <w:r>
              <w:rPr>
                <w:rFonts w:hAnsi="宋体" w:cs="宋体"/>
                <w:kern w:val="2"/>
                <w:sz w:val="21"/>
                <w:szCs w:val="21"/>
              </w:rPr>
              <w:t>3</w:t>
            </w:r>
            <w:r>
              <w:rPr>
                <w:rFonts w:hint="eastAsia" w:hAnsi="宋体" w:cs="宋体"/>
                <w:kern w:val="2"/>
                <w:sz w:val="21"/>
                <w:szCs w:val="21"/>
              </w:rPr>
              <w:t>、宣布开标会现场有关参会人员或单位；</w:t>
            </w:r>
          </w:p>
          <w:p w14:paraId="70FAA7C0">
            <w:pPr>
              <w:pStyle w:val="10"/>
              <w:spacing w:line="360" w:lineRule="auto"/>
              <w:rPr>
                <w:rFonts w:hAnsi="宋体" w:cs="宋体"/>
                <w:kern w:val="2"/>
                <w:sz w:val="21"/>
                <w:szCs w:val="21"/>
              </w:rPr>
            </w:pPr>
            <w:r>
              <w:rPr>
                <w:rFonts w:hint="eastAsia" w:hAnsi="宋体" w:cs="宋体"/>
                <w:kern w:val="2"/>
                <w:sz w:val="21"/>
                <w:szCs w:val="21"/>
              </w:rPr>
              <w:t>4、按照电子交易平台自动提取投标人的顺序开标并进行解密，解密完成后，公布投标人名称、投标保证金的递交情况、投标报价及其他内容。因投标人原因造成投标文件未解密的，视为撤销其投标文件；</w:t>
            </w:r>
          </w:p>
          <w:p w14:paraId="43A6CF30">
            <w:pPr>
              <w:pStyle w:val="10"/>
              <w:spacing w:line="360" w:lineRule="auto"/>
              <w:rPr>
                <w:rFonts w:hAnsi="宋体" w:cs="宋体"/>
                <w:kern w:val="2"/>
                <w:sz w:val="21"/>
                <w:szCs w:val="21"/>
              </w:rPr>
            </w:pPr>
            <w:r>
              <w:rPr>
                <w:rFonts w:hint="eastAsia" w:hAnsi="宋体" w:cs="宋体"/>
                <w:kern w:val="2"/>
                <w:sz w:val="21"/>
                <w:szCs w:val="21"/>
              </w:rPr>
              <w:t>5、投标人代表、采购人代表、监督人、记录人等有关人员在开标记录上签字确认；</w:t>
            </w:r>
          </w:p>
          <w:p w14:paraId="20BB154F">
            <w:pPr>
              <w:pStyle w:val="10"/>
              <w:spacing w:line="360" w:lineRule="auto"/>
              <w:rPr>
                <w:rFonts w:hAnsi="宋体" w:cs="宋体"/>
                <w:kern w:val="2"/>
                <w:sz w:val="21"/>
                <w:szCs w:val="21"/>
              </w:rPr>
            </w:pPr>
            <w:r>
              <w:rPr>
                <w:rFonts w:hint="eastAsia" w:hAnsi="宋体" w:cs="宋体"/>
                <w:kern w:val="2"/>
                <w:sz w:val="21"/>
                <w:szCs w:val="21"/>
              </w:rPr>
              <w:t>6、开标结束。</w:t>
            </w:r>
          </w:p>
        </w:tc>
      </w:tr>
      <w:tr w14:paraId="3076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691CE28A">
            <w:pPr>
              <w:pStyle w:val="10"/>
              <w:spacing w:line="360" w:lineRule="auto"/>
              <w:jc w:val="center"/>
              <w:rPr>
                <w:rFonts w:hAnsi="宋体" w:cs="宋体"/>
                <w:kern w:val="2"/>
                <w:sz w:val="21"/>
                <w:szCs w:val="21"/>
              </w:rPr>
            </w:pPr>
            <w:r>
              <w:rPr>
                <w:rFonts w:hint="eastAsia" w:hAnsi="宋体" w:cs="宋体"/>
                <w:kern w:val="2"/>
                <w:sz w:val="21"/>
                <w:szCs w:val="21"/>
              </w:rPr>
              <w:t>23.3</w:t>
            </w:r>
          </w:p>
        </w:tc>
        <w:tc>
          <w:tcPr>
            <w:tcW w:w="2410" w:type="dxa"/>
            <w:vAlign w:val="center"/>
          </w:tcPr>
          <w:p w14:paraId="16F1C4FC">
            <w:pPr>
              <w:pStyle w:val="10"/>
              <w:spacing w:line="360" w:lineRule="auto"/>
              <w:jc w:val="center"/>
              <w:rPr>
                <w:rFonts w:hAnsi="宋体" w:cs="宋体"/>
                <w:kern w:val="2"/>
                <w:sz w:val="21"/>
                <w:szCs w:val="21"/>
              </w:rPr>
            </w:pPr>
            <w:r>
              <w:rPr>
                <w:rFonts w:hint="eastAsia" w:hAnsi="宋体" w:cs="宋体"/>
                <w:kern w:val="2"/>
                <w:sz w:val="21"/>
                <w:szCs w:val="21"/>
              </w:rPr>
              <w:t>评标方法</w:t>
            </w:r>
          </w:p>
        </w:tc>
        <w:tc>
          <w:tcPr>
            <w:tcW w:w="6332" w:type="dxa"/>
            <w:vAlign w:val="center"/>
          </w:tcPr>
          <w:p w14:paraId="342A24BF">
            <w:pPr>
              <w:spacing w:line="360" w:lineRule="auto"/>
              <w:rPr>
                <w:rFonts w:ascii="宋体" w:hAnsi="宋体" w:cs="宋体"/>
                <w:szCs w:val="21"/>
              </w:rPr>
            </w:pPr>
            <w:r>
              <w:rPr>
                <w:rFonts w:hint="eastAsia" w:ascii="宋体" w:hAnsi="宋体" w:cs="宋体"/>
                <w:szCs w:val="21"/>
              </w:rPr>
              <w:t>综合评分法</w:t>
            </w:r>
          </w:p>
        </w:tc>
      </w:tr>
      <w:tr w14:paraId="309C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7058B8B6">
            <w:pPr>
              <w:pStyle w:val="10"/>
              <w:spacing w:line="360" w:lineRule="auto"/>
              <w:jc w:val="center"/>
              <w:rPr>
                <w:rFonts w:hAnsi="宋体" w:cs="宋体"/>
                <w:kern w:val="2"/>
                <w:sz w:val="21"/>
                <w:szCs w:val="21"/>
              </w:rPr>
            </w:pPr>
            <w:r>
              <w:rPr>
                <w:rFonts w:hint="eastAsia" w:hAnsi="宋体" w:cs="宋体"/>
                <w:kern w:val="2"/>
                <w:sz w:val="21"/>
                <w:szCs w:val="21"/>
              </w:rPr>
              <w:t>28.1</w:t>
            </w:r>
          </w:p>
        </w:tc>
        <w:tc>
          <w:tcPr>
            <w:tcW w:w="2410" w:type="dxa"/>
            <w:vAlign w:val="center"/>
          </w:tcPr>
          <w:p w14:paraId="25CF932E">
            <w:pPr>
              <w:pStyle w:val="10"/>
              <w:spacing w:line="360" w:lineRule="auto"/>
              <w:jc w:val="center"/>
              <w:rPr>
                <w:rFonts w:hAnsi="宋体" w:cs="宋体"/>
                <w:kern w:val="2"/>
                <w:sz w:val="21"/>
                <w:szCs w:val="21"/>
              </w:rPr>
            </w:pPr>
            <w:r>
              <w:rPr>
                <w:rFonts w:hint="eastAsia" w:hAnsi="宋体" w:cs="宋体"/>
                <w:bCs/>
                <w:kern w:val="2"/>
                <w:sz w:val="21"/>
                <w:szCs w:val="21"/>
              </w:rPr>
              <w:t>履约保证金</w:t>
            </w:r>
          </w:p>
        </w:tc>
        <w:tc>
          <w:tcPr>
            <w:tcW w:w="6332" w:type="dxa"/>
            <w:vAlign w:val="center"/>
          </w:tcPr>
          <w:p w14:paraId="315C52B9">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是否要求中标人提交履约保证金：</w:t>
            </w:r>
          </w:p>
          <w:p w14:paraId="2CA8C37F">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w:t>
            </w:r>
          </w:p>
          <w:p w14:paraId="506E13C1">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（1）履约保证金总金额：合同金额的5%；</w:t>
            </w:r>
          </w:p>
          <w:p w14:paraId="794E4CCD">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（2）向采购人指定的银行账户通过转账、支票、汇票、本票或者金融机构、担保机构出具的保险保函（受益人为采购人）等非现金形式缴纳履约保证金。</w:t>
            </w:r>
          </w:p>
          <w:p w14:paraId="1D6DDA59">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（3）供应商应在合同签订后3个工作日内全额缴纳履约保证金</w:t>
            </w:r>
          </w:p>
          <w:p w14:paraId="2B9E4A4F">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（4）在合同义务履约完毕后，采购人在收到供应商履约保证金退还申请之日起5个工作日内无息退还。</w:t>
            </w:r>
          </w:p>
          <w:p w14:paraId="35A9945A">
            <w:pPr>
              <w:pStyle w:val="10"/>
              <w:spacing w:line="360" w:lineRule="auto"/>
              <w:rPr>
                <w:rFonts w:hAnsi="宋体" w:cs="宋体"/>
                <w:kern w:val="2"/>
                <w:sz w:val="21"/>
                <w:szCs w:val="21"/>
              </w:rPr>
            </w:pPr>
            <w:r>
              <w:rPr>
                <w:rFonts w:hint="eastAsia" w:ascii="宋体" w:hAnsi="宋体" w:eastAsia="宋体" w:cs="宋体"/>
                <w:kern w:val="2"/>
                <w:sz w:val="21"/>
                <w:szCs w:val="21"/>
                <w:lang w:val="en-US" w:eastAsia="zh-CN" w:bidi="ar-SA"/>
              </w:rPr>
              <w:t>□不要求</w:t>
            </w:r>
          </w:p>
        </w:tc>
      </w:tr>
      <w:tr w14:paraId="1394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3E03B37C">
            <w:pPr>
              <w:pStyle w:val="10"/>
              <w:spacing w:line="360" w:lineRule="auto"/>
              <w:jc w:val="center"/>
              <w:rPr>
                <w:rFonts w:hAnsi="宋体" w:cs="宋体"/>
                <w:kern w:val="2"/>
                <w:sz w:val="21"/>
                <w:szCs w:val="21"/>
              </w:rPr>
            </w:pPr>
            <w:r>
              <w:rPr>
                <w:rFonts w:hint="eastAsia" w:hAnsi="宋体" w:cs="宋体"/>
                <w:kern w:val="2"/>
                <w:sz w:val="21"/>
                <w:szCs w:val="21"/>
              </w:rPr>
              <w:t>29.1</w:t>
            </w:r>
          </w:p>
        </w:tc>
        <w:tc>
          <w:tcPr>
            <w:tcW w:w="2410" w:type="dxa"/>
            <w:vAlign w:val="center"/>
          </w:tcPr>
          <w:p w14:paraId="5D065F4A">
            <w:pPr>
              <w:pStyle w:val="10"/>
              <w:spacing w:line="360" w:lineRule="auto"/>
              <w:jc w:val="center"/>
              <w:rPr>
                <w:rFonts w:hAnsi="宋体" w:cs="宋体"/>
                <w:kern w:val="2"/>
                <w:sz w:val="21"/>
                <w:szCs w:val="21"/>
              </w:rPr>
            </w:pPr>
            <w:r>
              <w:rPr>
                <w:rFonts w:hint="eastAsia" w:hAnsi="宋体" w:cs="宋体"/>
                <w:kern w:val="2"/>
                <w:sz w:val="21"/>
                <w:szCs w:val="21"/>
              </w:rPr>
              <w:t>中标服务费</w:t>
            </w:r>
          </w:p>
        </w:tc>
        <w:tc>
          <w:tcPr>
            <w:tcW w:w="6332" w:type="dxa"/>
            <w:shd w:val="clear" w:color="auto" w:fill="auto"/>
            <w:vAlign w:val="center"/>
          </w:tcPr>
          <w:p w14:paraId="00EBA662">
            <w:pPr>
              <w:pStyle w:val="10"/>
              <w:spacing w:line="360" w:lineRule="auto"/>
              <w:rPr>
                <w:rFonts w:ascii="宋体" w:hAnsi="宋体" w:eastAsia="宋体" w:cs="宋体"/>
                <w:kern w:val="2"/>
                <w:sz w:val="21"/>
                <w:szCs w:val="21"/>
                <w:lang w:val="en-US" w:eastAsia="zh-CN" w:bidi="ar-SA"/>
              </w:rPr>
            </w:pPr>
            <w:r>
              <w:rPr>
                <w:rFonts w:hint="eastAsia" w:hAnsi="宋体" w:cs="宋体"/>
                <w:kern w:val="2"/>
                <w:sz w:val="21"/>
                <w:szCs w:val="21"/>
                <w:highlight w:val="none"/>
              </w:rPr>
              <w:t>参照国家计委“计价格[2002]1980号”文《招标代理服务收费管理暂行办法》规定的收费标准及发改办价格[2003]857号文件的规定</w:t>
            </w:r>
            <w:r>
              <w:rPr>
                <w:rFonts w:hint="eastAsia" w:hAnsi="宋体" w:cs="宋体"/>
                <w:kern w:val="2"/>
                <w:sz w:val="21"/>
                <w:szCs w:val="21"/>
                <w:highlight w:val="none"/>
                <w:lang w:eastAsia="zh-CN"/>
              </w:rPr>
              <w:t>，</w:t>
            </w:r>
            <w:r>
              <w:rPr>
                <w:rFonts w:hint="eastAsia" w:hAnsi="宋体" w:cs="宋体"/>
                <w:kern w:val="2"/>
                <w:sz w:val="21"/>
                <w:szCs w:val="21"/>
                <w:highlight w:val="none"/>
                <w:lang w:val="en-US" w:eastAsia="zh-CN"/>
              </w:rPr>
              <w:t>优惠后二标段中标服务费按3000元收取，</w:t>
            </w:r>
            <w:r>
              <w:rPr>
                <w:rFonts w:hint="eastAsia" w:hAnsi="宋体" w:cs="宋体"/>
                <w:kern w:val="2"/>
                <w:sz w:val="21"/>
                <w:szCs w:val="21"/>
                <w:highlight w:val="none"/>
              </w:rPr>
              <w:t>由中标人在领取中标通知书时支付给代理机构。</w:t>
            </w:r>
          </w:p>
        </w:tc>
      </w:tr>
      <w:tr w14:paraId="48A1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4" w:type="dxa"/>
            <w:gridSpan w:val="2"/>
            <w:vAlign w:val="center"/>
          </w:tcPr>
          <w:p w14:paraId="69B9F3B4">
            <w:pPr>
              <w:pStyle w:val="10"/>
              <w:spacing w:line="360" w:lineRule="auto"/>
              <w:jc w:val="center"/>
              <w:rPr>
                <w:rFonts w:hAnsi="宋体" w:cs="宋体"/>
                <w:kern w:val="2"/>
                <w:sz w:val="21"/>
                <w:szCs w:val="21"/>
              </w:rPr>
            </w:pPr>
            <w:r>
              <w:rPr>
                <w:rFonts w:hint="eastAsia" w:hAnsi="宋体" w:cs="宋体"/>
                <w:kern w:val="2"/>
                <w:sz w:val="21"/>
                <w:szCs w:val="21"/>
              </w:rPr>
              <w:t>31.1</w:t>
            </w:r>
          </w:p>
        </w:tc>
        <w:tc>
          <w:tcPr>
            <w:tcW w:w="2410" w:type="dxa"/>
            <w:vAlign w:val="center"/>
          </w:tcPr>
          <w:p w14:paraId="53301BFA">
            <w:pPr>
              <w:pStyle w:val="10"/>
              <w:spacing w:line="360" w:lineRule="auto"/>
              <w:jc w:val="center"/>
              <w:rPr>
                <w:rFonts w:hAnsi="宋体" w:cs="宋体"/>
                <w:kern w:val="2"/>
                <w:sz w:val="21"/>
                <w:szCs w:val="21"/>
              </w:rPr>
            </w:pPr>
            <w:r>
              <w:rPr>
                <w:rFonts w:hint="eastAsia" w:hAnsi="宋体" w:cs="宋体"/>
                <w:kern w:val="2"/>
                <w:sz w:val="21"/>
                <w:szCs w:val="21"/>
              </w:rPr>
              <w:t>需要补充的其他内容</w:t>
            </w:r>
          </w:p>
        </w:tc>
        <w:tc>
          <w:tcPr>
            <w:tcW w:w="6332" w:type="dxa"/>
            <w:vAlign w:val="center"/>
          </w:tcPr>
          <w:p w14:paraId="499322BE">
            <w:pPr>
              <w:pStyle w:val="10"/>
              <w:spacing w:line="360" w:lineRule="auto"/>
              <w:rPr>
                <w:rFonts w:hAnsi="宋体" w:cs="宋体"/>
                <w:b/>
                <w:bCs/>
                <w:kern w:val="2"/>
                <w:sz w:val="21"/>
                <w:szCs w:val="21"/>
              </w:rPr>
            </w:pPr>
            <w:r>
              <w:rPr>
                <w:rFonts w:hint="eastAsia" w:hAnsi="宋体" w:cs="宋体"/>
                <w:b/>
                <w:bCs/>
                <w:kern w:val="2"/>
                <w:sz w:val="21"/>
                <w:szCs w:val="21"/>
              </w:rPr>
              <w:t>招标文件同一内容的要求与本表不一致的，以本表要求为准。</w:t>
            </w:r>
          </w:p>
        </w:tc>
      </w:tr>
      <w:tr w14:paraId="5692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4" w:type="dxa"/>
            <w:gridSpan w:val="2"/>
            <w:vAlign w:val="center"/>
          </w:tcPr>
          <w:p w14:paraId="7ED1F580">
            <w:pPr>
              <w:pStyle w:val="10"/>
              <w:spacing w:line="360" w:lineRule="auto"/>
              <w:jc w:val="center"/>
              <w:rPr>
                <w:rFonts w:hint="default" w:hAnsi="宋体" w:cs="宋体"/>
                <w:kern w:val="2"/>
                <w:sz w:val="21"/>
                <w:szCs w:val="21"/>
                <w:lang w:val="en-US" w:eastAsia="zh-CN"/>
              </w:rPr>
            </w:pPr>
            <w:r>
              <w:rPr>
                <w:rFonts w:hint="eastAsia" w:hAnsi="宋体" w:cs="宋体"/>
                <w:kern w:val="2"/>
                <w:sz w:val="21"/>
                <w:szCs w:val="21"/>
                <w:lang w:val="en-US" w:eastAsia="zh-CN"/>
              </w:rPr>
              <w:t>32</w:t>
            </w:r>
          </w:p>
        </w:tc>
        <w:tc>
          <w:tcPr>
            <w:tcW w:w="2410" w:type="dxa"/>
            <w:vAlign w:val="center"/>
          </w:tcPr>
          <w:p w14:paraId="096A8E8D">
            <w:pPr>
              <w:shd w:val="clear" w:color="auto" w:fill="FFFFFF"/>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w:t>
            </w:r>
          </w:p>
        </w:tc>
        <w:tc>
          <w:tcPr>
            <w:tcW w:w="6332" w:type="dxa"/>
            <w:vAlign w:val="center"/>
          </w:tcPr>
          <w:p w14:paraId="1C1885B9">
            <w:pPr>
              <w:pStyle w:val="26"/>
              <w:keepNext w:val="0"/>
              <w:keepLines w:val="0"/>
              <w:pageBreakBefore w:val="0"/>
              <w:widowControl w:val="0"/>
              <w:kinsoku/>
              <w:wordWrap w:val="0"/>
              <w:overflowPunct/>
              <w:topLinePunct/>
              <w:autoSpaceDE/>
              <w:autoSpaceDN/>
              <w:bidi w:val="0"/>
              <w:adjustRightInd/>
              <w:snapToGrid/>
              <w:spacing w:after="0" w:line="20" w:lineRule="atLeast"/>
              <w:ind w:right="0" w:rightChars="0"/>
              <w:contextualSpacing/>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一、中小企业价格扣除评分优惠政策</w:t>
            </w:r>
          </w:p>
          <w:p w14:paraId="76367949">
            <w:pPr>
              <w:pStyle w:val="26"/>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20" w:firstLineChars="200"/>
              <w:contextualSpacing/>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是否适用于本项目：■适用    □不适用。</w:t>
            </w:r>
          </w:p>
          <w:p w14:paraId="406A38BD">
            <w:pPr>
              <w:pStyle w:val="26"/>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20" w:firstLineChars="200"/>
              <w:contextualSpacing/>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按照工信部联企业〔2011〕300 号文《关于印发中小企业划型标准规定的通知》及财政部、工信部《政府采购促进中小企业发展管理办法》（财库〔2020〕46 号）的规定提供《中小企业声明函》，否则评审时不予承认。</w:t>
            </w:r>
          </w:p>
          <w:p w14:paraId="68CDF967">
            <w:pPr>
              <w:keepNext w:val="0"/>
              <w:keepLines w:val="0"/>
              <w:pageBreakBefore w:val="0"/>
              <w:widowControl w:val="0"/>
              <w:kinsoku/>
              <w:wordWrap w:val="0"/>
              <w:overflowPunct/>
              <w:topLinePunct/>
              <w:autoSpaceDE/>
              <w:autoSpaceDN/>
              <w:bidi w:val="0"/>
              <w:adjustRightInd/>
              <w:snapToGrid/>
              <w:spacing w:line="20" w:lineRule="atLeast"/>
              <w:ind w:left="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w:t>
            </w:r>
          </w:p>
          <w:p w14:paraId="787E3EAB">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①中小企业提供《中小企业声明函》时，标的名称须根据本次采购标的名称逐项填写。</w:t>
            </w:r>
          </w:p>
          <w:p w14:paraId="787283AA">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②投标人提供声明函内容不实的，属于提供虚假材料谋取中标、成交，依照《中华人民共和国政府采购法》等国家有关规定追究相应责任。</w:t>
            </w:r>
          </w:p>
          <w:p w14:paraId="7F101837">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b/>
                <w:bCs/>
                <w:color w:val="auto"/>
                <w:sz w:val="21"/>
                <w:szCs w:val="21"/>
                <w:highlight w:val="none"/>
                <w:lang w:val="en-US" w:eastAsia="zh-CN"/>
              </w:rPr>
            </w:pPr>
            <w:r>
              <w:rPr>
                <w:rFonts w:hint="eastAsia" w:ascii="宋体" w:hAnsi="宋体" w:eastAsia="宋体" w:cs="宋体"/>
                <w:kern w:val="2"/>
                <w:sz w:val="21"/>
                <w:szCs w:val="21"/>
                <w:highlight w:val="none"/>
                <w:lang w:val="en-US" w:eastAsia="zh-CN" w:bidi="ar-SA"/>
              </w:rPr>
              <w:t>③中标人享受本办法（财库〔2020〕46号）规定的中小企业扶持政策的，采购代理机构随中标结果公开中标人的《中小企业声明函》，接受社会监督。</w:t>
            </w:r>
          </w:p>
          <w:p w14:paraId="5F9F7B98">
            <w:pPr>
              <w:keepNext w:val="0"/>
              <w:keepLines w:val="0"/>
              <w:pageBreakBefore w:val="0"/>
              <w:widowControl w:val="0"/>
              <w:kinsoku/>
              <w:wordWrap w:val="0"/>
              <w:overflowPunct/>
              <w:topLinePunct/>
              <w:autoSpaceDE/>
              <w:autoSpaceDN/>
              <w:bidi w:val="0"/>
              <w:adjustRightInd/>
              <w:snapToGrid/>
              <w:spacing w:line="20" w:lineRule="atLeast"/>
              <w:ind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二、监狱企业价格扣除评分优惠政策</w:t>
            </w:r>
          </w:p>
          <w:p w14:paraId="427B8571">
            <w:pPr>
              <w:keepNext w:val="0"/>
              <w:keepLines w:val="0"/>
              <w:pageBreakBefore w:val="0"/>
              <w:widowControl w:val="0"/>
              <w:kinsoku/>
              <w:wordWrap w:val="0"/>
              <w:overflowPunct/>
              <w:topLinePunct/>
              <w:autoSpaceDE/>
              <w:autoSpaceDN/>
              <w:bidi w:val="0"/>
              <w:adjustRightInd/>
              <w:snapToGrid/>
              <w:spacing w:line="20" w:lineRule="atLeast"/>
              <w:ind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是否适用于本项目：■适用    □不适用。</w:t>
            </w:r>
          </w:p>
          <w:p w14:paraId="339A99F2">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若投标人为监狱企业，按照财政部、司法部发布的《关于政府采购支持监狱企业发展有关问题的通知》的规定，在政府采购活动中，监狱企业视同小型、微型企业，享受评审中价格扣除的政府采购政策。监狱企业在投标价格评审中给予10%的价格扣除优惠，须提供省级以上监狱管理局、戒毒管理局（含新疆生产建设兵团）出具的属于监狱企业的证明文件复印件，否则评审时不予承认。</w:t>
            </w:r>
          </w:p>
          <w:p w14:paraId="4E4967B0">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注：监狱企业参加政府采购活动时，应当提供由省级以上监狱管理局、戒毒管理局（含新疆生产建设兵团）出具的属于监狱企业的证明文件。</w:t>
            </w:r>
          </w:p>
          <w:p w14:paraId="1827C961">
            <w:pPr>
              <w:keepNext w:val="0"/>
              <w:keepLines w:val="0"/>
              <w:pageBreakBefore w:val="0"/>
              <w:widowControl w:val="0"/>
              <w:kinsoku/>
              <w:wordWrap w:val="0"/>
              <w:overflowPunct/>
              <w:topLinePunct/>
              <w:autoSpaceDE/>
              <w:autoSpaceDN/>
              <w:bidi w:val="0"/>
              <w:adjustRightInd/>
              <w:snapToGrid/>
              <w:spacing w:line="20" w:lineRule="atLeast"/>
              <w:ind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三、残疾人福利性单位价格扣除优惠政策</w:t>
            </w:r>
          </w:p>
          <w:p w14:paraId="4B16F788">
            <w:pPr>
              <w:keepNext w:val="0"/>
              <w:keepLines w:val="0"/>
              <w:pageBreakBefore w:val="0"/>
              <w:widowControl w:val="0"/>
              <w:kinsoku/>
              <w:wordWrap w:val="0"/>
              <w:overflowPunct/>
              <w:topLinePunct/>
              <w:autoSpaceDE/>
              <w:autoSpaceDN/>
              <w:bidi w:val="0"/>
              <w:adjustRightInd/>
              <w:snapToGrid/>
              <w:spacing w:line="20" w:lineRule="atLeast"/>
              <w:ind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是否适用于本项目：■适用    □不适用。</w:t>
            </w:r>
          </w:p>
          <w:p w14:paraId="422321DC">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投标人如属残疾人福利性单位，产品价格需扣除的，须按照关于促进残疾人就业政府采购政策的通知（财库〔2017〕141 号）的规定提供《残疾人福利性单位声明函》复印件，否则评审时不予承认。在政府采购活动中，残疾人福利性单位视同小型、微型企业，享受评审中价格扣除等促进中小企业发展的政府采购政策。 </w:t>
            </w:r>
          </w:p>
          <w:p w14:paraId="46EAC8E0">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残疾人福利性单位在参加政府采购活动时，应当提供《残疾人福利性单位声明函》，并对声明的真实性负责。中标人为残疾人福利性单位的，采购人或者其委托的采购代理机构应当随中标、中标结果同时公告其《残疾人福利性单位声明函》，接受社会监督。</w:t>
            </w:r>
          </w:p>
          <w:p w14:paraId="2EA0AF09">
            <w:pPr>
              <w:keepNext w:val="0"/>
              <w:keepLines w:val="0"/>
              <w:pageBreakBefore w:val="0"/>
              <w:widowControl w:val="0"/>
              <w:kinsoku/>
              <w:wordWrap w:val="0"/>
              <w:overflowPunct/>
              <w:topLinePunct/>
              <w:autoSpaceDE/>
              <w:autoSpaceDN/>
              <w:bidi w:val="0"/>
              <w:adjustRightInd/>
              <w:snapToGrid/>
              <w:spacing w:line="20" w:lineRule="atLeast"/>
              <w:ind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四、节能产品、环境标志产品</w:t>
            </w:r>
          </w:p>
          <w:p w14:paraId="688A3225">
            <w:pPr>
              <w:keepNext w:val="0"/>
              <w:keepLines w:val="0"/>
              <w:pageBreakBefore w:val="0"/>
              <w:widowControl w:val="0"/>
              <w:kinsoku/>
              <w:wordWrap w:val="0"/>
              <w:overflowPunct/>
              <w:topLinePunct/>
              <w:autoSpaceDE/>
              <w:autoSpaceDN/>
              <w:bidi w:val="0"/>
              <w:adjustRightInd/>
              <w:snapToGrid/>
              <w:spacing w:line="20" w:lineRule="atLeast"/>
              <w:ind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是否适用于本项目： □适用   ■不适用。</w:t>
            </w:r>
          </w:p>
          <w:p w14:paraId="7665DE55">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若投标产品为节能产品、环境标志产品且能提供有效的认证证书及相关证明材料的（相关证明材料指：最新版的政府采购节能产品、环境标志产品认证机构名录、节能产品政府采购品目清单、环境标志产品政府采购品目清单等），在商务评分时给予对应的加分（若项目需求及技术要求为政府强制采购产品，则不再对节能产品进行评审价格的扣除）。</w:t>
            </w:r>
          </w:p>
          <w:p w14:paraId="36518CA9">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b/>
                <w:bCs/>
                <w:snapToGrid w:val="0"/>
                <w:color w:val="auto"/>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节能产品、环境标志产品清单可通过中国政府采购网（http://www.ccgp.gov.cn/）、国家发展改革委网站（http://hzs.ndrc.gov.cn/）以及生态环境部网站（http://www.sepa.gov.cn/）查阅、下载。</w:t>
            </w:r>
          </w:p>
          <w:p w14:paraId="1238461C">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b/>
                <w:bCs/>
                <w:color w:val="auto"/>
                <w:sz w:val="21"/>
                <w:szCs w:val="21"/>
                <w:highlight w:val="none"/>
              </w:rPr>
            </w:pPr>
            <w:r>
              <w:rPr>
                <w:rFonts w:hint="eastAsia" w:ascii="宋体" w:hAnsi="宋体" w:eastAsia="宋体" w:cs="宋体"/>
                <w:kern w:val="2"/>
                <w:sz w:val="21"/>
                <w:szCs w:val="21"/>
                <w:highlight w:val="none"/>
                <w:lang w:val="en-US" w:eastAsia="zh-CN" w:bidi="ar-SA"/>
              </w:rPr>
              <w:t>注：上述政策不重复享受，如投标人同时具备两个及以上政策优惠，仅享受最高的优惠对价格进行扣除。</w:t>
            </w:r>
          </w:p>
          <w:p w14:paraId="4D477E4A">
            <w:pPr>
              <w:keepNext w:val="0"/>
              <w:keepLines w:val="0"/>
              <w:pageBreakBefore w:val="0"/>
              <w:widowControl w:val="0"/>
              <w:kinsoku/>
              <w:wordWrap w:val="0"/>
              <w:overflowPunct/>
              <w:topLinePunct/>
              <w:autoSpaceDE/>
              <w:autoSpaceDN/>
              <w:bidi w:val="0"/>
              <w:adjustRightInd/>
              <w:snapToGrid/>
              <w:spacing w:line="20" w:lineRule="atLeast"/>
              <w:ind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五、强制采购节能产品：□适用    ■不适用。</w:t>
            </w:r>
          </w:p>
          <w:p w14:paraId="770EF0E1">
            <w:pPr>
              <w:pStyle w:val="26"/>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20" w:firstLineChars="200"/>
              <w:contextualSpacing/>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5BBA0430">
            <w:pPr>
              <w:pStyle w:val="26"/>
              <w:keepNext w:val="0"/>
              <w:keepLines w:val="0"/>
              <w:pageBreakBefore w:val="0"/>
              <w:widowControl w:val="0"/>
              <w:kinsoku/>
              <w:wordWrap w:val="0"/>
              <w:overflowPunct/>
              <w:topLinePunct/>
              <w:autoSpaceDE/>
              <w:autoSpaceDN/>
              <w:bidi w:val="0"/>
              <w:adjustRightInd/>
              <w:snapToGrid/>
              <w:spacing w:after="0" w:line="20" w:lineRule="atLeast"/>
              <w:ind w:left="0" w:right="0" w:rightChars="0"/>
              <w:contextualSpacing/>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监狱企业、残疾人福利性单位属于小型、微型企业的，不重复享受政策。</w:t>
            </w:r>
          </w:p>
          <w:p w14:paraId="7C0D08FD">
            <w:pPr>
              <w:pStyle w:val="26"/>
              <w:keepNext w:val="0"/>
              <w:keepLines w:val="0"/>
              <w:pageBreakBefore w:val="0"/>
              <w:widowControl w:val="0"/>
              <w:kinsoku/>
              <w:wordWrap w:val="0"/>
              <w:overflowPunct/>
              <w:topLinePunct/>
              <w:autoSpaceDE/>
              <w:autoSpaceDN/>
              <w:bidi w:val="0"/>
              <w:adjustRightInd/>
              <w:snapToGrid/>
              <w:spacing w:after="0" w:line="20" w:lineRule="atLeast"/>
              <w:ind w:right="0" w:rightChars="0"/>
              <w:contextualSpacing/>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六、对本国产品的支持政策</w:t>
            </w:r>
          </w:p>
          <w:p w14:paraId="3B7D3A4A">
            <w:pPr>
              <w:pStyle w:val="25"/>
              <w:snapToGrid w:val="0"/>
              <w:spacing w:line="240" w:lineRule="auto"/>
              <w:jc w:val="left"/>
              <w:rPr>
                <w:rFonts w:hint="eastAsia" w:ascii="宋体" w:hAnsi="宋体" w:eastAsia="宋体" w:cs="宋体"/>
                <w:b/>
                <w:color w:val="auto"/>
                <w:sz w:val="21"/>
                <w:szCs w:val="21"/>
                <w:highlight w:val="none"/>
              </w:rPr>
            </w:pPr>
            <w:r>
              <w:rPr>
                <w:rFonts w:hint="default" w:ascii="宋体" w:hAnsi="宋体" w:eastAsia="宋体" w:cs="宋体"/>
                <w:kern w:val="2"/>
                <w:sz w:val="21"/>
                <w:szCs w:val="21"/>
                <w:highlight w:val="none"/>
                <w:lang w:val="en-US" w:eastAsia="zh-CN" w:bidi="ar-SA"/>
              </w:rPr>
              <w:t>依据《国务院办公厅关于在政府采购中实施本国产品标准及相关政策的通知》（国办发〔2025〕34号）三、对本国产品的支持政策</w:t>
            </w: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政府采购活动中既有本国产品又有非本国产品参与竞争的，依法对本国产品给予价格评审优惠，对本国产品的报价给予20%的价格扣除，用扣除后的价格参与评审。当采购项目或者采购包中含有多种产品，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eastAsia="宋体" w:cs="宋体"/>
                <w:kern w:val="2"/>
                <w:sz w:val="21"/>
                <w:szCs w:val="21"/>
                <w:highlight w:val="none"/>
                <w:lang w:val="en-US" w:eastAsia="zh-CN" w:bidi="ar-SA"/>
              </w:rPr>
              <w:t>投标人</w:t>
            </w:r>
            <w:r>
              <w:rPr>
                <w:rFonts w:hint="default" w:ascii="宋体" w:hAnsi="宋体" w:eastAsia="宋体" w:cs="宋体"/>
                <w:kern w:val="2"/>
                <w:sz w:val="21"/>
                <w:szCs w:val="21"/>
                <w:highlight w:val="none"/>
                <w:lang w:val="en-US" w:eastAsia="zh-CN" w:bidi="ar-SA"/>
              </w:rPr>
              <w:t>为该采购项目或者采购包提供的符合本国产品标准的产品成本之和占该</w:t>
            </w:r>
            <w:r>
              <w:rPr>
                <w:rFonts w:hint="eastAsia" w:ascii="宋体" w:hAnsi="宋体" w:eastAsia="宋体" w:cs="宋体"/>
                <w:kern w:val="2"/>
                <w:sz w:val="21"/>
                <w:szCs w:val="21"/>
                <w:highlight w:val="none"/>
                <w:lang w:val="en-US" w:eastAsia="zh-CN" w:bidi="ar-SA"/>
              </w:rPr>
              <w:t>投标人</w:t>
            </w:r>
            <w:r>
              <w:rPr>
                <w:rFonts w:hint="default" w:ascii="宋体" w:hAnsi="宋体" w:eastAsia="宋体" w:cs="宋体"/>
                <w:kern w:val="2"/>
                <w:sz w:val="21"/>
                <w:szCs w:val="21"/>
                <w:highlight w:val="none"/>
                <w:lang w:val="en-US" w:eastAsia="zh-CN" w:bidi="ar-SA"/>
              </w:rPr>
              <w:t>提供的全部产品成本之和的比例达到80%以上时，依法对该</w:t>
            </w:r>
            <w:r>
              <w:rPr>
                <w:rFonts w:hint="eastAsia" w:ascii="宋体" w:hAnsi="宋体" w:eastAsia="宋体" w:cs="宋体"/>
                <w:kern w:val="2"/>
                <w:sz w:val="21"/>
                <w:szCs w:val="21"/>
                <w:highlight w:val="none"/>
                <w:lang w:val="en-US" w:eastAsia="zh-CN" w:bidi="ar-SA"/>
              </w:rPr>
              <w:t>投标人</w:t>
            </w:r>
            <w:r>
              <w:rPr>
                <w:rFonts w:hint="default" w:ascii="宋体" w:hAnsi="宋体" w:eastAsia="宋体" w:cs="宋体"/>
                <w:kern w:val="2"/>
                <w:sz w:val="21"/>
                <w:szCs w:val="21"/>
                <w:highlight w:val="none"/>
                <w:lang w:val="en-US" w:eastAsia="zh-CN" w:bidi="ar-SA"/>
              </w:rPr>
              <w:t>提供的全部产品给予价格评审优惠，即对该</w:t>
            </w:r>
            <w:r>
              <w:rPr>
                <w:rFonts w:hint="eastAsia" w:ascii="宋体" w:hAnsi="宋体" w:eastAsia="宋体" w:cs="宋体"/>
                <w:kern w:val="2"/>
                <w:sz w:val="21"/>
                <w:szCs w:val="21"/>
                <w:highlight w:val="none"/>
                <w:lang w:val="en-US" w:eastAsia="zh-CN" w:bidi="ar-SA"/>
              </w:rPr>
              <w:t>投标人</w:t>
            </w:r>
            <w:r>
              <w:rPr>
                <w:rFonts w:hint="default" w:ascii="宋体" w:hAnsi="宋体" w:eastAsia="宋体" w:cs="宋体"/>
                <w:kern w:val="2"/>
                <w:sz w:val="21"/>
                <w:szCs w:val="21"/>
                <w:highlight w:val="none"/>
                <w:lang w:val="en-US" w:eastAsia="zh-CN" w:bidi="ar-SA"/>
              </w:rPr>
              <w:t>提供的全部产品的总报价给予20%的价格扣除，用扣除后的价格参与评审。</w:t>
            </w:r>
          </w:p>
        </w:tc>
      </w:tr>
      <w:tr w14:paraId="4084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4" w:type="dxa"/>
            <w:gridSpan w:val="2"/>
            <w:vAlign w:val="center"/>
          </w:tcPr>
          <w:p w14:paraId="78BB7929">
            <w:pPr>
              <w:pStyle w:val="10"/>
              <w:spacing w:line="360" w:lineRule="auto"/>
              <w:jc w:val="center"/>
              <w:rPr>
                <w:rFonts w:hint="default" w:hAnsi="宋体" w:cs="宋体"/>
                <w:kern w:val="2"/>
                <w:sz w:val="21"/>
                <w:szCs w:val="21"/>
                <w:lang w:val="en-US" w:eastAsia="zh-CN"/>
              </w:rPr>
            </w:pPr>
            <w:r>
              <w:rPr>
                <w:rFonts w:hint="eastAsia" w:hAnsi="宋体" w:cs="宋体"/>
                <w:kern w:val="2"/>
                <w:sz w:val="21"/>
                <w:szCs w:val="21"/>
                <w:lang w:val="en-US" w:eastAsia="zh-CN"/>
              </w:rPr>
              <w:t>33</w:t>
            </w:r>
          </w:p>
        </w:tc>
        <w:tc>
          <w:tcPr>
            <w:tcW w:w="2410" w:type="dxa"/>
            <w:vAlign w:val="center"/>
          </w:tcPr>
          <w:p w14:paraId="551B6DEA">
            <w:pPr>
              <w:shd w:val="clear" w:color="auto" w:fill="FFFFFF"/>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标的所属行业</w:t>
            </w:r>
          </w:p>
        </w:tc>
        <w:tc>
          <w:tcPr>
            <w:tcW w:w="6332" w:type="dxa"/>
            <w:vAlign w:val="center"/>
          </w:tcPr>
          <w:tbl>
            <w:tblPr>
              <w:tblStyle w:val="16"/>
              <w:tblW w:w="4999" w:type="pct"/>
              <w:tblInd w:w="0" w:type="dxa"/>
              <w:tblLayout w:type="fixed"/>
              <w:tblCellMar>
                <w:top w:w="0" w:type="dxa"/>
                <w:left w:w="108" w:type="dxa"/>
                <w:bottom w:w="0" w:type="dxa"/>
                <w:right w:w="108" w:type="dxa"/>
              </w:tblCellMar>
            </w:tblPr>
            <w:tblGrid>
              <w:gridCol w:w="635"/>
              <w:gridCol w:w="3281"/>
              <w:gridCol w:w="2199"/>
            </w:tblGrid>
            <w:tr w14:paraId="11057B2C">
              <w:tblPrEx>
                <w:tblCellMar>
                  <w:top w:w="0" w:type="dxa"/>
                  <w:left w:w="108" w:type="dxa"/>
                  <w:bottom w:w="0" w:type="dxa"/>
                  <w:right w:w="108" w:type="dxa"/>
                </w:tblCellMar>
              </w:tblPrEx>
              <w:tc>
                <w:tcPr>
                  <w:tcW w:w="51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3E065D8">
                  <w:pPr>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2682" w:type="pct"/>
                  <w:tcBorders>
                    <w:top w:val="single" w:color="000000" w:sz="4" w:space="0"/>
                    <w:left w:val="nil"/>
                    <w:bottom w:val="single" w:color="000000" w:sz="4" w:space="0"/>
                    <w:right w:val="single" w:color="000000" w:sz="4" w:space="0"/>
                  </w:tcBorders>
                  <w:shd w:val="clear" w:color="auto" w:fill="D7D7D7" w:themeFill="background1" w:themeFillShade="D8"/>
                  <w:vAlign w:val="center"/>
                </w:tcPr>
                <w:p w14:paraId="12787F63">
                  <w:pPr>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标的名称</w:t>
                  </w:r>
                </w:p>
              </w:tc>
              <w:tc>
                <w:tcPr>
                  <w:tcW w:w="179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FC491DD">
                  <w:pPr>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所属行业</w:t>
                  </w:r>
                </w:p>
              </w:tc>
            </w:tr>
            <w:tr w14:paraId="01AB6581">
              <w:tblPrEx>
                <w:tblCellMar>
                  <w:top w:w="0" w:type="dxa"/>
                  <w:left w:w="108" w:type="dxa"/>
                  <w:bottom w:w="0" w:type="dxa"/>
                  <w:right w:w="108" w:type="dxa"/>
                </w:tblCellMar>
              </w:tblPrEx>
              <w:trPr>
                <w:trHeight w:val="289" w:hRule="atLeast"/>
              </w:trPr>
              <w:tc>
                <w:tcPr>
                  <w:tcW w:w="519" w:type="pct"/>
                  <w:tcBorders>
                    <w:top w:val="single" w:color="000000" w:sz="4" w:space="0"/>
                    <w:left w:val="single" w:color="000000" w:sz="4" w:space="0"/>
                    <w:bottom w:val="single" w:color="000000" w:sz="4" w:space="0"/>
                    <w:right w:val="single" w:color="000000" w:sz="4" w:space="0"/>
                  </w:tcBorders>
                  <w:noWrap/>
                  <w:vAlign w:val="center"/>
                </w:tcPr>
                <w:p w14:paraId="78516DB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3281" w:type="dxa"/>
                  <w:tcBorders>
                    <w:top w:val="single" w:color="000000" w:sz="4" w:space="0"/>
                    <w:left w:val="nil"/>
                    <w:bottom w:val="single" w:color="000000" w:sz="4" w:space="0"/>
                    <w:right w:val="single" w:color="000000" w:sz="4" w:space="0"/>
                  </w:tcBorders>
                  <w:vAlign w:val="center"/>
                </w:tcPr>
                <w:p w14:paraId="3203641E">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图书馆平台系统</w:t>
                  </w: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44FDE956">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软件和信息技术服务业</w:t>
                  </w:r>
                </w:p>
              </w:tc>
            </w:tr>
            <w:tr w14:paraId="3205050A">
              <w:tblPrEx>
                <w:tblCellMar>
                  <w:top w:w="0" w:type="dxa"/>
                  <w:left w:w="108" w:type="dxa"/>
                  <w:bottom w:w="0" w:type="dxa"/>
                  <w:right w:w="108" w:type="dxa"/>
                </w:tblCellMar>
              </w:tblPrEx>
              <w:tc>
                <w:tcPr>
                  <w:tcW w:w="519" w:type="pct"/>
                  <w:tcBorders>
                    <w:top w:val="single" w:color="000000" w:sz="4" w:space="0"/>
                    <w:left w:val="single" w:color="000000" w:sz="4" w:space="0"/>
                    <w:bottom w:val="single" w:color="000000" w:sz="4" w:space="0"/>
                    <w:right w:val="single" w:color="000000" w:sz="4" w:space="0"/>
                  </w:tcBorders>
                  <w:noWrap/>
                  <w:vAlign w:val="center"/>
                </w:tcPr>
                <w:p w14:paraId="58C0F12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3281" w:type="dxa"/>
                  <w:tcBorders>
                    <w:top w:val="single" w:color="000000" w:sz="4" w:space="0"/>
                    <w:left w:val="nil"/>
                    <w:bottom w:val="single" w:color="000000" w:sz="4" w:space="0"/>
                    <w:right w:val="single" w:color="000000" w:sz="4" w:space="0"/>
                  </w:tcBorders>
                  <w:vAlign w:val="center"/>
                </w:tcPr>
                <w:p w14:paraId="5C92F360">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条码枪</w:t>
                  </w: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5E56773F">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r>
            <w:tr w14:paraId="6F5969D9">
              <w:tblPrEx>
                <w:tblCellMar>
                  <w:top w:w="0" w:type="dxa"/>
                  <w:left w:w="108" w:type="dxa"/>
                  <w:bottom w:w="0" w:type="dxa"/>
                  <w:right w:w="108" w:type="dxa"/>
                </w:tblCellMar>
              </w:tblPrEx>
              <w:tc>
                <w:tcPr>
                  <w:tcW w:w="519" w:type="pct"/>
                  <w:tcBorders>
                    <w:top w:val="single" w:color="000000" w:sz="4" w:space="0"/>
                    <w:left w:val="single" w:color="000000" w:sz="4" w:space="0"/>
                    <w:bottom w:val="single" w:color="000000" w:sz="4" w:space="0"/>
                    <w:right w:val="single" w:color="000000" w:sz="4" w:space="0"/>
                  </w:tcBorders>
                  <w:noWrap/>
                  <w:vAlign w:val="center"/>
                </w:tcPr>
                <w:p w14:paraId="605F82A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p>
              </w:tc>
              <w:tc>
                <w:tcPr>
                  <w:tcW w:w="3281" w:type="dxa"/>
                  <w:tcBorders>
                    <w:top w:val="single" w:color="000000" w:sz="4" w:space="0"/>
                    <w:left w:val="nil"/>
                    <w:bottom w:val="single" w:color="000000" w:sz="4" w:space="0"/>
                    <w:right w:val="single" w:color="000000" w:sz="4" w:space="0"/>
                  </w:tcBorders>
                  <w:vAlign w:val="center"/>
                </w:tcPr>
                <w:p w14:paraId="16C5C90E">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磁条自助借还书一体机</w:t>
                  </w:r>
                </w:p>
              </w:tc>
              <w:tc>
                <w:tcPr>
                  <w:tcW w:w="1798" w:type="pct"/>
                  <w:tcBorders>
                    <w:top w:val="single" w:color="000000" w:sz="4" w:space="0"/>
                    <w:left w:val="single" w:color="000000" w:sz="4" w:space="0"/>
                    <w:bottom w:val="single" w:color="000000" w:sz="4" w:space="0"/>
                    <w:right w:val="single" w:color="000000" w:sz="4" w:space="0"/>
                  </w:tcBorders>
                  <w:noWrap/>
                  <w:vAlign w:val="center"/>
                </w:tcPr>
                <w:p w14:paraId="55B01B0A">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r>
            <w:tr w14:paraId="0C2ACBF1">
              <w:tblPrEx>
                <w:tblCellMar>
                  <w:top w:w="0" w:type="dxa"/>
                  <w:left w:w="108" w:type="dxa"/>
                  <w:bottom w:w="0" w:type="dxa"/>
                  <w:right w:w="108" w:type="dxa"/>
                </w:tblCellMar>
              </w:tblPrEx>
              <w:tc>
                <w:tcPr>
                  <w:tcW w:w="519" w:type="pct"/>
                  <w:tcBorders>
                    <w:top w:val="single" w:color="000000" w:sz="4" w:space="0"/>
                    <w:left w:val="single" w:color="000000" w:sz="4" w:space="0"/>
                    <w:bottom w:val="single" w:color="000000" w:sz="4" w:space="0"/>
                    <w:right w:val="single" w:color="000000" w:sz="4" w:space="0"/>
                  </w:tcBorders>
                  <w:noWrap/>
                  <w:vAlign w:val="center"/>
                </w:tcPr>
                <w:p w14:paraId="2203A97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3281" w:type="dxa"/>
                  <w:tcBorders>
                    <w:top w:val="single" w:color="000000" w:sz="4" w:space="0"/>
                    <w:left w:val="nil"/>
                    <w:bottom w:val="single" w:color="000000" w:sz="4" w:space="0"/>
                    <w:right w:val="single" w:color="000000" w:sz="4" w:space="0"/>
                  </w:tcBorders>
                  <w:vAlign w:val="center"/>
                </w:tcPr>
                <w:p w14:paraId="1F68C58D">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防盗仪安全门</w:t>
                  </w:r>
                </w:p>
              </w:tc>
              <w:tc>
                <w:tcPr>
                  <w:tcW w:w="1798" w:type="pct"/>
                  <w:tcBorders>
                    <w:top w:val="single" w:color="000000" w:sz="4" w:space="0"/>
                    <w:left w:val="single" w:color="000000" w:sz="4" w:space="0"/>
                    <w:bottom w:val="single" w:color="000000" w:sz="4" w:space="0"/>
                    <w:right w:val="single" w:color="000000" w:sz="4" w:space="0"/>
                  </w:tcBorders>
                  <w:noWrap/>
                  <w:vAlign w:val="center"/>
                </w:tcPr>
                <w:p w14:paraId="6E863A53">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r>
            <w:tr w14:paraId="4DB5A5A7">
              <w:tblPrEx>
                <w:tblCellMar>
                  <w:top w:w="0" w:type="dxa"/>
                  <w:left w:w="108" w:type="dxa"/>
                  <w:bottom w:w="0" w:type="dxa"/>
                  <w:right w:w="108" w:type="dxa"/>
                </w:tblCellMar>
              </w:tblPrEx>
              <w:tc>
                <w:tcPr>
                  <w:tcW w:w="519" w:type="pct"/>
                  <w:tcBorders>
                    <w:top w:val="single" w:color="000000" w:sz="4" w:space="0"/>
                    <w:left w:val="single" w:color="000000" w:sz="4" w:space="0"/>
                    <w:bottom w:val="single" w:color="000000" w:sz="4" w:space="0"/>
                    <w:right w:val="single" w:color="000000" w:sz="4" w:space="0"/>
                  </w:tcBorders>
                  <w:noWrap/>
                  <w:vAlign w:val="center"/>
                </w:tcPr>
                <w:p w14:paraId="7351792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3281" w:type="dxa"/>
                  <w:tcBorders>
                    <w:top w:val="single" w:color="000000" w:sz="4" w:space="0"/>
                    <w:left w:val="nil"/>
                    <w:bottom w:val="single" w:color="000000" w:sz="4" w:space="0"/>
                    <w:right w:val="single" w:color="000000" w:sz="4" w:space="0"/>
                  </w:tcBorders>
                  <w:vAlign w:val="center"/>
                </w:tcPr>
                <w:p w14:paraId="66363D3C">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充消磁检一体机</w:t>
                  </w:r>
                </w:p>
              </w:tc>
              <w:tc>
                <w:tcPr>
                  <w:tcW w:w="1798" w:type="pct"/>
                  <w:tcBorders>
                    <w:top w:val="single" w:color="000000" w:sz="4" w:space="0"/>
                    <w:left w:val="single" w:color="000000" w:sz="4" w:space="0"/>
                    <w:bottom w:val="single" w:color="000000" w:sz="4" w:space="0"/>
                    <w:right w:val="single" w:color="000000" w:sz="4" w:space="0"/>
                  </w:tcBorders>
                  <w:noWrap/>
                  <w:vAlign w:val="center"/>
                </w:tcPr>
                <w:p w14:paraId="6830714A">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r>
            <w:tr w14:paraId="4A6B5C43">
              <w:tblPrEx>
                <w:tblCellMar>
                  <w:top w:w="0" w:type="dxa"/>
                  <w:left w:w="108" w:type="dxa"/>
                  <w:bottom w:w="0" w:type="dxa"/>
                  <w:right w:w="108" w:type="dxa"/>
                </w:tblCellMar>
              </w:tblPrEx>
              <w:tc>
                <w:tcPr>
                  <w:tcW w:w="519" w:type="pct"/>
                  <w:tcBorders>
                    <w:top w:val="single" w:color="000000" w:sz="4" w:space="0"/>
                    <w:left w:val="single" w:color="000000" w:sz="4" w:space="0"/>
                    <w:bottom w:val="single" w:color="000000" w:sz="4" w:space="0"/>
                    <w:right w:val="single" w:color="000000" w:sz="4" w:space="0"/>
                  </w:tcBorders>
                  <w:noWrap/>
                  <w:vAlign w:val="center"/>
                </w:tcPr>
                <w:p w14:paraId="251F058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3281" w:type="dxa"/>
                  <w:tcBorders>
                    <w:top w:val="single" w:color="000000" w:sz="4" w:space="0"/>
                    <w:left w:val="nil"/>
                    <w:bottom w:val="single" w:color="000000" w:sz="4" w:space="0"/>
                    <w:right w:val="single" w:color="000000" w:sz="4" w:space="0"/>
                  </w:tcBorders>
                  <w:vAlign w:val="center"/>
                </w:tcPr>
                <w:p w14:paraId="04FEF328">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OPAC阅读机</w:t>
                  </w:r>
                </w:p>
              </w:tc>
              <w:tc>
                <w:tcPr>
                  <w:tcW w:w="1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A07D">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r>
            <w:tr w14:paraId="0157A0AA">
              <w:tblPrEx>
                <w:tblCellMar>
                  <w:top w:w="0" w:type="dxa"/>
                  <w:left w:w="108" w:type="dxa"/>
                  <w:bottom w:w="0" w:type="dxa"/>
                  <w:right w:w="108" w:type="dxa"/>
                </w:tblCellMar>
              </w:tblPrEx>
              <w:tc>
                <w:tcPr>
                  <w:tcW w:w="519" w:type="pct"/>
                  <w:tcBorders>
                    <w:top w:val="single" w:color="000000" w:sz="4" w:space="0"/>
                    <w:left w:val="single" w:color="000000" w:sz="4" w:space="0"/>
                    <w:bottom w:val="single" w:color="000000" w:sz="4" w:space="0"/>
                    <w:right w:val="single" w:color="000000" w:sz="4" w:space="0"/>
                  </w:tcBorders>
                  <w:noWrap/>
                  <w:vAlign w:val="center"/>
                </w:tcPr>
                <w:p w14:paraId="44272DD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3281" w:type="dxa"/>
                  <w:tcBorders>
                    <w:top w:val="single" w:color="000000" w:sz="4" w:space="0"/>
                    <w:left w:val="nil"/>
                    <w:bottom w:val="single" w:color="000000" w:sz="4" w:space="0"/>
                    <w:right w:val="single" w:color="000000" w:sz="4" w:space="0"/>
                  </w:tcBorders>
                  <w:vAlign w:val="center"/>
                </w:tcPr>
                <w:p w14:paraId="52EC5A3E">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电脑</w:t>
                  </w:r>
                </w:p>
              </w:tc>
              <w:tc>
                <w:tcPr>
                  <w:tcW w:w="1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A44A">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r>
            <w:tr w14:paraId="7B24CFDE">
              <w:tblPrEx>
                <w:tblCellMar>
                  <w:top w:w="0" w:type="dxa"/>
                  <w:left w:w="108" w:type="dxa"/>
                  <w:bottom w:w="0" w:type="dxa"/>
                  <w:right w:w="108" w:type="dxa"/>
                </w:tblCellMar>
              </w:tblPrEx>
              <w:tc>
                <w:tcPr>
                  <w:tcW w:w="519" w:type="pct"/>
                  <w:tcBorders>
                    <w:top w:val="single" w:color="000000" w:sz="4" w:space="0"/>
                    <w:left w:val="single" w:color="000000" w:sz="4" w:space="0"/>
                    <w:bottom w:val="single" w:color="000000" w:sz="4" w:space="0"/>
                    <w:right w:val="single" w:color="000000" w:sz="4" w:space="0"/>
                  </w:tcBorders>
                  <w:noWrap/>
                  <w:vAlign w:val="center"/>
                </w:tcPr>
                <w:p w14:paraId="263A8ED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p>
              </w:tc>
              <w:tc>
                <w:tcPr>
                  <w:tcW w:w="3281" w:type="dxa"/>
                  <w:tcBorders>
                    <w:top w:val="single" w:color="000000" w:sz="4" w:space="0"/>
                    <w:left w:val="nil"/>
                    <w:bottom w:val="single" w:color="000000" w:sz="4" w:space="0"/>
                    <w:right w:val="single" w:color="000000" w:sz="4" w:space="0"/>
                  </w:tcBorders>
                  <w:vAlign w:val="center"/>
                </w:tcPr>
                <w:p w14:paraId="749D0C53">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三层书车</w:t>
                  </w:r>
                </w:p>
              </w:tc>
              <w:tc>
                <w:tcPr>
                  <w:tcW w:w="1798" w:type="pct"/>
                  <w:tcBorders>
                    <w:top w:val="single" w:color="000000" w:sz="4" w:space="0"/>
                    <w:left w:val="single" w:color="000000" w:sz="4" w:space="0"/>
                    <w:bottom w:val="single" w:color="000000" w:sz="4" w:space="0"/>
                    <w:right w:val="single" w:color="000000" w:sz="4" w:space="0"/>
                  </w:tcBorders>
                  <w:noWrap/>
                  <w:vAlign w:val="center"/>
                </w:tcPr>
                <w:p w14:paraId="329B7036">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r>
            <w:tr w14:paraId="78878CDF">
              <w:tblPrEx>
                <w:tblCellMar>
                  <w:top w:w="0" w:type="dxa"/>
                  <w:left w:w="108" w:type="dxa"/>
                  <w:bottom w:w="0" w:type="dxa"/>
                  <w:right w:w="108" w:type="dxa"/>
                </w:tblCellMar>
              </w:tblPrEx>
              <w:tc>
                <w:tcPr>
                  <w:tcW w:w="519" w:type="pct"/>
                  <w:tcBorders>
                    <w:top w:val="single" w:color="000000" w:sz="4" w:space="0"/>
                    <w:left w:val="single" w:color="000000" w:sz="4" w:space="0"/>
                    <w:bottom w:val="single" w:color="000000" w:sz="4" w:space="0"/>
                    <w:right w:val="single" w:color="000000" w:sz="4" w:space="0"/>
                  </w:tcBorders>
                  <w:noWrap/>
                  <w:vAlign w:val="center"/>
                </w:tcPr>
                <w:p w14:paraId="2FF669A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p>
              </w:tc>
              <w:tc>
                <w:tcPr>
                  <w:tcW w:w="3281" w:type="dxa"/>
                  <w:tcBorders>
                    <w:top w:val="single" w:color="000000" w:sz="4" w:space="0"/>
                    <w:left w:val="nil"/>
                    <w:bottom w:val="single" w:color="000000" w:sz="4" w:space="0"/>
                    <w:right w:val="single" w:color="000000" w:sz="4" w:space="0"/>
                  </w:tcBorders>
                  <w:vAlign w:val="center"/>
                </w:tcPr>
                <w:p w14:paraId="6E6D027D">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还书箱</w:t>
                  </w:r>
                </w:p>
              </w:tc>
              <w:tc>
                <w:tcPr>
                  <w:tcW w:w="1798" w:type="pct"/>
                  <w:tcBorders>
                    <w:top w:val="single" w:color="000000" w:sz="4" w:space="0"/>
                    <w:left w:val="single" w:color="000000" w:sz="4" w:space="0"/>
                    <w:bottom w:val="single" w:color="000000" w:sz="4" w:space="0"/>
                    <w:right w:val="single" w:color="000000" w:sz="4" w:space="0"/>
                  </w:tcBorders>
                  <w:noWrap/>
                  <w:vAlign w:val="center"/>
                </w:tcPr>
                <w:p w14:paraId="3C743A9C">
                  <w:pPr>
                    <w:widowControl/>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r>
          </w:tbl>
          <w:p w14:paraId="2E806524">
            <w:pPr>
              <w:pStyle w:val="25"/>
              <w:snapToGrid w:val="0"/>
              <w:spacing w:line="240" w:lineRule="auto"/>
              <w:jc w:val="left"/>
              <w:rPr>
                <w:rFonts w:hint="eastAsia" w:ascii="宋体" w:hAnsi="宋体" w:eastAsia="宋体" w:cs="宋体"/>
                <w:b w:val="0"/>
                <w:bCs w:val="0"/>
                <w:snapToGrid w:val="0"/>
                <w:color w:val="auto"/>
                <w:kern w:val="0"/>
                <w:sz w:val="21"/>
                <w:szCs w:val="21"/>
                <w:highlight w:val="none"/>
                <w:u w:val="none"/>
                <w:lang w:val="en-US" w:eastAsia="zh-CN"/>
              </w:rPr>
            </w:pPr>
          </w:p>
        </w:tc>
      </w:tr>
    </w:tbl>
    <w:p w14:paraId="693B5454">
      <w:pPr>
        <w:pStyle w:val="3"/>
        <w:numPr>
          <w:ilvl w:val="1"/>
          <w:numId w:val="0"/>
        </w:numPr>
        <w:jc w:val="center"/>
        <w:rPr>
          <w:rFonts w:ascii="宋体" w:hAnsi="宋体" w:eastAsia="宋体" w:cs="宋体"/>
          <w:sz w:val="30"/>
          <w:szCs w:val="30"/>
        </w:rPr>
      </w:pPr>
      <w:r>
        <w:rPr>
          <w:rFonts w:hint="eastAsia" w:ascii="宋体" w:hAnsi="宋体" w:eastAsia="宋体" w:cs="宋体"/>
        </w:rPr>
        <w:br w:type="page"/>
      </w:r>
      <w:bookmarkStart w:id="106" w:name="_Toc28924"/>
      <w:bookmarkStart w:id="107" w:name="_Toc22340"/>
      <w:bookmarkStart w:id="108" w:name="_Toc5596"/>
      <w:bookmarkStart w:id="109" w:name="_Toc4"/>
      <w:bookmarkStart w:id="110" w:name="_Toc373252446"/>
      <w:bookmarkStart w:id="111" w:name="_Toc212648371"/>
      <w:bookmarkStart w:id="112" w:name="_Toc447720938"/>
      <w:bookmarkStart w:id="113" w:name="_Toc22423"/>
      <w:bookmarkStart w:id="114" w:name="_Toc20597"/>
      <w:r>
        <w:rPr>
          <w:rFonts w:hint="eastAsia" w:ascii="宋体" w:hAnsi="宋体" w:eastAsia="宋体" w:cs="宋体"/>
          <w:sz w:val="30"/>
          <w:szCs w:val="30"/>
        </w:rPr>
        <w:t>一、总则</w:t>
      </w:r>
      <w:bookmarkEnd w:id="106"/>
      <w:bookmarkEnd w:id="107"/>
      <w:bookmarkEnd w:id="108"/>
      <w:bookmarkEnd w:id="109"/>
      <w:bookmarkEnd w:id="110"/>
      <w:bookmarkEnd w:id="111"/>
      <w:bookmarkEnd w:id="112"/>
      <w:bookmarkEnd w:id="113"/>
      <w:bookmarkEnd w:id="114"/>
    </w:p>
    <w:p w14:paraId="50865748">
      <w:pPr>
        <w:pStyle w:val="10"/>
        <w:spacing w:line="360" w:lineRule="auto"/>
        <w:ind w:left="243" w:hanging="243" w:hangingChars="101"/>
        <w:jc w:val="left"/>
        <w:rPr>
          <w:rFonts w:hAnsi="宋体" w:cs="宋体"/>
          <w:sz w:val="24"/>
          <w:szCs w:val="24"/>
        </w:rPr>
      </w:pPr>
      <w:r>
        <w:rPr>
          <w:rFonts w:hint="eastAsia" w:hAnsi="宋体" w:cs="宋体"/>
          <w:b/>
          <w:sz w:val="24"/>
          <w:szCs w:val="24"/>
        </w:rPr>
        <w:t>1、采购人、采购代理机构、项目名称及招标编号：详见招标文件“投标人须知前附表”</w:t>
      </w:r>
      <w:r>
        <w:rPr>
          <w:rFonts w:hint="eastAsia" w:hAnsi="宋体" w:cs="宋体"/>
          <w:sz w:val="24"/>
          <w:szCs w:val="24"/>
        </w:rPr>
        <w:t>。</w:t>
      </w:r>
    </w:p>
    <w:p w14:paraId="0245AAAA">
      <w:pPr>
        <w:spacing w:line="360" w:lineRule="auto"/>
        <w:jc w:val="left"/>
        <w:rPr>
          <w:rFonts w:ascii="宋体" w:hAnsi="宋体" w:cs="宋体"/>
          <w:b/>
          <w:sz w:val="24"/>
        </w:rPr>
      </w:pPr>
      <w:r>
        <w:rPr>
          <w:rFonts w:hint="eastAsia" w:ascii="宋体" w:hAnsi="宋体" w:cs="宋体"/>
          <w:b/>
          <w:sz w:val="24"/>
        </w:rPr>
        <w:t>2、资金来源</w:t>
      </w:r>
    </w:p>
    <w:p w14:paraId="30F5405D">
      <w:pPr>
        <w:spacing w:line="360" w:lineRule="auto"/>
        <w:jc w:val="left"/>
        <w:rPr>
          <w:rFonts w:ascii="宋体" w:hAnsi="宋体" w:cs="宋体"/>
          <w:sz w:val="24"/>
        </w:rPr>
      </w:pPr>
      <w:r>
        <w:rPr>
          <w:rFonts w:hint="eastAsia" w:ascii="宋体" w:hAnsi="宋体" w:cs="宋体"/>
          <w:sz w:val="24"/>
        </w:rPr>
        <w:t>2.1资金来源：财政资金。</w:t>
      </w:r>
    </w:p>
    <w:p w14:paraId="322257B2">
      <w:pPr>
        <w:adjustRightInd w:val="0"/>
        <w:spacing w:line="360" w:lineRule="auto"/>
        <w:jc w:val="left"/>
        <w:rPr>
          <w:rFonts w:ascii="宋体" w:hAnsi="宋体" w:cs="宋体"/>
          <w:sz w:val="24"/>
        </w:rPr>
      </w:pPr>
      <w:r>
        <w:rPr>
          <w:rFonts w:hint="eastAsia" w:ascii="宋体" w:hAnsi="宋体" w:cs="宋体"/>
          <w:sz w:val="24"/>
        </w:rPr>
        <w:t>2.2采购预算：详见本项目招标公告；最高限价：详见本项目招标公告。</w:t>
      </w:r>
    </w:p>
    <w:p w14:paraId="432FB94B">
      <w:pPr>
        <w:spacing w:line="360" w:lineRule="auto"/>
        <w:jc w:val="left"/>
        <w:rPr>
          <w:rFonts w:ascii="宋体" w:hAnsi="宋体" w:cs="宋体"/>
          <w:b/>
          <w:sz w:val="24"/>
        </w:rPr>
      </w:pPr>
      <w:r>
        <w:rPr>
          <w:rFonts w:hint="eastAsia" w:ascii="宋体" w:hAnsi="宋体" w:cs="宋体"/>
          <w:b/>
          <w:sz w:val="24"/>
        </w:rPr>
        <w:t>3、招标范围</w:t>
      </w:r>
    </w:p>
    <w:p w14:paraId="079AAD3E">
      <w:pPr>
        <w:spacing w:line="360" w:lineRule="auto"/>
        <w:jc w:val="left"/>
        <w:rPr>
          <w:rFonts w:ascii="宋体" w:hAnsi="宋体" w:cs="宋体"/>
          <w:sz w:val="24"/>
        </w:rPr>
      </w:pPr>
      <w:r>
        <w:rPr>
          <w:rFonts w:hint="eastAsia" w:ascii="宋体" w:hAnsi="宋体" w:cs="宋体"/>
          <w:sz w:val="24"/>
        </w:rPr>
        <w:t>3.1本项目招标范围：见“</w:t>
      </w:r>
      <w:r>
        <w:rPr>
          <w:rFonts w:hint="eastAsia" w:ascii="宋体" w:hAnsi="宋体" w:cs="宋体"/>
          <w:b/>
          <w:sz w:val="24"/>
        </w:rPr>
        <w:t>投标人须知前附表</w:t>
      </w:r>
      <w:r>
        <w:rPr>
          <w:rFonts w:hint="eastAsia" w:ascii="宋体" w:hAnsi="宋体" w:cs="宋体"/>
          <w:sz w:val="24"/>
        </w:rPr>
        <w:t>”。</w:t>
      </w:r>
    </w:p>
    <w:p w14:paraId="6C5F088D">
      <w:pPr>
        <w:spacing w:line="360" w:lineRule="auto"/>
        <w:jc w:val="left"/>
        <w:rPr>
          <w:rFonts w:ascii="宋体" w:hAnsi="宋体" w:cs="宋体"/>
          <w:sz w:val="24"/>
        </w:rPr>
      </w:pPr>
      <w:r>
        <w:rPr>
          <w:rFonts w:hint="eastAsia" w:ascii="宋体" w:hAnsi="宋体" w:cs="宋体"/>
          <w:sz w:val="24"/>
        </w:rPr>
        <w:t>3.2本项目交货期和交货地点：见“</w:t>
      </w:r>
      <w:r>
        <w:rPr>
          <w:rFonts w:hint="eastAsia" w:ascii="宋体" w:hAnsi="宋体" w:cs="宋体"/>
          <w:b/>
          <w:sz w:val="24"/>
        </w:rPr>
        <w:t>投标人须知前附表</w:t>
      </w:r>
      <w:r>
        <w:rPr>
          <w:rFonts w:hint="eastAsia" w:ascii="宋体" w:hAnsi="宋体" w:cs="宋体"/>
          <w:sz w:val="24"/>
        </w:rPr>
        <w:t>”。</w:t>
      </w:r>
    </w:p>
    <w:p w14:paraId="6D74269C">
      <w:pPr>
        <w:spacing w:line="360" w:lineRule="auto"/>
        <w:jc w:val="left"/>
        <w:rPr>
          <w:rFonts w:ascii="宋体" w:hAnsi="宋体" w:cs="宋体"/>
          <w:b/>
          <w:sz w:val="24"/>
        </w:rPr>
      </w:pPr>
      <w:r>
        <w:rPr>
          <w:rFonts w:hint="eastAsia" w:ascii="宋体" w:hAnsi="宋体" w:cs="宋体"/>
          <w:b/>
          <w:sz w:val="24"/>
        </w:rPr>
        <w:t>4、合格的投标人</w:t>
      </w:r>
    </w:p>
    <w:p w14:paraId="01E32B26">
      <w:pPr>
        <w:pStyle w:val="10"/>
        <w:spacing w:line="360" w:lineRule="auto"/>
        <w:rPr>
          <w:rFonts w:hAnsi="宋体" w:cs="宋体"/>
          <w:kern w:val="2"/>
          <w:sz w:val="24"/>
          <w:szCs w:val="24"/>
        </w:rPr>
      </w:pPr>
      <w:r>
        <w:rPr>
          <w:rFonts w:hint="eastAsia" w:hAnsi="宋体" w:cs="宋体"/>
          <w:kern w:val="2"/>
          <w:sz w:val="24"/>
          <w:szCs w:val="24"/>
        </w:rPr>
        <w:t>4.1应具备《中华人民共和国政府采购法》第二十二条规定的条件并提供下列材料：</w:t>
      </w:r>
    </w:p>
    <w:p w14:paraId="7DEF14FA">
      <w:pPr>
        <w:pStyle w:val="10"/>
        <w:spacing w:line="360" w:lineRule="auto"/>
        <w:rPr>
          <w:rFonts w:hAnsi="宋体" w:cs="宋体"/>
          <w:kern w:val="2"/>
          <w:sz w:val="24"/>
          <w:szCs w:val="24"/>
        </w:rPr>
      </w:pPr>
      <w:r>
        <w:rPr>
          <w:rFonts w:hint="eastAsia" w:hAnsi="宋体" w:cs="宋体"/>
          <w:kern w:val="2"/>
          <w:sz w:val="24"/>
          <w:szCs w:val="24"/>
        </w:rPr>
        <w:t>4.1.1提供有效的营业执照或事业单位法人证书或其他类似的法定证明文件；</w:t>
      </w:r>
    </w:p>
    <w:p w14:paraId="4C13FAC0">
      <w:pPr>
        <w:pStyle w:val="10"/>
        <w:spacing w:line="360" w:lineRule="auto"/>
        <w:rPr>
          <w:rFonts w:hAnsi="宋体" w:cs="宋体"/>
          <w:kern w:val="2"/>
          <w:sz w:val="24"/>
          <w:szCs w:val="24"/>
        </w:rPr>
      </w:pPr>
      <w:r>
        <w:rPr>
          <w:rFonts w:hint="eastAsia" w:hAnsi="宋体" w:cs="宋体"/>
          <w:kern w:val="2"/>
          <w:sz w:val="24"/>
          <w:szCs w:val="24"/>
        </w:rPr>
        <w:t>4.1.2提供2022年度至202</w:t>
      </w:r>
      <w:r>
        <w:rPr>
          <w:rFonts w:hint="eastAsia" w:hAnsi="宋体" w:cs="宋体"/>
          <w:kern w:val="2"/>
          <w:sz w:val="24"/>
          <w:szCs w:val="24"/>
          <w:lang w:val="en-US" w:eastAsia="zh-CN"/>
        </w:rPr>
        <w:t>5</w:t>
      </w:r>
      <w:r>
        <w:rPr>
          <w:rFonts w:hint="eastAsia" w:hAnsi="宋体" w:cs="宋体"/>
          <w:kern w:val="2"/>
          <w:sz w:val="24"/>
          <w:szCs w:val="24"/>
        </w:rPr>
        <w:t>年度任意一年经第三方审计的财务报告及报表，成立时间不足一年的投标人若不能提供上述财务报告及报表的，可提供投标文件提交截止时间前三个月内开户银行出具的资信证明或财务情况说明；</w:t>
      </w:r>
    </w:p>
    <w:p w14:paraId="2A22E6C6">
      <w:pPr>
        <w:pStyle w:val="10"/>
        <w:spacing w:line="360" w:lineRule="auto"/>
        <w:rPr>
          <w:rFonts w:hAnsi="宋体" w:cs="宋体"/>
          <w:kern w:val="2"/>
          <w:sz w:val="24"/>
          <w:szCs w:val="24"/>
        </w:rPr>
      </w:pPr>
      <w:r>
        <w:rPr>
          <w:rFonts w:hint="eastAsia" w:hAnsi="宋体" w:cs="宋体"/>
          <w:kern w:val="2"/>
          <w:sz w:val="24"/>
          <w:szCs w:val="24"/>
        </w:rPr>
        <w:t>4.1.3提供投标人具有履行合同所必需的设备和专业技术能力证明材料或书面声明；</w:t>
      </w:r>
    </w:p>
    <w:p w14:paraId="7B7B24A9">
      <w:pPr>
        <w:pStyle w:val="10"/>
        <w:spacing w:line="360" w:lineRule="auto"/>
        <w:rPr>
          <w:rFonts w:hAnsi="宋体" w:cs="宋体"/>
          <w:kern w:val="2"/>
          <w:sz w:val="24"/>
          <w:szCs w:val="24"/>
        </w:rPr>
      </w:pPr>
      <w:r>
        <w:rPr>
          <w:rFonts w:hint="eastAsia" w:hAnsi="宋体" w:cs="宋体"/>
          <w:kern w:val="2"/>
          <w:sz w:val="24"/>
          <w:szCs w:val="24"/>
        </w:rPr>
        <w:t>4.1.4提供202</w:t>
      </w:r>
      <w:r>
        <w:rPr>
          <w:rFonts w:hint="eastAsia" w:hAnsi="宋体" w:cs="宋体"/>
          <w:kern w:val="2"/>
          <w:sz w:val="24"/>
          <w:szCs w:val="24"/>
          <w:lang w:val="en-US" w:eastAsia="zh-CN"/>
        </w:rPr>
        <w:t>5</w:t>
      </w:r>
      <w:r>
        <w:rPr>
          <w:rFonts w:hint="eastAsia" w:hAnsi="宋体" w:cs="宋体"/>
          <w:kern w:val="2"/>
          <w:sz w:val="24"/>
          <w:szCs w:val="24"/>
        </w:rPr>
        <w:t>年</w:t>
      </w:r>
      <w:r>
        <w:rPr>
          <w:rFonts w:hint="eastAsia" w:hAnsi="宋体" w:cs="宋体"/>
          <w:kern w:val="2"/>
          <w:sz w:val="24"/>
          <w:szCs w:val="24"/>
          <w:lang w:val="en-US" w:eastAsia="zh-CN"/>
        </w:rPr>
        <w:t>10</w:t>
      </w:r>
      <w:r>
        <w:rPr>
          <w:rFonts w:hint="eastAsia" w:hAnsi="宋体" w:cs="宋体"/>
          <w:kern w:val="2"/>
          <w:sz w:val="24"/>
          <w:szCs w:val="24"/>
        </w:rPr>
        <w:t>月至今任意1个月依法缴纳税收和缴纳社会保障资金的证明（成立未满1个月的可提供相关情况说明；依法免税或不需要缴纳社会保障资金的，应提供相应文件证明其依法免税或不需要缴纳社会保障资金）；</w:t>
      </w:r>
    </w:p>
    <w:p w14:paraId="52CA457A">
      <w:pPr>
        <w:pStyle w:val="10"/>
        <w:spacing w:line="360" w:lineRule="auto"/>
        <w:rPr>
          <w:rFonts w:hAnsi="宋体" w:cs="宋体"/>
          <w:kern w:val="2"/>
          <w:sz w:val="24"/>
          <w:szCs w:val="24"/>
        </w:rPr>
      </w:pPr>
      <w:r>
        <w:rPr>
          <w:rFonts w:hint="eastAsia" w:hAnsi="宋体" w:cs="宋体"/>
          <w:kern w:val="2"/>
          <w:sz w:val="24"/>
          <w:szCs w:val="24"/>
        </w:rPr>
        <w:t>4.1.5提供投标人参加政府采购活动前三年内，在经营活动中没有重大违法记录（重大违法记录，是指投标人因违法经营受到刑事处罚或者责令停产停业、吊销许可证或者执照、较大数额罚款等行政处罚）的书面声明；</w:t>
      </w:r>
    </w:p>
    <w:p w14:paraId="6BC111B1">
      <w:pPr>
        <w:pStyle w:val="10"/>
        <w:spacing w:line="360" w:lineRule="auto"/>
        <w:rPr>
          <w:rFonts w:hAnsi="宋体" w:cs="宋体"/>
          <w:kern w:val="2"/>
          <w:sz w:val="24"/>
          <w:szCs w:val="24"/>
        </w:rPr>
      </w:pPr>
      <w:r>
        <w:rPr>
          <w:rFonts w:hint="eastAsia" w:hAnsi="宋体" w:cs="宋体"/>
          <w:kern w:val="2"/>
          <w:sz w:val="24"/>
          <w:szCs w:val="24"/>
        </w:rPr>
        <w:t xml:space="preserve">4.1.6法律、行政法规规定的其他条件：详见“投标人须知前附表”。 </w:t>
      </w:r>
    </w:p>
    <w:p w14:paraId="521F96A1">
      <w:pPr>
        <w:pStyle w:val="10"/>
        <w:spacing w:line="360" w:lineRule="auto"/>
        <w:rPr>
          <w:rFonts w:hAnsi="宋体" w:cs="宋体"/>
          <w:kern w:val="2"/>
          <w:sz w:val="24"/>
          <w:szCs w:val="24"/>
        </w:rPr>
      </w:pPr>
      <w:r>
        <w:rPr>
          <w:rFonts w:hint="eastAsia" w:hAnsi="宋体" w:cs="宋体"/>
          <w:kern w:val="2"/>
          <w:sz w:val="24"/>
          <w:szCs w:val="24"/>
        </w:rPr>
        <w:t>4.2采购人根据采购项目的特殊要求，规定投标人的特定条件：见投标人须知前附表。</w:t>
      </w:r>
    </w:p>
    <w:p w14:paraId="30F9E652">
      <w:pPr>
        <w:pStyle w:val="10"/>
        <w:spacing w:line="360" w:lineRule="auto"/>
        <w:rPr>
          <w:rFonts w:hAnsi="宋体" w:cs="宋体"/>
          <w:kern w:val="2"/>
          <w:sz w:val="24"/>
          <w:szCs w:val="24"/>
        </w:rPr>
      </w:pPr>
      <w:r>
        <w:rPr>
          <w:rFonts w:hint="eastAsia" w:hAnsi="宋体" w:cs="宋体"/>
          <w:kern w:val="2"/>
          <w:sz w:val="24"/>
          <w:szCs w:val="24"/>
        </w:rPr>
        <w:t>4.3单位负责人为同一人或者存在直接控股、管理关系的不同投标人，不得参加同一采购项目包的政府采购活动。</w:t>
      </w:r>
    </w:p>
    <w:p w14:paraId="468C329B">
      <w:pPr>
        <w:pStyle w:val="10"/>
        <w:spacing w:line="360" w:lineRule="auto"/>
        <w:rPr>
          <w:rFonts w:hAnsi="宋体" w:cs="宋体"/>
          <w:kern w:val="2"/>
          <w:sz w:val="24"/>
          <w:szCs w:val="24"/>
        </w:rPr>
      </w:pPr>
      <w:r>
        <w:rPr>
          <w:rFonts w:hint="eastAsia" w:hAnsi="宋体" w:cs="宋体"/>
          <w:kern w:val="2"/>
          <w:sz w:val="24"/>
          <w:szCs w:val="24"/>
        </w:rPr>
        <w:t>4.4为采购项目提供整体设计、规范编制或者项目管理、监理、检测等服务的投标人，不得再参加该采购项目的采购活动。</w:t>
      </w:r>
    </w:p>
    <w:p w14:paraId="7EFF481A">
      <w:pPr>
        <w:pStyle w:val="10"/>
        <w:spacing w:line="360" w:lineRule="auto"/>
        <w:rPr>
          <w:rFonts w:hAnsi="宋体" w:cs="宋体"/>
          <w:kern w:val="2"/>
          <w:sz w:val="24"/>
          <w:szCs w:val="24"/>
        </w:rPr>
      </w:pPr>
      <w:r>
        <w:rPr>
          <w:rFonts w:hint="eastAsia" w:hAnsi="宋体" w:cs="宋体"/>
          <w:kern w:val="2"/>
          <w:sz w:val="24"/>
          <w:szCs w:val="24"/>
        </w:rPr>
        <w:t>4.5“投标人须知前附表”规定接受联合体参与的，除应符合本章第4.1～4.3项的要求外，还应遵守以下规定：</w:t>
      </w:r>
    </w:p>
    <w:p w14:paraId="4D6BA3BB">
      <w:pPr>
        <w:pStyle w:val="10"/>
        <w:spacing w:line="360" w:lineRule="auto"/>
        <w:rPr>
          <w:rFonts w:hAnsi="宋体" w:cs="宋体"/>
          <w:kern w:val="2"/>
          <w:sz w:val="24"/>
          <w:szCs w:val="24"/>
        </w:rPr>
      </w:pPr>
      <w:r>
        <w:rPr>
          <w:rFonts w:hint="eastAsia" w:hAnsi="宋体" w:cs="宋体"/>
          <w:kern w:val="2"/>
          <w:sz w:val="24"/>
          <w:szCs w:val="24"/>
        </w:rPr>
        <w:t>（1）采购人根据采购项目的特殊要求规定投标人特定条件的，联合体各方中至少应有一方符合采购人规定的特定条件；联合体中有同类资质的供应商按照联合体分工承担相同工作的，应当按照资质等级较低的供应商确定资质等级；</w:t>
      </w:r>
    </w:p>
    <w:p w14:paraId="4F286FA8">
      <w:pPr>
        <w:pStyle w:val="10"/>
        <w:spacing w:line="360" w:lineRule="auto"/>
        <w:rPr>
          <w:rFonts w:hAnsi="宋体" w:cs="宋体"/>
          <w:kern w:val="2"/>
          <w:sz w:val="24"/>
          <w:szCs w:val="24"/>
        </w:rPr>
      </w:pPr>
      <w:r>
        <w:rPr>
          <w:rFonts w:hint="eastAsia" w:hAnsi="宋体" w:cs="宋体"/>
          <w:kern w:val="2"/>
          <w:sz w:val="24"/>
          <w:szCs w:val="24"/>
        </w:rPr>
        <w:t>（2）联合体各方之间应当签订共同协议，明确约定联合体各方承担的工作和相应的责任；</w:t>
      </w:r>
    </w:p>
    <w:p w14:paraId="5D49FB54">
      <w:pPr>
        <w:pStyle w:val="10"/>
        <w:spacing w:line="360" w:lineRule="auto"/>
        <w:rPr>
          <w:rFonts w:hAnsi="宋体" w:cs="宋体"/>
          <w:kern w:val="2"/>
          <w:sz w:val="24"/>
          <w:szCs w:val="24"/>
        </w:rPr>
      </w:pPr>
      <w:r>
        <w:rPr>
          <w:rFonts w:hint="eastAsia" w:hAnsi="宋体" w:cs="宋体"/>
          <w:kern w:val="2"/>
          <w:sz w:val="24"/>
          <w:szCs w:val="24"/>
        </w:rPr>
        <w:t>（3）联合体各方不得再以自己名义单独或参加其他联合体在同一项目中投标。</w:t>
      </w:r>
    </w:p>
    <w:p w14:paraId="089CB0EA">
      <w:pPr>
        <w:pStyle w:val="10"/>
        <w:spacing w:line="360" w:lineRule="auto"/>
        <w:rPr>
          <w:rFonts w:hAnsi="宋体" w:cs="宋体"/>
          <w:kern w:val="2"/>
          <w:sz w:val="24"/>
          <w:szCs w:val="24"/>
        </w:rPr>
      </w:pPr>
      <w:r>
        <w:rPr>
          <w:rFonts w:hint="eastAsia" w:hAnsi="宋体" w:cs="宋体"/>
          <w:kern w:val="2"/>
          <w:sz w:val="24"/>
          <w:szCs w:val="24"/>
        </w:rPr>
        <w:t>4.6符合上述条件的投标人应承担及履约中应承担的全部责任与义务且提供的所有资料真实有效，负责产生的一切后果均由投标人承担。</w:t>
      </w:r>
    </w:p>
    <w:p w14:paraId="62A74E6E">
      <w:pPr>
        <w:spacing w:line="360" w:lineRule="auto"/>
        <w:jc w:val="left"/>
        <w:rPr>
          <w:rFonts w:ascii="宋体" w:hAnsi="宋体" w:cs="宋体"/>
          <w:b/>
          <w:sz w:val="24"/>
        </w:rPr>
      </w:pPr>
      <w:r>
        <w:rPr>
          <w:rFonts w:hint="eastAsia" w:ascii="宋体" w:hAnsi="宋体" w:cs="宋体"/>
          <w:b/>
          <w:sz w:val="24"/>
        </w:rPr>
        <w:t>5、投标费用</w:t>
      </w:r>
    </w:p>
    <w:p w14:paraId="25014DB7">
      <w:pPr>
        <w:pStyle w:val="10"/>
        <w:spacing w:line="360" w:lineRule="auto"/>
        <w:rPr>
          <w:rFonts w:hAnsi="宋体" w:cs="宋体"/>
          <w:kern w:val="2"/>
          <w:sz w:val="24"/>
          <w:szCs w:val="24"/>
        </w:rPr>
      </w:pPr>
      <w:r>
        <w:rPr>
          <w:rFonts w:hint="eastAsia" w:hAnsi="宋体" w:cs="宋体"/>
          <w:kern w:val="2"/>
          <w:sz w:val="24"/>
          <w:szCs w:val="24"/>
        </w:rPr>
        <w:t>5.1不论投标结果如何，投标人均应自行承担所有与准备和参加投标活动有关的全部费用。</w:t>
      </w:r>
    </w:p>
    <w:p w14:paraId="0C5108EB">
      <w:pPr>
        <w:spacing w:line="360" w:lineRule="auto"/>
        <w:rPr>
          <w:rFonts w:ascii="宋体" w:hAnsi="宋体" w:cs="宋体"/>
          <w:b/>
          <w:sz w:val="24"/>
        </w:rPr>
      </w:pPr>
      <w:bookmarkStart w:id="115" w:name="_Toc321836356"/>
      <w:r>
        <w:rPr>
          <w:rFonts w:hint="eastAsia" w:ascii="宋体" w:hAnsi="宋体" w:cs="宋体"/>
          <w:b/>
          <w:sz w:val="24"/>
        </w:rPr>
        <w:t>6、质疑</w:t>
      </w:r>
      <w:bookmarkEnd w:id="115"/>
    </w:p>
    <w:p w14:paraId="50AA58E3">
      <w:pPr>
        <w:spacing w:line="360" w:lineRule="auto"/>
        <w:rPr>
          <w:rFonts w:ascii="宋体" w:hAnsi="宋体" w:cs="宋体"/>
          <w:sz w:val="24"/>
        </w:rPr>
      </w:pPr>
      <w:r>
        <w:rPr>
          <w:rFonts w:hint="eastAsia" w:ascii="宋体" w:hAnsi="宋体" w:cs="宋体"/>
          <w:sz w:val="24"/>
        </w:rPr>
        <w:t>6.1投标人认为招标文件、招标过程和中标结果使自己的权益受到损害的，应当在知其权益受到损害之日起七个工作日内，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7个工作日内对投标人依法提出的质疑作出书面答复，但答复的内容不得涉及商业秘密。</w:t>
      </w:r>
    </w:p>
    <w:p w14:paraId="33B02B9E">
      <w:pPr>
        <w:spacing w:line="360" w:lineRule="auto"/>
        <w:ind w:firstLine="480" w:firstLineChars="200"/>
        <w:rPr>
          <w:rFonts w:ascii="宋体" w:hAnsi="宋体" w:cs="宋体"/>
          <w:sz w:val="24"/>
        </w:rPr>
      </w:pPr>
      <w:r>
        <w:rPr>
          <w:rFonts w:hint="eastAsia" w:ascii="宋体" w:hAnsi="宋体" w:cs="宋体"/>
          <w:sz w:val="24"/>
        </w:rPr>
        <w:t>投标人知其权益受到损害之日，是指：</w:t>
      </w:r>
    </w:p>
    <w:p w14:paraId="7AC33B10">
      <w:pPr>
        <w:spacing w:line="360" w:lineRule="auto"/>
        <w:ind w:firstLine="480" w:firstLineChars="200"/>
        <w:rPr>
          <w:rFonts w:ascii="宋体" w:hAnsi="宋体" w:cs="宋体"/>
          <w:sz w:val="24"/>
        </w:rPr>
      </w:pPr>
      <w:r>
        <w:rPr>
          <w:rFonts w:hint="eastAsia" w:ascii="宋体" w:hAnsi="宋体" w:cs="宋体"/>
          <w:sz w:val="24"/>
        </w:rPr>
        <w:t>（一）对可以质疑的采购文件提出质疑的，为收到采购文件之日或者采购文件公告期限届满之日；</w:t>
      </w:r>
    </w:p>
    <w:p w14:paraId="754D4F71">
      <w:pPr>
        <w:spacing w:line="360" w:lineRule="auto"/>
        <w:ind w:firstLine="480" w:firstLineChars="200"/>
        <w:rPr>
          <w:rFonts w:ascii="宋体" w:hAnsi="宋体" w:cs="宋体"/>
          <w:sz w:val="24"/>
        </w:rPr>
      </w:pPr>
      <w:r>
        <w:rPr>
          <w:rFonts w:hint="eastAsia" w:ascii="宋体" w:hAnsi="宋体" w:cs="宋体"/>
          <w:sz w:val="24"/>
        </w:rPr>
        <w:t>（二）对采购过程提出质疑的，为各采购程序环节结束之日；</w:t>
      </w:r>
    </w:p>
    <w:p w14:paraId="64A1AC85">
      <w:pPr>
        <w:spacing w:line="360" w:lineRule="auto"/>
        <w:ind w:firstLine="480" w:firstLineChars="200"/>
        <w:rPr>
          <w:rFonts w:ascii="宋体" w:hAnsi="宋体" w:cs="宋体"/>
          <w:sz w:val="24"/>
        </w:rPr>
      </w:pPr>
      <w:r>
        <w:rPr>
          <w:rFonts w:hint="eastAsia" w:ascii="宋体" w:hAnsi="宋体" w:cs="宋体"/>
          <w:sz w:val="24"/>
        </w:rPr>
        <w:t>（三）对中标结果提出质疑的，为中标结果公告期限届满之日。</w:t>
      </w:r>
    </w:p>
    <w:p w14:paraId="24B8F359">
      <w:pPr>
        <w:spacing w:line="360" w:lineRule="auto"/>
        <w:rPr>
          <w:rFonts w:ascii="宋体" w:hAnsi="宋体" w:cs="宋体"/>
          <w:sz w:val="24"/>
        </w:rPr>
      </w:pPr>
      <w:r>
        <w:rPr>
          <w:rFonts w:hint="eastAsia" w:ascii="宋体" w:hAnsi="宋体" w:cs="宋体"/>
          <w:bCs/>
          <w:sz w:val="24"/>
        </w:rPr>
        <w:t>6.2</w:t>
      </w:r>
      <w:r>
        <w:rPr>
          <w:rFonts w:hint="eastAsia" w:ascii="宋体" w:hAnsi="宋体" w:cs="宋体"/>
          <w:sz w:val="24"/>
        </w:rPr>
        <w:t>投标人提供的质疑书（如材料中有外文资料应同时附上中文译本）应当包括以下主要内容：</w:t>
      </w:r>
    </w:p>
    <w:p w14:paraId="5C549294">
      <w:pPr>
        <w:spacing w:line="360" w:lineRule="auto"/>
        <w:ind w:firstLine="480" w:firstLineChars="200"/>
        <w:rPr>
          <w:rFonts w:ascii="宋体" w:hAnsi="宋体" w:cs="宋体"/>
          <w:sz w:val="24"/>
        </w:rPr>
      </w:pPr>
      <w:r>
        <w:rPr>
          <w:rFonts w:hint="eastAsia" w:ascii="宋体" w:hAnsi="宋体" w:cs="宋体"/>
          <w:sz w:val="24"/>
        </w:rPr>
        <w:t>（1）投标人的姓名或者名称、地址、邮编、联系人及联系电话；</w:t>
      </w:r>
    </w:p>
    <w:p w14:paraId="1F7FBA16">
      <w:pPr>
        <w:spacing w:line="360" w:lineRule="auto"/>
        <w:ind w:firstLine="480" w:firstLineChars="200"/>
        <w:rPr>
          <w:rFonts w:ascii="宋体" w:hAnsi="宋体" w:cs="宋体"/>
          <w:sz w:val="24"/>
        </w:rPr>
      </w:pPr>
      <w:r>
        <w:rPr>
          <w:rFonts w:hint="eastAsia" w:ascii="宋体" w:hAnsi="宋体" w:cs="宋体"/>
          <w:sz w:val="24"/>
        </w:rPr>
        <w:t>（2）质疑项目的名称、编号；</w:t>
      </w:r>
    </w:p>
    <w:p w14:paraId="0629CFA0">
      <w:pPr>
        <w:spacing w:line="360" w:lineRule="auto"/>
        <w:ind w:firstLine="480" w:firstLineChars="200"/>
        <w:rPr>
          <w:rFonts w:ascii="宋体" w:hAnsi="宋体" w:cs="宋体"/>
          <w:sz w:val="24"/>
        </w:rPr>
      </w:pPr>
      <w:r>
        <w:rPr>
          <w:rFonts w:hint="eastAsia" w:ascii="宋体" w:hAnsi="宋体" w:cs="宋体"/>
          <w:sz w:val="24"/>
        </w:rPr>
        <w:t>（3）具体、明确的质疑事项和与质疑事项相关的请求；</w:t>
      </w:r>
    </w:p>
    <w:p w14:paraId="37BA0F12">
      <w:pPr>
        <w:spacing w:line="360" w:lineRule="auto"/>
        <w:ind w:firstLine="480" w:firstLineChars="200"/>
        <w:rPr>
          <w:rFonts w:ascii="宋体" w:hAnsi="宋体" w:cs="宋体"/>
          <w:sz w:val="24"/>
        </w:rPr>
      </w:pPr>
      <w:r>
        <w:rPr>
          <w:rFonts w:hint="eastAsia" w:ascii="宋体" w:hAnsi="宋体" w:cs="宋体"/>
          <w:sz w:val="24"/>
        </w:rPr>
        <w:t>（4）事实依据；</w:t>
      </w:r>
    </w:p>
    <w:p w14:paraId="36B46D3A">
      <w:pPr>
        <w:spacing w:line="360" w:lineRule="auto"/>
        <w:ind w:firstLine="480" w:firstLineChars="200"/>
        <w:rPr>
          <w:rFonts w:ascii="宋体" w:hAnsi="宋体" w:cs="宋体"/>
          <w:sz w:val="24"/>
        </w:rPr>
      </w:pPr>
      <w:r>
        <w:rPr>
          <w:rFonts w:hint="eastAsia" w:ascii="宋体" w:hAnsi="宋体" w:cs="宋体"/>
          <w:sz w:val="24"/>
        </w:rPr>
        <w:t>（5）必要的法律依据；</w:t>
      </w:r>
    </w:p>
    <w:p w14:paraId="4A699CCF">
      <w:pPr>
        <w:spacing w:line="360" w:lineRule="auto"/>
        <w:ind w:firstLine="480" w:firstLineChars="200"/>
        <w:rPr>
          <w:rFonts w:ascii="宋体" w:hAnsi="宋体" w:cs="宋体"/>
          <w:sz w:val="24"/>
        </w:rPr>
      </w:pPr>
      <w:r>
        <w:rPr>
          <w:rFonts w:hint="eastAsia" w:ascii="宋体" w:hAnsi="宋体" w:cs="宋体"/>
          <w:sz w:val="24"/>
        </w:rPr>
        <w:t>（6）提出质疑的日期。</w:t>
      </w:r>
    </w:p>
    <w:p w14:paraId="4484D801">
      <w:pPr>
        <w:spacing w:line="360" w:lineRule="auto"/>
        <w:ind w:firstLine="482" w:firstLineChars="200"/>
        <w:rPr>
          <w:rFonts w:ascii="宋体" w:hAnsi="宋体" w:cs="宋体"/>
          <w:sz w:val="24"/>
        </w:rPr>
      </w:pPr>
      <w:r>
        <w:rPr>
          <w:rFonts w:hint="eastAsia" w:ascii="宋体" w:hAnsi="宋体" w:cs="宋体"/>
          <w:b/>
          <w:bCs/>
          <w:sz w:val="24"/>
        </w:rPr>
        <w:t>质疑书实行实名制，并提交由法定代表人或其委托代理人签字且盖单位章的原件。</w:t>
      </w:r>
      <w:r>
        <w:rPr>
          <w:rFonts w:hint="eastAsia" w:ascii="宋体" w:hAnsi="宋体" w:cs="宋体"/>
          <w:sz w:val="24"/>
        </w:rPr>
        <w:t>由法定代表人持本人身份证原件或授权委托代理人持本人身份证原件及授权委托书原件，同时携带质疑函（原件）和加盖单位公章的相关依据和证明材料，送至采购代理机构。</w:t>
      </w:r>
    </w:p>
    <w:p w14:paraId="6A9516F7">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受理质疑部门：</w:t>
      </w:r>
      <w:r>
        <w:rPr>
          <w:rFonts w:hint="eastAsia" w:ascii="宋体" w:hAnsi="宋体" w:cs="宋体"/>
          <w:sz w:val="24"/>
          <w:lang w:eastAsia="zh-CN"/>
        </w:rPr>
        <w:t>云南东臻工程项目管理有限公司</w:t>
      </w:r>
    </w:p>
    <w:p w14:paraId="2EFF6CE4">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联系电话：</w:t>
      </w:r>
      <w:r>
        <w:rPr>
          <w:rFonts w:ascii="宋体" w:hAnsi="宋体" w:cs="宋体"/>
          <w:sz w:val="24"/>
        </w:rPr>
        <w:t>087</w:t>
      </w:r>
      <w:r>
        <w:rPr>
          <w:rFonts w:hint="eastAsia" w:ascii="宋体" w:hAnsi="宋体" w:cs="宋体"/>
          <w:sz w:val="24"/>
          <w:lang w:val="en-US" w:eastAsia="zh-CN"/>
        </w:rPr>
        <w:t>8</w:t>
      </w:r>
      <w:r>
        <w:rPr>
          <w:rFonts w:ascii="宋体" w:hAnsi="宋体" w:cs="宋体"/>
          <w:sz w:val="24"/>
        </w:rPr>
        <w:t>-</w:t>
      </w:r>
      <w:r>
        <w:rPr>
          <w:rFonts w:hint="eastAsia" w:ascii="宋体" w:hAnsi="宋体" w:cs="宋体"/>
          <w:sz w:val="24"/>
          <w:lang w:val="en-US" w:eastAsia="zh-CN"/>
        </w:rPr>
        <w:t>8966058</w:t>
      </w:r>
    </w:p>
    <w:p w14:paraId="76A0467B">
      <w:pPr>
        <w:spacing w:line="360" w:lineRule="auto"/>
        <w:ind w:firstLine="480" w:firstLineChars="200"/>
        <w:rPr>
          <w:rFonts w:ascii="宋体" w:hAnsi="宋体" w:cs="宋体"/>
          <w:sz w:val="24"/>
        </w:rPr>
      </w:pPr>
      <w:r>
        <w:rPr>
          <w:rFonts w:hint="eastAsia" w:ascii="宋体" w:hAnsi="宋体" w:cs="宋体"/>
          <w:sz w:val="24"/>
        </w:rPr>
        <w:t>通讯地址：</w:t>
      </w:r>
      <w:r>
        <w:rPr>
          <w:rFonts w:hint="default" w:ascii="Times New Roman" w:hAnsi="Times New Roman" w:cs="Times New Roman"/>
          <w:color w:val="000000"/>
          <w:sz w:val="24"/>
          <w:szCs w:val="24"/>
        </w:rPr>
        <w:t>楚雄市高新区黎明路26号3楼</w:t>
      </w:r>
    </w:p>
    <w:p w14:paraId="76838D2F">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邮编：</w:t>
      </w:r>
      <w:r>
        <w:rPr>
          <w:rFonts w:ascii="宋体" w:hAnsi="宋体" w:cs="宋体"/>
          <w:sz w:val="24"/>
        </w:rPr>
        <w:t>6</w:t>
      </w:r>
      <w:r>
        <w:rPr>
          <w:rFonts w:hint="eastAsia" w:ascii="宋体" w:hAnsi="宋体" w:cs="宋体"/>
          <w:sz w:val="24"/>
          <w:lang w:val="en-US" w:eastAsia="zh-CN"/>
        </w:rPr>
        <w:t>75000</w:t>
      </w:r>
    </w:p>
    <w:p w14:paraId="3BCCF61F">
      <w:pPr>
        <w:spacing w:line="360" w:lineRule="auto"/>
        <w:rPr>
          <w:rFonts w:ascii="宋体" w:hAnsi="宋体" w:cs="宋体"/>
          <w:b/>
          <w:sz w:val="24"/>
        </w:rPr>
      </w:pPr>
      <w:bookmarkStart w:id="116" w:name="_Toc321836357"/>
      <w:r>
        <w:rPr>
          <w:rFonts w:hint="eastAsia" w:ascii="宋体" w:hAnsi="宋体" w:cs="宋体"/>
          <w:b/>
          <w:sz w:val="24"/>
        </w:rPr>
        <w:t>7、投诉</w:t>
      </w:r>
      <w:bookmarkEnd w:id="116"/>
    </w:p>
    <w:p w14:paraId="67A1E63D">
      <w:pPr>
        <w:spacing w:line="360" w:lineRule="auto"/>
        <w:ind w:firstLine="480" w:firstLineChars="200"/>
        <w:rPr>
          <w:rFonts w:ascii="宋体" w:hAnsi="宋体" w:cs="宋体"/>
          <w:sz w:val="24"/>
        </w:rPr>
      </w:pPr>
      <w:r>
        <w:rPr>
          <w:rFonts w:hint="eastAsia" w:ascii="宋体" w:hAnsi="宋体" w:cs="宋体"/>
          <w:sz w:val="24"/>
        </w:rPr>
        <w:t>当事人提出的投诉事项必须首先经过质疑程序。质疑人对采购人、采购代理机构的答复不满意，或者采购人、采购代理机构未在规定的时间内做出答复的，可以在答复期满后十五个工作日内书面向同级财政部门提出投诉。</w:t>
      </w:r>
    </w:p>
    <w:p w14:paraId="547CA674">
      <w:pPr>
        <w:pStyle w:val="3"/>
        <w:numPr>
          <w:ilvl w:val="1"/>
          <w:numId w:val="0"/>
        </w:numPr>
        <w:jc w:val="center"/>
        <w:rPr>
          <w:rFonts w:ascii="宋体" w:hAnsi="宋体" w:eastAsia="宋体" w:cs="宋体"/>
          <w:sz w:val="30"/>
          <w:szCs w:val="30"/>
        </w:rPr>
      </w:pPr>
      <w:bookmarkStart w:id="117" w:name="_Toc25908"/>
      <w:bookmarkStart w:id="118" w:name="_Toc7826"/>
      <w:bookmarkStart w:id="119" w:name="_Toc24277"/>
      <w:bookmarkStart w:id="120" w:name="_Toc373252447"/>
      <w:bookmarkStart w:id="121" w:name="_Toc5794"/>
      <w:bookmarkStart w:id="122" w:name="_Toc26890"/>
      <w:bookmarkStart w:id="123" w:name="_Toc8581"/>
      <w:bookmarkStart w:id="124" w:name="_Toc447720939"/>
      <w:bookmarkStart w:id="125" w:name="_Toc212648372"/>
      <w:r>
        <w:rPr>
          <w:rFonts w:hint="eastAsia" w:ascii="宋体" w:hAnsi="宋体" w:eastAsia="宋体" w:cs="宋体"/>
          <w:sz w:val="30"/>
          <w:szCs w:val="30"/>
        </w:rPr>
        <w:t>二、招标文件</w:t>
      </w:r>
      <w:bookmarkEnd w:id="117"/>
      <w:bookmarkEnd w:id="118"/>
      <w:bookmarkEnd w:id="119"/>
      <w:bookmarkEnd w:id="120"/>
      <w:bookmarkEnd w:id="121"/>
      <w:bookmarkEnd w:id="122"/>
      <w:bookmarkEnd w:id="123"/>
      <w:bookmarkEnd w:id="124"/>
      <w:bookmarkEnd w:id="125"/>
    </w:p>
    <w:p w14:paraId="6C3474E2">
      <w:pPr>
        <w:spacing w:line="360" w:lineRule="auto"/>
        <w:rPr>
          <w:rFonts w:ascii="宋体" w:hAnsi="宋体" w:cs="宋体"/>
          <w:b/>
          <w:sz w:val="24"/>
        </w:rPr>
      </w:pPr>
      <w:r>
        <w:rPr>
          <w:rFonts w:hint="eastAsia" w:ascii="宋体" w:hAnsi="宋体" w:cs="宋体"/>
          <w:b/>
          <w:sz w:val="24"/>
        </w:rPr>
        <w:t>8、招标文件构成</w:t>
      </w:r>
    </w:p>
    <w:p w14:paraId="2213397A">
      <w:pPr>
        <w:spacing w:line="360" w:lineRule="auto"/>
        <w:jc w:val="left"/>
        <w:rPr>
          <w:rFonts w:ascii="宋体" w:hAnsi="宋体" w:cs="宋体"/>
          <w:sz w:val="24"/>
        </w:rPr>
      </w:pPr>
      <w:r>
        <w:rPr>
          <w:rFonts w:hint="eastAsia" w:ascii="宋体" w:hAnsi="宋体" w:cs="宋体"/>
          <w:sz w:val="24"/>
        </w:rPr>
        <w:t>8.1要求提供的货物（或服务）、采购过程及合同条款在招标文件中均有说明，招标文件共六章，各章的内容如下：</w:t>
      </w:r>
    </w:p>
    <w:p w14:paraId="12FD5938">
      <w:pPr>
        <w:spacing w:line="360" w:lineRule="auto"/>
        <w:ind w:firstLine="480" w:firstLineChars="200"/>
        <w:jc w:val="left"/>
        <w:rPr>
          <w:rFonts w:ascii="宋体" w:hAnsi="宋体" w:cs="宋体"/>
          <w:sz w:val="24"/>
        </w:rPr>
      </w:pPr>
      <w:r>
        <w:rPr>
          <w:rFonts w:hint="eastAsia" w:ascii="宋体" w:hAnsi="宋体" w:cs="宋体"/>
          <w:sz w:val="24"/>
          <w:lang w:val="zh-TW"/>
        </w:rPr>
        <w:t xml:space="preserve">第一章  </w:t>
      </w:r>
      <w:r>
        <w:rPr>
          <w:rFonts w:hint="eastAsia" w:ascii="宋体" w:hAnsi="宋体" w:cs="宋体"/>
          <w:sz w:val="24"/>
        </w:rPr>
        <w:t>招标公告</w:t>
      </w:r>
    </w:p>
    <w:p w14:paraId="1C82D6B2">
      <w:pPr>
        <w:pStyle w:val="10"/>
        <w:spacing w:line="360" w:lineRule="auto"/>
        <w:ind w:firstLine="480"/>
        <w:rPr>
          <w:rFonts w:hAnsi="宋体" w:cs="宋体"/>
          <w:kern w:val="2"/>
          <w:sz w:val="24"/>
          <w:szCs w:val="24"/>
          <w:lang w:val="zh-TW"/>
        </w:rPr>
      </w:pPr>
      <w:r>
        <w:rPr>
          <w:rFonts w:hint="eastAsia" w:hAnsi="宋体" w:cs="宋体"/>
          <w:kern w:val="2"/>
          <w:sz w:val="24"/>
          <w:szCs w:val="24"/>
          <w:lang w:val="zh-TW"/>
        </w:rPr>
        <w:t>第二章  投标人须知</w:t>
      </w:r>
    </w:p>
    <w:p w14:paraId="14C5FC09">
      <w:pPr>
        <w:pStyle w:val="10"/>
        <w:spacing w:line="360" w:lineRule="auto"/>
        <w:ind w:firstLine="480"/>
        <w:rPr>
          <w:rFonts w:hAnsi="宋体" w:cs="宋体"/>
          <w:kern w:val="2"/>
          <w:sz w:val="24"/>
          <w:szCs w:val="24"/>
          <w:lang w:val="zh-TW"/>
        </w:rPr>
      </w:pPr>
      <w:r>
        <w:rPr>
          <w:rFonts w:hint="eastAsia" w:hAnsi="宋体" w:cs="宋体"/>
          <w:kern w:val="2"/>
          <w:sz w:val="24"/>
          <w:szCs w:val="24"/>
          <w:lang w:val="zh-TW"/>
        </w:rPr>
        <w:t>第三章  合同书样式及主要条款</w:t>
      </w:r>
    </w:p>
    <w:p w14:paraId="0488BF52">
      <w:pPr>
        <w:pStyle w:val="10"/>
        <w:spacing w:line="360" w:lineRule="auto"/>
        <w:ind w:firstLine="480"/>
        <w:rPr>
          <w:rFonts w:hAnsi="宋体" w:cs="宋体"/>
          <w:kern w:val="2"/>
          <w:sz w:val="24"/>
          <w:szCs w:val="24"/>
          <w:lang w:val="zh-TW"/>
        </w:rPr>
      </w:pPr>
      <w:r>
        <w:rPr>
          <w:rFonts w:hint="eastAsia" w:hAnsi="宋体" w:cs="宋体"/>
          <w:kern w:val="2"/>
          <w:sz w:val="24"/>
          <w:szCs w:val="24"/>
          <w:lang w:val="zh-TW"/>
        </w:rPr>
        <w:t>第四章  投标文件格式</w:t>
      </w:r>
    </w:p>
    <w:p w14:paraId="54087AE4">
      <w:pPr>
        <w:pStyle w:val="10"/>
        <w:spacing w:line="360" w:lineRule="auto"/>
        <w:ind w:firstLine="480"/>
        <w:rPr>
          <w:rFonts w:hAnsi="宋体" w:cs="宋体"/>
          <w:kern w:val="2"/>
          <w:sz w:val="24"/>
          <w:szCs w:val="24"/>
          <w:lang w:val="zh-TW"/>
        </w:rPr>
      </w:pPr>
      <w:r>
        <w:rPr>
          <w:rFonts w:hint="eastAsia" w:hAnsi="宋体" w:cs="宋体"/>
          <w:kern w:val="2"/>
          <w:sz w:val="24"/>
          <w:szCs w:val="24"/>
          <w:lang w:val="zh-TW"/>
        </w:rPr>
        <w:t>第五章  采购需求</w:t>
      </w:r>
    </w:p>
    <w:p w14:paraId="718C527D">
      <w:pPr>
        <w:pStyle w:val="10"/>
        <w:spacing w:line="360" w:lineRule="auto"/>
        <w:ind w:firstLine="480" w:firstLineChars="200"/>
        <w:rPr>
          <w:rFonts w:hAnsi="宋体" w:cs="宋体"/>
          <w:kern w:val="2"/>
          <w:sz w:val="24"/>
          <w:szCs w:val="24"/>
          <w:lang w:val="zh-TW"/>
        </w:rPr>
      </w:pPr>
      <w:r>
        <w:rPr>
          <w:rFonts w:hint="eastAsia" w:hAnsi="宋体" w:cs="宋体"/>
          <w:kern w:val="2"/>
          <w:sz w:val="24"/>
          <w:szCs w:val="24"/>
          <w:lang w:val="zh-TW"/>
        </w:rPr>
        <w:t>第六章  评标方法</w:t>
      </w:r>
    </w:p>
    <w:p w14:paraId="21E3A368">
      <w:pPr>
        <w:pStyle w:val="10"/>
        <w:spacing w:line="360" w:lineRule="auto"/>
        <w:rPr>
          <w:rFonts w:hAnsi="宋体" w:cs="宋体"/>
          <w:b/>
          <w:bCs/>
          <w:sz w:val="24"/>
          <w:szCs w:val="24"/>
        </w:rPr>
      </w:pPr>
      <w:r>
        <w:rPr>
          <w:rFonts w:hint="eastAsia" w:hAnsi="宋体" w:cs="宋体"/>
          <w:b/>
          <w:bCs/>
          <w:sz w:val="24"/>
          <w:szCs w:val="24"/>
        </w:rPr>
        <w:t>9、招标文件的澄清</w:t>
      </w:r>
    </w:p>
    <w:p w14:paraId="326F3719">
      <w:pPr>
        <w:wordWrap w:val="0"/>
        <w:spacing w:line="360" w:lineRule="auto"/>
        <w:jc w:val="left"/>
        <w:rPr>
          <w:rFonts w:ascii="宋体" w:hAnsi="宋体" w:cs="宋体"/>
          <w:sz w:val="24"/>
        </w:rPr>
      </w:pPr>
      <w:r>
        <w:rPr>
          <w:rFonts w:hint="eastAsia" w:ascii="宋体" w:hAnsi="宋体" w:cs="宋体"/>
          <w:sz w:val="24"/>
        </w:rPr>
        <w:t>9.1投标人应认真核查招标文件，如有疑问的，投标人可以在“</w:t>
      </w:r>
      <w:r>
        <w:rPr>
          <w:rFonts w:hint="eastAsia" w:ascii="宋体" w:hAnsi="宋体" w:cs="宋体"/>
          <w:b/>
          <w:bCs/>
          <w:sz w:val="24"/>
        </w:rPr>
        <w:t>投标人须知前附表</w:t>
      </w:r>
      <w:r>
        <w:rPr>
          <w:rFonts w:hint="eastAsia" w:ascii="宋体" w:hAnsi="宋体" w:cs="宋体"/>
          <w:sz w:val="24"/>
        </w:rPr>
        <w:t>”规定截止时间前要求采购人澄清，截止时间后送达的澄清要求不予接受。</w:t>
      </w:r>
      <w:r>
        <w:rPr>
          <w:rFonts w:hint="eastAsia" w:ascii="宋体" w:hAnsi="宋体" w:cs="宋体"/>
          <w:sz w:val="24"/>
          <w:lang w:val="zh-TW"/>
        </w:rPr>
        <w:t>所有获取了招标文件的潜在投标人凭企业数字证书（</w:t>
      </w:r>
      <w:r>
        <w:rPr>
          <w:rFonts w:hint="eastAsia" w:ascii="宋体" w:hAnsi="宋体" w:cs="宋体"/>
          <w:sz w:val="24"/>
        </w:rPr>
        <w:t>CA)</w:t>
      </w:r>
      <w:r>
        <w:rPr>
          <w:rFonts w:hint="eastAsia" w:ascii="宋体" w:hAnsi="宋体" w:cs="宋体"/>
          <w:sz w:val="24"/>
          <w:lang w:val="zh-TW"/>
        </w:rPr>
        <w:t>登录政采云平台（https://www.zcygov.cn/），通过网络在线方式进行提问，采购人或采购代理机构对澄清截止时间前收到的任何澄清要求，通过网络在线方式答疑，提交政采云平台（https://www.zcygov.cn/）统一通过网络向潜在投标人发布，且投标人不须回函确认，所有获取了招标文件的潜在投标人登录政采云平台（https://www.zcygov.cn/）凭企业身份认证数字证书（</w:t>
      </w:r>
      <w:r>
        <w:rPr>
          <w:rFonts w:hint="eastAsia" w:ascii="宋体" w:hAnsi="宋体" w:cs="宋体"/>
          <w:sz w:val="24"/>
        </w:rPr>
        <w:t>CA)</w:t>
      </w:r>
      <w:r>
        <w:rPr>
          <w:rFonts w:hint="eastAsia" w:ascii="宋体" w:hAnsi="宋体" w:cs="宋体"/>
          <w:sz w:val="24"/>
          <w:lang w:val="zh-TW"/>
        </w:rPr>
        <w:t>查看内容。超过澄清截止时间不再接受澄清要求。</w:t>
      </w:r>
    </w:p>
    <w:p w14:paraId="60ED5D50">
      <w:pPr>
        <w:pStyle w:val="10"/>
        <w:spacing w:line="360" w:lineRule="auto"/>
        <w:rPr>
          <w:rFonts w:hAnsi="宋体" w:cs="宋体"/>
          <w:b/>
          <w:bCs/>
          <w:sz w:val="24"/>
          <w:szCs w:val="24"/>
        </w:rPr>
      </w:pPr>
      <w:r>
        <w:rPr>
          <w:rFonts w:hint="eastAsia" w:hAnsi="宋体" w:cs="宋体"/>
          <w:b/>
          <w:bCs/>
          <w:sz w:val="24"/>
          <w:szCs w:val="24"/>
        </w:rPr>
        <w:t>10、招标文件的澄清或者修改</w:t>
      </w:r>
    </w:p>
    <w:p w14:paraId="0CFB918F">
      <w:pPr>
        <w:spacing w:line="360" w:lineRule="auto"/>
        <w:jc w:val="left"/>
        <w:rPr>
          <w:rFonts w:ascii="宋体" w:hAnsi="宋体" w:cs="宋体"/>
          <w:sz w:val="24"/>
        </w:rPr>
      </w:pPr>
      <w:r>
        <w:rPr>
          <w:rFonts w:hint="eastAsia" w:ascii="宋体" w:hAnsi="宋体" w:cs="宋体"/>
          <w:sz w:val="24"/>
        </w:rPr>
        <w:t>10.1采购代理机构对已发出的招标文件进行必要澄清或者修改的，于招标文件要求提交投标文件截止时间十五日前，在财政部门指定的政府采购信息发布媒体上发布更正公告，主要以云南省政府釆购网及</w:t>
      </w:r>
      <w:r>
        <w:rPr>
          <w:rFonts w:hint="eastAsia" w:ascii="宋体" w:hAnsi="宋体" w:cs="宋体"/>
          <w:sz w:val="24"/>
          <w:lang w:val="zh-TW"/>
        </w:rPr>
        <w:t>政采云平台（https://www.zcygov.cn/）</w:t>
      </w:r>
      <w:r>
        <w:rPr>
          <w:rFonts w:hint="eastAsia" w:ascii="宋体" w:hAnsi="宋体" w:cs="宋体"/>
          <w:sz w:val="24"/>
        </w:rPr>
        <w:t>发布公告的形式告知，作为招标文件的完整组成部分。敬请所有获得招标文件的投标人密切关注。</w:t>
      </w:r>
    </w:p>
    <w:p w14:paraId="34AD4150">
      <w:pPr>
        <w:spacing w:line="360" w:lineRule="auto"/>
        <w:jc w:val="left"/>
        <w:rPr>
          <w:rFonts w:ascii="宋体" w:hAnsi="宋体" w:cs="宋体"/>
          <w:szCs w:val="21"/>
        </w:rPr>
      </w:pPr>
      <w:r>
        <w:rPr>
          <w:rFonts w:hint="eastAsia" w:ascii="宋体" w:hAnsi="宋体" w:cs="宋体"/>
          <w:sz w:val="24"/>
        </w:rPr>
        <w:t>10.2采购代理机构和采购单位可以视采购具体情况，延长投标截止时间和开标时间，但至少在招标文件要求提交投标文件的截止时间三日前，将变更时间书面通知所有购买招标文件的投标人，并在财政部门指定的政府采购信息发布媒体上发布变更公告。</w:t>
      </w:r>
    </w:p>
    <w:p w14:paraId="2A865EE3">
      <w:pPr>
        <w:pStyle w:val="3"/>
        <w:numPr>
          <w:ilvl w:val="1"/>
          <w:numId w:val="0"/>
        </w:numPr>
        <w:jc w:val="center"/>
        <w:rPr>
          <w:rFonts w:ascii="宋体" w:hAnsi="宋体" w:eastAsia="宋体" w:cs="宋体"/>
          <w:sz w:val="30"/>
          <w:szCs w:val="30"/>
        </w:rPr>
      </w:pPr>
      <w:bookmarkStart w:id="126" w:name="_Toc26931"/>
      <w:bookmarkStart w:id="127" w:name="_Toc212648373"/>
      <w:bookmarkStart w:id="128" w:name="_Toc32087"/>
      <w:bookmarkStart w:id="129" w:name="_Toc16291"/>
      <w:bookmarkStart w:id="130" w:name="_Toc15810"/>
      <w:bookmarkStart w:id="131" w:name="_Toc447720940"/>
      <w:bookmarkStart w:id="132" w:name="_Toc13420"/>
      <w:bookmarkStart w:id="133" w:name="_Toc373252448"/>
      <w:bookmarkStart w:id="134" w:name="_Toc5756"/>
      <w:r>
        <w:rPr>
          <w:rFonts w:hint="eastAsia" w:ascii="宋体" w:hAnsi="宋体" w:eastAsia="宋体" w:cs="宋体"/>
          <w:sz w:val="30"/>
          <w:szCs w:val="30"/>
        </w:rPr>
        <w:t>三、投标文件</w:t>
      </w:r>
      <w:bookmarkEnd w:id="126"/>
      <w:bookmarkEnd w:id="127"/>
      <w:bookmarkEnd w:id="128"/>
      <w:bookmarkEnd w:id="129"/>
      <w:bookmarkEnd w:id="130"/>
      <w:bookmarkEnd w:id="131"/>
      <w:bookmarkEnd w:id="132"/>
      <w:bookmarkEnd w:id="133"/>
      <w:bookmarkEnd w:id="134"/>
    </w:p>
    <w:p w14:paraId="48B2378F">
      <w:pPr>
        <w:spacing w:line="360" w:lineRule="auto"/>
        <w:jc w:val="left"/>
        <w:rPr>
          <w:rFonts w:ascii="宋体" w:hAnsi="宋体" w:cs="宋体"/>
          <w:b/>
          <w:sz w:val="24"/>
        </w:rPr>
      </w:pPr>
      <w:r>
        <w:rPr>
          <w:rFonts w:hint="eastAsia" w:ascii="宋体" w:hAnsi="宋体" w:cs="宋体"/>
          <w:b/>
          <w:sz w:val="24"/>
        </w:rPr>
        <w:t>11、投标文件编写注意事项</w:t>
      </w:r>
    </w:p>
    <w:p w14:paraId="4CC4F5DD">
      <w:pPr>
        <w:spacing w:line="360" w:lineRule="auto"/>
        <w:jc w:val="left"/>
        <w:rPr>
          <w:rFonts w:ascii="宋体" w:hAnsi="宋体" w:cs="宋体"/>
          <w:sz w:val="24"/>
        </w:rPr>
      </w:pPr>
      <w:r>
        <w:rPr>
          <w:rFonts w:hint="eastAsia" w:ascii="宋体" w:hAnsi="宋体" w:cs="宋体"/>
          <w:sz w:val="24"/>
        </w:rPr>
        <w:t>11.1投标人应仔细阅读招标文件，在完全了解采购的内容、技术性能要求(详见“</w:t>
      </w:r>
      <w:r>
        <w:rPr>
          <w:rFonts w:hint="eastAsia" w:ascii="宋体" w:hAnsi="宋体" w:cs="宋体"/>
          <w:b/>
          <w:sz w:val="24"/>
        </w:rPr>
        <w:t>采购需求”</w:t>
      </w:r>
      <w:r>
        <w:rPr>
          <w:rFonts w:hint="eastAsia" w:ascii="宋体" w:hAnsi="宋体" w:cs="宋体"/>
          <w:sz w:val="24"/>
        </w:rPr>
        <w:t>)和商务条件后，编写投标文件。投标文件必须响应招标文件的实质性要求和条件。</w:t>
      </w:r>
    </w:p>
    <w:p w14:paraId="04DA149F">
      <w:pPr>
        <w:spacing w:line="360" w:lineRule="auto"/>
        <w:jc w:val="left"/>
        <w:rPr>
          <w:rFonts w:ascii="宋体" w:hAnsi="宋体" w:cs="宋体"/>
          <w:sz w:val="24"/>
        </w:rPr>
      </w:pPr>
      <w:r>
        <w:rPr>
          <w:rFonts w:hint="eastAsia" w:ascii="宋体" w:hAnsi="宋体" w:cs="宋体"/>
          <w:sz w:val="24"/>
        </w:rPr>
        <w:t>11.2 对招标文件提出的实质性要求和条件作出响应是指：投标人必须对招标文件中的实质性要求和条件的内容作出满足或者优于原要求和条件的承诺，并提供相应的证明材料。</w:t>
      </w:r>
    </w:p>
    <w:p w14:paraId="12877150">
      <w:pPr>
        <w:spacing w:line="360" w:lineRule="auto"/>
        <w:jc w:val="left"/>
        <w:rPr>
          <w:rFonts w:ascii="宋体" w:hAnsi="宋体" w:cs="宋体"/>
          <w:b/>
          <w:sz w:val="24"/>
        </w:rPr>
      </w:pPr>
      <w:r>
        <w:rPr>
          <w:rFonts w:hint="eastAsia" w:ascii="宋体" w:hAnsi="宋体" w:cs="宋体"/>
          <w:b/>
          <w:sz w:val="24"/>
        </w:rPr>
        <w:t>12、投标的语言及计量单位</w:t>
      </w:r>
    </w:p>
    <w:p w14:paraId="31D9BC6E">
      <w:pPr>
        <w:spacing w:line="360" w:lineRule="auto"/>
        <w:jc w:val="left"/>
        <w:rPr>
          <w:rFonts w:ascii="宋体" w:hAnsi="宋体" w:cs="宋体"/>
          <w:sz w:val="24"/>
        </w:rPr>
      </w:pPr>
      <w:r>
        <w:rPr>
          <w:rFonts w:hint="eastAsia" w:ascii="宋体" w:hAnsi="宋体" w:cs="宋体"/>
          <w:sz w:val="24"/>
        </w:rPr>
        <w:t>12.1投标人的投标文件以及投标人与采购代理机构就有关投标的所有来往函电统一使用中文（特别规定除外）。</w:t>
      </w:r>
    </w:p>
    <w:p w14:paraId="53CA765E">
      <w:pPr>
        <w:spacing w:line="360" w:lineRule="auto"/>
        <w:jc w:val="left"/>
        <w:rPr>
          <w:rFonts w:ascii="宋体" w:hAnsi="宋体" w:cs="宋体"/>
          <w:sz w:val="24"/>
        </w:rPr>
      </w:pPr>
      <w:r>
        <w:rPr>
          <w:rFonts w:hint="eastAsia" w:ascii="宋体" w:hAnsi="宋体" w:cs="宋体"/>
          <w:sz w:val="24"/>
        </w:rPr>
        <w:t>12.2投标文件中使用的计量单位除招标文件中有特殊规定外，一律使用中国法定计量单位。</w:t>
      </w:r>
    </w:p>
    <w:p w14:paraId="35422078">
      <w:pPr>
        <w:spacing w:line="360" w:lineRule="auto"/>
        <w:jc w:val="left"/>
        <w:rPr>
          <w:rFonts w:ascii="宋体" w:hAnsi="宋体" w:cs="宋体"/>
          <w:b/>
          <w:sz w:val="24"/>
        </w:rPr>
      </w:pPr>
      <w:r>
        <w:rPr>
          <w:rFonts w:hint="eastAsia" w:ascii="宋体" w:hAnsi="宋体" w:cs="宋体"/>
          <w:b/>
          <w:sz w:val="24"/>
        </w:rPr>
        <w:t>13、投标文件构成</w:t>
      </w:r>
    </w:p>
    <w:p w14:paraId="51D585A9">
      <w:pPr>
        <w:spacing w:line="360" w:lineRule="auto"/>
        <w:jc w:val="left"/>
        <w:rPr>
          <w:rFonts w:ascii="宋体" w:hAnsi="宋体" w:cs="宋体"/>
          <w:sz w:val="24"/>
        </w:rPr>
      </w:pPr>
      <w:r>
        <w:rPr>
          <w:rFonts w:hint="eastAsia" w:ascii="宋体" w:hAnsi="宋体" w:cs="宋体"/>
          <w:sz w:val="24"/>
        </w:rPr>
        <w:t>13.1投标人编写的投标文件按第四章“投标文件格式”要求填写，构成投标文件的其他资料见投标人须知前附表。</w:t>
      </w:r>
    </w:p>
    <w:p w14:paraId="0ACA1520">
      <w:pPr>
        <w:spacing w:line="360" w:lineRule="auto"/>
        <w:jc w:val="left"/>
        <w:rPr>
          <w:rFonts w:ascii="宋体" w:hAnsi="宋体" w:cs="宋体"/>
          <w:b/>
          <w:sz w:val="24"/>
        </w:rPr>
      </w:pPr>
      <w:r>
        <w:rPr>
          <w:rFonts w:hint="eastAsia" w:ascii="宋体" w:hAnsi="宋体" w:cs="宋体"/>
          <w:b/>
          <w:sz w:val="24"/>
        </w:rPr>
        <w:t>14、投标文件的格式要求</w:t>
      </w:r>
    </w:p>
    <w:p w14:paraId="7179F3B5">
      <w:pPr>
        <w:pStyle w:val="10"/>
        <w:tabs>
          <w:tab w:val="left" w:pos="3030"/>
        </w:tabs>
        <w:spacing w:line="360" w:lineRule="auto"/>
        <w:rPr>
          <w:rFonts w:hAnsi="宋体" w:cs="宋体"/>
          <w:bCs/>
          <w:sz w:val="24"/>
          <w:szCs w:val="24"/>
        </w:rPr>
      </w:pPr>
      <w:r>
        <w:rPr>
          <w:rFonts w:hint="eastAsia" w:hAnsi="宋体" w:cs="宋体"/>
          <w:sz w:val="24"/>
          <w:szCs w:val="24"/>
        </w:rPr>
        <w:t>14.1投标人应按第四章“</w:t>
      </w:r>
      <w:r>
        <w:rPr>
          <w:rFonts w:hint="eastAsia" w:hAnsi="宋体" w:cs="宋体"/>
          <w:b/>
          <w:sz w:val="24"/>
          <w:szCs w:val="24"/>
        </w:rPr>
        <w:t>投标文件格式</w:t>
      </w:r>
      <w:r>
        <w:rPr>
          <w:rFonts w:hint="eastAsia" w:hAnsi="宋体" w:cs="宋体"/>
          <w:sz w:val="24"/>
          <w:szCs w:val="24"/>
        </w:rPr>
        <w:t>”提供的格式完整地填写。</w:t>
      </w:r>
    </w:p>
    <w:p w14:paraId="1E209FD4">
      <w:pPr>
        <w:spacing w:line="360" w:lineRule="auto"/>
        <w:jc w:val="left"/>
        <w:rPr>
          <w:rFonts w:ascii="宋体" w:hAnsi="宋体" w:cs="宋体"/>
          <w:b/>
          <w:sz w:val="24"/>
        </w:rPr>
      </w:pPr>
      <w:r>
        <w:rPr>
          <w:rFonts w:hint="eastAsia" w:ascii="宋体" w:hAnsi="宋体" w:cs="宋体"/>
          <w:b/>
          <w:sz w:val="24"/>
        </w:rPr>
        <w:t>15、投标报价</w:t>
      </w:r>
    </w:p>
    <w:p w14:paraId="37BE6ABD">
      <w:pPr>
        <w:spacing w:line="360" w:lineRule="auto"/>
        <w:jc w:val="left"/>
        <w:rPr>
          <w:rFonts w:ascii="宋体" w:hAnsi="宋体" w:cs="宋体"/>
          <w:sz w:val="24"/>
        </w:rPr>
      </w:pPr>
      <w:r>
        <w:rPr>
          <w:rFonts w:hint="eastAsia" w:ascii="宋体" w:hAnsi="宋体" w:cs="宋体"/>
          <w:sz w:val="24"/>
        </w:rPr>
        <w:t>15.1投标人须就“采购需求”中的所投包内容作完整唯一报价。</w:t>
      </w:r>
    </w:p>
    <w:p w14:paraId="2E6F1A3F">
      <w:pPr>
        <w:spacing w:line="360" w:lineRule="auto"/>
        <w:jc w:val="left"/>
        <w:rPr>
          <w:rFonts w:ascii="宋体" w:hAnsi="宋体" w:cs="宋体"/>
          <w:sz w:val="24"/>
        </w:rPr>
      </w:pPr>
      <w:r>
        <w:rPr>
          <w:rFonts w:hint="eastAsia" w:ascii="宋体" w:hAnsi="宋体" w:cs="宋体"/>
          <w:sz w:val="24"/>
        </w:rPr>
        <w:t>15.2投标报价包含但不限于完成项目需要的货款、运输费、包装费、加工费、配合验收的费用和各项税金等一切费用；如果投标人在中标并签署合同后，在工作中出现的任何遗漏，均由中标人免费提供，采购人不再支付任何费用，该报价应考虑市场风险、政策性风险、汇率风险等因素，并能保证投标人完成履行合同所需的全部工作，此价格在合同签订后将不作调整。</w:t>
      </w:r>
    </w:p>
    <w:p w14:paraId="7CCDEBA4">
      <w:pPr>
        <w:spacing w:line="360" w:lineRule="auto"/>
        <w:jc w:val="left"/>
        <w:rPr>
          <w:rFonts w:ascii="宋体" w:hAnsi="宋体" w:cs="宋体"/>
          <w:sz w:val="24"/>
        </w:rPr>
      </w:pPr>
      <w:r>
        <w:rPr>
          <w:rFonts w:hint="eastAsia" w:ascii="宋体" w:hAnsi="宋体" w:cs="宋体"/>
          <w:sz w:val="24"/>
        </w:rPr>
        <w:t>15.3投标人不得哄抬报价，也不应低于成本价报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D1B323">
      <w:pPr>
        <w:spacing w:line="360" w:lineRule="auto"/>
        <w:jc w:val="left"/>
        <w:rPr>
          <w:rFonts w:ascii="宋体" w:hAnsi="宋体" w:cs="宋体"/>
          <w:sz w:val="24"/>
        </w:rPr>
      </w:pPr>
      <w:r>
        <w:rPr>
          <w:rFonts w:hint="eastAsia" w:ascii="宋体" w:hAnsi="宋体" w:cs="宋体"/>
          <w:sz w:val="24"/>
        </w:rPr>
        <w:t>▲</w:t>
      </w:r>
      <w:r>
        <w:rPr>
          <w:rFonts w:hint="eastAsia" w:ascii="宋体" w:hAnsi="宋体" w:cs="宋体"/>
          <w:b/>
          <w:bCs/>
          <w:sz w:val="24"/>
        </w:rPr>
        <w:t>15.4</w:t>
      </w:r>
      <w:r>
        <w:rPr>
          <w:rFonts w:hint="eastAsia" w:ascii="宋体" w:hAnsi="宋体" w:cs="宋体"/>
          <w:b/>
          <w:sz w:val="24"/>
        </w:rPr>
        <w:t>若投标人的投标报价超过采购预算或最高限价，按不实质性响应招标文件要求，其投标无效。</w:t>
      </w:r>
    </w:p>
    <w:p w14:paraId="4B7B4304">
      <w:pPr>
        <w:spacing w:line="360" w:lineRule="auto"/>
        <w:jc w:val="left"/>
        <w:rPr>
          <w:rFonts w:ascii="宋体" w:hAnsi="宋体" w:cs="宋体"/>
          <w:b/>
          <w:sz w:val="24"/>
        </w:rPr>
      </w:pPr>
      <w:r>
        <w:rPr>
          <w:rFonts w:hint="eastAsia" w:ascii="宋体" w:hAnsi="宋体" w:cs="宋体"/>
          <w:b/>
          <w:sz w:val="24"/>
        </w:rPr>
        <w:t>16、投标货币</w:t>
      </w:r>
    </w:p>
    <w:p w14:paraId="0F9F1700">
      <w:pPr>
        <w:pStyle w:val="10"/>
        <w:spacing w:line="360" w:lineRule="auto"/>
        <w:rPr>
          <w:rFonts w:hAnsi="宋体" w:cs="宋体"/>
          <w:bCs/>
          <w:sz w:val="24"/>
          <w:szCs w:val="24"/>
        </w:rPr>
      </w:pPr>
      <w:r>
        <w:rPr>
          <w:rFonts w:hint="eastAsia" w:hAnsi="宋体" w:cs="宋体"/>
          <w:sz w:val="24"/>
          <w:szCs w:val="24"/>
        </w:rPr>
        <w:t>16.1投标以人民币报价。</w:t>
      </w:r>
    </w:p>
    <w:p w14:paraId="0E24BA81">
      <w:pPr>
        <w:spacing w:line="360" w:lineRule="auto"/>
        <w:jc w:val="left"/>
        <w:rPr>
          <w:rFonts w:ascii="宋体" w:hAnsi="宋体" w:cs="宋体"/>
          <w:b/>
          <w:sz w:val="24"/>
        </w:rPr>
      </w:pPr>
      <w:r>
        <w:rPr>
          <w:rFonts w:hint="eastAsia" w:ascii="宋体" w:hAnsi="宋体" w:cs="宋体"/>
          <w:b/>
          <w:sz w:val="24"/>
        </w:rPr>
        <w:t>17、投标文件有效期</w:t>
      </w:r>
    </w:p>
    <w:p w14:paraId="235CE1B2">
      <w:pPr>
        <w:spacing w:line="360" w:lineRule="auto"/>
        <w:jc w:val="left"/>
        <w:rPr>
          <w:rFonts w:ascii="宋体" w:hAnsi="宋体" w:cs="宋体"/>
          <w:sz w:val="24"/>
        </w:rPr>
      </w:pPr>
      <w:r>
        <w:rPr>
          <w:rFonts w:hint="eastAsia" w:ascii="宋体" w:hAnsi="宋体" w:cs="宋体"/>
          <w:sz w:val="24"/>
        </w:rPr>
        <w:t>17.1在“</w:t>
      </w:r>
      <w:r>
        <w:rPr>
          <w:rFonts w:hint="eastAsia" w:ascii="宋体" w:hAnsi="宋体" w:cs="宋体"/>
          <w:b/>
          <w:sz w:val="24"/>
        </w:rPr>
        <w:t>投标人须知前附表</w:t>
      </w:r>
      <w:r>
        <w:rPr>
          <w:rFonts w:hint="eastAsia" w:ascii="宋体" w:hAnsi="宋体" w:cs="宋体"/>
          <w:sz w:val="24"/>
        </w:rPr>
        <w:t>”规定的投标有效期内，投标人不得要求撤销或修改其投标文件。</w:t>
      </w:r>
    </w:p>
    <w:p w14:paraId="11B89971">
      <w:pPr>
        <w:spacing w:line="360" w:lineRule="auto"/>
        <w:jc w:val="left"/>
        <w:rPr>
          <w:rFonts w:ascii="宋体" w:hAnsi="宋体" w:cs="宋体"/>
          <w:sz w:val="24"/>
        </w:rPr>
      </w:pPr>
      <w:r>
        <w:rPr>
          <w:rFonts w:hint="eastAsia" w:ascii="宋体" w:hAnsi="宋体" w:cs="宋体"/>
          <w:sz w:val="24"/>
        </w:rPr>
        <w:t>17.2在特殊情况需要延长投标有效期的，采购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65C42C9B">
      <w:pPr>
        <w:spacing w:line="360" w:lineRule="auto"/>
        <w:jc w:val="left"/>
        <w:rPr>
          <w:rFonts w:ascii="宋体" w:hAnsi="宋体" w:cs="宋体"/>
          <w:sz w:val="24"/>
        </w:rPr>
      </w:pPr>
      <w:r>
        <w:rPr>
          <w:rFonts w:hint="eastAsia" w:ascii="宋体" w:hAnsi="宋体" w:cs="宋体"/>
          <w:sz w:val="24"/>
        </w:rPr>
        <w:t>17.3投标文件中承诺的投标有效期应当不少于招标文件中载明的投标有效期。</w:t>
      </w:r>
    </w:p>
    <w:p w14:paraId="1D198334">
      <w:pPr>
        <w:spacing w:line="360" w:lineRule="auto"/>
        <w:jc w:val="left"/>
        <w:rPr>
          <w:rFonts w:hint="eastAsia" w:ascii="宋体" w:hAnsi="宋体" w:eastAsia="宋体" w:cs="宋体"/>
          <w:b/>
          <w:sz w:val="24"/>
          <w:lang w:eastAsia="zh-CN"/>
        </w:rPr>
      </w:pPr>
      <w:r>
        <w:rPr>
          <w:rFonts w:hint="eastAsia" w:ascii="宋体" w:hAnsi="宋体" w:cs="宋体"/>
          <w:b/>
          <w:sz w:val="24"/>
        </w:rPr>
        <w:t>18、投标保证金</w:t>
      </w:r>
      <w:r>
        <w:rPr>
          <w:rFonts w:hint="eastAsia" w:ascii="宋体" w:hAnsi="宋体" w:cs="宋体"/>
          <w:b/>
          <w:sz w:val="24"/>
          <w:lang w:eastAsia="zh-CN"/>
        </w:rPr>
        <w:t>（</w:t>
      </w:r>
      <w:r>
        <w:rPr>
          <w:rFonts w:hint="eastAsia" w:ascii="宋体" w:hAnsi="宋体" w:cs="宋体"/>
          <w:b/>
          <w:sz w:val="24"/>
        </w:rPr>
        <w:t>本项目不要求</w:t>
      </w:r>
      <w:r>
        <w:rPr>
          <w:rFonts w:hint="eastAsia" w:ascii="宋体" w:hAnsi="宋体" w:cs="宋体"/>
          <w:b/>
          <w:sz w:val="24"/>
          <w:lang w:eastAsia="zh-CN"/>
        </w:rPr>
        <w:t>）</w:t>
      </w:r>
    </w:p>
    <w:p w14:paraId="4D7664A8">
      <w:pPr>
        <w:spacing w:line="360" w:lineRule="auto"/>
        <w:jc w:val="left"/>
        <w:rPr>
          <w:rFonts w:ascii="宋体" w:hAnsi="宋体" w:cs="宋体"/>
          <w:sz w:val="24"/>
        </w:rPr>
      </w:pPr>
      <w:r>
        <w:rPr>
          <w:rFonts w:hint="eastAsia" w:ascii="宋体" w:hAnsi="宋体" w:cs="宋体"/>
          <w:sz w:val="24"/>
        </w:rPr>
        <w:t>18.1投标保证金为人民币。投标人应在提交投标文件截止时间以前按“</w:t>
      </w:r>
      <w:r>
        <w:rPr>
          <w:rFonts w:hint="eastAsia" w:ascii="宋体" w:hAnsi="宋体" w:cs="宋体"/>
          <w:b/>
          <w:sz w:val="24"/>
        </w:rPr>
        <w:t>投标人须知前附表</w:t>
      </w:r>
      <w:r>
        <w:rPr>
          <w:rFonts w:hint="eastAsia" w:ascii="宋体" w:hAnsi="宋体" w:cs="宋体"/>
          <w:sz w:val="24"/>
        </w:rPr>
        <w:t>”规定的金额提交，并在规定的时间内保持有效。</w:t>
      </w:r>
    </w:p>
    <w:p w14:paraId="5ED49E03">
      <w:pPr>
        <w:spacing w:line="360" w:lineRule="auto"/>
        <w:jc w:val="left"/>
        <w:rPr>
          <w:rFonts w:ascii="宋体" w:hAnsi="宋体" w:cs="宋体"/>
          <w:sz w:val="24"/>
        </w:rPr>
      </w:pPr>
      <w:r>
        <w:rPr>
          <w:rFonts w:hint="eastAsia" w:ascii="宋体" w:hAnsi="宋体" w:cs="宋体"/>
          <w:sz w:val="24"/>
        </w:rPr>
        <w:t>18.2投标保证金形式：投标保证金应按“</w:t>
      </w:r>
      <w:r>
        <w:rPr>
          <w:rFonts w:hint="eastAsia" w:ascii="宋体" w:hAnsi="宋体" w:cs="宋体"/>
          <w:b/>
          <w:sz w:val="24"/>
        </w:rPr>
        <w:t>投标人须知前附表</w:t>
      </w:r>
      <w:r>
        <w:rPr>
          <w:rFonts w:hint="eastAsia" w:ascii="宋体" w:hAnsi="宋体" w:cs="宋体"/>
          <w:sz w:val="24"/>
        </w:rPr>
        <w:t>”规定的形式提交。</w:t>
      </w:r>
    </w:p>
    <w:p w14:paraId="4A98425C">
      <w:pPr>
        <w:spacing w:line="360" w:lineRule="auto"/>
        <w:jc w:val="left"/>
        <w:rPr>
          <w:rFonts w:ascii="宋体" w:hAnsi="宋体" w:cs="宋体"/>
          <w:sz w:val="24"/>
        </w:rPr>
      </w:pPr>
      <w:r>
        <w:rPr>
          <w:rFonts w:hint="eastAsia" w:ascii="宋体" w:hAnsi="宋体" w:cs="宋体"/>
          <w:sz w:val="24"/>
        </w:rPr>
        <w:t>18.3 办理缴纳投标保证金手续时，请务必在银行进账单或电汇单的用途栏或空白栏上注明项目名称及招标编号。</w:t>
      </w:r>
    </w:p>
    <w:p w14:paraId="1846F871">
      <w:pPr>
        <w:spacing w:line="360" w:lineRule="auto"/>
        <w:jc w:val="left"/>
        <w:rPr>
          <w:rFonts w:ascii="宋体" w:hAnsi="宋体" w:cs="宋体"/>
          <w:sz w:val="24"/>
        </w:rPr>
      </w:pPr>
      <w:r>
        <w:rPr>
          <w:rFonts w:hint="eastAsia" w:ascii="宋体" w:hAnsi="宋体" w:cs="宋体"/>
          <w:sz w:val="24"/>
        </w:rPr>
        <w:t>投标保证金退还程序：未中标人的投标保证金将在中标公告发出后5个工作日退还；中标人的投标保证金将在采购合同签订之日起5个工作日内退还。</w:t>
      </w:r>
    </w:p>
    <w:p w14:paraId="3EAB51E5">
      <w:pPr>
        <w:spacing w:line="360" w:lineRule="auto"/>
        <w:ind w:firstLine="480" w:firstLineChars="200"/>
        <w:jc w:val="left"/>
        <w:rPr>
          <w:rFonts w:ascii="宋体" w:hAnsi="宋体" w:cs="宋体"/>
          <w:sz w:val="24"/>
        </w:rPr>
      </w:pPr>
      <w:r>
        <w:rPr>
          <w:rFonts w:hint="eastAsia" w:ascii="宋体" w:hAnsi="宋体" w:cs="宋体"/>
          <w:sz w:val="24"/>
        </w:rPr>
        <w:t>（1）以电汇、网银、转账方式缴纳的保证金，以网银对公转账的方式退还到投标人打款账户；</w:t>
      </w:r>
    </w:p>
    <w:p w14:paraId="4D07E3ED">
      <w:pPr>
        <w:spacing w:line="360" w:lineRule="auto"/>
        <w:ind w:firstLine="480" w:firstLineChars="200"/>
        <w:jc w:val="left"/>
        <w:rPr>
          <w:rFonts w:ascii="宋体" w:hAnsi="宋体" w:cs="宋体"/>
          <w:sz w:val="24"/>
        </w:rPr>
      </w:pPr>
      <w:r>
        <w:rPr>
          <w:rFonts w:hint="eastAsia" w:ascii="宋体" w:hAnsi="宋体" w:cs="宋体"/>
          <w:sz w:val="24"/>
        </w:rPr>
        <w:t>（2）以支票、汇票及本票等票据方式缴纳的保证金，经财务查账确认后以网银对公转账的方式退还到投标人开户账户；</w:t>
      </w:r>
    </w:p>
    <w:p w14:paraId="37D92899">
      <w:pPr>
        <w:spacing w:line="360" w:lineRule="auto"/>
        <w:ind w:firstLine="480" w:firstLineChars="200"/>
        <w:jc w:val="left"/>
        <w:rPr>
          <w:rFonts w:ascii="宋体" w:hAnsi="宋体" w:cs="宋体"/>
          <w:sz w:val="24"/>
        </w:rPr>
      </w:pPr>
      <w:r>
        <w:rPr>
          <w:rFonts w:hint="eastAsia" w:ascii="宋体" w:hAnsi="宋体" w:cs="宋体"/>
          <w:sz w:val="24"/>
        </w:rPr>
        <w:t>（3）以银行保函或者保证保险方式缴纳的保证金由投标人自行联系出函机构进行退还。</w:t>
      </w:r>
    </w:p>
    <w:p w14:paraId="76F68C1F">
      <w:pPr>
        <w:spacing w:line="360" w:lineRule="auto"/>
        <w:ind w:firstLine="480" w:firstLineChars="200"/>
        <w:jc w:val="left"/>
        <w:rPr>
          <w:rFonts w:ascii="宋体" w:hAnsi="宋体" w:cs="宋体"/>
          <w:sz w:val="24"/>
        </w:rPr>
      </w:pPr>
      <w:r>
        <w:rPr>
          <w:rFonts w:hint="eastAsia" w:ascii="宋体" w:hAnsi="宋体" w:cs="宋体"/>
          <w:sz w:val="24"/>
        </w:rPr>
        <w:t>（4）其他特殊情况：投标人在办理投标保证金的缴纳或退还时，应及时联系代理价机构财务联系人以便确认缴纳或退还情况；</w:t>
      </w:r>
    </w:p>
    <w:p w14:paraId="1A16D011">
      <w:pPr>
        <w:spacing w:line="360" w:lineRule="auto"/>
        <w:jc w:val="left"/>
        <w:rPr>
          <w:rFonts w:ascii="宋体" w:hAnsi="宋体" w:cs="宋体"/>
          <w:sz w:val="24"/>
        </w:rPr>
      </w:pPr>
      <w:r>
        <w:rPr>
          <w:rFonts w:hint="eastAsia" w:ascii="宋体" w:hAnsi="宋体" w:cs="宋体"/>
          <w:sz w:val="24"/>
        </w:rPr>
        <w:t>18.4已缴纳投标保证金，而无故不参加投标或者出现不廉洁行为的投标人，其保证金由财政主管部门或者纪检监察机关予以没收。</w:t>
      </w:r>
    </w:p>
    <w:p w14:paraId="509A2A8D">
      <w:pPr>
        <w:spacing w:line="360" w:lineRule="auto"/>
        <w:jc w:val="left"/>
        <w:rPr>
          <w:rFonts w:ascii="宋体" w:hAnsi="宋体" w:cs="宋体"/>
          <w:sz w:val="24"/>
        </w:rPr>
      </w:pPr>
      <w:r>
        <w:rPr>
          <w:rFonts w:hint="eastAsia" w:ascii="宋体" w:hAnsi="宋体" w:cs="宋体"/>
          <w:sz w:val="24"/>
        </w:rPr>
        <w:t>18.5下列情况发生时，投标保证金将不予退还</w:t>
      </w:r>
    </w:p>
    <w:p w14:paraId="64C9967F">
      <w:pPr>
        <w:spacing w:line="360" w:lineRule="auto"/>
        <w:jc w:val="left"/>
        <w:rPr>
          <w:rFonts w:ascii="宋体" w:hAnsi="宋体" w:cs="宋体"/>
          <w:sz w:val="24"/>
        </w:rPr>
      </w:pPr>
      <w:r>
        <w:rPr>
          <w:rFonts w:hint="eastAsia" w:ascii="宋体" w:hAnsi="宋体" w:cs="宋体"/>
          <w:sz w:val="24"/>
        </w:rPr>
        <w:t>（1）已缴纳保证金，无故不参加投标或者出现不廉洁行为的投标人；</w:t>
      </w:r>
    </w:p>
    <w:p w14:paraId="33C88460">
      <w:pPr>
        <w:spacing w:line="360" w:lineRule="auto"/>
        <w:jc w:val="left"/>
        <w:rPr>
          <w:rFonts w:ascii="宋体" w:hAnsi="宋体" w:cs="宋体"/>
          <w:sz w:val="24"/>
        </w:rPr>
      </w:pPr>
      <w:r>
        <w:rPr>
          <w:rFonts w:hint="eastAsia" w:ascii="宋体" w:hAnsi="宋体" w:cs="宋体"/>
          <w:sz w:val="24"/>
        </w:rPr>
        <w:t>（2）在提交投标文件截止时间后到招标文件规定的投标有效期终止之前，投标人撤回投标文件的；</w:t>
      </w:r>
    </w:p>
    <w:p w14:paraId="00A9194F">
      <w:pPr>
        <w:spacing w:line="360" w:lineRule="auto"/>
        <w:jc w:val="left"/>
        <w:rPr>
          <w:rFonts w:ascii="宋体" w:hAnsi="宋体" w:cs="宋体"/>
          <w:sz w:val="24"/>
        </w:rPr>
      </w:pPr>
      <w:r>
        <w:rPr>
          <w:rFonts w:hint="eastAsia" w:ascii="宋体" w:hAnsi="宋体" w:cs="宋体"/>
          <w:sz w:val="24"/>
        </w:rPr>
        <w:t>（3）中标通知书发出后，中标人无故放弃中标项目的或无正当理由不与釆购单位签订合同的，或者拒不缴纳所要求的履约保证金的；</w:t>
      </w:r>
    </w:p>
    <w:p w14:paraId="0186C2A1">
      <w:pPr>
        <w:spacing w:line="360" w:lineRule="auto"/>
        <w:jc w:val="left"/>
        <w:rPr>
          <w:rFonts w:ascii="宋体" w:hAnsi="宋体" w:cs="宋体"/>
          <w:sz w:val="24"/>
        </w:rPr>
      </w:pPr>
      <w:r>
        <w:rPr>
          <w:rFonts w:hint="eastAsia" w:ascii="宋体" w:hAnsi="宋体" w:cs="宋体"/>
          <w:sz w:val="24"/>
        </w:rPr>
        <w:t>（4）投标人提供虚假投标文件或虚假补充文件的，或者投标文件中提供虚假或无效的证明材料的；</w:t>
      </w:r>
    </w:p>
    <w:p w14:paraId="6073565E">
      <w:pPr>
        <w:spacing w:line="360" w:lineRule="auto"/>
        <w:jc w:val="left"/>
        <w:rPr>
          <w:rFonts w:ascii="宋体" w:hAnsi="宋体" w:cs="宋体"/>
          <w:sz w:val="24"/>
        </w:rPr>
      </w:pPr>
      <w:r>
        <w:rPr>
          <w:rFonts w:hint="eastAsia" w:ascii="宋体" w:hAnsi="宋体" w:cs="宋体"/>
          <w:sz w:val="24"/>
        </w:rPr>
        <w:t>（5）法律法规或招标文件规定的其他情形的。</w:t>
      </w:r>
    </w:p>
    <w:p w14:paraId="55D3BCD9">
      <w:pPr>
        <w:pStyle w:val="3"/>
        <w:numPr>
          <w:ilvl w:val="1"/>
          <w:numId w:val="0"/>
        </w:numPr>
        <w:jc w:val="center"/>
        <w:rPr>
          <w:rFonts w:ascii="宋体" w:hAnsi="宋体" w:eastAsia="宋体" w:cs="宋体"/>
          <w:sz w:val="30"/>
          <w:szCs w:val="30"/>
        </w:rPr>
      </w:pPr>
      <w:bookmarkStart w:id="135" w:name="_Toc373252449"/>
      <w:bookmarkStart w:id="136" w:name="_Toc8707"/>
      <w:bookmarkStart w:id="137" w:name="_Toc7283"/>
      <w:bookmarkStart w:id="138" w:name="_Toc15487"/>
      <w:bookmarkStart w:id="139" w:name="_Toc31253"/>
      <w:bookmarkStart w:id="140" w:name="_Toc447720941"/>
      <w:bookmarkStart w:id="141" w:name="_Toc32060"/>
      <w:bookmarkStart w:id="142" w:name="_Toc212648374"/>
      <w:bookmarkStart w:id="143" w:name="_Toc16591"/>
      <w:r>
        <w:rPr>
          <w:rFonts w:hint="eastAsia" w:ascii="宋体" w:hAnsi="宋体" w:eastAsia="宋体" w:cs="宋体"/>
          <w:sz w:val="30"/>
          <w:szCs w:val="30"/>
        </w:rPr>
        <w:t>四、投标文件的提交</w:t>
      </w:r>
      <w:bookmarkEnd w:id="135"/>
      <w:bookmarkEnd w:id="136"/>
      <w:bookmarkEnd w:id="137"/>
      <w:bookmarkEnd w:id="138"/>
      <w:bookmarkEnd w:id="139"/>
      <w:bookmarkEnd w:id="140"/>
      <w:bookmarkEnd w:id="141"/>
      <w:bookmarkEnd w:id="142"/>
      <w:bookmarkEnd w:id="143"/>
    </w:p>
    <w:p w14:paraId="0A41D4F2">
      <w:pPr>
        <w:spacing w:line="360" w:lineRule="auto"/>
        <w:jc w:val="left"/>
        <w:rPr>
          <w:rFonts w:ascii="宋体" w:hAnsi="宋体" w:cs="宋体"/>
          <w:b/>
          <w:sz w:val="24"/>
        </w:rPr>
      </w:pPr>
      <w:bookmarkStart w:id="144" w:name="_Toc373252450"/>
      <w:r>
        <w:rPr>
          <w:rFonts w:hint="eastAsia" w:ascii="宋体" w:hAnsi="宋体" w:cs="宋体"/>
          <w:b/>
          <w:sz w:val="24"/>
        </w:rPr>
        <w:t>19、投标文件的密封与标记</w:t>
      </w:r>
    </w:p>
    <w:p w14:paraId="6117F480">
      <w:pPr>
        <w:spacing w:line="360" w:lineRule="auto"/>
        <w:jc w:val="left"/>
        <w:rPr>
          <w:rFonts w:ascii="宋体" w:hAnsi="宋体" w:cs="宋体"/>
          <w:sz w:val="24"/>
        </w:rPr>
      </w:pPr>
      <w:r>
        <w:rPr>
          <w:rFonts w:hint="eastAsia" w:ascii="宋体" w:hAnsi="宋体" w:cs="宋体"/>
          <w:sz w:val="24"/>
        </w:rPr>
        <w:t>19.1投标文件递交及有关内容：见投标人须知前附表。</w:t>
      </w:r>
    </w:p>
    <w:p w14:paraId="3037E941">
      <w:pPr>
        <w:spacing w:line="360" w:lineRule="auto"/>
        <w:jc w:val="left"/>
        <w:rPr>
          <w:rFonts w:ascii="宋体" w:hAnsi="宋体" w:cs="宋体"/>
          <w:sz w:val="24"/>
        </w:rPr>
      </w:pPr>
      <w:r>
        <w:rPr>
          <w:rFonts w:hint="eastAsia" w:ascii="宋体" w:hAnsi="宋体" w:cs="宋体"/>
          <w:sz w:val="24"/>
        </w:rPr>
        <w:t>19.2投标文件的加密：见投标人须知前附表。</w:t>
      </w:r>
    </w:p>
    <w:p w14:paraId="63EB10C4">
      <w:pPr>
        <w:spacing w:line="360" w:lineRule="auto"/>
        <w:jc w:val="left"/>
        <w:rPr>
          <w:rFonts w:ascii="宋体" w:hAnsi="宋体" w:cs="宋体"/>
          <w:b/>
          <w:sz w:val="24"/>
        </w:rPr>
      </w:pPr>
      <w:r>
        <w:rPr>
          <w:rFonts w:hint="eastAsia" w:ascii="宋体" w:hAnsi="宋体" w:cs="宋体"/>
          <w:b/>
          <w:sz w:val="24"/>
        </w:rPr>
        <w:t>20、投标文件光盘刻录要求</w:t>
      </w:r>
    </w:p>
    <w:p w14:paraId="4FC8D5C9">
      <w:pPr>
        <w:spacing w:line="360" w:lineRule="auto"/>
        <w:jc w:val="left"/>
        <w:rPr>
          <w:rFonts w:ascii="宋体" w:hAnsi="宋体" w:cs="宋体"/>
          <w:sz w:val="24"/>
        </w:rPr>
      </w:pPr>
      <w:r>
        <w:rPr>
          <w:rFonts w:hint="eastAsia" w:ascii="宋体" w:hAnsi="宋体" w:cs="宋体"/>
          <w:sz w:val="24"/>
        </w:rPr>
        <w:t>20.1投标文件光盘刻录要求：无。</w:t>
      </w:r>
    </w:p>
    <w:p w14:paraId="48A6B1FC">
      <w:pPr>
        <w:spacing w:line="360" w:lineRule="auto"/>
        <w:jc w:val="left"/>
        <w:rPr>
          <w:rFonts w:ascii="宋体" w:hAnsi="宋体" w:cs="宋体"/>
          <w:sz w:val="24"/>
        </w:rPr>
      </w:pPr>
      <w:r>
        <w:rPr>
          <w:rFonts w:hint="eastAsia" w:ascii="宋体" w:hAnsi="宋体" w:cs="宋体"/>
          <w:sz w:val="24"/>
        </w:rPr>
        <w:t>20.2光盘投标文件的密封要求：无。</w:t>
      </w:r>
    </w:p>
    <w:p w14:paraId="127D983D">
      <w:pPr>
        <w:spacing w:line="360" w:lineRule="auto"/>
        <w:jc w:val="left"/>
        <w:rPr>
          <w:rFonts w:ascii="宋体" w:hAnsi="宋体" w:cs="宋体"/>
          <w:sz w:val="24"/>
        </w:rPr>
      </w:pPr>
      <w:r>
        <w:rPr>
          <w:rFonts w:hint="eastAsia" w:ascii="宋体" w:hAnsi="宋体" w:cs="宋体"/>
          <w:sz w:val="24"/>
        </w:rPr>
        <w:t>20.3现场光盘递交投标文件外密封袋上写明：无。</w:t>
      </w:r>
    </w:p>
    <w:p w14:paraId="2748596E">
      <w:pPr>
        <w:spacing w:line="360" w:lineRule="auto"/>
        <w:jc w:val="left"/>
        <w:rPr>
          <w:rFonts w:ascii="宋体" w:hAnsi="宋体" w:cs="宋体"/>
          <w:b/>
          <w:sz w:val="24"/>
        </w:rPr>
      </w:pPr>
      <w:r>
        <w:rPr>
          <w:rFonts w:hint="eastAsia" w:ascii="宋体" w:hAnsi="宋体" w:cs="宋体"/>
          <w:b/>
          <w:sz w:val="24"/>
        </w:rPr>
        <w:t>21、截止时间及有关内容</w:t>
      </w:r>
    </w:p>
    <w:p w14:paraId="512ADA55">
      <w:pPr>
        <w:spacing w:line="360" w:lineRule="auto"/>
        <w:jc w:val="left"/>
        <w:rPr>
          <w:rFonts w:ascii="宋体" w:hAnsi="宋体" w:cs="宋体"/>
          <w:sz w:val="24"/>
        </w:rPr>
      </w:pPr>
      <w:r>
        <w:rPr>
          <w:rFonts w:hint="eastAsia" w:ascii="宋体" w:hAnsi="宋体" w:cs="宋体"/>
          <w:sz w:val="24"/>
        </w:rPr>
        <w:t>21.1提交投标文件截止时间：见投标人须知前附表。</w:t>
      </w:r>
    </w:p>
    <w:p w14:paraId="72CFAF1C">
      <w:pPr>
        <w:spacing w:line="360" w:lineRule="auto"/>
        <w:jc w:val="left"/>
        <w:rPr>
          <w:rFonts w:ascii="宋体" w:hAnsi="宋体" w:cs="宋体"/>
          <w:sz w:val="24"/>
        </w:rPr>
      </w:pPr>
      <w:r>
        <w:rPr>
          <w:rFonts w:hint="eastAsia" w:ascii="宋体" w:hAnsi="宋体" w:cs="宋体"/>
          <w:sz w:val="24"/>
        </w:rPr>
        <w:t>21.2提交投标文件地点：见投标人须知前附表。</w:t>
      </w:r>
    </w:p>
    <w:p w14:paraId="51015B3B">
      <w:pPr>
        <w:spacing w:line="360" w:lineRule="auto"/>
        <w:jc w:val="left"/>
        <w:rPr>
          <w:rFonts w:ascii="宋体" w:hAnsi="宋体" w:cs="宋体"/>
          <w:sz w:val="24"/>
        </w:rPr>
      </w:pPr>
      <w:r>
        <w:rPr>
          <w:rFonts w:hint="eastAsia" w:ascii="宋体" w:hAnsi="宋体" w:cs="宋体"/>
          <w:sz w:val="24"/>
        </w:rPr>
        <w:t>21.3投标文件的退还：见投标人须知前附表。</w:t>
      </w:r>
    </w:p>
    <w:p w14:paraId="17C796FF">
      <w:pPr>
        <w:pStyle w:val="3"/>
        <w:numPr>
          <w:ilvl w:val="1"/>
          <w:numId w:val="0"/>
        </w:numPr>
        <w:jc w:val="center"/>
        <w:rPr>
          <w:rFonts w:ascii="宋体" w:hAnsi="宋体" w:eastAsia="宋体" w:cs="宋体"/>
          <w:sz w:val="30"/>
          <w:szCs w:val="30"/>
        </w:rPr>
      </w:pPr>
      <w:bookmarkStart w:id="145" w:name="_Toc17330"/>
      <w:bookmarkStart w:id="146" w:name="_Toc447720942"/>
      <w:bookmarkStart w:id="147" w:name="_Toc1175"/>
      <w:bookmarkStart w:id="148" w:name="_Toc212648375"/>
      <w:bookmarkStart w:id="149" w:name="_Toc24940"/>
      <w:bookmarkStart w:id="150" w:name="_Toc9821"/>
      <w:bookmarkStart w:id="151" w:name="_Toc16408"/>
      <w:bookmarkStart w:id="152" w:name="_Toc12971"/>
      <w:r>
        <w:rPr>
          <w:rFonts w:hint="eastAsia" w:ascii="宋体" w:hAnsi="宋体" w:eastAsia="宋体" w:cs="宋体"/>
          <w:sz w:val="30"/>
          <w:szCs w:val="30"/>
        </w:rPr>
        <w:t>五、开标与评标</w:t>
      </w:r>
      <w:bookmarkEnd w:id="144"/>
      <w:bookmarkEnd w:id="145"/>
      <w:bookmarkEnd w:id="146"/>
      <w:bookmarkEnd w:id="147"/>
      <w:bookmarkEnd w:id="148"/>
      <w:bookmarkEnd w:id="149"/>
      <w:bookmarkEnd w:id="150"/>
      <w:bookmarkEnd w:id="151"/>
      <w:bookmarkEnd w:id="152"/>
    </w:p>
    <w:p w14:paraId="49500A1F">
      <w:pPr>
        <w:spacing w:line="360" w:lineRule="auto"/>
        <w:jc w:val="left"/>
        <w:rPr>
          <w:rFonts w:ascii="宋体" w:hAnsi="宋体" w:cs="宋体"/>
          <w:b/>
          <w:sz w:val="24"/>
        </w:rPr>
      </w:pPr>
      <w:r>
        <w:rPr>
          <w:rFonts w:hint="eastAsia" w:ascii="宋体" w:hAnsi="宋体" w:cs="宋体"/>
          <w:b/>
          <w:sz w:val="24"/>
        </w:rPr>
        <w:t>22、开标</w:t>
      </w:r>
    </w:p>
    <w:p w14:paraId="3DA83A72">
      <w:pPr>
        <w:wordWrap w:val="0"/>
        <w:spacing w:line="360" w:lineRule="auto"/>
        <w:jc w:val="left"/>
        <w:rPr>
          <w:rFonts w:ascii="宋体" w:hAnsi="宋体" w:cs="宋体"/>
          <w:sz w:val="24"/>
        </w:rPr>
      </w:pPr>
      <w:r>
        <w:rPr>
          <w:rFonts w:hint="eastAsia" w:ascii="宋体" w:hAnsi="宋体" w:cs="宋体"/>
          <w:sz w:val="24"/>
        </w:rPr>
        <w:t>22.1采购代理机构将在“投标人须知前附表”规定的时间和地点进行开标，并邀请投标人的法定代表人或其委托代理人网上远程参加开标会。</w:t>
      </w:r>
    </w:p>
    <w:p w14:paraId="33600AE5">
      <w:pPr>
        <w:spacing w:line="360" w:lineRule="auto"/>
        <w:jc w:val="left"/>
        <w:rPr>
          <w:rFonts w:ascii="宋体" w:hAnsi="宋体" w:cs="宋体"/>
          <w:sz w:val="24"/>
        </w:rPr>
      </w:pPr>
      <w:r>
        <w:rPr>
          <w:rFonts w:hint="eastAsia" w:ascii="宋体" w:hAnsi="宋体" w:cs="宋体"/>
          <w:sz w:val="24"/>
        </w:rPr>
        <w:t>22.2投标截止时间结束后参加投标的投标人不足三家的，不得开标。</w:t>
      </w:r>
    </w:p>
    <w:p w14:paraId="4BA5F7BF">
      <w:pPr>
        <w:spacing w:line="360" w:lineRule="auto"/>
        <w:jc w:val="left"/>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开标程序：见投标人须知前附表。</w:t>
      </w:r>
    </w:p>
    <w:p w14:paraId="0FDAC8C8">
      <w:pPr>
        <w:spacing w:line="360" w:lineRule="auto"/>
        <w:jc w:val="left"/>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1B97D7A">
      <w:pPr>
        <w:spacing w:line="360" w:lineRule="auto"/>
        <w:jc w:val="left"/>
        <w:rPr>
          <w:rFonts w:ascii="宋体" w:hAnsi="宋体" w:cs="宋体"/>
          <w:b/>
          <w:sz w:val="24"/>
        </w:rPr>
      </w:pPr>
      <w:r>
        <w:rPr>
          <w:rFonts w:hint="eastAsia" w:ascii="宋体" w:hAnsi="宋体" w:cs="宋体"/>
          <w:b/>
          <w:sz w:val="24"/>
        </w:rPr>
        <w:t>23、评标</w:t>
      </w:r>
    </w:p>
    <w:p w14:paraId="5C5F7487">
      <w:pPr>
        <w:spacing w:line="360" w:lineRule="auto"/>
        <w:jc w:val="left"/>
        <w:rPr>
          <w:rFonts w:ascii="宋体" w:hAnsi="宋体" w:cs="宋体"/>
          <w:sz w:val="24"/>
        </w:rPr>
      </w:pPr>
      <w:r>
        <w:rPr>
          <w:rFonts w:hint="eastAsia" w:ascii="宋体" w:hAnsi="宋体" w:cs="宋体"/>
          <w:sz w:val="24"/>
        </w:rPr>
        <w:t>23.1评标由采购人依法组建的评标委员会负责。评标委员会由采购人代表和有关技术、经济等方面的专家组成，成员人数应当为五人（含五人）及以上单数。其中，技术、经济等方面的专家不得少于成员总数的三分之二。评标委员会应当推选组长，但采购人代表不得担任组长。</w:t>
      </w:r>
    </w:p>
    <w:p w14:paraId="1167A96E">
      <w:pPr>
        <w:spacing w:line="360" w:lineRule="auto"/>
        <w:ind w:firstLine="480" w:firstLineChars="200"/>
        <w:jc w:val="left"/>
        <w:rPr>
          <w:rFonts w:ascii="宋体" w:hAnsi="宋体" w:cs="宋体"/>
          <w:sz w:val="24"/>
        </w:rPr>
      </w:pPr>
      <w:r>
        <w:rPr>
          <w:rFonts w:hint="eastAsia" w:ascii="宋体" w:hAnsi="宋体" w:cs="宋体"/>
          <w:sz w:val="24"/>
        </w:rPr>
        <w:t>采购人委派代表参加评标委员会的，要向采购代理机构出具授权函。</w:t>
      </w:r>
    </w:p>
    <w:p w14:paraId="6AA16172">
      <w:pPr>
        <w:pStyle w:val="10"/>
        <w:spacing w:line="360" w:lineRule="auto"/>
        <w:rPr>
          <w:rFonts w:hAnsi="宋体" w:cs="宋体"/>
          <w:bCs/>
          <w:sz w:val="24"/>
          <w:szCs w:val="24"/>
        </w:rPr>
      </w:pPr>
      <w:bookmarkStart w:id="153" w:name="_Toc191374422"/>
      <w:r>
        <w:rPr>
          <w:rFonts w:hint="eastAsia" w:hAnsi="宋体" w:cs="宋体"/>
          <w:bCs/>
          <w:sz w:val="24"/>
          <w:szCs w:val="24"/>
        </w:rPr>
        <w:t>23.2评标原则</w:t>
      </w:r>
      <w:bookmarkEnd w:id="153"/>
      <w:r>
        <w:rPr>
          <w:rFonts w:hint="eastAsia" w:hAnsi="宋体" w:cs="宋体"/>
          <w:bCs/>
          <w:sz w:val="24"/>
          <w:szCs w:val="24"/>
        </w:rPr>
        <w:t>及方法</w:t>
      </w:r>
    </w:p>
    <w:p w14:paraId="24F3AB8F">
      <w:pPr>
        <w:spacing w:line="360" w:lineRule="auto"/>
        <w:ind w:firstLine="480" w:firstLineChars="200"/>
        <w:jc w:val="left"/>
        <w:rPr>
          <w:rFonts w:ascii="宋体" w:hAnsi="宋体" w:cs="宋体"/>
          <w:sz w:val="24"/>
        </w:rPr>
      </w:pPr>
      <w:r>
        <w:rPr>
          <w:rFonts w:hint="eastAsia" w:ascii="宋体" w:hAnsi="宋体" w:cs="宋体"/>
          <w:sz w:val="24"/>
        </w:rPr>
        <w:t>评标活动遵循公平、公正、科学和择优的原则。</w:t>
      </w:r>
    </w:p>
    <w:p w14:paraId="3086475C">
      <w:pPr>
        <w:pStyle w:val="10"/>
        <w:spacing w:line="360" w:lineRule="auto"/>
        <w:ind w:left="720" w:hanging="720" w:hangingChars="300"/>
        <w:rPr>
          <w:rFonts w:hAnsi="宋体" w:cs="宋体"/>
          <w:bCs/>
          <w:sz w:val="24"/>
          <w:szCs w:val="24"/>
        </w:rPr>
      </w:pPr>
      <w:r>
        <w:rPr>
          <w:rFonts w:hint="eastAsia" w:hAnsi="宋体" w:cs="宋体"/>
          <w:sz w:val="24"/>
          <w:szCs w:val="24"/>
        </w:rPr>
        <w:t>23.3</w:t>
      </w:r>
      <w:r>
        <w:rPr>
          <w:rFonts w:hint="eastAsia" w:hAnsi="宋体" w:cs="宋体"/>
          <w:bCs/>
          <w:sz w:val="24"/>
          <w:szCs w:val="24"/>
        </w:rPr>
        <w:t>评标方法</w:t>
      </w:r>
    </w:p>
    <w:p w14:paraId="596A9876">
      <w:pPr>
        <w:spacing w:line="360" w:lineRule="auto"/>
        <w:ind w:firstLine="540" w:firstLineChars="225"/>
        <w:jc w:val="left"/>
        <w:rPr>
          <w:rFonts w:ascii="宋体" w:hAnsi="宋体" w:cs="宋体"/>
          <w:sz w:val="24"/>
        </w:rPr>
      </w:pPr>
      <w:r>
        <w:rPr>
          <w:rFonts w:hint="eastAsia" w:ascii="宋体" w:hAnsi="宋体" w:cs="宋体"/>
          <w:sz w:val="24"/>
        </w:rPr>
        <w:t>本项目按</w:t>
      </w:r>
      <w:r>
        <w:rPr>
          <w:rFonts w:hint="eastAsia" w:ascii="宋体" w:hAnsi="宋体" w:cs="宋体"/>
          <w:b/>
          <w:bCs/>
          <w:sz w:val="24"/>
          <w:lang w:val="en-US" w:eastAsia="zh-CN"/>
        </w:rPr>
        <w:t xml:space="preserve">第六章“ </w:t>
      </w:r>
      <w:r>
        <w:rPr>
          <w:rFonts w:hint="eastAsia" w:ascii="宋体" w:hAnsi="宋体" w:cs="宋体"/>
          <w:b/>
          <w:bCs/>
          <w:sz w:val="24"/>
        </w:rPr>
        <w:t>评标方法</w:t>
      </w:r>
      <w:r>
        <w:rPr>
          <w:rFonts w:hint="eastAsia" w:ascii="宋体" w:hAnsi="宋体" w:cs="宋体"/>
          <w:b/>
          <w:bCs/>
          <w:sz w:val="24"/>
          <w:lang w:val="en-US" w:eastAsia="zh-CN"/>
        </w:rPr>
        <w:t xml:space="preserve"> ”</w:t>
      </w:r>
      <w:r>
        <w:rPr>
          <w:rFonts w:hint="eastAsia" w:ascii="宋体" w:hAnsi="宋体" w:cs="宋体"/>
          <w:sz w:val="24"/>
        </w:rPr>
        <w:t>规定的评标方法评标。在评标中，不得改变招标文件中规定的评标标准、方法和中标条件。第六章“</w:t>
      </w:r>
      <w:r>
        <w:rPr>
          <w:rFonts w:hint="eastAsia" w:ascii="宋体" w:hAnsi="宋体" w:cs="宋体"/>
          <w:b/>
          <w:sz w:val="24"/>
        </w:rPr>
        <w:t>评标方法</w:t>
      </w:r>
      <w:r>
        <w:rPr>
          <w:rFonts w:hint="eastAsia" w:ascii="宋体" w:hAnsi="宋体" w:cs="宋体"/>
          <w:sz w:val="24"/>
        </w:rPr>
        <w:t>”没有规定的评审因素和标准，不作为评标依据。</w:t>
      </w:r>
    </w:p>
    <w:p w14:paraId="2D4D3606">
      <w:pPr>
        <w:spacing w:line="360" w:lineRule="auto"/>
        <w:rPr>
          <w:rFonts w:ascii="宋体" w:hAnsi="宋体" w:cs="宋体"/>
          <w:sz w:val="24"/>
        </w:rPr>
      </w:pPr>
      <w:r>
        <w:rPr>
          <w:rFonts w:hint="eastAsia" w:ascii="宋体" w:hAnsi="宋体" w:cs="宋体"/>
          <w:sz w:val="24"/>
        </w:rPr>
        <w:t>23.4评标应当在严格保密的情况下进行。任何单位和个人不得非法干预、影响评标办法的确定，以及评标过程和结果。评标委员会成员和与评标活动有关的人员在政府采购活动中应严格遵守政府采购评审工作纪律，不得向外界泄露评审情况。</w:t>
      </w:r>
    </w:p>
    <w:p w14:paraId="6B94021B">
      <w:pPr>
        <w:spacing w:line="360" w:lineRule="auto"/>
        <w:rPr>
          <w:rFonts w:ascii="宋体" w:hAnsi="宋体" w:cs="宋体"/>
          <w:sz w:val="24"/>
        </w:rPr>
      </w:pPr>
      <w:r>
        <w:rPr>
          <w:rFonts w:hint="eastAsia" w:ascii="宋体" w:hAnsi="宋体" w:cs="宋体"/>
          <w:sz w:val="24"/>
        </w:rPr>
        <w:t>23.5有下列情形之一的，视为投标人串通投标，其投标无效：</w:t>
      </w:r>
    </w:p>
    <w:p w14:paraId="4C2A64CF">
      <w:pPr>
        <w:spacing w:line="360" w:lineRule="auto"/>
        <w:ind w:firstLine="480" w:firstLineChars="200"/>
        <w:jc w:val="left"/>
        <w:rPr>
          <w:rFonts w:ascii="宋体" w:hAnsi="宋体" w:cs="宋体"/>
          <w:sz w:val="24"/>
        </w:rPr>
      </w:pPr>
      <w:r>
        <w:rPr>
          <w:rFonts w:hint="eastAsia" w:ascii="宋体" w:hAnsi="宋体" w:cs="宋体"/>
          <w:sz w:val="24"/>
        </w:rPr>
        <w:t>（1）不同投标人的投标文件由同一单位或者个人编制；</w:t>
      </w:r>
    </w:p>
    <w:p w14:paraId="379D0E4D">
      <w:pPr>
        <w:spacing w:line="360" w:lineRule="auto"/>
        <w:ind w:firstLine="480" w:firstLineChars="200"/>
        <w:jc w:val="left"/>
        <w:rPr>
          <w:rFonts w:ascii="宋体" w:hAnsi="宋体" w:cs="宋体"/>
          <w:sz w:val="24"/>
        </w:rPr>
      </w:pPr>
      <w:r>
        <w:rPr>
          <w:rFonts w:hint="eastAsia" w:ascii="宋体" w:hAnsi="宋体" w:cs="宋体"/>
          <w:sz w:val="24"/>
        </w:rPr>
        <w:t>（2）不同投标人委托同一单位或者个人办理投标事宜；</w:t>
      </w:r>
    </w:p>
    <w:p w14:paraId="006AE560">
      <w:pPr>
        <w:spacing w:line="360" w:lineRule="auto"/>
        <w:ind w:firstLine="480" w:firstLineChars="200"/>
        <w:jc w:val="left"/>
        <w:rPr>
          <w:rFonts w:ascii="宋体" w:hAnsi="宋体" w:cs="宋体"/>
          <w:sz w:val="24"/>
        </w:rPr>
      </w:pPr>
      <w:r>
        <w:rPr>
          <w:rFonts w:hint="eastAsia" w:ascii="宋体" w:hAnsi="宋体" w:cs="宋体"/>
          <w:sz w:val="24"/>
        </w:rPr>
        <w:t>（3）不同投标人的投标文件载明的项目管理成员或者联系人员为同一人；</w:t>
      </w:r>
    </w:p>
    <w:p w14:paraId="5F71051F">
      <w:pPr>
        <w:spacing w:line="360" w:lineRule="auto"/>
        <w:ind w:firstLine="480" w:firstLineChars="200"/>
        <w:jc w:val="left"/>
        <w:rPr>
          <w:rFonts w:ascii="宋体" w:hAnsi="宋体" w:cs="宋体"/>
          <w:sz w:val="24"/>
        </w:rPr>
      </w:pPr>
      <w:r>
        <w:rPr>
          <w:rFonts w:hint="eastAsia" w:ascii="宋体" w:hAnsi="宋体" w:cs="宋体"/>
          <w:sz w:val="24"/>
        </w:rPr>
        <w:t>（4）不同投标人的投标文件异常一致或者投标报价呈规律性差异；</w:t>
      </w:r>
    </w:p>
    <w:p w14:paraId="6E85F275">
      <w:pPr>
        <w:spacing w:line="360" w:lineRule="auto"/>
        <w:ind w:firstLine="480" w:firstLineChars="200"/>
        <w:jc w:val="left"/>
        <w:rPr>
          <w:rFonts w:ascii="宋体" w:hAnsi="宋体" w:cs="宋体"/>
          <w:sz w:val="24"/>
        </w:rPr>
      </w:pPr>
      <w:r>
        <w:rPr>
          <w:rFonts w:hint="eastAsia" w:ascii="宋体" w:hAnsi="宋体" w:cs="宋体"/>
          <w:sz w:val="24"/>
        </w:rPr>
        <w:t>（5）不同投标人的投标文件相互混装；</w:t>
      </w:r>
    </w:p>
    <w:p w14:paraId="79964C97">
      <w:pPr>
        <w:spacing w:line="360" w:lineRule="auto"/>
        <w:ind w:firstLine="480" w:firstLineChars="200"/>
        <w:jc w:val="left"/>
        <w:rPr>
          <w:rFonts w:ascii="宋体" w:hAnsi="宋体" w:cs="宋体"/>
          <w:sz w:val="24"/>
        </w:rPr>
      </w:pPr>
      <w:r>
        <w:rPr>
          <w:rFonts w:hint="eastAsia" w:ascii="宋体" w:hAnsi="宋体" w:cs="宋体"/>
          <w:sz w:val="24"/>
        </w:rPr>
        <w:t>（6）不同投标人的投标保证金从同一单位或者个人的账户转出。</w:t>
      </w:r>
    </w:p>
    <w:p w14:paraId="2017C644">
      <w:pPr>
        <w:pStyle w:val="10"/>
        <w:spacing w:line="360" w:lineRule="auto"/>
        <w:rPr>
          <w:rFonts w:hAnsi="宋体" w:cs="宋体"/>
          <w:bCs/>
          <w:sz w:val="24"/>
          <w:szCs w:val="24"/>
        </w:rPr>
      </w:pPr>
      <w:r>
        <w:rPr>
          <w:rFonts w:hint="eastAsia" w:hAnsi="宋体" w:cs="宋体"/>
          <w:b/>
          <w:bCs/>
          <w:sz w:val="24"/>
          <w:szCs w:val="24"/>
        </w:rPr>
        <w:t>24、</w:t>
      </w:r>
      <w:r>
        <w:rPr>
          <w:rFonts w:hint="eastAsia" w:hAnsi="宋体" w:cs="宋体"/>
          <w:b/>
          <w:bCs/>
          <w:kern w:val="2"/>
          <w:sz w:val="24"/>
          <w:szCs w:val="24"/>
        </w:rPr>
        <w:t>在招标采购中，出现下列情形之一的，应予废标：</w:t>
      </w:r>
    </w:p>
    <w:p w14:paraId="669F9E04">
      <w:pPr>
        <w:spacing w:line="360" w:lineRule="auto"/>
        <w:ind w:firstLine="480" w:firstLineChars="200"/>
        <w:jc w:val="left"/>
        <w:rPr>
          <w:rFonts w:ascii="宋体" w:hAnsi="宋体" w:cs="宋体"/>
          <w:bCs/>
          <w:sz w:val="24"/>
        </w:rPr>
      </w:pPr>
      <w:r>
        <w:rPr>
          <w:rFonts w:hint="eastAsia" w:ascii="宋体" w:hAnsi="宋体" w:cs="宋体"/>
          <w:bCs/>
          <w:sz w:val="24"/>
        </w:rPr>
        <w:t>（1）符合专业条件的投标人或者对招标文件作实质响应的投标人不足3家的；</w:t>
      </w:r>
    </w:p>
    <w:p w14:paraId="2AC50A2C">
      <w:pPr>
        <w:spacing w:line="360" w:lineRule="auto"/>
        <w:ind w:firstLine="480" w:firstLineChars="200"/>
        <w:jc w:val="left"/>
        <w:rPr>
          <w:rFonts w:ascii="宋体" w:hAnsi="宋体" w:cs="宋体"/>
          <w:bCs/>
          <w:sz w:val="24"/>
        </w:rPr>
      </w:pPr>
      <w:r>
        <w:rPr>
          <w:rFonts w:hint="eastAsia" w:ascii="宋体" w:hAnsi="宋体" w:cs="宋体"/>
          <w:bCs/>
          <w:sz w:val="24"/>
        </w:rPr>
        <w:t>（2）出现影响采购公正的违法、违规行为的；</w:t>
      </w:r>
    </w:p>
    <w:p w14:paraId="57FB98A9">
      <w:pPr>
        <w:spacing w:line="360" w:lineRule="auto"/>
        <w:ind w:firstLine="480" w:firstLineChars="200"/>
        <w:jc w:val="left"/>
        <w:rPr>
          <w:rFonts w:ascii="宋体" w:hAnsi="宋体" w:cs="宋体"/>
          <w:bCs/>
          <w:sz w:val="24"/>
        </w:rPr>
      </w:pPr>
      <w:r>
        <w:rPr>
          <w:rFonts w:hint="eastAsia" w:ascii="宋体" w:hAnsi="宋体" w:cs="宋体"/>
          <w:bCs/>
          <w:sz w:val="24"/>
        </w:rPr>
        <w:t>（3）投标人的报价均超过了采购预算，采购人不能支付的；</w:t>
      </w:r>
    </w:p>
    <w:p w14:paraId="10A12556">
      <w:pPr>
        <w:spacing w:line="360" w:lineRule="auto"/>
        <w:ind w:firstLine="480" w:firstLineChars="200"/>
        <w:jc w:val="left"/>
        <w:rPr>
          <w:rFonts w:ascii="宋体" w:hAnsi="宋体" w:cs="宋体"/>
          <w:bCs/>
          <w:sz w:val="24"/>
        </w:rPr>
      </w:pPr>
      <w:r>
        <w:rPr>
          <w:rFonts w:hint="eastAsia" w:ascii="宋体" w:hAnsi="宋体" w:cs="宋体"/>
          <w:bCs/>
          <w:sz w:val="24"/>
        </w:rPr>
        <w:t>（4）因重大变故，采购任务取消的。</w:t>
      </w:r>
    </w:p>
    <w:p w14:paraId="312F7A3D">
      <w:pPr>
        <w:spacing w:line="360" w:lineRule="auto"/>
        <w:ind w:firstLine="482" w:firstLineChars="200"/>
        <w:jc w:val="left"/>
        <w:rPr>
          <w:rFonts w:ascii="宋体" w:hAnsi="宋体" w:cs="宋体"/>
          <w:b/>
          <w:sz w:val="24"/>
        </w:rPr>
      </w:pPr>
      <w:r>
        <w:rPr>
          <w:rFonts w:hint="eastAsia" w:ascii="宋体" w:hAnsi="宋体" w:cs="宋体"/>
          <w:b/>
          <w:sz w:val="24"/>
        </w:rPr>
        <w:t>废标后，采购人应当将废标理由通知所有投标人。</w:t>
      </w:r>
    </w:p>
    <w:p w14:paraId="149D6BAD">
      <w:pPr>
        <w:pStyle w:val="3"/>
        <w:numPr>
          <w:ilvl w:val="1"/>
          <w:numId w:val="0"/>
        </w:numPr>
        <w:ind w:left="593" w:hanging="593" w:hangingChars="197"/>
        <w:jc w:val="center"/>
        <w:rPr>
          <w:rFonts w:ascii="宋体" w:hAnsi="宋体" w:eastAsia="宋体" w:cs="宋体"/>
          <w:sz w:val="30"/>
          <w:szCs w:val="30"/>
        </w:rPr>
      </w:pPr>
      <w:bookmarkStart w:id="154" w:name="_Toc17560"/>
      <w:bookmarkStart w:id="155" w:name="_Toc28782"/>
      <w:bookmarkStart w:id="156" w:name="_Toc24833"/>
      <w:bookmarkStart w:id="157" w:name="_Toc447720943"/>
      <w:bookmarkStart w:id="158" w:name="_Toc373252451"/>
      <w:bookmarkStart w:id="159" w:name="_Toc212648376"/>
      <w:bookmarkStart w:id="160" w:name="_Toc42105405"/>
      <w:bookmarkStart w:id="161" w:name="_Toc15816"/>
      <w:bookmarkStart w:id="162" w:name="_Toc25978"/>
      <w:bookmarkStart w:id="163" w:name="_Toc32517"/>
      <w:r>
        <w:rPr>
          <w:rFonts w:hint="eastAsia" w:ascii="宋体" w:hAnsi="宋体" w:eastAsia="宋体" w:cs="宋体"/>
          <w:sz w:val="30"/>
          <w:szCs w:val="30"/>
        </w:rPr>
        <w:t>六、中标结果</w:t>
      </w:r>
      <w:bookmarkEnd w:id="154"/>
      <w:bookmarkEnd w:id="155"/>
      <w:bookmarkEnd w:id="156"/>
      <w:bookmarkEnd w:id="157"/>
      <w:bookmarkEnd w:id="158"/>
      <w:bookmarkEnd w:id="159"/>
      <w:bookmarkEnd w:id="160"/>
      <w:bookmarkEnd w:id="161"/>
      <w:bookmarkEnd w:id="162"/>
      <w:bookmarkEnd w:id="163"/>
    </w:p>
    <w:p w14:paraId="07DFC7E4">
      <w:pPr>
        <w:pStyle w:val="10"/>
        <w:spacing w:line="360" w:lineRule="auto"/>
        <w:rPr>
          <w:rFonts w:hAnsi="宋体" w:cs="宋体"/>
          <w:b/>
          <w:sz w:val="24"/>
          <w:szCs w:val="24"/>
        </w:rPr>
      </w:pPr>
      <w:r>
        <w:rPr>
          <w:rFonts w:hint="eastAsia" w:hAnsi="宋体" w:cs="宋体"/>
          <w:b/>
          <w:sz w:val="24"/>
          <w:szCs w:val="24"/>
        </w:rPr>
        <w:t>25、中标人的确定</w:t>
      </w:r>
    </w:p>
    <w:p w14:paraId="1B0597A9">
      <w:pPr>
        <w:spacing w:line="360" w:lineRule="auto"/>
        <w:rPr>
          <w:rFonts w:ascii="宋体" w:hAnsi="宋体" w:cs="宋体"/>
          <w:sz w:val="24"/>
        </w:rPr>
      </w:pPr>
      <w:r>
        <w:rPr>
          <w:rFonts w:hint="eastAsia" w:ascii="宋体" w:hAnsi="宋体" w:cs="宋体"/>
          <w:sz w:val="24"/>
        </w:rPr>
        <w:t>25.1采购代理机构应当在评标结束后2个工作日内将评标报告送采购人。</w:t>
      </w:r>
    </w:p>
    <w:p w14:paraId="5F18E1DB">
      <w:pPr>
        <w:spacing w:line="360" w:lineRule="auto"/>
        <w:rPr>
          <w:rFonts w:ascii="宋体" w:hAnsi="宋体" w:cs="宋体"/>
          <w:sz w:val="24"/>
        </w:rPr>
      </w:pPr>
      <w:r>
        <w:rPr>
          <w:rFonts w:hint="eastAsia" w:ascii="宋体" w:hAnsi="宋体" w:cs="宋体"/>
          <w:sz w:val="24"/>
        </w:rPr>
        <w:t>25.2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79A53E4">
      <w:pPr>
        <w:spacing w:line="360" w:lineRule="auto"/>
        <w:rPr>
          <w:rFonts w:ascii="宋体" w:hAnsi="宋体" w:cs="宋体"/>
          <w:sz w:val="24"/>
        </w:rPr>
      </w:pPr>
      <w:r>
        <w:rPr>
          <w:rFonts w:hint="eastAsia" w:ascii="宋体" w:hAnsi="宋体" w:cs="宋体"/>
          <w:sz w:val="24"/>
        </w:rPr>
        <w:t>25.3采购人或者采购代理机构应当自中标人确定之日起2个工作日内，在省级以上财政部门指定的媒体上公告中标结果，招标文件应当随中标结果同时公告。</w:t>
      </w:r>
    </w:p>
    <w:p w14:paraId="22207768">
      <w:pPr>
        <w:spacing w:line="360" w:lineRule="auto"/>
        <w:rPr>
          <w:rFonts w:ascii="宋体" w:hAnsi="宋体" w:cs="宋体"/>
          <w:sz w:val="24"/>
        </w:rPr>
      </w:pPr>
      <w:r>
        <w:rPr>
          <w:rFonts w:hint="eastAsia" w:ascii="宋体" w:hAnsi="宋体" w:cs="宋体"/>
          <w:sz w:val="24"/>
        </w:rPr>
        <w:t>25.4中标结果公告内容应当包括采购人及其委托的采购代理机构的名称、地址、联系方式，项目名称和招标编号，中标人名称、地址和中标金额，主要中标标的的名称、规格型号、数量、单价、服务要求，中标公告期限以及评审专家名单。</w:t>
      </w:r>
    </w:p>
    <w:p w14:paraId="3FBFAF40">
      <w:pPr>
        <w:spacing w:line="360" w:lineRule="auto"/>
        <w:rPr>
          <w:rFonts w:ascii="宋体" w:hAnsi="宋体" w:cs="宋体"/>
          <w:sz w:val="24"/>
        </w:rPr>
      </w:pPr>
      <w:r>
        <w:rPr>
          <w:rFonts w:hint="eastAsia" w:ascii="宋体" w:hAnsi="宋体" w:cs="宋体"/>
          <w:sz w:val="24"/>
        </w:rPr>
        <w:t>25.5中标公告期限为1个工作日。</w:t>
      </w:r>
    </w:p>
    <w:p w14:paraId="68E81EC9">
      <w:pPr>
        <w:pStyle w:val="10"/>
        <w:spacing w:line="360" w:lineRule="auto"/>
        <w:rPr>
          <w:rFonts w:hAnsi="宋体" w:cs="宋体"/>
          <w:b/>
          <w:bCs/>
          <w:sz w:val="24"/>
          <w:szCs w:val="24"/>
        </w:rPr>
      </w:pPr>
      <w:r>
        <w:rPr>
          <w:rFonts w:hint="eastAsia" w:hAnsi="宋体" w:cs="宋体"/>
          <w:b/>
          <w:bCs/>
          <w:sz w:val="24"/>
          <w:szCs w:val="24"/>
        </w:rPr>
        <w:t>26、中标通知书</w:t>
      </w:r>
    </w:p>
    <w:p w14:paraId="407332BC">
      <w:pPr>
        <w:spacing w:line="360" w:lineRule="auto"/>
        <w:rPr>
          <w:rFonts w:ascii="宋体" w:hAnsi="宋体" w:cs="宋体"/>
          <w:sz w:val="24"/>
        </w:rPr>
      </w:pPr>
      <w:r>
        <w:rPr>
          <w:rFonts w:hint="eastAsia" w:ascii="宋体" w:hAnsi="宋体" w:cs="宋体"/>
          <w:sz w:val="24"/>
        </w:rPr>
        <w:t>26.1中标人确定后，中标结果由采购代理机构在云南省政府采购网上发布中标公告，在公告中标结果的同时，向中标人发出中标通知书。</w:t>
      </w:r>
    </w:p>
    <w:p w14:paraId="7E1965BC">
      <w:pPr>
        <w:spacing w:line="360" w:lineRule="auto"/>
        <w:rPr>
          <w:rFonts w:ascii="宋体" w:hAnsi="宋体" w:cs="宋体"/>
          <w:sz w:val="24"/>
        </w:rPr>
      </w:pPr>
      <w:r>
        <w:rPr>
          <w:rFonts w:hint="eastAsia" w:ascii="宋体" w:hAnsi="宋体" w:cs="宋体"/>
          <w:sz w:val="24"/>
        </w:rPr>
        <w:t>26.2中标通知书是合同的一个组成部分。</w:t>
      </w:r>
    </w:p>
    <w:p w14:paraId="06173791">
      <w:pPr>
        <w:pStyle w:val="10"/>
        <w:spacing w:line="360" w:lineRule="auto"/>
        <w:rPr>
          <w:rFonts w:hAnsi="宋体" w:cs="宋体"/>
          <w:b/>
          <w:bCs/>
          <w:sz w:val="24"/>
          <w:szCs w:val="24"/>
        </w:rPr>
      </w:pPr>
      <w:r>
        <w:rPr>
          <w:rFonts w:hint="eastAsia" w:hAnsi="宋体" w:cs="宋体"/>
          <w:b/>
          <w:bCs/>
          <w:sz w:val="24"/>
          <w:szCs w:val="24"/>
        </w:rPr>
        <w:t>27、签订合同</w:t>
      </w:r>
    </w:p>
    <w:p w14:paraId="6944D5AD">
      <w:pPr>
        <w:spacing w:line="360" w:lineRule="auto"/>
        <w:rPr>
          <w:rFonts w:ascii="宋体" w:hAnsi="宋体" w:cs="宋体"/>
          <w:sz w:val="24"/>
        </w:rPr>
      </w:pPr>
      <w:r>
        <w:rPr>
          <w:rFonts w:hint="eastAsia" w:ascii="宋体" w:hAnsi="宋体" w:cs="宋体"/>
          <w:sz w:val="24"/>
        </w:rPr>
        <w:t>27.1采购人应当自中标通知书发出之日起30日内，按照招标文件和中标人投标文件的规定，与中标人签订书面合同。所签订的合同不得对招标文件确定的事项和中标人投标文件作实质性修改。</w:t>
      </w:r>
    </w:p>
    <w:p w14:paraId="227F35D7">
      <w:pPr>
        <w:spacing w:line="360" w:lineRule="auto"/>
        <w:rPr>
          <w:rFonts w:ascii="宋体" w:hAnsi="宋体" w:cs="宋体"/>
          <w:sz w:val="24"/>
        </w:rPr>
      </w:pPr>
      <w:r>
        <w:rPr>
          <w:rFonts w:hint="eastAsia" w:ascii="宋体" w:hAnsi="宋体" w:cs="宋体"/>
          <w:sz w:val="24"/>
        </w:rPr>
        <w:t>27.2中标人拒绝与采购人签订合同的，采购人可以按照评标报告推荐的中标候选人名单排序，确定下一候选人为中标人，也可以重新开展政府采购活动。</w:t>
      </w:r>
    </w:p>
    <w:p w14:paraId="63DFE2F8">
      <w:pPr>
        <w:pStyle w:val="10"/>
        <w:spacing w:line="360" w:lineRule="auto"/>
        <w:rPr>
          <w:rFonts w:hAnsi="宋体" w:cs="宋体"/>
          <w:b/>
          <w:bCs/>
          <w:sz w:val="24"/>
          <w:szCs w:val="24"/>
        </w:rPr>
      </w:pPr>
      <w:r>
        <w:rPr>
          <w:rFonts w:hint="eastAsia" w:hAnsi="宋体" w:cs="宋体"/>
          <w:b/>
          <w:bCs/>
          <w:sz w:val="24"/>
          <w:szCs w:val="24"/>
        </w:rPr>
        <w:t>28、履约担保</w:t>
      </w:r>
    </w:p>
    <w:p w14:paraId="70353CA6">
      <w:pPr>
        <w:spacing w:line="360" w:lineRule="auto"/>
        <w:rPr>
          <w:rFonts w:ascii="宋体" w:hAnsi="宋体" w:cs="宋体"/>
          <w:sz w:val="24"/>
        </w:rPr>
      </w:pPr>
      <w:r>
        <w:rPr>
          <w:rFonts w:hint="eastAsia" w:ascii="宋体" w:hAnsi="宋体" w:cs="宋体"/>
          <w:sz w:val="24"/>
        </w:rPr>
        <w:t>28.1签订合同前，中标人应按“投标人须知前附表”上确定的履约担保的金额及形式，向采购人提交履约担保，联合体中标的，其履约担保由牵头人递交。否则，视为放弃中标项目，投标保证金将不予退还。</w:t>
      </w:r>
    </w:p>
    <w:p w14:paraId="1BCA6795">
      <w:pPr>
        <w:spacing w:line="360" w:lineRule="auto"/>
        <w:rPr>
          <w:rFonts w:ascii="宋体" w:hAnsi="宋体" w:cs="宋体"/>
          <w:sz w:val="24"/>
        </w:rPr>
      </w:pPr>
      <w:r>
        <w:rPr>
          <w:rFonts w:hint="eastAsia" w:ascii="宋体" w:hAnsi="宋体" w:cs="宋体"/>
          <w:sz w:val="24"/>
        </w:rPr>
        <w:t>28.2签订合同后，如中标人不按双方签订合同约定履约，则没收其全部履约保证金，履约保证金不足以赔偿损失的，按实际损失赔偿。</w:t>
      </w:r>
    </w:p>
    <w:p w14:paraId="1C2D5007">
      <w:pPr>
        <w:pStyle w:val="3"/>
        <w:numPr>
          <w:ilvl w:val="1"/>
          <w:numId w:val="0"/>
        </w:numPr>
        <w:jc w:val="center"/>
        <w:rPr>
          <w:rFonts w:ascii="宋体" w:hAnsi="宋体" w:eastAsia="宋体" w:cs="宋体"/>
          <w:sz w:val="30"/>
          <w:szCs w:val="30"/>
        </w:rPr>
      </w:pPr>
      <w:bookmarkStart w:id="164" w:name="_Toc30388"/>
      <w:bookmarkStart w:id="165" w:name="_Toc19846"/>
      <w:bookmarkStart w:id="166" w:name="_Toc373252452"/>
      <w:bookmarkStart w:id="167" w:name="_Toc447720944"/>
      <w:bookmarkStart w:id="168" w:name="_Toc14294"/>
      <w:bookmarkStart w:id="169" w:name="_Toc8225"/>
      <w:bookmarkStart w:id="170" w:name="_Toc212648377"/>
      <w:bookmarkStart w:id="171" w:name="_Toc22402"/>
      <w:bookmarkStart w:id="172" w:name="_Toc1962"/>
      <w:bookmarkStart w:id="173" w:name="_Toc42105406"/>
      <w:r>
        <w:rPr>
          <w:rFonts w:hint="eastAsia" w:ascii="宋体" w:hAnsi="宋体" w:eastAsia="宋体" w:cs="宋体"/>
          <w:sz w:val="30"/>
          <w:szCs w:val="30"/>
        </w:rPr>
        <w:t>七、其他事项</w:t>
      </w:r>
      <w:bookmarkEnd w:id="164"/>
      <w:bookmarkEnd w:id="165"/>
      <w:bookmarkEnd w:id="166"/>
      <w:bookmarkEnd w:id="167"/>
      <w:bookmarkEnd w:id="168"/>
      <w:bookmarkEnd w:id="169"/>
      <w:bookmarkEnd w:id="170"/>
      <w:bookmarkEnd w:id="171"/>
      <w:bookmarkEnd w:id="172"/>
      <w:bookmarkEnd w:id="173"/>
    </w:p>
    <w:p w14:paraId="3855D135">
      <w:pPr>
        <w:pStyle w:val="10"/>
        <w:spacing w:line="480" w:lineRule="exact"/>
        <w:rPr>
          <w:rFonts w:hAnsi="宋体" w:cs="宋体"/>
          <w:b/>
          <w:bCs/>
          <w:sz w:val="24"/>
          <w:szCs w:val="24"/>
        </w:rPr>
      </w:pPr>
      <w:r>
        <w:rPr>
          <w:rFonts w:hint="eastAsia" w:hAnsi="宋体" w:cs="宋体"/>
          <w:b/>
          <w:bCs/>
          <w:sz w:val="24"/>
          <w:szCs w:val="24"/>
        </w:rPr>
        <w:t>29、中标服务费</w:t>
      </w:r>
    </w:p>
    <w:p w14:paraId="37B1DC93">
      <w:pPr>
        <w:spacing w:line="360" w:lineRule="auto"/>
        <w:rPr>
          <w:rFonts w:ascii="宋体" w:hAnsi="宋体" w:cs="宋体"/>
          <w:sz w:val="24"/>
        </w:rPr>
      </w:pPr>
      <w:r>
        <w:rPr>
          <w:rFonts w:hint="eastAsia" w:ascii="宋体" w:hAnsi="宋体" w:cs="宋体"/>
          <w:sz w:val="24"/>
        </w:rPr>
        <w:t>29.1中标服务费向中标人收取，收取标准详见“</w:t>
      </w:r>
      <w:r>
        <w:rPr>
          <w:rFonts w:hint="eastAsia" w:ascii="宋体" w:hAnsi="宋体" w:cs="宋体"/>
          <w:b/>
          <w:sz w:val="24"/>
        </w:rPr>
        <w:t>投标人须知前附表</w:t>
      </w:r>
      <w:r>
        <w:rPr>
          <w:rFonts w:hint="eastAsia" w:ascii="宋体" w:hAnsi="宋体" w:cs="宋体"/>
          <w:sz w:val="24"/>
        </w:rPr>
        <w:t>”。</w:t>
      </w:r>
    </w:p>
    <w:p w14:paraId="72ABAF27">
      <w:pPr>
        <w:spacing w:line="360" w:lineRule="auto"/>
        <w:rPr>
          <w:rFonts w:ascii="宋体" w:hAnsi="宋体" w:cs="宋体"/>
          <w:sz w:val="24"/>
        </w:rPr>
      </w:pPr>
      <w:r>
        <w:rPr>
          <w:rFonts w:hint="eastAsia" w:ascii="宋体" w:hAnsi="宋体" w:cs="宋体"/>
          <w:sz w:val="24"/>
        </w:rPr>
        <w:t>29.2中标人应在接受“</w:t>
      </w:r>
      <w:r>
        <w:rPr>
          <w:rFonts w:hint="eastAsia" w:ascii="宋体" w:hAnsi="宋体" w:cs="宋体"/>
          <w:b/>
          <w:sz w:val="24"/>
        </w:rPr>
        <w:t>中标通知书</w:t>
      </w:r>
      <w:r>
        <w:rPr>
          <w:rFonts w:hint="eastAsia" w:ascii="宋体" w:hAnsi="宋体" w:cs="宋体"/>
          <w:sz w:val="24"/>
        </w:rPr>
        <w:t>”时向采购代理机构一次付清代理服务费。</w:t>
      </w:r>
    </w:p>
    <w:p w14:paraId="49AB30BA">
      <w:pPr>
        <w:pStyle w:val="10"/>
        <w:spacing w:line="360" w:lineRule="auto"/>
        <w:rPr>
          <w:rFonts w:hAnsi="宋体" w:cs="宋体"/>
          <w:b/>
          <w:bCs/>
          <w:sz w:val="24"/>
          <w:szCs w:val="24"/>
        </w:rPr>
      </w:pPr>
      <w:r>
        <w:rPr>
          <w:rFonts w:hint="eastAsia" w:hAnsi="宋体" w:cs="宋体"/>
          <w:b/>
          <w:bCs/>
          <w:sz w:val="24"/>
          <w:szCs w:val="24"/>
        </w:rPr>
        <w:t>30、招标文件编制依据</w:t>
      </w:r>
    </w:p>
    <w:p w14:paraId="0B5D1B7E">
      <w:pPr>
        <w:spacing w:line="360" w:lineRule="auto"/>
        <w:rPr>
          <w:rFonts w:ascii="宋体" w:hAnsi="宋体" w:cs="宋体"/>
          <w:sz w:val="24"/>
        </w:rPr>
      </w:pPr>
      <w:r>
        <w:rPr>
          <w:rFonts w:hint="eastAsia" w:ascii="宋体" w:hAnsi="宋体" w:cs="宋体"/>
          <w:sz w:val="24"/>
        </w:rPr>
        <w:t>30.1本招标文件根据《中华人民共和国政府采购法》、《中华人民共和国政府采购法实施条例》及《政府采购货物和服务招标投标管理办法（财政部令第87号）》相关法律法规编制。</w:t>
      </w:r>
    </w:p>
    <w:p w14:paraId="11FED4B6">
      <w:pPr>
        <w:pStyle w:val="10"/>
        <w:spacing w:line="360" w:lineRule="auto"/>
        <w:rPr>
          <w:rFonts w:hAnsi="宋体" w:cs="宋体"/>
          <w:b/>
          <w:bCs/>
          <w:sz w:val="24"/>
          <w:szCs w:val="24"/>
        </w:rPr>
      </w:pPr>
      <w:r>
        <w:rPr>
          <w:rFonts w:hint="eastAsia" w:hAnsi="宋体" w:cs="宋体"/>
          <w:b/>
          <w:bCs/>
          <w:sz w:val="24"/>
          <w:szCs w:val="24"/>
        </w:rPr>
        <w:t>31、</w:t>
      </w:r>
      <w:r>
        <w:rPr>
          <w:rFonts w:hint="eastAsia" w:hAnsi="宋体" w:cs="宋体"/>
          <w:b/>
          <w:sz w:val="24"/>
          <w:szCs w:val="24"/>
        </w:rPr>
        <w:t>需要补充的其他内容</w:t>
      </w:r>
    </w:p>
    <w:p w14:paraId="592FC4A5">
      <w:pPr>
        <w:spacing w:line="360" w:lineRule="auto"/>
        <w:rPr>
          <w:rFonts w:ascii="宋体" w:hAnsi="宋体" w:cs="宋体"/>
          <w:sz w:val="24"/>
        </w:rPr>
      </w:pPr>
      <w:r>
        <w:rPr>
          <w:rFonts w:hint="eastAsia" w:ascii="宋体" w:hAnsi="宋体" w:cs="宋体"/>
          <w:sz w:val="24"/>
        </w:rPr>
        <w:t>31.1需要补充的其他内容：见“</w:t>
      </w:r>
      <w:r>
        <w:rPr>
          <w:rFonts w:hint="eastAsia" w:ascii="宋体" w:hAnsi="宋体" w:cs="宋体"/>
          <w:b/>
          <w:sz w:val="24"/>
        </w:rPr>
        <w:t>投标人须知前附表</w:t>
      </w:r>
      <w:r>
        <w:rPr>
          <w:rFonts w:hint="eastAsia" w:ascii="宋体" w:hAnsi="宋体" w:cs="宋体"/>
          <w:sz w:val="24"/>
        </w:rPr>
        <w:t>”。</w:t>
      </w:r>
    </w:p>
    <w:p w14:paraId="5B8FDECE">
      <w:pPr>
        <w:pStyle w:val="10"/>
        <w:rPr>
          <w:rFonts w:hAnsi="宋体" w:cs="宋体"/>
        </w:rPr>
      </w:pPr>
    </w:p>
    <w:p w14:paraId="31B8F4D3">
      <w:pPr>
        <w:widowControl/>
        <w:jc w:val="left"/>
        <w:rPr>
          <w:rFonts w:ascii="宋体" w:hAnsi="宋体" w:cs="宋体"/>
          <w:b/>
          <w:kern w:val="44"/>
          <w:sz w:val="32"/>
          <w:szCs w:val="32"/>
        </w:rPr>
      </w:pPr>
      <w:bookmarkStart w:id="174" w:name="_Toc447720945"/>
      <w:bookmarkStart w:id="175" w:name="_Toc373252453"/>
      <w:bookmarkStart w:id="176" w:name="_Toc213141090"/>
      <w:r>
        <w:rPr>
          <w:rFonts w:ascii="宋体" w:hAnsi="宋体" w:cs="宋体"/>
          <w:sz w:val="32"/>
          <w:szCs w:val="32"/>
        </w:rPr>
        <w:br w:type="page"/>
      </w:r>
    </w:p>
    <w:p w14:paraId="175B447B">
      <w:pPr>
        <w:pStyle w:val="2"/>
        <w:numPr>
          <w:ilvl w:val="0"/>
          <w:numId w:val="0"/>
        </w:numPr>
        <w:jc w:val="center"/>
        <w:rPr>
          <w:rFonts w:ascii="宋体" w:hAnsi="宋体" w:eastAsia="宋体" w:cs="宋体"/>
          <w:sz w:val="32"/>
          <w:szCs w:val="32"/>
        </w:rPr>
      </w:pPr>
      <w:bookmarkStart w:id="177" w:name="_Toc5496"/>
      <w:bookmarkStart w:id="178" w:name="_Toc14452"/>
      <w:bookmarkStart w:id="179" w:name="_Toc4090"/>
      <w:bookmarkStart w:id="180" w:name="_Toc3113"/>
      <w:bookmarkStart w:id="181" w:name="_Toc15177"/>
      <w:bookmarkStart w:id="182" w:name="_Toc28049"/>
      <w:bookmarkStart w:id="183" w:name="_Toc212648378"/>
      <w:r>
        <w:rPr>
          <w:rFonts w:hint="eastAsia" w:ascii="宋体" w:hAnsi="宋体" w:eastAsia="宋体" w:cs="宋体"/>
          <w:sz w:val="32"/>
          <w:szCs w:val="32"/>
        </w:rPr>
        <w:t>第三章  合同书样式及主要条款</w:t>
      </w:r>
      <w:bookmarkEnd w:id="174"/>
      <w:bookmarkEnd w:id="175"/>
      <w:bookmarkEnd w:id="176"/>
      <w:bookmarkEnd w:id="177"/>
      <w:bookmarkEnd w:id="178"/>
      <w:bookmarkEnd w:id="179"/>
      <w:bookmarkEnd w:id="180"/>
      <w:bookmarkEnd w:id="181"/>
      <w:bookmarkEnd w:id="182"/>
      <w:bookmarkEnd w:id="183"/>
    </w:p>
    <w:p w14:paraId="387D2571">
      <w:pPr>
        <w:pStyle w:val="4"/>
        <w:numPr>
          <w:ilvl w:val="-1"/>
          <w:numId w:val="0"/>
        </w:numPr>
        <w:tabs>
          <w:tab w:val="clear" w:pos="1588"/>
        </w:tabs>
        <w:ind w:left="851" w:firstLine="0"/>
        <w:jc w:val="center"/>
        <w:outlineLvl w:val="2"/>
        <w:rPr>
          <w:rFonts w:ascii="宋体" w:hAnsi="宋体" w:eastAsia="宋体" w:cs="宋体"/>
          <w:szCs w:val="28"/>
        </w:rPr>
      </w:pPr>
      <w:bookmarkStart w:id="184" w:name="_Toc373252454"/>
      <w:bookmarkStart w:id="185" w:name="_Toc31265"/>
      <w:bookmarkStart w:id="186" w:name="_Toc30440"/>
      <w:bookmarkStart w:id="187" w:name="_Toc3352"/>
      <w:bookmarkStart w:id="188" w:name="_Toc25186"/>
      <w:bookmarkStart w:id="189" w:name="_Toc27163"/>
      <w:bookmarkStart w:id="190" w:name="_Toc212648379"/>
      <w:bookmarkStart w:id="191" w:name="_Toc447720946"/>
      <w:bookmarkStart w:id="192" w:name="_Toc32288"/>
      <w:bookmarkStart w:id="193" w:name="_Toc213141091"/>
      <w:r>
        <w:rPr>
          <w:rFonts w:hint="eastAsia" w:ascii="宋体" w:hAnsi="宋体" w:eastAsia="宋体" w:cs="宋体"/>
          <w:szCs w:val="28"/>
          <w:lang w:val="en-US" w:eastAsia="zh-CN"/>
        </w:rPr>
        <w:t>1、</w:t>
      </w:r>
      <w:r>
        <w:rPr>
          <w:rFonts w:hint="eastAsia" w:ascii="宋体" w:hAnsi="宋体" w:eastAsia="宋体" w:cs="宋体"/>
          <w:szCs w:val="28"/>
        </w:rPr>
        <w:t>合同条款前附表</w:t>
      </w:r>
      <w:bookmarkEnd w:id="184"/>
      <w:bookmarkEnd w:id="185"/>
      <w:bookmarkEnd w:id="186"/>
      <w:bookmarkEnd w:id="187"/>
      <w:bookmarkEnd w:id="188"/>
      <w:bookmarkEnd w:id="189"/>
      <w:bookmarkEnd w:id="190"/>
      <w:bookmarkEnd w:id="191"/>
      <w:bookmarkEnd w:id="192"/>
      <w:bookmarkEnd w:id="193"/>
    </w:p>
    <w:tbl>
      <w:tblPr>
        <w:tblStyle w:val="16"/>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14:paraId="4CF5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Align w:val="center"/>
          </w:tcPr>
          <w:p w14:paraId="42C4A388">
            <w:pPr>
              <w:pStyle w:val="10"/>
              <w:spacing w:line="360" w:lineRule="auto"/>
              <w:jc w:val="center"/>
              <w:rPr>
                <w:rFonts w:hAnsi="宋体" w:cs="宋体"/>
                <w:b/>
                <w:bCs/>
                <w:kern w:val="2"/>
                <w:sz w:val="24"/>
                <w:szCs w:val="24"/>
              </w:rPr>
            </w:pPr>
            <w:r>
              <w:rPr>
                <w:rFonts w:hint="eastAsia" w:hAnsi="宋体" w:cs="宋体"/>
                <w:b/>
                <w:bCs/>
                <w:kern w:val="2"/>
                <w:sz w:val="24"/>
                <w:szCs w:val="24"/>
              </w:rPr>
              <w:t>序号</w:t>
            </w:r>
          </w:p>
        </w:tc>
        <w:tc>
          <w:tcPr>
            <w:tcW w:w="7819" w:type="dxa"/>
            <w:vAlign w:val="center"/>
          </w:tcPr>
          <w:p w14:paraId="40DAC244">
            <w:pPr>
              <w:pStyle w:val="10"/>
              <w:spacing w:line="360" w:lineRule="auto"/>
              <w:ind w:firstLine="241" w:firstLineChars="100"/>
              <w:jc w:val="center"/>
              <w:rPr>
                <w:rFonts w:hAnsi="宋体" w:cs="宋体"/>
                <w:b/>
                <w:bCs/>
                <w:kern w:val="2"/>
                <w:sz w:val="24"/>
                <w:szCs w:val="24"/>
              </w:rPr>
            </w:pPr>
            <w:r>
              <w:rPr>
                <w:rFonts w:hint="eastAsia" w:hAnsi="宋体" w:cs="宋体"/>
                <w:b/>
                <w:bCs/>
                <w:kern w:val="2"/>
                <w:sz w:val="24"/>
                <w:szCs w:val="24"/>
              </w:rPr>
              <w:t>内容</w:t>
            </w:r>
          </w:p>
        </w:tc>
      </w:tr>
      <w:tr w14:paraId="1C2C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Align w:val="center"/>
          </w:tcPr>
          <w:p w14:paraId="0B774C06">
            <w:pPr>
              <w:pStyle w:val="10"/>
              <w:spacing w:line="360" w:lineRule="auto"/>
              <w:jc w:val="center"/>
              <w:rPr>
                <w:rFonts w:hAnsi="宋体" w:cs="宋体"/>
                <w:kern w:val="2"/>
                <w:sz w:val="24"/>
                <w:szCs w:val="24"/>
              </w:rPr>
            </w:pPr>
            <w:r>
              <w:rPr>
                <w:rFonts w:hint="eastAsia" w:hAnsi="宋体" w:cs="宋体"/>
                <w:kern w:val="2"/>
                <w:sz w:val="24"/>
                <w:szCs w:val="24"/>
              </w:rPr>
              <w:t>一</w:t>
            </w:r>
          </w:p>
        </w:tc>
        <w:tc>
          <w:tcPr>
            <w:tcW w:w="7819" w:type="dxa"/>
            <w:vAlign w:val="center"/>
          </w:tcPr>
          <w:p w14:paraId="469ECE0B">
            <w:pPr>
              <w:adjustRightInd w:val="0"/>
              <w:spacing w:line="360" w:lineRule="auto"/>
              <w:jc w:val="left"/>
              <w:rPr>
                <w:rFonts w:hAnsi="宋体" w:cs="宋体"/>
                <w:sz w:val="21"/>
                <w:szCs w:val="21"/>
                <w:highlight w:val="none"/>
              </w:rPr>
            </w:pPr>
            <w:r>
              <w:rPr>
                <w:rFonts w:hint="eastAsia" w:hAnsi="宋体" w:cs="宋体"/>
                <w:sz w:val="21"/>
                <w:szCs w:val="21"/>
                <w:highlight w:val="none"/>
              </w:rPr>
              <w:t>▲</w:t>
            </w:r>
            <w:r>
              <w:rPr>
                <w:rFonts w:hint="eastAsia" w:ascii="宋体" w:hAnsi="宋体" w:cs="宋体"/>
                <w:sz w:val="21"/>
                <w:szCs w:val="21"/>
                <w:highlight w:val="none"/>
              </w:rPr>
              <w:t>合同履行期限：签订合同后 45 个日历天完成项目的硬件设备部分，包括：产品供应、安装、调试及验收移交使用（投标人在此期限内自报最短交货期）。软件部分根据甲方实际情况可延长120个日历日完成安装、调试及验收移交使用。</w:t>
            </w:r>
          </w:p>
          <w:p w14:paraId="6BD12658">
            <w:pPr>
              <w:pStyle w:val="10"/>
              <w:spacing w:line="360" w:lineRule="auto"/>
              <w:rPr>
                <w:rFonts w:hAnsi="宋体" w:cs="宋体"/>
                <w:kern w:val="2"/>
                <w:sz w:val="21"/>
                <w:szCs w:val="21"/>
                <w:highlight w:val="none"/>
              </w:rPr>
            </w:pPr>
            <w:r>
              <w:rPr>
                <w:rFonts w:hint="eastAsia" w:hAnsi="宋体" w:cs="宋体"/>
                <w:sz w:val="21"/>
                <w:szCs w:val="21"/>
                <w:highlight w:val="none"/>
              </w:rPr>
              <w:t>▲</w:t>
            </w:r>
            <w:r>
              <w:rPr>
                <w:rFonts w:hint="eastAsia" w:hAnsi="宋体" w:cs="宋体"/>
                <w:b/>
                <w:kern w:val="2"/>
                <w:sz w:val="21"/>
                <w:szCs w:val="21"/>
                <w:highlight w:val="none"/>
              </w:rPr>
              <w:t>交货地点</w:t>
            </w:r>
            <w:r>
              <w:rPr>
                <w:rFonts w:hint="eastAsia" w:hAnsi="宋体" w:cs="宋体"/>
                <w:kern w:val="2"/>
                <w:sz w:val="21"/>
                <w:szCs w:val="21"/>
                <w:highlight w:val="none"/>
              </w:rPr>
              <w:t>：</w:t>
            </w:r>
            <w:r>
              <w:rPr>
                <w:rFonts w:hint="eastAsia" w:hAnsi="宋体" w:cs="宋体"/>
                <w:kern w:val="2"/>
                <w:sz w:val="21"/>
                <w:szCs w:val="21"/>
                <w:highlight w:val="none"/>
                <w:lang w:eastAsia="zh-CN"/>
              </w:rPr>
              <w:t>牟定县职业高级中学</w:t>
            </w:r>
            <w:r>
              <w:rPr>
                <w:rFonts w:hint="eastAsia" w:hAnsi="宋体" w:cs="宋体"/>
                <w:kern w:val="2"/>
                <w:sz w:val="21"/>
                <w:szCs w:val="21"/>
                <w:highlight w:val="none"/>
              </w:rPr>
              <w:t>图书馆指定地点。</w:t>
            </w:r>
          </w:p>
        </w:tc>
      </w:tr>
      <w:tr w14:paraId="7F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Align w:val="center"/>
          </w:tcPr>
          <w:p w14:paraId="7B0DD8E3">
            <w:pPr>
              <w:pStyle w:val="10"/>
              <w:spacing w:line="360" w:lineRule="auto"/>
              <w:jc w:val="center"/>
              <w:rPr>
                <w:rFonts w:hint="default" w:hAnsi="宋体" w:eastAsia="宋体" w:cs="宋体"/>
                <w:kern w:val="2"/>
                <w:sz w:val="24"/>
                <w:szCs w:val="24"/>
                <w:lang w:val="en-US" w:eastAsia="zh-CN"/>
              </w:rPr>
            </w:pPr>
            <w:r>
              <w:rPr>
                <w:rFonts w:hint="eastAsia" w:hAnsi="宋体" w:cs="宋体"/>
                <w:kern w:val="2"/>
                <w:sz w:val="24"/>
                <w:szCs w:val="24"/>
                <w:lang w:val="en-US" w:eastAsia="zh-CN"/>
              </w:rPr>
              <w:t>二</w:t>
            </w:r>
          </w:p>
        </w:tc>
        <w:tc>
          <w:tcPr>
            <w:tcW w:w="7819" w:type="dxa"/>
            <w:vAlign w:val="center"/>
          </w:tcPr>
          <w:p w14:paraId="325A1F57">
            <w:pPr>
              <w:pStyle w:val="10"/>
              <w:spacing w:line="360" w:lineRule="auto"/>
              <w:rPr>
                <w:rFonts w:hint="eastAsia" w:hAnsi="宋体" w:eastAsia="宋体" w:cs="宋体"/>
                <w:sz w:val="21"/>
                <w:szCs w:val="21"/>
                <w:highlight w:val="none"/>
                <w:lang w:eastAsia="zh-CN"/>
              </w:rPr>
            </w:pPr>
            <w:r>
              <w:rPr>
                <w:rFonts w:hint="eastAsia" w:ascii="宋体" w:hAnsi="宋体" w:cs="宋体"/>
                <w:color w:val="auto"/>
                <w:sz w:val="21"/>
                <w:szCs w:val="21"/>
                <w:highlight w:val="none"/>
              </w:rPr>
              <w:t>质保期</w:t>
            </w:r>
            <w:r>
              <w:rPr>
                <w:rFonts w:hint="eastAsia" w:hAnsi="宋体" w:cs="宋体"/>
                <w:color w:val="auto"/>
                <w:sz w:val="21"/>
                <w:szCs w:val="21"/>
                <w:highlight w:val="none"/>
                <w:lang w:eastAsia="zh-CN"/>
              </w:rPr>
              <w:t>：</w:t>
            </w:r>
            <w:r>
              <w:rPr>
                <w:rFonts w:hint="eastAsia" w:ascii="宋体" w:hAnsi="宋体" w:cs="宋体"/>
                <w:color w:val="auto"/>
                <w:sz w:val="21"/>
                <w:szCs w:val="21"/>
                <w:highlight w:val="none"/>
              </w:rPr>
              <w:t>不少于</w:t>
            </w:r>
            <w:r>
              <w:rPr>
                <w:rFonts w:hint="eastAsia" w:ascii="宋体" w:hAnsi="宋体" w:cs="宋体"/>
                <w:color w:val="auto"/>
                <w:spacing w:val="-2"/>
                <w:sz w:val="21"/>
                <w:szCs w:val="21"/>
                <w:highlight w:val="none"/>
              </w:rPr>
              <w:t>叁</w:t>
            </w:r>
            <w:r>
              <w:rPr>
                <w:rFonts w:hint="eastAsia" w:ascii="宋体" w:hAnsi="宋体" w:cs="宋体"/>
                <w:color w:val="auto"/>
                <w:sz w:val="21"/>
                <w:szCs w:val="21"/>
                <w:highlight w:val="none"/>
              </w:rPr>
              <w:t>年。</w:t>
            </w:r>
          </w:p>
        </w:tc>
      </w:tr>
      <w:tr w14:paraId="37C5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Align w:val="center"/>
          </w:tcPr>
          <w:p w14:paraId="4FFE8CD5">
            <w:pPr>
              <w:pStyle w:val="10"/>
              <w:spacing w:line="360" w:lineRule="auto"/>
              <w:jc w:val="center"/>
              <w:rPr>
                <w:rFonts w:hint="eastAsia" w:hAnsi="宋体" w:eastAsia="宋体" w:cs="宋体"/>
                <w:kern w:val="2"/>
                <w:sz w:val="24"/>
                <w:szCs w:val="24"/>
                <w:lang w:eastAsia="zh-CN"/>
              </w:rPr>
            </w:pPr>
            <w:r>
              <w:rPr>
                <w:rFonts w:hint="eastAsia" w:hAnsi="宋体" w:cs="宋体"/>
                <w:kern w:val="2"/>
                <w:sz w:val="24"/>
                <w:szCs w:val="24"/>
                <w:lang w:val="en-US" w:eastAsia="zh-CN"/>
              </w:rPr>
              <w:t>三</w:t>
            </w:r>
          </w:p>
        </w:tc>
        <w:tc>
          <w:tcPr>
            <w:tcW w:w="7819" w:type="dxa"/>
            <w:vAlign w:val="center"/>
          </w:tcPr>
          <w:p w14:paraId="3E8C5D18">
            <w:pPr>
              <w:pStyle w:val="10"/>
              <w:spacing w:line="360" w:lineRule="auto"/>
              <w:rPr>
                <w:rFonts w:hint="eastAsia" w:hAnsi="宋体" w:cs="宋体"/>
                <w:kern w:val="2"/>
                <w:sz w:val="24"/>
                <w:szCs w:val="24"/>
              </w:rPr>
            </w:pPr>
            <w:r>
              <w:rPr>
                <w:rFonts w:hint="eastAsia" w:hAnsi="宋体" w:cs="宋体"/>
                <w:kern w:val="2"/>
                <w:sz w:val="24"/>
                <w:szCs w:val="24"/>
              </w:rPr>
              <w:t>付款方式：</w:t>
            </w:r>
          </w:p>
          <w:p w14:paraId="20E81D2A">
            <w:pPr>
              <w:pStyle w:val="10"/>
              <w:spacing w:line="360" w:lineRule="auto"/>
              <w:rPr>
                <w:rFonts w:hint="eastAsia" w:hAnsi="宋体" w:cs="宋体"/>
                <w:sz w:val="24"/>
              </w:rPr>
            </w:pPr>
            <w:r>
              <w:rPr>
                <w:rFonts w:hint="eastAsia" w:hAnsi="宋体" w:cs="宋体"/>
                <w:kern w:val="2"/>
                <w:sz w:val="24"/>
                <w:szCs w:val="24"/>
                <w:lang w:val="en-US" w:eastAsia="zh-CN"/>
              </w:rPr>
              <w:t>1、</w:t>
            </w:r>
            <w:r>
              <w:rPr>
                <w:rFonts w:hint="eastAsia" w:hAnsi="宋体" w:cs="宋体"/>
                <w:sz w:val="24"/>
              </w:rPr>
              <w:t>所有设备及软件安装调试完毕，经甲乙双方终验合格后15个工作日内支付合同价款的100%到乙方指定账户。乙方收款时必须出具国家正规发票，若乙方未提供正规发票，甲方有权拒付货款并不视为违约。</w:t>
            </w:r>
          </w:p>
          <w:p w14:paraId="7B304FD5">
            <w:pPr>
              <w:pStyle w:val="10"/>
              <w:spacing w:line="360" w:lineRule="auto"/>
              <w:rPr>
                <w:rFonts w:hint="eastAsia" w:hAnsi="宋体" w:cs="宋体"/>
                <w:sz w:val="24"/>
              </w:rPr>
            </w:pPr>
            <w:r>
              <w:rPr>
                <w:rFonts w:hint="eastAsia" w:hAnsi="宋体" w:cs="宋体"/>
                <w:sz w:val="24"/>
              </w:rPr>
              <w:t>2、甲方应按合同约定的条件、时间和方式向乙方支付合同价款，如甲方未能按合同约定支付合同价款的，应承担逾期支付的违约责任。</w:t>
            </w:r>
          </w:p>
          <w:p w14:paraId="03BF4AD6">
            <w:pPr>
              <w:pStyle w:val="10"/>
              <w:spacing w:line="360" w:lineRule="auto"/>
              <w:rPr>
                <w:rFonts w:hint="eastAsia" w:hAnsi="宋体" w:cs="宋体"/>
                <w:sz w:val="24"/>
              </w:rPr>
            </w:pPr>
            <w:r>
              <w:rPr>
                <w:rFonts w:hint="eastAsia" w:hAnsi="宋体" w:cs="宋体"/>
                <w:sz w:val="24"/>
              </w:rPr>
              <w:t>3、付款以转账形式支付。</w:t>
            </w:r>
          </w:p>
          <w:p w14:paraId="54436903">
            <w:pPr>
              <w:pStyle w:val="10"/>
              <w:spacing w:line="360" w:lineRule="auto"/>
              <w:rPr>
                <w:rFonts w:hAnsi="宋体" w:cs="宋体"/>
                <w:kern w:val="2"/>
                <w:sz w:val="24"/>
                <w:szCs w:val="24"/>
              </w:rPr>
            </w:pPr>
            <w:r>
              <w:rPr>
                <w:rFonts w:hint="eastAsia" w:hAnsi="宋体" w:cs="宋体"/>
                <w:sz w:val="24"/>
              </w:rPr>
              <w:t>4、如非甲方和不可抗力原因乙方未能按照合同约定交货（如不按时供货、供货产品与投标（响应）文件中响应产品情况不一致等），或交付设备/服务工作质量未能达到验收标准，使得项目资金被上级财政部门收回，由此产生的一切损失及后果均由乙方承担。</w:t>
            </w:r>
          </w:p>
        </w:tc>
      </w:tr>
      <w:tr w14:paraId="37F8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Align w:val="center"/>
          </w:tcPr>
          <w:p w14:paraId="5EE6E8A7">
            <w:pPr>
              <w:pStyle w:val="10"/>
              <w:spacing w:line="360" w:lineRule="auto"/>
              <w:jc w:val="center"/>
              <w:rPr>
                <w:rFonts w:hint="eastAsia" w:hAnsi="宋体" w:eastAsia="宋体" w:cs="宋体"/>
                <w:kern w:val="2"/>
                <w:sz w:val="24"/>
                <w:szCs w:val="24"/>
                <w:lang w:eastAsia="zh-CN"/>
              </w:rPr>
            </w:pPr>
            <w:r>
              <w:rPr>
                <w:rFonts w:hint="eastAsia" w:hAnsi="宋体" w:cs="宋体"/>
                <w:kern w:val="2"/>
                <w:sz w:val="24"/>
                <w:szCs w:val="24"/>
                <w:lang w:val="en-US" w:eastAsia="zh-CN"/>
              </w:rPr>
              <w:t>四</w:t>
            </w:r>
          </w:p>
        </w:tc>
        <w:tc>
          <w:tcPr>
            <w:tcW w:w="7819" w:type="dxa"/>
            <w:vAlign w:val="center"/>
          </w:tcPr>
          <w:p w14:paraId="6BA8E018">
            <w:pPr>
              <w:pStyle w:val="10"/>
              <w:spacing w:line="360" w:lineRule="auto"/>
              <w:rPr>
                <w:rFonts w:hAnsi="宋体" w:cs="宋体"/>
                <w:kern w:val="2"/>
                <w:sz w:val="24"/>
                <w:szCs w:val="24"/>
              </w:rPr>
            </w:pPr>
            <w:r>
              <w:rPr>
                <w:rFonts w:hint="eastAsia" w:hAnsi="宋体" w:cs="宋体"/>
                <w:sz w:val="24"/>
              </w:rPr>
              <w:t>▲</w:t>
            </w:r>
            <w:r>
              <w:rPr>
                <w:rFonts w:hint="eastAsia" w:hAnsi="宋体" w:cs="宋体"/>
                <w:b/>
                <w:bCs/>
                <w:kern w:val="2"/>
                <w:sz w:val="24"/>
                <w:szCs w:val="24"/>
              </w:rPr>
              <w:t>质量标准：符合国家、行业、省市的相关要求，满足采购人需求，供货、安装、调试完成后一次性验收合格。</w:t>
            </w:r>
          </w:p>
        </w:tc>
      </w:tr>
    </w:tbl>
    <w:p w14:paraId="1A76B888">
      <w:pPr>
        <w:rPr>
          <w:rFonts w:ascii="宋体" w:hAnsi="宋体" w:cs="宋体"/>
          <w:b/>
          <w:bCs/>
        </w:rPr>
      </w:pPr>
    </w:p>
    <w:p w14:paraId="7CCACBD8">
      <w:pPr>
        <w:rPr>
          <w:rFonts w:ascii="宋体" w:hAnsi="宋体" w:cs="宋体"/>
          <w:bCs/>
          <w:sz w:val="24"/>
        </w:rPr>
      </w:pPr>
    </w:p>
    <w:p w14:paraId="0B733F47">
      <w:pPr>
        <w:spacing w:after="240"/>
        <w:jc w:val="center"/>
        <w:rPr>
          <w:rFonts w:ascii="宋体" w:hAnsi="宋体" w:cs="宋体"/>
          <w:sz w:val="63"/>
          <w:szCs w:val="63"/>
        </w:rPr>
      </w:pPr>
    </w:p>
    <w:p w14:paraId="6C21CCF8">
      <w:pPr>
        <w:pStyle w:val="4"/>
        <w:numPr>
          <w:ilvl w:val="2"/>
          <w:numId w:val="0"/>
        </w:numPr>
        <w:tabs>
          <w:tab w:val="clear" w:pos="360"/>
          <w:tab w:val="clear" w:pos="900"/>
          <w:tab w:val="clear" w:pos="1588"/>
        </w:tabs>
        <w:spacing w:line="443" w:lineRule="exact"/>
        <w:ind w:left="2973" w:firstLine="281" w:firstLineChars="100"/>
        <w:rPr>
          <w:rFonts w:ascii="宋体" w:hAnsi="宋体" w:cs="宋体"/>
          <w:sz w:val="30"/>
          <w:highlight w:val="none"/>
        </w:rPr>
      </w:pPr>
      <w:bookmarkStart w:id="194" w:name="_Toc373252455"/>
      <w:r>
        <w:rPr>
          <w:rFonts w:hint="eastAsia" w:ascii="宋体" w:hAnsi="宋体" w:cs="宋体"/>
          <w:kern w:val="0"/>
          <w:szCs w:val="21"/>
        </w:rPr>
        <w:br w:type="page"/>
      </w:r>
      <w:bookmarkStart w:id="195" w:name="_Toc12840"/>
      <w:r>
        <w:rPr>
          <w:rFonts w:hint="eastAsia" w:ascii="宋体" w:hAnsi="宋体" w:cs="宋体"/>
          <w:kern w:val="0"/>
          <w:szCs w:val="21"/>
          <w:lang w:val="en-US" w:eastAsia="zh-CN"/>
        </w:rPr>
        <w:t>2、</w:t>
      </w:r>
      <w:r>
        <w:rPr>
          <w:rFonts w:hint="eastAsia" w:ascii="宋体" w:hAnsi="宋体" w:cs="宋体"/>
          <w:sz w:val="30"/>
          <w:highlight w:val="none"/>
        </w:rPr>
        <w:t>合同格式</w:t>
      </w:r>
      <w:bookmarkEnd w:id="195"/>
    </w:p>
    <w:p w14:paraId="6D1D6844">
      <w:pPr>
        <w:jc w:val="center"/>
        <w:rPr>
          <w:rFonts w:ascii="宋体" w:hAnsi="宋体" w:cs="宋体"/>
          <w:b/>
          <w:kern w:val="0"/>
          <w:sz w:val="28"/>
          <w:szCs w:val="28"/>
          <w:highlight w:val="none"/>
        </w:rPr>
      </w:pPr>
      <w:r>
        <w:rPr>
          <w:rFonts w:hint="eastAsia" w:ascii="宋体" w:hAnsi="宋体" w:cs="宋体"/>
          <w:b/>
          <w:kern w:val="0"/>
          <w:sz w:val="28"/>
          <w:szCs w:val="28"/>
          <w:highlight w:val="none"/>
        </w:rPr>
        <w:t>说明：合同基本格式及主要条款以中标人和招标人最终协商确定的内容为准，合同的关键内容依据招标文件和投标文件，所签订的合同不得对招标文件确定的事项和中标人的投标文件作实质性修改。</w:t>
      </w:r>
    </w:p>
    <w:p w14:paraId="6A0B533C">
      <w:pPr>
        <w:jc w:val="center"/>
        <w:rPr>
          <w:rFonts w:ascii="宋体" w:hAnsi="宋体" w:cs="宋体"/>
          <w:highlight w:val="none"/>
        </w:rPr>
      </w:pPr>
      <w:r>
        <w:rPr>
          <w:rFonts w:hint="eastAsia" w:ascii="宋体" w:hAnsi="宋体" w:cs="宋体"/>
          <w:b/>
          <w:bCs/>
          <w:spacing w:val="17"/>
          <w:sz w:val="20"/>
          <w:szCs w:val="20"/>
          <w:highlight w:val="none"/>
        </w:rPr>
        <w:t>（本合同范本仅是参考，具体以实际签订合同为准）</w:t>
      </w:r>
    </w:p>
    <w:p w14:paraId="0B4062D5">
      <w:pPr>
        <w:spacing w:line="793" w:lineRule="exact"/>
        <w:ind w:left="3705"/>
        <w:rPr>
          <w:rFonts w:ascii="宋体" w:hAnsi="宋体" w:cs="宋体"/>
          <w:spacing w:val="10"/>
          <w:sz w:val="68"/>
          <w:szCs w:val="68"/>
          <w:highlight w:val="none"/>
        </w:rPr>
      </w:pPr>
    </w:p>
    <w:p w14:paraId="3C1786A9">
      <w:pPr>
        <w:spacing w:line="793" w:lineRule="exact"/>
        <w:ind w:left="3705"/>
        <w:rPr>
          <w:rFonts w:ascii="宋体" w:hAnsi="宋体" w:cs="宋体"/>
          <w:spacing w:val="10"/>
          <w:sz w:val="68"/>
          <w:szCs w:val="68"/>
          <w:highlight w:val="none"/>
        </w:rPr>
      </w:pPr>
    </w:p>
    <w:p w14:paraId="3EF10F76">
      <w:pPr>
        <w:spacing w:line="793" w:lineRule="exact"/>
        <w:jc w:val="center"/>
        <w:rPr>
          <w:rFonts w:ascii="宋体" w:hAnsi="宋体" w:cs="宋体"/>
          <w:sz w:val="68"/>
          <w:szCs w:val="68"/>
          <w:highlight w:val="none"/>
        </w:rPr>
      </w:pPr>
      <w:r>
        <w:rPr>
          <w:rFonts w:hint="eastAsia" w:ascii="宋体" w:hAnsi="宋体" w:cs="宋体"/>
          <w:spacing w:val="10"/>
          <w:sz w:val="68"/>
          <w:szCs w:val="68"/>
          <w:highlight w:val="none"/>
        </w:rPr>
        <w:t>政府采购合同</w:t>
      </w:r>
    </w:p>
    <w:p w14:paraId="24FFCD95">
      <w:pPr>
        <w:spacing w:before="210"/>
        <w:jc w:val="center"/>
        <w:rPr>
          <w:rFonts w:ascii="宋体" w:hAnsi="宋体" w:cs="宋体"/>
          <w:sz w:val="32"/>
          <w:szCs w:val="32"/>
          <w:highlight w:val="none"/>
        </w:rPr>
      </w:pPr>
      <w:r>
        <w:rPr>
          <w:rFonts w:hint="eastAsia" w:ascii="宋体" w:hAnsi="宋体" w:cs="宋体"/>
          <w:sz w:val="32"/>
          <w:szCs w:val="32"/>
          <w:highlight w:val="none"/>
        </w:rPr>
        <w:t>(电⼦交易项⽬适⽤）</w:t>
      </w:r>
    </w:p>
    <w:p w14:paraId="20A353B8">
      <w:pPr>
        <w:jc w:val="center"/>
        <w:rPr>
          <w:rFonts w:ascii="宋体" w:hAnsi="宋体" w:cs="宋体"/>
          <w:sz w:val="32"/>
          <w:szCs w:val="32"/>
          <w:highlight w:val="none"/>
        </w:rPr>
      </w:pPr>
    </w:p>
    <w:p w14:paraId="583EFD96">
      <w:pPr>
        <w:spacing w:before="2"/>
        <w:jc w:val="center"/>
        <w:rPr>
          <w:rFonts w:ascii="宋体" w:hAnsi="宋体" w:cs="宋体"/>
          <w:sz w:val="36"/>
          <w:szCs w:val="36"/>
          <w:highlight w:val="none"/>
        </w:rPr>
      </w:pPr>
    </w:p>
    <w:p w14:paraId="1A329BFB">
      <w:pPr>
        <w:ind w:firstLine="1400" w:firstLineChars="400"/>
        <w:rPr>
          <w:rFonts w:ascii="宋体" w:hAnsi="宋体" w:cs="宋体"/>
          <w:sz w:val="35"/>
          <w:szCs w:val="35"/>
          <w:highlight w:val="none"/>
        </w:rPr>
      </w:pPr>
    </w:p>
    <w:p w14:paraId="676DABCE">
      <w:pPr>
        <w:ind w:firstLine="1400" w:firstLineChars="400"/>
        <w:rPr>
          <w:rFonts w:ascii="宋体" w:hAnsi="宋体" w:cs="宋体"/>
          <w:sz w:val="35"/>
          <w:szCs w:val="35"/>
          <w:highlight w:val="none"/>
        </w:rPr>
      </w:pPr>
      <w:r>
        <w:rPr>
          <w:rFonts w:hint="eastAsia" w:ascii="宋体" w:hAnsi="宋体" w:cs="宋体"/>
          <w:sz w:val="35"/>
          <w:szCs w:val="35"/>
          <w:highlight w:val="none"/>
        </w:rPr>
        <w:t>项 ⽬ 名</w:t>
      </w:r>
      <w:r>
        <w:rPr>
          <w:rFonts w:hint="eastAsia" w:ascii="宋体" w:hAnsi="宋体" w:cs="宋体"/>
          <w:spacing w:val="-20"/>
          <w:sz w:val="35"/>
          <w:szCs w:val="35"/>
          <w:highlight w:val="none"/>
        </w:rPr>
        <w:t xml:space="preserve"> </w:t>
      </w:r>
      <w:r>
        <w:rPr>
          <w:rFonts w:hint="eastAsia" w:ascii="宋体" w:hAnsi="宋体" w:cs="宋体"/>
          <w:sz w:val="35"/>
          <w:szCs w:val="35"/>
          <w:highlight w:val="none"/>
        </w:rPr>
        <w:t>称：</w:t>
      </w:r>
    </w:p>
    <w:p w14:paraId="55210750">
      <w:pPr>
        <w:spacing w:before="4"/>
        <w:jc w:val="center"/>
        <w:rPr>
          <w:rFonts w:ascii="宋体" w:hAnsi="宋体" w:cs="宋体"/>
          <w:sz w:val="24"/>
          <w:szCs w:val="24"/>
          <w:highlight w:val="none"/>
        </w:rPr>
      </w:pPr>
    </w:p>
    <w:p w14:paraId="5805209C">
      <w:pPr>
        <w:ind w:firstLine="1400" w:firstLineChars="400"/>
        <w:rPr>
          <w:rFonts w:ascii="宋体" w:hAnsi="宋体" w:cs="宋体"/>
          <w:position w:val="1"/>
          <w:sz w:val="34"/>
          <w:szCs w:val="34"/>
          <w:highlight w:val="none"/>
        </w:rPr>
      </w:pPr>
      <w:r>
        <w:rPr>
          <w:rFonts w:hint="eastAsia" w:ascii="宋体" w:hAnsi="宋体" w:cs="宋体"/>
          <w:sz w:val="35"/>
          <w:szCs w:val="35"/>
          <w:highlight w:val="none"/>
        </w:rPr>
        <w:t>合 同 编</w:t>
      </w:r>
      <w:r>
        <w:rPr>
          <w:rFonts w:hint="eastAsia" w:ascii="宋体" w:hAnsi="宋体" w:cs="宋体"/>
          <w:spacing w:val="-20"/>
          <w:sz w:val="35"/>
          <w:szCs w:val="35"/>
          <w:highlight w:val="none"/>
        </w:rPr>
        <w:t xml:space="preserve"> </w:t>
      </w:r>
      <w:r>
        <w:rPr>
          <w:rFonts w:hint="eastAsia" w:ascii="宋体" w:hAnsi="宋体" w:cs="宋体"/>
          <w:sz w:val="35"/>
          <w:szCs w:val="35"/>
          <w:highlight w:val="none"/>
        </w:rPr>
        <w:t>号：</w:t>
      </w:r>
      <w:r>
        <w:rPr>
          <w:rFonts w:hint="eastAsia" w:ascii="宋体" w:hAnsi="宋体" w:cs="宋体"/>
          <w:sz w:val="35"/>
          <w:szCs w:val="35"/>
          <w:highlight w:val="none"/>
          <w:u w:val="single"/>
        </w:rPr>
        <w:t xml:space="preserve">                 </w:t>
      </w:r>
      <w:r>
        <w:rPr>
          <w:rFonts w:hint="eastAsia" w:ascii="宋体" w:hAnsi="宋体" w:cs="宋体"/>
          <w:position w:val="1"/>
          <w:sz w:val="34"/>
          <w:szCs w:val="34"/>
          <w:highlight w:val="none"/>
        </w:rPr>
        <w:t>（系统编号）</w:t>
      </w:r>
    </w:p>
    <w:p w14:paraId="0AC917B1">
      <w:pPr>
        <w:jc w:val="center"/>
        <w:rPr>
          <w:rFonts w:ascii="宋体" w:hAnsi="宋体" w:cs="宋体"/>
          <w:position w:val="1"/>
          <w:sz w:val="34"/>
          <w:szCs w:val="34"/>
          <w:highlight w:val="none"/>
        </w:rPr>
      </w:pPr>
    </w:p>
    <w:tbl>
      <w:tblPr>
        <w:tblStyle w:val="16"/>
        <w:tblW w:w="0" w:type="auto"/>
        <w:jc w:val="center"/>
        <w:tblLayout w:type="fixed"/>
        <w:tblCellMar>
          <w:top w:w="0" w:type="dxa"/>
          <w:left w:w="0" w:type="dxa"/>
          <w:bottom w:w="0" w:type="dxa"/>
          <w:right w:w="0" w:type="dxa"/>
        </w:tblCellMar>
      </w:tblPr>
      <w:tblGrid>
        <w:gridCol w:w="721"/>
        <w:gridCol w:w="1141"/>
        <w:gridCol w:w="4299"/>
      </w:tblGrid>
      <w:tr w14:paraId="5C06B3D4">
        <w:tblPrEx>
          <w:tblCellMar>
            <w:top w:w="0" w:type="dxa"/>
            <w:left w:w="0" w:type="dxa"/>
            <w:bottom w:w="0" w:type="dxa"/>
            <w:right w:w="0" w:type="dxa"/>
          </w:tblCellMar>
        </w:tblPrEx>
        <w:trPr>
          <w:trHeight w:val="776" w:hRule="exact"/>
          <w:jc w:val="center"/>
        </w:trPr>
        <w:tc>
          <w:tcPr>
            <w:tcW w:w="1862" w:type="dxa"/>
            <w:gridSpan w:val="2"/>
            <w:tcBorders>
              <w:top w:val="nil"/>
              <w:left w:val="nil"/>
              <w:bottom w:val="nil"/>
              <w:right w:val="nil"/>
            </w:tcBorders>
          </w:tcPr>
          <w:p w14:paraId="7D086323">
            <w:pPr>
              <w:jc w:val="center"/>
              <w:rPr>
                <w:rFonts w:ascii="宋体" w:hAnsi="宋体" w:cs="宋体"/>
                <w:highlight w:val="none"/>
                <w:u w:val="single"/>
              </w:rPr>
            </w:pPr>
          </w:p>
        </w:tc>
        <w:tc>
          <w:tcPr>
            <w:tcW w:w="4299" w:type="dxa"/>
            <w:tcBorders>
              <w:top w:val="nil"/>
              <w:left w:val="nil"/>
              <w:bottom w:val="nil"/>
              <w:right w:val="nil"/>
            </w:tcBorders>
          </w:tcPr>
          <w:p w14:paraId="481AFA97">
            <w:pPr>
              <w:pStyle w:val="22"/>
              <w:spacing w:line="447" w:lineRule="exact"/>
              <w:ind w:left="120"/>
              <w:jc w:val="center"/>
              <w:rPr>
                <w:rFonts w:ascii="宋体" w:hAnsi="宋体" w:eastAsia="宋体" w:cs="宋体"/>
                <w:sz w:val="34"/>
                <w:szCs w:val="34"/>
                <w:highlight w:val="none"/>
                <w:u w:val="single"/>
              </w:rPr>
            </w:pPr>
            <w:r>
              <w:rPr>
                <w:rFonts w:hint="eastAsia" w:ascii="宋体" w:hAnsi="宋体" w:eastAsia="宋体" w:cs="宋体"/>
                <w:sz w:val="34"/>
                <w:szCs w:val="34"/>
                <w:highlight w:val="none"/>
                <w:u w:val="single"/>
              </w:rPr>
              <w:t>（⾃编号，如有）</w:t>
            </w:r>
          </w:p>
        </w:tc>
      </w:tr>
      <w:tr w14:paraId="2DFF8E65">
        <w:tblPrEx>
          <w:tblCellMar>
            <w:top w:w="0" w:type="dxa"/>
            <w:left w:w="0" w:type="dxa"/>
            <w:bottom w:w="0" w:type="dxa"/>
            <w:right w:w="0" w:type="dxa"/>
          </w:tblCellMar>
        </w:tblPrEx>
        <w:trPr>
          <w:trHeight w:val="1021" w:hRule="exact"/>
          <w:jc w:val="center"/>
        </w:trPr>
        <w:tc>
          <w:tcPr>
            <w:tcW w:w="721" w:type="dxa"/>
            <w:tcBorders>
              <w:top w:val="nil"/>
              <w:left w:val="nil"/>
              <w:bottom w:val="nil"/>
              <w:right w:val="nil"/>
            </w:tcBorders>
          </w:tcPr>
          <w:p w14:paraId="78637CEF">
            <w:pPr>
              <w:pStyle w:val="22"/>
              <w:spacing w:before="83"/>
              <w:ind w:left="55"/>
              <w:jc w:val="center"/>
              <w:rPr>
                <w:rFonts w:ascii="宋体" w:hAnsi="宋体" w:eastAsia="宋体" w:cs="宋体"/>
                <w:sz w:val="35"/>
                <w:szCs w:val="35"/>
                <w:highlight w:val="none"/>
              </w:rPr>
            </w:pPr>
            <w:r>
              <w:rPr>
                <w:rFonts w:hint="eastAsia" w:ascii="宋体" w:hAnsi="宋体" w:eastAsia="宋体" w:cs="宋体"/>
                <w:w w:val="101"/>
                <w:sz w:val="35"/>
                <w:szCs w:val="35"/>
                <w:highlight w:val="none"/>
              </w:rPr>
              <w:t>甲</w:t>
            </w:r>
          </w:p>
        </w:tc>
        <w:tc>
          <w:tcPr>
            <w:tcW w:w="1141" w:type="dxa"/>
            <w:tcBorders>
              <w:top w:val="nil"/>
              <w:left w:val="nil"/>
              <w:bottom w:val="nil"/>
              <w:right w:val="nil"/>
            </w:tcBorders>
          </w:tcPr>
          <w:p w14:paraId="5EC01B06">
            <w:pPr>
              <w:pStyle w:val="22"/>
              <w:spacing w:before="83"/>
              <w:ind w:left="310"/>
              <w:jc w:val="center"/>
              <w:rPr>
                <w:rFonts w:ascii="宋体" w:hAnsi="宋体" w:eastAsia="宋体" w:cs="宋体"/>
                <w:sz w:val="35"/>
                <w:szCs w:val="35"/>
                <w:highlight w:val="none"/>
              </w:rPr>
            </w:pPr>
            <w:r>
              <w:rPr>
                <w:rFonts w:hint="eastAsia" w:ascii="宋体" w:hAnsi="宋体" w:eastAsia="宋体" w:cs="宋体"/>
                <w:sz w:val="35"/>
                <w:szCs w:val="35"/>
                <w:highlight w:val="none"/>
              </w:rPr>
              <w:t>⽅：</w:t>
            </w:r>
          </w:p>
        </w:tc>
        <w:tc>
          <w:tcPr>
            <w:tcW w:w="4299" w:type="dxa"/>
            <w:tcBorders>
              <w:top w:val="nil"/>
              <w:left w:val="nil"/>
              <w:bottom w:val="nil"/>
              <w:right w:val="nil"/>
            </w:tcBorders>
          </w:tcPr>
          <w:p w14:paraId="44DAB8B5">
            <w:pPr>
              <w:pStyle w:val="22"/>
              <w:spacing w:before="87"/>
              <w:ind w:left="120"/>
              <w:jc w:val="center"/>
              <w:rPr>
                <w:rFonts w:ascii="宋体" w:hAnsi="宋体" w:eastAsia="宋体" w:cs="宋体"/>
                <w:sz w:val="34"/>
                <w:szCs w:val="34"/>
                <w:highlight w:val="none"/>
              </w:rPr>
            </w:pPr>
            <w:r>
              <w:rPr>
                <w:rFonts w:hint="eastAsia" w:ascii="宋体" w:hAnsi="宋体" w:eastAsia="宋体" w:cs="宋体"/>
                <w:sz w:val="34"/>
                <w:szCs w:val="34"/>
                <w:highlight w:val="none"/>
                <w:u w:val="thick" w:color="000000"/>
              </w:rPr>
              <w:t>牟定县职业高级中学</w:t>
            </w:r>
          </w:p>
        </w:tc>
      </w:tr>
      <w:tr w14:paraId="3E4CB551">
        <w:tblPrEx>
          <w:tblCellMar>
            <w:top w:w="0" w:type="dxa"/>
            <w:left w:w="0" w:type="dxa"/>
            <w:bottom w:w="0" w:type="dxa"/>
            <w:right w:w="0" w:type="dxa"/>
          </w:tblCellMar>
        </w:tblPrEx>
        <w:trPr>
          <w:trHeight w:val="789" w:hRule="exact"/>
          <w:jc w:val="center"/>
        </w:trPr>
        <w:tc>
          <w:tcPr>
            <w:tcW w:w="721" w:type="dxa"/>
            <w:tcBorders>
              <w:top w:val="nil"/>
              <w:left w:val="nil"/>
              <w:bottom w:val="nil"/>
              <w:right w:val="nil"/>
            </w:tcBorders>
          </w:tcPr>
          <w:p w14:paraId="094ADCB7">
            <w:pPr>
              <w:pStyle w:val="22"/>
              <w:spacing w:before="82"/>
              <w:ind w:left="55"/>
              <w:jc w:val="center"/>
              <w:rPr>
                <w:rFonts w:ascii="宋体" w:hAnsi="宋体" w:eastAsia="宋体" w:cs="宋体"/>
                <w:sz w:val="35"/>
                <w:szCs w:val="35"/>
                <w:highlight w:val="none"/>
              </w:rPr>
            </w:pPr>
            <w:r>
              <w:rPr>
                <w:rFonts w:hint="eastAsia" w:ascii="宋体" w:hAnsi="宋体" w:eastAsia="宋体" w:cs="宋体"/>
                <w:w w:val="101"/>
                <w:sz w:val="35"/>
                <w:szCs w:val="35"/>
                <w:highlight w:val="none"/>
              </w:rPr>
              <w:t>⼄</w:t>
            </w:r>
          </w:p>
        </w:tc>
        <w:tc>
          <w:tcPr>
            <w:tcW w:w="1141" w:type="dxa"/>
            <w:tcBorders>
              <w:top w:val="nil"/>
              <w:left w:val="nil"/>
              <w:bottom w:val="nil"/>
              <w:right w:val="nil"/>
            </w:tcBorders>
          </w:tcPr>
          <w:p w14:paraId="2AFCB260">
            <w:pPr>
              <w:pStyle w:val="22"/>
              <w:spacing w:before="82"/>
              <w:ind w:left="310"/>
              <w:jc w:val="center"/>
              <w:rPr>
                <w:rFonts w:ascii="宋体" w:hAnsi="宋体" w:eastAsia="宋体" w:cs="宋体"/>
                <w:sz w:val="35"/>
                <w:szCs w:val="35"/>
                <w:highlight w:val="none"/>
              </w:rPr>
            </w:pPr>
            <w:r>
              <w:rPr>
                <w:rFonts w:hint="eastAsia" w:ascii="宋体" w:hAnsi="宋体" w:eastAsia="宋体" w:cs="宋体"/>
                <w:sz w:val="35"/>
                <w:szCs w:val="35"/>
                <w:highlight w:val="none"/>
              </w:rPr>
              <w:t>⽅：</w:t>
            </w:r>
          </w:p>
        </w:tc>
        <w:tc>
          <w:tcPr>
            <w:tcW w:w="4299" w:type="dxa"/>
            <w:tcBorders>
              <w:top w:val="nil"/>
              <w:left w:val="nil"/>
              <w:bottom w:val="nil"/>
              <w:right w:val="nil"/>
            </w:tcBorders>
          </w:tcPr>
          <w:p w14:paraId="5E2CFB7B">
            <w:pPr>
              <w:pStyle w:val="22"/>
              <w:spacing w:before="85"/>
              <w:ind w:left="120"/>
              <w:jc w:val="center"/>
              <w:rPr>
                <w:rFonts w:ascii="宋体" w:hAnsi="宋体" w:eastAsia="宋体" w:cs="宋体"/>
                <w:sz w:val="34"/>
                <w:szCs w:val="34"/>
                <w:highlight w:val="none"/>
                <w:u w:val="single"/>
              </w:rPr>
            </w:pPr>
          </w:p>
        </w:tc>
      </w:tr>
    </w:tbl>
    <w:p w14:paraId="4AAB78D2">
      <w:pPr>
        <w:adjustRightInd w:val="0"/>
        <w:spacing w:line="360" w:lineRule="auto"/>
        <w:jc w:val="center"/>
        <w:rPr>
          <w:rFonts w:ascii="宋体" w:hAnsi="宋体"/>
          <w:b/>
          <w:spacing w:val="24"/>
          <w:sz w:val="32"/>
          <w:szCs w:val="32"/>
        </w:rPr>
      </w:pPr>
    </w:p>
    <w:p w14:paraId="49E116BE">
      <w:pPr>
        <w:spacing w:line="360" w:lineRule="auto"/>
        <w:rPr>
          <w:rFonts w:ascii="宋体" w:hAnsi="宋体"/>
          <w:b/>
          <w:kern w:val="0"/>
          <w:sz w:val="24"/>
        </w:rPr>
      </w:pPr>
    </w:p>
    <w:p w14:paraId="240AEC31">
      <w:pPr>
        <w:spacing w:line="660" w:lineRule="auto"/>
        <w:rPr>
          <w:rFonts w:ascii="宋体" w:hAnsi="宋体" w:cs="宋体"/>
          <w:sz w:val="24"/>
          <w:szCs w:val="24"/>
          <w:highlight w:val="none"/>
          <w:u w:val="single"/>
        </w:rPr>
      </w:pPr>
      <w:r>
        <w:rPr>
          <w:rFonts w:hint="eastAsia" w:ascii="宋体" w:hAnsi="宋体" w:cs="宋体"/>
          <w:sz w:val="24"/>
          <w:szCs w:val="24"/>
          <w:highlight w:val="none"/>
        </w:rPr>
        <w:t>甲方（采购人公章）名称：</w:t>
      </w:r>
      <w:r>
        <w:rPr>
          <w:rFonts w:hint="eastAsia" w:ascii="宋体" w:hAnsi="宋体" w:cs="宋体"/>
          <w:sz w:val="24"/>
          <w:szCs w:val="24"/>
          <w:highlight w:val="none"/>
          <w:u w:val="single"/>
        </w:rPr>
        <w:t xml:space="preserve">                           </w:t>
      </w:r>
    </w:p>
    <w:p w14:paraId="71B4BB4B">
      <w:pPr>
        <w:pStyle w:val="6"/>
        <w:spacing w:line="660" w:lineRule="auto"/>
        <w:rPr>
          <w:rFonts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5F7FF446">
      <w:pPr>
        <w:pStyle w:val="6"/>
        <w:spacing w:line="660" w:lineRule="auto"/>
        <w:rPr>
          <w:rFonts w:ascii="宋体" w:hAnsi="宋体" w:cs="宋体"/>
          <w:sz w:val="24"/>
          <w:szCs w:val="24"/>
          <w:highlight w:val="none"/>
          <w:u w:val="singl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p>
    <w:p w14:paraId="2E9A55C7">
      <w:pPr>
        <w:pStyle w:val="6"/>
        <w:spacing w:line="660" w:lineRule="auto"/>
        <w:rPr>
          <w:rFonts w:ascii="宋体" w:hAnsi="宋体" w:cs="宋体"/>
          <w:sz w:val="24"/>
          <w:szCs w:val="24"/>
          <w:highlight w:val="none"/>
          <w:u w:val="single"/>
        </w:rPr>
      </w:pPr>
      <w:r>
        <w:rPr>
          <w:rFonts w:hint="eastAsia" w:ascii="宋体" w:hAnsi="宋体" w:cs="宋体"/>
          <w:sz w:val="24"/>
          <w:szCs w:val="24"/>
          <w:highlight w:val="none"/>
        </w:rPr>
        <w:t>项目（技术）负责人：</w:t>
      </w:r>
      <w:r>
        <w:rPr>
          <w:rFonts w:hint="eastAsia" w:ascii="宋体" w:hAnsi="宋体" w:cs="宋体"/>
          <w:sz w:val="24"/>
          <w:szCs w:val="24"/>
          <w:highlight w:val="none"/>
          <w:u w:val="single"/>
        </w:rPr>
        <w:t xml:space="preserve">                               </w:t>
      </w:r>
    </w:p>
    <w:p w14:paraId="34CCD137">
      <w:pPr>
        <w:pStyle w:val="6"/>
        <w:spacing w:line="660" w:lineRule="auto"/>
        <w:rPr>
          <w:rFonts w:ascii="宋体" w:hAnsi="宋体" w:cs="宋体"/>
          <w:sz w:val="24"/>
          <w:szCs w:val="24"/>
          <w:highlight w:val="none"/>
          <w:u w:val="single"/>
        </w:rPr>
      </w:pP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p>
    <w:p w14:paraId="2428DC79">
      <w:pPr>
        <w:pStyle w:val="6"/>
        <w:spacing w:line="660" w:lineRule="auto"/>
        <w:rPr>
          <w:rFonts w:ascii="宋体" w:hAnsi="宋体" w:cs="宋体"/>
          <w:sz w:val="24"/>
          <w:szCs w:val="24"/>
          <w:highlight w:val="none"/>
        </w:rPr>
      </w:pPr>
    </w:p>
    <w:p w14:paraId="22640842">
      <w:pPr>
        <w:pStyle w:val="6"/>
        <w:spacing w:line="660" w:lineRule="auto"/>
        <w:rPr>
          <w:rFonts w:ascii="宋体" w:hAnsi="宋体" w:cs="宋体"/>
          <w:sz w:val="24"/>
          <w:szCs w:val="24"/>
          <w:highlight w:val="none"/>
          <w:u w:val="single"/>
        </w:rPr>
      </w:pPr>
      <w:r>
        <w:rPr>
          <w:rFonts w:hint="eastAsia" w:ascii="宋体" w:hAnsi="宋体" w:cs="宋体"/>
          <w:sz w:val="24"/>
          <w:szCs w:val="24"/>
          <w:highlight w:val="none"/>
        </w:rPr>
        <w:t>乙方（供应商公章）名称：</w:t>
      </w:r>
      <w:r>
        <w:rPr>
          <w:rFonts w:hint="eastAsia" w:ascii="宋体" w:hAnsi="宋体" w:cs="宋体"/>
          <w:sz w:val="24"/>
          <w:szCs w:val="24"/>
          <w:highlight w:val="none"/>
          <w:u w:val="single"/>
        </w:rPr>
        <w:t xml:space="preserve">                            </w:t>
      </w:r>
    </w:p>
    <w:p w14:paraId="4699A6F9">
      <w:pPr>
        <w:pStyle w:val="6"/>
        <w:spacing w:line="660" w:lineRule="auto"/>
        <w:rPr>
          <w:rFonts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5687EA98">
      <w:pPr>
        <w:pStyle w:val="6"/>
        <w:spacing w:line="660" w:lineRule="auto"/>
        <w:rPr>
          <w:rFonts w:ascii="宋体" w:hAnsi="宋体" w:cs="宋体"/>
          <w:sz w:val="24"/>
          <w:szCs w:val="24"/>
          <w:highlight w:val="none"/>
          <w:u w:val="singl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p>
    <w:p w14:paraId="7213462D">
      <w:pPr>
        <w:pStyle w:val="6"/>
        <w:spacing w:line="660" w:lineRule="auto"/>
        <w:rPr>
          <w:rFonts w:ascii="宋体" w:hAnsi="宋体" w:cs="宋体"/>
          <w:sz w:val="24"/>
          <w:szCs w:val="24"/>
          <w:highlight w:val="none"/>
          <w:u w:val="single"/>
        </w:rPr>
      </w:pPr>
      <w:r>
        <w:rPr>
          <w:rFonts w:hint="eastAsia" w:ascii="宋体" w:hAnsi="宋体" w:cs="宋体"/>
          <w:sz w:val="24"/>
          <w:szCs w:val="24"/>
          <w:highlight w:val="none"/>
        </w:rPr>
        <w:t>项目（技术）负责人：</w:t>
      </w:r>
      <w:r>
        <w:rPr>
          <w:rFonts w:hint="eastAsia" w:ascii="宋体" w:hAnsi="宋体" w:cs="宋体"/>
          <w:sz w:val="24"/>
          <w:szCs w:val="24"/>
          <w:highlight w:val="none"/>
          <w:u w:val="single"/>
        </w:rPr>
        <w:t xml:space="preserve">                                </w:t>
      </w:r>
    </w:p>
    <w:p w14:paraId="75D6D307">
      <w:pPr>
        <w:pStyle w:val="6"/>
        <w:spacing w:line="660" w:lineRule="auto"/>
        <w:rPr>
          <w:rFonts w:ascii="宋体" w:hAnsi="宋体" w:cs="宋体"/>
          <w:sz w:val="24"/>
          <w:szCs w:val="24"/>
          <w:highlight w:val="none"/>
          <w:u w:val="single"/>
        </w:rPr>
      </w:pP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p>
    <w:p w14:paraId="0798AB17">
      <w:pPr>
        <w:spacing w:line="360" w:lineRule="auto"/>
        <w:rPr>
          <w:rFonts w:ascii="宋体" w:hAnsi="宋体" w:cs="宋体"/>
          <w:sz w:val="24"/>
          <w:szCs w:val="24"/>
          <w:highlight w:val="none"/>
        </w:rPr>
      </w:pPr>
    </w:p>
    <w:p w14:paraId="2765DC3B">
      <w:pPr>
        <w:spacing w:line="360" w:lineRule="auto"/>
        <w:rPr>
          <w:rFonts w:ascii="宋体" w:hAnsi="宋体" w:cs="宋体"/>
          <w:sz w:val="24"/>
          <w:szCs w:val="24"/>
          <w:highlight w:val="none"/>
        </w:rPr>
      </w:pPr>
    </w:p>
    <w:p w14:paraId="431A0601">
      <w:pPr>
        <w:spacing w:line="240" w:lineRule="auto"/>
        <w:ind w:firstLine="0"/>
        <w:rPr>
          <w:rFonts w:hint="eastAsia" w:ascii="宋体" w:hAnsi="宋体" w:cs="宋体"/>
          <w:sz w:val="24"/>
          <w:szCs w:val="24"/>
          <w:highlight w:val="none"/>
        </w:rPr>
      </w:pPr>
      <w:r>
        <w:rPr>
          <w:rFonts w:hint="eastAsia" w:ascii="宋体" w:hAnsi="宋体" w:cs="宋体"/>
          <w:sz w:val="24"/>
          <w:szCs w:val="24"/>
          <w:highlight w:val="none"/>
        </w:rPr>
        <w:br w:type="page"/>
      </w:r>
    </w:p>
    <w:p w14:paraId="106644FC">
      <w:pPr>
        <w:spacing w:line="324" w:lineRule="auto"/>
        <w:ind w:firstLine="412"/>
        <w:rPr>
          <w:rFonts w:ascii="宋体" w:hAnsi="宋体" w:cs="宋体"/>
          <w:sz w:val="24"/>
          <w:szCs w:val="24"/>
          <w:highlight w:val="none"/>
        </w:rPr>
      </w:pPr>
      <w:r>
        <w:rPr>
          <w:rFonts w:hint="eastAsia" w:ascii="宋体" w:hAnsi="宋体" w:cs="宋体"/>
          <w:sz w:val="24"/>
          <w:szCs w:val="24"/>
          <w:highlight w:val="none"/>
        </w:rPr>
        <w:t>甲乙双方根据“</w:t>
      </w:r>
      <w:r>
        <w:rPr>
          <w:rFonts w:hint="eastAsia" w:ascii="宋体" w:hAnsi="宋体" w:cs="宋体"/>
          <w:bCs/>
          <w:sz w:val="24"/>
          <w:szCs w:val="24"/>
          <w:highlight w:val="none"/>
        </w:rPr>
        <w:t>招标项目名称</w:t>
      </w:r>
      <w:r>
        <w:rPr>
          <w:rFonts w:hint="eastAsia" w:ascii="宋体" w:hAnsi="宋体" w:cs="宋体"/>
          <w:sz w:val="24"/>
          <w:szCs w:val="24"/>
          <w:highlight w:val="none"/>
        </w:rPr>
        <w:t>” 项目招标结果(采购代理机构：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)，确定由乙方负责甲方</w:t>
      </w:r>
      <w:r>
        <w:rPr>
          <w:rFonts w:hint="eastAsia" w:ascii="宋体" w:hAnsi="宋体" w:cs="宋体"/>
          <w:sz w:val="24"/>
          <w:szCs w:val="24"/>
          <w:highlight w:val="none"/>
          <w:u w:val="single"/>
        </w:rPr>
        <w:t>（使用部门 ）</w:t>
      </w:r>
      <w:r>
        <w:rPr>
          <w:rFonts w:hint="eastAsia" w:ascii="宋体" w:hAnsi="宋体" w:cs="宋体"/>
          <w:sz w:val="24"/>
          <w:szCs w:val="24"/>
          <w:highlight w:val="none"/>
        </w:rPr>
        <w:t>设备供应，经过双方充分协商达成一致意见，签订以下内容：</w:t>
      </w:r>
    </w:p>
    <w:p w14:paraId="225B2C8C">
      <w:pPr>
        <w:spacing w:line="324" w:lineRule="auto"/>
        <w:rPr>
          <w:rFonts w:ascii="宋体" w:hAnsi="宋体" w:cs="宋体"/>
          <w:b/>
          <w:sz w:val="24"/>
          <w:szCs w:val="24"/>
          <w:highlight w:val="none"/>
        </w:rPr>
      </w:pPr>
      <w:r>
        <w:rPr>
          <w:rFonts w:hint="eastAsia" w:ascii="宋体" w:hAnsi="宋体" w:cs="宋体"/>
          <w:b/>
          <w:sz w:val="24"/>
          <w:szCs w:val="24"/>
          <w:highlight w:val="none"/>
        </w:rPr>
        <w:t xml:space="preserve">一、主体设备要求和数量、价格：                                   </w:t>
      </w:r>
    </w:p>
    <w:p w14:paraId="759E9B35">
      <w:pPr>
        <w:spacing w:line="324" w:lineRule="auto"/>
        <w:ind w:firstLine="480" w:firstLineChars="200"/>
        <w:rPr>
          <w:rFonts w:ascii="宋体" w:hAnsi="宋体" w:cs="宋体"/>
          <w:sz w:val="24"/>
          <w:szCs w:val="24"/>
          <w:highlight w:val="none"/>
        </w:rPr>
      </w:pPr>
      <w:r>
        <w:rPr>
          <w:rFonts w:hint="eastAsia" w:ascii="宋体" w:hAnsi="宋体" w:cs="宋体"/>
          <w:sz w:val="24"/>
          <w:szCs w:val="24"/>
          <w:highlight w:val="none"/>
        </w:rPr>
        <w:t>见附件</w:t>
      </w:r>
    </w:p>
    <w:p w14:paraId="63027C97">
      <w:pPr>
        <w:spacing w:line="324" w:lineRule="auto"/>
        <w:rPr>
          <w:rFonts w:ascii="宋体" w:hAnsi="宋体" w:cs="宋体"/>
          <w:b/>
          <w:sz w:val="24"/>
          <w:szCs w:val="24"/>
          <w:highlight w:val="none"/>
        </w:rPr>
      </w:pPr>
    </w:p>
    <w:p w14:paraId="63CF153D">
      <w:pPr>
        <w:spacing w:line="324" w:lineRule="auto"/>
        <w:rPr>
          <w:rFonts w:ascii="宋体" w:hAnsi="宋体" w:cs="宋体"/>
          <w:b/>
          <w:sz w:val="24"/>
          <w:szCs w:val="24"/>
          <w:highlight w:val="none"/>
        </w:rPr>
      </w:pPr>
      <w:r>
        <w:rPr>
          <w:rFonts w:hint="eastAsia" w:ascii="宋体" w:hAnsi="宋体" w:cs="宋体"/>
          <w:b/>
          <w:sz w:val="24"/>
          <w:szCs w:val="24"/>
          <w:highlight w:val="none"/>
        </w:rPr>
        <w:t>二、随机资料和配套附属设备要求</w:t>
      </w:r>
    </w:p>
    <w:p w14:paraId="0EC10A16">
      <w:pPr>
        <w:spacing w:line="324" w:lineRule="auto"/>
        <w:ind w:firstLine="480" w:firstLineChars="200"/>
        <w:rPr>
          <w:rFonts w:ascii="宋体" w:hAnsi="宋体" w:cs="宋体"/>
          <w:b/>
          <w:sz w:val="24"/>
          <w:szCs w:val="24"/>
          <w:highlight w:val="none"/>
        </w:rPr>
      </w:pPr>
      <w:r>
        <w:rPr>
          <w:rFonts w:hint="eastAsia" w:ascii="宋体" w:hAnsi="宋体" w:cs="宋体"/>
          <w:sz w:val="24"/>
          <w:szCs w:val="24"/>
          <w:highlight w:val="none"/>
        </w:rPr>
        <w:t>标准配置。</w:t>
      </w:r>
    </w:p>
    <w:p w14:paraId="78347C67">
      <w:pPr>
        <w:spacing w:line="324" w:lineRule="auto"/>
        <w:rPr>
          <w:rFonts w:ascii="宋体" w:hAnsi="宋体" w:cs="宋体"/>
          <w:b/>
          <w:sz w:val="24"/>
          <w:szCs w:val="24"/>
          <w:highlight w:val="none"/>
        </w:rPr>
      </w:pPr>
    </w:p>
    <w:p w14:paraId="3FA2040A">
      <w:pPr>
        <w:spacing w:line="324" w:lineRule="auto"/>
        <w:rPr>
          <w:rFonts w:ascii="宋体" w:hAnsi="宋体" w:cs="宋体"/>
          <w:b/>
          <w:sz w:val="24"/>
          <w:szCs w:val="24"/>
          <w:highlight w:val="none"/>
        </w:rPr>
      </w:pPr>
      <w:r>
        <w:rPr>
          <w:rFonts w:hint="eastAsia" w:ascii="宋体" w:hAnsi="宋体" w:cs="宋体"/>
          <w:b/>
          <w:sz w:val="24"/>
          <w:szCs w:val="24"/>
          <w:highlight w:val="none"/>
        </w:rPr>
        <w:t>三、安装调试要求</w:t>
      </w:r>
    </w:p>
    <w:p w14:paraId="435F7F7F">
      <w:pPr>
        <w:spacing w:line="324" w:lineRule="auto"/>
        <w:ind w:firstLine="480" w:firstLineChars="200"/>
        <w:rPr>
          <w:rFonts w:ascii="宋体" w:hAnsi="宋体" w:cs="宋体"/>
          <w:sz w:val="24"/>
          <w:szCs w:val="24"/>
          <w:highlight w:val="none"/>
        </w:rPr>
      </w:pPr>
      <w:r>
        <w:rPr>
          <w:rFonts w:hint="eastAsia" w:ascii="宋体" w:hAnsi="宋体" w:cs="宋体"/>
          <w:sz w:val="24"/>
          <w:szCs w:val="24"/>
          <w:highlight w:val="none"/>
        </w:rPr>
        <w:t>设备安装调试符合国家标准或规范，并满足甲方技术要求，乙方负责免费进行设备的安装测试同时完成。</w:t>
      </w:r>
    </w:p>
    <w:p w14:paraId="7EAC4B6C">
      <w:pPr>
        <w:spacing w:line="324" w:lineRule="auto"/>
        <w:ind w:firstLine="480" w:firstLineChars="200"/>
        <w:rPr>
          <w:rFonts w:ascii="宋体" w:hAnsi="宋体" w:cs="宋体"/>
          <w:sz w:val="24"/>
          <w:szCs w:val="24"/>
          <w:highlight w:val="none"/>
        </w:rPr>
      </w:pPr>
    </w:p>
    <w:p w14:paraId="3E64075C">
      <w:pPr>
        <w:spacing w:line="324" w:lineRule="auto"/>
        <w:rPr>
          <w:rFonts w:ascii="宋体" w:hAnsi="宋体" w:cs="宋体"/>
          <w:sz w:val="24"/>
          <w:szCs w:val="24"/>
          <w:highlight w:val="none"/>
        </w:rPr>
      </w:pPr>
      <w:r>
        <w:rPr>
          <w:rFonts w:hint="eastAsia" w:ascii="宋体" w:hAnsi="宋体" w:cs="宋体"/>
          <w:b/>
          <w:sz w:val="24"/>
          <w:szCs w:val="24"/>
          <w:highlight w:val="none"/>
        </w:rPr>
        <w:t>四、配套设备、备品备件（含易损件或消耗品）要求及长期供应优惠条件</w:t>
      </w:r>
    </w:p>
    <w:p w14:paraId="7D453764">
      <w:pPr>
        <w:spacing w:line="324" w:lineRule="auto"/>
        <w:ind w:firstLine="480" w:firstLineChars="200"/>
        <w:rPr>
          <w:rFonts w:ascii="宋体" w:hAnsi="宋体" w:cs="宋体"/>
          <w:b/>
          <w:sz w:val="24"/>
          <w:szCs w:val="24"/>
          <w:highlight w:val="none"/>
        </w:rPr>
      </w:pPr>
      <w:r>
        <w:rPr>
          <w:rFonts w:hint="eastAsia" w:ascii="宋体" w:hAnsi="宋体" w:cs="宋体"/>
          <w:sz w:val="24"/>
          <w:szCs w:val="24"/>
          <w:highlight w:val="none"/>
        </w:rPr>
        <w:t>长期优惠供应。</w:t>
      </w:r>
    </w:p>
    <w:p w14:paraId="0BB43A2B">
      <w:pPr>
        <w:spacing w:line="324" w:lineRule="auto"/>
        <w:rPr>
          <w:rFonts w:ascii="宋体" w:hAnsi="宋体" w:cs="宋体"/>
          <w:b/>
          <w:sz w:val="24"/>
          <w:szCs w:val="24"/>
          <w:highlight w:val="none"/>
        </w:rPr>
      </w:pPr>
    </w:p>
    <w:p w14:paraId="00B3E758">
      <w:pPr>
        <w:spacing w:line="324" w:lineRule="auto"/>
        <w:rPr>
          <w:rFonts w:ascii="宋体" w:hAnsi="宋体" w:cs="宋体"/>
          <w:b/>
          <w:sz w:val="24"/>
          <w:szCs w:val="24"/>
          <w:highlight w:val="none"/>
        </w:rPr>
      </w:pPr>
      <w:r>
        <w:rPr>
          <w:rFonts w:hint="eastAsia" w:ascii="宋体" w:hAnsi="宋体" w:cs="宋体"/>
          <w:b/>
          <w:sz w:val="24"/>
          <w:szCs w:val="24"/>
          <w:highlight w:val="none"/>
        </w:rPr>
        <w:t>五、合同总价：（人民币  元）</w:t>
      </w:r>
      <w:r>
        <w:rPr>
          <w:rFonts w:hint="eastAsia" w:ascii="宋体" w:hAnsi="宋体" w:cs="宋体"/>
          <w:b/>
          <w:sz w:val="24"/>
          <w:szCs w:val="24"/>
          <w:highlight w:val="none"/>
          <w:u w:val="single"/>
        </w:rPr>
        <w:t xml:space="preserve">           </w:t>
      </w:r>
      <w:r>
        <w:rPr>
          <w:rFonts w:hint="eastAsia" w:ascii="宋体" w:hAnsi="宋体" w:cs="宋体"/>
          <w:b/>
          <w:bCs/>
          <w:sz w:val="24"/>
          <w:szCs w:val="24"/>
          <w:highlight w:val="none"/>
        </w:rPr>
        <w:t>元整</w:t>
      </w:r>
    </w:p>
    <w:p w14:paraId="2E9B97A9">
      <w:pPr>
        <w:spacing w:line="324" w:lineRule="auto"/>
        <w:ind w:firstLine="480"/>
        <w:rPr>
          <w:rFonts w:ascii="宋体" w:hAnsi="宋体" w:cs="宋体"/>
          <w:sz w:val="24"/>
          <w:szCs w:val="24"/>
          <w:highlight w:val="none"/>
        </w:rPr>
      </w:pP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bCs/>
          <w:sz w:val="24"/>
          <w:szCs w:val="24"/>
          <w:highlight w:val="none"/>
        </w:rPr>
        <w:t>元</w:t>
      </w:r>
    </w:p>
    <w:p w14:paraId="2AFB8774">
      <w:pPr>
        <w:spacing w:line="324" w:lineRule="auto"/>
        <w:ind w:left="540" w:leftChars="257"/>
        <w:rPr>
          <w:rFonts w:ascii="宋体" w:hAnsi="宋体" w:cs="宋体"/>
          <w:sz w:val="24"/>
          <w:szCs w:val="24"/>
          <w:highlight w:val="none"/>
        </w:rPr>
      </w:pPr>
      <w:bookmarkStart w:id="196" w:name="_Toc29379756"/>
      <w:r>
        <w:rPr>
          <w:rFonts w:hint="eastAsia" w:ascii="宋体" w:hAnsi="宋体" w:cs="宋体"/>
          <w:sz w:val="24"/>
          <w:szCs w:val="24"/>
          <w:highlight w:val="none"/>
        </w:rPr>
        <w:t>以上价格为甲方指定地点交货价，并包含设备的安装运输调试费用。</w:t>
      </w:r>
      <w:bookmarkEnd w:id="196"/>
    </w:p>
    <w:p w14:paraId="742AB0E1">
      <w:pPr>
        <w:spacing w:line="324" w:lineRule="auto"/>
        <w:ind w:left="540" w:leftChars="257"/>
        <w:rPr>
          <w:rFonts w:ascii="宋体" w:hAnsi="宋体" w:cs="宋体"/>
          <w:b/>
          <w:sz w:val="24"/>
          <w:szCs w:val="24"/>
          <w:highlight w:val="none"/>
        </w:rPr>
      </w:pPr>
    </w:p>
    <w:p w14:paraId="6D6DAB37">
      <w:pPr>
        <w:spacing w:line="324" w:lineRule="auto"/>
        <w:rPr>
          <w:rFonts w:ascii="宋体" w:hAnsi="宋体" w:cs="宋体"/>
          <w:b/>
          <w:sz w:val="24"/>
          <w:szCs w:val="24"/>
          <w:highlight w:val="none"/>
        </w:rPr>
      </w:pPr>
      <w:r>
        <w:rPr>
          <w:rFonts w:hint="eastAsia" w:ascii="宋体" w:hAnsi="宋体" w:cs="宋体"/>
          <w:b/>
          <w:sz w:val="24"/>
          <w:szCs w:val="24"/>
          <w:highlight w:val="none"/>
        </w:rPr>
        <w:t>六、甲乙双方的权利和义务</w:t>
      </w:r>
    </w:p>
    <w:p w14:paraId="5CC421F7">
      <w:pPr>
        <w:spacing w:line="324" w:lineRule="auto"/>
        <w:ind w:firstLine="480"/>
        <w:rPr>
          <w:rFonts w:ascii="宋体" w:hAnsi="宋体" w:cs="宋体"/>
          <w:sz w:val="24"/>
          <w:szCs w:val="24"/>
          <w:highlight w:val="none"/>
        </w:rPr>
      </w:pPr>
      <w:r>
        <w:rPr>
          <w:rFonts w:hint="eastAsia" w:ascii="宋体" w:hAnsi="宋体" w:cs="宋体"/>
          <w:sz w:val="24"/>
          <w:szCs w:val="24"/>
          <w:highlight w:val="none"/>
        </w:rPr>
        <w:t>（一）甲方的权利和义务</w:t>
      </w:r>
    </w:p>
    <w:p w14:paraId="2A67D483">
      <w:pPr>
        <w:spacing w:line="324" w:lineRule="auto"/>
        <w:ind w:firstLine="480"/>
        <w:rPr>
          <w:rFonts w:ascii="宋体" w:hAnsi="宋体" w:cs="宋体"/>
          <w:sz w:val="24"/>
          <w:szCs w:val="24"/>
          <w:highlight w:val="none"/>
        </w:rPr>
      </w:pPr>
      <w:r>
        <w:rPr>
          <w:rFonts w:hint="eastAsia" w:ascii="宋体" w:hAnsi="宋体" w:cs="宋体"/>
          <w:sz w:val="24"/>
          <w:szCs w:val="24"/>
          <w:highlight w:val="none"/>
        </w:rPr>
        <w:t>1、负责合同签订后项目实施的工作（如与乙方的具体联系和衔结，现场安装调试时配备人员进行监管控制）；</w:t>
      </w:r>
    </w:p>
    <w:p w14:paraId="7B814D32">
      <w:pPr>
        <w:spacing w:line="324" w:lineRule="auto"/>
        <w:ind w:firstLine="480"/>
        <w:rPr>
          <w:rFonts w:ascii="宋体" w:hAnsi="宋体" w:cs="宋体"/>
          <w:sz w:val="24"/>
          <w:szCs w:val="24"/>
          <w:highlight w:val="none"/>
        </w:rPr>
      </w:pPr>
      <w:r>
        <w:rPr>
          <w:rFonts w:hint="eastAsia" w:ascii="宋体" w:hAnsi="宋体" w:cs="宋体"/>
          <w:sz w:val="24"/>
          <w:szCs w:val="24"/>
          <w:highlight w:val="none"/>
        </w:rPr>
        <w:t>2、负责提供设备和项目安装调试所必须的场地和环境；</w:t>
      </w:r>
    </w:p>
    <w:p w14:paraId="54D54550">
      <w:pPr>
        <w:spacing w:line="324" w:lineRule="auto"/>
        <w:ind w:firstLine="480"/>
        <w:rPr>
          <w:rFonts w:ascii="宋体" w:hAnsi="宋体" w:cs="宋体"/>
          <w:sz w:val="24"/>
          <w:szCs w:val="24"/>
          <w:highlight w:val="none"/>
        </w:rPr>
      </w:pPr>
      <w:r>
        <w:rPr>
          <w:rFonts w:hint="eastAsia" w:ascii="宋体" w:hAnsi="宋体" w:cs="宋体"/>
          <w:sz w:val="24"/>
          <w:szCs w:val="24"/>
          <w:highlight w:val="none"/>
        </w:rPr>
        <w:t>3、负责组织成立验收小组对设备和项目进行验收并签署验收报告；</w:t>
      </w:r>
    </w:p>
    <w:p w14:paraId="7697FC0D">
      <w:pPr>
        <w:spacing w:line="324" w:lineRule="auto"/>
        <w:ind w:firstLine="480"/>
        <w:rPr>
          <w:rFonts w:ascii="宋体" w:hAnsi="宋体" w:cs="宋体"/>
          <w:sz w:val="24"/>
          <w:szCs w:val="24"/>
          <w:highlight w:val="none"/>
        </w:rPr>
      </w:pPr>
      <w:r>
        <w:rPr>
          <w:rFonts w:hint="eastAsia" w:ascii="宋体" w:hAnsi="宋体" w:cs="宋体"/>
          <w:sz w:val="24"/>
          <w:szCs w:val="24"/>
          <w:highlight w:val="none"/>
        </w:rPr>
        <w:t>4、按合同规定享有乙方提供的设备服务。</w:t>
      </w:r>
    </w:p>
    <w:p w14:paraId="5D7B9B94">
      <w:pPr>
        <w:spacing w:line="324" w:lineRule="auto"/>
        <w:ind w:firstLine="480"/>
        <w:rPr>
          <w:rFonts w:ascii="宋体" w:hAnsi="宋体" w:cs="宋体"/>
          <w:sz w:val="24"/>
          <w:szCs w:val="24"/>
          <w:highlight w:val="none"/>
        </w:rPr>
      </w:pPr>
      <w:r>
        <w:rPr>
          <w:rFonts w:hint="eastAsia" w:ascii="宋体" w:hAnsi="宋体" w:cs="宋体"/>
          <w:sz w:val="24"/>
          <w:szCs w:val="24"/>
          <w:highlight w:val="none"/>
        </w:rPr>
        <w:t>5、如非甲方和不可抗力原因乙方未能按照合同约定交货，并严重超期造成采购人损失的，采购人有权根据政府采购政策按“政府采购严重失信行为”向上级财政部门报送相关情况，由此产生的一切后果由乙方自行承担。</w:t>
      </w:r>
    </w:p>
    <w:p w14:paraId="2CBDABA1">
      <w:pPr>
        <w:spacing w:line="324" w:lineRule="auto"/>
        <w:ind w:firstLine="480"/>
        <w:rPr>
          <w:rFonts w:ascii="宋体" w:hAnsi="宋体" w:cs="宋体"/>
          <w:sz w:val="24"/>
          <w:szCs w:val="24"/>
          <w:highlight w:val="none"/>
        </w:rPr>
      </w:pPr>
      <w:r>
        <w:rPr>
          <w:rFonts w:hint="eastAsia" w:ascii="宋体" w:hAnsi="宋体" w:cs="宋体"/>
          <w:sz w:val="24"/>
          <w:szCs w:val="24"/>
          <w:highlight w:val="none"/>
        </w:rPr>
        <w:t>（二）乙方的权利和义务</w:t>
      </w:r>
    </w:p>
    <w:p w14:paraId="35C58A93">
      <w:pPr>
        <w:spacing w:line="324" w:lineRule="auto"/>
        <w:ind w:firstLine="480"/>
        <w:rPr>
          <w:rFonts w:ascii="宋体" w:hAnsi="宋体" w:cs="宋体"/>
          <w:sz w:val="24"/>
          <w:szCs w:val="24"/>
          <w:highlight w:val="none"/>
        </w:rPr>
      </w:pPr>
      <w:r>
        <w:rPr>
          <w:rFonts w:hint="eastAsia" w:ascii="宋体" w:hAnsi="宋体" w:cs="宋体"/>
          <w:sz w:val="24"/>
          <w:szCs w:val="24"/>
          <w:highlight w:val="none"/>
        </w:rPr>
        <w:t>1、乙方保证按本合同一、二、三、四、五条款负责完成甲方项目，并保证提供的设备是全新（包括零部件）、符合招标文件规定、具有国家有关部门注册并符合国家质量检测标准（进口产品具有国家有关部门完整手续）和产品出厂标准的设备；</w:t>
      </w:r>
      <w:bookmarkStart w:id="197" w:name="_Hlk72835049"/>
      <w:r>
        <w:rPr>
          <w:rFonts w:hint="eastAsia" w:ascii="宋体" w:hAnsi="宋体" w:cs="宋体"/>
          <w:sz w:val="24"/>
          <w:szCs w:val="24"/>
          <w:highlight w:val="none"/>
        </w:rPr>
        <w:t>设备及主要配件保修期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年（以终验合格之日为起始日期），人工保修服务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年（以终验合格之日为起始日期），终身负责维修</w:t>
      </w:r>
      <w:bookmarkEnd w:id="197"/>
      <w:r>
        <w:rPr>
          <w:rFonts w:hint="eastAsia" w:ascii="宋体" w:hAnsi="宋体" w:cs="宋体"/>
          <w:sz w:val="24"/>
          <w:szCs w:val="24"/>
          <w:highlight w:val="none"/>
        </w:rPr>
        <w:t>；并保证设备在甲方报废前正常运行。具体服务：保修期内，乙方对设备提供全免费保修，发生两次以上技术问题应免费更换；人工保修服务期内，乙方对设备提供免费人工服务，仅收取备件维修更换成本费。保修期后，收取成本费维修（自然灾害及人为故意损坏除外）；主设备乙方提供现场维修，维修人员在收到故障报告后保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小时内到达现场，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类故障保证由</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人员（或工程师）在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天内修复，</w:t>
      </w:r>
      <w:r>
        <w:rPr>
          <w:rFonts w:hint="eastAsia" w:ascii="宋体" w:hAnsi="宋体" w:cs="宋体"/>
          <w:sz w:val="24"/>
          <w:szCs w:val="24"/>
          <w:highlight w:val="none"/>
          <w:u w:val="single"/>
        </w:rPr>
        <w:t xml:space="preserve">   </w:t>
      </w:r>
      <w:r>
        <w:rPr>
          <w:rFonts w:hint="eastAsia" w:ascii="宋体" w:hAnsi="宋体" w:cs="宋体"/>
          <w:sz w:val="24"/>
          <w:szCs w:val="24"/>
          <w:highlight w:val="none"/>
        </w:rPr>
        <w:t>类故障保证由</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人员（或工程师）在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天内修复；乙方保证在甲方指定地点供应备品备件（含易损件）和配套消耗品；乙方对所提供的设备实行</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月时间定期进行保养（或维护、巡检）制度；</w:t>
      </w:r>
    </w:p>
    <w:p w14:paraId="7A9EAFD1">
      <w:pPr>
        <w:spacing w:line="324" w:lineRule="auto"/>
        <w:ind w:firstLine="480"/>
        <w:rPr>
          <w:rFonts w:ascii="宋体" w:hAnsi="宋体" w:cs="宋体"/>
          <w:sz w:val="24"/>
          <w:szCs w:val="24"/>
          <w:highlight w:val="none"/>
        </w:rPr>
      </w:pPr>
      <w:r>
        <w:rPr>
          <w:rFonts w:hint="eastAsia" w:ascii="宋体" w:hAnsi="宋体" w:cs="宋体"/>
          <w:sz w:val="24"/>
          <w:szCs w:val="24"/>
          <w:highlight w:val="none"/>
        </w:rPr>
        <w:t>2、保证甲方在合同设备（有配套软件的还包括软件产品）使用期间不受第三方提出侵犯其专利权、商标权和工业设计权的起诉。</w:t>
      </w:r>
    </w:p>
    <w:p w14:paraId="2D0B00C2">
      <w:pPr>
        <w:spacing w:line="324" w:lineRule="auto"/>
        <w:ind w:firstLine="480"/>
        <w:rPr>
          <w:rFonts w:ascii="宋体" w:hAnsi="宋体" w:cs="宋体"/>
          <w:sz w:val="24"/>
          <w:szCs w:val="24"/>
          <w:highlight w:val="none"/>
        </w:rPr>
      </w:pPr>
      <w:r>
        <w:rPr>
          <w:rFonts w:hint="eastAsia" w:ascii="宋体" w:hAnsi="宋体" w:cs="宋体"/>
          <w:sz w:val="24"/>
          <w:szCs w:val="24"/>
          <w:highlight w:val="none"/>
        </w:rPr>
        <w:t>3、严格遵守招标文件、投标文件及中标所承诺的一切规定和条款；</w:t>
      </w:r>
    </w:p>
    <w:p w14:paraId="63552DB4">
      <w:pPr>
        <w:spacing w:line="324" w:lineRule="auto"/>
        <w:ind w:firstLine="480"/>
        <w:rPr>
          <w:rFonts w:ascii="宋体" w:hAnsi="宋体" w:cs="宋体"/>
          <w:sz w:val="24"/>
          <w:szCs w:val="24"/>
          <w:highlight w:val="none"/>
        </w:rPr>
      </w:pPr>
      <w:r>
        <w:rPr>
          <w:rFonts w:hint="eastAsia" w:ascii="宋体" w:hAnsi="宋体" w:cs="宋体"/>
          <w:sz w:val="24"/>
          <w:szCs w:val="24"/>
          <w:highlight w:val="none"/>
        </w:rPr>
        <w:t>4、参与甲方共同进行设备和项目的验收。</w:t>
      </w:r>
    </w:p>
    <w:p w14:paraId="1DE24A4F">
      <w:pPr>
        <w:spacing w:line="324" w:lineRule="auto"/>
        <w:rPr>
          <w:rFonts w:ascii="宋体" w:hAnsi="宋体" w:cs="宋体"/>
          <w:b/>
          <w:sz w:val="24"/>
          <w:szCs w:val="24"/>
          <w:highlight w:val="none"/>
        </w:rPr>
      </w:pPr>
    </w:p>
    <w:p w14:paraId="50FAC9E4">
      <w:pPr>
        <w:spacing w:line="324" w:lineRule="auto"/>
        <w:rPr>
          <w:rFonts w:ascii="宋体" w:hAnsi="宋体" w:cs="宋体"/>
          <w:b/>
          <w:sz w:val="24"/>
          <w:szCs w:val="24"/>
          <w:highlight w:val="none"/>
        </w:rPr>
      </w:pPr>
      <w:r>
        <w:rPr>
          <w:rFonts w:hint="eastAsia" w:ascii="宋体" w:hAnsi="宋体" w:cs="宋体"/>
          <w:b/>
          <w:sz w:val="24"/>
          <w:szCs w:val="24"/>
          <w:highlight w:val="none"/>
        </w:rPr>
        <w:t>七、以上内容与甲方采购确认和乙方中标承诺情况一致（或中标产品和设备的技术及服务保证甲方正常使用）。</w:t>
      </w:r>
    </w:p>
    <w:p w14:paraId="6DAB479E">
      <w:pPr>
        <w:spacing w:line="324" w:lineRule="auto"/>
        <w:rPr>
          <w:rFonts w:ascii="宋体" w:hAnsi="宋体" w:cs="宋体"/>
          <w:b/>
          <w:sz w:val="24"/>
          <w:szCs w:val="24"/>
          <w:highlight w:val="none"/>
        </w:rPr>
      </w:pPr>
    </w:p>
    <w:p w14:paraId="13E03E2D">
      <w:pPr>
        <w:spacing w:line="324" w:lineRule="auto"/>
        <w:rPr>
          <w:rFonts w:ascii="宋体" w:hAnsi="宋体" w:cs="宋体"/>
          <w:b/>
          <w:sz w:val="24"/>
          <w:szCs w:val="24"/>
          <w:highlight w:val="none"/>
        </w:rPr>
      </w:pPr>
      <w:r>
        <w:rPr>
          <w:rFonts w:hint="eastAsia" w:ascii="宋体" w:hAnsi="宋体" w:cs="宋体"/>
          <w:b/>
          <w:sz w:val="24"/>
          <w:szCs w:val="24"/>
          <w:highlight w:val="none"/>
        </w:rPr>
        <w:t>八、技术培训：</w:t>
      </w:r>
    </w:p>
    <w:p w14:paraId="33C4854D">
      <w:pPr>
        <w:spacing w:line="324" w:lineRule="auto"/>
        <w:ind w:firstLine="480"/>
        <w:rPr>
          <w:rFonts w:ascii="宋体" w:hAnsi="宋体" w:cs="宋体"/>
          <w:sz w:val="24"/>
          <w:szCs w:val="24"/>
          <w:highlight w:val="none"/>
        </w:rPr>
      </w:pPr>
      <w:r>
        <w:rPr>
          <w:rFonts w:hint="eastAsia" w:ascii="宋体" w:hAnsi="宋体" w:cs="宋体"/>
          <w:sz w:val="24"/>
          <w:szCs w:val="24"/>
          <w:highlight w:val="none"/>
        </w:rPr>
        <w:t>乙方向甲方提供</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天的设备使用人员现场例行免费培训，培训内容包括设备的调试、使用、一般的维修、维护及保养等；食宿自理（各自负责）；大型设备（或招标文件有要求、或投标文件有承诺的），乙方还将负责甲方</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人专业技术人员（或工程师）国内培训并应获得技术证书，费用由乙方负责，具体时间为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天、地点为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，其他由甲乙双方协定。</w:t>
      </w:r>
    </w:p>
    <w:p w14:paraId="16EA8C68">
      <w:pPr>
        <w:spacing w:line="324" w:lineRule="auto"/>
        <w:rPr>
          <w:rFonts w:ascii="宋体" w:hAnsi="宋体" w:cs="宋体"/>
          <w:b/>
          <w:sz w:val="24"/>
          <w:szCs w:val="24"/>
          <w:highlight w:val="none"/>
        </w:rPr>
      </w:pPr>
    </w:p>
    <w:p w14:paraId="3B0091A9">
      <w:pPr>
        <w:spacing w:line="324" w:lineRule="auto"/>
        <w:rPr>
          <w:rFonts w:ascii="宋体" w:hAnsi="宋体" w:cs="宋体"/>
          <w:b/>
          <w:sz w:val="24"/>
          <w:szCs w:val="24"/>
          <w:highlight w:val="none"/>
        </w:rPr>
      </w:pPr>
      <w:r>
        <w:rPr>
          <w:rFonts w:hint="eastAsia" w:ascii="宋体" w:hAnsi="宋体" w:cs="宋体"/>
          <w:b/>
          <w:sz w:val="24"/>
          <w:szCs w:val="24"/>
          <w:highlight w:val="none"/>
        </w:rPr>
        <w:t>九、甲方在设备使用过程中发生技术质量问题，乙方应提供及时有效的技术支持。</w:t>
      </w:r>
    </w:p>
    <w:p w14:paraId="5D8D842C">
      <w:pPr>
        <w:spacing w:line="324" w:lineRule="auto"/>
        <w:ind w:firstLine="480"/>
        <w:rPr>
          <w:rFonts w:ascii="宋体" w:hAnsi="宋体" w:cs="宋体"/>
          <w:sz w:val="24"/>
          <w:szCs w:val="24"/>
          <w:highlight w:val="none"/>
        </w:rPr>
      </w:pPr>
      <w:r>
        <w:rPr>
          <w:rFonts w:hint="eastAsia" w:ascii="宋体" w:hAnsi="宋体" w:cs="宋体"/>
          <w:sz w:val="24"/>
          <w:szCs w:val="24"/>
          <w:highlight w:val="none"/>
        </w:rPr>
        <w:t>乙方技术支持电话：        ，联系人：。</w:t>
      </w:r>
    </w:p>
    <w:p w14:paraId="00206D8E">
      <w:pPr>
        <w:spacing w:line="324" w:lineRule="auto"/>
        <w:rPr>
          <w:rFonts w:ascii="宋体" w:hAnsi="宋体" w:cs="宋体"/>
          <w:b/>
          <w:sz w:val="24"/>
          <w:szCs w:val="24"/>
          <w:highlight w:val="none"/>
        </w:rPr>
      </w:pPr>
    </w:p>
    <w:p w14:paraId="30D70F43">
      <w:pPr>
        <w:spacing w:line="324" w:lineRule="auto"/>
        <w:ind w:left="961" w:hanging="961" w:hangingChars="399"/>
        <w:rPr>
          <w:rFonts w:ascii="宋体" w:hAnsi="宋体" w:cs="宋体"/>
          <w:b/>
          <w:sz w:val="24"/>
          <w:szCs w:val="24"/>
          <w:highlight w:val="none"/>
        </w:rPr>
      </w:pPr>
      <w:r>
        <w:rPr>
          <w:rFonts w:hint="eastAsia" w:ascii="宋体" w:hAnsi="宋体" w:cs="宋体"/>
          <w:b/>
          <w:sz w:val="24"/>
          <w:szCs w:val="24"/>
          <w:highlight w:val="none"/>
        </w:rPr>
        <w:t>十、整体项目完成时间（即设备送达甲方指定地点并按规范安装调试完毕时间）为合同签订生效后于    年     月    日内完成。</w:t>
      </w:r>
    </w:p>
    <w:p w14:paraId="2EEE79B0">
      <w:pPr>
        <w:spacing w:line="324" w:lineRule="auto"/>
        <w:ind w:firstLine="480"/>
        <w:rPr>
          <w:rFonts w:ascii="宋体" w:hAnsi="宋体" w:cs="宋体"/>
          <w:sz w:val="24"/>
          <w:szCs w:val="24"/>
          <w:highlight w:val="none"/>
        </w:rPr>
      </w:pPr>
      <w:r>
        <w:rPr>
          <w:rFonts w:hint="eastAsia" w:ascii="宋体" w:hAnsi="宋体" w:cs="宋体"/>
          <w:sz w:val="24"/>
          <w:szCs w:val="24"/>
          <w:highlight w:val="none"/>
        </w:rPr>
        <w:t>设备交验地点和方式：合同签订后，乙方负责将完整配套的原封设备（含开机必要消耗品）送到甲方指定的地点（</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），由甲乙双方共同开箱初验，并由乙方按合同规范要求完成安装测试。交货时，乙方随货向甲方交付设备的相关资料及配备的用件、工具等。</w:t>
      </w:r>
    </w:p>
    <w:p w14:paraId="2FAD1DCD">
      <w:pPr>
        <w:spacing w:line="324" w:lineRule="auto"/>
        <w:rPr>
          <w:rFonts w:ascii="宋体" w:hAnsi="宋体" w:cs="宋体"/>
          <w:b/>
          <w:sz w:val="24"/>
          <w:szCs w:val="24"/>
          <w:highlight w:val="none"/>
        </w:rPr>
      </w:pPr>
    </w:p>
    <w:p w14:paraId="0056480B">
      <w:pPr>
        <w:spacing w:line="324" w:lineRule="auto"/>
        <w:rPr>
          <w:rFonts w:ascii="宋体" w:hAnsi="宋体" w:cs="宋体"/>
          <w:b/>
          <w:sz w:val="24"/>
          <w:szCs w:val="24"/>
          <w:highlight w:val="none"/>
        </w:rPr>
      </w:pPr>
      <w:r>
        <w:rPr>
          <w:rFonts w:hint="eastAsia" w:ascii="宋体" w:hAnsi="宋体" w:cs="宋体"/>
          <w:b/>
          <w:sz w:val="24"/>
          <w:szCs w:val="24"/>
          <w:highlight w:val="none"/>
        </w:rPr>
        <w:t>十一、验收及验收标准</w:t>
      </w:r>
    </w:p>
    <w:p w14:paraId="5B398261">
      <w:pPr>
        <w:spacing w:line="324" w:lineRule="auto"/>
        <w:ind w:firstLine="484" w:firstLineChars="202"/>
        <w:rPr>
          <w:rFonts w:ascii="宋体" w:hAnsi="宋体" w:cs="宋体"/>
          <w:sz w:val="24"/>
          <w:szCs w:val="24"/>
          <w:highlight w:val="none"/>
        </w:rPr>
      </w:pPr>
      <w:r>
        <w:rPr>
          <w:rFonts w:hint="eastAsia" w:ascii="宋体" w:hAnsi="宋体" w:cs="宋体"/>
          <w:sz w:val="24"/>
          <w:szCs w:val="24"/>
          <w:highlight w:val="none"/>
        </w:rPr>
        <w:t>1、设备验收：设备到达甲方指定地点后甲方统一初验是否符合合同要求；</w:t>
      </w:r>
    </w:p>
    <w:p w14:paraId="5B60300E">
      <w:pPr>
        <w:spacing w:line="324" w:lineRule="auto"/>
        <w:ind w:firstLine="484" w:firstLineChars="202"/>
        <w:rPr>
          <w:rFonts w:ascii="宋体" w:hAnsi="宋体" w:cs="宋体"/>
          <w:sz w:val="24"/>
          <w:szCs w:val="24"/>
          <w:highlight w:val="none"/>
        </w:rPr>
      </w:pPr>
      <w:r>
        <w:rPr>
          <w:rFonts w:hint="eastAsia" w:ascii="宋体" w:hAnsi="宋体" w:cs="宋体"/>
          <w:sz w:val="24"/>
          <w:szCs w:val="24"/>
          <w:highlight w:val="none"/>
        </w:rPr>
        <w:t>2、项目验收：乙方负责设备安装和调试，完工后，甲方测试是否合格并满足技术要求；</w:t>
      </w:r>
    </w:p>
    <w:p w14:paraId="69E0199F">
      <w:pPr>
        <w:spacing w:line="360" w:lineRule="auto"/>
        <w:ind w:firstLine="480" w:firstLineChars="200"/>
        <w:rPr>
          <w:rFonts w:ascii="宋体" w:hAnsi="宋体" w:cs="宋体"/>
          <w:sz w:val="24"/>
          <w:szCs w:val="24"/>
          <w:highlight w:val="none"/>
        </w:rPr>
      </w:pPr>
      <w:bookmarkStart w:id="198" w:name="_Hlk146543098"/>
      <w:r>
        <w:rPr>
          <w:rFonts w:hint="eastAsia" w:ascii="宋体" w:hAnsi="宋体" w:cs="宋体"/>
          <w:sz w:val="24"/>
          <w:szCs w:val="24"/>
          <w:highlight w:val="none"/>
        </w:rPr>
        <w:t>3、验收方式：合同签订后，乙方负责将完整配套的原封产品（含开机必要消耗品）送到甲方指定的地点（</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），由甲乙双方共同开箱初验，并由乙方按合同规范要求完成安装测试。交货时，乙方随货向甲方交付必需的合格证、保修卡，相关资料（如操作手册、使用指南、维修手册、安装调试说明书、服务手册等）等。</w:t>
      </w:r>
    </w:p>
    <w:p w14:paraId="2C1390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验收要求：试运行结束后，乙方向甲方提交验收申请。甲方收到乙方书面项目验收申请后，组织甲乙双方人员进行验收，验收通过后甲乙双方共同签署验收资料。若乙方所交项目及产品与合同标准不相符合的，甲方有权拒收项目或产品，乙方应及时按要求更换合格产品，达到甲方项目验收标准；逾期交付使用将向甲方每日偿付合同总额千分之一的滞纳金。因乙方不能按期交付产品或完成安装调试与合同标准不符使甲方造成经济损失的应由乙方承担赔偿责任。</w:t>
      </w:r>
    </w:p>
    <w:bookmarkEnd w:id="198"/>
    <w:p w14:paraId="05546AE1">
      <w:pPr>
        <w:spacing w:line="324" w:lineRule="auto"/>
        <w:rPr>
          <w:rFonts w:ascii="宋体" w:hAnsi="宋体" w:cs="宋体"/>
          <w:b/>
          <w:sz w:val="24"/>
          <w:szCs w:val="24"/>
          <w:highlight w:val="none"/>
        </w:rPr>
      </w:pPr>
    </w:p>
    <w:p w14:paraId="58DB353C">
      <w:pPr>
        <w:spacing w:line="324" w:lineRule="auto"/>
        <w:rPr>
          <w:rFonts w:ascii="宋体" w:hAnsi="宋体" w:cs="宋体"/>
          <w:b/>
          <w:sz w:val="24"/>
          <w:szCs w:val="24"/>
          <w:highlight w:val="none"/>
        </w:rPr>
      </w:pPr>
      <w:r>
        <w:rPr>
          <w:rFonts w:hint="eastAsia" w:ascii="宋体" w:hAnsi="宋体" w:cs="宋体"/>
          <w:b/>
          <w:sz w:val="24"/>
          <w:szCs w:val="24"/>
          <w:highlight w:val="none"/>
        </w:rPr>
        <w:t>十二、合同价款结算（按招标文件）</w:t>
      </w:r>
    </w:p>
    <w:p w14:paraId="02503A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Cs/>
          <w:sz w:val="24"/>
          <w:szCs w:val="24"/>
          <w:highlight w:val="none"/>
        </w:rPr>
        <w:t>所有设备及软件安装调试完毕，经甲乙双方终验合格后</w:t>
      </w:r>
      <w:r>
        <w:rPr>
          <w:rFonts w:hint="eastAsia" w:ascii="宋体" w:hAnsi="宋体" w:cs="宋体"/>
          <w:bCs/>
          <w:sz w:val="24"/>
          <w:szCs w:val="24"/>
          <w:highlight w:val="none"/>
          <w:lang w:val="en-US" w:eastAsia="zh-CN"/>
        </w:rPr>
        <w:t>15个工作日内</w:t>
      </w:r>
      <w:r>
        <w:rPr>
          <w:rFonts w:hint="eastAsia" w:ascii="宋体" w:hAnsi="宋体" w:cs="宋体"/>
          <w:bCs/>
          <w:sz w:val="24"/>
          <w:szCs w:val="24"/>
          <w:highlight w:val="none"/>
        </w:rPr>
        <w:t>支付合同价款的</w:t>
      </w:r>
      <w:r>
        <w:rPr>
          <w:rFonts w:hint="eastAsia" w:ascii="宋体" w:hAnsi="宋体" w:cs="宋体"/>
          <w:bCs/>
          <w:sz w:val="24"/>
          <w:szCs w:val="24"/>
          <w:highlight w:val="none"/>
          <w:lang w:val="en-US" w:eastAsia="zh-CN"/>
        </w:rPr>
        <w:t>10</w:t>
      </w:r>
      <w:r>
        <w:rPr>
          <w:rFonts w:hint="eastAsia" w:ascii="宋体" w:hAnsi="宋体" w:cs="宋体"/>
          <w:bCs/>
          <w:sz w:val="24"/>
          <w:szCs w:val="24"/>
          <w:highlight w:val="none"/>
        </w:rPr>
        <w:t>0%到乙方指定账户。乙方收款时必须出具国家正规发票，若乙方未提供正规发票，甲方有权拒付货款并不视为违约。</w:t>
      </w:r>
    </w:p>
    <w:p w14:paraId="10CE889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2、甲方应按合同约定的条件、时间和方式向乙方支付合同价款，如甲方未能按合同约定支付合同价款的，应承担逾期支付的违约责任。</w:t>
      </w:r>
    </w:p>
    <w:p w14:paraId="699A73B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3、付款以转账形式支付。</w:t>
      </w:r>
    </w:p>
    <w:p w14:paraId="0147D24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如非甲方和不可抗力原因乙方未能按照合同约定交货（如不按时供货、供货产品与投标（响应）文件中响应产品情况不一致等），或交付设备/服务工作质量未能达到验收标准，使得项目资金被上级财政部门收回，由此产生的一切损失及后果均由乙方承担。</w:t>
      </w:r>
    </w:p>
    <w:p w14:paraId="052C915A">
      <w:pPr>
        <w:spacing w:line="324" w:lineRule="auto"/>
        <w:rPr>
          <w:rFonts w:hint="eastAsia" w:ascii="宋体" w:hAnsi="宋体" w:cs="宋体"/>
          <w:b/>
          <w:sz w:val="24"/>
          <w:szCs w:val="24"/>
          <w:highlight w:val="none"/>
        </w:rPr>
      </w:pPr>
    </w:p>
    <w:p w14:paraId="06695760">
      <w:pPr>
        <w:spacing w:line="324" w:lineRule="auto"/>
        <w:rPr>
          <w:rFonts w:ascii="宋体" w:hAnsi="宋体" w:cs="宋体"/>
          <w:b/>
          <w:sz w:val="24"/>
          <w:szCs w:val="24"/>
          <w:highlight w:val="none"/>
        </w:rPr>
      </w:pPr>
      <w:r>
        <w:rPr>
          <w:rFonts w:hint="eastAsia" w:ascii="宋体" w:hAnsi="宋体" w:cs="宋体"/>
          <w:b/>
          <w:sz w:val="24"/>
          <w:szCs w:val="24"/>
          <w:highlight w:val="none"/>
        </w:rPr>
        <w:t>十三、甲乙双方在履行合同过程中发生纠纷，应及时向有关管理部门反映，以便相关部门进行协调或处理；也可以直接向甲方住所地人民法院起诉。</w:t>
      </w:r>
    </w:p>
    <w:p w14:paraId="7F2909B2">
      <w:pPr>
        <w:spacing w:line="324" w:lineRule="auto"/>
        <w:rPr>
          <w:rFonts w:ascii="宋体" w:hAnsi="宋体" w:cs="宋体"/>
          <w:b/>
          <w:sz w:val="24"/>
          <w:szCs w:val="24"/>
          <w:highlight w:val="none"/>
        </w:rPr>
      </w:pPr>
    </w:p>
    <w:p w14:paraId="26637A25">
      <w:pPr>
        <w:spacing w:line="324" w:lineRule="auto"/>
        <w:rPr>
          <w:rFonts w:ascii="宋体" w:hAnsi="宋体" w:cs="宋体"/>
          <w:b/>
          <w:sz w:val="24"/>
          <w:szCs w:val="24"/>
          <w:highlight w:val="none"/>
        </w:rPr>
      </w:pPr>
      <w:r>
        <w:rPr>
          <w:rFonts w:hint="eastAsia" w:ascii="宋体" w:hAnsi="宋体" w:cs="宋体"/>
          <w:b/>
          <w:sz w:val="24"/>
          <w:szCs w:val="24"/>
          <w:highlight w:val="none"/>
        </w:rPr>
        <w:t>十四、本合同其他未尽事宜，按《中华人民共和国民法典》有关规定处理。</w:t>
      </w:r>
    </w:p>
    <w:p w14:paraId="4ACF7179">
      <w:pPr>
        <w:spacing w:line="324" w:lineRule="auto"/>
        <w:rPr>
          <w:rFonts w:ascii="宋体" w:hAnsi="宋体" w:cs="宋体"/>
          <w:b/>
          <w:sz w:val="24"/>
          <w:szCs w:val="24"/>
          <w:highlight w:val="none"/>
        </w:rPr>
      </w:pPr>
    </w:p>
    <w:p w14:paraId="02C469EC">
      <w:pPr>
        <w:spacing w:line="324" w:lineRule="auto"/>
        <w:rPr>
          <w:rFonts w:ascii="宋体" w:hAnsi="宋体" w:cs="宋体"/>
          <w:b/>
          <w:sz w:val="24"/>
          <w:szCs w:val="24"/>
          <w:highlight w:val="none"/>
        </w:rPr>
      </w:pPr>
      <w:r>
        <w:rPr>
          <w:rFonts w:hint="eastAsia" w:ascii="宋体" w:hAnsi="宋体" w:cs="宋体"/>
          <w:b/>
          <w:sz w:val="24"/>
          <w:szCs w:val="24"/>
          <w:highlight w:val="none"/>
        </w:rPr>
        <w:t>十五、本合同一式 份，甲方执 份，乙方存 份，丙方存 份。</w:t>
      </w:r>
    </w:p>
    <w:p w14:paraId="55B5E512">
      <w:pPr>
        <w:spacing w:line="324" w:lineRule="auto"/>
        <w:rPr>
          <w:rFonts w:ascii="宋体" w:hAnsi="宋体" w:cs="宋体"/>
          <w:b/>
          <w:sz w:val="24"/>
          <w:szCs w:val="24"/>
          <w:highlight w:val="none"/>
        </w:rPr>
      </w:pPr>
    </w:p>
    <w:p w14:paraId="20E01861">
      <w:pPr>
        <w:spacing w:line="324" w:lineRule="auto"/>
        <w:rPr>
          <w:rFonts w:ascii="宋体" w:hAnsi="宋体" w:cs="宋体"/>
          <w:b/>
          <w:sz w:val="24"/>
          <w:szCs w:val="24"/>
          <w:highlight w:val="none"/>
        </w:rPr>
      </w:pPr>
      <w:r>
        <w:rPr>
          <w:rFonts w:hint="eastAsia" w:ascii="宋体" w:hAnsi="宋体" w:cs="宋体"/>
          <w:b/>
          <w:sz w:val="24"/>
          <w:szCs w:val="24"/>
          <w:highlight w:val="none"/>
        </w:rPr>
        <w:t>十六、本合同自签订之日起生效。</w:t>
      </w:r>
    </w:p>
    <w:p w14:paraId="73364699">
      <w:pPr>
        <w:spacing w:line="324" w:lineRule="auto"/>
        <w:rPr>
          <w:rFonts w:ascii="宋体" w:hAnsi="宋体" w:cs="宋体"/>
          <w:b/>
          <w:sz w:val="24"/>
          <w:szCs w:val="24"/>
          <w:highlight w:val="none"/>
        </w:rPr>
      </w:pPr>
    </w:p>
    <w:p w14:paraId="3FFF3443">
      <w:pPr>
        <w:spacing w:line="324" w:lineRule="auto"/>
        <w:rPr>
          <w:rFonts w:ascii="宋体" w:hAnsi="宋体" w:cs="宋体"/>
          <w:b/>
          <w:sz w:val="24"/>
          <w:szCs w:val="24"/>
          <w:highlight w:val="none"/>
        </w:rPr>
      </w:pPr>
      <w:r>
        <w:rPr>
          <w:rFonts w:hint="eastAsia" w:ascii="宋体" w:hAnsi="宋体" w:cs="宋体"/>
          <w:b/>
          <w:sz w:val="24"/>
          <w:szCs w:val="24"/>
          <w:highlight w:val="none"/>
        </w:rPr>
        <w:t>十七、本合同不可分割之部分：</w:t>
      </w:r>
    </w:p>
    <w:p w14:paraId="7051B208">
      <w:pPr>
        <w:numPr>
          <w:ilvl w:val="0"/>
          <w:numId w:val="0"/>
        </w:numPr>
        <w:tabs>
          <w:tab w:val="left" w:pos="840"/>
        </w:tabs>
        <w:spacing w:line="324" w:lineRule="auto"/>
        <w:ind w:left="0" w:firstLine="0"/>
        <w:rPr>
          <w:rFonts w:ascii="宋体" w:hAnsi="宋体" w:cs="宋体"/>
          <w:sz w:val="24"/>
          <w:szCs w:val="24"/>
          <w:highlight w:val="none"/>
        </w:rPr>
      </w:pPr>
      <w:r>
        <w:rPr>
          <w:rFonts w:hint="default" w:ascii="Times New Roman" w:hAnsi="Times New Roman" w:eastAsia="宋体" w:cs="宋体"/>
          <w:b/>
          <w:i w:val="0"/>
          <w:kern w:val="2"/>
          <w:sz w:val="28"/>
          <w:szCs w:val="24"/>
          <w:lang w:val="en-US" w:eastAsia="zh-CN" w:bidi="ar-SA"/>
        </w:rPr>
        <w:t>1</w:t>
      </w:r>
      <w:r>
        <w:rPr>
          <w:rFonts w:hint="eastAsia" w:ascii="宋体" w:hAnsi="宋体" w:cs="宋体"/>
          <w:sz w:val="24"/>
          <w:szCs w:val="24"/>
          <w:highlight w:val="none"/>
        </w:rPr>
        <w:t>招标文件；</w:t>
      </w:r>
    </w:p>
    <w:p w14:paraId="7BE20856">
      <w:pPr>
        <w:numPr>
          <w:ilvl w:val="0"/>
          <w:numId w:val="0"/>
        </w:numPr>
        <w:tabs>
          <w:tab w:val="left" w:pos="840"/>
        </w:tabs>
        <w:spacing w:line="324" w:lineRule="auto"/>
        <w:ind w:left="0" w:firstLine="0"/>
        <w:rPr>
          <w:rFonts w:ascii="宋体" w:hAnsi="宋体" w:cs="宋体"/>
          <w:sz w:val="24"/>
          <w:szCs w:val="24"/>
          <w:highlight w:val="none"/>
        </w:rPr>
      </w:pPr>
      <w:r>
        <w:rPr>
          <w:rFonts w:hint="default" w:ascii="Times New Roman" w:hAnsi="Times New Roman" w:eastAsia="宋体" w:cs="宋体"/>
          <w:b/>
          <w:i w:val="0"/>
          <w:kern w:val="2"/>
          <w:sz w:val="28"/>
          <w:szCs w:val="24"/>
          <w:lang w:val="en-US" w:eastAsia="zh-CN" w:bidi="ar-SA"/>
        </w:rPr>
        <w:t>2</w:t>
      </w:r>
      <w:r>
        <w:rPr>
          <w:rFonts w:hint="eastAsia" w:ascii="宋体" w:hAnsi="宋体" w:cs="宋体"/>
          <w:sz w:val="24"/>
          <w:szCs w:val="24"/>
          <w:highlight w:val="none"/>
        </w:rPr>
        <w:t>中标人（乙方）的投标文件及其澄清文件；</w:t>
      </w:r>
    </w:p>
    <w:p w14:paraId="1581AA6C">
      <w:pPr>
        <w:numPr>
          <w:ilvl w:val="0"/>
          <w:numId w:val="0"/>
        </w:numPr>
        <w:tabs>
          <w:tab w:val="left" w:pos="840"/>
        </w:tabs>
        <w:spacing w:line="324" w:lineRule="auto"/>
        <w:ind w:left="0" w:firstLine="0"/>
        <w:rPr>
          <w:rFonts w:ascii="宋体" w:hAnsi="宋体" w:cs="宋体"/>
          <w:highlight w:val="none"/>
        </w:rPr>
      </w:pPr>
      <w:r>
        <w:rPr>
          <w:rFonts w:hint="default" w:ascii="Times New Roman" w:hAnsi="Times New Roman" w:eastAsia="宋体" w:cs="宋体"/>
          <w:b/>
          <w:i w:val="0"/>
          <w:kern w:val="2"/>
          <w:sz w:val="28"/>
          <w:szCs w:val="24"/>
          <w:lang w:val="en-US" w:eastAsia="zh-CN" w:bidi="ar-SA"/>
        </w:rPr>
        <w:t>3</w:t>
      </w:r>
      <w:r>
        <w:rPr>
          <w:rFonts w:hint="eastAsia" w:ascii="宋体" w:hAnsi="宋体" w:cs="宋体"/>
          <w:sz w:val="24"/>
          <w:szCs w:val="24"/>
          <w:highlight w:val="none"/>
        </w:rPr>
        <w:t>采购人发出的《中标通知书》；</w:t>
      </w:r>
    </w:p>
    <w:p w14:paraId="69F3E6F4">
      <w:pPr>
        <w:numPr>
          <w:ilvl w:val="0"/>
          <w:numId w:val="0"/>
        </w:numPr>
        <w:tabs>
          <w:tab w:val="left" w:pos="840"/>
        </w:tabs>
        <w:spacing w:line="324" w:lineRule="auto"/>
        <w:ind w:left="284" w:hanging="284"/>
        <w:rPr>
          <w:rFonts w:ascii="宋体" w:hAnsi="宋体" w:cs="宋体"/>
          <w:highlight w:val="none"/>
        </w:rPr>
        <w:sectPr>
          <w:headerReference r:id="rId5" w:type="default"/>
          <w:footerReference r:id="rId6" w:type="default"/>
          <w:pgSz w:w="11906" w:h="16838"/>
          <w:pgMar w:top="1440" w:right="1800" w:bottom="1440" w:left="1800" w:header="851" w:footer="992" w:gutter="0"/>
          <w:pgNumType w:fmt="decimal" w:start="1" w:chapStyle="1"/>
          <w:cols w:space="720" w:num="1"/>
          <w:docGrid w:type="lines" w:linePitch="312" w:charSpace="0"/>
        </w:sectPr>
      </w:pPr>
      <w:r>
        <w:rPr>
          <w:rFonts w:hint="default" w:ascii="Times New Roman" w:hAnsi="Times New Roman" w:eastAsia="宋体" w:cs="宋体"/>
          <w:b/>
          <w:i w:val="0"/>
          <w:kern w:val="2"/>
          <w:sz w:val="28"/>
          <w:szCs w:val="24"/>
          <w:lang w:val="en-US" w:eastAsia="zh-CN" w:bidi="ar-SA"/>
        </w:rPr>
        <w:t>4</w:t>
      </w:r>
      <w:r>
        <w:rPr>
          <w:rFonts w:hint="eastAsia" w:ascii="宋体" w:hAnsi="宋体" w:cs="宋体"/>
          <w:sz w:val="24"/>
          <w:szCs w:val="24"/>
          <w:highlight w:val="none"/>
        </w:rPr>
        <w:t>合同书其他附件</w:t>
      </w:r>
    </w:p>
    <w:p w14:paraId="1EE1376F">
      <w:pPr>
        <w:pStyle w:val="7"/>
        <w:spacing w:line="249" w:lineRule="auto"/>
      </w:pPr>
      <w:bookmarkStart w:id="199" w:name="_Toc447720947"/>
      <w:r>
        <mc:AlternateContent>
          <mc:Choice Requires="wps">
            <w:drawing>
              <wp:anchor distT="0" distB="0" distL="0" distR="0" simplePos="0" relativeHeight="251660288" behindDoc="0" locked="0" layoutInCell="1" allowOverlap="1">
                <wp:simplePos x="0" y="0"/>
                <wp:positionH relativeFrom="column">
                  <wp:posOffset>-162560</wp:posOffset>
                </wp:positionH>
                <wp:positionV relativeFrom="paragraph">
                  <wp:posOffset>118745</wp:posOffset>
                </wp:positionV>
                <wp:extent cx="1334135" cy="210185"/>
                <wp:effectExtent l="561975" t="0" r="0" b="0"/>
                <wp:wrapNone/>
                <wp:docPr id="22" name="TextBox 22"/>
                <wp:cNvGraphicFramePr/>
                <a:graphic xmlns:a="http://schemas.openxmlformats.org/drawingml/2006/main">
                  <a:graphicData uri="http://schemas.microsoft.com/office/word/2010/wordprocessingShape">
                    <wps:wsp>
                      <wps:cNvSpPr txBox="1"/>
                      <wps:spPr>
                        <a:xfrm rot="16200000">
                          <a:off x="-162606" y="118777"/>
                          <a:ext cx="1334135" cy="21018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1E68D5B2">
                            <w:pPr>
                              <w:spacing w:before="25"/>
                              <w:jc w:val="right"/>
                              <w:rPr>
                                <w:rFonts w:ascii="宋体" w:hAnsi="宋体" w:cs="宋体"/>
                                <w:sz w:val="19"/>
                                <w:szCs w:val="19"/>
                              </w:rPr>
                            </w:pPr>
                            <w:r>
                              <w:rPr>
                                <w:rFonts w:ascii="宋体" w:hAnsi="宋体" w:cs="宋体"/>
                                <w:spacing w:val="-96"/>
                                <w:sz w:val="19"/>
                                <w:szCs w:val="19"/>
                              </w:rPr>
                              <w:t>Ar</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12.8pt;margin-top:9.35pt;height:16.55pt;width:105.05pt;rotation:-5898240f;z-index:251660288;mso-width-relative:page;mso-height-relative:page;" filled="f" stroked="f" coordsize="21600,21600" o:gfxdata="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CSU8i1wAAAAkBAAAPAAAA&#10;AAAAAAEAIAAAACIAAABkcnMvZG93bnJldi54bWxQSwECFAAUAAAACACHTuJAt0qNME8CAACjBAAA&#10;DgAAAAAAAAABACAAAAAmAQAAZHJzL2Uyb0RvYy54bWxQSwUGAAAAAAYABgBZAQAA5wUAAAAA&#10;">
                <v:fill on="f" focussize="0,0"/>
                <v:stroke on="f" weight="0pt" miterlimit="0" joinstyle="miter"/>
                <v:imagedata o:title=""/>
                <o:lock v:ext="edit" aspectratio="f"/>
                <v:textbox inset="0mm,0mm,0mm,0mm">
                  <w:txbxContent>
                    <w:p w14:paraId="1E68D5B2">
                      <w:pPr>
                        <w:spacing w:before="25"/>
                        <w:jc w:val="right"/>
                        <w:rPr>
                          <w:rFonts w:ascii="宋体" w:hAnsi="宋体" w:cs="宋体"/>
                          <w:sz w:val="19"/>
                          <w:szCs w:val="19"/>
                        </w:rPr>
                      </w:pPr>
                      <w:r>
                        <w:rPr>
                          <w:rFonts w:ascii="宋体" w:hAnsi="宋体" w:cs="宋体"/>
                          <w:spacing w:val="-96"/>
                          <w:sz w:val="19"/>
                          <w:szCs w:val="19"/>
                        </w:rPr>
                        <w:t>Ar</w:t>
                      </w:r>
                    </w:p>
                  </w:txbxContent>
                </v:textbox>
              </v:shape>
            </w:pict>
          </mc:Fallback>
        </mc:AlternateContent>
      </w:r>
    </w:p>
    <w:p w14:paraId="2A49168F">
      <w:pPr>
        <w:pStyle w:val="7"/>
        <w:spacing w:line="256" w:lineRule="auto"/>
      </w:pPr>
    </w:p>
    <w:p w14:paraId="4CF5C26D">
      <w:pPr>
        <w:pStyle w:val="7"/>
        <w:spacing w:line="256" w:lineRule="auto"/>
      </w:pPr>
    </w:p>
    <w:p w14:paraId="22DC1962"/>
    <w:p w14:paraId="199CEE02"/>
    <w:p w14:paraId="59E2D12A">
      <w:pPr>
        <w:pStyle w:val="2"/>
        <w:numPr>
          <w:ilvl w:val="0"/>
          <w:numId w:val="0"/>
        </w:numPr>
        <w:jc w:val="center"/>
        <w:rPr>
          <w:rFonts w:ascii="宋体" w:hAnsi="宋体" w:eastAsia="宋体" w:cs="宋体"/>
          <w:sz w:val="32"/>
          <w:szCs w:val="32"/>
        </w:rPr>
      </w:pPr>
      <w:bookmarkStart w:id="200" w:name="_Toc212648380"/>
      <w:bookmarkStart w:id="201" w:name="_Toc9534"/>
      <w:bookmarkStart w:id="202" w:name="_Toc15851"/>
      <w:bookmarkStart w:id="203" w:name="_Toc6173"/>
      <w:bookmarkStart w:id="204" w:name="_Toc24146"/>
      <w:bookmarkStart w:id="205" w:name="_Toc2410"/>
      <w:bookmarkStart w:id="206" w:name="_Toc32433"/>
      <w:r>
        <w:rPr>
          <w:rFonts w:hint="eastAsia" w:ascii="宋体" w:hAnsi="宋体" w:eastAsia="宋体" w:cs="宋体"/>
          <w:sz w:val="32"/>
          <w:szCs w:val="32"/>
        </w:rPr>
        <w:t>第四章  投标文件格式</w:t>
      </w:r>
      <w:bookmarkEnd w:id="194"/>
      <w:bookmarkEnd w:id="199"/>
      <w:bookmarkEnd w:id="200"/>
      <w:bookmarkEnd w:id="201"/>
      <w:bookmarkEnd w:id="202"/>
      <w:bookmarkEnd w:id="203"/>
      <w:bookmarkEnd w:id="204"/>
      <w:bookmarkEnd w:id="205"/>
      <w:bookmarkEnd w:id="206"/>
    </w:p>
    <w:p w14:paraId="01424CD6">
      <w:pPr>
        <w:pStyle w:val="10"/>
        <w:spacing w:line="780" w:lineRule="exact"/>
        <w:jc w:val="center"/>
        <w:rPr>
          <w:rFonts w:hAnsi="宋体"/>
          <w:b/>
          <w:bCs/>
          <w:sz w:val="40"/>
          <w:szCs w:val="40"/>
          <w:u w:val="single"/>
        </w:rPr>
      </w:pPr>
    </w:p>
    <w:p w14:paraId="2E776E9B">
      <w:pPr>
        <w:pStyle w:val="10"/>
        <w:spacing w:line="780" w:lineRule="exact"/>
        <w:jc w:val="center"/>
        <w:rPr>
          <w:rFonts w:hAnsi="宋体"/>
          <w:b/>
          <w:bCs/>
          <w:sz w:val="48"/>
          <w:szCs w:val="48"/>
          <w:u w:val="single"/>
        </w:rPr>
      </w:pPr>
      <w:r>
        <w:rPr>
          <w:rFonts w:hint="eastAsia" w:hAnsi="宋体"/>
          <w:b/>
          <w:bCs/>
          <w:sz w:val="40"/>
          <w:szCs w:val="40"/>
          <w:u w:val="single"/>
        </w:rPr>
        <w:t>（标段名称）</w:t>
      </w:r>
    </w:p>
    <w:p w14:paraId="4C508F4E">
      <w:pPr>
        <w:pStyle w:val="10"/>
        <w:spacing w:line="500" w:lineRule="exact"/>
        <w:jc w:val="center"/>
        <w:rPr>
          <w:rFonts w:hAnsi="宋体"/>
          <w:b/>
          <w:sz w:val="36"/>
          <w:szCs w:val="36"/>
        </w:rPr>
      </w:pPr>
    </w:p>
    <w:p w14:paraId="2563F0DE">
      <w:pPr>
        <w:pStyle w:val="10"/>
        <w:spacing w:line="500" w:lineRule="exact"/>
        <w:jc w:val="center"/>
        <w:rPr>
          <w:rFonts w:hAnsi="宋体"/>
          <w:b/>
          <w:sz w:val="36"/>
          <w:szCs w:val="36"/>
        </w:rPr>
      </w:pPr>
    </w:p>
    <w:p w14:paraId="423BDB17">
      <w:pPr>
        <w:pStyle w:val="10"/>
        <w:spacing w:line="500" w:lineRule="exact"/>
        <w:jc w:val="center"/>
        <w:rPr>
          <w:rFonts w:hAnsi="宋体"/>
          <w:b/>
          <w:sz w:val="36"/>
          <w:szCs w:val="36"/>
        </w:rPr>
      </w:pPr>
    </w:p>
    <w:p w14:paraId="656E17AC">
      <w:pPr>
        <w:pStyle w:val="10"/>
        <w:spacing w:line="500" w:lineRule="exact"/>
        <w:jc w:val="center"/>
        <w:rPr>
          <w:rFonts w:hAnsi="宋体"/>
          <w:b/>
          <w:sz w:val="36"/>
          <w:szCs w:val="36"/>
        </w:rPr>
      </w:pPr>
    </w:p>
    <w:p w14:paraId="71F7F386">
      <w:pPr>
        <w:pStyle w:val="10"/>
        <w:spacing w:line="780" w:lineRule="exact"/>
        <w:jc w:val="center"/>
        <w:rPr>
          <w:rFonts w:hAnsi="宋体"/>
          <w:b/>
          <w:sz w:val="44"/>
          <w:szCs w:val="44"/>
        </w:rPr>
      </w:pPr>
      <w:r>
        <w:rPr>
          <w:rFonts w:hint="eastAsia" w:hAnsi="宋体"/>
          <w:b/>
          <w:sz w:val="44"/>
          <w:szCs w:val="44"/>
        </w:rPr>
        <w:t xml:space="preserve">投 </w:t>
      </w:r>
      <w:r>
        <w:rPr>
          <w:rFonts w:hint="eastAsia" w:hAnsi="宋体" w:cs="微软雅黑"/>
          <w:b/>
          <w:sz w:val="44"/>
          <w:szCs w:val="44"/>
        </w:rPr>
        <w:t>标</w:t>
      </w:r>
      <w:r>
        <w:rPr>
          <w:rFonts w:hint="eastAsia" w:hAnsi="宋体"/>
          <w:b/>
          <w:sz w:val="44"/>
          <w:szCs w:val="44"/>
        </w:rPr>
        <w:t xml:space="preserve"> 文 件</w:t>
      </w:r>
    </w:p>
    <w:p w14:paraId="67921BF1">
      <w:pPr>
        <w:pStyle w:val="10"/>
        <w:spacing w:line="500" w:lineRule="exact"/>
        <w:jc w:val="center"/>
        <w:rPr>
          <w:rFonts w:hAnsi="宋体"/>
          <w:b/>
          <w:sz w:val="24"/>
          <w:szCs w:val="24"/>
        </w:rPr>
      </w:pPr>
    </w:p>
    <w:p w14:paraId="6B9E8519">
      <w:pPr>
        <w:pStyle w:val="10"/>
        <w:spacing w:line="500" w:lineRule="exact"/>
        <w:ind w:firstLine="3542" w:firstLineChars="1470"/>
        <w:rPr>
          <w:rFonts w:hAnsi="宋体"/>
          <w:b/>
          <w:sz w:val="24"/>
          <w:szCs w:val="24"/>
          <w:u w:val="single"/>
        </w:rPr>
      </w:pPr>
      <w:r>
        <w:rPr>
          <w:rFonts w:hint="eastAsia" w:hAnsi="宋体"/>
          <w:b/>
          <w:sz w:val="24"/>
          <w:szCs w:val="24"/>
        </w:rPr>
        <w:t>招</w:t>
      </w:r>
      <w:r>
        <w:rPr>
          <w:rFonts w:hint="eastAsia" w:hAnsi="宋体" w:cs="微软雅黑"/>
          <w:b/>
          <w:sz w:val="24"/>
          <w:szCs w:val="24"/>
        </w:rPr>
        <w:t>标编号</w:t>
      </w:r>
      <w:r>
        <w:rPr>
          <w:rFonts w:hint="eastAsia" w:hAnsi="宋体" w:cs="Malgun Gothic"/>
          <w:b/>
          <w:sz w:val="24"/>
          <w:szCs w:val="24"/>
        </w:rPr>
        <w:t>：</w:t>
      </w:r>
      <w:r>
        <w:rPr>
          <w:rFonts w:hint="eastAsia" w:hAnsi="宋体"/>
          <w:b/>
          <w:sz w:val="24"/>
          <w:szCs w:val="24"/>
          <w:u w:val="single"/>
        </w:rPr>
        <w:t xml:space="preserve">           </w:t>
      </w:r>
    </w:p>
    <w:p w14:paraId="0961D3BB">
      <w:pPr>
        <w:pStyle w:val="10"/>
        <w:spacing w:line="500" w:lineRule="exact"/>
        <w:ind w:firstLine="3542" w:firstLineChars="1470"/>
        <w:rPr>
          <w:rFonts w:hAnsi="宋体"/>
          <w:b/>
          <w:sz w:val="24"/>
          <w:szCs w:val="24"/>
          <w:u w:val="single"/>
        </w:rPr>
      </w:pPr>
    </w:p>
    <w:p w14:paraId="25964195">
      <w:pPr>
        <w:pStyle w:val="10"/>
        <w:spacing w:line="500" w:lineRule="exact"/>
        <w:jc w:val="center"/>
        <w:rPr>
          <w:rFonts w:hAnsi="宋体"/>
          <w:b/>
          <w:sz w:val="24"/>
          <w:szCs w:val="24"/>
        </w:rPr>
      </w:pPr>
    </w:p>
    <w:p w14:paraId="5262BC9E">
      <w:pPr>
        <w:pStyle w:val="10"/>
        <w:spacing w:line="500" w:lineRule="exact"/>
        <w:jc w:val="center"/>
        <w:rPr>
          <w:rFonts w:hAnsi="宋体"/>
          <w:b/>
          <w:sz w:val="24"/>
          <w:szCs w:val="24"/>
        </w:rPr>
      </w:pPr>
    </w:p>
    <w:p w14:paraId="5E2C550A">
      <w:pPr>
        <w:pStyle w:val="10"/>
        <w:spacing w:line="500" w:lineRule="exact"/>
        <w:jc w:val="center"/>
        <w:rPr>
          <w:rFonts w:hAnsi="宋体"/>
          <w:b/>
          <w:sz w:val="24"/>
          <w:szCs w:val="24"/>
        </w:rPr>
      </w:pPr>
    </w:p>
    <w:p w14:paraId="5B8F49D3">
      <w:pPr>
        <w:pStyle w:val="10"/>
        <w:spacing w:line="500" w:lineRule="exact"/>
        <w:jc w:val="center"/>
        <w:rPr>
          <w:rFonts w:hAnsi="宋体"/>
          <w:b/>
          <w:sz w:val="24"/>
          <w:szCs w:val="24"/>
        </w:rPr>
      </w:pPr>
    </w:p>
    <w:p w14:paraId="2E1E3D00">
      <w:pPr>
        <w:pStyle w:val="10"/>
        <w:spacing w:line="500" w:lineRule="exact"/>
        <w:jc w:val="center"/>
        <w:rPr>
          <w:rFonts w:hAnsi="宋体"/>
          <w:b/>
          <w:sz w:val="24"/>
          <w:szCs w:val="24"/>
        </w:rPr>
      </w:pPr>
    </w:p>
    <w:p w14:paraId="0168B068">
      <w:pPr>
        <w:pStyle w:val="10"/>
        <w:spacing w:line="500" w:lineRule="exact"/>
        <w:jc w:val="center"/>
        <w:rPr>
          <w:rFonts w:hAnsi="宋体"/>
          <w:b/>
          <w:sz w:val="24"/>
          <w:szCs w:val="24"/>
        </w:rPr>
      </w:pPr>
    </w:p>
    <w:p w14:paraId="7C105178">
      <w:pPr>
        <w:spacing w:line="360" w:lineRule="auto"/>
        <w:jc w:val="center"/>
        <w:rPr>
          <w:rFonts w:ascii="宋体" w:hAnsi="宋体"/>
          <w:sz w:val="24"/>
        </w:rPr>
      </w:pPr>
      <w:r>
        <w:rPr>
          <w:rFonts w:hint="eastAsia" w:ascii="宋体" w:hAnsi="宋体"/>
          <w:sz w:val="24"/>
        </w:rPr>
        <w:t>投</w:t>
      </w:r>
      <w:r>
        <w:rPr>
          <w:rFonts w:hint="eastAsia" w:ascii="宋体" w:hAnsi="宋体" w:cs="微软雅黑"/>
          <w:sz w:val="24"/>
        </w:rPr>
        <w:t>标</w:t>
      </w:r>
      <w:r>
        <w:rPr>
          <w:rFonts w:hint="eastAsia" w:ascii="宋体" w:hAnsi="宋体" w:cs="Malgun Gothic"/>
          <w:sz w:val="24"/>
        </w:rPr>
        <w:t>人名称：</w:t>
      </w:r>
      <w:r>
        <w:rPr>
          <w:rFonts w:hint="eastAsia" w:ascii="宋体" w:hAnsi="宋体"/>
          <w:sz w:val="24"/>
          <w:u w:val="single"/>
        </w:rPr>
        <w:t xml:space="preserve">                                </w:t>
      </w:r>
      <w:r>
        <w:rPr>
          <w:rFonts w:hint="eastAsia" w:ascii="宋体" w:hAnsi="宋体"/>
          <w:sz w:val="24"/>
        </w:rPr>
        <w:t>(电子签章)</w:t>
      </w:r>
    </w:p>
    <w:p w14:paraId="5B9DB6E8">
      <w:pPr>
        <w:pStyle w:val="10"/>
        <w:spacing w:line="500" w:lineRule="exact"/>
        <w:jc w:val="center"/>
        <w:rPr>
          <w:rFonts w:hAnsi="宋体"/>
          <w:sz w:val="24"/>
          <w:szCs w:val="24"/>
        </w:rPr>
      </w:pPr>
      <w:r>
        <w:rPr>
          <w:rFonts w:hint="eastAsia" w:hAnsi="宋体"/>
          <w:sz w:val="24"/>
          <w:szCs w:val="24"/>
        </w:rPr>
        <w:t>法定代表人或委托代理人：</w:t>
      </w:r>
      <w:r>
        <w:rPr>
          <w:rFonts w:hint="eastAsia" w:hAnsi="宋体"/>
          <w:sz w:val="24"/>
          <w:szCs w:val="24"/>
          <w:u w:val="single"/>
        </w:rPr>
        <w:t xml:space="preserve">                    </w:t>
      </w:r>
      <w:r>
        <w:rPr>
          <w:rFonts w:hint="eastAsia" w:hAnsi="宋体"/>
          <w:sz w:val="24"/>
          <w:szCs w:val="24"/>
        </w:rPr>
        <w:t>（</w:t>
      </w:r>
      <w:r>
        <w:rPr>
          <w:rFonts w:hint="eastAsia" w:hAnsi="宋体"/>
          <w:sz w:val="24"/>
        </w:rPr>
        <w:t>电子签章</w:t>
      </w:r>
      <w:r>
        <w:rPr>
          <w:rFonts w:hint="eastAsia" w:hAnsi="宋体" w:cs="Malgun Gothic"/>
          <w:sz w:val="24"/>
          <w:szCs w:val="24"/>
        </w:rPr>
        <w:t>）</w:t>
      </w:r>
    </w:p>
    <w:p w14:paraId="14C23608">
      <w:pPr>
        <w:pStyle w:val="10"/>
        <w:spacing w:line="500" w:lineRule="exact"/>
        <w:jc w:val="center"/>
        <w:rPr>
          <w:rFonts w:hAnsi="宋体" w:cs="宋体"/>
          <w:sz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666F3172">
      <w:pPr>
        <w:widowControl/>
        <w:jc w:val="left"/>
        <w:rPr>
          <w:rFonts w:ascii="宋体" w:hAnsi="宋体" w:cs="宋体"/>
          <w:b/>
          <w:kern w:val="0"/>
          <w:sz w:val="32"/>
          <w:szCs w:val="32"/>
        </w:rPr>
      </w:pPr>
      <w:bookmarkStart w:id="207" w:name="_Toc447720949"/>
      <w:r>
        <w:rPr>
          <w:rFonts w:ascii="宋体" w:hAnsi="宋体" w:cs="宋体"/>
          <w:sz w:val="32"/>
          <w:szCs w:val="32"/>
        </w:rPr>
        <w:br w:type="page"/>
      </w:r>
    </w:p>
    <w:p w14:paraId="4CC1E385">
      <w:pPr>
        <w:pStyle w:val="3"/>
        <w:numPr>
          <w:ilvl w:val="0"/>
          <w:numId w:val="0"/>
        </w:numPr>
        <w:jc w:val="center"/>
        <w:rPr>
          <w:rFonts w:ascii="宋体" w:hAnsi="宋体" w:eastAsia="宋体" w:cs="宋体"/>
          <w:sz w:val="32"/>
          <w:szCs w:val="32"/>
        </w:rPr>
      </w:pPr>
      <w:bookmarkStart w:id="208" w:name="_Toc12647"/>
      <w:bookmarkStart w:id="209" w:name="_Toc7500"/>
      <w:bookmarkStart w:id="210" w:name="_Toc15891"/>
      <w:bookmarkStart w:id="211" w:name="_Toc212648381"/>
      <w:bookmarkStart w:id="212" w:name="_Toc9072"/>
      <w:bookmarkStart w:id="213" w:name="_Toc17295"/>
      <w:bookmarkStart w:id="214" w:name="_Toc16973"/>
      <w:r>
        <w:rPr>
          <w:rFonts w:hint="eastAsia" w:ascii="宋体" w:hAnsi="宋体" w:eastAsia="宋体" w:cs="宋体"/>
          <w:sz w:val="32"/>
          <w:szCs w:val="32"/>
        </w:rPr>
        <w:t>一、资格审查格式</w:t>
      </w:r>
      <w:bookmarkEnd w:id="207"/>
      <w:bookmarkEnd w:id="208"/>
      <w:bookmarkEnd w:id="209"/>
      <w:bookmarkEnd w:id="210"/>
      <w:bookmarkEnd w:id="211"/>
      <w:bookmarkEnd w:id="212"/>
      <w:bookmarkEnd w:id="213"/>
      <w:bookmarkEnd w:id="214"/>
    </w:p>
    <w:p w14:paraId="09A8C12F">
      <w:pPr>
        <w:spacing w:line="360" w:lineRule="auto"/>
        <w:jc w:val="center"/>
        <w:outlineLvl w:val="2"/>
        <w:rPr>
          <w:rFonts w:ascii="宋体" w:hAnsi="宋体" w:cs="宋体"/>
          <w:b/>
          <w:kern w:val="0"/>
          <w:sz w:val="28"/>
          <w:szCs w:val="28"/>
        </w:rPr>
      </w:pPr>
      <w:bookmarkStart w:id="215" w:name="_Toc22191"/>
      <w:bookmarkStart w:id="216" w:name="_Toc15055"/>
      <w:bookmarkStart w:id="217" w:name="_Toc9652"/>
      <w:bookmarkStart w:id="218" w:name="_Toc15048"/>
      <w:r>
        <w:rPr>
          <w:rFonts w:hint="eastAsia" w:ascii="宋体" w:hAnsi="宋体" w:cs="宋体"/>
          <w:b/>
          <w:sz w:val="28"/>
          <w:szCs w:val="28"/>
        </w:rPr>
        <w:t>格式1</w:t>
      </w:r>
      <w:r>
        <w:rPr>
          <w:rFonts w:hint="eastAsia" w:ascii="宋体" w:hAnsi="宋体" w:cs="宋体"/>
          <w:b/>
          <w:sz w:val="28"/>
          <w:szCs w:val="28"/>
          <w:lang w:val="en-US" w:eastAsia="zh-CN"/>
        </w:rPr>
        <w:t xml:space="preserve"> </w:t>
      </w:r>
      <w:bookmarkStart w:id="219" w:name="_Toc26278"/>
      <w:bookmarkStart w:id="220" w:name="_Toc212648382"/>
      <w:r>
        <w:rPr>
          <w:rFonts w:hint="eastAsia" w:ascii="宋体" w:hAnsi="宋体" w:cs="宋体"/>
          <w:b/>
          <w:kern w:val="0"/>
          <w:sz w:val="28"/>
          <w:szCs w:val="28"/>
        </w:rPr>
        <w:t>投标人基本信息表</w:t>
      </w:r>
      <w:bookmarkEnd w:id="215"/>
      <w:bookmarkEnd w:id="216"/>
      <w:bookmarkEnd w:id="217"/>
      <w:bookmarkEnd w:id="218"/>
      <w:bookmarkEnd w:id="219"/>
      <w:bookmarkEnd w:id="220"/>
    </w:p>
    <w:tbl>
      <w:tblPr>
        <w:tblStyle w:val="16"/>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2268"/>
        <w:gridCol w:w="2436"/>
        <w:gridCol w:w="2036"/>
      </w:tblGrid>
      <w:tr w14:paraId="6856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3A03B814">
            <w:pPr>
              <w:spacing w:line="276" w:lineRule="auto"/>
              <w:jc w:val="center"/>
              <w:rPr>
                <w:rFonts w:ascii="宋体" w:hAnsi="宋体" w:cs="宋体"/>
                <w:sz w:val="24"/>
              </w:rPr>
            </w:pPr>
            <w:r>
              <w:rPr>
                <w:rFonts w:hint="eastAsia" w:ascii="宋体" w:hAnsi="宋体" w:cs="宋体"/>
                <w:sz w:val="24"/>
              </w:rPr>
              <w:t>投标人名称：</w:t>
            </w:r>
          </w:p>
        </w:tc>
        <w:tc>
          <w:tcPr>
            <w:tcW w:w="6740" w:type="dxa"/>
            <w:gridSpan w:val="3"/>
            <w:vAlign w:val="center"/>
          </w:tcPr>
          <w:p w14:paraId="34D676DA">
            <w:pPr>
              <w:spacing w:line="276" w:lineRule="auto"/>
              <w:jc w:val="center"/>
              <w:rPr>
                <w:rFonts w:ascii="宋体" w:hAnsi="宋体" w:cs="宋体"/>
                <w:sz w:val="24"/>
              </w:rPr>
            </w:pPr>
          </w:p>
        </w:tc>
      </w:tr>
      <w:tr w14:paraId="7845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6EE8F9E7">
            <w:pPr>
              <w:spacing w:line="276" w:lineRule="auto"/>
              <w:jc w:val="center"/>
              <w:rPr>
                <w:rFonts w:ascii="宋体" w:hAnsi="宋体" w:cs="宋体"/>
                <w:sz w:val="24"/>
              </w:rPr>
            </w:pPr>
            <w:r>
              <w:rPr>
                <w:rFonts w:hint="eastAsia" w:ascii="宋体" w:hAnsi="宋体" w:cs="宋体"/>
                <w:sz w:val="24"/>
              </w:rPr>
              <w:t>投标人地址：</w:t>
            </w:r>
          </w:p>
        </w:tc>
        <w:tc>
          <w:tcPr>
            <w:tcW w:w="6740" w:type="dxa"/>
            <w:gridSpan w:val="3"/>
            <w:vAlign w:val="center"/>
          </w:tcPr>
          <w:p w14:paraId="5B680611">
            <w:pPr>
              <w:spacing w:line="276" w:lineRule="auto"/>
              <w:jc w:val="center"/>
              <w:rPr>
                <w:rFonts w:ascii="宋体" w:hAnsi="宋体" w:cs="宋体"/>
                <w:sz w:val="24"/>
              </w:rPr>
            </w:pPr>
          </w:p>
        </w:tc>
      </w:tr>
      <w:tr w14:paraId="4632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12563643">
            <w:pPr>
              <w:spacing w:line="276" w:lineRule="auto"/>
              <w:jc w:val="center"/>
              <w:rPr>
                <w:rFonts w:ascii="宋体" w:hAnsi="宋体" w:cs="宋体"/>
                <w:sz w:val="24"/>
              </w:rPr>
            </w:pPr>
            <w:r>
              <w:rPr>
                <w:rFonts w:hint="eastAsia" w:ascii="宋体" w:hAnsi="宋体" w:cs="宋体"/>
                <w:sz w:val="24"/>
              </w:rPr>
              <w:t>组织机构代码：</w:t>
            </w:r>
          </w:p>
        </w:tc>
        <w:tc>
          <w:tcPr>
            <w:tcW w:w="6740" w:type="dxa"/>
            <w:gridSpan w:val="3"/>
            <w:vAlign w:val="center"/>
          </w:tcPr>
          <w:p w14:paraId="59749AE2">
            <w:pPr>
              <w:spacing w:line="276" w:lineRule="auto"/>
              <w:jc w:val="center"/>
              <w:rPr>
                <w:rFonts w:ascii="宋体" w:hAnsi="宋体" w:cs="宋体"/>
                <w:sz w:val="24"/>
              </w:rPr>
            </w:pPr>
          </w:p>
        </w:tc>
      </w:tr>
      <w:tr w14:paraId="3FB4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060FC550">
            <w:pPr>
              <w:spacing w:line="276" w:lineRule="auto"/>
              <w:jc w:val="center"/>
              <w:rPr>
                <w:rFonts w:ascii="宋体" w:hAnsi="宋体" w:cs="宋体"/>
                <w:sz w:val="24"/>
              </w:rPr>
            </w:pPr>
            <w:r>
              <w:rPr>
                <w:rFonts w:hint="eastAsia" w:ascii="宋体" w:hAnsi="宋体" w:cs="宋体"/>
                <w:sz w:val="24"/>
              </w:rPr>
              <w:t>注册资金：</w:t>
            </w:r>
          </w:p>
        </w:tc>
        <w:tc>
          <w:tcPr>
            <w:tcW w:w="2268" w:type="dxa"/>
            <w:vAlign w:val="center"/>
          </w:tcPr>
          <w:p w14:paraId="6C4BC448">
            <w:pPr>
              <w:spacing w:line="276" w:lineRule="auto"/>
              <w:jc w:val="center"/>
              <w:rPr>
                <w:rFonts w:ascii="宋体" w:hAnsi="宋体" w:cs="宋体"/>
                <w:sz w:val="24"/>
              </w:rPr>
            </w:pPr>
          </w:p>
        </w:tc>
        <w:tc>
          <w:tcPr>
            <w:tcW w:w="2436" w:type="dxa"/>
            <w:vAlign w:val="center"/>
          </w:tcPr>
          <w:p w14:paraId="72E66422">
            <w:pPr>
              <w:spacing w:line="276" w:lineRule="auto"/>
              <w:jc w:val="center"/>
              <w:rPr>
                <w:rFonts w:ascii="宋体" w:hAnsi="宋体" w:cs="宋体"/>
                <w:sz w:val="24"/>
              </w:rPr>
            </w:pPr>
            <w:r>
              <w:rPr>
                <w:rFonts w:hint="eastAsia" w:ascii="宋体" w:hAnsi="宋体" w:cs="宋体"/>
                <w:sz w:val="24"/>
              </w:rPr>
              <w:t>邮政编码：</w:t>
            </w:r>
          </w:p>
        </w:tc>
        <w:tc>
          <w:tcPr>
            <w:tcW w:w="2036" w:type="dxa"/>
            <w:vAlign w:val="center"/>
          </w:tcPr>
          <w:p w14:paraId="39AE1277">
            <w:pPr>
              <w:spacing w:line="276" w:lineRule="auto"/>
              <w:jc w:val="center"/>
              <w:rPr>
                <w:rFonts w:ascii="宋体" w:hAnsi="宋体" w:cs="宋体"/>
                <w:sz w:val="24"/>
              </w:rPr>
            </w:pPr>
          </w:p>
        </w:tc>
      </w:tr>
      <w:tr w14:paraId="6CAE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37D30164">
            <w:pPr>
              <w:spacing w:line="276" w:lineRule="auto"/>
              <w:jc w:val="center"/>
              <w:rPr>
                <w:rFonts w:ascii="宋体" w:hAnsi="宋体" w:cs="宋体"/>
                <w:sz w:val="24"/>
              </w:rPr>
            </w:pPr>
            <w:r>
              <w:rPr>
                <w:rFonts w:hint="eastAsia" w:ascii="宋体" w:hAnsi="宋体" w:cs="宋体"/>
                <w:sz w:val="24"/>
              </w:rPr>
              <w:t>公司成立日期：</w:t>
            </w:r>
          </w:p>
        </w:tc>
        <w:tc>
          <w:tcPr>
            <w:tcW w:w="2268" w:type="dxa"/>
            <w:vAlign w:val="center"/>
          </w:tcPr>
          <w:p w14:paraId="32633879">
            <w:pPr>
              <w:spacing w:line="276" w:lineRule="auto"/>
              <w:jc w:val="center"/>
              <w:rPr>
                <w:rFonts w:ascii="宋体" w:hAnsi="宋体" w:cs="宋体"/>
                <w:sz w:val="24"/>
              </w:rPr>
            </w:pPr>
          </w:p>
        </w:tc>
        <w:tc>
          <w:tcPr>
            <w:tcW w:w="2436" w:type="dxa"/>
            <w:vAlign w:val="center"/>
          </w:tcPr>
          <w:p w14:paraId="5176F508">
            <w:pPr>
              <w:spacing w:line="276" w:lineRule="auto"/>
              <w:jc w:val="center"/>
              <w:rPr>
                <w:rFonts w:ascii="宋体" w:hAnsi="宋体" w:cs="宋体"/>
                <w:sz w:val="24"/>
              </w:rPr>
            </w:pPr>
            <w:r>
              <w:rPr>
                <w:rFonts w:hint="eastAsia" w:ascii="宋体" w:hAnsi="宋体" w:cs="宋体"/>
                <w:sz w:val="24"/>
              </w:rPr>
              <w:t>企业网站网址</w:t>
            </w:r>
          </w:p>
          <w:p w14:paraId="5FCB912F">
            <w:pPr>
              <w:spacing w:line="276" w:lineRule="auto"/>
              <w:jc w:val="center"/>
              <w:rPr>
                <w:rFonts w:ascii="宋体" w:hAnsi="宋体" w:cs="宋体"/>
                <w:sz w:val="24"/>
              </w:rPr>
            </w:pPr>
            <w:r>
              <w:rPr>
                <w:rFonts w:hint="eastAsia" w:ascii="宋体" w:hAnsi="宋体" w:cs="宋体"/>
                <w:sz w:val="24"/>
              </w:rPr>
              <w:t>（如有）：</w:t>
            </w:r>
          </w:p>
        </w:tc>
        <w:tc>
          <w:tcPr>
            <w:tcW w:w="2036" w:type="dxa"/>
            <w:vAlign w:val="center"/>
          </w:tcPr>
          <w:p w14:paraId="435A468A">
            <w:pPr>
              <w:spacing w:line="276" w:lineRule="auto"/>
              <w:jc w:val="center"/>
              <w:rPr>
                <w:rFonts w:ascii="宋体" w:hAnsi="宋体" w:cs="宋体"/>
                <w:sz w:val="24"/>
              </w:rPr>
            </w:pPr>
          </w:p>
        </w:tc>
      </w:tr>
      <w:tr w14:paraId="5829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76A19BE5">
            <w:pPr>
              <w:spacing w:line="276" w:lineRule="auto"/>
              <w:jc w:val="center"/>
              <w:rPr>
                <w:rFonts w:ascii="宋体" w:hAnsi="宋体" w:cs="宋体"/>
                <w:sz w:val="24"/>
              </w:rPr>
            </w:pPr>
            <w:r>
              <w:rPr>
                <w:rFonts w:hint="eastAsia" w:ascii="宋体" w:hAnsi="宋体" w:cs="宋体"/>
                <w:sz w:val="24"/>
              </w:rPr>
              <w:t>企业电话：</w:t>
            </w:r>
          </w:p>
        </w:tc>
        <w:tc>
          <w:tcPr>
            <w:tcW w:w="2268" w:type="dxa"/>
            <w:vAlign w:val="center"/>
          </w:tcPr>
          <w:p w14:paraId="70FE14D2">
            <w:pPr>
              <w:spacing w:line="276" w:lineRule="auto"/>
              <w:jc w:val="center"/>
              <w:rPr>
                <w:rFonts w:ascii="宋体" w:hAnsi="宋体" w:cs="宋体"/>
                <w:sz w:val="24"/>
              </w:rPr>
            </w:pPr>
          </w:p>
        </w:tc>
        <w:tc>
          <w:tcPr>
            <w:tcW w:w="2436" w:type="dxa"/>
            <w:vAlign w:val="center"/>
          </w:tcPr>
          <w:p w14:paraId="0EB408D3">
            <w:pPr>
              <w:spacing w:line="276" w:lineRule="auto"/>
              <w:jc w:val="center"/>
              <w:rPr>
                <w:rFonts w:ascii="宋体" w:hAnsi="宋体" w:cs="宋体"/>
                <w:sz w:val="24"/>
              </w:rPr>
            </w:pPr>
            <w:r>
              <w:rPr>
                <w:rFonts w:hint="eastAsia" w:ascii="宋体" w:hAnsi="宋体" w:cs="宋体"/>
                <w:sz w:val="24"/>
              </w:rPr>
              <w:t>通讯地址：</w:t>
            </w:r>
          </w:p>
        </w:tc>
        <w:tc>
          <w:tcPr>
            <w:tcW w:w="2036" w:type="dxa"/>
            <w:vAlign w:val="center"/>
          </w:tcPr>
          <w:p w14:paraId="60D07BC5">
            <w:pPr>
              <w:spacing w:line="276" w:lineRule="auto"/>
              <w:jc w:val="center"/>
              <w:rPr>
                <w:rFonts w:ascii="宋体" w:hAnsi="宋体" w:cs="宋体"/>
                <w:sz w:val="24"/>
              </w:rPr>
            </w:pPr>
          </w:p>
        </w:tc>
      </w:tr>
      <w:tr w14:paraId="7A66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73" w:type="dxa"/>
            <w:vAlign w:val="center"/>
          </w:tcPr>
          <w:p w14:paraId="41981152">
            <w:pPr>
              <w:spacing w:line="276" w:lineRule="auto"/>
              <w:jc w:val="center"/>
              <w:rPr>
                <w:rFonts w:ascii="宋体" w:hAnsi="宋体" w:cs="宋体"/>
                <w:sz w:val="24"/>
              </w:rPr>
            </w:pPr>
            <w:r>
              <w:rPr>
                <w:rFonts w:hint="eastAsia" w:ascii="宋体" w:hAnsi="宋体" w:cs="宋体"/>
                <w:sz w:val="24"/>
              </w:rPr>
              <w:t>公司简介：</w:t>
            </w:r>
          </w:p>
        </w:tc>
        <w:tc>
          <w:tcPr>
            <w:tcW w:w="6740" w:type="dxa"/>
            <w:gridSpan w:val="3"/>
            <w:vAlign w:val="center"/>
          </w:tcPr>
          <w:p w14:paraId="2246EC02">
            <w:pPr>
              <w:spacing w:line="276" w:lineRule="auto"/>
              <w:jc w:val="center"/>
              <w:rPr>
                <w:rFonts w:ascii="宋体" w:hAnsi="宋体" w:cs="宋体"/>
                <w:sz w:val="24"/>
              </w:rPr>
            </w:pPr>
          </w:p>
        </w:tc>
      </w:tr>
      <w:tr w14:paraId="043C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73" w:type="dxa"/>
            <w:vAlign w:val="center"/>
          </w:tcPr>
          <w:p w14:paraId="22D5BB08">
            <w:pPr>
              <w:spacing w:line="276" w:lineRule="auto"/>
              <w:jc w:val="center"/>
              <w:rPr>
                <w:rFonts w:ascii="宋体" w:hAnsi="宋体" w:cs="宋体"/>
                <w:sz w:val="24"/>
              </w:rPr>
            </w:pPr>
            <w:r>
              <w:rPr>
                <w:rFonts w:hint="eastAsia" w:ascii="宋体" w:hAnsi="宋体" w:cs="宋体"/>
                <w:sz w:val="24"/>
              </w:rPr>
              <w:t>经营范围：</w:t>
            </w:r>
          </w:p>
        </w:tc>
        <w:tc>
          <w:tcPr>
            <w:tcW w:w="6740" w:type="dxa"/>
            <w:gridSpan w:val="3"/>
            <w:vAlign w:val="center"/>
          </w:tcPr>
          <w:p w14:paraId="62399891">
            <w:pPr>
              <w:spacing w:line="276" w:lineRule="auto"/>
              <w:jc w:val="center"/>
              <w:rPr>
                <w:rFonts w:ascii="宋体" w:hAnsi="宋体" w:cs="宋体"/>
                <w:sz w:val="24"/>
              </w:rPr>
            </w:pPr>
          </w:p>
        </w:tc>
      </w:tr>
      <w:tr w14:paraId="4A85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73" w:type="dxa"/>
            <w:vAlign w:val="center"/>
          </w:tcPr>
          <w:p w14:paraId="031ABCF5">
            <w:pPr>
              <w:spacing w:line="276" w:lineRule="auto"/>
              <w:jc w:val="center"/>
              <w:rPr>
                <w:rFonts w:ascii="宋体" w:hAnsi="宋体" w:cs="宋体"/>
                <w:sz w:val="24"/>
              </w:rPr>
            </w:pPr>
            <w:r>
              <w:rPr>
                <w:rFonts w:hint="eastAsia" w:ascii="宋体" w:hAnsi="宋体" w:cs="宋体"/>
                <w:sz w:val="24"/>
              </w:rPr>
              <w:t>其他需要说明的情况：</w:t>
            </w:r>
          </w:p>
        </w:tc>
        <w:tc>
          <w:tcPr>
            <w:tcW w:w="6740" w:type="dxa"/>
            <w:gridSpan w:val="3"/>
            <w:vAlign w:val="center"/>
          </w:tcPr>
          <w:p w14:paraId="7060C0CF">
            <w:pPr>
              <w:spacing w:line="276" w:lineRule="auto"/>
              <w:jc w:val="center"/>
              <w:rPr>
                <w:rFonts w:ascii="宋体" w:hAnsi="宋体" w:cs="宋体"/>
                <w:sz w:val="24"/>
              </w:rPr>
            </w:pPr>
          </w:p>
        </w:tc>
      </w:tr>
    </w:tbl>
    <w:p w14:paraId="534BFAD1">
      <w:pPr>
        <w:pStyle w:val="10"/>
        <w:spacing w:line="360" w:lineRule="auto"/>
        <w:ind w:firstLine="480" w:firstLineChars="200"/>
        <w:rPr>
          <w:rFonts w:hAnsi="宋体" w:cs="宋体"/>
          <w:sz w:val="24"/>
          <w:szCs w:val="24"/>
        </w:rPr>
      </w:pPr>
      <w:r>
        <w:rPr>
          <w:rFonts w:hint="eastAsia" w:hAnsi="宋体" w:cs="宋体"/>
          <w:sz w:val="24"/>
          <w:szCs w:val="24"/>
        </w:rPr>
        <w:t>后附营业执照副本或事业单位法人证书或其他类似的法定证明文件、资质证明文件。</w:t>
      </w:r>
    </w:p>
    <w:p w14:paraId="243E4C4A">
      <w:pPr>
        <w:spacing w:line="360" w:lineRule="auto"/>
        <w:rPr>
          <w:rFonts w:ascii="宋体" w:hAnsi="宋体" w:cs="宋体"/>
          <w:b/>
          <w:sz w:val="28"/>
          <w:szCs w:val="28"/>
        </w:rPr>
      </w:pPr>
      <w:r>
        <w:rPr>
          <w:rFonts w:hint="eastAsia" w:ascii="宋体" w:hAnsi="宋体" w:cs="宋体"/>
          <w:b/>
          <w:sz w:val="28"/>
          <w:szCs w:val="28"/>
        </w:rPr>
        <w:br w:type="page"/>
      </w:r>
    </w:p>
    <w:p w14:paraId="20E2F5E7">
      <w:pPr>
        <w:jc w:val="center"/>
        <w:outlineLvl w:val="2"/>
        <w:rPr>
          <w:rFonts w:hint="eastAsia" w:ascii="宋体" w:hAnsi="宋体" w:cs="宋体"/>
          <w:b/>
          <w:sz w:val="28"/>
          <w:szCs w:val="28"/>
        </w:rPr>
      </w:pPr>
      <w:bookmarkStart w:id="221" w:name="_Toc30484"/>
      <w:bookmarkStart w:id="222" w:name="_Toc29106"/>
      <w:bookmarkStart w:id="223" w:name="_Toc32562"/>
      <w:bookmarkStart w:id="224" w:name="_Toc21361"/>
      <w:bookmarkStart w:id="225" w:name="_Toc19742"/>
      <w:r>
        <w:rPr>
          <w:rFonts w:hint="eastAsia" w:ascii="宋体" w:hAnsi="宋体" w:cs="宋体"/>
          <w:b/>
          <w:sz w:val="28"/>
          <w:szCs w:val="28"/>
        </w:rPr>
        <w:t>格式2</w:t>
      </w:r>
      <w:r>
        <w:rPr>
          <w:rFonts w:hint="eastAsia" w:ascii="宋体" w:hAnsi="宋体" w:cs="宋体"/>
          <w:b/>
          <w:sz w:val="28"/>
          <w:szCs w:val="28"/>
          <w:lang w:val="en-US" w:eastAsia="zh-CN"/>
        </w:rPr>
        <w:t xml:space="preserve"> </w:t>
      </w:r>
      <w:bookmarkStart w:id="226" w:name="_Toc212648383"/>
      <w:bookmarkStart w:id="227" w:name="_Toc1533"/>
      <w:r>
        <w:rPr>
          <w:rFonts w:hint="eastAsia" w:ascii="宋体" w:hAnsi="宋体" w:cs="宋体"/>
          <w:b/>
          <w:sz w:val="28"/>
          <w:szCs w:val="28"/>
        </w:rPr>
        <w:t>具有良好的商业信誉和健全的财务会计制度</w:t>
      </w:r>
      <w:bookmarkEnd w:id="221"/>
      <w:bookmarkEnd w:id="222"/>
      <w:bookmarkEnd w:id="223"/>
      <w:bookmarkEnd w:id="224"/>
      <w:bookmarkEnd w:id="225"/>
      <w:bookmarkEnd w:id="226"/>
      <w:bookmarkEnd w:id="227"/>
    </w:p>
    <w:p w14:paraId="6EDFC6E8">
      <w:pPr>
        <w:widowControl/>
        <w:spacing w:line="360" w:lineRule="auto"/>
        <w:ind w:firstLine="480" w:firstLineChars="200"/>
        <w:rPr>
          <w:rFonts w:ascii="宋体" w:hAnsi="宋体" w:cs="宋体"/>
          <w:sz w:val="24"/>
        </w:rPr>
      </w:pPr>
      <w:r>
        <w:rPr>
          <w:rFonts w:hint="eastAsia" w:ascii="宋体" w:hAnsi="宋体" w:cs="宋体"/>
          <w:sz w:val="24"/>
        </w:rPr>
        <w:t>提供2022年度至202</w:t>
      </w:r>
      <w:r>
        <w:rPr>
          <w:rFonts w:hint="eastAsia" w:ascii="宋体" w:hAnsi="宋体" w:cs="宋体"/>
          <w:sz w:val="24"/>
          <w:lang w:val="en-US" w:eastAsia="zh-CN"/>
        </w:rPr>
        <w:t>5</w:t>
      </w:r>
      <w:r>
        <w:rPr>
          <w:rFonts w:hint="eastAsia" w:ascii="宋体" w:hAnsi="宋体" w:cs="宋体"/>
          <w:sz w:val="24"/>
        </w:rPr>
        <w:t>年度任意一年经第三方审计的财务报告及报表，成立时间不足一年的投标人若不能提供上述财务报告及报表的，可提供投标文件提交截止时间前三个月内开户银行出具的资信证明或财务情况说明。</w:t>
      </w:r>
    </w:p>
    <w:p w14:paraId="50C955DF">
      <w:pPr>
        <w:widowControl/>
        <w:spacing w:line="360" w:lineRule="auto"/>
        <w:ind w:firstLine="480" w:firstLineChars="200"/>
        <w:rPr>
          <w:rFonts w:ascii="宋体" w:hAnsi="宋体" w:cs="宋体"/>
          <w:sz w:val="24"/>
        </w:rPr>
      </w:pPr>
    </w:p>
    <w:p w14:paraId="39044475">
      <w:pPr>
        <w:widowControl/>
        <w:jc w:val="left"/>
        <w:rPr>
          <w:rFonts w:ascii="宋体" w:hAnsi="宋体" w:cs="宋体"/>
          <w:sz w:val="24"/>
        </w:rPr>
      </w:pPr>
      <w:r>
        <w:rPr>
          <w:rFonts w:ascii="宋体" w:hAnsi="宋体" w:cs="宋体"/>
          <w:sz w:val="24"/>
        </w:rPr>
        <w:br w:type="page"/>
      </w:r>
    </w:p>
    <w:p w14:paraId="00CA71DC">
      <w:pPr>
        <w:spacing w:line="360" w:lineRule="auto"/>
        <w:jc w:val="center"/>
        <w:outlineLvl w:val="2"/>
        <w:rPr>
          <w:rFonts w:hint="eastAsia" w:ascii="宋体" w:hAnsi="宋体" w:eastAsia="宋体" w:cs="宋体"/>
          <w:b/>
          <w:sz w:val="28"/>
          <w:szCs w:val="28"/>
        </w:rPr>
      </w:pPr>
      <w:bookmarkStart w:id="228" w:name="_Toc10117"/>
      <w:bookmarkStart w:id="229" w:name="_Toc25462"/>
      <w:bookmarkStart w:id="230" w:name="_Toc16284"/>
      <w:bookmarkStart w:id="231" w:name="_Toc3272"/>
      <w:bookmarkStart w:id="232" w:name="_Toc23690"/>
      <w:r>
        <w:rPr>
          <w:rFonts w:hint="eastAsia" w:ascii="宋体" w:hAnsi="宋体" w:cs="宋体"/>
          <w:b/>
          <w:sz w:val="28"/>
          <w:szCs w:val="28"/>
        </w:rPr>
        <w:t>格式3</w:t>
      </w:r>
      <w:bookmarkStart w:id="233" w:name="_Toc212648384"/>
      <w:bookmarkStart w:id="234" w:name="_Toc17907"/>
      <w:r>
        <w:rPr>
          <w:rFonts w:hint="eastAsia" w:ascii="宋体" w:hAnsi="宋体" w:cs="宋体"/>
          <w:b/>
          <w:sz w:val="28"/>
          <w:szCs w:val="28"/>
          <w:lang w:val="en-US" w:eastAsia="zh-CN"/>
        </w:rPr>
        <w:t xml:space="preserve"> </w:t>
      </w:r>
      <w:r>
        <w:rPr>
          <w:rFonts w:hint="eastAsia" w:ascii="宋体" w:hAnsi="宋体" w:eastAsia="宋体" w:cs="宋体"/>
          <w:b/>
          <w:sz w:val="28"/>
          <w:szCs w:val="28"/>
        </w:rPr>
        <w:t>具有履行合同所必需的设备和专业技术能力</w:t>
      </w:r>
      <w:bookmarkEnd w:id="228"/>
      <w:bookmarkEnd w:id="229"/>
      <w:bookmarkEnd w:id="230"/>
      <w:bookmarkEnd w:id="231"/>
      <w:bookmarkEnd w:id="232"/>
      <w:bookmarkEnd w:id="233"/>
      <w:bookmarkEnd w:id="234"/>
    </w:p>
    <w:p w14:paraId="0059442E">
      <w:pPr>
        <w:widowControl/>
        <w:spacing w:line="360" w:lineRule="auto"/>
        <w:ind w:firstLine="480" w:firstLineChars="200"/>
        <w:rPr>
          <w:rFonts w:ascii="宋体" w:hAnsi="宋体" w:cs="宋体"/>
          <w:sz w:val="24"/>
        </w:rPr>
      </w:pPr>
      <w:r>
        <w:rPr>
          <w:rFonts w:hint="eastAsia" w:ascii="宋体" w:hAnsi="宋体" w:cs="宋体"/>
          <w:sz w:val="24"/>
        </w:rPr>
        <w:t>提供投标人具有履行合同所必需的设备和专业技术能力证明材料或书面声明。</w:t>
      </w:r>
    </w:p>
    <w:p w14:paraId="36173C8E">
      <w:pPr>
        <w:widowControl/>
        <w:spacing w:line="360" w:lineRule="auto"/>
        <w:ind w:firstLine="480" w:firstLineChars="200"/>
        <w:rPr>
          <w:rFonts w:ascii="宋体" w:hAnsi="宋体" w:cs="宋体"/>
          <w:sz w:val="24"/>
        </w:rPr>
      </w:pPr>
    </w:p>
    <w:p w14:paraId="430052E5">
      <w:pPr>
        <w:widowControl/>
        <w:jc w:val="left"/>
        <w:rPr>
          <w:rFonts w:ascii="宋体" w:hAnsi="宋体" w:cs="宋体"/>
          <w:sz w:val="24"/>
        </w:rPr>
      </w:pPr>
      <w:r>
        <w:rPr>
          <w:rFonts w:ascii="宋体" w:hAnsi="宋体" w:cs="宋体"/>
          <w:sz w:val="24"/>
        </w:rPr>
        <w:br w:type="page"/>
      </w:r>
    </w:p>
    <w:p w14:paraId="7F8A9402">
      <w:pPr>
        <w:spacing w:line="360" w:lineRule="auto"/>
        <w:jc w:val="center"/>
        <w:outlineLvl w:val="2"/>
        <w:rPr>
          <w:rFonts w:hint="eastAsia" w:ascii="宋体" w:hAnsi="宋体" w:eastAsia="宋体" w:cs="宋体"/>
          <w:b/>
          <w:sz w:val="28"/>
          <w:szCs w:val="28"/>
        </w:rPr>
      </w:pPr>
      <w:bookmarkStart w:id="235" w:name="_Toc25833"/>
      <w:bookmarkStart w:id="236" w:name="_Toc5078"/>
      <w:bookmarkStart w:id="237" w:name="_Toc23139"/>
      <w:bookmarkStart w:id="238" w:name="_Toc7764"/>
      <w:bookmarkStart w:id="239" w:name="_Toc4380"/>
      <w:r>
        <w:rPr>
          <w:rFonts w:hint="eastAsia" w:ascii="宋体" w:hAnsi="宋体" w:cs="宋体"/>
          <w:b/>
          <w:sz w:val="28"/>
          <w:szCs w:val="28"/>
        </w:rPr>
        <w:t>格式4</w:t>
      </w:r>
      <w:bookmarkStart w:id="240" w:name="_Toc212648385"/>
      <w:bookmarkStart w:id="241" w:name="_Toc15243"/>
      <w:r>
        <w:rPr>
          <w:rFonts w:hint="eastAsia" w:ascii="宋体" w:hAnsi="宋体" w:cs="宋体"/>
          <w:b/>
          <w:sz w:val="28"/>
          <w:szCs w:val="28"/>
          <w:lang w:val="en-US" w:eastAsia="zh-CN"/>
        </w:rPr>
        <w:t xml:space="preserve"> </w:t>
      </w:r>
      <w:r>
        <w:rPr>
          <w:rFonts w:hint="eastAsia" w:ascii="宋体" w:hAnsi="宋体" w:eastAsia="宋体" w:cs="宋体"/>
          <w:b/>
          <w:sz w:val="28"/>
          <w:szCs w:val="28"/>
        </w:rPr>
        <w:t>有依法缴纳税收和社会保障资金的良好记录</w:t>
      </w:r>
      <w:bookmarkEnd w:id="235"/>
      <w:bookmarkEnd w:id="236"/>
      <w:bookmarkEnd w:id="237"/>
      <w:bookmarkEnd w:id="238"/>
      <w:bookmarkEnd w:id="239"/>
      <w:bookmarkEnd w:id="240"/>
      <w:bookmarkEnd w:id="241"/>
    </w:p>
    <w:p w14:paraId="6D7AEA15">
      <w:pPr>
        <w:widowControl/>
        <w:spacing w:line="360" w:lineRule="auto"/>
        <w:ind w:firstLine="480" w:firstLineChars="200"/>
        <w:rPr>
          <w:rFonts w:ascii="宋体" w:hAnsi="宋体" w:cs="宋体"/>
          <w:sz w:val="24"/>
        </w:rPr>
      </w:pPr>
      <w:r>
        <w:rPr>
          <w:rFonts w:hint="eastAsia" w:ascii="宋体" w:hAnsi="宋体" w:cs="宋体"/>
          <w:sz w:val="24"/>
        </w:rPr>
        <w:t>提供202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月至今任意1个月依法缴纳税收和缴纳社会保障资金的证明（成立未满1个月的可提供相关情况说明；依法免税或不需要缴纳社会保障资金的，应提供相应文件证明其依法免税或不需要缴纳社会保障资金）。</w:t>
      </w:r>
    </w:p>
    <w:p w14:paraId="150E0B91">
      <w:pPr>
        <w:pStyle w:val="10"/>
      </w:pPr>
    </w:p>
    <w:p w14:paraId="099DB5C0">
      <w:pPr>
        <w:pStyle w:val="10"/>
      </w:pPr>
    </w:p>
    <w:p w14:paraId="3398ED42">
      <w:pPr>
        <w:pStyle w:val="10"/>
      </w:pPr>
    </w:p>
    <w:p w14:paraId="0A629DA3">
      <w:pPr>
        <w:widowControl/>
        <w:jc w:val="left"/>
        <w:rPr>
          <w:rFonts w:ascii="宋体" w:hAnsi="宋体" w:cs="宋体"/>
          <w:b/>
          <w:sz w:val="28"/>
          <w:szCs w:val="28"/>
        </w:rPr>
      </w:pPr>
    </w:p>
    <w:p w14:paraId="19A9FF41">
      <w:pPr>
        <w:widowControl/>
        <w:jc w:val="left"/>
        <w:rPr>
          <w:rFonts w:ascii="宋体" w:hAnsi="宋体" w:cs="宋体"/>
          <w:b/>
          <w:sz w:val="28"/>
          <w:szCs w:val="28"/>
        </w:rPr>
      </w:pPr>
      <w:r>
        <w:rPr>
          <w:rFonts w:ascii="宋体" w:hAnsi="宋体" w:cs="宋体"/>
          <w:b/>
          <w:sz w:val="28"/>
          <w:szCs w:val="28"/>
        </w:rPr>
        <w:br w:type="page"/>
      </w:r>
    </w:p>
    <w:p w14:paraId="21621B37">
      <w:pPr>
        <w:jc w:val="center"/>
        <w:outlineLvl w:val="2"/>
        <w:rPr>
          <w:rFonts w:hAnsi="宋体" w:cs="宋体"/>
          <w:b/>
          <w:sz w:val="28"/>
          <w:szCs w:val="28"/>
        </w:rPr>
      </w:pPr>
      <w:bookmarkStart w:id="242" w:name="_Toc26972"/>
      <w:bookmarkStart w:id="243" w:name="_Toc19833"/>
      <w:bookmarkStart w:id="244" w:name="_Toc23610"/>
      <w:bookmarkStart w:id="245" w:name="_Toc2127"/>
      <w:bookmarkStart w:id="246" w:name="_Toc30090"/>
      <w:r>
        <w:rPr>
          <w:rFonts w:hint="eastAsia" w:ascii="宋体" w:hAnsi="宋体" w:cs="宋体"/>
          <w:b/>
          <w:sz w:val="28"/>
          <w:szCs w:val="28"/>
        </w:rPr>
        <w:t>格式5</w:t>
      </w:r>
      <w:bookmarkStart w:id="247" w:name="_Toc19467"/>
      <w:bookmarkStart w:id="248" w:name="_Toc505862818"/>
      <w:bookmarkStart w:id="249" w:name="_Toc212648386"/>
      <w:r>
        <w:rPr>
          <w:rFonts w:hint="eastAsia" w:hAnsi="宋体" w:cs="宋体"/>
          <w:b/>
          <w:sz w:val="28"/>
          <w:szCs w:val="28"/>
          <w:lang w:val="en-US" w:eastAsia="zh-CN"/>
        </w:rPr>
        <w:t xml:space="preserve"> </w:t>
      </w:r>
      <w:r>
        <w:rPr>
          <w:rFonts w:hint="eastAsia" w:hAnsi="宋体" w:cs="宋体"/>
          <w:b/>
          <w:sz w:val="28"/>
          <w:szCs w:val="28"/>
        </w:rPr>
        <w:t>参加政府采购活动前三年内在经营活动中没有重大违法记录的书面声明</w:t>
      </w:r>
      <w:bookmarkEnd w:id="242"/>
      <w:bookmarkEnd w:id="243"/>
      <w:bookmarkEnd w:id="244"/>
      <w:bookmarkEnd w:id="245"/>
      <w:bookmarkEnd w:id="246"/>
      <w:bookmarkEnd w:id="247"/>
      <w:bookmarkEnd w:id="248"/>
      <w:bookmarkEnd w:id="249"/>
    </w:p>
    <w:p w14:paraId="7E7D2BFD">
      <w:pPr>
        <w:spacing w:line="360" w:lineRule="auto"/>
        <w:rPr>
          <w:rFonts w:ascii="宋体" w:hAnsi="宋体" w:cs="宋体"/>
          <w:sz w:val="24"/>
        </w:rPr>
      </w:pPr>
    </w:p>
    <w:p w14:paraId="5F095EF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03D3DCE1">
      <w:pPr>
        <w:spacing w:line="360" w:lineRule="auto"/>
        <w:rPr>
          <w:rFonts w:ascii="宋体" w:hAnsi="宋体" w:cs="宋体"/>
          <w:sz w:val="24"/>
        </w:rPr>
      </w:pPr>
    </w:p>
    <w:p w14:paraId="4C665E8D">
      <w:pPr>
        <w:spacing w:line="360" w:lineRule="auto"/>
        <w:rPr>
          <w:rFonts w:ascii="宋体" w:hAnsi="宋体" w:cs="宋体"/>
          <w:sz w:val="24"/>
        </w:rPr>
      </w:pPr>
    </w:p>
    <w:p w14:paraId="3B3347E9">
      <w:pPr>
        <w:spacing w:line="360" w:lineRule="auto"/>
        <w:ind w:firstLine="480" w:firstLineChars="200"/>
        <w:rPr>
          <w:rFonts w:ascii="宋体" w:hAnsi="宋体" w:cs="宋体"/>
          <w:sz w:val="24"/>
        </w:rPr>
      </w:pPr>
      <w:r>
        <w:rPr>
          <w:rFonts w:hint="eastAsia" w:ascii="宋体" w:hAnsi="宋体" w:cs="宋体"/>
          <w:sz w:val="24"/>
        </w:rPr>
        <w:t>（投标人自行承诺及说明，内容自拟）</w:t>
      </w:r>
    </w:p>
    <w:p w14:paraId="16134B1D">
      <w:pPr>
        <w:spacing w:line="360" w:lineRule="auto"/>
        <w:jc w:val="left"/>
        <w:rPr>
          <w:rFonts w:ascii="宋体" w:hAnsi="宋体" w:cs="宋体"/>
          <w:sz w:val="24"/>
        </w:rPr>
      </w:pPr>
    </w:p>
    <w:p w14:paraId="02C9A97D">
      <w:pPr>
        <w:spacing w:line="360" w:lineRule="auto"/>
        <w:jc w:val="left"/>
        <w:rPr>
          <w:rFonts w:ascii="宋体" w:hAnsi="宋体" w:cs="宋体"/>
          <w:sz w:val="24"/>
        </w:rPr>
      </w:pPr>
    </w:p>
    <w:p w14:paraId="4C4407CC">
      <w:pPr>
        <w:spacing w:line="360" w:lineRule="auto"/>
        <w:jc w:val="left"/>
        <w:rPr>
          <w:rFonts w:ascii="宋体" w:hAnsi="宋体" w:cs="宋体"/>
          <w:sz w:val="24"/>
        </w:rPr>
      </w:pPr>
    </w:p>
    <w:p w14:paraId="4B15DFE7">
      <w:pPr>
        <w:spacing w:line="360" w:lineRule="auto"/>
        <w:jc w:val="left"/>
        <w:rPr>
          <w:rFonts w:ascii="宋体" w:hAnsi="宋体" w:cs="宋体"/>
          <w:sz w:val="24"/>
        </w:rPr>
      </w:pPr>
    </w:p>
    <w:p w14:paraId="7E46FD35">
      <w:pPr>
        <w:spacing w:line="360" w:lineRule="auto"/>
        <w:jc w:val="left"/>
        <w:rPr>
          <w:rFonts w:ascii="宋体" w:hAnsi="宋体" w:cs="宋体"/>
          <w:sz w:val="24"/>
        </w:rPr>
      </w:pPr>
    </w:p>
    <w:p w14:paraId="2B445EE3">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106E49AA">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2D995EE2">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086BA72">
      <w:pPr>
        <w:spacing w:line="360" w:lineRule="auto"/>
        <w:jc w:val="left"/>
        <w:rPr>
          <w:rFonts w:ascii="宋体" w:hAnsi="宋体" w:cs="宋体"/>
          <w:sz w:val="24"/>
        </w:rPr>
      </w:pPr>
    </w:p>
    <w:p w14:paraId="3DBBF636">
      <w:pPr>
        <w:spacing w:line="360" w:lineRule="auto"/>
        <w:jc w:val="left"/>
        <w:rPr>
          <w:rFonts w:ascii="宋体" w:hAnsi="宋体" w:cs="宋体"/>
          <w:sz w:val="24"/>
        </w:rPr>
      </w:pPr>
    </w:p>
    <w:p w14:paraId="0A0138F5">
      <w:pPr>
        <w:spacing w:line="360" w:lineRule="auto"/>
        <w:jc w:val="left"/>
        <w:rPr>
          <w:rFonts w:ascii="宋体" w:hAnsi="宋体" w:cs="宋体"/>
          <w:sz w:val="24"/>
        </w:rPr>
      </w:pPr>
    </w:p>
    <w:p w14:paraId="4FF454F4">
      <w:pPr>
        <w:spacing w:line="360" w:lineRule="auto"/>
        <w:jc w:val="left"/>
        <w:rPr>
          <w:rFonts w:ascii="宋体" w:hAnsi="宋体" w:cs="宋体"/>
          <w:sz w:val="24"/>
        </w:rPr>
      </w:pPr>
      <w:r>
        <w:rPr>
          <w:rFonts w:hint="eastAsia" w:ascii="宋体" w:hAnsi="宋体" w:cs="宋体"/>
          <w:b/>
          <w:sz w:val="24"/>
        </w:rPr>
        <w:t>注：重大违法记录，是指投标人因违法经营受到刑事处罚或者责令停产停业、吊销许可证或者执照、较大数额罚款等行政处罚。</w:t>
      </w:r>
    </w:p>
    <w:p w14:paraId="50B1F1A8">
      <w:pPr>
        <w:spacing w:line="360" w:lineRule="auto"/>
        <w:jc w:val="left"/>
        <w:rPr>
          <w:rFonts w:ascii="宋体" w:hAnsi="宋体" w:cs="宋体"/>
          <w:szCs w:val="21"/>
        </w:rPr>
      </w:pPr>
    </w:p>
    <w:p w14:paraId="112A4340">
      <w:pPr>
        <w:spacing w:line="360" w:lineRule="auto"/>
        <w:rPr>
          <w:rFonts w:ascii="宋体" w:hAnsi="宋体" w:cs="宋体"/>
          <w:szCs w:val="28"/>
        </w:rPr>
      </w:pPr>
      <w:r>
        <w:rPr>
          <w:rFonts w:hint="eastAsia" w:ascii="宋体" w:hAnsi="宋体" w:cs="宋体"/>
          <w:szCs w:val="28"/>
        </w:rPr>
        <w:br w:type="page"/>
      </w:r>
    </w:p>
    <w:p w14:paraId="3E72CE36">
      <w:pPr>
        <w:jc w:val="center"/>
        <w:outlineLvl w:val="2"/>
        <w:rPr>
          <w:rFonts w:ascii="宋体" w:hAnsi="宋体" w:eastAsia="宋体" w:cs="宋体"/>
          <w:szCs w:val="28"/>
        </w:rPr>
      </w:pPr>
      <w:bookmarkStart w:id="250" w:name="_Toc19204"/>
      <w:bookmarkStart w:id="251" w:name="_Toc10316"/>
      <w:r>
        <w:rPr>
          <w:rFonts w:hint="eastAsia" w:ascii="宋体" w:hAnsi="宋体" w:cs="宋体"/>
          <w:b/>
          <w:sz w:val="28"/>
          <w:szCs w:val="28"/>
        </w:rPr>
        <w:t>格式6</w:t>
      </w:r>
      <w:bookmarkStart w:id="252" w:name="_Toc212648387"/>
      <w:bookmarkStart w:id="253" w:name="_Toc20904"/>
      <w:r>
        <w:rPr>
          <w:rFonts w:hint="eastAsia" w:ascii="宋体" w:hAnsi="宋体" w:cs="宋体"/>
          <w:szCs w:val="28"/>
          <w:lang w:val="en-US" w:eastAsia="zh-CN"/>
        </w:rPr>
        <w:t xml:space="preserve">  </w:t>
      </w:r>
      <w:r>
        <w:rPr>
          <w:rFonts w:hint="default" w:ascii="宋体" w:hAnsi="宋体" w:eastAsia="宋体" w:cs="宋体"/>
          <w:b/>
          <w:sz w:val="28"/>
          <w:szCs w:val="28"/>
        </w:rPr>
        <w:t>其他资格证明文件</w:t>
      </w:r>
      <w:bookmarkEnd w:id="250"/>
      <w:bookmarkEnd w:id="251"/>
      <w:bookmarkEnd w:id="252"/>
      <w:bookmarkEnd w:id="253"/>
    </w:p>
    <w:p w14:paraId="05227F43">
      <w:pPr>
        <w:widowControl/>
        <w:numPr>
          <w:ilvl w:val="0"/>
          <w:numId w:val="2"/>
        </w:numPr>
        <w:spacing w:line="360" w:lineRule="auto"/>
        <w:ind w:firstLine="482" w:firstLineChars="200"/>
        <w:rPr>
          <w:rFonts w:hint="eastAsia" w:ascii="宋体" w:hAnsi="宋体" w:eastAsia="宋体"/>
          <w:color w:val="auto"/>
          <w:sz w:val="24"/>
          <w:szCs w:val="24"/>
          <w:lang w:val="en-US" w:eastAsia="zh-CN"/>
        </w:rPr>
      </w:pPr>
      <w:r>
        <w:rPr>
          <w:rFonts w:hint="eastAsia" w:ascii="宋体" w:hAnsi="宋体" w:cs="宋体"/>
          <w:b/>
          <w:bCs/>
          <w:sz w:val="24"/>
        </w:rPr>
        <w:t>本项目的特定资格要求</w:t>
      </w:r>
      <w:r>
        <w:rPr>
          <w:rFonts w:hint="eastAsia" w:ascii="宋体" w:hAnsi="宋体" w:cs="宋体"/>
          <w:b/>
          <w:bCs/>
          <w:sz w:val="24"/>
          <w:lang w:eastAsia="zh-CN"/>
        </w:rPr>
        <w:t>；</w:t>
      </w:r>
    </w:p>
    <w:p w14:paraId="30120E17">
      <w:pPr>
        <w:widowControl/>
        <w:numPr>
          <w:ilvl w:val="0"/>
          <w:numId w:val="2"/>
        </w:numPr>
        <w:spacing w:line="360" w:lineRule="auto"/>
        <w:ind w:firstLine="480" w:firstLineChars="200"/>
        <w:rPr>
          <w:rFonts w:hint="eastAsia" w:ascii="宋体" w:hAnsi="宋体" w:eastAsia="宋体"/>
          <w:color w:val="auto"/>
          <w:sz w:val="24"/>
          <w:szCs w:val="24"/>
          <w:lang w:val="en-US" w:eastAsia="zh-CN"/>
        </w:rPr>
      </w:pPr>
      <w:r>
        <w:rPr>
          <w:rFonts w:hint="eastAsia" w:ascii="宋体" w:hAnsi="宋体" w:cs="宋体"/>
          <w:color w:val="auto"/>
          <w:kern w:val="0"/>
          <w:sz w:val="24"/>
        </w:rPr>
        <w:t>本次采购不接受联合体投标。</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提供承诺函</w:t>
      </w:r>
      <w:r>
        <w:rPr>
          <w:rFonts w:hint="eastAsia" w:ascii="宋体" w:hAnsi="宋体" w:cs="宋体"/>
          <w:b/>
          <w:bCs/>
          <w:color w:val="auto"/>
          <w:kern w:val="0"/>
          <w:sz w:val="24"/>
          <w:lang w:eastAsia="zh-CN"/>
        </w:rPr>
        <w:t>）</w:t>
      </w:r>
    </w:p>
    <w:p w14:paraId="790D6D58">
      <w:pPr>
        <w:widowControl/>
        <w:numPr>
          <w:ilvl w:val="0"/>
          <w:numId w:val="2"/>
        </w:numPr>
        <w:spacing w:line="360" w:lineRule="auto"/>
        <w:ind w:firstLine="482" w:firstLineChars="200"/>
        <w:rPr>
          <w:rFonts w:ascii="宋体" w:hAnsi="宋体" w:cs="宋体"/>
          <w:b/>
          <w:bCs/>
          <w:sz w:val="24"/>
        </w:rPr>
      </w:pPr>
      <w:r>
        <w:rPr>
          <w:rFonts w:hint="eastAsia" w:ascii="宋体" w:hAnsi="宋体" w:cs="宋体"/>
          <w:b/>
          <w:bCs/>
          <w:sz w:val="24"/>
        </w:rPr>
        <w:t>投标人认为有必要提供的其他资料；</w:t>
      </w:r>
    </w:p>
    <w:p w14:paraId="4A9C9EF4">
      <w:pPr>
        <w:widowControl/>
        <w:spacing w:line="360" w:lineRule="auto"/>
        <w:ind w:firstLine="482" w:firstLineChars="200"/>
        <w:rPr>
          <w:rFonts w:ascii="宋体" w:hAnsi="宋体" w:cs="宋体"/>
          <w:b/>
          <w:bCs/>
          <w:sz w:val="24"/>
        </w:rPr>
      </w:pPr>
      <w:r>
        <w:rPr>
          <w:rFonts w:hint="eastAsia" w:ascii="宋体" w:hAnsi="宋体" w:cs="宋体"/>
          <w:b/>
          <w:bCs/>
          <w:sz w:val="24"/>
        </w:rPr>
        <w:t>……</w:t>
      </w:r>
    </w:p>
    <w:p w14:paraId="62852822">
      <w:pPr>
        <w:rPr>
          <w:rFonts w:ascii="宋体" w:hAnsi="宋体" w:cs="宋体"/>
          <w:b/>
          <w:szCs w:val="28"/>
        </w:rPr>
      </w:pPr>
    </w:p>
    <w:p w14:paraId="3E0A0FA8">
      <w:pPr>
        <w:rPr>
          <w:rFonts w:ascii="宋体" w:hAnsi="宋体" w:cs="宋体"/>
          <w:b/>
          <w:szCs w:val="28"/>
        </w:rPr>
      </w:pPr>
    </w:p>
    <w:p w14:paraId="70FE2546">
      <w:pPr>
        <w:jc w:val="center"/>
        <w:outlineLvl w:val="2"/>
        <w:rPr>
          <w:rFonts w:ascii="宋体" w:hAnsi="宋体" w:eastAsia="宋体" w:cs="宋体"/>
          <w:b/>
          <w:sz w:val="28"/>
          <w:szCs w:val="28"/>
        </w:rPr>
      </w:pPr>
      <w:r>
        <w:rPr>
          <w:rFonts w:hint="eastAsia" w:ascii="宋体" w:hAnsi="宋体" w:cs="宋体"/>
          <w:b/>
          <w:sz w:val="28"/>
          <w:szCs w:val="28"/>
        </w:rPr>
        <w:br w:type="page"/>
      </w:r>
      <w:bookmarkStart w:id="254" w:name="_Toc6891"/>
      <w:bookmarkStart w:id="255" w:name="_Toc29407"/>
      <w:r>
        <w:rPr>
          <w:rFonts w:hint="eastAsia" w:ascii="宋体" w:hAnsi="宋体" w:cs="宋体"/>
          <w:b/>
          <w:sz w:val="28"/>
          <w:szCs w:val="28"/>
        </w:rPr>
        <w:t>格</w:t>
      </w:r>
      <w:r>
        <w:rPr>
          <w:rFonts w:hint="default" w:ascii="宋体" w:hAnsi="宋体" w:cs="宋体"/>
          <w:b/>
          <w:sz w:val="28"/>
          <w:szCs w:val="28"/>
        </w:rPr>
        <w:t>式7</w:t>
      </w:r>
      <w:bookmarkStart w:id="256" w:name="_Toc15014"/>
      <w:bookmarkStart w:id="257" w:name="_Toc212648388"/>
      <w:bookmarkStart w:id="258" w:name="_Toc373252465"/>
      <w:r>
        <w:rPr>
          <w:rFonts w:hint="default" w:ascii="宋体" w:hAnsi="宋体" w:cs="宋体"/>
          <w:b/>
          <w:sz w:val="28"/>
          <w:szCs w:val="28"/>
          <w:lang w:val="en-US" w:eastAsia="zh-CN"/>
        </w:rPr>
        <w:t xml:space="preserve"> </w:t>
      </w:r>
      <w:r>
        <w:rPr>
          <w:rFonts w:hint="default" w:ascii="宋体" w:hAnsi="宋体" w:eastAsia="宋体" w:cs="宋体"/>
          <w:b/>
          <w:sz w:val="28"/>
          <w:szCs w:val="28"/>
        </w:rPr>
        <w:t>法定代表人身份证明书</w:t>
      </w:r>
      <w:bookmarkEnd w:id="254"/>
      <w:bookmarkEnd w:id="255"/>
      <w:bookmarkEnd w:id="256"/>
      <w:bookmarkEnd w:id="257"/>
      <w:bookmarkEnd w:id="258"/>
    </w:p>
    <w:p w14:paraId="2F27BCE9">
      <w:pPr>
        <w:spacing w:line="440" w:lineRule="exact"/>
        <w:jc w:val="center"/>
        <w:rPr>
          <w:rFonts w:ascii="宋体" w:hAnsi="宋体" w:cs="宋体"/>
          <w:b/>
          <w:sz w:val="30"/>
          <w:szCs w:val="30"/>
        </w:rPr>
      </w:pPr>
    </w:p>
    <w:p w14:paraId="225842FA">
      <w:pPr>
        <w:spacing w:line="36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p>
    <w:p w14:paraId="5208C42A">
      <w:pPr>
        <w:spacing w:line="360" w:lineRule="auto"/>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p>
    <w:p w14:paraId="756A35DB">
      <w:pPr>
        <w:spacing w:line="360" w:lineRule="auto"/>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51ED3E">
      <w:pPr>
        <w:spacing w:line="360" w:lineRule="auto"/>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2737DE8C">
      <w:pPr>
        <w:spacing w:line="360" w:lineRule="auto"/>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3985A217">
      <w:pPr>
        <w:spacing w:line="360" w:lineRule="auto"/>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（投标人名称）的法定代表人。</w:t>
      </w:r>
    </w:p>
    <w:p w14:paraId="2B7B0C51">
      <w:pPr>
        <w:spacing w:line="360" w:lineRule="auto"/>
        <w:rPr>
          <w:rFonts w:ascii="宋体" w:hAnsi="宋体" w:cs="宋体"/>
          <w:sz w:val="24"/>
        </w:rPr>
      </w:pPr>
    </w:p>
    <w:p w14:paraId="1AD83586">
      <w:pPr>
        <w:spacing w:line="360" w:lineRule="auto"/>
        <w:rPr>
          <w:rFonts w:ascii="宋体" w:hAnsi="宋体" w:cs="宋体"/>
          <w:sz w:val="24"/>
        </w:rPr>
      </w:pPr>
    </w:p>
    <w:p w14:paraId="5A5838A9">
      <w:pPr>
        <w:spacing w:line="360" w:lineRule="auto"/>
        <w:ind w:firstLine="480" w:firstLineChars="200"/>
        <w:rPr>
          <w:rFonts w:ascii="宋体" w:hAnsi="宋体" w:cs="宋体"/>
          <w:sz w:val="24"/>
        </w:rPr>
      </w:pPr>
      <w:r>
        <w:rPr>
          <w:rFonts w:hint="eastAsia" w:ascii="宋体" w:hAnsi="宋体" w:cs="宋体"/>
          <w:sz w:val="24"/>
        </w:rPr>
        <w:t>特此证明。</w:t>
      </w:r>
    </w:p>
    <w:p w14:paraId="490814F4">
      <w:pPr>
        <w:spacing w:line="360" w:lineRule="auto"/>
        <w:rPr>
          <w:rFonts w:ascii="宋体" w:hAnsi="宋体" w:cs="宋体"/>
          <w:sz w:val="24"/>
        </w:rPr>
      </w:pPr>
    </w:p>
    <w:p w14:paraId="0C371255">
      <w:pPr>
        <w:spacing w:line="360" w:lineRule="auto"/>
        <w:rPr>
          <w:rFonts w:ascii="宋体" w:hAnsi="宋体" w:cs="宋体"/>
          <w:sz w:val="24"/>
        </w:rPr>
      </w:pPr>
    </w:p>
    <w:p w14:paraId="4E44B8FD">
      <w:pPr>
        <w:pStyle w:val="10"/>
        <w:spacing w:line="360" w:lineRule="auto"/>
        <w:rPr>
          <w:rFonts w:hAnsi="宋体" w:cs="宋体"/>
          <w:b/>
          <w:bCs/>
          <w:sz w:val="24"/>
          <w:szCs w:val="24"/>
        </w:rPr>
      </w:pPr>
      <w:r>
        <w:rPr>
          <w:rFonts w:hint="eastAsia" w:hAnsi="宋体" w:cs="宋体"/>
          <w:b/>
          <w:bCs/>
          <w:sz w:val="24"/>
          <w:szCs w:val="24"/>
        </w:rPr>
        <w:t>注：后附法定代表人身份证扫描件。</w:t>
      </w:r>
    </w:p>
    <w:p w14:paraId="3ACC837B">
      <w:pPr>
        <w:spacing w:line="360" w:lineRule="auto"/>
        <w:rPr>
          <w:rFonts w:ascii="宋体" w:hAnsi="宋体" w:cs="宋体"/>
          <w:sz w:val="24"/>
        </w:rPr>
      </w:pPr>
    </w:p>
    <w:p w14:paraId="6B801BFA">
      <w:pPr>
        <w:spacing w:line="360" w:lineRule="auto"/>
        <w:rPr>
          <w:rFonts w:ascii="宋体" w:hAnsi="宋体" w:cs="宋体"/>
          <w:sz w:val="24"/>
        </w:rPr>
      </w:pPr>
    </w:p>
    <w:p w14:paraId="767F8FA6">
      <w:pPr>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（电子签章）     </w:t>
      </w:r>
    </w:p>
    <w:p w14:paraId="7750CF03">
      <w:pPr>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870B984">
      <w:pPr>
        <w:spacing w:line="360" w:lineRule="auto"/>
        <w:rPr>
          <w:rFonts w:ascii="宋体" w:hAnsi="宋体" w:cs="宋体"/>
          <w:szCs w:val="21"/>
        </w:rPr>
      </w:pPr>
    </w:p>
    <w:p w14:paraId="5DE5053A">
      <w:pPr>
        <w:rPr>
          <w:rFonts w:ascii="宋体" w:hAnsi="宋体" w:cs="宋体"/>
          <w:b/>
          <w:szCs w:val="21"/>
        </w:rPr>
      </w:pPr>
      <w:r>
        <w:rPr>
          <w:rFonts w:hint="eastAsia" w:ascii="宋体" w:hAnsi="宋体" w:cs="宋体"/>
          <w:b/>
          <w:szCs w:val="21"/>
        </w:rPr>
        <w:br w:type="page"/>
      </w:r>
    </w:p>
    <w:p w14:paraId="34AD5FD2">
      <w:pPr>
        <w:jc w:val="center"/>
        <w:outlineLvl w:val="2"/>
        <w:rPr>
          <w:rFonts w:ascii="宋体" w:hAnsi="宋体" w:eastAsia="宋体" w:cs="宋体"/>
          <w:szCs w:val="28"/>
        </w:rPr>
      </w:pPr>
      <w:bookmarkStart w:id="259" w:name="_Toc1865"/>
      <w:bookmarkStart w:id="260" w:name="_Toc5049"/>
      <w:r>
        <w:rPr>
          <w:rFonts w:hint="eastAsia" w:ascii="宋体" w:hAnsi="宋体" w:cs="宋体"/>
          <w:b/>
          <w:sz w:val="28"/>
          <w:szCs w:val="28"/>
        </w:rPr>
        <w:t>格式8</w:t>
      </w:r>
      <w:bookmarkStart w:id="261" w:name="_Toc29851"/>
      <w:bookmarkStart w:id="262" w:name="_Toc373252466"/>
      <w:bookmarkStart w:id="263" w:name="_Toc212648389"/>
      <w:bookmarkStart w:id="264" w:name="_Toc213141107"/>
      <w:r>
        <w:rPr>
          <w:rFonts w:hint="eastAsia" w:ascii="宋体" w:hAnsi="宋体" w:cs="宋体"/>
          <w:szCs w:val="28"/>
          <w:lang w:val="en-US" w:eastAsia="zh-CN"/>
        </w:rPr>
        <w:t xml:space="preserve">  </w:t>
      </w:r>
      <w:r>
        <w:rPr>
          <w:rFonts w:hint="default" w:ascii="宋体" w:hAnsi="宋体" w:eastAsia="宋体" w:cs="宋体"/>
          <w:b/>
          <w:sz w:val="28"/>
          <w:szCs w:val="28"/>
        </w:rPr>
        <w:t>法定代表人授权委托书</w:t>
      </w:r>
      <w:bookmarkEnd w:id="259"/>
      <w:bookmarkEnd w:id="260"/>
      <w:bookmarkEnd w:id="261"/>
      <w:bookmarkEnd w:id="262"/>
      <w:bookmarkEnd w:id="263"/>
      <w:bookmarkEnd w:id="264"/>
    </w:p>
    <w:p w14:paraId="69CAF701">
      <w:pPr>
        <w:pStyle w:val="10"/>
        <w:spacing w:line="360" w:lineRule="auto"/>
        <w:jc w:val="center"/>
        <w:rPr>
          <w:rFonts w:hAnsi="宋体" w:cs="宋体"/>
          <w:sz w:val="24"/>
          <w:szCs w:val="24"/>
        </w:rPr>
      </w:pPr>
    </w:p>
    <w:p w14:paraId="20C8D686">
      <w:pPr>
        <w:spacing w:line="360" w:lineRule="auto"/>
        <w:ind w:firstLine="480" w:firstLineChars="200"/>
        <w:rPr>
          <w:rFonts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（投标人全称） </w:t>
      </w:r>
      <w:r>
        <w:rPr>
          <w:rFonts w:hint="eastAsia" w:ascii="宋体" w:hAnsi="宋体" w:cs="宋体"/>
          <w:sz w:val="24"/>
        </w:rPr>
        <w:t>的法定代表人代表本公司授权</w:t>
      </w:r>
      <w:r>
        <w:rPr>
          <w:rFonts w:hint="eastAsia" w:ascii="宋体" w:hAnsi="宋体" w:cs="宋体"/>
          <w:sz w:val="24"/>
          <w:u w:val="single"/>
        </w:rPr>
        <w:t>（委托代理人姓名）</w:t>
      </w:r>
      <w:r>
        <w:rPr>
          <w:rFonts w:hint="eastAsia" w:ascii="宋体" w:hAnsi="宋体" w:cs="宋体"/>
          <w:sz w:val="24"/>
        </w:rPr>
        <w:t>为本公司合法代理人，就贵方组织的有关</w:t>
      </w:r>
      <w:r>
        <w:rPr>
          <w:rFonts w:hint="eastAsia" w:ascii="宋体" w:hAnsi="宋体" w:cs="宋体"/>
          <w:sz w:val="24"/>
          <w:u w:val="single"/>
        </w:rPr>
        <w:t>（标段名称）</w:t>
      </w: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）的招标，以本单位名义投标。代理人在本项目投标过程中所签署的一切文件和处理与之有关的一切事务，我方均予承认。</w:t>
      </w:r>
    </w:p>
    <w:p w14:paraId="601E5A12">
      <w:pPr>
        <w:pStyle w:val="10"/>
        <w:spacing w:line="360" w:lineRule="auto"/>
        <w:ind w:firstLine="420"/>
        <w:rPr>
          <w:rFonts w:hAnsi="宋体" w:cs="宋体"/>
          <w:sz w:val="24"/>
          <w:szCs w:val="24"/>
        </w:rPr>
      </w:pPr>
      <w:r>
        <w:rPr>
          <w:rFonts w:hint="eastAsia" w:hAnsi="宋体" w:cs="宋体"/>
          <w:sz w:val="24"/>
          <w:szCs w:val="24"/>
        </w:rPr>
        <w:t>代理人无转委托权。</w:t>
      </w:r>
    </w:p>
    <w:p w14:paraId="1935B7F0">
      <w:pPr>
        <w:pStyle w:val="10"/>
        <w:spacing w:line="360" w:lineRule="auto"/>
        <w:rPr>
          <w:rFonts w:hAnsi="宋体" w:cs="宋体"/>
          <w:sz w:val="24"/>
          <w:szCs w:val="24"/>
        </w:rPr>
      </w:pPr>
    </w:p>
    <w:p w14:paraId="1FFF153F">
      <w:pPr>
        <w:pStyle w:val="10"/>
        <w:spacing w:line="360" w:lineRule="auto"/>
        <w:rPr>
          <w:rFonts w:hAnsi="宋体" w:cs="宋体"/>
          <w:sz w:val="24"/>
          <w:szCs w:val="24"/>
        </w:rPr>
      </w:pPr>
    </w:p>
    <w:p w14:paraId="2525AA5E">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071747E6">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4785918A">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74C069C">
      <w:pPr>
        <w:pStyle w:val="10"/>
        <w:spacing w:line="360" w:lineRule="auto"/>
        <w:rPr>
          <w:rFonts w:hAnsi="宋体" w:cs="宋体"/>
          <w:sz w:val="24"/>
          <w:szCs w:val="24"/>
        </w:rPr>
      </w:pPr>
      <w:r>
        <w:rPr>
          <w:rFonts w:hint="eastAsia" w:hAnsi="宋体" w:cs="宋体"/>
          <w:sz w:val="24"/>
          <w:szCs w:val="24"/>
        </w:rPr>
        <w:t>________________________________________________________________________________</w:t>
      </w:r>
    </w:p>
    <w:p w14:paraId="3D02B7E0">
      <w:pPr>
        <w:pStyle w:val="10"/>
        <w:spacing w:line="360" w:lineRule="auto"/>
        <w:rPr>
          <w:rFonts w:hAnsi="宋体" w:cs="宋体"/>
          <w:sz w:val="24"/>
          <w:szCs w:val="24"/>
        </w:rPr>
      </w:pPr>
      <w:r>
        <w:rPr>
          <w:rFonts w:hint="eastAsia" w:hAnsi="宋体" w:cs="宋体"/>
          <w:sz w:val="24"/>
          <w:szCs w:val="24"/>
        </w:rPr>
        <w:t>附：</w:t>
      </w:r>
    </w:p>
    <w:p w14:paraId="17B576B6">
      <w:pPr>
        <w:pStyle w:val="10"/>
        <w:spacing w:line="360" w:lineRule="auto"/>
        <w:ind w:firstLine="480" w:firstLineChars="200"/>
        <w:rPr>
          <w:rFonts w:hint="eastAsia" w:hAnsi="宋体" w:eastAsia="宋体" w:cs="宋体"/>
          <w:sz w:val="24"/>
          <w:szCs w:val="24"/>
          <w:lang w:eastAsia="zh-CN"/>
        </w:rPr>
      </w:pPr>
      <w:r>
        <w:rPr>
          <w:rFonts w:hint="eastAsia" w:hAnsi="宋体" w:cs="宋体"/>
          <w:sz w:val="24"/>
          <w:szCs w:val="24"/>
        </w:rPr>
        <w:t>委托代理人姓名：</w:t>
      </w:r>
      <w:r>
        <w:rPr>
          <w:rFonts w:hint="eastAsia" w:hAnsi="宋体" w:cs="宋体"/>
          <w:sz w:val="24"/>
          <w:szCs w:val="24"/>
          <w:u w:val="single"/>
          <w:lang w:val="en-US" w:eastAsia="zh-CN"/>
        </w:rPr>
        <w:t xml:space="preserve">     </w:t>
      </w:r>
      <w:r>
        <w:rPr>
          <w:rFonts w:hint="eastAsia" w:hAnsi="宋体" w:cs="宋体"/>
          <w:sz w:val="24"/>
          <w:szCs w:val="24"/>
          <w:u w:val="single"/>
          <w:lang w:eastAsia="zh-CN"/>
        </w:rPr>
        <w:t>（</w:t>
      </w:r>
      <w:r>
        <w:rPr>
          <w:rFonts w:hint="eastAsia" w:hAnsi="宋体" w:cs="宋体"/>
          <w:sz w:val="24"/>
          <w:szCs w:val="24"/>
          <w:u w:val="single"/>
          <w:lang w:val="en-US" w:eastAsia="zh-CN"/>
        </w:rPr>
        <w:t>亲笔签字</w:t>
      </w:r>
      <w:r>
        <w:rPr>
          <w:rFonts w:hint="eastAsia" w:hAnsi="宋体" w:cs="宋体"/>
          <w:sz w:val="24"/>
          <w:szCs w:val="24"/>
          <w:u w:val="single"/>
          <w:lang w:eastAsia="zh-CN"/>
        </w:rPr>
        <w:t>）</w:t>
      </w:r>
    </w:p>
    <w:p w14:paraId="4134A77B">
      <w:pPr>
        <w:pStyle w:val="10"/>
        <w:spacing w:line="360" w:lineRule="auto"/>
        <w:ind w:firstLine="480" w:firstLineChars="200"/>
        <w:rPr>
          <w:rFonts w:hAnsi="宋体" w:cs="宋体"/>
          <w:sz w:val="24"/>
          <w:szCs w:val="24"/>
        </w:rPr>
      </w:pPr>
      <w:r>
        <w:rPr>
          <w:rFonts w:hint="eastAsia" w:hAnsi="宋体" w:cs="宋体"/>
          <w:sz w:val="24"/>
          <w:szCs w:val="24"/>
        </w:rPr>
        <w:t>职务：</w:t>
      </w:r>
    </w:p>
    <w:p w14:paraId="3F866C1B">
      <w:pPr>
        <w:pStyle w:val="10"/>
        <w:spacing w:line="360" w:lineRule="auto"/>
        <w:ind w:firstLine="480" w:firstLineChars="200"/>
        <w:rPr>
          <w:rFonts w:hAnsi="宋体" w:cs="宋体"/>
          <w:sz w:val="24"/>
          <w:szCs w:val="24"/>
        </w:rPr>
      </w:pPr>
      <w:r>
        <w:rPr>
          <w:rFonts w:hint="eastAsia" w:hAnsi="宋体" w:cs="宋体"/>
          <w:sz w:val="24"/>
          <w:szCs w:val="24"/>
        </w:rPr>
        <w:t>身份证号码：</w:t>
      </w:r>
    </w:p>
    <w:p w14:paraId="7FC879FD">
      <w:pPr>
        <w:pStyle w:val="10"/>
        <w:spacing w:line="360" w:lineRule="auto"/>
        <w:ind w:firstLine="480" w:firstLineChars="200"/>
        <w:rPr>
          <w:rFonts w:hAnsi="宋体" w:cs="宋体"/>
          <w:sz w:val="24"/>
          <w:szCs w:val="24"/>
        </w:rPr>
      </w:pPr>
      <w:r>
        <w:rPr>
          <w:rFonts w:hint="eastAsia" w:hAnsi="宋体" w:cs="宋体"/>
          <w:sz w:val="24"/>
          <w:szCs w:val="24"/>
        </w:rPr>
        <w:t>详细地址：</w:t>
      </w:r>
    </w:p>
    <w:p w14:paraId="6DF62D1E">
      <w:pPr>
        <w:pStyle w:val="10"/>
        <w:spacing w:line="360" w:lineRule="auto"/>
        <w:ind w:firstLine="480" w:firstLineChars="200"/>
        <w:rPr>
          <w:rFonts w:hAnsi="宋体" w:cs="宋体"/>
          <w:sz w:val="24"/>
          <w:szCs w:val="24"/>
        </w:rPr>
      </w:pPr>
      <w:r>
        <w:rPr>
          <w:rFonts w:hint="eastAsia" w:hAnsi="宋体" w:cs="宋体"/>
          <w:sz w:val="24"/>
          <w:szCs w:val="24"/>
        </w:rPr>
        <w:t>电话：</w:t>
      </w:r>
    </w:p>
    <w:p w14:paraId="246DF454">
      <w:pPr>
        <w:pStyle w:val="10"/>
        <w:spacing w:line="360" w:lineRule="auto"/>
        <w:rPr>
          <w:rFonts w:hAnsi="宋体" w:cs="宋体"/>
          <w:b/>
          <w:bCs/>
          <w:sz w:val="24"/>
          <w:szCs w:val="24"/>
        </w:rPr>
      </w:pPr>
      <w:r>
        <w:rPr>
          <w:rFonts w:hint="eastAsia" w:hAnsi="宋体" w:cs="宋体"/>
          <w:b/>
          <w:bCs/>
          <w:sz w:val="24"/>
          <w:szCs w:val="24"/>
        </w:rPr>
        <w:t>注：后附委托代理人身份证扫描件。</w:t>
      </w:r>
      <w:bookmarkStart w:id="265" w:name="_Toc447720950"/>
    </w:p>
    <w:p w14:paraId="05EA8FBA">
      <w:pPr>
        <w:pStyle w:val="3"/>
        <w:numPr>
          <w:ilvl w:val="0"/>
          <w:numId w:val="0"/>
        </w:numPr>
        <w:jc w:val="center"/>
        <w:rPr>
          <w:rFonts w:ascii="宋体" w:hAnsi="宋体" w:eastAsia="宋体" w:cs="宋体"/>
          <w:sz w:val="32"/>
          <w:szCs w:val="32"/>
        </w:rPr>
      </w:pPr>
      <w:r>
        <w:rPr>
          <w:rFonts w:ascii="宋体" w:hAnsi="宋体" w:eastAsia="宋体" w:cs="宋体"/>
          <w:sz w:val="32"/>
          <w:szCs w:val="32"/>
        </w:rPr>
        <w:br w:type="page"/>
      </w:r>
      <w:bookmarkStart w:id="266" w:name="_Toc26391"/>
      <w:bookmarkStart w:id="267" w:name="_Toc7627"/>
      <w:bookmarkStart w:id="268" w:name="_Toc212648390"/>
      <w:bookmarkStart w:id="269" w:name="_Toc23919"/>
      <w:bookmarkStart w:id="270" w:name="_Toc6982"/>
      <w:bookmarkStart w:id="271" w:name="_Toc160"/>
      <w:bookmarkStart w:id="272" w:name="_Toc7680"/>
      <w:r>
        <w:rPr>
          <w:rFonts w:hint="eastAsia" w:ascii="宋体" w:hAnsi="宋体" w:eastAsia="宋体" w:cs="宋体"/>
          <w:sz w:val="32"/>
          <w:szCs w:val="32"/>
        </w:rPr>
        <w:t>二、技术</w:t>
      </w:r>
      <w:r>
        <w:rPr>
          <w:rFonts w:hint="eastAsia" w:ascii="宋体" w:hAnsi="宋体" w:eastAsia="宋体" w:cs="宋体"/>
          <w:sz w:val="32"/>
          <w:szCs w:val="32"/>
          <w:lang w:val="en-US" w:eastAsia="zh-CN"/>
        </w:rPr>
        <w:t>部分</w:t>
      </w:r>
      <w:r>
        <w:rPr>
          <w:rFonts w:hint="eastAsia" w:ascii="宋体" w:hAnsi="宋体" w:eastAsia="宋体" w:cs="宋体"/>
          <w:sz w:val="32"/>
          <w:szCs w:val="32"/>
        </w:rPr>
        <w:t>格式</w:t>
      </w:r>
      <w:bookmarkEnd w:id="265"/>
      <w:bookmarkEnd w:id="266"/>
      <w:bookmarkEnd w:id="267"/>
      <w:bookmarkEnd w:id="268"/>
      <w:bookmarkEnd w:id="269"/>
      <w:bookmarkEnd w:id="270"/>
      <w:bookmarkEnd w:id="271"/>
      <w:bookmarkEnd w:id="272"/>
    </w:p>
    <w:p w14:paraId="17CE4517">
      <w:pPr>
        <w:keepNext/>
        <w:keepLines/>
        <w:spacing w:line="360" w:lineRule="auto"/>
        <w:jc w:val="center"/>
        <w:outlineLvl w:val="2"/>
        <w:rPr>
          <w:rFonts w:ascii="宋体" w:hAnsi="宋体" w:cs="宋体"/>
          <w:b/>
          <w:bCs/>
          <w:kern w:val="0"/>
          <w:sz w:val="24"/>
          <w:szCs w:val="24"/>
          <w:highlight w:val="none"/>
        </w:rPr>
      </w:pPr>
      <w:bookmarkStart w:id="273" w:name="_Toc11526"/>
      <w:bookmarkStart w:id="274" w:name="_Toc27111"/>
      <w:bookmarkStart w:id="275" w:name="_Toc7981"/>
      <w:bookmarkStart w:id="276" w:name="_Toc14322"/>
      <w:bookmarkStart w:id="277" w:name="_Toc24930"/>
      <w:r>
        <w:rPr>
          <w:rFonts w:hint="eastAsia" w:ascii="宋体" w:hAnsi="宋体" w:cs="宋体"/>
          <w:b/>
          <w:sz w:val="28"/>
          <w:szCs w:val="28"/>
        </w:rPr>
        <w:t>格式1</w:t>
      </w:r>
      <w:r>
        <w:rPr>
          <w:rFonts w:hint="eastAsia" w:ascii="宋体" w:hAnsi="宋体" w:cs="宋体"/>
          <w:b/>
          <w:sz w:val="28"/>
          <w:szCs w:val="28"/>
          <w:lang w:val="en-US" w:eastAsia="zh-CN"/>
        </w:rPr>
        <w:t xml:space="preserve">  </w:t>
      </w:r>
      <w:bookmarkStart w:id="278" w:name="_Toc9428"/>
      <w:bookmarkStart w:id="279" w:name="_Toc212648391"/>
      <w:r>
        <w:rPr>
          <w:rFonts w:hint="eastAsia" w:ascii="宋体" w:hAnsi="宋体" w:cs="宋体"/>
          <w:b/>
          <w:bCs/>
          <w:kern w:val="0"/>
          <w:sz w:val="24"/>
          <w:szCs w:val="24"/>
          <w:highlight w:val="none"/>
        </w:rPr>
        <w:t>项目实施方案</w:t>
      </w:r>
      <w:bookmarkEnd w:id="273"/>
    </w:p>
    <w:p w14:paraId="46AA36B5">
      <w:pPr>
        <w:spacing w:line="360" w:lineRule="auto"/>
        <w:jc w:val="center"/>
        <w:rPr>
          <w:rFonts w:ascii="宋体" w:hAnsi="宋体" w:cs="宋体"/>
          <w:snapToGrid w:val="0"/>
          <w:kern w:val="0"/>
          <w:szCs w:val="20"/>
          <w:highlight w:val="none"/>
        </w:rPr>
      </w:pPr>
      <w:r>
        <w:rPr>
          <w:rFonts w:hint="eastAsia" w:ascii="宋体" w:hAnsi="宋体" w:cs="宋体"/>
          <w:snapToGrid w:val="0"/>
          <w:kern w:val="0"/>
          <w:szCs w:val="20"/>
          <w:highlight w:val="none"/>
        </w:rPr>
        <w:t>（由投标人提供，格式自拟）</w:t>
      </w:r>
    </w:p>
    <w:bookmarkEnd w:id="274"/>
    <w:bookmarkEnd w:id="275"/>
    <w:bookmarkEnd w:id="276"/>
    <w:bookmarkEnd w:id="277"/>
    <w:bookmarkEnd w:id="278"/>
    <w:bookmarkEnd w:id="279"/>
    <w:p w14:paraId="32A915B0">
      <w:pPr>
        <w:rPr>
          <w:rFonts w:ascii="宋体" w:hAnsi="宋体" w:cs="宋体"/>
          <w:b/>
          <w:sz w:val="28"/>
          <w:szCs w:val="28"/>
        </w:rPr>
      </w:pPr>
    </w:p>
    <w:p w14:paraId="3C4DC63B">
      <w:pPr>
        <w:widowControl/>
        <w:jc w:val="left"/>
        <w:rPr>
          <w:rFonts w:ascii="宋体" w:hAnsi="宋体"/>
          <w:b/>
          <w:sz w:val="24"/>
        </w:rPr>
      </w:pPr>
      <w:r>
        <w:rPr>
          <w:rFonts w:ascii="宋体" w:hAnsi="宋体"/>
          <w:b/>
          <w:sz w:val="24"/>
        </w:rPr>
        <w:br w:type="page"/>
      </w:r>
    </w:p>
    <w:p w14:paraId="60DCF168">
      <w:pPr>
        <w:keepNext/>
        <w:keepLines/>
        <w:spacing w:line="360" w:lineRule="auto"/>
        <w:jc w:val="center"/>
        <w:outlineLvl w:val="2"/>
        <w:rPr>
          <w:rFonts w:ascii="宋体" w:hAnsi="宋体" w:cs="宋体"/>
          <w:b/>
          <w:bCs/>
          <w:kern w:val="0"/>
          <w:sz w:val="24"/>
          <w:szCs w:val="24"/>
          <w:highlight w:val="none"/>
        </w:rPr>
      </w:pPr>
      <w:bookmarkStart w:id="280" w:name="_Toc4758"/>
      <w:bookmarkStart w:id="281" w:name="_Toc1450"/>
      <w:bookmarkStart w:id="282" w:name="_Toc11510"/>
      <w:r>
        <w:rPr>
          <w:rFonts w:hint="eastAsia" w:ascii="宋体" w:hAnsi="宋体" w:cs="宋体"/>
          <w:b/>
          <w:sz w:val="28"/>
          <w:szCs w:val="28"/>
        </w:rPr>
        <w:t>格式2</w:t>
      </w:r>
      <w:r>
        <w:rPr>
          <w:rFonts w:hint="eastAsia" w:ascii="宋体" w:hAnsi="宋体" w:cs="宋体"/>
          <w:b/>
          <w:sz w:val="28"/>
          <w:szCs w:val="28"/>
          <w:lang w:val="en-US" w:eastAsia="zh-CN"/>
        </w:rPr>
        <w:t xml:space="preserve"> </w:t>
      </w:r>
      <w:bookmarkStart w:id="283" w:name="_Toc15779"/>
      <w:bookmarkStart w:id="284" w:name="_Toc212648392"/>
      <w:r>
        <w:rPr>
          <w:rFonts w:hint="eastAsia" w:ascii="宋体" w:hAnsi="宋体" w:cs="宋体"/>
          <w:b/>
          <w:bCs/>
          <w:kern w:val="0"/>
          <w:sz w:val="24"/>
          <w:szCs w:val="24"/>
          <w:highlight w:val="none"/>
        </w:rPr>
        <w:t>质量保证措施及违约责任承诺</w:t>
      </w:r>
      <w:bookmarkEnd w:id="280"/>
    </w:p>
    <w:p w14:paraId="4F4A683F">
      <w:pPr>
        <w:spacing w:line="360" w:lineRule="auto"/>
        <w:jc w:val="center"/>
        <w:rPr>
          <w:rFonts w:ascii="宋体" w:hAnsi="宋体" w:cs="宋体"/>
          <w:snapToGrid w:val="0"/>
          <w:kern w:val="0"/>
          <w:szCs w:val="20"/>
          <w:highlight w:val="none"/>
        </w:rPr>
      </w:pPr>
      <w:r>
        <w:rPr>
          <w:rFonts w:hint="eastAsia" w:ascii="宋体" w:hAnsi="宋体" w:cs="宋体"/>
          <w:snapToGrid w:val="0"/>
          <w:kern w:val="0"/>
          <w:szCs w:val="20"/>
          <w:highlight w:val="none"/>
        </w:rPr>
        <w:t>（由投标人提供，格式自拟）</w:t>
      </w:r>
    </w:p>
    <w:bookmarkEnd w:id="281"/>
    <w:bookmarkEnd w:id="282"/>
    <w:bookmarkEnd w:id="283"/>
    <w:bookmarkEnd w:id="284"/>
    <w:p w14:paraId="14794DB6">
      <w:pPr>
        <w:widowControl/>
        <w:jc w:val="left"/>
        <w:rPr>
          <w:rFonts w:ascii="宋体" w:hAnsi="宋体" w:cs="宋体"/>
          <w:b/>
          <w:sz w:val="28"/>
          <w:szCs w:val="28"/>
        </w:rPr>
      </w:pPr>
      <w:r>
        <w:rPr>
          <w:rFonts w:hint="eastAsia" w:ascii="宋体" w:hAnsi="宋体" w:cs="宋体"/>
          <w:b/>
          <w:sz w:val="28"/>
          <w:szCs w:val="28"/>
        </w:rPr>
        <w:br w:type="page"/>
      </w:r>
    </w:p>
    <w:p w14:paraId="4720EA7F">
      <w:pPr>
        <w:pStyle w:val="4"/>
        <w:numPr>
          <w:ilvl w:val="2"/>
          <w:numId w:val="0"/>
        </w:numPr>
        <w:tabs>
          <w:tab w:val="clear" w:pos="360"/>
          <w:tab w:val="clear" w:pos="900"/>
          <w:tab w:val="clear" w:pos="1588"/>
        </w:tabs>
        <w:spacing w:before="0" w:after="0" w:line="360" w:lineRule="auto"/>
        <w:ind w:left="0" w:firstLine="0"/>
        <w:jc w:val="center"/>
        <w:rPr>
          <w:rFonts w:ascii="宋体" w:hAnsi="宋体" w:cs="宋体"/>
          <w:sz w:val="24"/>
          <w:szCs w:val="24"/>
          <w:highlight w:val="none"/>
        </w:rPr>
      </w:pPr>
      <w:bookmarkStart w:id="285" w:name="_Toc5482"/>
      <w:bookmarkStart w:id="286" w:name="_Toc26730"/>
      <w:bookmarkStart w:id="287" w:name="_Toc19348"/>
      <w:r>
        <w:rPr>
          <w:rFonts w:hint="default" w:ascii="宋体" w:hAnsi="宋体" w:cs="宋体"/>
          <w:b/>
          <w:sz w:val="28"/>
          <w:szCs w:val="28"/>
        </w:rPr>
        <w:t>格式3</w:t>
      </w:r>
      <w:bookmarkStart w:id="288" w:name="_Toc2149"/>
      <w:bookmarkStart w:id="289" w:name="_Toc212648393"/>
      <w:r>
        <w:rPr>
          <w:rFonts w:hint="default" w:ascii="宋体" w:hAnsi="宋体" w:cs="宋体"/>
          <w:b/>
          <w:sz w:val="28"/>
          <w:szCs w:val="28"/>
          <w:lang w:val="en-US" w:eastAsia="zh-CN"/>
        </w:rPr>
        <w:t xml:space="preserve">  </w:t>
      </w:r>
      <w:r>
        <w:rPr>
          <w:rFonts w:hint="eastAsia" w:ascii="宋体" w:hAnsi="宋体" w:cs="宋体"/>
          <w:sz w:val="24"/>
          <w:szCs w:val="24"/>
          <w:highlight w:val="none"/>
        </w:rPr>
        <w:t>技术指标偏离表</w:t>
      </w:r>
      <w:bookmarkEnd w:id="285"/>
    </w:p>
    <w:p w14:paraId="35BBFAC4">
      <w:pPr>
        <w:spacing w:line="360" w:lineRule="auto"/>
        <w:jc w:val="left"/>
        <w:rPr>
          <w:rFonts w:ascii="宋体" w:hAnsi="宋体" w:cs="宋体"/>
          <w:bCs/>
          <w:sz w:val="24"/>
          <w:szCs w:val="24"/>
          <w:highlight w:val="none"/>
        </w:rPr>
      </w:pPr>
      <w:r>
        <w:rPr>
          <w:rFonts w:hint="eastAsia" w:ascii="宋体" w:hAnsi="宋体" w:cs="宋体"/>
          <w:bCs/>
          <w:sz w:val="24"/>
          <w:szCs w:val="24"/>
          <w:highlight w:val="none"/>
          <w:lang w:val="en-US" w:eastAsia="zh-CN"/>
        </w:rPr>
        <w:t>标段</w:t>
      </w:r>
      <w:r>
        <w:rPr>
          <w:rFonts w:hint="eastAsia" w:ascii="宋体" w:hAnsi="宋体" w:cs="宋体"/>
          <w:bCs/>
          <w:sz w:val="24"/>
          <w:szCs w:val="24"/>
          <w:highlight w:val="none"/>
        </w:rPr>
        <w:t>名称：</w:t>
      </w:r>
      <w:r>
        <w:rPr>
          <w:rFonts w:hint="eastAsia" w:ascii="宋体" w:hAnsi="宋体" w:cs="宋体"/>
          <w:sz w:val="24"/>
          <w:szCs w:val="24"/>
          <w:highlight w:val="none"/>
          <w:u w:val="single"/>
        </w:rPr>
        <w:t xml:space="preserve"> </w:t>
      </w:r>
      <w:r>
        <w:rPr>
          <w:rFonts w:hint="eastAsia" w:ascii="宋体" w:hAnsi="宋体" w:cs="宋体"/>
          <w:bCs/>
          <w:sz w:val="24"/>
          <w:szCs w:val="24"/>
          <w:highlight w:val="none"/>
          <w:u w:val="single"/>
        </w:rPr>
        <w:t xml:space="preserve">         </w:t>
      </w:r>
    </w:p>
    <w:p w14:paraId="150342B0">
      <w:pPr>
        <w:spacing w:line="360" w:lineRule="auto"/>
        <w:jc w:val="left"/>
        <w:rPr>
          <w:rFonts w:ascii="宋体" w:hAnsi="宋体" w:cs="宋体"/>
          <w:bCs/>
          <w:sz w:val="24"/>
          <w:szCs w:val="24"/>
          <w:highlight w:val="none"/>
          <w:u w:val="single"/>
        </w:rPr>
      </w:pPr>
      <w:r>
        <w:rPr>
          <w:rFonts w:hint="eastAsia" w:ascii="宋体" w:hAnsi="宋体" w:cs="宋体"/>
          <w:bCs/>
          <w:sz w:val="24"/>
          <w:szCs w:val="24"/>
          <w:highlight w:val="none"/>
        </w:rPr>
        <w:t>项目编号：</w:t>
      </w:r>
      <w:r>
        <w:rPr>
          <w:rFonts w:hint="eastAsia" w:ascii="宋体" w:hAnsi="宋体" w:cs="宋体"/>
          <w:sz w:val="24"/>
          <w:szCs w:val="24"/>
          <w:highlight w:val="none"/>
          <w:u w:val="single"/>
        </w:rPr>
        <w:t xml:space="preserve"> </w:t>
      </w:r>
      <w:r>
        <w:rPr>
          <w:rFonts w:hint="eastAsia" w:ascii="宋体" w:hAnsi="宋体" w:cs="宋体"/>
          <w:bCs/>
          <w:sz w:val="24"/>
          <w:szCs w:val="24"/>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098"/>
        <w:gridCol w:w="2055"/>
        <w:gridCol w:w="2191"/>
        <w:gridCol w:w="1369"/>
        <w:gridCol w:w="2124"/>
      </w:tblGrid>
      <w:tr w14:paraId="1B0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7F3D70F2">
            <w:pPr>
              <w:spacing w:line="360" w:lineRule="auto"/>
              <w:jc w:val="center"/>
              <w:rPr>
                <w:rFonts w:ascii="宋体" w:hAnsi="宋体" w:cs="宋体"/>
                <w:sz w:val="24"/>
                <w:szCs w:val="24"/>
                <w:highlight w:val="none"/>
              </w:rPr>
            </w:pPr>
            <w:r>
              <w:rPr>
                <w:rFonts w:hint="eastAsia" w:ascii="宋体" w:hAnsi="宋体" w:cs="宋体"/>
                <w:sz w:val="24"/>
                <w:szCs w:val="24"/>
                <w:highlight w:val="none"/>
              </w:rPr>
              <w:t>序号</w:t>
            </w:r>
          </w:p>
        </w:tc>
        <w:tc>
          <w:tcPr>
            <w:tcW w:w="1098" w:type="dxa"/>
            <w:vAlign w:val="center"/>
          </w:tcPr>
          <w:p w14:paraId="380DBD5F">
            <w:pPr>
              <w:spacing w:line="360" w:lineRule="auto"/>
              <w:jc w:val="center"/>
              <w:rPr>
                <w:rFonts w:ascii="宋体" w:hAnsi="宋体" w:cs="宋体"/>
                <w:sz w:val="24"/>
                <w:szCs w:val="24"/>
                <w:highlight w:val="none"/>
              </w:rPr>
            </w:pPr>
            <w:r>
              <w:rPr>
                <w:rFonts w:hint="eastAsia" w:ascii="宋体" w:hAnsi="宋体" w:cs="宋体"/>
                <w:sz w:val="24"/>
                <w:szCs w:val="24"/>
                <w:highlight w:val="none"/>
              </w:rPr>
              <w:t>名称</w:t>
            </w:r>
          </w:p>
        </w:tc>
        <w:tc>
          <w:tcPr>
            <w:tcW w:w="2055" w:type="dxa"/>
            <w:vAlign w:val="center"/>
          </w:tcPr>
          <w:p w14:paraId="3F6BF9F0">
            <w:pPr>
              <w:spacing w:line="360" w:lineRule="auto"/>
              <w:jc w:val="center"/>
              <w:rPr>
                <w:rFonts w:ascii="宋体" w:hAnsi="宋体" w:cs="宋体"/>
                <w:sz w:val="24"/>
                <w:szCs w:val="24"/>
                <w:highlight w:val="none"/>
              </w:rPr>
            </w:pPr>
            <w:r>
              <w:rPr>
                <w:rFonts w:hint="eastAsia" w:ascii="宋体" w:hAnsi="宋体" w:cs="宋体"/>
                <w:sz w:val="24"/>
                <w:szCs w:val="24"/>
                <w:highlight w:val="none"/>
              </w:rPr>
              <w:t>招标文件要求</w:t>
            </w:r>
          </w:p>
        </w:tc>
        <w:tc>
          <w:tcPr>
            <w:tcW w:w="2191" w:type="dxa"/>
            <w:vAlign w:val="center"/>
          </w:tcPr>
          <w:p w14:paraId="0639D6AC">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投标文件响应</w:t>
            </w:r>
          </w:p>
        </w:tc>
        <w:tc>
          <w:tcPr>
            <w:tcW w:w="1369" w:type="dxa"/>
            <w:vAlign w:val="center"/>
          </w:tcPr>
          <w:p w14:paraId="51EE56C4">
            <w:pPr>
              <w:spacing w:line="360" w:lineRule="auto"/>
              <w:jc w:val="center"/>
              <w:rPr>
                <w:rFonts w:ascii="宋体" w:hAnsi="宋体" w:cs="宋体"/>
                <w:sz w:val="24"/>
                <w:szCs w:val="24"/>
                <w:highlight w:val="none"/>
              </w:rPr>
            </w:pPr>
            <w:r>
              <w:rPr>
                <w:rFonts w:hint="eastAsia" w:ascii="宋体" w:hAnsi="宋体" w:cs="宋体"/>
                <w:sz w:val="24"/>
                <w:szCs w:val="24"/>
                <w:highlight w:val="none"/>
              </w:rPr>
              <w:t>偏离情况</w:t>
            </w:r>
          </w:p>
        </w:tc>
        <w:tc>
          <w:tcPr>
            <w:tcW w:w="2124" w:type="dxa"/>
            <w:vAlign w:val="center"/>
          </w:tcPr>
          <w:p w14:paraId="16C25E54">
            <w:pPr>
              <w:spacing w:line="360" w:lineRule="auto"/>
              <w:jc w:val="center"/>
              <w:rPr>
                <w:rFonts w:ascii="宋体" w:hAnsi="宋体" w:cs="宋体"/>
                <w:sz w:val="24"/>
                <w:szCs w:val="24"/>
                <w:highlight w:val="none"/>
              </w:rPr>
            </w:pPr>
            <w:r>
              <w:rPr>
                <w:rFonts w:hint="eastAsia" w:ascii="宋体" w:hAnsi="宋体" w:cs="宋体"/>
                <w:sz w:val="24"/>
                <w:szCs w:val="24"/>
                <w:highlight w:val="none"/>
              </w:rPr>
              <w:t>说明</w:t>
            </w:r>
          </w:p>
        </w:tc>
      </w:tr>
      <w:tr w14:paraId="0154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7A57275F">
            <w:pPr>
              <w:spacing w:line="360" w:lineRule="auto"/>
              <w:jc w:val="center"/>
              <w:rPr>
                <w:rFonts w:ascii="宋体" w:hAnsi="宋体" w:cs="宋体"/>
                <w:sz w:val="24"/>
                <w:szCs w:val="24"/>
                <w:highlight w:val="none"/>
              </w:rPr>
            </w:pPr>
          </w:p>
        </w:tc>
        <w:tc>
          <w:tcPr>
            <w:tcW w:w="1098" w:type="dxa"/>
            <w:vAlign w:val="center"/>
          </w:tcPr>
          <w:p w14:paraId="605AB7DF">
            <w:pPr>
              <w:spacing w:line="360" w:lineRule="auto"/>
              <w:jc w:val="center"/>
              <w:rPr>
                <w:rFonts w:ascii="宋体" w:hAnsi="宋体" w:cs="宋体"/>
                <w:sz w:val="24"/>
                <w:szCs w:val="24"/>
                <w:highlight w:val="none"/>
              </w:rPr>
            </w:pPr>
          </w:p>
        </w:tc>
        <w:tc>
          <w:tcPr>
            <w:tcW w:w="2055" w:type="dxa"/>
            <w:vAlign w:val="center"/>
          </w:tcPr>
          <w:p w14:paraId="25BAA6F8">
            <w:pPr>
              <w:spacing w:line="360" w:lineRule="auto"/>
              <w:jc w:val="center"/>
              <w:rPr>
                <w:rFonts w:ascii="宋体" w:hAnsi="宋体" w:cs="宋体"/>
                <w:sz w:val="24"/>
                <w:szCs w:val="24"/>
                <w:highlight w:val="none"/>
              </w:rPr>
            </w:pPr>
          </w:p>
        </w:tc>
        <w:tc>
          <w:tcPr>
            <w:tcW w:w="2191" w:type="dxa"/>
            <w:vAlign w:val="center"/>
          </w:tcPr>
          <w:p w14:paraId="55F6D55F">
            <w:pPr>
              <w:spacing w:line="360" w:lineRule="auto"/>
              <w:jc w:val="center"/>
              <w:rPr>
                <w:rFonts w:ascii="宋体" w:hAnsi="宋体" w:cs="宋体"/>
                <w:sz w:val="24"/>
                <w:szCs w:val="24"/>
                <w:highlight w:val="none"/>
              </w:rPr>
            </w:pPr>
          </w:p>
        </w:tc>
        <w:tc>
          <w:tcPr>
            <w:tcW w:w="1369" w:type="dxa"/>
            <w:vAlign w:val="center"/>
          </w:tcPr>
          <w:p w14:paraId="6437F4F9">
            <w:pPr>
              <w:spacing w:line="360" w:lineRule="auto"/>
              <w:jc w:val="center"/>
              <w:rPr>
                <w:rFonts w:ascii="宋体" w:hAnsi="宋体" w:cs="宋体"/>
                <w:sz w:val="24"/>
                <w:szCs w:val="24"/>
                <w:highlight w:val="none"/>
              </w:rPr>
            </w:pPr>
          </w:p>
        </w:tc>
        <w:tc>
          <w:tcPr>
            <w:tcW w:w="2124" w:type="dxa"/>
            <w:vAlign w:val="center"/>
          </w:tcPr>
          <w:p w14:paraId="461CCC49">
            <w:pPr>
              <w:spacing w:line="360" w:lineRule="auto"/>
              <w:jc w:val="center"/>
              <w:rPr>
                <w:rFonts w:ascii="宋体" w:hAnsi="宋体" w:cs="宋体"/>
                <w:sz w:val="24"/>
                <w:szCs w:val="24"/>
                <w:highlight w:val="none"/>
              </w:rPr>
            </w:pPr>
          </w:p>
        </w:tc>
      </w:tr>
      <w:tr w14:paraId="7CA1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70FB10DC">
            <w:pPr>
              <w:spacing w:line="360" w:lineRule="auto"/>
              <w:jc w:val="center"/>
              <w:rPr>
                <w:rFonts w:ascii="宋体" w:hAnsi="宋体" w:cs="宋体"/>
                <w:sz w:val="24"/>
                <w:szCs w:val="24"/>
                <w:highlight w:val="none"/>
              </w:rPr>
            </w:pPr>
          </w:p>
        </w:tc>
        <w:tc>
          <w:tcPr>
            <w:tcW w:w="1098" w:type="dxa"/>
            <w:vAlign w:val="center"/>
          </w:tcPr>
          <w:p w14:paraId="380FF145">
            <w:pPr>
              <w:spacing w:line="360" w:lineRule="auto"/>
              <w:jc w:val="center"/>
              <w:rPr>
                <w:rFonts w:ascii="宋体" w:hAnsi="宋体" w:cs="宋体"/>
                <w:sz w:val="24"/>
                <w:szCs w:val="24"/>
                <w:highlight w:val="none"/>
              </w:rPr>
            </w:pPr>
          </w:p>
        </w:tc>
        <w:tc>
          <w:tcPr>
            <w:tcW w:w="2055" w:type="dxa"/>
            <w:vAlign w:val="center"/>
          </w:tcPr>
          <w:p w14:paraId="1BD86C1B">
            <w:pPr>
              <w:spacing w:line="360" w:lineRule="auto"/>
              <w:jc w:val="center"/>
              <w:rPr>
                <w:rFonts w:ascii="宋体" w:hAnsi="宋体" w:cs="宋体"/>
                <w:sz w:val="24"/>
                <w:szCs w:val="24"/>
                <w:highlight w:val="none"/>
              </w:rPr>
            </w:pPr>
          </w:p>
        </w:tc>
        <w:tc>
          <w:tcPr>
            <w:tcW w:w="2191" w:type="dxa"/>
            <w:vAlign w:val="center"/>
          </w:tcPr>
          <w:p w14:paraId="6792ECA7">
            <w:pPr>
              <w:spacing w:line="360" w:lineRule="auto"/>
              <w:jc w:val="center"/>
              <w:rPr>
                <w:rFonts w:ascii="宋体" w:hAnsi="宋体" w:cs="宋体"/>
                <w:sz w:val="24"/>
                <w:szCs w:val="24"/>
                <w:highlight w:val="none"/>
              </w:rPr>
            </w:pPr>
          </w:p>
        </w:tc>
        <w:tc>
          <w:tcPr>
            <w:tcW w:w="1369" w:type="dxa"/>
            <w:vAlign w:val="center"/>
          </w:tcPr>
          <w:p w14:paraId="6F6C2DF7">
            <w:pPr>
              <w:spacing w:line="360" w:lineRule="auto"/>
              <w:jc w:val="center"/>
              <w:rPr>
                <w:rFonts w:ascii="宋体" w:hAnsi="宋体" w:cs="宋体"/>
                <w:sz w:val="24"/>
                <w:szCs w:val="24"/>
                <w:highlight w:val="none"/>
              </w:rPr>
            </w:pPr>
          </w:p>
        </w:tc>
        <w:tc>
          <w:tcPr>
            <w:tcW w:w="2124" w:type="dxa"/>
            <w:vAlign w:val="center"/>
          </w:tcPr>
          <w:p w14:paraId="441D51D5">
            <w:pPr>
              <w:spacing w:line="360" w:lineRule="auto"/>
              <w:jc w:val="center"/>
              <w:rPr>
                <w:rFonts w:ascii="宋体" w:hAnsi="宋体" w:cs="宋体"/>
                <w:sz w:val="24"/>
                <w:szCs w:val="24"/>
                <w:highlight w:val="none"/>
              </w:rPr>
            </w:pPr>
          </w:p>
        </w:tc>
      </w:tr>
      <w:tr w14:paraId="6EEB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600D1BF8">
            <w:pPr>
              <w:spacing w:line="360" w:lineRule="auto"/>
              <w:jc w:val="center"/>
              <w:rPr>
                <w:rFonts w:ascii="宋体" w:hAnsi="宋体" w:cs="宋体"/>
                <w:sz w:val="24"/>
                <w:szCs w:val="24"/>
                <w:highlight w:val="none"/>
              </w:rPr>
            </w:pPr>
          </w:p>
        </w:tc>
        <w:tc>
          <w:tcPr>
            <w:tcW w:w="1098" w:type="dxa"/>
            <w:vAlign w:val="center"/>
          </w:tcPr>
          <w:p w14:paraId="669229DC">
            <w:pPr>
              <w:spacing w:line="360" w:lineRule="auto"/>
              <w:jc w:val="center"/>
              <w:rPr>
                <w:rFonts w:ascii="宋体" w:hAnsi="宋体" w:cs="宋体"/>
                <w:sz w:val="24"/>
                <w:szCs w:val="24"/>
                <w:highlight w:val="none"/>
              </w:rPr>
            </w:pPr>
          </w:p>
        </w:tc>
        <w:tc>
          <w:tcPr>
            <w:tcW w:w="2055" w:type="dxa"/>
            <w:vAlign w:val="center"/>
          </w:tcPr>
          <w:p w14:paraId="339EBE50">
            <w:pPr>
              <w:spacing w:line="360" w:lineRule="auto"/>
              <w:jc w:val="center"/>
              <w:rPr>
                <w:rFonts w:ascii="宋体" w:hAnsi="宋体" w:cs="宋体"/>
                <w:sz w:val="24"/>
                <w:szCs w:val="24"/>
                <w:highlight w:val="none"/>
              </w:rPr>
            </w:pPr>
          </w:p>
        </w:tc>
        <w:tc>
          <w:tcPr>
            <w:tcW w:w="2191" w:type="dxa"/>
            <w:vAlign w:val="center"/>
          </w:tcPr>
          <w:p w14:paraId="71DDE3F3">
            <w:pPr>
              <w:spacing w:line="360" w:lineRule="auto"/>
              <w:jc w:val="center"/>
              <w:rPr>
                <w:rFonts w:ascii="宋体" w:hAnsi="宋体" w:cs="宋体"/>
                <w:sz w:val="24"/>
                <w:szCs w:val="24"/>
                <w:highlight w:val="none"/>
              </w:rPr>
            </w:pPr>
          </w:p>
        </w:tc>
        <w:tc>
          <w:tcPr>
            <w:tcW w:w="1369" w:type="dxa"/>
            <w:vAlign w:val="center"/>
          </w:tcPr>
          <w:p w14:paraId="395B4CC4">
            <w:pPr>
              <w:spacing w:line="360" w:lineRule="auto"/>
              <w:jc w:val="center"/>
              <w:rPr>
                <w:rFonts w:ascii="宋体" w:hAnsi="宋体" w:cs="宋体"/>
                <w:sz w:val="24"/>
                <w:szCs w:val="24"/>
                <w:highlight w:val="none"/>
              </w:rPr>
            </w:pPr>
          </w:p>
        </w:tc>
        <w:tc>
          <w:tcPr>
            <w:tcW w:w="2124" w:type="dxa"/>
            <w:vAlign w:val="center"/>
          </w:tcPr>
          <w:p w14:paraId="4443F43C">
            <w:pPr>
              <w:spacing w:line="360" w:lineRule="auto"/>
              <w:jc w:val="center"/>
              <w:rPr>
                <w:rFonts w:ascii="宋体" w:hAnsi="宋体" w:cs="宋体"/>
                <w:sz w:val="24"/>
                <w:szCs w:val="24"/>
                <w:highlight w:val="none"/>
              </w:rPr>
            </w:pPr>
          </w:p>
        </w:tc>
      </w:tr>
      <w:tr w14:paraId="7F80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747E29E5">
            <w:pPr>
              <w:spacing w:line="360" w:lineRule="auto"/>
              <w:jc w:val="center"/>
              <w:rPr>
                <w:rFonts w:ascii="宋体" w:hAnsi="宋体" w:cs="宋体"/>
                <w:sz w:val="24"/>
                <w:szCs w:val="24"/>
                <w:highlight w:val="none"/>
              </w:rPr>
            </w:pPr>
          </w:p>
        </w:tc>
        <w:tc>
          <w:tcPr>
            <w:tcW w:w="1098" w:type="dxa"/>
            <w:vAlign w:val="center"/>
          </w:tcPr>
          <w:p w14:paraId="0FCB3D77">
            <w:pPr>
              <w:spacing w:line="360" w:lineRule="auto"/>
              <w:jc w:val="center"/>
              <w:rPr>
                <w:rFonts w:ascii="宋体" w:hAnsi="宋体" w:cs="宋体"/>
                <w:sz w:val="24"/>
                <w:szCs w:val="24"/>
                <w:highlight w:val="none"/>
              </w:rPr>
            </w:pPr>
          </w:p>
        </w:tc>
        <w:tc>
          <w:tcPr>
            <w:tcW w:w="2055" w:type="dxa"/>
            <w:vAlign w:val="center"/>
          </w:tcPr>
          <w:p w14:paraId="5920145C">
            <w:pPr>
              <w:spacing w:line="360" w:lineRule="auto"/>
              <w:jc w:val="center"/>
              <w:rPr>
                <w:rFonts w:ascii="宋体" w:hAnsi="宋体" w:cs="宋体"/>
                <w:sz w:val="24"/>
                <w:szCs w:val="24"/>
                <w:highlight w:val="none"/>
              </w:rPr>
            </w:pPr>
          </w:p>
        </w:tc>
        <w:tc>
          <w:tcPr>
            <w:tcW w:w="2191" w:type="dxa"/>
            <w:vAlign w:val="center"/>
          </w:tcPr>
          <w:p w14:paraId="7D8A426E">
            <w:pPr>
              <w:spacing w:line="360" w:lineRule="auto"/>
              <w:jc w:val="center"/>
              <w:rPr>
                <w:rFonts w:ascii="宋体" w:hAnsi="宋体" w:cs="宋体"/>
                <w:sz w:val="24"/>
                <w:szCs w:val="24"/>
                <w:highlight w:val="none"/>
              </w:rPr>
            </w:pPr>
          </w:p>
        </w:tc>
        <w:tc>
          <w:tcPr>
            <w:tcW w:w="1369" w:type="dxa"/>
            <w:vAlign w:val="center"/>
          </w:tcPr>
          <w:p w14:paraId="113D770B">
            <w:pPr>
              <w:spacing w:line="360" w:lineRule="auto"/>
              <w:jc w:val="center"/>
              <w:rPr>
                <w:rFonts w:ascii="宋体" w:hAnsi="宋体" w:cs="宋体"/>
                <w:sz w:val="24"/>
                <w:szCs w:val="24"/>
                <w:highlight w:val="none"/>
              </w:rPr>
            </w:pPr>
          </w:p>
        </w:tc>
        <w:tc>
          <w:tcPr>
            <w:tcW w:w="2124" w:type="dxa"/>
            <w:vAlign w:val="center"/>
          </w:tcPr>
          <w:p w14:paraId="293E5B14">
            <w:pPr>
              <w:spacing w:line="360" w:lineRule="auto"/>
              <w:jc w:val="center"/>
              <w:rPr>
                <w:rFonts w:ascii="宋体" w:hAnsi="宋体" w:cs="宋体"/>
                <w:sz w:val="24"/>
                <w:szCs w:val="24"/>
                <w:highlight w:val="none"/>
              </w:rPr>
            </w:pPr>
          </w:p>
        </w:tc>
      </w:tr>
      <w:tr w14:paraId="0B6B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072BA412">
            <w:pPr>
              <w:spacing w:line="360" w:lineRule="auto"/>
              <w:jc w:val="center"/>
              <w:rPr>
                <w:rFonts w:ascii="宋体" w:hAnsi="宋体" w:cs="宋体"/>
                <w:sz w:val="24"/>
                <w:szCs w:val="24"/>
                <w:highlight w:val="none"/>
              </w:rPr>
            </w:pPr>
          </w:p>
        </w:tc>
        <w:tc>
          <w:tcPr>
            <w:tcW w:w="1098" w:type="dxa"/>
            <w:vAlign w:val="center"/>
          </w:tcPr>
          <w:p w14:paraId="54033441">
            <w:pPr>
              <w:spacing w:line="360" w:lineRule="auto"/>
              <w:jc w:val="center"/>
              <w:rPr>
                <w:rFonts w:ascii="宋体" w:hAnsi="宋体" w:cs="宋体"/>
                <w:sz w:val="24"/>
                <w:szCs w:val="24"/>
                <w:highlight w:val="none"/>
              </w:rPr>
            </w:pPr>
          </w:p>
        </w:tc>
        <w:tc>
          <w:tcPr>
            <w:tcW w:w="2055" w:type="dxa"/>
            <w:vAlign w:val="center"/>
          </w:tcPr>
          <w:p w14:paraId="28603685">
            <w:pPr>
              <w:spacing w:line="360" w:lineRule="auto"/>
              <w:jc w:val="center"/>
              <w:rPr>
                <w:rFonts w:ascii="宋体" w:hAnsi="宋体" w:cs="宋体"/>
                <w:sz w:val="24"/>
                <w:szCs w:val="24"/>
                <w:highlight w:val="none"/>
              </w:rPr>
            </w:pPr>
          </w:p>
        </w:tc>
        <w:tc>
          <w:tcPr>
            <w:tcW w:w="2191" w:type="dxa"/>
            <w:vAlign w:val="center"/>
          </w:tcPr>
          <w:p w14:paraId="2CCD65B2">
            <w:pPr>
              <w:spacing w:line="360" w:lineRule="auto"/>
              <w:jc w:val="center"/>
              <w:rPr>
                <w:rFonts w:ascii="宋体" w:hAnsi="宋体" w:cs="宋体"/>
                <w:sz w:val="24"/>
                <w:szCs w:val="24"/>
                <w:highlight w:val="none"/>
              </w:rPr>
            </w:pPr>
          </w:p>
        </w:tc>
        <w:tc>
          <w:tcPr>
            <w:tcW w:w="1369" w:type="dxa"/>
            <w:vAlign w:val="center"/>
          </w:tcPr>
          <w:p w14:paraId="33D126A6">
            <w:pPr>
              <w:spacing w:line="360" w:lineRule="auto"/>
              <w:jc w:val="center"/>
              <w:rPr>
                <w:rFonts w:ascii="宋体" w:hAnsi="宋体" w:cs="宋体"/>
                <w:sz w:val="24"/>
                <w:szCs w:val="24"/>
                <w:highlight w:val="none"/>
              </w:rPr>
            </w:pPr>
          </w:p>
        </w:tc>
        <w:tc>
          <w:tcPr>
            <w:tcW w:w="2124" w:type="dxa"/>
            <w:vAlign w:val="center"/>
          </w:tcPr>
          <w:p w14:paraId="0D2BB669">
            <w:pPr>
              <w:spacing w:line="360" w:lineRule="auto"/>
              <w:jc w:val="center"/>
              <w:rPr>
                <w:rFonts w:ascii="宋体" w:hAnsi="宋体" w:cs="宋体"/>
                <w:sz w:val="24"/>
                <w:szCs w:val="24"/>
                <w:highlight w:val="none"/>
              </w:rPr>
            </w:pPr>
          </w:p>
        </w:tc>
      </w:tr>
    </w:tbl>
    <w:p w14:paraId="186704A2">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注：</w:t>
      </w:r>
    </w:p>
    <w:p w14:paraId="5CCE4612">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（1）投标人应按所投产品的实际技术参数，逐条对应招标文件的第</w:t>
      </w:r>
      <w:r>
        <w:rPr>
          <w:rFonts w:hint="eastAsia" w:ascii="宋体" w:hAnsi="宋体" w:cs="宋体"/>
          <w:b/>
          <w:bCs/>
          <w:sz w:val="24"/>
          <w:szCs w:val="24"/>
          <w:highlight w:val="none"/>
          <w:lang w:val="en-US" w:eastAsia="zh-CN"/>
        </w:rPr>
        <w:t>五</w:t>
      </w:r>
      <w:r>
        <w:rPr>
          <w:rFonts w:hint="eastAsia" w:ascii="宋体" w:hAnsi="宋体" w:cs="宋体"/>
          <w:b/>
          <w:bCs/>
          <w:sz w:val="24"/>
          <w:szCs w:val="24"/>
          <w:highlight w:val="none"/>
        </w:rPr>
        <w:t>章“采购需求”中要求的技术规范如实、完整、准确的填写该表，若由于投标人的疏忽大意或未能完整、如实填写，导致的一切后果由投标人自行承担。</w:t>
      </w:r>
    </w:p>
    <w:p w14:paraId="577BF97B">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（2）“偏离情况”请如实填写：“正偏离”、“负偏离”或“无偏离”。如有“正偏离”或“负偏离”情况，请填写说明，如为“无偏离”则不需填写说明。</w:t>
      </w:r>
    </w:p>
    <w:p w14:paraId="50275800">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（3）本表后附技术支持资料，支持资料需提供检测报告或证书或图纸或印刷宣传彩页或性能参数说明或应用截图，第</w:t>
      </w:r>
      <w:r>
        <w:rPr>
          <w:rFonts w:hint="eastAsia" w:ascii="宋体" w:hAnsi="宋体" w:cs="宋体"/>
          <w:b/>
          <w:bCs/>
          <w:sz w:val="24"/>
          <w:szCs w:val="24"/>
          <w:highlight w:val="none"/>
          <w:lang w:val="en-US" w:eastAsia="zh-CN"/>
        </w:rPr>
        <w:t>五</w:t>
      </w:r>
      <w:r>
        <w:rPr>
          <w:rFonts w:hint="eastAsia" w:ascii="宋体" w:hAnsi="宋体" w:cs="宋体"/>
          <w:b/>
          <w:bCs/>
          <w:sz w:val="24"/>
          <w:szCs w:val="24"/>
          <w:highlight w:val="none"/>
        </w:rPr>
        <w:t>章“采购需求及要求”中有要求的以第</w:t>
      </w:r>
      <w:r>
        <w:rPr>
          <w:rFonts w:hint="eastAsia" w:ascii="宋体" w:hAnsi="宋体" w:cs="宋体"/>
          <w:b/>
          <w:bCs/>
          <w:sz w:val="24"/>
          <w:szCs w:val="24"/>
          <w:highlight w:val="none"/>
          <w:lang w:val="en-US" w:eastAsia="zh-CN"/>
        </w:rPr>
        <w:t>五</w:t>
      </w:r>
      <w:r>
        <w:rPr>
          <w:rFonts w:hint="eastAsia" w:ascii="宋体" w:hAnsi="宋体" w:cs="宋体"/>
          <w:b/>
          <w:bCs/>
          <w:sz w:val="24"/>
          <w:szCs w:val="24"/>
          <w:highlight w:val="none"/>
        </w:rPr>
        <w:t>章“采购需求及要求”中要求为准，若技术资料不完整或表述不清导致无法评审，而投标人又未在投标文件中作出说明和解释的，视为不响应该条技术参数要求。</w:t>
      </w:r>
    </w:p>
    <w:p w14:paraId="61F755F8">
      <w:pPr>
        <w:rPr>
          <w:rFonts w:ascii="宋体" w:hAnsi="宋体" w:cs="宋体"/>
          <w:highlight w:val="none"/>
        </w:rPr>
      </w:pPr>
    </w:p>
    <w:p w14:paraId="25414E1E">
      <w:pPr>
        <w:spacing w:before="60" w:after="60" w:line="360" w:lineRule="auto"/>
        <w:ind w:firstLine="510"/>
        <w:rPr>
          <w:rFonts w:ascii="宋体" w:hAnsi="宋体" w:cs="宋体"/>
          <w:sz w:val="24"/>
          <w:highlight w:val="none"/>
        </w:rPr>
      </w:pPr>
      <w:r>
        <w:rPr>
          <w:rFonts w:hint="eastAsia" w:ascii="宋体" w:hAnsi="宋体" w:cs="宋体"/>
          <w:sz w:val="24"/>
          <w:highlight w:val="none"/>
        </w:rPr>
        <w:t>投标人全称（加盖电子公章）：</w:t>
      </w:r>
      <w:r>
        <w:rPr>
          <w:rFonts w:hint="eastAsia" w:ascii="宋体" w:hAnsi="宋体" w:cs="宋体"/>
          <w:sz w:val="24"/>
          <w:highlight w:val="none"/>
          <w:u w:val="single"/>
        </w:rPr>
        <w:t>________________________</w:t>
      </w:r>
    </w:p>
    <w:p w14:paraId="620235DC">
      <w:pPr>
        <w:spacing w:before="60" w:after="60" w:line="360" w:lineRule="auto"/>
        <w:ind w:firstLine="510"/>
        <w:rPr>
          <w:rFonts w:ascii="宋体" w:hAnsi="宋体" w:cs="宋体"/>
          <w:sz w:val="24"/>
          <w:highlight w:val="none"/>
        </w:rPr>
      </w:pPr>
      <w:r>
        <w:rPr>
          <w:rFonts w:hint="eastAsia" w:ascii="宋体" w:hAnsi="宋体" w:cs="宋体"/>
          <w:sz w:val="24"/>
          <w:highlight w:val="none"/>
        </w:rPr>
        <w:t>法定代表人或委托代理人签字或签章：</w:t>
      </w:r>
      <w:r>
        <w:rPr>
          <w:rFonts w:hint="eastAsia" w:ascii="宋体" w:hAnsi="宋体" w:cs="宋体"/>
          <w:sz w:val="24"/>
          <w:highlight w:val="none"/>
          <w:u w:val="single"/>
        </w:rPr>
        <w:t>__________________</w:t>
      </w:r>
    </w:p>
    <w:p w14:paraId="6F131504">
      <w:pPr>
        <w:spacing w:before="60" w:after="60" w:line="360" w:lineRule="auto"/>
        <w:ind w:firstLine="51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_______</w:t>
      </w:r>
      <w:r>
        <w:rPr>
          <w:rFonts w:hint="eastAsia" w:ascii="宋体" w:hAnsi="宋体" w:cs="宋体"/>
          <w:sz w:val="24"/>
          <w:highlight w:val="none"/>
        </w:rPr>
        <w:t>年</w:t>
      </w:r>
      <w:r>
        <w:rPr>
          <w:rFonts w:hint="eastAsia" w:ascii="宋体" w:hAnsi="宋体" w:cs="宋体"/>
          <w:sz w:val="24"/>
          <w:highlight w:val="none"/>
          <w:u w:val="single"/>
        </w:rPr>
        <w:t>____</w:t>
      </w:r>
      <w:r>
        <w:rPr>
          <w:rFonts w:hint="eastAsia" w:ascii="宋体" w:hAnsi="宋体" w:cs="宋体"/>
          <w:sz w:val="24"/>
          <w:highlight w:val="none"/>
        </w:rPr>
        <w:t>月</w:t>
      </w:r>
      <w:r>
        <w:rPr>
          <w:rFonts w:hint="eastAsia" w:ascii="宋体" w:hAnsi="宋体" w:cs="宋体"/>
          <w:sz w:val="24"/>
          <w:highlight w:val="none"/>
          <w:u w:val="single"/>
        </w:rPr>
        <w:t>_____</w:t>
      </w:r>
      <w:r>
        <w:rPr>
          <w:rFonts w:hint="eastAsia" w:ascii="宋体" w:hAnsi="宋体" w:cs="宋体"/>
          <w:sz w:val="24"/>
          <w:highlight w:val="none"/>
        </w:rPr>
        <w:t>日</w:t>
      </w:r>
    </w:p>
    <w:bookmarkEnd w:id="286"/>
    <w:bookmarkEnd w:id="287"/>
    <w:bookmarkEnd w:id="288"/>
    <w:bookmarkEnd w:id="289"/>
    <w:p w14:paraId="0FEF75D8">
      <w:pPr>
        <w:spacing w:line="360" w:lineRule="auto"/>
        <w:ind w:firstLine="480" w:firstLineChars="200"/>
        <w:rPr>
          <w:rFonts w:hAnsi="宋体" w:cs="宋体"/>
          <w:sz w:val="24"/>
        </w:rPr>
      </w:pPr>
    </w:p>
    <w:p w14:paraId="6782C980">
      <w:pPr>
        <w:widowControl/>
        <w:jc w:val="left"/>
        <w:rPr>
          <w:rFonts w:ascii="宋体" w:hAnsi="宋体" w:cs="宋体"/>
          <w:b/>
          <w:sz w:val="28"/>
          <w:szCs w:val="28"/>
        </w:rPr>
      </w:pPr>
      <w:r>
        <w:rPr>
          <w:rFonts w:ascii="宋体" w:hAnsi="宋体" w:cs="宋体"/>
          <w:b/>
          <w:sz w:val="28"/>
          <w:szCs w:val="28"/>
        </w:rPr>
        <w:br w:type="page"/>
      </w:r>
    </w:p>
    <w:p w14:paraId="3744D794">
      <w:pPr>
        <w:pStyle w:val="4"/>
        <w:numPr>
          <w:ilvl w:val="2"/>
          <w:numId w:val="0"/>
        </w:numPr>
        <w:tabs>
          <w:tab w:val="clear" w:pos="360"/>
          <w:tab w:val="clear" w:pos="900"/>
          <w:tab w:val="clear" w:pos="1588"/>
        </w:tabs>
        <w:spacing w:before="0" w:after="0" w:line="360" w:lineRule="auto"/>
        <w:ind w:left="0" w:firstLine="0"/>
        <w:jc w:val="center"/>
        <w:rPr>
          <w:rFonts w:ascii="宋体" w:hAnsi="宋体" w:cs="宋体"/>
          <w:sz w:val="24"/>
          <w:szCs w:val="24"/>
          <w:highlight w:val="none"/>
        </w:rPr>
      </w:pPr>
      <w:bookmarkStart w:id="290" w:name="_Toc28691"/>
      <w:bookmarkStart w:id="291" w:name="_Toc5317"/>
      <w:bookmarkStart w:id="292" w:name="_Toc15139"/>
      <w:r>
        <w:rPr>
          <w:rFonts w:hint="eastAsia" w:ascii="宋体" w:hAnsi="宋体" w:cs="宋体"/>
          <w:b/>
          <w:sz w:val="28"/>
          <w:szCs w:val="28"/>
        </w:rPr>
        <w:t>格式4</w:t>
      </w:r>
      <w:bookmarkStart w:id="293" w:name="_Toc14398"/>
      <w:bookmarkStart w:id="294" w:name="_Toc212648394"/>
      <w:r>
        <w:rPr>
          <w:rFonts w:hint="eastAsia" w:ascii="宋体" w:hAnsi="宋体" w:cs="宋体"/>
          <w:szCs w:val="28"/>
          <w:lang w:val="en-US" w:eastAsia="zh-CN"/>
        </w:rPr>
        <w:t xml:space="preserve"> </w:t>
      </w:r>
      <w:r>
        <w:rPr>
          <w:rFonts w:hint="default" w:ascii="宋体" w:hAnsi="宋体" w:cs="宋体"/>
          <w:b/>
          <w:sz w:val="28"/>
          <w:szCs w:val="28"/>
          <w:lang w:val="en-US" w:eastAsia="zh-CN"/>
        </w:rPr>
        <w:t xml:space="preserve"> </w:t>
      </w:r>
      <w:r>
        <w:rPr>
          <w:rFonts w:hint="eastAsia" w:ascii="宋体" w:hAnsi="宋体" w:cs="宋体"/>
          <w:sz w:val="24"/>
          <w:szCs w:val="24"/>
          <w:highlight w:val="none"/>
        </w:rPr>
        <w:t>投标质量保证书</w:t>
      </w:r>
      <w:bookmarkEnd w:id="290"/>
    </w:p>
    <w:p w14:paraId="715D0E0F">
      <w:pPr>
        <w:spacing w:line="360" w:lineRule="auto"/>
        <w:rPr>
          <w:rFonts w:ascii="宋体" w:hAnsi="宋体" w:cs="宋体"/>
          <w:sz w:val="24"/>
          <w:highlight w:val="none"/>
        </w:rPr>
      </w:pPr>
    </w:p>
    <w:p w14:paraId="166BE01E">
      <w:pPr>
        <w:spacing w:after="120" w:line="360" w:lineRule="auto"/>
        <w:rPr>
          <w:rFonts w:ascii="宋体" w:hAnsi="宋体" w:cs="宋体"/>
          <w:b/>
          <w:sz w:val="24"/>
          <w:highlight w:val="none"/>
        </w:rPr>
      </w:pPr>
      <w:r>
        <w:rPr>
          <w:rFonts w:hint="eastAsia" w:ascii="宋体" w:hAnsi="宋体" w:cs="宋体"/>
          <w:b/>
          <w:sz w:val="24"/>
          <w:highlight w:val="none"/>
        </w:rPr>
        <w:t>牟定县职业高级中学/云南东臻工程项目管理有限公司：</w:t>
      </w:r>
    </w:p>
    <w:p w14:paraId="1734FE36">
      <w:pPr>
        <w:spacing w:before="60" w:after="60" w:line="360" w:lineRule="auto"/>
        <w:ind w:firstLine="510"/>
        <w:rPr>
          <w:rFonts w:ascii="宋体" w:hAnsi="宋体" w:cs="宋体"/>
          <w:sz w:val="24"/>
          <w:highlight w:val="none"/>
        </w:rPr>
      </w:pPr>
    </w:p>
    <w:p w14:paraId="75DC6884">
      <w:pPr>
        <w:spacing w:before="60" w:after="60" w:line="360" w:lineRule="auto"/>
        <w:ind w:firstLine="510"/>
        <w:rPr>
          <w:rFonts w:ascii="宋体" w:hAnsi="宋体" w:cs="宋体"/>
          <w:b/>
          <w:bCs/>
          <w:sz w:val="24"/>
          <w:highlight w:val="none"/>
          <w:u w:val="single"/>
        </w:rPr>
      </w:pPr>
      <w:r>
        <w:rPr>
          <w:rFonts w:hint="eastAsia" w:ascii="宋体" w:hAnsi="宋体" w:cs="宋体"/>
          <w:sz w:val="24"/>
          <w:highlight w:val="none"/>
        </w:rPr>
        <w:t>本书作为</w:t>
      </w:r>
      <w:r>
        <w:rPr>
          <w:rFonts w:hint="eastAsia" w:ascii="宋体" w:hAnsi="宋体" w:cs="宋体"/>
          <w:sz w:val="24"/>
          <w:highlight w:val="none"/>
          <w:u w:val="single"/>
        </w:rPr>
        <w:t xml:space="preserve">                  </w:t>
      </w:r>
      <w:r>
        <w:rPr>
          <w:rFonts w:hint="eastAsia" w:ascii="宋体" w:hAnsi="宋体" w:cs="宋体"/>
          <w:sz w:val="24"/>
          <w:highlight w:val="none"/>
        </w:rPr>
        <w:t>（投标人）对牟定县职业高级中学委托贵方组织的项目编号为</w:t>
      </w:r>
      <w:r>
        <w:rPr>
          <w:rFonts w:hint="eastAsia" w:ascii="宋体" w:hAnsi="宋体" w:cs="宋体"/>
          <w:b/>
          <w:bCs/>
          <w:sz w:val="24"/>
          <w:szCs w:val="36"/>
          <w:highlight w:val="none"/>
          <w:u w:val="single"/>
        </w:rPr>
        <w:t xml:space="preserve">              </w:t>
      </w:r>
      <w:r>
        <w:rPr>
          <w:rFonts w:hint="eastAsia" w:ascii="宋体" w:hAnsi="宋体" w:cs="宋体"/>
          <w:sz w:val="24"/>
          <w:highlight w:val="none"/>
        </w:rPr>
        <w:t>的</w:t>
      </w:r>
      <w:r>
        <w:rPr>
          <w:rFonts w:hint="eastAsia" w:ascii="宋体" w:hAnsi="宋体" w:cs="宋体"/>
          <w:b/>
          <w:bCs/>
          <w:sz w:val="24"/>
          <w:highlight w:val="none"/>
          <w:u w:val="single"/>
        </w:rPr>
        <w:t xml:space="preserve">                      </w:t>
      </w:r>
      <w:r>
        <w:rPr>
          <w:rFonts w:hint="eastAsia" w:ascii="宋体" w:hAnsi="宋体" w:cs="宋体"/>
          <w:b w:val="0"/>
          <w:bCs w:val="0"/>
          <w:sz w:val="24"/>
          <w:highlight w:val="none"/>
          <w:u w:val="single"/>
          <w:lang w:eastAsia="zh-CN"/>
        </w:rPr>
        <w:t>（</w:t>
      </w:r>
      <w:r>
        <w:rPr>
          <w:rFonts w:hint="eastAsia" w:ascii="宋体" w:hAnsi="宋体" w:cs="宋体"/>
          <w:b w:val="0"/>
          <w:bCs w:val="0"/>
          <w:sz w:val="24"/>
          <w:highlight w:val="none"/>
          <w:u w:val="single"/>
          <w:lang w:val="en-US" w:eastAsia="zh-CN"/>
        </w:rPr>
        <w:t>标段名称</w:t>
      </w:r>
      <w:r>
        <w:rPr>
          <w:rFonts w:hint="eastAsia" w:ascii="宋体" w:hAnsi="宋体" w:cs="宋体"/>
          <w:b w:val="0"/>
          <w:bCs w:val="0"/>
          <w:sz w:val="24"/>
          <w:highlight w:val="none"/>
          <w:u w:val="single"/>
          <w:lang w:eastAsia="zh-CN"/>
        </w:rPr>
        <w:t>）</w:t>
      </w:r>
      <w:r>
        <w:rPr>
          <w:rFonts w:hint="eastAsia" w:ascii="宋体" w:hAnsi="宋体" w:cs="宋体"/>
          <w:sz w:val="24"/>
          <w:highlight w:val="none"/>
        </w:rPr>
        <w:t>招标提供质量保证的证明。</w:t>
      </w:r>
    </w:p>
    <w:p w14:paraId="2DD65BEA">
      <w:pPr>
        <w:spacing w:before="60" w:after="60" w:line="360" w:lineRule="auto"/>
        <w:ind w:firstLine="510"/>
        <w:rPr>
          <w:rFonts w:ascii="宋体" w:hAnsi="宋体" w:cs="宋体"/>
          <w:sz w:val="24"/>
          <w:highlight w:val="none"/>
        </w:rPr>
      </w:pPr>
      <w:r>
        <w:rPr>
          <w:rFonts w:hint="eastAsia" w:ascii="宋体" w:hAnsi="宋体" w:cs="宋体"/>
          <w:sz w:val="24"/>
          <w:highlight w:val="none"/>
        </w:rPr>
        <w:t>我方承诺提供以下质量保证并承担相应的法律责任：</w:t>
      </w:r>
    </w:p>
    <w:p w14:paraId="5CBE1666">
      <w:pPr>
        <w:spacing w:line="360" w:lineRule="auto"/>
        <w:ind w:firstLine="540"/>
        <w:rPr>
          <w:rFonts w:ascii="宋体" w:hAnsi="宋体" w:cs="宋体"/>
          <w:sz w:val="24"/>
          <w:highlight w:val="none"/>
        </w:rPr>
      </w:pPr>
      <w:r>
        <w:rPr>
          <w:rFonts w:hint="eastAsia" w:ascii="宋体" w:hAnsi="宋体" w:cs="宋体"/>
          <w:sz w:val="24"/>
          <w:highlight w:val="none"/>
        </w:rPr>
        <w:t>提供的产品或服务满足招标文件的质保期和所签合同规定的要求；</w:t>
      </w:r>
    </w:p>
    <w:p w14:paraId="4047C393">
      <w:pPr>
        <w:spacing w:line="360" w:lineRule="auto"/>
        <w:ind w:firstLine="540"/>
        <w:rPr>
          <w:rFonts w:ascii="宋体" w:hAnsi="宋体" w:cs="宋体"/>
          <w:sz w:val="24"/>
          <w:highlight w:val="none"/>
        </w:rPr>
      </w:pPr>
      <w:r>
        <w:rPr>
          <w:rFonts w:hint="eastAsia" w:ascii="宋体" w:hAnsi="宋体" w:cs="宋体"/>
          <w:sz w:val="24"/>
          <w:highlight w:val="none"/>
        </w:rPr>
        <w:t>保证承诺全部内容的满足。</w:t>
      </w:r>
    </w:p>
    <w:p w14:paraId="33CC5E26">
      <w:pPr>
        <w:spacing w:before="60" w:after="60" w:line="360" w:lineRule="auto"/>
        <w:ind w:firstLine="510"/>
        <w:rPr>
          <w:rFonts w:ascii="宋体" w:hAnsi="宋体" w:cs="宋体"/>
          <w:sz w:val="24"/>
          <w:highlight w:val="none"/>
        </w:rPr>
      </w:pPr>
      <w:r>
        <w:rPr>
          <w:rFonts w:hint="eastAsia" w:ascii="宋体" w:hAnsi="宋体" w:cs="宋体"/>
          <w:sz w:val="24"/>
          <w:highlight w:val="none"/>
        </w:rPr>
        <w:t>本保证书自开标日起90日内有效。</w:t>
      </w:r>
    </w:p>
    <w:p w14:paraId="489979B1">
      <w:pPr>
        <w:spacing w:before="60" w:after="60" w:line="360" w:lineRule="auto"/>
        <w:ind w:firstLine="510"/>
        <w:rPr>
          <w:rFonts w:ascii="宋体" w:hAnsi="宋体" w:cs="宋体"/>
          <w:sz w:val="24"/>
          <w:highlight w:val="none"/>
        </w:rPr>
      </w:pPr>
    </w:p>
    <w:p w14:paraId="3920FCEC">
      <w:pPr>
        <w:spacing w:before="60" w:after="60" w:line="360" w:lineRule="auto"/>
        <w:ind w:firstLine="510"/>
        <w:rPr>
          <w:rFonts w:ascii="宋体" w:hAnsi="宋体" w:cs="宋体"/>
          <w:sz w:val="24"/>
          <w:highlight w:val="none"/>
        </w:rPr>
      </w:pPr>
    </w:p>
    <w:p w14:paraId="577B1158">
      <w:pPr>
        <w:spacing w:before="60" w:after="60" w:line="360" w:lineRule="auto"/>
        <w:ind w:firstLine="510"/>
        <w:rPr>
          <w:rFonts w:ascii="宋体" w:hAnsi="宋体" w:cs="宋体"/>
          <w:sz w:val="24"/>
          <w:highlight w:val="none"/>
          <w:u w:val="single"/>
        </w:rPr>
      </w:pPr>
      <w:r>
        <w:rPr>
          <w:rFonts w:hint="eastAsia" w:ascii="宋体" w:hAnsi="宋体" w:cs="宋体"/>
          <w:sz w:val="24"/>
          <w:highlight w:val="none"/>
        </w:rPr>
        <w:t>投标人全称（加盖电子公章）：</w:t>
      </w:r>
      <w:r>
        <w:rPr>
          <w:rFonts w:hint="eastAsia" w:ascii="宋体" w:hAnsi="宋体" w:cs="宋体"/>
          <w:sz w:val="24"/>
          <w:highlight w:val="none"/>
          <w:u w:val="single"/>
        </w:rPr>
        <w:t>________________________</w:t>
      </w:r>
    </w:p>
    <w:p w14:paraId="134D0A53">
      <w:pPr>
        <w:spacing w:before="60" w:after="60" w:line="360" w:lineRule="auto"/>
        <w:ind w:firstLine="510"/>
        <w:rPr>
          <w:rFonts w:ascii="宋体" w:hAnsi="宋体" w:cs="宋体"/>
          <w:sz w:val="24"/>
          <w:highlight w:val="none"/>
        </w:rPr>
      </w:pPr>
      <w:r>
        <w:rPr>
          <w:rFonts w:hint="eastAsia" w:ascii="宋体" w:hAnsi="宋体" w:cs="宋体"/>
          <w:sz w:val="24"/>
          <w:highlight w:val="none"/>
        </w:rPr>
        <w:t>法定代表人或委托代理人签字或签章：</w:t>
      </w:r>
      <w:r>
        <w:rPr>
          <w:rFonts w:hint="eastAsia" w:ascii="宋体" w:hAnsi="宋体" w:cs="宋体"/>
          <w:sz w:val="24"/>
          <w:highlight w:val="none"/>
          <w:u w:val="single"/>
        </w:rPr>
        <w:t>__________________</w:t>
      </w:r>
    </w:p>
    <w:p w14:paraId="50C936C8">
      <w:pPr>
        <w:spacing w:before="60" w:after="60" w:line="360" w:lineRule="auto"/>
        <w:ind w:firstLine="51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________</w:t>
      </w:r>
      <w:r>
        <w:rPr>
          <w:rFonts w:hint="eastAsia" w:ascii="宋体" w:hAnsi="宋体" w:cs="宋体"/>
          <w:sz w:val="24"/>
          <w:highlight w:val="none"/>
        </w:rPr>
        <w:t>年</w:t>
      </w:r>
      <w:r>
        <w:rPr>
          <w:rFonts w:hint="eastAsia" w:ascii="宋体" w:hAnsi="宋体" w:cs="宋体"/>
          <w:sz w:val="24"/>
          <w:highlight w:val="none"/>
          <w:u w:val="single"/>
        </w:rPr>
        <w:t>_____</w:t>
      </w:r>
      <w:r>
        <w:rPr>
          <w:rFonts w:hint="eastAsia" w:ascii="宋体" w:hAnsi="宋体" w:cs="宋体"/>
          <w:sz w:val="24"/>
          <w:highlight w:val="none"/>
        </w:rPr>
        <w:t>月</w:t>
      </w:r>
      <w:r>
        <w:rPr>
          <w:rFonts w:hint="eastAsia" w:ascii="宋体" w:hAnsi="宋体" w:cs="宋体"/>
          <w:sz w:val="24"/>
          <w:highlight w:val="none"/>
          <w:u w:val="single"/>
        </w:rPr>
        <w:t>_____</w:t>
      </w:r>
      <w:r>
        <w:rPr>
          <w:rFonts w:hint="eastAsia" w:ascii="宋体" w:hAnsi="宋体" w:cs="宋体"/>
          <w:sz w:val="24"/>
          <w:highlight w:val="none"/>
        </w:rPr>
        <w:t>日</w:t>
      </w:r>
    </w:p>
    <w:p w14:paraId="5F372687">
      <w:pPr>
        <w:spacing w:before="60" w:after="60" w:line="360" w:lineRule="auto"/>
        <w:ind w:firstLine="510"/>
        <w:rPr>
          <w:rFonts w:ascii="宋体" w:hAnsi="宋体" w:cs="宋体"/>
          <w:b/>
          <w:sz w:val="28"/>
          <w:szCs w:val="28"/>
          <w:highlight w:val="none"/>
        </w:rPr>
      </w:pPr>
    </w:p>
    <w:p w14:paraId="368B1662">
      <w:pPr>
        <w:spacing w:line="360" w:lineRule="auto"/>
        <w:jc w:val="center"/>
        <w:rPr>
          <w:rFonts w:ascii="宋体" w:hAnsi="宋体" w:cs="宋体"/>
          <w:highlight w:val="none"/>
        </w:rPr>
      </w:pPr>
    </w:p>
    <w:bookmarkEnd w:id="291"/>
    <w:bookmarkEnd w:id="292"/>
    <w:bookmarkEnd w:id="293"/>
    <w:bookmarkEnd w:id="294"/>
    <w:p w14:paraId="6539D4F8">
      <w:pPr>
        <w:widowControl/>
        <w:spacing w:line="360" w:lineRule="auto"/>
        <w:ind w:firstLine="562" w:firstLineChars="200"/>
        <w:jc w:val="left"/>
        <w:rPr>
          <w:rFonts w:ascii="宋体" w:hAnsi="宋体" w:cs="宋体"/>
          <w:b/>
          <w:sz w:val="28"/>
          <w:szCs w:val="28"/>
        </w:rPr>
      </w:pPr>
      <w:r>
        <w:rPr>
          <w:rFonts w:hint="eastAsia" w:ascii="宋体" w:hAnsi="宋体" w:cs="宋体"/>
          <w:b/>
          <w:sz w:val="28"/>
          <w:szCs w:val="28"/>
        </w:rPr>
        <w:br w:type="page"/>
      </w:r>
    </w:p>
    <w:p w14:paraId="0C2EEAD3">
      <w:pPr>
        <w:pStyle w:val="4"/>
        <w:numPr>
          <w:ilvl w:val="2"/>
          <w:numId w:val="0"/>
        </w:numPr>
        <w:tabs>
          <w:tab w:val="clear" w:pos="360"/>
          <w:tab w:val="clear" w:pos="900"/>
          <w:tab w:val="clear" w:pos="1588"/>
        </w:tabs>
        <w:spacing w:before="0" w:after="0" w:line="360" w:lineRule="auto"/>
        <w:ind w:left="0" w:firstLine="0"/>
        <w:jc w:val="center"/>
        <w:rPr>
          <w:rFonts w:ascii="宋体" w:hAnsi="宋体" w:cs="宋体"/>
          <w:sz w:val="24"/>
          <w:szCs w:val="24"/>
          <w:highlight w:val="none"/>
        </w:rPr>
      </w:pPr>
      <w:bookmarkStart w:id="295" w:name="_Toc32154"/>
      <w:bookmarkStart w:id="296" w:name="_Toc29890"/>
      <w:bookmarkStart w:id="297" w:name="_Toc30206"/>
      <w:r>
        <w:rPr>
          <w:rFonts w:hint="eastAsia" w:ascii="宋体" w:hAnsi="宋体" w:cs="宋体"/>
          <w:b/>
          <w:sz w:val="28"/>
          <w:szCs w:val="28"/>
        </w:rPr>
        <w:t>格式5</w:t>
      </w:r>
      <w:bookmarkStart w:id="298" w:name="_Toc212648395"/>
      <w:r>
        <w:rPr>
          <w:rFonts w:hint="eastAsia" w:ascii="宋体" w:hAnsi="宋体" w:cs="宋体"/>
          <w:szCs w:val="28"/>
          <w:lang w:val="en-US" w:eastAsia="zh-CN"/>
        </w:rPr>
        <w:t xml:space="preserve">  </w:t>
      </w:r>
      <w:bookmarkEnd w:id="298"/>
      <w:bookmarkStart w:id="299" w:name="_Toc18757"/>
      <w:bookmarkStart w:id="300" w:name="_Toc212648396"/>
      <w:r>
        <w:rPr>
          <w:rFonts w:hint="eastAsia" w:ascii="宋体" w:hAnsi="宋体" w:cs="宋体"/>
          <w:sz w:val="24"/>
          <w:szCs w:val="24"/>
          <w:highlight w:val="none"/>
        </w:rPr>
        <w:t>技术部分其它资料</w:t>
      </w:r>
      <w:bookmarkEnd w:id="295"/>
    </w:p>
    <w:p w14:paraId="76CF1853">
      <w:pPr>
        <w:spacing w:line="360" w:lineRule="auto"/>
        <w:ind w:firstLine="420" w:firstLineChars="200"/>
        <w:rPr>
          <w:rFonts w:ascii="宋体" w:hAnsi="宋体" w:cs="宋体"/>
          <w:b/>
          <w:sz w:val="28"/>
          <w:szCs w:val="28"/>
        </w:rPr>
      </w:pPr>
      <w:r>
        <w:rPr>
          <w:rFonts w:hint="eastAsia" w:ascii="宋体" w:hAnsi="宋体" w:cs="宋体"/>
          <w:highlight w:val="none"/>
        </w:rPr>
        <w:t>（招标文件中规定的其它或投标人认为应该提供的其它技术资料）</w:t>
      </w:r>
      <w:bookmarkEnd w:id="296"/>
      <w:bookmarkEnd w:id="297"/>
      <w:bookmarkEnd w:id="299"/>
      <w:bookmarkEnd w:id="300"/>
    </w:p>
    <w:p w14:paraId="3111747B">
      <w:pPr>
        <w:spacing w:line="360" w:lineRule="auto"/>
        <w:ind w:firstLine="562" w:firstLineChars="200"/>
        <w:rPr>
          <w:rFonts w:ascii="宋体" w:hAnsi="宋体" w:cs="宋体"/>
          <w:b/>
          <w:sz w:val="28"/>
          <w:szCs w:val="28"/>
        </w:rPr>
      </w:pPr>
    </w:p>
    <w:p w14:paraId="41DA1168">
      <w:pPr>
        <w:spacing w:line="360" w:lineRule="auto"/>
        <w:ind w:firstLine="562" w:firstLineChars="200"/>
        <w:rPr>
          <w:rFonts w:ascii="宋体" w:hAnsi="宋体" w:cs="宋体"/>
          <w:b/>
          <w:sz w:val="28"/>
          <w:szCs w:val="28"/>
        </w:rPr>
      </w:pPr>
    </w:p>
    <w:p w14:paraId="23D9F519">
      <w:pPr>
        <w:widowControl/>
        <w:jc w:val="left"/>
        <w:rPr>
          <w:rFonts w:ascii="宋体" w:hAnsi="宋体" w:cs="宋体"/>
          <w:b/>
          <w:sz w:val="28"/>
          <w:szCs w:val="28"/>
        </w:rPr>
      </w:pPr>
      <w:r>
        <w:rPr>
          <w:rFonts w:ascii="宋体" w:hAnsi="宋体" w:cs="宋体"/>
          <w:b/>
          <w:sz w:val="28"/>
          <w:szCs w:val="28"/>
        </w:rPr>
        <w:br w:type="page"/>
      </w:r>
    </w:p>
    <w:p w14:paraId="465C098D">
      <w:pPr>
        <w:pStyle w:val="3"/>
        <w:numPr>
          <w:ilvl w:val="1"/>
          <w:numId w:val="0"/>
        </w:numPr>
        <w:jc w:val="center"/>
        <w:rPr>
          <w:rFonts w:ascii="宋体" w:hAnsi="宋体" w:eastAsia="宋体" w:cs="宋体"/>
          <w:sz w:val="32"/>
          <w:szCs w:val="32"/>
        </w:rPr>
      </w:pPr>
      <w:bookmarkStart w:id="301" w:name="_Toc29450"/>
      <w:bookmarkStart w:id="302" w:name="_Toc28275"/>
      <w:bookmarkStart w:id="303" w:name="_Toc212648398"/>
      <w:bookmarkStart w:id="304" w:name="_Toc447720951"/>
      <w:bookmarkStart w:id="305" w:name="_Toc26544"/>
      <w:bookmarkStart w:id="306" w:name="_Toc32184"/>
      <w:bookmarkStart w:id="307" w:name="_Toc29509"/>
      <w:bookmarkStart w:id="308" w:name="_Toc29332"/>
      <w:r>
        <w:rPr>
          <w:rFonts w:hint="eastAsia" w:ascii="宋体" w:hAnsi="宋体" w:eastAsia="宋体" w:cs="宋体"/>
          <w:sz w:val="32"/>
          <w:szCs w:val="32"/>
        </w:rPr>
        <w:t>三、商务</w:t>
      </w:r>
      <w:r>
        <w:rPr>
          <w:rFonts w:hint="eastAsia" w:ascii="宋体" w:hAnsi="宋体" w:eastAsia="宋体" w:cs="宋体"/>
          <w:sz w:val="32"/>
          <w:szCs w:val="32"/>
          <w:lang w:val="en-US" w:eastAsia="zh-CN"/>
        </w:rPr>
        <w:t>部分</w:t>
      </w:r>
      <w:r>
        <w:rPr>
          <w:rFonts w:hint="eastAsia" w:ascii="宋体" w:hAnsi="宋体" w:eastAsia="宋体" w:cs="宋体"/>
          <w:sz w:val="32"/>
          <w:szCs w:val="32"/>
        </w:rPr>
        <w:t>格式</w:t>
      </w:r>
      <w:bookmarkEnd w:id="301"/>
      <w:bookmarkEnd w:id="302"/>
      <w:bookmarkEnd w:id="303"/>
      <w:bookmarkEnd w:id="304"/>
      <w:bookmarkEnd w:id="305"/>
      <w:bookmarkEnd w:id="306"/>
      <w:bookmarkEnd w:id="307"/>
      <w:bookmarkEnd w:id="308"/>
    </w:p>
    <w:p w14:paraId="3F0ED0DC">
      <w:pPr>
        <w:spacing w:line="240" w:lineRule="auto"/>
        <w:ind w:firstLine="562" w:firstLineChars="200"/>
        <w:jc w:val="center"/>
        <w:outlineLvl w:val="2"/>
        <w:rPr>
          <w:rFonts w:ascii="宋体" w:hAnsi="宋体" w:cs="宋体"/>
          <w:b/>
          <w:sz w:val="28"/>
          <w:szCs w:val="28"/>
        </w:rPr>
      </w:pPr>
      <w:bookmarkStart w:id="309" w:name="_Toc3916"/>
      <w:bookmarkStart w:id="310" w:name="_Toc30517"/>
      <w:bookmarkStart w:id="311" w:name="_Toc23250"/>
      <w:bookmarkStart w:id="312" w:name="_Toc28632"/>
      <w:bookmarkStart w:id="313" w:name="_Toc5634"/>
      <w:r>
        <w:rPr>
          <w:rFonts w:hint="eastAsia" w:ascii="宋体" w:hAnsi="宋体" w:cs="宋体"/>
          <w:b/>
          <w:sz w:val="28"/>
          <w:szCs w:val="28"/>
        </w:rPr>
        <w:t>格式1</w:t>
      </w:r>
      <w:r>
        <w:rPr>
          <w:rFonts w:hint="eastAsia" w:ascii="宋体" w:hAnsi="宋体" w:cs="宋体"/>
          <w:b/>
          <w:sz w:val="28"/>
          <w:szCs w:val="28"/>
          <w:lang w:val="en-US" w:eastAsia="zh-CN"/>
        </w:rPr>
        <w:t xml:space="preserve"> </w:t>
      </w:r>
      <w:bookmarkStart w:id="314" w:name="_Toc212648399"/>
      <w:bookmarkStart w:id="315" w:name="_Toc385430437"/>
      <w:bookmarkStart w:id="316" w:name="_Toc7381"/>
      <w:r>
        <w:rPr>
          <w:rFonts w:hint="default" w:ascii="宋体" w:hAnsi="宋体" w:cs="宋体"/>
          <w:b/>
          <w:sz w:val="28"/>
          <w:szCs w:val="28"/>
        </w:rPr>
        <w:t>投标函</w:t>
      </w:r>
      <w:bookmarkEnd w:id="309"/>
      <w:bookmarkEnd w:id="310"/>
      <w:bookmarkEnd w:id="311"/>
      <w:bookmarkEnd w:id="312"/>
      <w:bookmarkEnd w:id="313"/>
      <w:bookmarkEnd w:id="314"/>
      <w:bookmarkEnd w:id="315"/>
      <w:bookmarkEnd w:id="316"/>
    </w:p>
    <w:p w14:paraId="0A981FD8">
      <w:pPr>
        <w:pStyle w:val="10"/>
        <w:spacing w:line="360" w:lineRule="auto"/>
        <w:rPr>
          <w:rFonts w:hAnsi="宋体" w:cs="宋体"/>
          <w:sz w:val="24"/>
          <w:szCs w:val="24"/>
        </w:rPr>
      </w:pPr>
      <w:r>
        <w:rPr>
          <w:rFonts w:hint="eastAsia" w:hAnsi="宋体" w:cs="宋体"/>
          <w:sz w:val="24"/>
        </w:rPr>
        <w:t>致：</w:t>
      </w:r>
      <w:r>
        <w:rPr>
          <w:rFonts w:hint="eastAsia" w:hAnsi="宋体" w:cs="宋体"/>
          <w:sz w:val="24"/>
          <w:u w:val="single"/>
        </w:rPr>
        <w:t xml:space="preserve">   （采购人）    </w:t>
      </w:r>
    </w:p>
    <w:p w14:paraId="268871B6">
      <w:pPr>
        <w:pStyle w:val="10"/>
        <w:spacing w:line="360" w:lineRule="auto"/>
        <w:ind w:firstLine="482"/>
        <w:rPr>
          <w:rFonts w:hAnsi="宋体" w:cs="宋体"/>
          <w:sz w:val="24"/>
          <w:szCs w:val="24"/>
        </w:rPr>
      </w:pPr>
      <w:r>
        <w:rPr>
          <w:rFonts w:hint="eastAsia" w:hAnsi="宋体" w:cs="宋体"/>
          <w:sz w:val="24"/>
          <w:szCs w:val="24"/>
        </w:rPr>
        <w:t>我方仔细研究了</w:t>
      </w:r>
      <w:r>
        <w:rPr>
          <w:rFonts w:hint="eastAsia" w:hAnsi="宋体" w:cs="宋体"/>
          <w:sz w:val="24"/>
          <w:szCs w:val="24"/>
          <w:u w:val="single"/>
        </w:rPr>
        <w:t xml:space="preserve">   （标段名称）  </w:t>
      </w:r>
      <w:r>
        <w:rPr>
          <w:rFonts w:hint="eastAsia" w:hAnsi="宋体" w:cs="宋体"/>
          <w:sz w:val="24"/>
          <w:szCs w:val="24"/>
        </w:rPr>
        <w:t>（招标编号：</w:t>
      </w:r>
      <w:r>
        <w:rPr>
          <w:rFonts w:hint="eastAsia" w:hAnsi="宋体" w:cs="宋体"/>
          <w:sz w:val="24"/>
          <w:szCs w:val="24"/>
          <w:u w:val="single"/>
        </w:rPr>
        <w:t xml:space="preserve">                </w:t>
      </w:r>
      <w:r>
        <w:rPr>
          <w:rFonts w:hint="eastAsia" w:hAnsi="宋体" w:cs="宋体"/>
          <w:sz w:val="24"/>
          <w:szCs w:val="24"/>
        </w:rPr>
        <w:t>）招标文件的全部内容，正式授权</w:t>
      </w:r>
      <w:r>
        <w:rPr>
          <w:rFonts w:hint="eastAsia" w:hAnsi="宋体" w:cs="宋体"/>
          <w:sz w:val="24"/>
          <w:szCs w:val="24"/>
          <w:u w:val="single"/>
        </w:rPr>
        <w:t xml:space="preserve">   （姓名和职务）     </w:t>
      </w:r>
      <w:r>
        <w:rPr>
          <w:rFonts w:hint="eastAsia" w:hAnsi="宋体" w:cs="宋体"/>
          <w:sz w:val="24"/>
          <w:szCs w:val="24"/>
        </w:rPr>
        <w:t>全权代表投标人</w:t>
      </w:r>
      <w:r>
        <w:rPr>
          <w:rFonts w:hint="eastAsia" w:hAnsi="宋体" w:cs="宋体"/>
          <w:sz w:val="24"/>
          <w:szCs w:val="24"/>
          <w:u w:val="single"/>
        </w:rPr>
        <w:t xml:space="preserve">  （投标人全称）   </w:t>
      </w:r>
      <w:r>
        <w:rPr>
          <w:rFonts w:hint="eastAsia" w:hAnsi="宋体" w:cs="宋体"/>
          <w:sz w:val="24"/>
          <w:szCs w:val="24"/>
        </w:rPr>
        <w:t>参加投标。</w:t>
      </w:r>
    </w:p>
    <w:p w14:paraId="02BC5386">
      <w:pPr>
        <w:pStyle w:val="10"/>
        <w:spacing w:line="360" w:lineRule="auto"/>
        <w:ind w:firstLine="480" w:firstLineChars="200"/>
        <w:rPr>
          <w:rFonts w:hAnsi="宋体" w:cs="宋体"/>
          <w:sz w:val="24"/>
          <w:szCs w:val="24"/>
        </w:rPr>
      </w:pPr>
      <w:r>
        <w:rPr>
          <w:rFonts w:hint="eastAsia" w:hAnsi="宋体" w:cs="宋体"/>
          <w:sz w:val="24"/>
          <w:szCs w:val="24"/>
        </w:rPr>
        <w:t>据此函，兹宣布同意如下：</w:t>
      </w:r>
    </w:p>
    <w:p w14:paraId="55664993">
      <w:pPr>
        <w:pStyle w:val="10"/>
        <w:spacing w:line="360" w:lineRule="auto"/>
        <w:ind w:firstLine="480" w:firstLineChars="200"/>
        <w:jc w:val="left"/>
        <w:rPr>
          <w:rFonts w:hint="eastAsia" w:hAnsi="宋体" w:cs="宋体"/>
          <w:sz w:val="24"/>
          <w:szCs w:val="24"/>
          <w:highlight w:val="none"/>
        </w:rPr>
      </w:pPr>
      <w:r>
        <w:rPr>
          <w:rFonts w:hint="eastAsia" w:hAnsi="宋体" w:cs="宋体"/>
          <w:sz w:val="24"/>
          <w:szCs w:val="24"/>
          <w:highlight w:val="none"/>
        </w:rPr>
        <w:t>1、按招标文件采购需求及技术要求和投标报价汇总表，投标总报价     （大写） 元，人民币(￥  )，在    （合同履行期限）   完成交货。</w:t>
      </w:r>
    </w:p>
    <w:p w14:paraId="66004DC8">
      <w:pPr>
        <w:pStyle w:val="10"/>
        <w:spacing w:line="360" w:lineRule="auto"/>
        <w:ind w:firstLine="480" w:firstLineChars="200"/>
        <w:rPr>
          <w:rFonts w:hAnsi="宋体" w:cs="宋体"/>
          <w:spacing w:val="-10"/>
          <w:sz w:val="24"/>
        </w:rPr>
      </w:pPr>
      <w:r>
        <w:rPr>
          <w:rFonts w:hint="eastAsia" w:hAnsi="宋体" w:cs="宋体"/>
          <w:sz w:val="24"/>
        </w:rPr>
        <w:t>2、</w:t>
      </w:r>
      <w:r>
        <w:rPr>
          <w:rFonts w:hint="eastAsia" w:hAnsi="宋体" w:cs="宋体"/>
          <w:spacing w:val="-10"/>
          <w:sz w:val="24"/>
        </w:rPr>
        <w:t>我方已详细审查全部招标文件，包括</w:t>
      </w:r>
      <w:r>
        <w:rPr>
          <w:rFonts w:hint="eastAsia" w:hAnsi="宋体" w:cs="宋体"/>
          <w:spacing w:val="-10"/>
          <w:sz w:val="24"/>
          <w:u w:val="single"/>
        </w:rPr>
        <w:t>（澄清文件）(如果有的话)</w:t>
      </w:r>
      <w:r>
        <w:rPr>
          <w:rFonts w:hint="eastAsia" w:hAnsi="宋体" w:cs="宋体"/>
          <w:spacing w:val="-10"/>
          <w:sz w:val="24"/>
        </w:rPr>
        <w:t>。我方完全理解相关文件要求，并承担对这方面有不明及误解的后果。</w:t>
      </w:r>
    </w:p>
    <w:p w14:paraId="32FDC3A7">
      <w:pPr>
        <w:pStyle w:val="10"/>
        <w:spacing w:line="360" w:lineRule="auto"/>
        <w:ind w:firstLine="480" w:firstLineChars="200"/>
        <w:rPr>
          <w:rFonts w:hAnsi="宋体" w:cs="宋体"/>
          <w:sz w:val="24"/>
        </w:rPr>
      </w:pPr>
      <w:r>
        <w:rPr>
          <w:rFonts w:hint="eastAsia" w:hAnsi="宋体" w:cs="宋体"/>
          <w:sz w:val="24"/>
          <w:szCs w:val="24"/>
        </w:rPr>
        <w:t>3、在投标人须知规定的开标日期起遵循本投标文件，并在投标人须知第17.1条规定的投标文件有效期满之前均具有约束力。</w:t>
      </w:r>
    </w:p>
    <w:p w14:paraId="21A661B7">
      <w:pPr>
        <w:pStyle w:val="10"/>
        <w:spacing w:line="360" w:lineRule="auto"/>
        <w:ind w:firstLine="480" w:firstLineChars="200"/>
        <w:rPr>
          <w:rFonts w:hAnsi="宋体" w:cs="宋体"/>
          <w:sz w:val="24"/>
          <w:szCs w:val="24"/>
        </w:rPr>
      </w:pPr>
      <w:r>
        <w:rPr>
          <w:rFonts w:hint="eastAsia" w:hAnsi="宋体" w:cs="宋体"/>
          <w:sz w:val="24"/>
          <w:szCs w:val="24"/>
        </w:rPr>
        <w:t>4、</w:t>
      </w:r>
      <w:r>
        <w:rPr>
          <w:rFonts w:hint="eastAsia" w:hAnsi="宋体" w:cs="宋体"/>
          <w:sz w:val="24"/>
        </w:rPr>
        <w:t>同意投标人须知中关于没收投标保证金的规定。</w:t>
      </w:r>
    </w:p>
    <w:p w14:paraId="6296BBB3">
      <w:pPr>
        <w:pStyle w:val="10"/>
        <w:spacing w:line="360" w:lineRule="auto"/>
        <w:ind w:firstLine="480" w:firstLineChars="200"/>
        <w:rPr>
          <w:rFonts w:hAnsi="宋体" w:cs="宋体"/>
          <w:sz w:val="24"/>
          <w:szCs w:val="24"/>
        </w:rPr>
      </w:pPr>
      <w:r>
        <w:rPr>
          <w:rFonts w:hint="eastAsia" w:hAnsi="宋体" w:cs="宋体"/>
          <w:sz w:val="24"/>
          <w:szCs w:val="24"/>
        </w:rPr>
        <w:t>5、同意应贵方要求提供与本投标有关的任何数据或资料，并保证数据和资料的完整性和真实性。</w:t>
      </w:r>
    </w:p>
    <w:p w14:paraId="0C7F6ADD">
      <w:pPr>
        <w:pStyle w:val="10"/>
        <w:spacing w:line="360" w:lineRule="auto"/>
        <w:ind w:firstLine="480" w:firstLineChars="200"/>
        <w:rPr>
          <w:rFonts w:hAnsi="宋体" w:cs="宋体"/>
          <w:sz w:val="24"/>
          <w:szCs w:val="24"/>
        </w:rPr>
      </w:pPr>
      <w:r>
        <w:rPr>
          <w:rFonts w:hint="eastAsia" w:hAnsi="宋体" w:cs="宋体"/>
          <w:sz w:val="24"/>
          <w:szCs w:val="24"/>
        </w:rPr>
        <w:t>6、完全理解贵方不一定要接受最低报价的投标人为中标人的行为。</w:t>
      </w:r>
    </w:p>
    <w:p w14:paraId="0A5E5DA7">
      <w:pPr>
        <w:pStyle w:val="10"/>
        <w:spacing w:line="360" w:lineRule="auto"/>
        <w:ind w:firstLine="480" w:firstLineChars="200"/>
        <w:rPr>
          <w:rFonts w:hAnsi="宋体" w:cs="宋体"/>
          <w:sz w:val="24"/>
          <w:szCs w:val="24"/>
        </w:rPr>
      </w:pPr>
      <w:r>
        <w:rPr>
          <w:rFonts w:hint="eastAsia" w:hAnsi="宋体" w:cs="宋体"/>
          <w:sz w:val="24"/>
          <w:szCs w:val="24"/>
        </w:rPr>
        <w:t>7、如我方中标：</w:t>
      </w:r>
    </w:p>
    <w:p w14:paraId="3F164842">
      <w:pPr>
        <w:pStyle w:val="10"/>
        <w:spacing w:line="360" w:lineRule="auto"/>
        <w:ind w:firstLine="480" w:firstLineChars="200"/>
        <w:rPr>
          <w:rFonts w:hAnsi="宋体" w:cs="宋体"/>
          <w:sz w:val="24"/>
          <w:szCs w:val="24"/>
        </w:rPr>
      </w:pPr>
      <w:r>
        <w:rPr>
          <w:rFonts w:hint="eastAsia" w:hAnsi="宋体" w:cs="宋体"/>
          <w:sz w:val="24"/>
          <w:szCs w:val="24"/>
        </w:rPr>
        <w:t>（1）我方承诺在收到中标通知书后，在中标通知书规定的期限内与你方签订合同，并履行相应的合同责任和义务。</w:t>
      </w:r>
    </w:p>
    <w:p w14:paraId="0D1D9ED4">
      <w:pPr>
        <w:pStyle w:val="10"/>
        <w:spacing w:line="360" w:lineRule="auto"/>
        <w:ind w:firstLine="480" w:firstLineChars="200"/>
        <w:rPr>
          <w:rFonts w:hAnsi="宋体" w:cs="宋体"/>
          <w:sz w:val="24"/>
          <w:szCs w:val="24"/>
        </w:rPr>
      </w:pPr>
      <w:r>
        <w:rPr>
          <w:rFonts w:hint="eastAsia" w:hAnsi="宋体" w:cs="宋体"/>
          <w:sz w:val="24"/>
          <w:szCs w:val="24"/>
        </w:rPr>
        <w:t>（2）我方承诺按照招标文件规定向你方递交履约担保。</w:t>
      </w:r>
    </w:p>
    <w:p w14:paraId="4B2FF3C3">
      <w:pPr>
        <w:pStyle w:val="10"/>
        <w:spacing w:line="360" w:lineRule="auto"/>
        <w:ind w:firstLine="480" w:firstLineChars="200"/>
        <w:rPr>
          <w:rFonts w:hAnsi="宋体" w:cs="宋体"/>
          <w:sz w:val="24"/>
          <w:szCs w:val="24"/>
        </w:rPr>
      </w:pPr>
      <w:r>
        <w:rPr>
          <w:rFonts w:hint="eastAsia" w:hAnsi="宋体" w:cs="宋体"/>
          <w:sz w:val="24"/>
          <w:szCs w:val="24"/>
        </w:rPr>
        <w:t>（3）我方承诺将承担售后服务及保修责任。</w:t>
      </w:r>
    </w:p>
    <w:p w14:paraId="4F2B7027">
      <w:pPr>
        <w:pStyle w:val="10"/>
        <w:spacing w:line="360" w:lineRule="auto"/>
        <w:ind w:firstLine="480" w:firstLineChars="200"/>
        <w:rPr>
          <w:rFonts w:hAnsi="宋体" w:cs="宋体"/>
          <w:sz w:val="24"/>
          <w:szCs w:val="24"/>
        </w:rPr>
      </w:pPr>
      <w:r>
        <w:rPr>
          <w:rFonts w:hint="eastAsia" w:hAnsi="宋体" w:cs="宋体"/>
          <w:sz w:val="24"/>
          <w:szCs w:val="24"/>
        </w:rPr>
        <w:t>8、我方在此声明，所递交的投标文件及有关资料内容完整、真实和准确。</w:t>
      </w:r>
    </w:p>
    <w:p w14:paraId="050D414B">
      <w:pPr>
        <w:pStyle w:val="10"/>
        <w:spacing w:line="480" w:lineRule="exact"/>
        <w:ind w:firstLine="480" w:firstLineChars="200"/>
        <w:rPr>
          <w:rFonts w:hAnsi="宋体" w:cs="宋体"/>
          <w:sz w:val="24"/>
          <w:szCs w:val="24"/>
        </w:rPr>
      </w:pPr>
      <w:r>
        <w:rPr>
          <w:rFonts w:hint="eastAsia" w:hAnsi="宋体" w:cs="宋体"/>
          <w:sz w:val="24"/>
          <w:szCs w:val="24"/>
        </w:rPr>
        <w:t>9、（其他补充说明，如果有的话请投标人自行填写）。</w:t>
      </w:r>
    </w:p>
    <w:p w14:paraId="34DF6B27">
      <w:pPr>
        <w:pStyle w:val="10"/>
        <w:spacing w:line="480" w:lineRule="exact"/>
        <w:ind w:firstLine="480" w:firstLineChars="200"/>
        <w:rPr>
          <w:rFonts w:hAnsi="宋体" w:cs="宋体"/>
          <w:sz w:val="24"/>
          <w:szCs w:val="24"/>
        </w:rPr>
      </w:pPr>
      <w:r>
        <w:rPr>
          <w:rFonts w:hint="eastAsia" w:hAnsi="宋体" w:cs="宋体"/>
          <w:sz w:val="24"/>
          <w:szCs w:val="24"/>
        </w:rPr>
        <w:t>10、我方一旦参与投标，就不再对招标文件提出异议。</w:t>
      </w:r>
    </w:p>
    <w:p w14:paraId="142C9521">
      <w:pPr>
        <w:pStyle w:val="10"/>
        <w:spacing w:line="480" w:lineRule="exact"/>
        <w:ind w:firstLine="420"/>
        <w:rPr>
          <w:rFonts w:hAnsi="宋体" w:cs="宋体"/>
          <w:szCs w:val="21"/>
        </w:rPr>
      </w:pPr>
    </w:p>
    <w:p w14:paraId="6D67548C">
      <w:pPr>
        <w:pStyle w:val="10"/>
        <w:spacing w:line="480" w:lineRule="exact"/>
        <w:ind w:firstLine="480" w:firstLineChars="200"/>
        <w:rPr>
          <w:rFonts w:hAnsi="宋体" w:cs="宋体"/>
          <w:szCs w:val="21"/>
        </w:rPr>
      </w:pPr>
      <w:r>
        <w:rPr>
          <w:rFonts w:hint="eastAsia" w:hAnsi="宋体" w:cs="宋体"/>
          <w:sz w:val="24"/>
          <w:szCs w:val="24"/>
        </w:rPr>
        <w:t>与本投标有关的正式通讯地址为</w:t>
      </w:r>
      <w:r>
        <w:rPr>
          <w:rFonts w:hint="eastAsia" w:hAnsi="宋体" w:cs="宋体"/>
          <w:szCs w:val="21"/>
        </w:rPr>
        <w:t>：</w:t>
      </w:r>
    </w:p>
    <w:p w14:paraId="250C1F02">
      <w:pPr>
        <w:pStyle w:val="10"/>
        <w:spacing w:line="480" w:lineRule="exact"/>
        <w:ind w:firstLine="480" w:firstLineChars="200"/>
        <w:rPr>
          <w:rFonts w:hAnsi="宋体" w:cs="宋体"/>
          <w:szCs w:val="21"/>
        </w:rPr>
      </w:pPr>
      <w:r>
        <w:rPr>
          <w:rFonts w:hint="eastAsia" w:hAnsi="宋体" w:cs="宋体"/>
          <w:sz w:val="24"/>
          <w:szCs w:val="24"/>
        </w:rPr>
        <w:t>地址</w:t>
      </w:r>
      <w:r>
        <w:rPr>
          <w:rFonts w:hint="eastAsia" w:hAnsi="宋体" w:cs="宋体"/>
          <w:szCs w:val="21"/>
        </w:rPr>
        <w:t>：</w:t>
      </w:r>
      <w:r>
        <w:rPr>
          <w:rFonts w:hint="eastAsia" w:hAnsi="宋体" w:cs="宋体"/>
          <w:szCs w:val="21"/>
          <w:u w:val="single"/>
        </w:rPr>
        <w:t xml:space="preserve">                                </w:t>
      </w:r>
      <w:r>
        <w:rPr>
          <w:rFonts w:hint="eastAsia" w:hAnsi="宋体" w:cs="宋体"/>
          <w:szCs w:val="21"/>
        </w:rPr>
        <w:t xml:space="preserve"> </w:t>
      </w:r>
      <w:r>
        <w:rPr>
          <w:rFonts w:hint="eastAsia" w:hAnsi="宋体" w:cs="宋体"/>
          <w:sz w:val="24"/>
          <w:szCs w:val="24"/>
        </w:rPr>
        <w:t>邮政编码</w:t>
      </w:r>
      <w:r>
        <w:rPr>
          <w:rFonts w:hint="eastAsia" w:hAnsi="宋体" w:cs="宋体"/>
          <w:szCs w:val="21"/>
        </w:rPr>
        <w:t>：</w:t>
      </w:r>
      <w:r>
        <w:rPr>
          <w:rFonts w:hint="eastAsia" w:hAnsi="宋体" w:cs="宋体"/>
          <w:szCs w:val="21"/>
          <w:u w:val="single"/>
        </w:rPr>
        <w:t xml:space="preserve">           </w:t>
      </w:r>
    </w:p>
    <w:p w14:paraId="1A391F71">
      <w:pPr>
        <w:pStyle w:val="10"/>
        <w:spacing w:line="480" w:lineRule="exact"/>
        <w:ind w:firstLine="480" w:firstLineChars="200"/>
        <w:rPr>
          <w:rFonts w:hAnsi="宋体" w:cs="宋体"/>
          <w:szCs w:val="21"/>
          <w:u w:val="single"/>
        </w:rPr>
      </w:pPr>
      <w:r>
        <w:rPr>
          <w:rFonts w:hint="eastAsia" w:hAnsi="宋体" w:cs="宋体"/>
          <w:sz w:val="24"/>
          <w:szCs w:val="24"/>
        </w:rPr>
        <w:t>电话</w:t>
      </w:r>
      <w:r>
        <w:rPr>
          <w:rFonts w:hint="eastAsia" w:hAnsi="宋体" w:cs="宋体"/>
          <w:szCs w:val="21"/>
        </w:rPr>
        <w:t>：</w:t>
      </w:r>
      <w:r>
        <w:rPr>
          <w:rFonts w:hint="eastAsia" w:hAnsi="宋体" w:cs="宋体"/>
          <w:szCs w:val="21"/>
          <w:u w:val="single"/>
        </w:rPr>
        <w:t xml:space="preserve">                                      　　　　　　　　　</w:t>
      </w:r>
    </w:p>
    <w:p w14:paraId="46CB6B01">
      <w:pPr>
        <w:pStyle w:val="10"/>
        <w:spacing w:line="480" w:lineRule="exact"/>
        <w:ind w:firstLine="480" w:firstLineChars="200"/>
        <w:rPr>
          <w:rFonts w:hAnsi="宋体" w:cs="宋体"/>
          <w:szCs w:val="21"/>
        </w:rPr>
      </w:pPr>
      <w:r>
        <w:rPr>
          <w:rFonts w:hint="eastAsia" w:hAnsi="宋体" w:cs="宋体"/>
          <w:sz w:val="24"/>
          <w:szCs w:val="24"/>
        </w:rPr>
        <w:t>传真</w:t>
      </w:r>
      <w:r>
        <w:rPr>
          <w:rFonts w:hint="eastAsia" w:hAnsi="宋体" w:cs="宋体"/>
          <w:szCs w:val="21"/>
        </w:rPr>
        <w:t>：</w:t>
      </w:r>
      <w:r>
        <w:rPr>
          <w:rFonts w:hint="eastAsia" w:hAnsi="宋体" w:cs="宋体"/>
          <w:szCs w:val="21"/>
          <w:u w:val="single"/>
        </w:rPr>
        <w:t>　　　　　　　　　　　　　　　　　　　　　　　　　　　　</w:t>
      </w:r>
    </w:p>
    <w:p w14:paraId="143D217B">
      <w:pPr>
        <w:pStyle w:val="10"/>
        <w:spacing w:line="480" w:lineRule="exact"/>
        <w:ind w:firstLine="480" w:firstLineChars="200"/>
        <w:rPr>
          <w:rFonts w:hAnsi="宋体" w:cs="宋体"/>
          <w:szCs w:val="21"/>
          <w:u w:val="single"/>
        </w:rPr>
      </w:pPr>
      <w:r>
        <w:rPr>
          <w:rFonts w:hint="eastAsia" w:hAnsi="宋体" w:cs="宋体"/>
          <w:sz w:val="24"/>
          <w:szCs w:val="24"/>
        </w:rPr>
        <w:t>开户名称</w:t>
      </w:r>
      <w:r>
        <w:rPr>
          <w:rFonts w:hint="eastAsia" w:hAnsi="宋体" w:cs="宋体"/>
          <w:szCs w:val="21"/>
        </w:rPr>
        <w:t>：</w:t>
      </w:r>
      <w:r>
        <w:rPr>
          <w:rFonts w:hint="eastAsia" w:hAnsi="宋体" w:cs="宋体"/>
          <w:szCs w:val="21"/>
          <w:u w:val="single"/>
        </w:rPr>
        <w:t xml:space="preserve">                                                   </w:t>
      </w:r>
    </w:p>
    <w:p w14:paraId="1345DC58">
      <w:pPr>
        <w:pStyle w:val="10"/>
        <w:spacing w:line="480" w:lineRule="exact"/>
        <w:ind w:firstLine="480" w:firstLineChars="200"/>
        <w:rPr>
          <w:rFonts w:hAnsi="宋体" w:cs="宋体"/>
          <w:szCs w:val="21"/>
          <w:u w:val="single"/>
        </w:rPr>
      </w:pPr>
      <w:r>
        <w:rPr>
          <w:rFonts w:hint="eastAsia" w:hAnsi="宋体" w:cs="宋体"/>
          <w:sz w:val="24"/>
          <w:szCs w:val="24"/>
        </w:rPr>
        <w:t>开户银行</w:t>
      </w:r>
      <w:r>
        <w:rPr>
          <w:rFonts w:hint="eastAsia" w:hAnsi="宋体" w:cs="宋体"/>
          <w:szCs w:val="21"/>
        </w:rPr>
        <w:t>：</w:t>
      </w:r>
      <w:r>
        <w:rPr>
          <w:rFonts w:hint="eastAsia" w:hAnsi="宋体" w:cs="宋体"/>
          <w:szCs w:val="21"/>
          <w:u w:val="single"/>
        </w:rPr>
        <w:t xml:space="preserve">                                                   </w:t>
      </w:r>
    </w:p>
    <w:p w14:paraId="656DE20A">
      <w:pPr>
        <w:pStyle w:val="10"/>
        <w:spacing w:line="480" w:lineRule="exact"/>
        <w:ind w:firstLine="480" w:firstLineChars="200"/>
        <w:rPr>
          <w:rFonts w:hAnsi="宋体" w:cs="宋体"/>
          <w:szCs w:val="21"/>
          <w:u w:val="single"/>
        </w:rPr>
      </w:pPr>
      <w:r>
        <w:rPr>
          <w:rFonts w:hint="eastAsia" w:hAnsi="宋体" w:cs="宋体"/>
          <w:sz w:val="24"/>
          <w:szCs w:val="24"/>
        </w:rPr>
        <w:t>帐    号</w:t>
      </w:r>
      <w:r>
        <w:rPr>
          <w:rFonts w:hint="eastAsia" w:hAnsi="宋体" w:cs="宋体"/>
          <w:szCs w:val="21"/>
        </w:rPr>
        <w:t>：</w:t>
      </w:r>
      <w:r>
        <w:rPr>
          <w:rFonts w:hint="eastAsia" w:hAnsi="宋体" w:cs="宋体"/>
          <w:szCs w:val="21"/>
          <w:u w:val="single"/>
        </w:rPr>
        <w:t xml:space="preserve">                                                   </w:t>
      </w:r>
    </w:p>
    <w:p w14:paraId="4754654A">
      <w:pPr>
        <w:spacing w:line="360" w:lineRule="auto"/>
        <w:ind w:firstLine="480" w:firstLineChars="200"/>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348498D7">
      <w:pPr>
        <w:spacing w:line="360" w:lineRule="auto"/>
        <w:ind w:firstLine="480" w:firstLineChars="200"/>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2EADB132">
      <w:pPr>
        <w:spacing w:line="360" w:lineRule="auto"/>
        <w:ind w:firstLine="480" w:firstLineChars="200"/>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80C17FD">
      <w:pPr>
        <w:spacing w:before="0" w:after="0"/>
        <w:jc w:val="center"/>
        <w:rPr>
          <w:rFonts w:hint="eastAsia" w:ascii="宋体" w:hAnsi="宋体" w:cs="宋体"/>
          <w:b/>
          <w:sz w:val="28"/>
          <w:szCs w:val="28"/>
        </w:rPr>
      </w:pPr>
      <w:r>
        <w:rPr>
          <w:rFonts w:hint="eastAsia" w:ascii="宋体" w:hAnsi="宋体" w:cs="宋体"/>
          <w:b/>
          <w:sz w:val="28"/>
          <w:szCs w:val="28"/>
        </w:rPr>
        <w:br w:type="page"/>
      </w:r>
    </w:p>
    <w:p w14:paraId="486A569B">
      <w:pPr>
        <w:pStyle w:val="4"/>
        <w:numPr>
          <w:ilvl w:val="2"/>
          <w:numId w:val="0"/>
        </w:numPr>
        <w:tabs>
          <w:tab w:val="clear" w:pos="360"/>
          <w:tab w:val="clear" w:pos="900"/>
          <w:tab w:val="clear" w:pos="1588"/>
        </w:tabs>
        <w:spacing w:before="0" w:after="0" w:line="360" w:lineRule="auto"/>
        <w:ind w:left="0" w:firstLine="0"/>
        <w:jc w:val="center"/>
        <w:rPr>
          <w:rFonts w:ascii="宋体" w:hAnsi="宋体" w:cs="宋体"/>
          <w:sz w:val="24"/>
          <w:szCs w:val="24"/>
          <w:highlight w:val="none"/>
        </w:rPr>
      </w:pPr>
      <w:bookmarkStart w:id="317" w:name="_Toc18644"/>
      <w:bookmarkStart w:id="318" w:name="_Toc18534"/>
      <w:bookmarkStart w:id="319" w:name="_Toc17737"/>
      <w:bookmarkStart w:id="320" w:name="_Toc6260"/>
      <w:bookmarkStart w:id="321" w:name="_Toc17545"/>
      <w:r>
        <w:rPr>
          <w:rFonts w:hint="eastAsia" w:ascii="宋体" w:hAnsi="宋体" w:cs="宋体"/>
          <w:b/>
          <w:sz w:val="28"/>
          <w:szCs w:val="28"/>
        </w:rPr>
        <w:t>格式2</w:t>
      </w:r>
      <w:r>
        <w:rPr>
          <w:rFonts w:hint="eastAsia" w:ascii="宋体" w:hAnsi="宋体" w:cs="宋体"/>
          <w:b/>
          <w:sz w:val="28"/>
          <w:szCs w:val="28"/>
          <w:lang w:val="en-US" w:eastAsia="zh-CN"/>
        </w:rPr>
        <w:t xml:space="preserve"> </w:t>
      </w:r>
      <w:r>
        <w:rPr>
          <w:rFonts w:hint="eastAsia" w:ascii="宋体" w:hAnsi="宋体" w:cs="宋体"/>
          <w:sz w:val="24"/>
          <w:szCs w:val="24"/>
          <w:highlight w:val="none"/>
        </w:rPr>
        <w:t>开标一览表</w:t>
      </w:r>
      <w:bookmarkEnd w:id="317"/>
    </w:p>
    <w:p w14:paraId="73AAB95B">
      <w:pPr>
        <w:spacing w:line="360" w:lineRule="auto"/>
        <w:jc w:val="left"/>
        <w:rPr>
          <w:rFonts w:ascii="宋体" w:hAnsi="宋体" w:cs="宋体"/>
          <w:bCs/>
          <w:sz w:val="24"/>
          <w:szCs w:val="24"/>
          <w:highlight w:val="none"/>
        </w:rPr>
      </w:pPr>
      <w:r>
        <w:rPr>
          <w:rFonts w:hint="eastAsia" w:ascii="宋体" w:hAnsi="宋体" w:cs="宋体"/>
          <w:bCs/>
          <w:sz w:val="24"/>
          <w:szCs w:val="24"/>
          <w:highlight w:val="none"/>
          <w:lang w:val="en-US" w:eastAsia="zh-CN"/>
        </w:rPr>
        <w:t>标段</w:t>
      </w:r>
      <w:r>
        <w:rPr>
          <w:rFonts w:hint="eastAsia" w:ascii="宋体" w:hAnsi="宋体" w:cs="宋体"/>
          <w:bCs/>
          <w:sz w:val="24"/>
          <w:szCs w:val="24"/>
          <w:highlight w:val="none"/>
        </w:rPr>
        <w:t>名称：</w:t>
      </w:r>
    </w:p>
    <w:p w14:paraId="2A692927">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项目编号：</w:t>
      </w:r>
    </w:p>
    <w:p w14:paraId="46E7CCF0">
      <w:pPr>
        <w:spacing w:line="360" w:lineRule="auto"/>
        <w:jc w:val="left"/>
        <w:rPr>
          <w:rFonts w:ascii="宋体" w:hAnsi="宋体" w:cs="宋体"/>
          <w:spacing w:val="10"/>
          <w:sz w:val="24"/>
          <w:szCs w:val="24"/>
          <w:highlight w:val="none"/>
        </w:rPr>
      </w:pPr>
      <w:r>
        <w:rPr>
          <w:rFonts w:hint="eastAsia" w:ascii="宋体" w:hAnsi="宋体" w:cs="宋体"/>
          <w:spacing w:val="10"/>
          <w:sz w:val="24"/>
          <w:szCs w:val="24"/>
          <w:highlight w:val="none"/>
        </w:rPr>
        <w:t>货币及单位：人民币·元</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7702"/>
      </w:tblGrid>
      <w:tr w14:paraId="30CC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0" w:type="pct"/>
            <w:vMerge w:val="restart"/>
            <w:vAlign w:val="center"/>
          </w:tcPr>
          <w:p w14:paraId="3B2F320F">
            <w:pPr>
              <w:jc w:val="center"/>
              <w:rPr>
                <w:rFonts w:ascii="宋体" w:hAnsi="宋体" w:cs="宋体"/>
                <w:spacing w:val="10"/>
                <w:sz w:val="24"/>
                <w:szCs w:val="24"/>
                <w:highlight w:val="none"/>
              </w:rPr>
            </w:pPr>
            <w:r>
              <w:rPr>
                <w:rFonts w:hint="eastAsia" w:ascii="宋体" w:hAnsi="宋体" w:cs="宋体"/>
                <w:spacing w:val="10"/>
                <w:sz w:val="24"/>
                <w:szCs w:val="24"/>
                <w:highlight w:val="none"/>
              </w:rPr>
              <w:t>投标报价</w:t>
            </w:r>
          </w:p>
        </w:tc>
        <w:tc>
          <w:tcPr>
            <w:tcW w:w="3999" w:type="pct"/>
            <w:vAlign w:val="center"/>
          </w:tcPr>
          <w:p w14:paraId="29BB5ED2">
            <w:pPr>
              <w:rPr>
                <w:rFonts w:ascii="宋体" w:hAnsi="宋体" w:cs="宋体"/>
                <w:spacing w:val="10"/>
                <w:sz w:val="24"/>
                <w:szCs w:val="24"/>
                <w:highlight w:val="none"/>
                <w:u w:val="single"/>
              </w:rPr>
            </w:pPr>
            <w:r>
              <w:rPr>
                <w:rFonts w:hint="eastAsia" w:ascii="宋体" w:hAnsi="宋体" w:cs="宋体"/>
                <w:spacing w:val="10"/>
                <w:sz w:val="24"/>
                <w:szCs w:val="24"/>
                <w:highlight w:val="none"/>
              </w:rPr>
              <w:t>大写：</w:t>
            </w:r>
          </w:p>
        </w:tc>
      </w:tr>
      <w:tr w14:paraId="329C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0" w:type="pct"/>
            <w:vMerge w:val="continue"/>
            <w:vAlign w:val="center"/>
          </w:tcPr>
          <w:p w14:paraId="41629C5C">
            <w:pPr>
              <w:spacing w:line="360" w:lineRule="auto"/>
              <w:jc w:val="center"/>
              <w:rPr>
                <w:rFonts w:ascii="宋体" w:hAnsi="宋体" w:cs="宋体"/>
                <w:spacing w:val="10"/>
                <w:sz w:val="24"/>
                <w:szCs w:val="24"/>
                <w:highlight w:val="none"/>
              </w:rPr>
            </w:pPr>
          </w:p>
        </w:tc>
        <w:tc>
          <w:tcPr>
            <w:tcW w:w="3999" w:type="pct"/>
            <w:vAlign w:val="center"/>
          </w:tcPr>
          <w:p w14:paraId="4DF9E779">
            <w:pPr>
              <w:rPr>
                <w:rFonts w:ascii="宋体" w:hAnsi="宋体" w:cs="宋体"/>
                <w:spacing w:val="10"/>
                <w:sz w:val="24"/>
                <w:szCs w:val="24"/>
                <w:highlight w:val="none"/>
              </w:rPr>
            </w:pPr>
            <w:r>
              <w:rPr>
                <w:rFonts w:hint="eastAsia" w:ascii="宋体" w:hAnsi="宋体" w:cs="宋体"/>
                <w:spacing w:val="10"/>
                <w:sz w:val="24"/>
                <w:szCs w:val="24"/>
                <w:highlight w:val="none"/>
              </w:rPr>
              <w:t>小写：</w:t>
            </w:r>
          </w:p>
        </w:tc>
      </w:tr>
      <w:tr w14:paraId="09EA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000" w:type="pct"/>
            <w:vAlign w:val="center"/>
          </w:tcPr>
          <w:p w14:paraId="23F916A1">
            <w:pPr>
              <w:jc w:val="center"/>
              <w:rPr>
                <w:rFonts w:ascii="宋体" w:hAnsi="宋体" w:cs="宋体"/>
                <w:spacing w:val="10"/>
                <w:sz w:val="24"/>
                <w:szCs w:val="24"/>
                <w:highlight w:val="none"/>
              </w:rPr>
            </w:pPr>
            <w:r>
              <w:rPr>
                <w:rFonts w:hint="eastAsia" w:ascii="宋体" w:hAnsi="宋体" w:cs="宋体"/>
                <w:sz w:val="24"/>
                <w:szCs w:val="24"/>
                <w:highlight w:val="none"/>
              </w:rPr>
              <w:t>合同履行期限</w:t>
            </w:r>
          </w:p>
        </w:tc>
        <w:tc>
          <w:tcPr>
            <w:tcW w:w="3999" w:type="pct"/>
            <w:vAlign w:val="center"/>
          </w:tcPr>
          <w:p w14:paraId="1A9757B3">
            <w:pPr>
              <w:spacing w:line="360" w:lineRule="auto"/>
              <w:rPr>
                <w:rFonts w:ascii="宋体" w:hAnsi="宋体" w:cs="宋体"/>
                <w:spacing w:val="10"/>
                <w:sz w:val="24"/>
                <w:szCs w:val="24"/>
                <w:highlight w:val="none"/>
              </w:rPr>
            </w:pPr>
          </w:p>
        </w:tc>
      </w:tr>
      <w:tr w14:paraId="7270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00" w:type="pct"/>
            <w:vAlign w:val="center"/>
          </w:tcPr>
          <w:p w14:paraId="164DB337">
            <w:pPr>
              <w:jc w:val="center"/>
              <w:rPr>
                <w:rFonts w:ascii="宋体" w:hAnsi="宋体" w:cs="宋体"/>
                <w:spacing w:val="10"/>
                <w:sz w:val="24"/>
                <w:szCs w:val="24"/>
                <w:highlight w:val="none"/>
              </w:rPr>
            </w:pPr>
            <w:r>
              <w:rPr>
                <w:rFonts w:hint="eastAsia" w:ascii="宋体" w:hAnsi="宋体" w:cs="宋体"/>
                <w:spacing w:val="10"/>
                <w:sz w:val="24"/>
                <w:szCs w:val="24"/>
                <w:highlight w:val="none"/>
              </w:rPr>
              <w:t>交货地点</w:t>
            </w:r>
          </w:p>
        </w:tc>
        <w:tc>
          <w:tcPr>
            <w:tcW w:w="3999" w:type="pct"/>
            <w:vAlign w:val="center"/>
          </w:tcPr>
          <w:p w14:paraId="13A34B9B">
            <w:pPr>
              <w:spacing w:line="360" w:lineRule="auto"/>
              <w:rPr>
                <w:rFonts w:ascii="宋体" w:hAnsi="宋体" w:cs="宋体"/>
                <w:spacing w:val="10"/>
                <w:sz w:val="24"/>
                <w:szCs w:val="24"/>
                <w:highlight w:val="none"/>
              </w:rPr>
            </w:pPr>
          </w:p>
        </w:tc>
      </w:tr>
      <w:tr w14:paraId="19DA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0" w:type="pct"/>
            <w:vAlign w:val="center"/>
          </w:tcPr>
          <w:p w14:paraId="28258828">
            <w:pPr>
              <w:jc w:val="center"/>
              <w:rPr>
                <w:rFonts w:ascii="宋体" w:hAnsi="宋体" w:cs="宋体"/>
                <w:spacing w:val="10"/>
                <w:sz w:val="24"/>
                <w:szCs w:val="24"/>
                <w:highlight w:val="none"/>
              </w:rPr>
            </w:pPr>
            <w:r>
              <w:rPr>
                <w:rFonts w:hint="eastAsia" w:ascii="宋体" w:hAnsi="宋体" w:cs="宋体"/>
                <w:spacing w:val="10"/>
                <w:sz w:val="24"/>
                <w:szCs w:val="24"/>
                <w:highlight w:val="none"/>
              </w:rPr>
              <w:t>质保期</w:t>
            </w:r>
          </w:p>
        </w:tc>
        <w:tc>
          <w:tcPr>
            <w:tcW w:w="3999" w:type="pct"/>
            <w:vAlign w:val="center"/>
          </w:tcPr>
          <w:p w14:paraId="5F4FAE3C">
            <w:pPr>
              <w:spacing w:line="360" w:lineRule="auto"/>
              <w:rPr>
                <w:rFonts w:ascii="宋体" w:hAnsi="宋体" w:cs="宋体"/>
                <w:spacing w:val="10"/>
                <w:sz w:val="24"/>
                <w:szCs w:val="24"/>
                <w:highlight w:val="none"/>
              </w:rPr>
            </w:pPr>
          </w:p>
        </w:tc>
      </w:tr>
      <w:tr w14:paraId="1676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0" w:type="pct"/>
            <w:vAlign w:val="center"/>
          </w:tcPr>
          <w:p w14:paraId="5AF654F8">
            <w:pPr>
              <w:jc w:val="center"/>
              <w:rPr>
                <w:rFonts w:ascii="宋体" w:hAnsi="宋体" w:cs="宋体"/>
                <w:spacing w:val="10"/>
                <w:sz w:val="24"/>
                <w:szCs w:val="24"/>
                <w:highlight w:val="none"/>
              </w:rPr>
            </w:pPr>
            <w:r>
              <w:rPr>
                <w:rFonts w:hint="eastAsia" w:ascii="宋体" w:hAnsi="宋体" w:cs="宋体"/>
                <w:spacing w:val="10"/>
                <w:sz w:val="24"/>
                <w:szCs w:val="24"/>
                <w:highlight w:val="none"/>
              </w:rPr>
              <w:t>其他说明</w:t>
            </w:r>
          </w:p>
        </w:tc>
        <w:tc>
          <w:tcPr>
            <w:tcW w:w="3999" w:type="pct"/>
            <w:vAlign w:val="center"/>
          </w:tcPr>
          <w:p w14:paraId="723F9B31">
            <w:pPr>
              <w:spacing w:line="360" w:lineRule="auto"/>
              <w:rPr>
                <w:rFonts w:ascii="宋体" w:hAnsi="宋体" w:cs="宋体"/>
                <w:spacing w:val="10"/>
                <w:sz w:val="24"/>
                <w:szCs w:val="24"/>
                <w:highlight w:val="none"/>
              </w:rPr>
            </w:pPr>
          </w:p>
        </w:tc>
      </w:tr>
    </w:tbl>
    <w:p w14:paraId="00FF6567">
      <w:pPr>
        <w:spacing w:line="360" w:lineRule="auto"/>
        <w:rPr>
          <w:rFonts w:ascii="宋体" w:hAnsi="宋体" w:cs="宋体"/>
          <w:b/>
          <w:spacing w:val="10"/>
          <w:sz w:val="24"/>
          <w:szCs w:val="24"/>
          <w:highlight w:val="none"/>
        </w:rPr>
      </w:pPr>
      <w:r>
        <w:rPr>
          <w:rFonts w:hint="eastAsia" w:ascii="宋体" w:hAnsi="宋体" w:cs="宋体"/>
          <w:b/>
          <w:spacing w:val="10"/>
          <w:sz w:val="24"/>
          <w:szCs w:val="24"/>
          <w:highlight w:val="none"/>
        </w:rPr>
        <w:t>注：此表中的投标报价即为最终报价，不允许另有折扣说明；</w:t>
      </w:r>
    </w:p>
    <w:p w14:paraId="7825716F">
      <w:pPr>
        <w:pStyle w:val="7"/>
        <w:spacing w:line="360" w:lineRule="auto"/>
        <w:ind w:firstLine="480"/>
        <w:rPr>
          <w:rFonts w:ascii="宋体" w:hAnsi="宋体" w:eastAsia="宋体" w:cs="宋体"/>
          <w:highlight w:val="none"/>
          <w:lang w:val="en-US" w:bidi="ar-SA"/>
        </w:rPr>
      </w:pPr>
    </w:p>
    <w:p w14:paraId="28E133BE">
      <w:pPr>
        <w:spacing w:before="60" w:after="60" w:line="360" w:lineRule="auto"/>
        <w:ind w:firstLine="510"/>
        <w:rPr>
          <w:rFonts w:ascii="宋体" w:hAnsi="宋体" w:cs="宋体"/>
          <w:sz w:val="24"/>
          <w:highlight w:val="none"/>
        </w:rPr>
      </w:pPr>
      <w:r>
        <w:rPr>
          <w:rFonts w:hint="eastAsia" w:ascii="宋体" w:hAnsi="宋体" w:cs="宋体"/>
          <w:sz w:val="24"/>
          <w:highlight w:val="none"/>
        </w:rPr>
        <w:t>投标人全称（加盖电子公章）：</w:t>
      </w:r>
      <w:r>
        <w:rPr>
          <w:rFonts w:hint="eastAsia" w:ascii="宋体" w:hAnsi="宋体" w:cs="宋体"/>
          <w:sz w:val="24"/>
          <w:highlight w:val="none"/>
          <w:u w:val="single"/>
        </w:rPr>
        <w:t>________________________</w:t>
      </w:r>
    </w:p>
    <w:p w14:paraId="2EBB0EB3">
      <w:pPr>
        <w:spacing w:before="60" w:after="60" w:line="360" w:lineRule="auto"/>
        <w:ind w:firstLine="510"/>
        <w:rPr>
          <w:rFonts w:ascii="宋体" w:hAnsi="宋体" w:cs="宋体"/>
          <w:sz w:val="24"/>
          <w:highlight w:val="none"/>
        </w:rPr>
      </w:pPr>
      <w:r>
        <w:rPr>
          <w:rFonts w:hint="eastAsia" w:ascii="宋体" w:hAnsi="宋体" w:cs="宋体"/>
          <w:sz w:val="24"/>
          <w:highlight w:val="none"/>
        </w:rPr>
        <w:t>法定代表人或委托代理人签字或签章：</w:t>
      </w:r>
      <w:r>
        <w:rPr>
          <w:rFonts w:hint="eastAsia" w:ascii="宋体" w:hAnsi="宋体" w:cs="宋体"/>
          <w:sz w:val="24"/>
          <w:highlight w:val="none"/>
          <w:u w:val="single"/>
        </w:rPr>
        <w:t>__________________</w:t>
      </w:r>
    </w:p>
    <w:p w14:paraId="6AB2176E">
      <w:pPr>
        <w:spacing w:before="60" w:after="60" w:line="360" w:lineRule="auto"/>
        <w:ind w:firstLine="51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_______</w:t>
      </w:r>
      <w:r>
        <w:rPr>
          <w:rFonts w:hint="eastAsia" w:ascii="宋体" w:hAnsi="宋体" w:cs="宋体"/>
          <w:sz w:val="24"/>
          <w:highlight w:val="none"/>
        </w:rPr>
        <w:t>年</w:t>
      </w:r>
      <w:r>
        <w:rPr>
          <w:rFonts w:hint="eastAsia" w:ascii="宋体" w:hAnsi="宋体" w:cs="宋体"/>
          <w:sz w:val="24"/>
          <w:highlight w:val="none"/>
          <w:u w:val="single"/>
        </w:rPr>
        <w:t>____</w:t>
      </w:r>
      <w:r>
        <w:rPr>
          <w:rFonts w:hint="eastAsia" w:ascii="宋体" w:hAnsi="宋体" w:cs="宋体"/>
          <w:sz w:val="24"/>
          <w:highlight w:val="none"/>
        </w:rPr>
        <w:t>月</w:t>
      </w:r>
      <w:r>
        <w:rPr>
          <w:rFonts w:hint="eastAsia" w:ascii="宋体" w:hAnsi="宋体" w:cs="宋体"/>
          <w:sz w:val="24"/>
          <w:highlight w:val="none"/>
          <w:u w:val="single"/>
        </w:rPr>
        <w:t>_____</w:t>
      </w:r>
      <w:r>
        <w:rPr>
          <w:rFonts w:hint="eastAsia" w:ascii="宋体" w:hAnsi="宋体" w:cs="宋体"/>
          <w:sz w:val="24"/>
          <w:highlight w:val="none"/>
        </w:rPr>
        <w:t>日</w:t>
      </w:r>
    </w:p>
    <w:p w14:paraId="391C7961">
      <w:pPr>
        <w:spacing w:line="360" w:lineRule="auto"/>
        <w:rPr>
          <w:rFonts w:ascii="宋体" w:hAnsi="宋体" w:cs="宋体"/>
          <w:highlight w:val="none"/>
        </w:rPr>
        <w:sectPr>
          <w:pgSz w:w="11906" w:h="16838"/>
          <w:pgMar w:top="1440" w:right="1247" w:bottom="1440" w:left="1247" w:header="851" w:footer="992" w:gutter="0"/>
          <w:pgNumType w:chapStyle="1"/>
          <w:cols w:space="720" w:num="1"/>
          <w:docGrid w:linePitch="312" w:charSpace="0"/>
        </w:sectPr>
      </w:pPr>
    </w:p>
    <w:bookmarkEnd w:id="318"/>
    <w:bookmarkEnd w:id="319"/>
    <w:bookmarkEnd w:id="320"/>
    <w:bookmarkEnd w:id="321"/>
    <w:p w14:paraId="56BC0D30">
      <w:pPr>
        <w:keepNext/>
        <w:keepLines/>
        <w:spacing w:line="360" w:lineRule="auto"/>
        <w:jc w:val="center"/>
        <w:outlineLvl w:val="2"/>
        <w:rPr>
          <w:rFonts w:ascii="宋体" w:hAnsi="宋体" w:cs="宋体"/>
          <w:b/>
          <w:bCs/>
          <w:sz w:val="24"/>
          <w:szCs w:val="24"/>
          <w:highlight w:val="none"/>
        </w:rPr>
      </w:pPr>
      <w:bookmarkStart w:id="322" w:name="_Toc23413"/>
      <w:bookmarkStart w:id="323" w:name="_Toc327190555"/>
      <w:r>
        <w:rPr>
          <w:rFonts w:hint="eastAsia" w:ascii="宋体" w:hAnsi="宋体" w:cs="宋体"/>
          <w:b/>
          <w:sz w:val="28"/>
          <w:szCs w:val="28"/>
        </w:rPr>
        <w:t>格式</w:t>
      </w:r>
      <w:r>
        <w:rPr>
          <w:rFonts w:hint="eastAsia" w:ascii="宋体" w:hAnsi="宋体" w:cs="宋体"/>
          <w:b/>
          <w:sz w:val="28"/>
          <w:szCs w:val="28"/>
          <w:lang w:val="en-US" w:eastAsia="zh-CN"/>
        </w:rPr>
        <w:t xml:space="preserve">3 </w:t>
      </w:r>
      <w:r>
        <w:rPr>
          <w:rFonts w:hint="eastAsia" w:ascii="宋体" w:hAnsi="宋体" w:cs="宋体"/>
          <w:b/>
          <w:bCs/>
          <w:sz w:val="24"/>
          <w:szCs w:val="24"/>
          <w:highlight w:val="none"/>
        </w:rPr>
        <w:t>投标报价汇总表</w:t>
      </w:r>
      <w:bookmarkEnd w:id="322"/>
    </w:p>
    <w:p w14:paraId="3419885A">
      <w:pPr>
        <w:spacing w:line="360" w:lineRule="auto"/>
        <w:jc w:val="left"/>
        <w:rPr>
          <w:rFonts w:ascii="宋体" w:hAnsi="宋体" w:cs="宋体"/>
          <w:bCs/>
          <w:sz w:val="24"/>
          <w:szCs w:val="24"/>
          <w:highlight w:val="none"/>
        </w:rPr>
      </w:pPr>
      <w:r>
        <w:rPr>
          <w:rFonts w:hint="eastAsia" w:ascii="宋体" w:hAnsi="宋体" w:cs="宋体"/>
          <w:bCs/>
          <w:sz w:val="24"/>
          <w:szCs w:val="24"/>
          <w:highlight w:val="none"/>
          <w:lang w:val="en-US" w:eastAsia="zh-CN"/>
        </w:rPr>
        <w:t>标段</w:t>
      </w:r>
      <w:r>
        <w:rPr>
          <w:rFonts w:hint="eastAsia" w:ascii="宋体" w:hAnsi="宋体" w:cs="宋体"/>
          <w:bCs/>
          <w:sz w:val="24"/>
          <w:szCs w:val="24"/>
          <w:highlight w:val="none"/>
        </w:rPr>
        <w:t>名称：</w:t>
      </w:r>
    </w:p>
    <w:p w14:paraId="51D9BB83">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项目编号：</w:t>
      </w:r>
    </w:p>
    <w:tbl>
      <w:tblPr>
        <w:tblStyle w:val="16"/>
        <w:tblW w:w="14055"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1"/>
        <w:gridCol w:w="2351"/>
        <w:gridCol w:w="1021"/>
        <w:gridCol w:w="2645"/>
        <w:gridCol w:w="1133"/>
        <w:gridCol w:w="1274"/>
        <w:gridCol w:w="709"/>
        <w:gridCol w:w="992"/>
        <w:gridCol w:w="1275"/>
        <w:gridCol w:w="1275"/>
        <w:gridCol w:w="709"/>
      </w:tblGrid>
      <w:tr w14:paraId="6D7C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3" w:hRule="atLeast"/>
        </w:trPr>
        <w:tc>
          <w:tcPr>
            <w:tcW w:w="671" w:type="dxa"/>
            <w:tcBorders>
              <w:top w:val="single" w:color="auto" w:sz="4" w:space="0"/>
              <w:left w:val="single" w:color="auto" w:sz="4" w:space="0"/>
              <w:bottom w:val="single" w:color="auto" w:sz="4" w:space="0"/>
              <w:right w:val="single" w:color="auto" w:sz="4" w:space="0"/>
            </w:tcBorders>
            <w:vAlign w:val="center"/>
          </w:tcPr>
          <w:p w14:paraId="51F0819D">
            <w:pPr>
              <w:widowControl/>
              <w:jc w:val="center"/>
              <w:rPr>
                <w:rFonts w:ascii="宋体" w:hAnsi="宋体" w:cs="宋体"/>
                <w:b/>
                <w:bCs/>
                <w:sz w:val="24"/>
                <w:szCs w:val="24"/>
                <w:highlight w:val="none"/>
              </w:rPr>
            </w:pPr>
            <w:bookmarkStart w:id="324" w:name="_Hlk102986765"/>
            <w:r>
              <w:rPr>
                <w:rFonts w:hint="eastAsia" w:ascii="宋体" w:hAnsi="宋体" w:cs="宋体"/>
                <w:b/>
                <w:bCs/>
                <w:sz w:val="24"/>
                <w:szCs w:val="24"/>
                <w:highlight w:val="none"/>
              </w:rPr>
              <w:t>序号</w:t>
            </w:r>
          </w:p>
        </w:tc>
        <w:tc>
          <w:tcPr>
            <w:tcW w:w="2351" w:type="dxa"/>
            <w:tcBorders>
              <w:top w:val="single" w:color="auto" w:sz="4" w:space="0"/>
              <w:left w:val="single" w:color="auto" w:sz="4" w:space="0"/>
              <w:bottom w:val="single" w:color="auto" w:sz="4" w:space="0"/>
              <w:right w:val="single" w:color="auto" w:sz="4" w:space="0"/>
            </w:tcBorders>
            <w:vAlign w:val="center"/>
          </w:tcPr>
          <w:p w14:paraId="0910B1A5">
            <w:pPr>
              <w:widowControl/>
              <w:jc w:val="center"/>
              <w:rPr>
                <w:rFonts w:ascii="宋体" w:hAnsi="宋体" w:cs="宋体"/>
                <w:b/>
                <w:bCs/>
                <w:sz w:val="24"/>
                <w:szCs w:val="24"/>
                <w:highlight w:val="none"/>
              </w:rPr>
            </w:pPr>
            <w:r>
              <w:rPr>
                <w:rFonts w:hint="eastAsia" w:ascii="宋体" w:hAnsi="宋体" w:cs="宋体"/>
                <w:b/>
                <w:bCs/>
                <w:sz w:val="24"/>
                <w:szCs w:val="24"/>
                <w:highlight w:val="none"/>
              </w:rPr>
              <w:t>名称</w:t>
            </w:r>
          </w:p>
        </w:tc>
        <w:tc>
          <w:tcPr>
            <w:tcW w:w="1021" w:type="dxa"/>
            <w:tcBorders>
              <w:top w:val="single" w:color="auto" w:sz="4" w:space="0"/>
              <w:left w:val="single" w:color="auto" w:sz="4" w:space="0"/>
              <w:bottom w:val="single" w:color="auto" w:sz="4" w:space="0"/>
              <w:right w:val="single" w:color="auto" w:sz="4" w:space="0"/>
            </w:tcBorders>
            <w:vAlign w:val="center"/>
          </w:tcPr>
          <w:p w14:paraId="7C94BAAD">
            <w:pPr>
              <w:widowControl/>
              <w:jc w:val="center"/>
              <w:rPr>
                <w:rFonts w:ascii="宋体" w:hAnsi="宋体" w:cs="宋体"/>
                <w:b/>
                <w:bCs/>
                <w:sz w:val="24"/>
                <w:szCs w:val="24"/>
                <w:highlight w:val="none"/>
              </w:rPr>
            </w:pPr>
            <w:r>
              <w:rPr>
                <w:rFonts w:hint="eastAsia" w:ascii="宋体" w:hAnsi="宋体" w:cs="宋体"/>
                <w:b/>
                <w:bCs/>
                <w:sz w:val="24"/>
                <w:szCs w:val="24"/>
                <w:highlight w:val="none"/>
              </w:rPr>
              <w:t>品牌</w:t>
            </w:r>
          </w:p>
        </w:tc>
        <w:tc>
          <w:tcPr>
            <w:tcW w:w="2645" w:type="dxa"/>
            <w:tcBorders>
              <w:top w:val="single" w:color="auto" w:sz="4" w:space="0"/>
              <w:left w:val="single" w:color="auto" w:sz="4" w:space="0"/>
              <w:bottom w:val="single" w:color="auto" w:sz="4" w:space="0"/>
              <w:right w:val="single" w:color="auto" w:sz="4" w:space="0"/>
            </w:tcBorders>
            <w:vAlign w:val="center"/>
          </w:tcPr>
          <w:p w14:paraId="3953A57B">
            <w:pPr>
              <w:widowControl/>
              <w:jc w:val="center"/>
              <w:rPr>
                <w:rFonts w:ascii="宋体" w:hAnsi="宋体" w:cs="宋体"/>
                <w:b/>
                <w:bCs/>
                <w:sz w:val="24"/>
                <w:szCs w:val="24"/>
                <w:highlight w:val="none"/>
              </w:rPr>
            </w:pPr>
            <w:r>
              <w:rPr>
                <w:rFonts w:hint="eastAsia" w:ascii="宋体" w:hAnsi="宋体" w:cs="宋体"/>
                <w:b/>
                <w:bCs/>
                <w:sz w:val="24"/>
                <w:szCs w:val="24"/>
                <w:highlight w:val="none"/>
              </w:rPr>
              <w:t>型号和规格</w:t>
            </w:r>
          </w:p>
        </w:tc>
        <w:tc>
          <w:tcPr>
            <w:tcW w:w="1133" w:type="dxa"/>
            <w:tcBorders>
              <w:top w:val="single" w:color="auto" w:sz="4" w:space="0"/>
              <w:left w:val="single" w:color="auto" w:sz="4" w:space="0"/>
              <w:bottom w:val="single" w:color="auto" w:sz="4" w:space="0"/>
              <w:right w:val="single" w:color="auto" w:sz="4" w:space="0"/>
            </w:tcBorders>
            <w:vAlign w:val="center"/>
          </w:tcPr>
          <w:p w14:paraId="3082D614">
            <w:pPr>
              <w:widowControl/>
              <w:jc w:val="center"/>
              <w:rPr>
                <w:rFonts w:ascii="宋体" w:hAnsi="宋体" w:cs="宋体"/>
                <w:b/>
                <w:bCs/>
                <w:sz w:val="24"/>
                <w:szCs w:val="24"/>
                <w:highlight w:val="none"/>
              </w:rPr>
            </w:pPr>
            <w:r>
              <w:rPr>
                <w:rFonts w:hint="eastAsia" w:ascii="宋体" w:hAnsi="宋体" w:cs="宋体"/>
                <w:b/>
                <w:bCs/>
                <w:sz w:val="24"/>
                <w:szCs w:val="24"/>
                <w:highlight w:val="none"/>
              </w:rPr>
              <w:t>制造商名称、国别</w:t>
            </w:r>
          </w:p>
        </w:tc>
        <w:tc>
          <w:tcPr>
            <w:tcW w:w="1274" w:type="dxa"/>
            <w:tcBorders>
              <w:top w:val="single" w:color="auto" w:sz="4" w:space="0"/>
              <w:left w:val="single" w:color="auto" w:sz="4" w:space="0"/>
              <w:bottom w:val="single" w:color="auto" w:sz="4" w:space="0"/>
              <w:right w:val="single" w:color="auto" w:sz="4" w:space="0"/>
            </w:tcBorders>
            <w:vAlign w:val="center"/>
          </w:tcPr>
          <w:p w14:paraId="0E0812A6">
            <w:pPr>
              <w:widowControl/>
              <w:jc w:val="center"/>
              <w:rPr>
                <w:rFonts w:ascii="宋体" w:hAnsi="宋体" w:cs="宋体"/>
                <w:b/>
                <w:bCs/>
                <w:sz w:val="24"/>
                <w:szCs w:val="24"/>
                <w:highlight w:val="none"/>
              </w:rPr>
            </w:pPr>
            <w:r>
              <w:rPr>
                <w:rFonts w:hint="eastAsia" w:ascii="宋体" w:hAnsi="宋体" w:cs="宋体"/>
                <w:b/>
                <w:bCs/>
                <w:sz w:val="24"/>
                <w:szCs w:val="24"/>
                <w:highlight w:val="none"/>
              </w:rPr>
              <w:t>产品原产地</w:t>
            </w:r>
          </w:p>
        </w:tc>
        <w:tc>
          <w:tcPr>
            <w:tcW w:w="709" w:type="dxa"/>
            <w:tcBorders>
              <w:top w:val="single" w:color="auto" w:sz="4" w:space="0"/>
              <w:left w:val="single" w:color="auto" w:sz="4" w:space="0"/>
              <w:bottom w:val="single" w:color="auto" w:sz="4" w:space="0"/>
              <w:right w:val="single" w:color="auto" w:sz="4" w:space="0"/>
            </w:tcBorders>
            <w:vAlign w:val="center"/>
          </w:tcPr>
          <w:p w14:paraId="7F33D832">
            <w:pPr>
              <w:jc w:val="center"/>
              <w:rPr>
                <w:rFonts w:ascii="宋体" w:hAnsi="宋体" w:cs="宋体"/>
                <w:b/>
                <w:bCs/>
                <w:sz w:val="24"/>
                <w:szCs w:val="24"/>
                <w:highlight w:val="none"/>
              </w:rPr>
            </w:pPr>
            <w:r>
              <w:rPr>
                <w:rFonts w:hint="eastAsia" w:ascii="宋体" w:hAnsi="宋体" w:cs="宋体"/>
                <w:b/>
                <w:bCs/>
                <w:sz w:val="24"/>
                <w:szCs w:val="24"/>
                <w:highlight w:val="none"/>
              </w:rPr>
              <w:t>数量</w:t>
            </w:r>
          </w:p>
        </w:tc>
        <w:tc>
          <w:tcPr>
            <w:tcW w:w="992" w:type="dxa"/>
            <w:tcBorders>
              <w:top w:val="single" w:color="auto" w:sz="4" w:space="0"/>
              <w:left w:val="single" w:color="auto" w:sz="4" w:space="0"/>
              <w:bottom w:val="single" w:color="auto" w:sz="4" w:space="0"/>
              <w:right w:val="single" w:color="auto" w:sz="4" w:space="0"/>
            </w:tcBorders>
          </w:tcPr>
          <w:p w14:paraId="407574C4">
            <w:pPr>
              <w:widowControl/>
              <w:jc w:val="center"/>
              <w:rPr>
                <w:rFonts w:ascii="宋体" w:hAnsi="宋体" w:cs="宋体"/>
                <w:b/>
                <w:bCs/>
                <w:sz w:val="24"/>
                <w:szCs w:val="24"/>
                <w:highlight w:val="none"/>
              </w:rPr>
            </w:pPr>
            <w:r>
              <w:rPr>
                <w:rFonts w:hint="eastAsia" w:ascii="宋体" w:hAnsi="宋体" w:cs="宋体"/>
                <w:b/>
                <w:bCs/>
                <w:sz w:val="24"/>
                <w:szCs w:val="24"/>
                <w:highlight w:val="none"/>
              </w:rPr>
              <w:t>计量</w:t>
            </w:r>
          </w:p>
          <w:p w14:paraId="75E169BC">
            <w:pPr>
              <w:widowControl/>
              <w:jc w:val="center"/>
              <w:rPr>
                <w:rFonts w:ascii="宋体" w:hAnsi="宋体" w:cs="宋体"/>
                <w:b/>
                <w:bCs/>
                <w:sz w:val="24"/>
                <w:szCs w:val="24"/>
                <w:highlight w:val="none"/>
              </w:rPr>
            </w:pPr>
            <w:r>
              <w:rPr>
                <w:rFonts w:hint="eastAsia" w:ascii="宋体" w:hAnsi="宋体" w:cs="宋体"/>
                <w:b/>
                <w:bCs/>
                <w:sz w:val="24"/>
                <w:szCs w:val="24"/>
                <w:highlight w:val="none"/>
              </w:rPr>
              <w:t>单位</w:t>
            </w:r>
          </w:p>
        </w:tc>
        <w:tc>
          <w:tcPr>
            <w:tcW w:w="1275" w:type="dxa"/>
            <w:tcBorders>
              <w:top w:val="single" w:color="auto" w:sz="4" w:space="0"/>
              <w:left w:val="single" w:color="auto" w:sz="4" w:space="0"/>
              <w:bottom w:val="single" w:color="auto" w:sz="4" w:space="0"/>
              <w:right w:val="single" w:color="auto" w:sz="4" w:space="0"/>
            </w:tcBorders>
            <w:vAlign w:val="center"/>
          </w:tcPr>
          <w:p w14:paraId="7F3EDF4B">
            <w:pPr>
              <w:widowControl/>
              <w:jc w:val="center"/>
              <w:rPr>
                <w:rFonts w:ascii="宋体" w:hAnsi="宋体" w:cs="宋体"/>
                <w:b/>
                <w:bCs/>
                <w:sz w:val="24"/>
                <w:szCs w:val="24"/>
                <w:highlight w:val="none"/>
              </w:rPr>
            </w:pPr>
            <w:r>
              <w:rPr>
                <w:rFonts w:hint="eastAsia" w:ascii="宋体" w:hAnsi="宋体" w:cs="宋体"/>
                <w:b/>
                <w:bCs/>
                <w:sz w:val="24"/>
                <w:szCs w:val="24"/>
                <w:highlight w:val="none"/>
              </w:rPr>
              <w:t>单价（元）</w:t>
            </w:r>
          </w:p>
        </w:tc>
        <w:tc>
          <w:tcPr>
            <w:tcW w:w="1275" w:type="dxa"/>
            <w:tcBorders>
              <w:top w:val="single" w:color="auto" w:sz="4" w:space="0"/>
              <w:left w:val="single" w:color="auto" w:sz="4" w:space="0"/>
              <w:bottom w:val="single" w:color="auto" w:sz="4" w:space="0"/>
              <w:right w:val="single" w:color="auto" w:sz="4" w:space="0"/>
            </w:tcBorders>
            <w:vAlign w:val="center"/>
          </w:tcPr>
          <w:p w14:paraId="2D82BC3E">
            <w:pPr>
              <w:widowControl/>
              <w:jc w:val="center"/>
              <w:rPr>
                <w:rFonts w:ascii="宋体" w:hAnsi="宋体" w:cs="宋体"/>
                <w:b/>
                <w:bCs/>
                <w:sz w:val="24"/>
                <w:szCs w:val="24"/>
                <w:highlight w:val="none"/>
              </w:rPr>
            </w:pPr>
            <w:r>
              <w:rPr>
                <w:rFonts w:hint="eastAsia" w:ascii="宋体" w:hAnsi="宋体" w:cs="宋体"/>
                <w:b/>
                <w:bCs/>
                <w:sz w:val="24"/>
                <w:szCs w:val="24"/>
                <w:highlight w:val="none"/>
              </w:rPr>
              <w:t>小计（元）</w:t>
            </w:r>
          </w:p>
        </w:tc>
        <w:tc>
          <w:tcPr>
            <w:tcW w:w="709" w:type="dxa"/>
            <w:tcBorders>
              <w:top w:val="single" w:color="auto" w:sz="4" w:space="0"/>
              <w:left w:val="single" w:color="auto" w:sz="4" w:space="0"/>
              <w:bottom w:val="single" w:color="auto" w:sz="4" w:space="0"/>
              <w:right w:val="single" w:color="auto" w:sz="4" w:space="0"/>
            </w:tcBorders>
            <w:vAlign w:val="center"/>
          </w:tcPr>
          <w:p w14:paraId="191F28A2">
            <w:pPr>
              <w:widowControl/>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465A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671" w:type="dxa"/>
            <w:tcBorders>
              <w:top w:val="single" w:color="auto" w:sz="4" w:space="0"/>
              <w:left w:val="single" w:color="auto" w:sz="4" w:space="0"/>
              <w:bottom w:val="single" w:color="auto" w:sz="4" w:space="0"/>
              <w:right w:val="single" w:color="auto" w:sz="4" w:space="0"/>
            </w:tcBorders>
            <w:vAlign w:val="center"/>
          </w:tcPr>
          <w:p w14:paraId="2C63498B">
            <w:pPr>
              <w:widowControl/>
              <w:jc w:val="center"/>
              <w:rPr>
                <w:rFonts w:ascii="宋体" w:hAnsi="宋体" w:cs="宋体"/>
                <w:sz w:val="24"/>
                <w:szCs w:val="24"/>
                <w:highlight w:val="none"/>
              </w:rPr>
            </w:pPr>
          </w:p>
        </w:tc>
        <w:tc>
          <w:tcPr>
            <w:tcW w:w="2351" w:type="dxa"/>
            <w:tcBorders>
              <w:top w:val="single" w:color="auto" w:sz="4" w:space="0"/>
              <w:left w:val="single" w:color="auto" w:sz="4" w:space="0"/>
              <w:bottom w:val="single" w:color="auto" w:sz="4" w:space="0"/>
              <w:right w:val="single" w:color="auto" w:sz="4" w:space="0"/>
            </w:tcBorders>
          </w:tcPr>
          <w:p w14:paraId="3FF09138">
            <w:pPr>
              <w:jc w:val="center"/>
              <w:rPr>
                <w:rFonts w:ascii="宋体" w:hAnsi="宋体" w:cs="宋体"/>
                <w:sz w:val="24"/>
                <w:szCs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2E0805CE">
            <w:pPr>
              <w:widowControl/>
              <w:rPr>
                <w:rFonts w:ascii="宋体" w:hAnsi="宋体" w:cs="宋体"/>
                <w:sz w:val="24"/>
                <w:szCs w:val="24"/>
                <w:highlight w:val="none"/>
              </w:rPr>
            </w:pPr>
          </w:p>
        </w:tc>
        <w:tc>
          <w:tcPr>
            <w:tcW w:w="2645" w:type="dxa"/>
            <w:tcBorders>
              <w:top w:val="single" w:color="auto" w:sz="4" w:space="0"/>
              <w:left w:val="single" w:color="auto" w:sz="4" w:space="0"/>
              <w:bottom w:val="single" w:color="auto" w:sz="4" w:space="0"/>
              <w:right w:val="single" w:color="auto" w:sz="4" w:space="0"/>
            </w:tcBorders>
          </w:tcPr>
          <w:p w14:paraId="706B7693">
            <w:pPr>
              <w:widowControl/>
              <w:rPr>
                <w:rFonts w:ascii="宋体" w:hAnsi="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tcPr>
          <w:p w14:paraId="7474AFA9">
            <w:pPr>
              <w:widowControl/>
              <w:rPr>
                <w:rFonts w:ascii="宋体" w:hAnsi="宋体" w:cs="宋体"/>
                <w:sz w:val="24"/>
                <w:szCs w:val="24"/>
                <w:highlight w:val="none"/>
              </w:rPr>
            </w:pPr>
          </w:p>
        </w:tc>
        <w:tc>
          <w:tcPr>
            <w:tcW w:w="1274" w:type="dxa"/>
            <w:tcBorders>
              <w:top w:val="single" w:color="auto" w:sz="4" w:space="0"/>
              <w:left w:val="single" w:color="auto" w:sz="4" w:space="0"/>
              <w:bottom w:val="single" w:color="auto" w:sz="4" w:space="0"/>
              <w:right w:val="single" w:color="auto" w:sz="4" w:space="0"/>
            </w:tcBorders>
          </w:tcPr>
          <w:p w14:paraId="56393C91">
            <w:pPr>
              <w:widowControl/>
              <w:rPr>
                <w:rFonts w:ascii="宋体" w:hAnsi="宋体" w:cs="宋体"/>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8EAC977">
            <w:pPr>
              <w:widowControl/>
              <w:jc w:val="center"/>
              <w:rPr>
                <w:rFonts w:ascii="宋体" w:hAnsi="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27D57D22">
            <w:pPr>
              <w:widowControl/>
              <w:rPr>
                <w:rFonts w:ascii="宋体" w:hAnsi="宋体" w:cs="宋体"/>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7FE333B4">
            <w:pPr>
              <w:widowControl/>
              <w:rPr>
                <w:rFonts w:ascii="宋体" w:hAnsi="宋体" w:cs="宋体"/>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70CD6E98">
            <w:pPr>
              <w:widowControl/>
              <w:rPr>
                <w:rFonts w:ascii="宋体" w:hAnsi="宋体" w:cs="宋体"/>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tcPr>
          <w:p w14:paraId="1DD77ADF">
            <w:pPr>
              <w:widowControl/>
              <w:rPr>
                <w:rFonts w:ascii="宋体" w:hAnsi="宋体" w:cs="宋体"/>
                <w:sz w:val="24"/>
                <w:szCs w:val="24"/>
                <w:highlight w:val="none"/>
              </w:rPr>
            </w:pPr>
          </w:p>
        </w:tc>
      </w:tr>
      <w:tr w14:paraId="0C4E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671" w:type="dxa"/>
            <w:tcBorders>
              <w:top w:val="single" w:color="auto" w:sz="4" w:space="0"/>
              <w:left w:val="single" w:color="auto" w:sz="4" w:space="0"/>
              <w:bottom w:val="single" w:color="auto" w:sz="4" w:space="0"/>
              <w:right w:val="single" w:color="auto" w:sz="4" w:space="0"/>
            </w:tcBorders>
            <w:vAlign w:val="center"/>
          </w:tcPr>
          <w:p w14:paraId="6E8F46B0">
            <w:pPr>
              <w:widowControl/>
              <w:jc w:val="center"/>
              <w:rPr>
                <w:rFonts w:ascii="宋体" w:hAnsi="宋体" w:cs="宋体"/>
                <w:highlight w:val="none"/>
              </w:rPr>
            </w:pPr>
          </w:p>
        </w:tc>
        <w:tc>
          <w:tcPr>
            <w:tcW w:w="2351" w:type="dxa"/>
            <w:tcBorders>
              <w:top w:val="single" w:color="auto" w:sz="4" w:space="0"/>
              <w:left w:val="single" w:color="auto" w:sz="4" w:space="0"/>
              <w:bottom w:val="single" w:color="auto" w:sz="4" w:space="0"/>
              <w:right w:val="single" w:color="auto" w:sz="4" w:space="0"/>
            </w:tcBorders>
          </w:tcPr>
          <w:p w14:paraId="59DD6080">
            <w:pPr>
              <w:jc w:val="center"/>
              <w:rPr>
                <w:rFonts w:ascii="宋体" w:hAnsi="宋体" w:cs="宋体"/>
                <w:highlight w:val="none"/>
              </w:rPr>
            </w:pPr>
          </w:p>
        </w:tc>
        <w:tc>
          <w:tcPr>
            <w:tcW w:w="1021" w:type="dxa"/>
            <w:tcBorders>
              <w:top w:val="single" w:color="auto" w:sz="4" w:space="0"/>
              <w:left w:val="single" w:color="auto" w:sz="4" w:space="0"/>
              <w:bottom w:val="single" w:color="auto" w:sz="4" w:space="0"/>
              <w:right w:val="single" w:color="auto" w:sz="4" w:space="0"/>
            </w:tcBorders>
          </w:tcPr>
          <w:p w14:paraId="3E8712A5">
            <w:pPr>
              <w:widowControl/>
              <w:rPr>
                <w:rFonts w:ascii="宋体" w:hAnsi="宋体" w:cs="宋体"/>
                <w:highlight w:val="none"/>
              </w:rPr>
            </w:pPr>
          </w:p>
        </w:tc>
        <w:tc>
          <w:tcPr>
            <w:tcW w:w="2645" w:type="dxa"/>
            <w:tcBorders>
              <w:top w:val="single" w:color="auto" w:sz="4" w:space="0"/>
              <w:left w:val="single" w:color="auto" w:sz="4" w:space="0"/>
              <w:bottom w:val="single" w:color="auto" w:sz="4" w:space="0"/>
              <w:right w:val="single" w:color="auto" w:sz="4" w:space="0"/>
            </w:tcBorders>
          </w:tcPr>
          <w:p w14:paraId="11255253">
            <w:pPr>
              <w:widowControl/>
              <w:rPr>
                <w:rFonts w:ascii="宋体" w:hAnsi="宋体" w:cs="宋体"/>
                <w:highlight w:val="none"/>
              </w:rPr>
            </w:pPr>
          </w:p>
        </w:tc>
        <w:tc>
          <w:tcPr>
            <w:tcW w:w="1133" w:type="dxa"/>
            <w:tcBorders>
              <w:top w:val="single" w:color="auto" w:sz="4" w:space="0"/>
              <w:left w:val="single" w:color="auto" w:sz="4" w:space="0"/>
              <w:bottom w:val="single" w:color="auto" w:sz="4" w:space="0"/>
              <w:right w:val="single" w:color="auto" w:sz="4" w:space="0"/>
            </w:tcBorders>
          </w:tcPr>
          <w:p w14:paraId="634AB914">
            <w:pPr>
              <w:widowControl/>
              <w:rPr>
                <w:rFonts w:ascii="宋体" w:hAnsi="宋体" w:cs="宋体"/>
                <w:highlight w:val="none"/>
              </w:rPr>
            </w:pPr>
          </w:p>
        </w:tc>
        <w:tc>
          <w:tcPr>
            <w:tcW w:w="1274" w:type="dxa"/>
            <w:tcBorders>
              <w:top w:val="single" w:color="auto" w:sz="4" w:space="0"/>
              <w:left w:val="single" w:color="auto" w:sz="4" w:space="0"/>
              <w:bottom w:val="single" w:color="auto" w:sz="4" w:space="0"/>
              <w:right w:val="single" w:color="auto" w:sz="4" w:space="0"/>
            </w:tcBorders>
          </w:tcPr>
          <w:p w14:paraId="0A0328C1">
            <w:pPr>
              <w:widowControl/>
              <w:rPr>
                <w:rFonts w:ascii="宋体" w:hAnsi="宋体" w:cs="宋体"/>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C77E910">
            <w:pPr>
              <w:widowControl/>
              <w:jc w:val="center"/>
              <w:rPr>
                <w:rFonts w:ascii="宋体" w:hAnsi="宋体" w:cs="宋体"/>
                <w:highlight w:val="none"/>
              </w:rPr>
            </w:pPr>
          </w:p>
        </w:tc>
        <w:tc>
          <w:tcPr>
            <w:tcW w:w="992" w:type="dxa"/>
            <w:tcBorders>
              <w:top w:val="single" w:color="auto" w:sz="4" w:space="0"/>
              <w:left w:val="single" w:color="auto" w:sz="4" w:space="0"/>
              <w:bottom w:val="single" w:color="auto" w:sz="4" w:space="0"/>
              <w:right w:val="single" w:color="auto" w:sz="4" w:space="0"/>
            </w:tcBorders>
          </w:tcPr>
          <w:p w14:paraId="24F704E2">
            <w:pPr>
              <w:widowControl/>
              <w:rPr>
                <w:rFonts w:ascii="宋体" w:hAnsi="宋体" w:cs="宋体"/>
                <w:highlight w:val="none"/>
              </w:rPr>
            </w:pPr>
          </w:p>
        </w:tc>
        <w:tc>
          <w:tcPr>
            <w:tcW w:w="1275" w:type="dxa"/>
            <w:tcBorders>
              <w:top w:val="single" w:color="auto" w:sz="4" w:space="0"/>
              <w:left w:val="single" w:color="auto" w:sz="4" w:space="0"/>
              <w:bottom w:val="single" w:color="auto" w:sz="4" w:space="0"/>
              <w:right w:val="single" w:color="auto" w:sz="4" w:space="0"/>
            </w:tcBorders>
          </w:tcPr>
          <w:p w14:paraId="31385146">
            <w:pPr>
              <w:widowControl/>
              <w:rPr>
                <w:rFonts w:ascii="宋体" w:hAnsi="宋体" w:cs="宋体"/>
                <w:highlight w:val="none"/>
              </w:rPr>
            </w:pPr>
          </w:p>
        </w:tc>
        <w:tc>
          <w:tcPr>
            <w:tcW w:w="1275" w:type="dxa"/>
            <w:tcBorders>
              <w:top w:val="single" w:color="auto" w:sz="4" w:space="0"/>
              <w:left w:val="single" w:color="auto" w:sz="4" w:space="0"/>
              <w:bottom w:val="single" w:color="auto" w:sz="4" w:space="0"/>
              <w:right w:val="single" w:color="auto" w:sz="4" w:space="0"/>
            </w:tcBorders>
          </w:tcPr>
          <w:p w14:paraId="2B42E98A">
            <w:pPr>
              <w:widowControl/>
              <w:rPr>
                <w:rFonts w:ascii="宋体" w:hAnsi="宋体" w:cs="宋体"/>
                <w:highlight w:val="none"/>
              </w:rPr>
            </w:pPr>
          </w:p>
        </w:tc>
        <w:tc>
          <w:tcPr>
            <w:tcW w:w="709" w:type="dxa"/>
            <w:tcBorders>
              <w:top w:val="single" w:color="auto" w:sz="4" w:space="0"/>
              <w:left w:val="single" w:color="auto" w:sz="4" w:space="0"/>
              <w:bottom w:val="single" w:color="auto" w:sz="4" w:space="0"/>
              <w:right w:val="single" w:color="auto" w:sz="4" w:space="0"/>
            </w:tcBorders>
          </w:tcPr>
          <w:p w14:paraId="59B1C40C">
            <w:pPr>
              <w:widowControl/>
              <w:rPr>
                <w:rFonts w:ascii="宋体" w:hAnsi="宋体" w:cs="宋体"/>
                <w:highlight w:val="none"/>
              </w:rPr>
            </w:pPr>
          </w:p>
        </w:tc>
      </w:tr>
      <w:tr w14:paraId="51F5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671" w:type="dxa"/>
            <w:tcBorders>
              <w:top w:val="single" w:color="auto" w:sz="4" w:space="0"/>
              <w:left w:val="single" w:color="auto" w:sz="4" w:space="0"/>
              <w:bottom w:val="single" w:color="auto" w:sz="4" w:space="0"/>
              <w:right w:val="single" w:color="auto" w:sz="4" w:space="0"/>
            </w:tcBorders>
            <w:vAlign w:val="center"/>
          </w:tcPr>
          <w:p w14:paraId="7101B949">
            <w:pPr>
              <w:widowControl/>
              <w:jc w:val="center"/>
              <w:rPr>
                <w:rFonts w:ascii="宋体" w:hAnsi="宋体" w:cs="宋体"/>
                <w:highlight w:val="none"/>
              </w:rPr>
            </w:pPr>
          </w:p>
        </w:tc>
        <w:tc>
          <w:tcPr>
            <w:tcW w:w="2351" w:type="dxa"/>
            <w:tcBorders>
              <w:top w:val="single" w:color="auto" w:sz="4" w:space="0"/>
              <w:left w:val="single" w:color="auto" w:sz="4" w:space="0"/>
              <w:bottom w:val="single" w:color="auto" w:sz="4" w:space="0"/>
              <w:right w:val="single" w:color="auto" w:sz="4" w:space="0"/>
            </w:tcBorders>
          </w:tcPr>
          <w:p w14:paraId="779637AD">
            <w:pPr>
              <w:jc w:val="center"/>
              <w:rPr>
                <w:rFonts w:ascii="宋体" w:hAnsi="宋体" w:cs="宋体"/>
                <w:highlight w:val="none"/>
              </w:rPr>
            </w:pPr>
          </w:p>
        </w:tc>
        <w:tc>
          <w:tcPr>
            <w:tcW w:w="1021" w:type="dxa"/>
            <w:tcBorders>
              <w:top w:val="single" w:color="auto" w:sz="4" w:space="0"/>
              <w:left w:val="single" w:color="auto" w:sz="4" w:space="0"/>
              <w:bottom w:val="single" w:color="auto" w:sz="4" w:space="0"/>
              <w:right w:val="single" w:color="auto" w:sz="4" w:space="0"/>
            </w:tcBorders>
          </w:tcPr>
          <w:p w14:paraId="3E7659C1">
            <w:pPr>
              <w:widowControl/>
              <w:rPr>
                <w:rFonts w:ascii="宋体" w:hAnsi="宋体" w:cs="宋体"/>
                <w:highlight w:val="none"/>
              </w:rPr>
            </w:pPr>
          </w:p>
        </w:tc>
        <w:tc>
          <w:tcPr>
            <w:tcW w:w="2645" w:type="dxa"/>
            <w:tcBorders>
              <w:top w:val="single" w:color="auto" w:sz="4" w:space="0"/>
              <w:left w:val="single" w:color="auto" w:sz="4" w:space="0"/>
              <w:bottom w:val="single" w:color="auto" w:sz="4" w:space="0"/>
              <w:right w:val="single" w:color="auto" w:sz="4" w:space="0"/>
            </w:tcBorders>
          </w:tcPr>
          <w:p w14:paraId="2A528A9B">
            <w:pPr>
              <w:widowControl/>
              <w:rPr>
                <w:rFonts w:ascii="宋体" w:hAnsi="宋体" w:cs="宋体"/>
                <w:highlight w:val="none"/>
              </w:rPr>
            </w:pPr>
          </w:p>
        </w:tc>
        <w:tc>
          <w:tcPr>
            <w:tcW w:w="1133" w:type="dxa"/>
            <w:tcBorders>
              <w:top w:val="single" w:color="auto" w:sz="4" w:space="0"/>
              <w:left w:val="single" w:color="auto" w:sz="4" w:space="0"/>
              <w:bottom w:val="single" w:color="auto" w:sz="4" w:space="0"/>
              <w:right w:val="single" w:color="auto" w:sz="4" w:space="0"/>
            </w:tcBorders>
          </w:tcPr>
          <w:p w14:paraId="3FB24397">
            <w:pPr>
              <w:widowControl/>
              <w:rPr>
                <w:rFonts w:ascii="宋体" w:hAnsi="宋体" w:cs="宋体"/>
                <w:highlight w:val="none"/>
              </w:rPr>
            </w:pPr>
          </w:p>
        </w:tc>
        <w:tc>
          <w:tcPr>
            <w:tcW w:w="1274" w:type="dxa"/>
            <w:tcBorders>
              <w:top w:val="single" w:color="auto" w:sz="4" w:space="0"/>
              <w:left w:val="single" w:color="auto" w:sz="4" w:space="0"/>
              <w:bottom w:val="single" w:color="auto" w:sz="4" w:space="0"/>
              <w:right w:val="single" w:color="auto" w:sz="4" w:space="0"/>
            </w:tcBorders>
          </w:tcPr>
          <w:p w14:paraId="0AF4717A">
            <w:pPr>
              <w:widowControl/>
              <w:rPr>
                <w:rFonts w:ascii="宋体" w:hAnsi="宋体" w:cs="宋体"/>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90809BB">
            <w:pPr>
              <w:widowControl/>
              <w:jc w:val="center"/>
              <w:rPr>
                <w:rFonts w:ascii="宋体" w:hAnsi="宋体" w:cs="宋体"/>
                <w:highlight w:val="none"/>
              </w:rPr>
            </w:pPr>
          </w:p>
        </w:tc>
        <w:tc>
          <w:tcPr>
            <w:tcW w:w="992" w:type="dxa"/>
            <w:tcBorders>
              <w:top w:val="single" w:color="auto" w:sz="4" w:space="0"/>
              <w:left w:val="single" w:color="auto" w:sz="4" w:space="0"/>
              <w:bottom w:val="single" w:color="auto" w:sz="4" w:space="0"/>
              <w:right w:val="single" w:color="auto" w:sz="4" w:space="0"/>
            </w:tcBorders>
          </w:tcPr>
          <w:p w14:paraId="6C9BF78E">
            <w:pPr>
              <w:widowControl/>
              <w:rPr>
                <w:rFonts w:ascii="宋体" w:hAnsi="宋体" w:cs="宋体"/>
                <w:highlight w:val="none"/>
              </w:rPr>
            </w:pPr>
          </w:p>
        </w:tc>
        <w:tc>
          <w:tcPr>
            <w:tcW w:w="1275" w:type="dxa"/>
            <w:tcBorders>
              <w:top w:val="single" w:color="auto" w:sz="4" w:space="0"/>
              <w:left w:val="single" w:color="auto" w:sz="4" w:space="0"/>
              <w:bottom w:val="single" w:color="auto" w:sz="4" w:space="0"/>
              <w:right w:val="single" w:color="auto" w:sz="4" w:space="0"/>
            </w:tcBorders>
          </w:tcPr>
          <w:p w14:paraId="32F4A260">
            <w:pPr>
              <w:widowControl/>
              <w:rPr>
                <w:rFonts w:ascii="宋体" w:hAnsi="宋体" w:cs="宋体"/>
                <w:highlight w:val="none"/>
              </w:rPr>
            </w:pPr>
          </w:p>
        </w:tc>
        <w:tc>
          <w:tcPr>
            <w:tcW w:w="1275" w:type="dxa"/>
            <w:tcBorders>
              <w:top w:val="single" w:color="auto" w:sz="4" w:space="0"/>
              <w:left w:val="single" w:color="auto" w:sz="4" w:space="0"/>
              <w:bottom w:val="single" w:color="auto" w:sz="4" w:space="0"/>
              <w:right w:val="single" w:color="auto" w:sz="4" w:space="0"/>
            </w:tcBorders>
          </w:tcPr>
          <w:p w14:paraId="42426718">
            <w:pPr>
              <w:widowControl/>
              <w:rPr>
                <w:rFonts w:ascii="宋体" w:hAnsi="宋体" w:cs="宋体"/>
                <w:highlight w:val="none"/>
              </w:rPr>
            </w:pPr>
          </w:p>
        </w:tc>
        <w:tc>
          <w:tcPr>
            <w:tcW w:w="709" w:type="dxa"/>
            <w:tcBorders>
              <w:top w:val="single" w:color="auto" w:sz="4" w:space="0"/>
              <w:left w:val="single" w:color="auto" w:sz="4" w:space="0"/>
              <w:bottom w:val="single" w:color="auto" w:sz="4" w:space="0"/>
              <w:right w:val="single" w:color="auto" w:sz="4" w:space="0"/>
            </w:tcBorders>
          </w:tcPr>
          <w:p w14:paraId="5E9B26B8">
            <w:pPr>
              <w:widowControl/>
              <w:rPr>
                <w:rFonts w:ascii="宋体" w:hAnsi="宋体" w:cs="宋体"/>
                <w:highlight w:val="none"/>
              </w:rPr>
            </w:pPr>
          </w:p>
        </w:tc>
      </w:tr>
      <w:tr w14:paraId="7B03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671" w:type="dxa"/>
            <w:tcBorders>
              <w:top w:val="single" w:color="auto" w:sz="4" w:space="0"/>
              <w:left w:val="single" w:color="auto" w:sz="4" w:space="0"/>
              <w:bottom w:val="single" w:color="auto" w:sz="4" w:space="0"/>
              <w:right w:val="single" w:color="auto" w:sz="4" w:space="0"/>
            </w:tcBorders>
            <w:vAlign w:val="center"/>
          </w:tcPr>
          <w:p w14:paraId="786F6876">
            <w:pPr>
              <w:widowControl/>
              <w:jc w:val="center"/>
              <w:rPr>
                <w:rFonts w:ascii="宋体" w:hAnsi="宋体" w:cs="宋体"/>
                <w:highlight w:val="none"/>
              </w:rPr>
            </w:pPr>
          </w:p>
        </w:tc>
        <w:tc>
          <w:tcPr>
            <w:tcW w:w="2351" w:type="dxa"/>
            <w:tcBorders>
              <w:top w:val="single" w:color="auto" w:sz="4" w:space="0"/>
              <w:left w:val="single" w:color="auto" w:sz="4" w:space="0"/>
              <w:bottom w:val="single" w:color="auto" w:sz="4" w:space="0"/>
              <w:right w:val="single" w:color="auto" w:sz="4" w:space="0"/>
            </w:tcBorders>
          </w:tcPr>
          <w:p w14:paraId="0A362190">
            <w:pPr>
              <w:jc w:val="center"/>
              <w:rPr>
                <w:rFonts w:ascii="宋体" w:hAnsi="宋体" w:cs="宋体"/>
                <w:highlight w:val="none"/>
              </w:rPr>
            </w:pPr>
          </w:p>
        </w:tc>
        <w:tc>
          <w:tcPr>
            <w:tcW w:w="1021" w:type="dxa"/>
            <w:tcBorders>
              <w:top w:val="single" w:color="auto" w:sz="4" w:space="0"/>
              <w:left w:val="single" w:color="auto" w:sz="4" w:space="0"/>
              <w:bottom w:val="single" w:color="auto" w:sz="4" w:space="0"/>
              <w:right w:val="single" w:color="auto" w:sz="4" w:space="0"/>
            </w:tcBorders>
          </w:tcPr>
          <w:p w14:paraId="4A0E6D5A">
            <w:pPr>
              <w:widowControl/>
              <w:rPr>
                <w:rFonts w:ascii="宋体" w:hAnsi="宋体" w:cs="宋体"/>
                <w:highlight w:val="none"/>
              </w:rPr>
            </w:pPr>
          </w:p>
        </w:tc>
        <w:tc>
          <w:tcPr>
            <w:tcW w:w="2645" w:type="dxa"/>
            <w:tcBorders>
              <w:top w:val="single" w:color="auto" w:sz="4" w:space="0"/>
              <w:left w:val="single" w:color="auto" w:sz="4" w:space="0"/>
              <w:bottom w:val="single" w:color="auto" w:sz="4" w:space="0"/>
              <w:right w:val="single" w:color="auto" w:sz="4" w:space="0"/>
            </w:tcBorders>
          </w:tcPr>
          <w:p w14:paraId="1F70C7FC">
            <w:pPr>
              <w:widowControl/>
              <w:rPr>
                <w:rFonts w:ascii="宋体" w:hAnsi="宋体" w:cs="宋体"/>
                <w:highlight w:val="none"/>
              </w:rPr>
            </w:pPr>
          </w:p>
        </w:tc>
        <w:tc>
          <w:tcPr>
            <w:tcW w:w="1133" w:type="dxa"/>
            <w:tcBorders>
              <w:top w:val="single" w:color="auto" w:sz="4" w:space="0"/>
              <w:left w:val="single" w:color="auto" w:sz="4" w:space="0"/>
              <w:bottom w:val="single" w:color="auto" w:sz="4" w:space="0"/>
              <w:right w:val="single" w:color="auto" w:sz="4" w:space="0"/>
            </w:tcBorders>
          </w:tcPr>
          <w:p w14:paraId="17F6E38C">
            <w:pPr>
              <w:widowControl/>
              <w:rPr>
                <w:rFonts w:ascii="宋体" w:hAnsi="宋体" w:cs="宋体"/>
                <w:highlight w:val="none"/>
              </w:rPr>
            </w:pPr>
          </w:p>
        </w:tc>
        <w:tc>
          <w:tcPr>
            <w:tcW w:w="1274" w:type="dxa"/>
            <w:tcBorders>
              <w:top w:val="single" w:color="auto" w:sz="4" w:space="0"/>
              <w:left w:val="single" w:color="auto" w:sz="4" w:space="0"/>
              <w:bottom w:val="single" w:color="auto" w:sz="4" w:space="0"/>
              <w:right w:val="single" w:color="auto" w:sz="4" w:space="0"/>
            </w:tcBorders>
          </w:tcPr>
          <w:p w14:paraId="27642AD1">
            <w:pPr>
              <w:widowControl/>
              <w:rPr>
                <w:rFonts w:ascii="宋体" w:hAnsi="宋体" w:cs="宋体"/>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6FB35C7">
            <w:pPr>
              <w:widowControl/>
              <w:jc w:val="center"/>
              <w:rPr>
                <w:rFonts w:ascii="宋体" w:hAnsi="宋体" w:cs="宋体"/>
                <w:highlight w:val="none"/>
              </w:rPr>
            </w:pPr>
          </w:p>
        </w:tc>
        <w:tc>
          <w:tcPr>
            <w:tcW w:w="992" w:type="dxa"/>
            <w:tcBorders>
              <w:top w:val="single" w:color="auto" w:sz="4" w:space="0"/>
              <w:left w:val="single" w:color="auto" w:sz="4" w:space="0"/>
              <w:bottom w:val="single" w:color="auto" w:sz="4" w:space="0"/>
              <w:right w:val="single" w:color="auto" w:sz="4" w:space="0"/>
            </w:tcBorders>
          </w:tcPr>
          <w:p w14:paraId="7DECA4EF">
            <w:pPr>
              <w:widowControl/>
              <w:rPr>
                <w:rFonts w:ascii="宋体" w:hAnsi="宋体" w:cs="宋体"/>
                <w:highlight w:val="none"/>
              </w:rPr>
            </w:pPr>
          </w:p>
        </w:tc>
        <w:tc>
          <w:tcPr>
            <w:tcW w:w="1275" w:type="dxa"/>
            <w:tcBorders>
              <w:top w:val="single" w:color="auto" w:sz="4" w:space="0"/>
              <w:left w:val="single" w:color="auto" w:sz="4" w:space="0"/>
              <w:bottom w:val="single" w:color="auto" w:sz="4" w:space="0"/>
              <w:right w:val="single" w:color="auto" w:sz="4" w:space="0"/>
            </w:tcBorders>
          </w:tcPr>
          <w:p w14:paraId="41168F43">
            <w:pPr>
              <w:widowControl/>
              <w:rPr>
                <w:rFonts w:ascii="宋体" w:hAnsi="宋体" w:cs="宋体"/>
                <w:highlight w:val="none"/>
              </w:rPr>
            </w:pPr>
          </w:p>
        </w:tc>
        <w:tc>
          <w:tcPr>
            <w:tcW w:w="1275" w:type="dxa"/>
            <w:tcBorders>
              <w:top w:val="single" w:color="auto" w:sz="4" w:space="0"/>
              <w:left w:val="single" w:color="auto" w:sz="4" w:space="0"/>
              <w:bottom w:val="single" w:color="auto" w:sz="4" w:space="0"/>
              <w:right w:val="single" w:color="auto" w:sz="4" w:space="0"/>
            </w:tcBorders>
          </w:tcPr>
          <w:p w14:paraId="13992F0A">
            <w:pPr>
              <w:widowControl/>
              <w:rPr>
                <w:rFonts w:ascii="宋体" w:hAnsi="宋体" w:cs="宋体"/>
                <w:highlight w:val="none"/>
              </w:rPr>
            </w:pPr>
          </w:p>
        </w:tc>
        <w:tc>
          <w:tcPr>
            <w:tcW w:w="709" w:type="dxa"/>
            <w:tcBorders>
              <w:top w:val="single" w:color="auto" w:sz="4" w:space="0"/>
              <w:left w:val="single" w:color="auto" w:sz="4" w:space="0"/>
              <w:bottom w:val="single" w:color="auto" w:sz="4" w:space="0"/>
              <w:right w:val="single" w:color="auto" w:sz="4" w:space="0"/>
            </w:tcBorders>
          </w:tcPr>
          <w:p w14:paraId="70919C11">
            <w:pPr>
              <w:widowControl/>
              <w:rPr>
                <w:rFonts w:ascii="宋体" w:hAnsi="宋体" w:cs="宋体"/>
                <w:highlight w:val="none"/>
              </w:rPr>
            </w:pPr>
          </w:p>
        </w:tc>
      </w:tr>
      <w:tr w14:paraId="0BC6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671" w:type="dxa"/>
            <w:tcBorders>
              <w:top w:val="single" w:color="auto" w:sz="4" w:space="0"/>
              <w:left w:val="single" w:color="auto" w:sz="4" w:space="0"/>
              <w:bottom w:val="single" w:color="auto" w:sz="4" w:space="0"/>
              <w:right w:val="single" w:color="auto" w:sz="4" w:space="0"/>
            </w:tcBorders>
            <w:vAlign w:val="center"/>
          </w:tcPr>
          <w:p w14:paraId="02D7B810">
            <w:pPr>
              <w:widowControl/>
              <w:jc w:val="center"/>
              <w:rPr>
                <w:rFonts w:ascii="宋体" w:hAnsi="宋体" w:cs="宋体"/>
                <w:highlight w:val="none"/>
              </w:rPr>
            </w:pPr>
          </w:p>
        </w:tc>
        <w:tc>
          <w:tcPr>
            <w:tcW w:w="2351" w:type="dxa"/>
            <w:tcBorders>
              <w:top w:val="single" w:color="auto" w:sz="4" w:space="0"/>
              <w:left w:val="single" w:color="auto" w:sz="4" w:space="0"/>
              <w:bottom w:val="single" w:color="auto" w:sz="4" w:space="0"/>
              <w:right w:val="single" w:color="auto" w:sz="4" w:space="0"/>
            </w:tcBorders>
          </w:tcPr>
          <w:p w14:paraId="523C44A5">
            <w:pPr>
              <w:jc w:val="center"/>
              <w:rPr>
                <w:rFonts w:ascii="宋体" w:hAnsi="宋体" w:cs="宋体"/>
                <w:highlight w:val="none"/>
              </w:rPr>
            </w:pPr>
          </w:p>
        </w:tc>
        <w:tc>
          <w:tcPr>
            <w:tcW w:w="1021" w:type="dxa"/>
            <w:tcBorders>
              <w:top w:val="single" w:color="auto" w:sz="4" w:space="0"/>
              <w:left w:val="single" w:color="auto" w:sz="4" w:space="0"/>
              <w:bottom w:val="single" w:color="auto" w:sz="4" w:space="0"/>
              <w:right w:val="single" w:color="auto" w:sz="4" w:space="0"/>
            </w:tcBorders>
          </w:tcPr>
          <w:p w14:paraId="3C27A5C9">
            <w:pPr>
              <w:widowControl/>
              <w:rPr>
                <w:rFonts w:ascii="宋体" w:hAnsi="宋体" w:cs="宋体"/>
                <w:highlight w:val="none"/>
              </w:rPr>
            </w:pPr>
          </w:p>
        </w:tc>
        <w:tc>
          <w:tcPr>
            <w:tcW w:w="2645" w:type="dxa"/>
            <w:tcBorders>
              <w:top w:val="single" w:color="auto" w:sz="4" w:space="0"/>
              <w:left w:val="single" w:color="auto" w:sz="4" w:space="0"/>
              <w:bottom w:val="single" w:color="auto" w:sz="4" w:space="0"/>
              <w:right w:val="single" w:color="auto" w:sz="4" w:space="0"/>
            </w:tcBorders>
          </w:tcPr>
          <w:p w14:paraId="415F433F">
            <w:pPr>
              <w:widowControl/>
              <w:rPr>
                <w:rFonts w:ascii="宋体" w:hAnsi="宋体" w:cs="宋体"/>
                <w:highlight w:val="none"/>
              </w:rPr>
            </w:pPr>
          </w:p>
        </w:tc>
        <w:tc>
          <w:tcPr>
            <w:tcW w:w="1133" w:type="dxa"/>
            <w:tcBorders>
              <w:top w:val="single" w:color="auto" w:sz="4" w:space="0"/>
              <w:left w:val="single" w:color="auto" w:sz="4" w:space="0"/>
              <w:bottom w:val="single" w:color="auto" w:sz="4" w:space="0"/>
              <w:right w:val="single" w:color="auto" w:sz="4" w:space="0"/>
            </w:tcBorders>
          </w:tcPr>
          <w:p w14:paraId="33124EC2">
            <w:pPr>
              <w:widowControl/>
              <w:rPr>
                <w:rFonts w:ascii="宋体" w:hAnsi="宋体" w:cs="宋体"/>
                <w:highlight w:val="none"/>
              </w:rPr>
            </w:pPr>
          </w:p>
        </w:tc>
        <w:tc>
          <w:tcPr>
            <w:tcW w:w="1274" w:type="dxa"/>
            <w:tcBorders>
              <w:top w:val="single" w:color="auto" w:sz="4" w:space="0"/>
              <w:left w:val="single" w:color="auto" w:sz="4" w:space="0"/>
              <w:bottom w:val="single" w:color="auto" w:sz="4" w:space="0"/>
              <w:right w:val="single" w:color="auto" w:sz="4" w:space="0"/>
            </w:tcBorders>
          </w:tcPr>
          <w:p w14:paraId="5F8B1EB2">
            <w:pPr>
              <w:widowControl/>
              <w:rPr>
                <w:rFonts w:ascii="宋体" w:hAnsi="宋体" w:cs="宋体"/>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E59CDD5">
            <w:pPr>
              <w:widowControl/>
              <w:jc w:val="center"/>
              <w:rPr>
                <w:rFonts w:ascii="宋体" w:hAnsi="宋体" w:cs="宋体"/>
                <w:highlight w:val="none"/>
              </w:rPr>
            </w:pPr>
          </w:p>
        </w:tc>
        <w:tc>
          <w:tcPr>
            <w:tcW w:w="992" w:type="dxa"/>
            <w:tcBorders>
              <w:top w:val="single" w:color="auto" w:sz="4" w:space="0"/>
              <w:left w:val="single" w:color="auto" w:sz="4" w:space="0"/>
              <w:bottom w:val="single" w:color="auto" w:sz="4" w:space="0"/>
              <w:right w:val="single" w:color="auto" w:sz="4" w:space="0"/>
            </w:tcBorders>
          </w:tcPr>
          <w:p w14:paraId="29C9B187">
            <w:pPr>
              <w:widowControl/>
              <w:rPr>
                <w:rFonts w:ascii="宋体" w:hAnsi="宋体" w:cs="宋体"/>
                <w:highlight w:val="none"/>
              </w:rPr>
            </w:pPr>
          </w:p>
        </w:tc>
        <w:tc>
          <w:tcPr>
            <w:tcW w:w="1275" w:type="dxa"/>
            <w:tcBorders>
              <w:top w:val="single" w:color="auto" w:sz="4" w:space="0"/>
              <w:left w:val="single" w:color="auto" w:sz="4" w:space="0"/>
              <w:bottom w:val="single" w:color="auto" w:sz="4" w:space="0"/>
              <w:right w:val="single" w:color="auto" w:sz="4" w:space="0"/>
            </w:tcBorders>
          </w:tcPr>
          <w:p w14:paraId="71C84AAD">
            <w:pPr>
              <w:widowControl/>
              <w:rPr>
                <w:rFonts w:ascii="宋体" w:hAnsi="宋体" w:cs="宋体"/>
                <w:highlight w:val="none"/>
              </w:rPr>
            </w:pPr>
          </w:p>
        </w:tc>
        <w:tc>
          <w:tcPr>
            <w:tcW w:w="1275" w:type="dxa"/>
            <w:tcBorders>
              <w:top w:val="single" w:color="auto" w:sz="4" w:space="0"/>
              <w:left w:val="single" w:color="auto" w:sz="4" w:space="0"/>
              <w:bottom w:val="single" w:color="auto" w:sz="4" w:space="0"/>
              <w:right w:val="single" w:color="auto" w:sz="4" w:space="0"/>
            </w:tcBorders>
          </w:tcPr>
          <w:p w14:paraId="2DD357BB">
            <w:pPr>
              <w:widowControl/>
              <w:rPr>
                <w:rFonts w:ascii="宋体" w:hAnsi="宋体" w:cs="宋体"/>
                <w:highlight w:val="none"/>
              </w:rPr>
            </w:pPr>
          </w:p>
        </w:tc>
        <w:tc>
          <w:tcPr>
            <w:tcW w:w="709" w:type="dxa"/>
            <w:tcBorders>
              <w:top w:val="single" w:color="auto" w:sz="4" w:space="0"/>
              <w:left w:val="single" w:color="auto" w:sz="4" w:space="0"/>
              <w:bottom w:val="single" w:color="auto" w:sz="4" w:space="0"/>
              <w:right w:val="single" w:color="auto" w:sz="4" w:space="0"/>
            </w:tcBorders>
          </w:tcPr>
          <w:p w14:paraId="41A75A03">
            <w:pPr>
              <w:widowControl/>
              <w:rPr>
                <w:rFonts w:ascii="宋体" w:hAnsi="宋体" w:cs="宋体"/>
                <w:highlight w:val="none"/>
              </w:rPr>
            </w:pPr>
          </w:p>
        </w:tc>
      </w:tr>
      <w:tr w14:paraId="1FB3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14055" w:type="dxa"/>
            <w:gridSpan w:val="11"/>
            <w:tcBorders>
              <w:top w:val="single" w:color="auto" w:sz="4" w:space="0"/>
              <w:left w:val="single" w:color="auto" w:sz="4" w:space="0"/>
              <w:bottom w:val="single" w:color="auto" w:sz="4" w:space="0"/>
              <w:right w:val="single" w:color="auto" w:sz="4" w:space="0"/>
            </w:tcBorders>
          </w:tcPr>
          <w:p w14:paraId="7D9AF562">
            <w:pPr>
              <w:widowControl/>
              <w:rPr>
                <w:rFonts w:ascii="宋体" w:hAnsi="宋体" w:cs="宋体"/>
                <w:b/>
                <w:highlight w:val="none"/>
              </w:rPr>
            </w:pPr>
            <w:bookmarkStart w:id="325" w:name="_Hlk94367256"/>
            <w:r>
              <w:rPr>
                <w:rFonts w:hint="eastAsia" w:ascii="宋体" w:hAnsi="宋体" w:cs="宋体"/>
                <w:b/>
                <w:highlight w:val="none"/>
              </w:rPr>
              <w:t>合计（元）：</w:t>
            </w:r>
            <w:bookmarkEnd w:id="325"/>
          </w:p>
        </w:tc>
      </w:tr>
      <w:bookmarkEnd w:id="324"/>
    </w:tbl>
    <w:p w14:paraId="181A42F4">
      <w:pPr>
        <w:rPr>
          <w:rFonts w:ascii="宋体" w:hAnsi="宋体" w:cs="宋体"/>
          <w:sz w:val="24"/>
          <w:szCs w:val="20"/>
          <w:highlight w:val="none"/>
        </w:rPr>
      </w:pPr>
      <w:r>
        <w:rPr>
          <w:rFonts w:hint="eastAsia" w:ascii="宋体" w:hAnsi="宋体" w:cs="宋体"/>
          <w:b/>
          <w:sz w:val="24"/>
          <w:szCs w:val="24"/>
          <w:highlight w:val="none"/>
        </w:rPr>
        <w:t>注：</w:t>
      </w:r>
      <w:r>
        <w:rPr>
          <w:rFonts w:hint="eastAsia" w:ascii="宋体" w:hAnsi="宋体" w:cs="宋体"/>
          <w:sz w:val="24"/>
          <w:szCs w:val="20"/>
          <w:highlight w:val="none"/>
        </w:rPr>
        <w:t xml:space="preserve"> </w:t>
      </w:r>
    </w:p>
    <w:p w14:paraId="3931D7AF">
      <w:pPr>
        <w:rPr>
          <w:rFonts w:ascii="宋体" w:hAnsi="宋体" w:cs="宋体"/>
          <w:b/>
          <w:sz w:val="24"/>
          <w:szCs w:val="20"/>
          <w:highlight w:val="none"/>
        </w:rPr>
      </w:pPr>
      <w:r>
        <w:rPr>
          <w:rFonts w:hint="eastAsia" w:ascii="宋体" w:hAnsi="宋体" w:cs="宋体"/>
          <w:b/>
          <w:sz w:val="24"/>
          <w:szCs w:val="20"/>
          <w:highlight w:val="none"/>
        </w:rPr>
        <w:t>（1）本表中的“合计（元）”应与“开标一览表”中投标报价一致。</w:t>
      </w:r>
    </w:p>
    <w:p w14:paraId="29CDD450">
      <w:pPr>
        <w:jc w:val="left"/>
        <w:rPr>
          <w:rFonts w:ascii="宋体" w:hAnsi="宋体" w:cs="宋体"/>
          <w:b/>
          <w:bCs/>
          <w:sz w:val="24"/>
          <w:szCs w:val="24"/>
          <w:highlight w:val="none"/>
        </w:rPr>
      </w:pPr>
      <w:r>
        <w:rPr>
          <w:rFonts w:hint="eastAsia" w:ascii="宋体" w:hAnsi="宋体" w:cs="宋体"/>
          <w:b/>
          <w:bCs/>
          <w:sz w:val="24"/>
          <w:szCs w:val="24"/>
          <w:highlight w:val="none"/>
        </w:rPr>
        <w:t>（2）若本项目采购清单中如有政府强制采购节能产品的，投标人须按投标须知前附表规定提供相关材料，并在备注栏标注“强制采购”字样。</w:t>
      </w:r>
    </w:p>
    <w:p w14:paraId="4F8D3AC8">
      <w:pPr>
        <w:jc w:val="left"/>
        <w:rPr>
          <w:rFonts w:ascii="宋体" w:hAnsi="宋体" w:cs="宋体"/>
          <w:b/>
          <w:bCs/>
          <w:sz w:val="24"/>
          <w:szCs w:val="24"/>
          <w:highlight w:val="none"/>
        </w:rPr>
      </w:pPr>
      <w:r>
        <w:rPr>
          <w:rFonts w:hint="eastAsia" w:ascii="宋体" w:hAnsi="宋体" w:cs="宋体"/>
          <w:b/>
          <w:bCs/>
          <w:sz w:val="24"/>
          <w:szCs w:val="24"/>
          <w:highlight w:val="none"/>
        </w:rPr>
        <w:t>（3）若所投产品为经国家认定的节能产品或环境标志产品，投标人须按投标须知前附表规定提供相关材料，并在备注栏标注“优先采购”字样，并提供证明材料。</w:t>
      </w:r>
    </w:p>
    <w:p w14:paraId="133725F5">
      <w:pPr>
        <w:rPr>
          <w:rFonts w:ascii="宋体" w:hAnsi="宋体" w:cs="宋体"/>
          <w:b/>
          <w:bCs/>
          <w:sz w:val="24"/>
          <w:szCs w:val="24"/>
          <w:highlight w:val="none"/>
        </w:rPr>
      </w:pPr>
      <w:r>
        <w:rPr>
          <w:rFonts w:hint="eastAsia" w:ascii="宋体" w:hAnsi="宋体" w:cs="宋体"/>
          <w:b/>
          <w:bCs/>
          <w:sz w:val="24"/>
          <w:szCs w:val="24"/>
          <w:highlight w:val="none"/>
        </w:rPr>
        <w:t>（4）本表可扩展。</w:t>
      </w:r>
    </w:p>
    <w:p w14:paraId="32AC4F1C">
      <w:pPr>
        <w:spacing w:before="60" w:after="60" w:line="360" w:lineRule="auto"/>
        <w:ind w:firstLine="510"/>
        <w:rPr>
          <w:rFonts w:ascii="宋体" w:hAnsi="宋体" w:cs="宋体"/>
          <w:sz w:val="24"/>
          <w:highlight w:val="none"/>
        </w:rPr>
      </w:pPr>
      <w:r>
        <w:rPr>
          <w:rFonts w:hint="eastAsia" w:ascii="宋体" w:hAnsi="宋体" w:cs="宋体"/>
          <w:sz w:val="24"/>
          <w:highlight w:val="none"/>
        </w:rPr>
        <w:t>投标人全称（加盖电子公章）：</w:t>
      </w:r>
      <w:r>
        <w:rPr>
          <w:rFonts w:hint="eastAsia" w:ascii="宋体" w:hAnsi="宋体" w:cs="宋体"/>
          <w:sz w:val="24"/>
          <w:highlight w:val="none"/>
          <w:u w:val="single"/>
        </w:rPr>
        <w:t>________________________</w:t>
      </w:r>
    </w:p>
    <w:p w14:paraId="72CC907E">
      <w:pPr>
        <w:spacing w:before="60" w:after="60" w:line="360" w:lineRule="auto"/>
        <w:ind w:firstLine="510"/>
        <w:rPr>
          <w:rFonts w:ascii="宋体" w:hAnsi="宋体" w:cs="宋体"/>
          <w:sz w:val="24"/>
          <w:highlight w:val="none"/>
        </w:rPr>
      </w:pPr>
      <w:r>
        <w:rPr>
          <w:rFonts w:hint="eastAsia" w:ascii="宋体" w:hAnsi="宋体" w:cs="宋体"/>
          <w:sz w:val="24"/>
          <w:highlight w:val="none"/>
        </w:rPr>
        <w:t>法定代表人或委托代理人签字或签章：</w:t>
      </w:r>
      <w:r>
        <w:rPr>
          <w:rFonts w:hint="eastAsia" w:ascii="宋体" w:hAnsi="宋体" w:cs="宋体"/>
          <w:sz w:val="24"/>
          <w:highlight w:val="none"/>
          <w:u w:val="single"/>
        </w:rPr>
        <w:t>__________________</w:t>
      </w:r>
    </w:p>
    <w:p w14:paraId="676A48CB">
      <w:pPr>
        <w:ind w:firstLine="480" w:firstLineChars="200"/>
        <w:rPr>
          <w:rFonts w:ascii="宋体" w:hAnsi="宋体" w:cs="宋体"/>
          <w:highlight w:val="none"/>
        </w:rPr>
      </w:pPr>
      <w:r>
        <w:rPr>
          <w:rFonts w:hint="eastAsia" w:ascii="宋体" w:hAnsi="宋体" w:cs="宋体"/>
          <w:sz w:val="24"/>
          <w:highlight w:val="none"/>
        </w:rPr>
        <w:t>日期：</w:t>
      </w:r>
      <w:r>
        <w:rPr>
          <w:rFonts w:hint="eastAsia" w:ascii="宋体" w:hAnsi="宋体" w:cs="宋体"/>
          <w:sz w:val="24"/>
          <w:highlight w:val="none"/>
          <w:u w:val="single"/>
        </w:rPr>
        <w:t>_______</w:t>
      </w:r>
      <w:r>
        <w:rPr>
          <w:rFonts w:hint="eastAsia" w:ascii="宋体" w:hAnsi="宋体" w:cs="宋体"/>
          <w:sz w:val="24"/>
          <w:highlight w:val="none"/>
        </w:rPr>
        <w:t>年</w:t>
      </w:r>
      <w:r>
        <w:rPr>
          <w:rFonts w:hint="eastAsia" w:ascii="宋体" w:hAnsi="宋体" w:cs="宋体"/>
          <w:sz w:val="24"/>
          <w:highlight w:val="none"/>
          <w:u w:val="single"/>
        </w:rPr>
        <w:t>____</w:t>
      </w:r>
      <w:r>
        <w:rPr>
          <w:rFonts w:hint="eastAsia" w:ascii="宋体" w:hAnsi="宋体" w:cs="宋体"/>
          <w:sz w:val="24"/>
          <w:highlight w:val="none"/>
        </w:rPr>
        <w:t>月</w:t>
      </w:r>
      <w:r>
        <w:rPr>
          <w:rFonts w:hint="eastAsia" w:ascii="宋体" w:hAnsi="宋体" w:cs="宋体"/>
          <w:sz w:val="24"/>
          <w:highlight w:val="none"/>
          <w:u w:val="single"/>
        </w:rPr>
        <w:t xml:space="preserve">____ </w:t>
      </w:r>
      <w:r>
        <w:rPr>
          <w:rFonts w:hint="eastAsia" w:ascii="宋体" w:hAnsi="宋体" w:cs="宋体"/>
          <w:sz w:val="24"/>
          <w:highlight w:val="none"/>
        </w:rPr>
        <w:t>日</w:t>
      </w:r>
    </w:p>
    <w:p w14:paraId="10521121">
      <w:pPr>
        <w:tabs>
          <w:tab w:val="left" w:pos="557"/>
        </w:tabs>
        <w:rPr>
          <w:rFonts w:ascii="宋体" w:hAnsi="宋体" w:cs="宋体"/>
          <w:highlight w:val="none"/>
        </w:rPr>
        <w:sectPr>
          <w:pgSz w:w="16838" w:h="11906" w:orient="landscape"/>
          <w:pgMar w:top="1247" w:right="1440" w:bottom="1247" w:left="1440" w:header="851" w:footer="992" w:gutter="0"/>
          <w:pgNumType w:chapStyle="1"/>
          <w:cols w:space="720" w:num="1"/>
          <w:docGrid w:linePitch="312" w:charSpace="0"/>
        </w:sectPr>
      </w:pPr>
    </w:p>
    <w:bookmarkEnd w:id="323"/>
    <w:p w14:paraId="3F905BCE">
      <w:pPr>
        <w:widowControl/>
        <w:spacing w:before="0" w:after="0"/>
        <w:jc w:val="center"/>
        <w:outlineLvl w:val="2"/>
        <w:rPr>
          <w:rFonts w:ascii="宋体" w:hAnsi="宋体" w:cs="宋体"/>
          <w:b/>
          <w:bCs w:val="0"/>
          <w:sz w:val="24"/>
          <w:szCs w:val="24"/>
          <w:highlight w:val="none"/>
        </w:rPr>
      </w:pPr>
      <w:bookmarkStart w:id="326" w:name="_Toc447720952"/>
      <w:bookmarkStart w:id="327" w:name="_Toc13572"/>
      <w:bookmarkStart w:id="328" w:name="_Toc13728"/>
      <w:bookmarkStart w:id="329" w:name="_Toc10914"/>
      <w:bookmarkStart w:id="330" w:name="_Toc29324"/>
      <w:bookmarkStart w:id="331" w:name="_Toc18278"/>
      <w:r>
        <w:rPr>
          <w:rFonts w:hint="eastAsia" w:ascii="宋体" w:hAnsi="宋体" w:cs="宋体"/>
          <w:b/>
          <w:bCs w:val="0"/>
          <w:sz w:val="28"/>
          <w:szCs w:val="28"/>
        </w:rPr>
        <w:t>格式</w:t>
      </w:r>
      <w:bookmarkEnd w:id="326"/>
      <w:bookmarkStart w:id="332" w:name="_Toc27212"/>
      <w:bookmarkStart w:id="333" w:name="_Toc213141100"/>
      <w:bookmarkStart w:id="334" w:name="_Toc373252459"/>
      <w:bookmarkStart w:id="335" w:name="_Toc212648401"/>
      <w:r>
        <w:rPr>
          <w:rFonts w:hint="eastAsia" w:ascii="宋体" w:hAnsi="宋体" w:cs="宋体"/>
          <w:b/>
          <w:bCs w:val="0"/>
          <w:sz w:val="28"/>
          <w:szCs w:val="28"/>
          <w:lang w:val="en-US" w:eastAsia="zh-CN"/>
        </w:rPr>
        <w:t xml:space="preserve">4  </w:t>
      </w:r>
      <w:r>
        <w:rPr>
          <w:rFonts w:hint="eastAsia" w:ascii="宋体" w:hAnsi="宋体" w:cs="宋体"/>
          <w:b/>
          <w:bCs w:val="0"/>
          <w:sz w:val="24"/>
          <w:szCs w:val="24"/>
          <w:highlight w:val="none"/>
        </w:rPr>
        <w:t>承诺书</w:t>
      </w:r>
      <w:bookmarkEnd w:id="327"/>
    </w:p>
    <w:p w14:paraId="568C893E">
      <w:pPr>
        <w:jc w:val="left"/>
        <w:rPr>
          <w:rFonts w:ascii="宋体" w:hAnsi="宋体" w:cs="宋体"/>
          <w:sz w:val="24"/>
          <w:szCs w:val="32"/>
          <w:highlight w:val="none"/>
        </w:rPr>
      </w:pPr>
      <w:r>
        <w:rPr>
          <w:rFonts w:hint="eastAsia" w:ascii="宋体" w:hAnsi="宋体" w:cs="宋体"/>
          <w:sz w:val="24"/>
          <w:szCs w:val="32"/>
          <w:highlight w:val="none"/>
        </w:rPr>
        <w:t>致：</w:t>
      </w:r>
      <w:r>
        <w:rPr>
          <w:rFonts w:hint="eastAsia" w:ascii="宋体" w:hAnsi="宋体" w:cs="宋体"/>
          <w:sz w:val="24"/>
          <w:highlight w:val="none"/>
          <w:u w:val="single"/>
        </w:rPr>
        <w:t xml:space="preserve">            采购人名称</w:t>
      </w:r>
    </w:p>
    <w:p w14:paraId="3CEB6AC3">
      <w:pPr>
        <w:spacing w:before="120" w:beforeLines="50" w:line="440" w:lineRule="exact"/>
        <w:ind w:firstLine="420" w:firstLineChars="200"/>
        <w:jc w:val="left"/>
        <w:rPr>
          <w:rFonts w:ascii="宋体" w:hAnsi="宋体" w:cs="宋体"/>
          <w:b/>
          <w:bCs/>
          <w:highlight w:val="none"/>
        </w:rPr>
      </w:pPr>
      <w:r>
        <w:rPr>
          <w:rFonts w:hint="eastAsia" w:ascii="宋体" w:hAnsi="宋体" w:cs="宋体"/>
          <w:b/>
          <w:bCs/>
          <w:highlight w:val="none"/>
        </w:rPr>
        <w:t>若我公司有幸中标，我公司承诺以下事宜：</w:t>
      </w:r>
    </w:p>
    <w:p w14:paraId="6708250B">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1、我公司在接到领取中标/成交通知书的通知后，在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个工作日内到采购代理机构领取中标/成交通知书。领取中标/成交通知书后在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个工作日内洽谈合同签订事宜。</w:t>
      </w:r>
    </w:p>
    <w:p w14:paraId="673F372A">
      <w:pPr>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（1）如因我公司无正当理由放弃中标（成交）或因我公司自身原因导致项目未能在法定期限内完成合同签订或拒不签订项目合同的，采购人或采购代理机构有权取消中标（成交）资格。投标保证金不予退还。</w:t>
      </w:r>
    </w:p>
    <w:p w14:paraId="61615984">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如因我公司无正当理由放弃中标（成交）或因我公司自身原因导致项目未能在法定期限内完成合同签订或拒不签订项目合同的，采购人可根据政府采购政策按“政府采购严重失信行为”向上级财政部门报送相关情况，由此产生的一切后果由我公司自行承担。</w:t>
      </w:r>
    </w:p>
    <w:p w14:paraId="701E9AC4">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2、在合同履行过程中，我公司严格按照合同约定进行交货/完成相关服务工作并达到项目验收标准。</w:t>
      </w:r>
    </w:p>
    <w:p w14:paraId="0D8A406F">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如非采购人和不可抗力原因我公司未能按照合同约定交货（如不按时供货、供货产品与投标（响应）文件中响应产品情况不一致等）/完成相关服务工作，或交付设备/服务工作质量未能达到验收标准，使得项目资金被上级财政部门收回，由此产生的一切损失及后果均由我公司承担。</w:t>
      </w:r>
    </w:p>
    <w:p w14:paraId="72F85E17">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如非采购人和不可抗力原因我公司未能按照合同约定交货/完成相关服务工作，并严重超期造成采购人损失的，采购人可根据政府采购政策按“政府采购严重失信行为”向上级财政部门报送相关情况，由此产生的一切后果由我公司自行承担。</w:t>
      </w:r>
    </w:p>
    <w:p w14:paraId="038CB1BD">
      <w:pPr>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特此承诺！</w:t>
      </w:r>
    </w:p>
    <w:p w14:paraId="52532891">
      <w:pPr>
        <w:pStyle w:val="23"/>
        <w:rPr>
          <w:rFonts w:hAnsi="宋体"/>
          <w:color w:val="auto"/>
          <w:sz w:val="21"/>
          <w:szCs w:val="21"/>
          <w:highlight w:val="none"/>
        </w:rPr>
      </w:pPr>
    </w:p>
    <w:p w14:paraId="48A6A732">
      <w:pPr>
        <w:spacing w:before="60" w:after="60" w:line="360" w:lineRule="auto"/>
        <w:ind w:firstLine="510"/>
        <w:rPr>
          <w:rFonts w:ascii="宋体" w:hAnsi="宋体" w:cs="宋体"/>
          <w:sz w:val="24"/>
          <w:highlight w:val="none"/>
        </w:rPr>
      </w:pPr>
      <w:r>
        <w:rPr>
          <w:rFonts w:hint="eastAsia" w:ascii="宋体" w:hAnsi="宋体" w:cs="宋体"/>
          <w:sz w:val="24"/>
          <w:highlight w:val="none"/>
        </w:rPr>
        <w:t>投标人全称（加盖电子公章）：</w:t>
      </w:r>
      <w:r>
        <w:rPr>
          <w:rFonts w:hint="eastAsia" w:ascii="宋体" w:hAnsi="宋体" w:cs="宋体"/>
          <w:sz w:val="24"/>
          <w:highlight w:val="none"/>
          <w:u w:val="single"/>
        </w:rPr>
        <w:t>________________________</w:t>
      </w:r>
    </w:p>
    <w:p w14:paraId="790F8CC5">
      <w:pPr>
        <w:spacing w:before="60" w:after="60" w:line="360" w:lineRule="auto"/>
        <w:ind w:firstLine="510"/>
        <w:rPr>
          <w:rFonts w:ascii="宋体" w:hAnsi="宋体" w:cs="宋体"/>
          <w:sz w:val="24"/>
          <w:highlight w:val="none"/>
        </w:rPr>
      </w:pPr>
      <w:r>
        <w:rPr>
          <w:rFonts w:hint="eastAsia" w:ascii="宋体" w:hAnsi="宋体" w:cs="宋体"/>
          <w:sz w:val="24"/>
          <w:highlight w:val="none"/>
        </w:rPr>
        <w:t>法定代表人或委托代理人签字或签章：</w:t>
      </w:r>
      <w:r>
        <w:rPr>
          <w:rFonts w:hint="eastAsia" w:ascii="宋体" w:hAnsi="宋体" w:cs="宋体"/>
          <w:sz w:val="24"/>
          <w:highlight w:val="none"/>
          <w:u w:val="single"/>
        </w:rPr>
        <w:t>__________________</w:t>
      </w:r>
    </w:p>
    <w:p w14:paraId="68824385">
      <w:pPr>
        <w:spacing w:before="60" w:after="60" w:line="360" w:lineRule="auto"/>
        <w:ind w:firstLine="51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_______</w:t>
      </w:r>
      <w:r>
        <w:rPr>
          <w:rFonts w:hint="eastAsia" w:ascii="宋体" w:hAnsi="宋体" w:cs="宋体"/>
          <w:sz w:val="24"/>
          <w:highlight w:val="none"/>
        </w:rPr>
        <w:t>年</w:t>
      </w:r>
      <w:r>
        <w:rPr>
          <w:rFonts w:hint="eastAsia" w:ascii="宋体" w:hAnsi="宋体" w:cs="宋体"/>
          <w:sz w:val="24"/>
          <w:highlight w:val="none"/>
          <w:u w:val="single"/>
        </w:rPr>
        <w:t>____</w:t>
      </w:r>
      <w:r>
        <w:rPr>
          <w:rFonts w:hint="eastAsia" w:ascii="宋体" w:hAnsi="宋体" w:cs="宋体"/>
          <w:sz w:val="24"/>
          <w:highlight w:val="none"/>
        </w:rPr>
        <w:t>月</w:t>
      </w:r>
      <w:r>
        <w:rPr>
          <w:rFonts w:hint="eastAsia" w:ascii="宋体" w:hAnsi="宋体" w:cs="宋体"/>
          <w:sz w:val="24"/>
          <w:highlight w:val="none"/>
          <w:u w:val="single"/>
        </w:rPr>
        <w:t>_____</w:t>
      </w:r>
      <w:r>
        <w:rPr>
          <w:rFonts w:hint="eastAsia" w:ascii="宋体" w:hAnsi="宋体" w:cs="宋体"/>
          <w:sz w:val="24"/>
          <w:highlight w:val="none"/>
        </w:rPr>
        <w:t>日</w:t>
      </w:r>
    </w:p>
    <w:bookmarkEnd w:id="328"/>
    <w:bookmarkEnd w:id="329"/>
    <w:bookmarkEnd w:id="330"/>
    <w:bookmarkEnd w:id="331"/>
    <w:bookmarkEnd w:id="332"/>
    <w:bookmarkEnd w:id="333"/>
    <w:bookmarkEnd w:id="334"/>
    <w:bookmarkEnd w:id="335"/>
    <w:p w14:paraId="34D06197">
      <w:pPr>
        <w:spacing w:line="360" w:lineRule="auto"/>
        <w:jc w:val="left"/>
        <w:rPr>
          <w:rFonts w:ascii="宋体" w:hAnsi="宋体" w:cs="宋体"/>
          <w:kern w:val="0"/>
          <w:sz w:val="24"/>
        </w:rPr>
      </w:pPr>
    </w:p>
    <w:p w14:paraId="22E84874">
      <w:pPr>
        <w:pStyle w:val="10"/>
      </w:pPr>
      <w:r>
        <w:br w:type="page"/>
      </w:r>
      <w:bookmarkStart w:id="336" w:name="_Toc373252479"/>
    </w:p>
    <w:p w14:paraId="12B9F118">
      <w:pPr>
        <w:pStyle w:val="4"/>
        <w:numPr>
          <w:ilvl w:val="2"/>
          <w:numId w:val="0"/>
        </w:numPr>
        <w:tabs>
          <w:tab w:val="clear" w:pos="360"/>
          <w:tab w:val="clear" w:pos="900"/>
          <w:tab w:val="clear" w:pos="1588"/>
        </w:tabs>
        <w:spacing w:before="0" w:after="0" w:line="360" w:lineRule="auto"/>
        <w:ind w:left="0" w:firstLine="0"/>
        <w:jc w:val="center"/>
        <w:rPr>
          <w:rFonts w:ascii="宋体" w:hAnsi="宋体" w:cs="宋体"/>
          <w:sz w:val="24"/>
          <w:szCs w:val="24"/>
          <w:highlight w:val="none"/>
        </w:rPr>
      </w:pPr>
      <w:bookmarkStart w:id="337" w:name="_Toc30068"/>
      <w:bookmarkStart w:id="338" w:name="_Toc10779"/>
      <w:bookmarkStart w:id="339" w:name="_Toc21813"/>
      <w:r>
        <w:rPr>
          <w:rFonts w:hint="eastAsia" w:ascii="宋体" w:hAnsi="宋体" w:cs="宋体"/>
          <w:b/>
          <w:sz w:val="28"/>
          <w:szCs w:val="28"/>
        </w:rPr>
        <w:t>格式</w:t>
      </w:r>
      <w:r>
        <w:rPr>
          <w:rFonts w:hint="eastAsia" w:ascii="宋体" w:hAnsi="宋体" w:cs="宋体"/>
          <w:b/>
          <w:sz w:val="28"/>
          <w:szCs w:val="28"/>
          <w:lang w:val="en-US" w:eastAsia="zh-CN"/>
        </w:rPr>
        <w:t xml:space="preserve">5  </w:t>
      </w:r>
      <w:bookmarkStart w:id="340" w:name="_Toc31992"/>
      <w:bookmarkStart w:id="341" w:name="_Toc212648402"/>
      <w:r>
        <w:rPr>
          <w:rFonts w:hint="eastAsia" w:ascii="宋体" w:hAnsi="宋体" w:cs="宋体"/>
          <w:sz w:val="24"/>
          <w:szCs w:val="24"/>
          <w:highlight w:val="none"/>
        </w:rPr>
        <w:t>投标人廉政承诺</w:t>
      </w:r>
      <w:bookmarkEnd w:id="337"/>
    </w:p>
    <w:p w14:paraId="56F5D7E0">
      <w:pPr>
        <w:spacing w:line="360" w:lineRule="auto"/>
        <w:rPr>
          <w:rFonts w:ascii="宋体" w:hAnsi="宋体" w:cs="宋体"/>
          <w:highlight w:val="none"/>
        </w:rPr>
      </w:pPr>
    </w:p>
    <w:p w14:paraId="2D62EF83">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采购人名称</w:t>
      </w:r>
    </w:p>
    <w:p w14:paraId="6A53839A">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本企业参与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标段</w:t>
      </w:r>
      <w:r>
        <w:rPr>
          <w:rFonts w:hint="eastAsia" w:ascii="宋体" w:hAnsi="宋体" w:cs="宋体"/>
          <w:sz w:val="24"/>
          <w:highlight w:val="none"/>
          <w:u w:val="single"/>
        </w:rPr>
        <w:t>名称）</w:t>
      </w:r>
      <w:r>
        <w:rPr>
          <w:rFonts w:hint="eastAsia" w:ascii="宋体" w:hAnsi="宋体" w:cs="宋体"/>
          <w:sz w:val="24"/>
          <w:highlight w:val="none"/>
        </w:rPr>
        <w:t>的投标，现作如下承诺：</w:t>
      </w:r>
    </w:p>
    <w:p w14:paraId="0C9A8ED8">
      <w:pPr>
        <w:spacing w:line="360" w:lineRule="auto"/>
        <w:ind w:firstLine="480" w:firstLineChars="200"/>
        <w:rPr>
          <w:rFonts w:ascii="宋体" w:hAnsi="宋体" w:cs="宋体"/>
          <w:sz w:val="24"/>
          <w:highlight w:val="none"/>
        </w:rPr>
      </w:pPr>
      <w:r>
        <w:rPr>
          <w:rFonts w:hint="eastAsia" w:ascii="宋体" w:hAnsi="宋体" w:cs="宋体"/>
          <w:sz w:val="24"/>
          <w:highlight w:val="none"/>
        </w:rPr>
        <w:t>1、我公司参与此次投标活动所提交的所有资料都是合法、真实、有效的。</w:t>
      </w:r>
    </w:p>
    <w:p w14:paraId="7766EAB1">
      <w:pPr>
        <w:spacing w:line="360" w:lineRule="auto"/>
        <w:ind w:firstLine="480" w:firstLineChars="200"/>
        <w:rPr>
          <w:rFonts w:ascii="宋体" w:hAnsi="宋体" w:cs="宋体"/>
          <w:sz w:val="24"/>
          <w:highlight w:val="none"/>
        </w:rPr>
      </w:pPr>
      <w:r>
        <w:rPr>
          <w:rFonts w:hint="eastAsia" w:ascii="宋体" w:hAnsi="宋体" w:cs="宋体"/>
          <w:sz w:val="24"/>
          <w:highlight w:val="none"/>
        </w:rPr>
        <w:t>2、不与其他投标人串通投标、围标，依法、依规公平竞争，不损害采购人或其他投标人的合法权益。</w:t>
      </w:r>
    </w:p>
    <w:p w14:paraId="1F7BFDA7">
      <w:pPr>
        <w:spacing w:line="360" w:lineRule="auto"/>
        <w:ind w:firstLine="480" w:firstLineChars="200"/>
        <w:rPr>
          <w:rFonts w:ascii="宋体" w:hAnsi="宋体" w:cs="宋体"/>
          <w:sz w:val="24"/>
          <w:highlight w:val="none"/>
        </w:rPr>
      </w:pPr>
      <w:r>
        <w:rPr>
          <w:rFonts w:hint="eastAsia" w:ascii="宋体" w:hAnsi="宋体" w:cs="宋体"/>
          <w:sz w:val="24"/>
          <w:highlight w:val="none"/>
        </w:rPr>
        <w:t>3、不转让、出租、出借资质证书、人员岗位证书，不以法律、法规禁止的方式投标。</w:t>
      </w:r>
    </w:p>
    <w:p w14:paraId="60FFAFF4">
      <w:pPr>
        <w:spacing w:line="360" w:lineRule="auto"/>
        <w:ind w:firstLine="480" w:firstLineChars="200"/>
        <w:rPr>
          <w:rFonts w:ascii="宋体" w:hAnsi="宋体" w:cs="宋体"/>
          <w:sz w:val="24"/>
          <w:highlight w:val="none"/>
        </w:rPr>
      </w:pPr>
      <w:r>
        <w:rPr>
          <w:rFonts w:hint="eastAsia" w:ascii="宋体" w:hAnsi="宋体" w:cs="宋体"/>
          <w:sz w:val="24"/>
          <w:highlight w:val="none"/>
        </w:rPr>
        <w:t>4、不与采购人或采购代理机构串通投标，不损害国家利益、社会公共利益或其他当事人的合法权益。</w:t>
      </w:r>
    </w:p>
    <w:p w14:paraId="10C44F05">
      <w:pPr>
        <w:spacing w:line="360" w:lineRule="auto"/>
        <w:ind w:firstLine="480" w:firstLineChars="200"/>
        <w:rPr>
          <w:rFonts w:ascii="宋体" w:hAnsi="宋体" w:cs="宋体"/>
          <w:sz w:val="24"/>
          <w:highlight w:val="none"/>
        </w:rPr>
      </w:pPr>
      <w:r>
        <w:rPr>
          <w:rFonts w:hint="eastAsia" w:ascii="宋体" w:hAnsi="宋体" w:cs="宋体"/>
          <w:sz w:val="24"/>
          <w:highlight w:val="none"/>
        </w:rPr>
        <w:t>5、不向采购人、评标委员会成员、监督人员行贿。</w:t>
      </w:r>
    </w:p>
    <w:p w14:paraId="17B3068E">
      <w:pPr>
        <w:spacing w:line="360" w:lineRule="auto"/>
        <w:ind w:firstLine="480" w:firstLineChars="200"/>
        <w:rPr>
          <w:rFonts w:ascii="宋体" w:hAnsi="宋体" w:cs="宋体"/>
          <w:sz w:val="24"/>
          <w:highlight w:val="none"/>
        </w:rPr>
      </w:pPr>
      <w:r>
        <w:rPr>
          <w:rFonts w:hint="eastAsia" w:ascii="宋体" w:hAnsi="宋体" w:cs="宋体"/>
          <w:sz w:val="24"/>
          <w:highlight w:val="none"/>
        </w:rPr>
        <w:t>6、不扰乱招投标交易活动正常秩序。</w:t>
      </w:r>
    </w:p>
    <w:p w14:paraId="6C8F982A">
      <w:pPr>
        <w:spacing w:line="360" w:lineRule="auto"/>
        <w:ind w:firstLine="480" w:firstLineChars="200"/>
        <w:rPr>
          <w:rFonts w:ascii="宋体" w:hAnsi="宋体" w:cs="宋体"/>
          <w:sz w:val="24"/>
          <w:highlight w:val="none"/>
        </w:rPr>
      </w:pPr>
      <w:r>
        <w:rPr>
          <w:rFonts w:hint="eastAsia" w:ascii="宋体" w:hAnsi="宋体" w:cs="宋体"/>
          <w:sz w:val="24"/>
          <w:highlight w:val="none"/>
        </w:rPr>
        <w:t>7、不进行虚假恶意投诉。</w:t>
      </w:r>
    </w:p>
    <w:p w14:paraId="0369919D">
      <w:pPr>
        <w:spacing w:line="360" w:lineRule="auto"/>
        <w:ind w:firstLine="480" w:firstLineChars="200"/>
        <w:rPr>
          <w:rFonts w:ascii="宋体" w:hAnsi="宋体" w:cs="宋体"/>
          <w:sz w:val="24"/>
          <w:highlight w:val="none"/>
        </w:rPr>
      </w:pPr>
      <w:r>
        <w:rPr>
          <w:rFonts w:hint="eastAsia" w:ascii="宋体" w:hAnsi="宋体" w:cs="宋体"/>
          <w:sz w:val="24"/>
          <w:highlight w:val="none"/>
        </w:rPr>
        <w:t>8、因违反法律、法规或相关规定被查处的，不干预案件查处。</w:t>
      </w:r>
    </w:p>
    <w:p w14:paraId="2966FA7A">
      <w:pPr>
        <w:spacing w:line="360" w:lineRule="auto"/>
        <w:ind w:firstLine="480" w:firstLineChars="200"/>
        <w:rPr>
          <w:rFonts w:ascii="宋体" w:hAnsi="宋体" w:cs="宋体"/>
          <w:sz w:val="24"/>
          <w:highlight w:val="none"/>
        </w:rPr>
      </w:pPr>
      <w:r>
        <w:rPr>
          <w:rFonts w:hint="eastAsia" w:ascii="宋体" w:hAnsi="宋体" w:cs="宋体"/>
          <w:sz w:val="24"/>
          <w:highlight w:val="none"/>
        </w:rPr>
        <w:t>如出现违法、违规或不良行为，甘愿接受相关部门调查处理。违法、违规或不良行为事实成立的，本投标人不再要求退还投标时所提交的投标保证金，并承担相关责任。给采购人造成损失的，依法承担赔偿责任。</w:t>
      </w:r>
    </w:p>
    <w:p w14:paraId="2C7D6200">
      <w:pPr>
        <w:spacing w:line="360" w:lineRule="auto"/>
        <w:ind w:firstLine="480" w:firstLineChars="200"/>
        <w:rPr>
          <w:rFonts w:ascii="宋体" w:hAnsi="宋体" w:cs="宋体"/>
          <w:sz w:val="24"/>
          <w:highlight w:val="none"/>
        </w:rPr>
      </w:pPr>
      <w:r>
        <w:rPr>
          <w:rFonts w:hint="eastAsia" w:ascii="宋体" w:hAnsi="宋体" w:cs="宋体"/>
          <w:sz w:val="24"/>
          <w:highlight w:val="none"/>
        </w:rPr>
        <w:t>特此承诺！</w:t>
      </w:r>
    </w:p>
    <w:p w14:paraId="16DCF0EC">
      <w:pPr>
        <w:spacing w:line="360" w:lineRule="auto"/>
        <w:rPr>
          <w:rFonts w:ascii="宋体" w:hAnsi="宋体" w:cs="宋体"/>
          <w:sz w:val="24"/>
          <w:highlight w:val="none"/>
        </w:rPr>
      </w:pPr>
    </w:p>
    <w:p w14:paraId="50BAD87C">
      <w:pPr>
        <w:spacing w:before="60" w:after="60" w:line="360" w:lineRule="auto"/>
        <w:ind w:firstLine="510"/>
        <w:rPr>
          <w:rFonts w:ascii="宋体" w:hAnsi="宋体" w:cs="宋体"/>
          <w:sz w:val="24"/>
          <w:highlight w:val="none"/>
        </w:rPr>
      </w:pPr>
      <w:r>
        <w:rPr>
          <w:rFonts w:hint="eastAsia" w:ascii="宋体" w:hAnsi="宋体" w:cs="宋体"/>
          <w:sz w:val="24"/>
          <w:highlight w:val="none"/>
        </w:rPr>
        <w:t>投标人全称（加盖电子公章）：</w:t>
      </w:r>
      <w:r>
        <w:rPr>
          <w:rFonts w:hint="eastAsia" w:ascii="宋体" w:hAnsi="宋体" w:cs="宋体"/>
          <w:sz w:val="24"/>
          <w:highlight w:val="none"/>
          <w:u w:val="single"/>
        </w:rPr>
        <w:t>________________________</w:t>
      </w:r>
    </w:p>
    <w:p w14:paraId="10D58EA2">
      <w:pPr>
        <w:spacing w:before="60" w:after="60" w:line="360" w:lineRule="auto"/>
        <w:ind w:firstLine="510"/>
        <w:rPr>
          <w:rFonts w:ascii="宋体" w:hAnsi="宋体" w:cs="宋体"/>
          <w:sz w:val="24"/>
          <w:highlight w:val="none"/>
        </w:rPr>
      </w:pPr>
      <w:r>
        <w:rPr>
          <w:rFonts w:hint="eastAsia" w:ascii="宋体" w:hAnsi="宋体" w:cs="宋体"/>
          <w:sz w:val="24"/>
          <w:highlight w:val="none"/>
        </w:rPr>
        <w:t>法定代表人或委托代理人签字或签章：</w:t>
      </w:r>
      <w:r>
        <w:rPr>
          <w:rFonts w:hint="eastAsia" w:ascii="宋体" w:hAnsi="宋体" w:cs="宋体"/>
          <w:sz w:val="24"/>
          <w:highlight w:val="none"/>
          <w:u w:val="single"/>
        </w:rPr>
        <w:t>__________________</w:t>
      </w:r>
    </w:p>
    <w:p w14:paraId="4FDA1CC1">
      <w:pPr>
        <w:spacing w:before="60" w:after="60" w:line="360" w:lineRule="auto"/>
        <w:ind w:firstLine="51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_______</w:t>
      </w:r>
      <w:r>
        <w:rPr>
          <w:rFonts w:hint="eastAsia" w:ascii="宋体" w:hAnsi="宋体" w:cs="宋体"/>
          <w:sz w:val="24"/>
          <w:highlight w:val="none"/>
        </w:rPr>
        <w:t>年</w:t>
      </w:r>
      <w:r>
        <w:rPr>
          <w:rFonts w:hint="eastAsia" w:ascii="宋体" w:hAnsi="宋体" w:cs="宋体"/>
          <w:sz w:val="24"/>
          <w:highlight w:val="none"/>
          <w:u w:val="single"/>
        </w:rPr>
        <w:t>____</w:t>
      </w:r>
      <w:r>
        <w:rPr>
          <w:rFonts w:hint="eastAsia" w:ascii="宋体" w:hAnsi="宋体" w:cs="宋体"/>
          <w:sz w:val="24"/>
          <w:highlight w:val="none"/>
        </w:rPr>
        <w:t>月</w:t>
      </w:r>
      <w:r>
        <w:rPr>
          <w:rFonts w:hint="eastAsia" w:ascii="宋体" w:hAnsi="宋体" w:cs="宋体"/>
          <w:sz w:val="24"/>
          <w:highlight w:val="none"/>
          <w:u w:val="single"/>
        </w:rPr>
        <w:t>_____</w:t>
      </w:r>
      <w:r>
        <w:rPr>
          <w:rFonts w:hint="eastAsia" w:ascii="宋体" w:hAnsi="宋体" w:cs="宋体"/>
          <w:sz w:val="24"/>
          <w:highlight w:val="none"/>
        </w:rPr>
        <w:t>日</w:t>
      </w:r>
    </w:p>
    <w:bookmarkEnd w:id="338"/>
    <w:bookmarkEnd w:id="339"/>
    <w:bookmarkEnd w:id="340"/>
    <w:bookmarkEnd w:id="341"/>
    <w:p w14:paraId="0A4004AE">
      <w:pPr>
        <w:widowControl/>
        <w:jc w:val="left"/>
        <w:rPr>
          <w:rFonts w:ascii="宋体" w:hAnsi="宋体" w:cs="宋体"/>
          <w:b/>
          <w:sz w:val="28"/>
          <w:szCs w:val="28"/>
        </w:rPr>
      </w:pPr>
      <w:r>
        <w:rPr>
          <w:rFonts w:ascii="宋体" w:hAnsi="宋体" w:cs="宋体"/>
          <w:b/>
          <w:sz w:val="28"/>
          <w:szCs w:val="28"/>
        </w:rPr>
        <w:br w:type="page"/>
      </w:r>
    </w:p>
    <w:p w14:paraId="23379DB8">
      <w:pPr>
        <w:pStyle w:val="4"/>
        <w:numPr>
          <w:ilvl w:val="2"/>
          <w:numId w:val="0"/>
        </w:numPr>
        <w:tabs>
          <w:tab w:val="clear" w:pos="360"/>
          <w:tab w:val="clear" w:pos="900"/>
          <w:tab w:val="clear" w:pos="1588"/>
        </w:tabs>
        <w:spacing w:before="0" w:after="0" w:line="360" w:lineRule="auto"/>
        <w:ind w:left="0" w:firstLine="0"/>
        <w:jc w:val="center"/>
        <w:rPr>
          <w:rFonts w:ascii="宋体" w:hAnsi="宋体" w:cs="宋体"/>
          <w:sz w:val="24"/>
          <w:szCs w:val="24"/>
          <w:highlight w:val="none"/>
        </w:rPr>
      </w:pPr>
      <w:bookmarkStart w:id="342" w:name="_Toc2178"/>
      <w:bookmarkStart w:id="343" w:name="_Toc29658"/>
      <w:bookmarkStart w:id="344" w:name="_Toc9540"/>
      <w:r>
        <w:rPr>
          <w:rFonts w:hint="eastAsia" w:ascii="宋体" w:hAnsi="宋体" w:cs="宋体"/>
          <w:b/>
          <w:sz w:val="28"/>
          <w:szCs w:val="28"/>
        </w:rPr>
        <w:t>格式</w:t>
      </w:r>
      <w:r>
        <w:rPr>
          <w:rFonts w:hint="eastAsia" w:ascii="宋体" w:hAnsi="宋体" w:cs="宋体"/>
          <w:b/>
          <w:sz w:val="28"/>
          <w:szCs w:val="28"/>
          <w:lang w:val="en-US" w:eastAsia="zh-CN"/>
        </w:rPr>
        <w:t xml:space="preserve">6  </w:t>
      </w:r>
      <w:bookmarkStart w:id="345" w:name="_Toc212648403"/>
      <w:bookmarkStart w:id="346" w:name="_Toc26974"/>
      <w:r>
        <w:rPr>
          <w:rFonts w:hint="eastAsia" w:ascii="宋体" w:hAnsi="宋体" w:cs="宋体"/>
          <w:sz w:val="24"/>
          <w:szCs w:val="24"/>
          <w:highlight w:val="none"/>
        </w:rPr>
        <w:t>保密承诺</w:t>
      </w:r>
      <w:bookmarkEnd w:id="342"/>
    </w:p>
    <w:p w14:paraId="2BEE78D3">
      <w:pPr>
        <w:rPr>
          <w:rFonts w:ascii="宋体" w:hAnsi="宋体" w:cs="宋体"/>
          <w:highlight w:val="none"/>
        </w:rPr>
      </w:pPr>
    </w:p>
    <w:p w14:paraId="5F373D39">
      <w:pPr>
        <w:spacing w:line="360" w:lineRule="auto"/>
        <w:jc w:val="left"/>
        <w:rPr>
          <w:rFonts w:ascii="宋体" w:hAnsi="宋体" w:cs="宋体"/>
          <w:sz w:val="24"/>
          <w:highlight w:val="none"/>
        </w:rPr>
      </w:pPr>
      <w:bookmarkStart w:id="347" w:name="_Hlk53244724"/>
      <w:r>
        <w:rPr>
          <w:rFonts w:hint="eastAsia" w:ascii="宋体" w:hAnsi="宋体" w:cs="宋体"/>
          <w:sz w:val="24"/>
          <w:highlight w:val="none"/>
        </w:rPr>
        <w:t>致：</w:t>
      </w:r>
      <w:r>
        <w:rPr>
          <w:rFonts w:hint="eastAsia" w:ascii="宋体" w:hAnsi="宋体" w:cs="宋体"/>
          <w:sz w:val="24"/>
          <w:highlight w:val="none"/>
          <w:u w:val="single"/>
        </w:rPr>
        <w:t xml:space="preserve">            采购人名称</w:t>
      </w:r>
      <w:bookmarkEnd w:id="347"/>
    </w:p>
    <w:p w14:paraId="0223148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鉴于</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r>
        <w:rPr>
          <w:rFonts w:hint="eastAsia" w:ascii="宋体" w:hAnsi="宋体" w:cs="宋体"/>
          <w:sz w:val="24"/>
          <w:highlight w:val="none"/>
          <w:lang w:val="en-US" w:eastAsia="zh-CN"/>
        </w:rPr>
        <w:t>标段</w:t>
      </w:r>
      <w:r>
        <w:rPr>
          <w:rFonts w:hint="eastAsia" w:ascii="宋体" w:hAnsi="宋体" w:cs="宋体"/>
          <w:sz w:val="24"/>
          <w:highlight w:val="none"/>
        </w:rPr>
        <w:t>名称）招投标过程中，涉及到贵单位的商业或技术秘密，为保证秘密不致外泄，我方做出以下保密承诺：</w:t>
      </w:r>
    </w:p>
    <w:p w14:paraId="32B440B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1、此所述及的保密信息是指我方在投标过程中直接或间接获得的所有商业或技术信息(包括口头、书面信息及资料)。</w:t>
      </w:r>
    </w:p>
    <w:p w14:paraId="097C8F7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2、我方获得的保密信息只用于本次招标工作，绝不用于其它用途。</w:t>
      </w:r>
    </w:p>
    <w:p w14:paraId="568CF71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3、我方将对从贵单位处得到的信息进行保密管理，采取措施防止信息的全部或任一部分泄露给第三方。</w:t>
      </w:r>
    </w:p>
    <w:p w14:paraId="7FC5B3F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4、我方采取严格措施防止与本次投标工作无关的我方人员接触保密信息，防止其泄露信息，如果发生泄密，我方承担一切相关职责。</w:t>
      </w:r>
    </w:p>
    <w:p w14:paraId="6DE0178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5、我方对内部因工作原因接触到保密信息人员，进行保密教育，防止泄露信息。</w:t>
      </w:r>
    </w:p>
    <w:p w14:paraId="4533DDE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6、如我方有幸中标，此承诺书将持续生效。</w:t>
      </w:r>
    </w:p>
    <w:p w14:paraId="5D27E3D8">
      <w:pPr>
        <w:spacing w:line="360" w:lineRule="auto"/>
        <w:ind w:firstLine="480" w:firstLineChars="200"/>
        <w:jc w:val="left"/>
        <w:rPr>
          <w:rFonts w:ascii="宋体" w:hAnsi="宋体" w:cs="宋体"/>
          <w:sz w:val="24"/>
          <w:highlight w:val="none"/>
        </w:rPr>
      </w:pPr>
    </w:p>
    <w:p w14:paraId="0F79769A">
      <w:pPr>
        <w:spacing w:line="360" w:lineRule="auto"/>
        <w:ind w:firstLine="480" w:firstLineChars="200"/>
        <w:jc w:val="left"/>
        <w:rPr>
          <w:rFonts w:ascii="宋体" w:hAnsi="宋体" w:cs="宋体"/>
          <w:sz w:val="24"/>
          <w:highlight w:val="none"/>
        </w:rPr>
      </w:pPr>
    </w:p>
    <w:p w14:paraId="6D533692">
      <w:pPr>
        <w:spacing w:line="360" w:lineRule="auto"/>
        <w:ind w:firstLine="480" w:firstLineChars="200"/>
        <w:jc w:val="left"/>
        <w:rPr>
          <w:rFonts w:ascii="宋体" w:hAnsi="宋体" w:cs="宋体"/>
          <w:sz w:val="24"/>
          <w:highlight w:val="none"/>
        </w:rPr>
      </w:pPr>
    </w:p>
    <w:p w14:paraId="6B256AA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投标人全称（加盖电子公章）：</w:t>
      </w:r>
      <w:r>
        <w:rPr>
          <w:rFonts w:hint="eastAsia" w:ascii="宋体" w:hAnsi="宋体" w:cs="宋体"/>
          <w:sz w:val="24"/>
          <w:highlight w:val="none"/>
          <w:u w:val="single"/>
        </w:rPr>
        <w:t>________________________</w:t>
      </w:r>
    </w:p>
    <w:p w14:paraId="63DEF577">
      <w:pPr>
        <w:spacing w:before="60" w:after="60" w:line="360" w:lineRule="auto"/>
        <w:ind w:firstLine="510"/>
        <w:rPr>
          <w:rFonts w:ascii="宋体" w:hAnsi="宋体" w:cs="宋体"/>
          <w:sz w:val="24"/>
          <w:highlight w:val="none"/>
        </w:rPr>
      </w:pPr>
      <w:r>
        <w:rPr>
          <w:rFonts w:hint="eastAsia" w:ascii="宋体" w:hAnsi="宋体" w:cs="宋体"/>
          <w:sz w:val="24"/>
          <w:highlight w:val="none"/>
        </w:rPr>
        <w:t>法定代表人或委托代理人签字或签章：</w:t>
      </w:r>
      <w:r>
        <w:rPr>
          <w:rFonts w:hint="eastAsia" w:ascii="宋体" w:hAnsi="宋体" w:cs="宋体"/>
          <w:sz w:val="24"/>
          <w:highlight w:val="none"/>
          <w:u w:val="single"/>
        </w:rPr>
        <w:t>__________________</w:t>
      </w:r>
    </w:p>
    <w:p w14:paraId="7C60AA85">
      <w:pPr>
        <w:spacing w:before="60" w:after="60" w:line="360" w:lineRule="auto"/>
        <w:ind w:firstLine="51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_______</w:t>
      </w:r>
      <w:r>
        <w:rPr>
          <w:rFonts w:hint="eastAsia" w:ascii="宋体" w:hAnsi="宋体" w:cs="宋体"/>
          <w:sz w:val="24"/>
          <w:highlight w:val="none"/>
        </w:rPr>
        <w:t>年</w:t>
      </w:r>
      <w:r>
        <w:rPr>
          <w:rFonts w:hint="eastAsia" w:ascii="宋体" w:hAnsi="宋体" w:cs="宋体"/>
          <w:sz w:val="24"/>
          <w:highlight w:val="none"/>
          <w:u w:val="single"/>
        </w:rPr>
        <w:t>____</w:t>
      </w:r>
      <w:r>
        <w:rPr>
          <w:rFonts w:hint="eastAsia" w:ascii="宋体" w:hAnsi="宋体" w:cs="宋体"/>
          <w:sz w:val="24"/>
          <w:highlight w:val="none"/>
        </w:rPr>
        <w:t>月</w:t>
      </w:r>
      <w:r>
        <w:rPr>
          <w:rFonts w:hint="eastAsia" w:ascii="宋体" w:hAnsi="宋体" w:cs="宋体"/>
          <w:sz w:val="24"/>
          <w:highlight w:val="none"/>
          <w:u w:val="single"/>
        </w:rPr>
        <w:t>_____</w:t>
      </w:r>
      <w:r>
        <w:rPr>
          <w:rFonts w:hint="eastAsia" w:ascii="宋体" w:hAnsi="宋体" w:cs="宋体"/>
          <w:sz w:val="24"/>
          <w:highlight w:val="none"/>
        </w:rPr>
        <w:t>日</w:t>
      </w:r>
    </w:p>
    <w:bookmarkEnd w:id="343"/>
    <w:bookmarkEnd w:id="344"/>
    <w:bookmarkEnd w:id="345"/>
    <w:bookmarkEnd w:id="346"/>
    <w:p w14:paraId="1376B073">
      <w:pPr>
        <w:widowControl/>
        <w:jc w:val="left"/>
        <w:rPr>
          <w:rFonts w:ascii="宋体" w:hAnsi="宋体" w:cs="宋体"/>
          <w:b/>
          <w:sz w:val="28"/>
          <w:szCs w:val="28"/>
        </w:rPr>
      </w:pPr>
      <w:r>
        <w:rPr>
          <w:rFonts w:ascii="宋体" w:hAnsi="宋体" w:cs="宋体"/>
          <w:b/>
          <w:sz w:val="28"/>
          <w:szCs w:val="28"/>
        </w:rPr>
        <w:br w:type="page"/>
      </w:r>
    </w:p>
    <w:p w14:paraId="65ECD991">
      <w:pPr>
        <w:pStyle w:val="4"/>
        <w:numPr>
          <w:ilvl w:val="2"/>
          <w:numId w:val="0"/>
        </w:numPr>
        <w:tabs>
          <w:tab w:val="clear" w:pos="360"/>
          <w:tab w:val="clear" w:pos="900"/>
          <w:tab w:val="clear" w:pos="1588"/>
        </w:tabs>
        <w:spacing w:before="0" w:after="0" w:line="360" w:lineRule="auto"/>
        <w:ind w:left="0" w:firstLine="0"/>
        <w:jc w:val="center"/>
        <w:rPr>
          <w:rFonts w:ascii="宋体" w:hAnsi="宋体" w:cs="宋体"/>
          <w:sz w:val="24"/>
          <w:szCs w:val="24"/>
          <w:highlight w:val="none"/>
        </w:rPr>
      </w:pPr>
      <w:bookmarkStart w:id="348" w:name="_Toc24364"/>
      <w:bookmarkStart w:id="349" w:name="_Toc19981"/>
      <w:bookmarkStart w:id="350" w:name="_Toc21145"/>
      <w:r>
        <w:rPr>
          <w:rFonts w:hint="eastAsia" w:ascii="宋体" w:hAnsi="宋体" w:cs="宋体"/>
          <w:b/>
          <w:sz w:val="28"/>
          <w:szCs w:val="28"/>
        </w:rPr>
        <w:t>格式</w:t>
      </w:r>
      <w:r>
        <w:rPr>
          <w:rFonts w:hint="eastAsia" w:ascii="宋体" w:hAnsi="宋体" w:cs="宋体"/>
          <w:b/>
          <w:sz w:val="28"/>
          <w:szCs w:val="28"/>
          <w:lang w:val="en-US" w:eastAsia="zh-CN"/>
        </w:rPr>
        <w:t xml:space="preserve">7 </w:t>
      </w:r>
      <w:bookmarkStart w:id="351" w:name="_Toc212648404"/>
      <w:bookmarkStart w:id="352" w:name="_Toc3553"/>
      <w:r>
        <w:rPr>
          <w:rFonts w:hint="eastAsia" w:ascii="宋体" w:hAnsi="宋体" w:cs="宋体"/>
          <w:sz w:val="24"/>
          <w:szCs w:val="24"/>
          <w:highlight w:val="none"/>
        </w:rPr>
        <w:t>商务条款偏离表</w:t>
      </w:r>
      <w:bookmarkEnd w:id="348"/>
    </w:p>
    <w:p w14:paraId="75D0BB38">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bCs/>
          <w:sz w:val="24"/>
          <w:szCs w:val="24"/>
          <w:highlight w:val="none"/>
          <w:u w:val="single"/>
        </w:rPr>
        <w:t xml:space="preserve">           </w:t>
      </w:r>
    </w:p>
    <w:p w14:paraId="12826CB3">
      <w:pPr>
        <w:spacing w:line="360" w:lineRule="auto"/>
        <w:jc w:val="left"/>
        <w:rPr>
          <w:rFonts w:ascii="宋体" w:hAnsi="宋体" w:cs="宋体"/>
          <w:bCs/>
          <w:sz w:val="24"/>
          <w:szCs w:val="24"/>
          <w:highlight w:val="none"/>
          <w:u w:val="single"/>
        </w:rPr>
      </w:pPr>
      <w:r>
        <w:rPr>
          <w:rFonts w:hint="eastAsia" w:ascii="宋体" w:hAnsi="宋体" w:cs="宋体"/>
          <w:bCs/>
          <w:sz w:val="24"/>
          <w:szCs w:val="24"/>
          <w:highlight w:val="none"/>
        </w:rPr>
        <w:t>项目编号：</w:t>
      </w:r>
      <w:r>
        <w:rPr>
          <w:rFonts w:hint="eastAsia" w:ascii="宋体" w:hAnsi="宋体" w:cs="宋体"/>
          <w:sz w:val="24"/>
          <w:szCs w:val="24"/>
          <w:highlight w:val="none"/>
          <w:u w:val="single"/>
        </w:rPr>
        <w:t xml:space="preserve"> </w:t>
      </w:r>
      <w:r>
        <w:rPr>
          <w:rFonts w:hint="eastAsia" w:ascii="宋体" w:hAnsi="宋体" w:cs="宋体"/>
          <w:bCs/>
          <w:sz w:val="24"/>
          <w:szCs w:val="24"/>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098"/>
        <w:gridCol w:w="2055"/>
        <w:gridCol w:w="2191"/>
        <w:gridCol w:w="1369"/>
        <w:gridCol w:w="2124"/>
      </w:tblGrid>
      <w:tr w14:paraId="13AC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791" w:type="dxa"/>
            <w:vAlign w:val="center"/>
          </w:tcPr>
          <w:p w14:paraId="551F524D">
            <w:pPr>
              <w:spacing w:line="360" w:lineRule="auto"/>
              <w:jc w:val="center"/>
              <w:rPr>
                <w:rFonts w:ascii="宋体" w:hAnsi="宋体" w:cs="宋体"/>
                <w:sz w:val="24"/>
                <w:szCs w:val="24"/>
                <w:highlight w:val="none"/>
              </w:rPr>
            </w:pPr>
            <w:r>
              <w:rPr>
                <w:rFonts w:hint="eastAsia" w:ascii="宋体" w:hAnsi="宋体" w:cs="宋体"/>
                <w:sz w:val="24"/>
                <w:szCs w:val="24"/>
                <w:highlight w:val="none"/>
              </w:rPr>
              <w:t>序号</w:t>
            </w:r>
          </w:p>
        </w:tc>
        <w:tc>
          <w:tcPr>
            <w:tcW w:w="1098" w:type="dxa"/>
            <w:vAlign w:val="center"/>
          </w:tcPr>
          <w:p w14:paraId="66C4C3C4">
            <w:pPr>
              <w:spacing w:line="360" w:lineRule="auto"/>
              <w:jc w:val="center"/>
              <w:rPr>
                <w:rFonts w:ascii="宋体" w:hAnsi="宋体" w:cs="宋体"/>
                <w:sz w:val="24"/>
                <w:szCs w:val="24"/>
                <w:highlight w:val="none"/>
              </w:rPr>
            </w:pPr>
            <w:r>
              <w:rPr>
                <w:rFonts w:hint="eastAsia" w:ascii="宋体" w:hAnsi="宋体" w:cs="宋体"/>
                <w:sz w:val="24"/>
                <w:szCs w:val="24"/>
                <w:highlight w:val="none"/>
              </w:rPr>
              <w:t>名称</w:t>
            </w:r>
          </w:p>
        </w:tc>
        <w:tc>
          <w:tcPr>
            <w:tcW w:w="2055" w:type="dxa"/>
            <w:vAlign w:val="center"/>
          </w:tcPr>
          <w:p w14:paraId="50D6EE1E">
            <w:pPr>
              <w:spacing w:line="360" w:lineRule="auto"/>
              <w:jc w:val="center"/>
              <w:rPr>
                <w:rFonts w:ascii="宋体" w:hAnsi="宋体" w:cs="宋体"/>
                <w:sz w:val="24"/>
                <w:szCs w:val="24"/>
                <w:highlight w:val="none"/>
              </w:rPr>
            </w:pPr>
            <w:r>
              <w:rPr>
                <w:rFonts w:hint="eastAsia" w:ascii="宋体" w:hAnsi="宋体" w:cs="宋体"/>
                <w:sz w:val="24"/>
                <w:szCs w:val="24"/>
                <w:highlight w:val="none"/>
              </w:rPr>
              <w:t>招标文件要求</w:t>
            </w:r>
          </w:p>
        </w:tc>
        <w:tc>
          <w:tcPr>
            <w:tcW w:w="2191" w:type="dxa"/>
            <w:vAlign w:val="center"/>
          </w:tcPr>
          <w:p w14:paraId="09306F86">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投标文件响应</w:t>
            </w:r>
          </w:p>
        </w:tc>
        <w:tc>
          <w:tcPr>
            <w:tcW w:w="1369" w:type="dxa"/>
            <w:vAlign w:val="center"/>
          </w:tcPr>
          <w:p w14:paraId="598BE02B">
            <w:pPr>
              <w:spacing w:line="360" w:lineRule="auto"/>
              <w:jc w:val="center"/>
              <w:rPr>
                <w:rFonts w:ascii="宋体" w:hAnsi="宋体" w:cs="宋体"/>
                <w:sz w:val="24"/>
                <w:szCs w:val="24"/>
                <w:highlight w:val="none"/>
              </w:rPr>
            </w:pPr>
            <w:r>
              <w:rPr>
                <w:rFonts w:hint="eastAsia" w:ascii="宋体" w:hAnsi="宋体" w:cs="宋体"/>
                <w:sz w:val="24"/>
                <w:szCs w:val="24"/>
                <w:highlight w:val="none"/>
              </w:rPr>
              <w:t>偏离情况</w:t>
            </w:r>
          </w:p>
        </w:tc>
        <w:tc>
          <w:tcPr>
            <w:tcW w:w="2124" w:type="dxa"/>
            <w:vAlign w:val="center"/>
          </w:tcPr>
          <w:p w14:paraId="44A52FA5">
            <w:pPr>
              <w:spacing w:line="360" w:lineRule="auto"/>
              <w:jc w:val="center"/>
              <w:rPr>
                <w:rFonts w:ascii="宋体" w:hAnsi="宋体" w:cs="宋体"/>
                <w:sz w:val="24"/>
                <w:szCs w:val="24"/>
                <w:highlight w:val="none"/>
              </w:rPr>
            </w:pPr>
            <w:r>
              <w:rPr>
                <w:rFonts w:hint="eastAsia" w:ascii="宋体" w:hAnsi="宋体" w:cs="宋体"/>
                <w:sz w:val="24"/>
                <w:szCs w:val="24"/>
                <w:highlight w:val="none"/>
              </w:rPr>
              <w:t>说明</w:t>
            </w:r>
          </w:p>
        </w:tc>
      </w:tr>
      <w:tr w14:paraId="6A5C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624E8CB2">
            <w:pPr>
              <w:spacing w:line="360" w:lineRule="auto"/>
              <w:jc w:val="center"/>
              <w:rPr>
                <w:rFonts w:ascii="宋体" w:hAnsi="宋体" w:cs="宋体"/>
                <w:sz w:val="24"/>
                <w:szCs w:val="24"/>
                <w:highlight w:val="none"/>
              </w:rPr>
            </w:pPr>
          </w:p>
        </w:tc>
        <w:tc>
          <w:tcPr>
            <w:tcW w:w="1098" w:type="dxa"/>
            <w:vAlign w:val="center"/>
          </w:tcPr>
          <w:p w14:paraId="4987EAFC">
            <w:pPr>
              <w:spacing w:line="360" w:lineRule="auto"/>
              <w:jc w:val="center"/>
              <w:rPr>
                <w:rFonts w:ascii="宋体" w:hAnsi="宋体" w:cs="宋体"/>
                <w:sz w:val="24"/>
                <w:szCs w:val="24"/>
                <w:highlight w:val="none"/>
              </w:rPr>
            </w:pPr>
          </w:p>
        </w:tc>
        <w:tc>
          <w:tcPr>
            <w:tcW w:w="2055" w:type="dxa"/>
            <w:vAlign w:val="center"/>
          </w:tcPr>
          <w:p w14:paraId="2F940D34">
            <w:pPr>
              <w:spacing w:line="360" w:lineRule="auto"/>
              <w:jc w:val="center"/>
              <w:rPr>
                <w:rFonts w:ascii="宋体" w:hAnsi="宋体" w:cs="宋体"/>
                <w:sz w:val="24"/>
                <w:szCs w:val="24"/>
                <w:highlight w:val="none"/>
              </w:rPr>
            </w:pPr>
          </w:p>
        </w:tc>
        <w:tc>
          <w:tcPr>
            <w:tcW w:w="2191" w:type="dxa"/>
            <w:vAlign w:val="center"/>
          </w:tcPr>
          <w:p w14:paraId="71A47080">
            <w:pPr>
              <w:spacing w:line="360" w:lineRule="auto"/>
              <w:jc w:val="center"/>
              <w:rPr>
                <w:rFonts w:ascii="宋体" w:hAnsi="宋体" w:cs="宋体"/>
                <w:sz w:val="24"/>
                <w:szCs w:val="24"/>
                <w:highlight w:val="none"/>
              </w:rPr>
            </w:pPr>
          </w:p>
        </w:tc>
        <w:tc>
          <w:tcPr>
            <w:tcW w:w="1369" w:type="dxa"/>
            <w:vAlign w:val="center"/>
          </w:tcPr>
          <w:p w14:paraId="349BE946">
            <w:pPr>
              <w:spacing w:line="360" w:lineRule="auto"/>
              <w:jc w:val="center"/>
              <w:rPr>
                <w:rFonts w:ascii="宋体" w:hAnsi="宋体" w:cs="宋体"/>
                <w:sz w:val="24"/>
                <w:szCs w:val="24"/>
                <w:highlight w:val="none"/>
              </w:rPr>
            </w:pPr>
          </w:p>
        </w:tc>
        <w:tc>
          <w:tcPr>
            <w:tcW w:w="2124" w:type="dxa"/>
            <w:vAlign w:val="center"/>
          </w:tcPr>
          <w:p w14:paraId="5DCA2072">
            <w:pPr>
              <w:spacing w:line="360" w:lineRule="auto"/>
              <w:jc w:val="center"/>
              <w:rPr>
                <w:rFonts w:ascii="宋体" w:hAnsi="宋体" w:cs="宋体"/>
                <w:sz w:val="24"/>
                <w:szCs w:val="24"/>
                <w:highlight w:val="none"/>
              </w:rPr>
            </w:pPr>
          </w:p>
        </w:tc>
      </w:tr>
      <w:tr w14:paraId="0564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15EB3236">
            <w:pPr>
              <w:spacing w:line="360" w:lineRule="auto"/>
              <w:jc w:val="center"/>
              <w:rPr>
                <w:rFonts w:ascii="宋体" w:hAnsi="宋体" w:cs="宋体"/>
                <w:sz w:val="24"/>
                <w:szCs w:val="24"/>
                <w:highlight w:val="none"/>
              </w:rPr>
            </w:pPr>
          </w:p>
        </w:tc>
        <w:tc>
          <w:tcPr>
            <w:tcW w:w="1098" w:type="dxa"/>
            <w:vAlign w:val="center"/>
          </w:tcPr>
          <w:p w14:paraId="76736C9C">
            <w:pPr>
              <w:spacing w:line="360" w:lineRule="auto"/>
              <w:jc w:val="center"/>
              <w:rPr>
                <w:rFonts w:ascii="宋体" w:hAnsi="宋体" w:cs="宋体"/>
                <w:sz w:val="24"/>
                <w:szCs w:val="24"/>
                <w:highlight w:val="none"/>
              </w:rPr>
            </w:pPr>
          </w:p>
        </w:tc>
        <w:tc>
          <w:tcPr>
            <w:tcW w:w="2055" w:type="dxa"/>
            <w:vAlign w:val="center"/>
          </w:tcPr>
          <w:p w14:paraId="18EB9C14">
            <w:pPr>
              <w:spacing w:line="360" w:lineRule="auto"/>
              <w:jc w:val="center"/>
              <w:rPr>
                <w:rFonts w:ascii="宋体" w:hAnsi="宋体" w:cs="宋体"/>
                <w:sz w:val="24"/>
                <w:szCs w:val="24"/>
                <w:highlight w:val="none"/>
              </w:rPr>
            </w:pPr>
          </w:p>
        </w:tc>
        <w:tc>
          <w:tcPr>
            <w:tcW w:w="2191" w:type="dxa"/>
            <w:vAlign w:val="center"/>
          </w:tcPr>
          <w:p w14:paraId="47047CCC">
            <w:pPr>
              <w:spacing w:line="360" w:lineRule="auto"/>
              <w:jc w:val="center"/>
              <w:rPr>
                <w:rFonts w:ascii="宋体" w:hAnsi="宋体" w:cs="宋体"/>
                <w:sz w:val="24"/>
                <w:szCs w:val="24"/>
                <w:highlight w:val="none"/>
              </w:rPr>
            </w:pPr>
          </w:p>
        </w:tc>
        <w:tc>
          <w:tcPr>
            <w:tcW w:w="1369" w:type="dxa"/>
            <w:vAlign w:val="center"/>
          </w:tcPr>
          <w:p w14:paraId="63A43E25">
            <w:pPr>
              <w:spacing w:line="360" w:lineRule="auto"/>
              <w:jc w:val="center"/>
              <w:rPr>
                <w:rFonts w:ascii="宋体" w:hAnsi="宋体" w:cs="宋体"/>
                <w:sz w:val="24"/>
                <w:szCs w:val="24"/>
                <w:highlight w:val="none"/>
              </w:rPr>
            </w:pPr>
          </w:p>
        </w:tc>
        <w:tc>
          <w:tcPr>
            <w:tcW w:w="2124" w:type="dxa"/>
            <w:vAlign w:val="center"/>
          </w:tcPr>
          <w:p w14:paraId="7D43542A">
            <w:pPr>
              <w:spacing w:line="360" w:lineRule="auto"/>
              <w:jc w:val="center"/>
              <w:rPr>
                <w:rFonts w:ascii="宋体" w:hAnsi="宋体" w:cs="宋体"/>
                <w:sz w:val="24"/>
                <w:szCs w:val="24"/>
                <w:highlight w:val="none"/>
              </w:rPr>
            </w:pPr>
          </w:p>
        </w:tc>
      </w:tr>
      <w:tr w14:paraId="6A74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580A33C2">
            <w:pPr>
              <w:spacing w:line="360" w:lineRule="auto"/>
              <w:jc w:val="center"/>
              <w:rPr>
                <w:rFonts w:ascii="宋体" w:hAnsi="宋体" w:cs="宋体"/>
                <w:sz w:val="24"/>
                <w:szCs w:val="24"/>
                <w:highlight w:val="none"/>
              </w:rPr>
            </w:pPr>
          </w:p>
        </w:tc>
        <w:tc>
          <w:tcPr>
            <w:tcW w:w="1098" w:type="dxa"/>
            <w:vAlign w:val="center"/>
          </w:tcPr>
          <w:p w14:paraId="13454B04">
            <w:pPr>
              <w:spacing w:line="360" w:lineRule="auto"/>
              <w:jc w:val="center"/>
              <w:rPr>
                <w:rFonts w:ascii="宋体" w:hAnsi="宋体" w:cs="宋体"/>
                <w:sz w:val="24"/>
                <w:szCs w:val="24"/>
                <w:highlight w:val="none"/>
              </w:rPr>
            </w:pPr>
          </w:p>
        </w:tc>
        <w:tc>
          <w:tcPr>
            <w:tcW w:w="2055" w:type="dxa"/>
            <w:vAlign w:val="center"/>
          </w:tcPr>
          <w:p w14:paraId="05C5D988">
            <w:pPr>
              <w:spacing w:line="360" w:lineRule="auto"/>
              <w:jc w:val="center"/>
              <w:rPr>
                <w:rFonts w:ascii="宋体" w:hAnsi="宋体" w:cs="宋体"/>
                <w:sz w:val="24"/>
                <w:szCs w:val="24"/>
                <w:highlight w:val="none"/>
              </w:rPr>
            </w:pPr>
          </w:p>
        </w:tc>
        <w:tc>
          <w:tcPr>
            <w:tcW w:w="2191" w:type="dxa"/>
            <w:vAlign w:val="center"/>
          </w:tcPr>
          <w:p w14:paraId="3194EA49">
            <w:pPr>
              <w:spacing w:line="360" w:lineRule="auto"/>
              <w:jc w:val="center"/>
              <w:rPr>
                <w:rFonts w:ascii="宋体" w:hAnsi="宋体" w:cs="宋体"/>
                <w:sz w:val="24"/>
                <w:szCs w:val="24"/>
                <w:highlight w:val="none"/>
              </w:rPr>
            </w:pPr>
          </w:p>
        </w:tc>
        <w:tc>
          <w:tcPr>
            <w:tcW w:w="1369" w:type="dxa"/>
            <w:vAlign w:val="center"/>
          </w:tcPr>
          <w:p w14:paraId="2B744F24">
            <w:pPr>
              <w:spacing w:line="360" w:lineRule="auto"/>
              <w:jc w:val="center"/>
              <w:rPr>
                <w:rFonts w:ascii="宋体" w:hAnsi="宋体" w:cs="宋体"/>
                <w:sz w:val="24"/>
                <w:szCs w:val="24"/>
                <w:highlight w:val="none"/>
              </w:rPr>
            </w:pPr>
          </w:p>
        </w:tc>
        <w:tc>
          <w:tcPr>
            <w:tcW w:w="2124" w:type="dxa"/>
            <w:vAlign w:val="center"/>
          </w:tcPr>
          <w:p w14:paraId="50AB3825">
            <w:pPr>
              <w:spacing w:line="360" w:lineRule="auto"/>
              <w:jc w:val="center"/>
              <w:rPr>
                <w:rFonts w:ascii="宋体" w:hAnsi="宋体" w:cs="宋体"/>
                <w:sz w:val="24"/>
                <w:szCs w:val="24"/>
                <w:highlight w:val="none"/>
              </w:rPr>
            </w:pPr>
          </w:p>
        </w:tc>
      </w:tr>
      <w:tr w14:paraId="52BB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42C37221">
            <w:pPr>
              <w:spacing w:line="360" w:lineRule="auto"/>
              <w:jc w:val="center"/>
              <w:rPr>
                <w:rFonts w:ascii="宋体" w:hAnsi="宋体" w:cs="宋体"/>
                <w:sz w:val="24"/>
                <w:szCs w:val="24"/>
                <w:highlight w:val="none"/>
              </w:rPr>
            </w:pPr>
          </w:p>
        </w:tc>
        <w:tc>
          <w:tcPr>
            <w:tcW w:w="1098" w:type="dxa"/>
            <w:vAlign w:val="center"/>
          </w:tcPr>
          <w:p w14:paraId="155967B8">
            <w:pPr>
              <w:spacing w:line="360" w:lineRule="auto"/>
              <w:jc w:val="center"/>
              <w:rPr>
                <w:rFonts w:ascii="宋体" w:hAnsi="宋体" w:cs="宋体"/>
                <w:sz w:val="24"/>
                <w:szCs w:val="24"/>
                <w:highlight w:val="none"/>
              </w:rPr>
            </w:pPr>
          </w:p>
        </w:tc>
        <w:tc>
          <w:tcPr>
            <w:tcW w:w="2055" w:type="dxa"/>
            <w:vAlign w:val="center"/>
          </w:tcPr>
          <w:p w14:paraId="0824F05B">
            <w:pPr>
              <w:spacing w:line="360" w:lineRule="auto"/>
              <w:jc w:val="center"/>
              <w:rPr>
                <w:rFonts w:ascii="宋体" w:hAnsi="宋体" w:cs="宋体"/>
                <w:sz w:val="24"/>
                <w:szCs w:val="24"/>
                <w:highlight w:val="none"/>
              </w:rPr>
            </w:pPr>
          </w:p>
        </w:tc>
        <w:tc>
          <w:tcPr>
            <w:tcW w:w="2191" w:type="dxa"/>
            <w:vAlign w:val="center"/>
          </w:tcPr>
          <w:p w14:paraId="2909F54A">
            <w:pPr>
              <w:spacing w:line="360" w:lineRule="auto"/>
              <w:jc w:val="center"/>
              <w:rPr>
                <w:rFonts w:ascii="宋体" w:hAnsi="宋体" w:cs="宋体"/>
                <w:sz w:val="24"/>
                <w:szCs w:val="24"/>
                <w:highlight w:val="none"/>
              </w:rPr>
            </w:pPr>
          </w:p>
        </w:tc>
        <w:tc>
          <w:tcPr>
            <w:tcW w:w="1369" w:type="dxa"/>
            <w:vAlign w:val="center"/>
          </w:tcPr>
          <w:p w14:paraId="4550716C">
            <w:pPr>
              <w:spacing w:line="360" w:lineRule="auto"/>
              <w:jc w:val="center"/>
              <w:rPr>
                <w:rFonts w:ascii="宋体" w:hAnsi="宋体" w:cs="宋体"/>
                <w:sz w:val="24"/>
                <w:szCs w:val="24"/>
                <w:highlight w:val="none"/>
              </w:rPr>
            </w:pPr>
          </w:p>
        </w:tc>
        <w:tc>
          <w:tcPr>
            <w:tcW w:w="2124" w:type="dxa"/>
            <w:vAlign w:val="center"/>
          </w:tcPr>
          <w:p w14:paraId="148B599A">
            <w:pPr>
              <w:spacing w:line="360" w:lineRule="auto"/>
              <w:jc w:val="center"/>
              <w:rPr>
                <w:rFonts w:ascii="宋体" w:hAnsi="宋体" w:cs="宋体"/>
                <w:sz w:val="24"/>
                <w:szCs w:val="24"/>
                <w:highlight w:val="none"/>
              </w:rPr>
            </w:pPr>
          </w:p>
        </w:tc>
      </w:tr>
      <w:tr w14:paraId="10E7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vAlign w:val="center"/>
          </w:tcPr>
          <w:p w14:paraId="1A5D3B77">
            <w:pPr>
              <w:spacing w:line="360" w:lineRule="auto"/>
              <w:jc w:val="center"/>
              <w:rPr>
                <w:rFonts w:ascii="宋体" w:hAnsi="宋体" w:cs="宋体"/>
                <w:sz w:val="24"/>
                <w:szCs w:val="24"/>
                <w:highlight w:val="none"/>
              </w:rPr>
            </w:pPr>
          </w:p>
        </w:tc>
        <w:tc>
          <w:tcPr>
            <w:tcW w:w="1098" w:type="dxa"/>
            <w:vAlign w:val="center"/>
          </w:tcPr>
          <w:p w14:paraId="62BC8C4C">
            <w:pPr>
              <w:spacing w:line="360" w:lineRule="auto"/>
              <w:jc w:val="center"/>
              <w:rPr>
                <w:rFonts w:ascii="宋体" w:hAnsi="宋体" w:cs="宋体"/>
                <w:sz w:val="24"/>
                <w:szCs w:val="24"/>
                <w:highlight w:val="none"/>
              </w:rPr>
            </w:pPr>
          </w:p>
        </w:tc>
        <w:tc>
          <w:tcPr>
            <w:tcW w:w="2055" w:type="dxa"/>
            <w:vAlign w:val="center"/>
          </w:tcPr>
          <w:p w14:paraId="451F524D">
            <w:pPr>
              <w:spacing w:line="360" w:lineRule="auto"/>
              <w:jc w:val="center"/>
              <w:rPr>
                <w:rFonts w:ascii="宋体" w:hAnsi="宋体" w:cs="宋体"/>
                <w:sz w:val="24"/>
                <w:szCs w:val="24"/>
                <w:highlight w:val="none"/>
              </w:rPr>
            </w:pPr>
          </w:p>
        </w:tc>
        <w:tc>
          <w:tcPr>
            <w:tcW w:w="2191" w:type="dxa"/>
            <w:vAlign w:val="center"/>
          </w:tcPr>
          <w:p w14:paraId="2B92B783">
            <w:pPr>
              <w:spacing w:line="360" w:lineRule="auto"/>
              <w:jc w:val="center"/>
              <w:rPr>
                <w:rFonts w:ascii="宋体" w:hAnsi="宋体" w:cs="宋体"/>
                <w:sz w:val="24"/>
                <w:szCs w:val="24"/>
                <w:highlight w:val="none"/>
              </w:rPr>
            </w:pPr>
          </w:p>
        </w:tc>
        <w:tc>
          <w:tcPr>
            <w:tcW w:w="1369" w:type="dxa"/>
            <w:vAlign w:val="center"/>
          </w:tcPr>
          <w:p w14:paraId="3804ECF7">
            <w:pPr>
              <w:spacing w:line="360" w:lineRule="auto"/>
              <w:jc w:val="center"/>
              <w:rPr>
                <w:rFonts w:ascii="宋体" w:hAnsi="宋体" w:cs="宋体"/>
                <w:sz w:val="24"/>
                <w:szCs w:val="24"/>
                <w:highlight w:val="none"/>
              </w:rPr>
            </w:pPr>
          </w:p>
        </w:tc>
        <w:tc>
          <w:tcPr>
            <w:tcW w:w="2124" w:type="dxa"/>
            <w:vAlign w:val="center"/>
          </w:tcPr>
          <w:p w14:paraId="1588122D">
            <w:pPr>
              <w:spacing w:line="360" w:lineRule="auto"/>
              <w:jc w:val="center"/>
              <w:rPr>
                <w:rFonts w:ascii="宋体" w:hAnsi="宋体" w:cs="宋体"/>
                <w:sz w:val="24"/>
                <w:szCs w:val="24"/>
                <w:highlight w:val="none"/>
              </w:rPr>
            </w:pPr>
          </w:p>
        </w:tc>
      </w:tr>
    </w:tbl>
    <w:p w14:paraId="65474FFE">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注：</w:t>
      </w:r>
    </w:p>
    <w:p w14:paraId="411E59D5">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（1）商务条款指：招标文件中对合同履行期限、交货地点、质保期、质量标准等内容，投标人应仔细阅读招标文件第</w:t>
      </w:r>
      <w:r>
        <w:rPr>
          <w:rFonts w:hint="eastAsia" w:ascii="宋体" w:hAnsi="宋体" w:cs="宋体"/>
          <w:b/>
          <w:bCs/>
          <w:sz w:val="24"/>
          <w:szCs w:val="24"/>
          <w:highlight w:val="none"/>
          <w:lang w:val="en-US" w:eastAsia="zh-CN"/>
        </w:rPr>
        <w:t>五</w:t>
      </w:r>
      <w:r>
        <w:rPr>
          <w:rFonts w:hint="eastAsia" w:ascii="宋体" w:hAnsi="宋体" w:cs="宋体"/>
          <w:b/>
          <w:bCs/>
          <w:sz w:val="24"/>
          <w:szCs w:val="24"/>
          <w:highlight w:val="none"/>
        </w:rPr>
        <w:t>章“采购需求及要求”中“二、商务要求”的各项商务要求，若由于投标人的疏忽大意或未能完整、如实填写，视为投标人全部满足。</w:t>
      </w:r>
    </w:p>
    <w:p w14:paraId="5AA82AB9">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（2）“偏离情况”请如实填写：“有偏离”并填写说明。</w:t>
      </w:r>
    </w:p>
    <w:p w14:paraId="0B4908AB">
      <w:pPr>
        <w:rPr>
          <w:rFonts w:ascii="宋体" w:hAnsi="宋体" w:cs="宋体"/>
          <w:highlight w:val="none"/>
        </w:rPr>
      </w:pPr>
    </w:p>
    <w:p w14:paraId="1EA6076E">
      <w:pPr>
        <w:spacing w:before="60" w:after="60" w:line="360" w:lineRule="auto"/>
        <w:ind w:firstLine="510"/>
        <w:rPr>
          <w:rFonts w:ascii="宋体" w:hAnsi="宋体" w:cs="宋体"/>
          <w:sz w:val="24"/>
          <w:highlight w:val="none"/>
        </w:rPr>
      </w:pPr>
      <w:r>
        <w:rPr>
          <w:rFonts w:hint="eastAsia" w:ascii="宋体" w:hAnsi="宋体" w:cs="宋体"/>
          <w:sz w:val="24"/>
          <w:highlight w:val="none"/>
        </w:rPr>
        <w:t>投标人全称（加盖电子公章）：</w:t>
      </w:r>
      <w:r>
        <w:rPr>
          <w:rFonts w:hint="eastAsia" w:ascii="宋体" w:hAnsi="宋体" w:cs="宋体"/>
          <w:sz w:val="24"/>
          <w:highlight w:val="none"/>
          <w:u w:val="single"/>
        </w:rPr>
        <w:t>________________________</w:t>
      </w:r>
    </w:p>
    <w:p w14:paraId="295780A3">
      <w:pPr>
        <w:spacing w:before="60" w:after="60" w:line="360" w:lineRule="auto"/>
        <w:ind w:firstLine="510"/>
        <w:rPr>
          <w:rFonts w:ascii="宋体" w:hAnsi="宋体" w:cs="宋体"/>
          <w:sz w:val="24"/>
          <w:highlight w:val="none"/>
        </w:rPr>
      </w:pPr>
      <w:r>
        <w:rPr>
          <w:rFonts w:hint="eastAsia" w:ascii="宋体" w:hAnsi="宋体" w:cs="宋体"/>
          <w:sz w:val="24"/>
          <w:highlight w:val="none"/>
        </w:rPr>
        <w:t>法定代表人或委托代理人签字或签章：</w:t>
      </w:r>
      <w:r>
        <w:rPr>
          <w:rFonts w:hint="eastAsia" w:ascii="宋体" w:hAnsi="宋体" w:cs="宋体"/>
          <w:sz w:val="24"/>
          <w:highlight w:val="none"/>
          <w:u w:val="single"/>
        </w:rPr>
        <w:t>__________________</w:t>
      </w:r>
    </w:p>
    <w:p w14:paraId="7EEB6512">
      <w:pPr>
        <w:spacing w:before="60" w:after="60" w:line="360" w:lineRule="auto"/>
        <w:ind w:firstLine="51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_______</w:t>
      </w:r>
      <w:r>
        <w:rPr>
          <w:rFonts w:hint="eastAsia" w:ascii="宋体" w:hAnsi="宋体" w:cs="宋体"/>
          <w:sz w:val="24"/>
          <w:highlight w:val="none"/>
        </w:rPr>
        <w:t>年</w:t>
      </w:r>
      <w:r>
        <w:rPr>
          <w:rFonts w:hint="eastAsia" w:ascii="宋体" w:hAnsi="宋体" w:cs="宋体"/>
          <w:sz w:val="24"/>
          <w:highlight w:val="none"/>
          <w:u w:val="single"/>
        </w:rPr>
        <w:t>____</w:t>
      </w:r>
      <w:r>
        <w:rPr>
          <w:rFonts w:hint="eastAsia" w:ascii="宋体" w:hAnsi="宋体" w:cs="宋体"/>
          <w:sz w:val="24"/>
          <w:highlight w:val="none"/>
        </w:rPr>
        <w:t>月</w:t>
      </w:r>
      <w:r>
        <w:rPr>
          <w:rFonts w:hint="eastAsia" w:ascii="宋体" w:hAnsi="宋体" w:cs="宋体"/>
          <w:sz w:val="24"/>
          <w:highlight w:val="none"/>
          <w:u w:val="single"/>
        </w:rPr>
        <w:t>_____</w:t>
      </w:r>
      <w:r>
        <w:rPr>
          <w:rFonts w:hint="eastAsia" w:ascii="宋体" w:hAnsi="宋体" w:cs="宋体"/>
          <w:sz w:val="24"/>
          <w:highlight w:val="none"/>
        </w:rPr>
        <w:t>日</w:t>
      </w:r>
    </w:p>
    <w:bookmarkEnd w:id="349"/>
    <w:bookmarkEnd w:id="350"/>
    <w:bookmarkEnd w:id="351"/>
    <w:bookmarkEnd w:id="352"/>
    <w:p w14:paraId="0B5BEA50">
      <w:pPr>
        <w:spacing w:line="360" w:lineRule="auto"/>
        <w:ind w:firstLine="560" w:firstLineChars="200"/>
        <w:rPr>
          <w:rFonts w:ascii="宋体" w:hAnsi="宋体" w:cs="宋体"/>
          <w:b/>
          <w:sz w:val="28"/>
          <w:szCs w:val="28"/>
        </w:rPr>
      </w:pPr>
    </w:p>
    <w:p w14:paraId="60163FF9">
      <w:pPr>
        <w:spacing w:line="360" w:lineRule="auto"/>
        <w:ind w:firstLine="560" w:firstLineChars="200"/>
        <w:rPr>
          <w:rFonts w:ascii="宋体" w:hAnsi="宋体" w:cs="宋体"/>
          <w:b/>
          <w:sz w:val="28"/>
          <w:szCs w:val="28"/>
        </w:rPr>
      </w:pPr>
    </w:p>
    <w:p w14:paraId="162B0D9A">
      <w:pPr>
        <w:pStyle w:val="10"/>
      </w:pPr>
    </w:p>
    <w:p w14:paraId="18CEEDF6">
      <w:pPr>
        <w:pStyle w:val="10"/>
      </w:pPr>
    </w:p>
    <w:p w14:paraId="6C32C372">
      <w:pPr>
        <w:widowControl/>
        <w:jc w:val="left"/>
        <w:rPr>
          <w:rFonts w:ascii="宋体" w:hAnsi="宋体" w:cs="宋体"/>
          <w:b/>
          <w:kern w:val="0"/>
          <w:sz w:val="28"/>
          <w:szCs w:val="28"/>
        </w:rPr>
      </w:pPr>
      <w:r>
        <w:rPr>
          <w:rFonts w:hAnsi="宋体" w:cs="宋体"/>
          <w:b/>
          <w:sz w:val="28"/>
          <w:szCs w:val="28"/>
        </w:rPr>
        <w:br w:type="page"/>
      </w:r>
    </w:p>
    <w:p w14:paraId="7C4F7F43">
      <w:pPr>
        <w:pStyle w:val="4"/>
        <w:numPr>
          <w:ilvl w:val="2"/>
          <w:numId w:val="0"/>
        </w:numPr>
        <w:tabs>
          <w:tab w:val="clear" w:pos="360"/>
          <w:tab w:val="clear" w:pos="900"/>
          <w:tab w:val="clear" w:pos="1588"/>
        </w:tabs>
        <w:spacing w:before="0" w:after="0" w:line="360" w:lineRule="auto"/>
        <w:ind w:left="0" w:firstLine="0"/>
        <w:jc w:val="center"/>
        <w:rPr>
          <w:rFonts w:ascii="宋体" w:hAnsi="宋体" w:cs="宋体"/>
          <w:sz w:val="24"/>
          <w:szCs w:val="24"/>
          <w:highlight w:val="none"/>
        </w:rPr>
      </w:pPr>
      <w:bookmarkStart w:id="353" w:name="_Toc17631"/>
      <w:bookmarkStart w:id="354" w:name="_Toc7490"/>
      <w:bookmarkStart w:id="355" w:name="_Toc16146"/>
      <w:bookmarkStart w:id="356" w:name="_Toc31449"/>
      <w:bookmarkStart w:id="357" w:name="_Toc5184"/>
      <w:r>
        <w:rPr>
          <w:rFonts w:hint="eastAsia" w:hAnsi="宋体" w:cs="宋体"/>
          <w:b/>
          <w:sz w:val="28"/>
          <w:szCs w:val="28"/>
        </w:rPr>
        <w:t>格式</w:t>
      </w:r>
      <w:bookmarkStart w:id="358" w:name="_Toc212648405"/>
      <w:bookmarkStart w:id="359" w:name="_Toc7784"/>
      <w:r>
        <w:rPr>
          <w:rFonts w:hint="eastAsia" w:ascii="宋体" w:hAnsi="宋体" w:cs="宋体"/>
          <w:b/>
          <w:sz w:val="28"/>
          <w:szCs w:val="28"/>
          <w:lang w:val="en-US" w:eastAsia="zh-CN"/>
        </w:rPr>
        <w:t xml:space="preserve">8 </w:t>
      </w:r>
      <w:r>
        <w:rPr>
          <w:rFonts w:hint="eastAsia" w:ascii="宋体" w:hAnsi="宋体" w:cs="宋体"/>
          <w:sz w:val="24"/>
          <w:szCs w:val="24"/>
          <w:highlight w:val="none"/>
        </w:rPr>
        <w:t>售后响应方案及培训方案</w:t>
      </w:r>
      <w:bookmarkEnd w:id="353"/>
    </w:p>
    <w:p w14:paraId="1C1B0CD6">
      <w:pPr>
        <w:spacing w:line="360" w:lineRule="auto"/>
        <w:jc w:val="center"/>
        <w:rPr>
          <w:rFonts w:ascii="宋体" w:hAnsi="宋体" w:cs="宋体"/>
          <w:snapToGrid w:val="0"/>
          <w:kern w:val="0"/>
          <w:szCs w:val="20"/>
          <w:highlight w:val="none"/>
        </w:rPr>
      </w:pPr>
      <w:r>
        <w:rPr>
          <w:rFonts w:hint="eastAsia" w:ascii="宋体" w:hAnsi="宋体" w:cs="宋体"/>
          <w:snapToGrid w:val="0"/>
          <w:kern w:val="0"/>
          <w:szCs w:val="20"/>
          <w:highlight w:val="none"/>
        </w:rPr>
        <w:t>（由投标人提供，格式自拟）</w:t>
      </w:r>
    </w:p>
    <w:bookmarkEnd w:id="354"/>
    <w:bookmarkEnd w:id="355"/>
    <w:bookmarkEnd w:id="356"/>
    <w:bookmarkEnd w:id="357"/>
    <w:bookmarkEnd w:id="358"/>
    <w:bookmarkEnd w:id="359"/>
    <w:p w14:paraId="03654938">
      <w:pPr>
        <w:spacing w:line="360" w:lineRule="auto"/>
        <w:rPr>
          <w:rFonts w:hint="eastAsia" w:ascii="宋体" w:hAnsi="宋体" w:cs="宋体"/>
          <w:sz w:val="24"/>
        </w:rPr>
      </w:pPr>
    </w:p>
    <w:p w14:paraId="55381058">
      <w:pPr>
        <w:spacing w:before="0" w:after="0"/>
        <w:ind w:left="420" w:leftChars="200"/>
        <w:jc w:val="center"/>
        <w:rPr>
          <w:rFonts w:hint="eastAsia" w:hAnsi="宋体" w:cs="宋体"/>
          <w:b/>
          <w:sz w:val="32"/>
          <w:szCs w:val="32"/>
        </w:rPr>
      </w:pPr>
      <w:r>
        <w:rPr>
          <w:rFonts w:hint="eastAsia" w:hAnsi="宋体" w:cs="宋体"/>
          <w:b/>
          <w:sz w:val="32"/>
          <w:szCs w:val="32"/>
        </w:rPr>
        <w:br w:type="page"/>
      </w:r>
    </w:p>
    <w:p w14:paraId="19ED172C">
      <w:pPr>
        <w:pStyle w:val="4"/>
        <w:numPr>
          <w:ilvl w:val="2"/>
          <w:numId w:val="0"/>
        </w:numPr>
        <w:tabs>
          <w:tab w:val="clear" w:pos="360"/>
          <w:tab w:val="clear" w:pos="900"/>
          <w:tab w:val="clear" w:pos="1588"/>
        </w:tabs>
        <w:spacing w:before="0" w:after="0" w:line="360" w:lineRule="auto"/>
        <w:ind w:left="420" w:leftChars="200" w:firstLine="0"/>
        <w:jc w:val="center"/>
        <w:rPr>
          <w:rFonts w:ascii="宋体" w:hAnsi="宋体" w:cs="宋体"/>
          <w:sz w:val="24"/>
          <w:szCs w:val="24"/>
          <w:highlight w:val="none"/>
        </w:rPr>
      </w:pPr>
      <w:bookmarkStart w:id="360" w:name="_Toc19233"/>
      <w:bookmarkStart w:id="361" w:name="_Toc25305"/>
      <w:bookmarkStart w:id="362" w:name="_Toc19397"/>
      <w:bookmarkStart w:id="363" w:name="_Toc15193"/>
      <w:bookmarkStart w:id="364" w:name="_Toc1762"/>
      <w:r>
        <w:rPr>
          <w:rFonts w:hint="eastAsia" w:ascii="宋体" w:hAnsi="宋体" w:cs="宋体"/>
          <w:b/>
          <w:sz w:val="28"/>
          <w:szCs w:val="28"/>
        </w:rPr>
        <w:t>格式</w:t>
      </w:r>
      <w:bookmarkStart w:id="365" w:name="_Toc212648407"/>
      <w:bookmarkStart w:id="366" w:name="_Toc272"/>
      <w:bookmarkStart w:id="367" w:name="_Toc505862838"/>
      <w:r>
        <w:rPr>
          <w:rFonts w:hint="eastAsia" w:ascii="宋体" w:hAnsi="宋体" w:cs="宋体"/>
          <w:b/>
          <w:sz w:val="28"/>
          <w:szCs w:val="28"/>
          <w:lang w:val="en-US" w:eastAsia="zh-CN"/>
        </w:rPr>
        <w:t>9</w:t>
      </w:r>
      <w:r>
        <w:rPr>
          <w:rFonts w:hint="eastAsia" w:ascii="宋体" w:hAnsi="宋体" w:cs="宋体"/>
          <w:b/>
          <w:bCs w:val="0"/>
          <w:sz w:val="28"/>
          <w:szCs w:val="28"/>
          <w:lang w:val="en-US" w:eastAsia="zh-CN"/>
        </w:rPr>
        <w:t xml:space="preserve">  </w:t>
      </w:r>
      <w:r>
        <w:rPr>
          <w:rFonts w:hint="eastAsia" w:ascii="宋体" w:hAnsi="宋体" w:cs="宋体"/>
          <w:sz w:val="24"/>
          <w:szCs w:val="24"/>
          <w:highlight w:val="none"/>
        </w:rPr>
        <w:t>中小企业声明函（货物）</w:t>
      </w:r>
      <w:bookmarkEnd w:id="360"/>
    </w:p>
    <w:p w14:paraId="7BE3EC6E">
      <w:p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本公司（联合体）郑重声明，根据《政府采购促进中小企业发展管理办法》（财库﹝2020﹞46 号）的规定，本公司（联合体）参加</w:t>
      </w:r>
      <w:r>
        <w:rPr>
          <w:rFonts w:hint="eastAsia" w:ascii="宋体" w:hAnsi="宋体" w:cs="宋体"/>
          <w:kern w:val="0"/>
          <w:sz w:val="24"/>
          <w:szCs w:val="24"/>
          <w:highlight w:val="none"/>
          <w:u w:val="single"/>
        </w:rPr>
        <w:t xml:space="preserve">     （单位名称）</w:t>
      </w:r>
      <w:r>
        <w:rPr>
          <w:rFonts w:hint="eastAsia" w:ascii="宋体" w:hAnsi="宋体" w:cs="宋体"/>
          <w:kern w:val="0"/>
          <w:sz w:val="24"/>
          <w:szCs w:val="24"/>
          <w:highlight w:val="none"/>
        </w:rPr>
        <w:t>的</w:t>
      </w:r>
      <w:r>
        <w:rPr>
          <w:rFonts w:hint="eastAsia" w:ascii="宋体" w:hAnsi="宋体" w:cs="宋体"/>
          <w:kern w:val="0"/>
          <w:sz w:val="24"/>
          <w:szCs w:val="24"/>
          <w:highlight w:val="none"/>
          <w:u w:val="single"/>
        </w:rPr>
        <w:t xml:space="preserve">     （项目名称）</w:t>
      </w:r>
      <w:r>
        <w:rPr>
          <w:rFonts w:hint="eastAsia" w:ascii="宋体" w:hAnsi="宋体" w:cs="宋体"/>
          <w:kern w:val="0"/>
          <w:sz w:val="24"/>
          <w:szCs w:val="24"/>
          <w:highlight w:val="none"/>
        </w:rPr>
        <w:t>采购活动，提供的货物全部由符合政策要求的中小企业制造。相关企业（含联合体中的中小企业、签订分包意向协议的中小企业）的具体情况如下</w:t>
      </w:r>
    </w:p>
    <w:p w14:paraId="39892094">
      <w:pPr>
        <w:numPr>
          <w:ilvl w:val="0"/>
          <w:numId w:val="3"/>
        </w:num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highlight w:val="none"/>
          <w:u w:val="single"/>
        </w:rPr>
        <w:t>图书馆平台系统</w:t>
      </w:r>
      <w:r>
        <w:rPr>
          <w:rFonts w:hint="eastAsia" w:ascii="宋体" w:hAnsi="宋体" w:cs="宋体"/>
          <w:kern w:val="0"/>
          <w:sz w:val="24"/>
          <w:szCs w:val="24"/>
          <w:highlight w:val="none"/>
          <w:u w:val="single"/>
        </w:rPr>
        <w:t>（</w:t>
      </w:r>
      <w:r>
        <w:rPr>
          <w:rFonts w:hint="eastAsia" w:ascii="宋体" w:hAnsi="宋体" w:cs="宋体"/>
          <w:kern w:val="0"/>
          <w:sz w:val="24"/>
          <w:szCs w:val="24"/>
          <w:highlight w:val="none"/>
          <w:u w:val="single"/>
          <w:lang w:val="en-US" w:eastAsia="zh-CN"/>
        </w:rPr>
        <w:t>设备</w:t>
      </w:r>
      <w:r>
        <w:rPr>
          <w:rFonts w:hint="eastAsia" w:ascii="宋体" w:hAnsi="宋体" w:cs="宋体"/>
          <w:kern w:val="0"/>
          <w:sz w:val="24"/>
          <w:szCs w:val="24"/>
          <w:highlight w:val="none"/>
          <w:u w:val="single"/>
        </w:rPr>
        <w:t>名称）</w:t>
      </w:r>
      <w:r>
        <w:rPr>
          <w:rFonts w:hint="eastAsia" w:ascii="宋体" w:hAnsi="宋体" w:cs="宋体"/>
          <w:kern w:val="0"/>
          <w:sz w:val="24"/>
          <w:szCs w:val="24"/>
          <w:highlight w:val="none"/>
        </w:rPr>
        <w:t xml:space="preserve"> ，属于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highlight w:val="none"/>
          <w:u w:val="single"/>
        </w:rPr>
        <w:t>软件和信息技术服务业</w:t>
      </w:r>
      <w:r>
        <w:rPr>
          <w:rFonts w:hint="eastAsia" w:ascii="宋体" w:hAnsi="宋体" w:cs="宋体"/>
          <w:kern w:val="0"/>
          <w:sz w:val="24"/>
          <w:szCs w:val="24"/>
          <w:highlight w:val="none"/>
          <w:u w:val="single"/>
        </w:rPr>
        <w:t>（采购文件中明确的所属行业）</w:t>
      </w:r>
      <w:r>
        <w:rPr>
          <w:rFonts w:hint="eastAsia" w:ascii="宋体" w:hAnsi="宋体" w:cs="宋体"/>
          <w:kern w:val="0"/>
          <w:sz w:val="24"/>
          <w:szCs w:val="24"/>
          <w:highlight w:val="none"/>
        </w:rPr>
        <w:t>；制造商为</w:t>
      </w:r>
      <w:r>
        <w:rPr>
          <w:rFonts w:hint="eastAsia" w:ascii="宋体" w:hAnsi="宋体" w:cs="宋体"/>
          <w:kern w:val="0"/>
          <w:sz w:val="24"/>
          <w:szCs w:val="24"/>
          <w:highlight w:val="none"/>
          <w:u w:val="single"/>
        </w:rPr>
        <w:t xml:space="preserve">         （企业名称）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8"/>
          <w:szCs w:val="28"/>
          <w:highlight w:val="none"/>
          <w:vertAlign w:val="superscript"/>
        </w:rPr>
        <w:t>1</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w:t>
      </w:r>
    </w:p>
    <w:p w14:paraId="067F740D">
      <w:pPr>
        <w:numPr>
          <w:ilvl w:val="0"/>
          <w:numId w:val="3"/>
        </w:num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u w:val="single"/>
        </w:rPr>
        <w:t xml:space="preserve"> </w:t>
      </w:r>
      <w:r>
        <w:rPr>
          <w:rFonts w:hint="eastAsia" w:ascii="宋体" w:hAnsi="宋体" w:cs="宋体"/>
          <w:kern w:val="0"/>
          <w:sz w:val="24"/>
          <w:highlight w:val="none"/>
          <w:u w:val="single"/>
        </w:rPr>
        <w:t>条码枪</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w:t>
      </w:r>
      <w:r>
        <w:rPr>
          <w:rFonts w:hint="eastAsia" w:ascii="宋体" w:hAnsi="宋体" w:cs="宋体"/>
          <w:kern w:val="0"/>
          <w:sz w:val="24"/>
          <w:szCs w:val="24"/>
          <w:highlight w:val="none"/>
          <w:u w:val="single"/>
          <w:lang w:val="en-US" w:eastAsia="zh-CN"/>
        </w:rPr>
        <w:t>设备</w:t>
      </w:r>
      <w:r>
        <w:rPr>
          <w:rFonts w:hint="eastAsia" w:ascii="宋体" w:hAnsi="宋体" w:cs="宋体"/>
          <w:kern w:val="0"/>
          <w:sz w:val="24"/>
          <w:szCs w:val="24"/>
          <w:highlight w:val="none"/>
          <w:u w:val="single"/>
        </w:rPr>
        <w:t>名称）</w:t>
      </w:r>
      <w:r>
        <w:rPr>
          <w:rFonts w:hint="eastAsia" w:ascii="宋体" w:hAnsi="宋体" w:cs="宋体"/>
          <w:kern w:val="0"/>
          <w:sz w:val="24"/>
          <w:szCs w:val="24"/>
          <w:highlight w:val="none"/>
        </w:rPr>
        <w:t xml:space="preserve"> ，属于</w:t>
      </w:r>
      <w:r>
        <w:rPr>
          <w:rFonts w:hint="eastAsia" w:ascii="宋体" w:hAnsi="宋体" w:cs="宋体"/>
          <w:kern w:val="0"/>
          <w:sz w:val="24"/>
          <w:szCs w:val="24"/>
          <w:highlight w:val="none"/>
          <w:u w:val="single"/>
          <w:lang w:val="en-US" w:eastAsia="zh-CN"/>
        </w:rPr>
        <w:t xml:space="preserve"> 工业</w:t>
      </w:r>
      <w:r>
        <w:rPr>
          <w:rFonts w:hint="eastAsia" w:ascii="宋体" w:hAnsi="宋体" w:cs="宋体"/>
          <w:kern w:val="0"/>
          <w:sz w:val="24"/>
          <w:szCs w:val="24"/>
          <w:highlight w:val="none"/>
          <w:u w:val="single"/>
        </w:rPr>
        <w:t xml:space="preserve"> （采购文件中明确的所属行业）</w:t>
      </w:r>
      <w:r>
        <w:rPr>
          <w:rFonts w:hint="eastAsia" w:ascii="宋体" w:hAnsi="宋体" w:cs="宋体"/>
          <w:kern w:val="0"/>
          <w:sz w:val="24"/>
          <w:szCs w:val="24"/>
          <w:highlight w:val="none"/>
        </w:rPr>
        <w:t>；制造商为</w:t>
      </w:r>
      <w:r>
        <w:rPr>
          <w:rFonts w:hint="eastAsia" w:ascii="宋体" w:hAnsi="宋体" w:cs="宋体"/>
          <w:kern w:val="0"/>
          <w:sz w:val="24"/>
          <w:szCs w:val="24"/>
          <w:highlight w:val="none"/>
          <w:u w:val="single"/>
        </w:rPr>
        <w:t xml:space="preserve">         （企业名称）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8"/>
          <w:szCs w:val="28"/>
          <w:highlight w:val="none"/>
          <w:vertAlign w:val="superscript"/>
        </w:rPr>
        <w:t>1</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w:t>
      </w:r>
    </w:p>
    <w:p w14:paraId="4CDFCD81">
      <w:pPr>
        <w:numPr>
          <w:ilvl w:val="0"/>
          <w:numId w:val="3"/>
        </w:num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highlight w:val="none"/>
          <w:u w:val="single"/>
        </w:rPr>
        <w:t>磁条自助借还书一体机</w:t>
      </w:r>
      <w:r>
        <w:rPr>
          <w:rFonts w:hint="eastAsia" w:ascii="宋体" w:hAnsi="宋体" w:cs="宋体"/>
          <w:kern w:val="0"/>
          <w:sz w:val="24"/>
          <w:szCs w:val="24"/>
          <w:highlight w:val="none"/>
          <w:u w:val="single"/>
        </w:rPr>
        <w:t>（</w:t>
      </w:r>
      <w:r>
        <w:rPr>
          <w:rFonts w:hint="eastAsia" w:ascii="宋体" w:hAnsi="宋体" w:cs="宋体"/>
          <w:kern w:val="0"/>
          <w:sz w:val="24"/>
          <w:szCs w:val="24"/>
          <w:highlight w:val="none"/>
          <w:u w:val="single"/>
          <w:lang w:val="en-US" w:eastAsia="zh-CN"/>
        </w:rPr>
        <w:t>设备</w:t>
      </w:r>
      <w:r>
        <w:rPr>
          <w:rFonts w:hint="eastAsia" w:ascii="宋体" w:hAnsi="宋体" w:cs="宋体"/>
          <w:kern w:val="0"/>
          <w:sz w:val="24"/>
          <w:szCs w:val="24"/>
          <w:highlight w:val="none"/>
          <w:u w:val="single"/>
        </w:rPr>
        <w:t>名称）</w:t>
      </w:r>
      <w:r>
        <w:rPr>
          <w:rFonts w:hint="eastAsia" w:ascii="宋体" w:hAnsi="宋体" w:cs="宋体"/>
          <w:kern w:val="0"/>
          <w:sz w:val="24"/>
          <w:szCs w:val="24"/>
          <w:highlight w:val="none"/>
        </w:rPr>
        <w:t xml:space="preserve"> ，属于</w:t>
      </w:r>
      <w:r>
        <w:rPr>
          <w:rFonts w:hint="eastAsia" w:ascii="宋体" w:hAnsi="宋体" w:cs="宋体"/>
          <w:kern w:val="0"/>
          <w:sz w:val="24"/>
          <w:szCs w:val="24"/>
          <w:highlight w:val="none"/>
          <w:u w:val="single"/>
          <w:lang w:val="en-US" w:eastAsia="zh-CN"/>
        </w:rPr>
        <w:t xml:space="preserve">   工业</w:t>
      </w:r>
      <w:r>
        <w:rPr>
          <w:rFonts w:hint="eastAsia" w:ascii="宋体" w:hAnsi="宋体" w:cs="宋体"/>
          <w:kern w:val="0"/>
          <w:sz w:val="24"/>
          <w:szCs w:val="24"/>
          <w:highlight w:val="none"/>
          <w:u w:val="single"/>
        </w:rPr>
        <w:t xml:space="preserve">  （采购文件中明确的所属行业）</w:t>
      </w:r>
      <w:r>
        <w:rPr>
          <w:rFonts w:hint="eastAsia" w:ascii="宋体" w:hAnsi="宋体" w:cs="宋体"/>
          <w:kern w:val="0"/>
          <w:sz w:val="24"/>
          <w:szCs w:val="24"/>
          <w:highlight w:val="none"/>
        </w:rPr>
        <w:t>；制造商为</w:t>
      </w:r>
      <w:r>
        <w:rPr>
          <w:rFonts w:hint="eastAsia" w:ascii="宋体" w:hAnsi="宋体" w:cs="宋体"/>
          <w:kern w:val="0"/>
          <w:sz w:val="24"/>
          <w:szCs w:val="24"/>
          <w:highlight w:val="none"/>
          <w:u w:val="single"/>
        </w:rPr>
        <w:t xml:space="preserve">         （企业名称）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8"/>
          <w:szCs w:val="28"/>
          <w:highlight w:val="none"/>
          <w:vertAlign w:val="superscript"/>
        </w:rPr>
        <w:t>1</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w:t>
      </w:r>
    </w:p>
    <w:p w14:paraId="67C86535">
      <w:pPr>
        <w:numPr>
          <w:ilvl w:val="0"/>
          <w:numId w:val="3"/>
        </w:num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u w:val="single"/>
        </w:rPr>
        <w:t xml:space="preserve"> </w:t>
      </w:r>
      <w:r>
        <w:rPr>
          <w:rFonts w:hint="eastAsia" w:ascii="宋体" w:hAnsi="宋体" w:cs="宋体"/>
          <w:kern w:val="0"/>
          <w:sz w:val="24"/>
          <w:highlight w:val="none"/>
          <w:u w:val="single"/>
        </w:rPr>
        <w:t>防盗仪安全门</w:t>
      </w:r>
      <w:r>
        <w:rPr>
          <w:rFonts w:hint="eastAsia" w:ascii="宋体" w:hAnsi="宋体" w:cs="宋体"/>
          <w:kern w:val="0"/>
          <w:sz w:val="24"/>
          <w:szCs w:val="24"/>
          <w:highlight w:val="none"/>
          <w:u w:val="single"/>
        </w:rPr>
        <w:t>（</w:t>
      </w:r>
      <w:r>
        <w:rPr>
          <w:rFonts w:hint="eastAsia" w:ascii="宋体" w:hAnsi="宋体" w:cs="宋体"/>
          <w:kern w:val="0"/>
          <w:sz w:val="24"/>
          <w:szCs w:val="24"/>
          <w:highlight w:val="none"/>
          <w:u w:val="single"/>
          <w:lang w:val="en-US" w:eastAsia="zh-CN"/>
        </w:rPr>
        <w:t>设备</w:t>
      </w:r>
      <w:r>
        <w:rPr>
          <w:rFonts w:hint="eastAsia" w:ascii="宋体" w:hAnsi="宋体" w:cs="宋体"/>
          <w:kern w:val="0"/>
          <w:sz w:val="24"/>
          <w:szCs w:val="24"/>
          <w:highlight w:val="none"/>
          <w:u w:val="single"/>
        </w:rPr>
        <w:t>名称）</w:t>
      </w:r>
      <w:r>
        <w:rPr>
          <w:rFonts w:hint="eastAsia" w:ascii="宋体" w:hAnsi="宋体" w:cs="宋体"/>
          <w:kern w:val="0"/>
          <w:sz w:val="24"/>
          <w:szCs w:val="24"/>
          <w:highlight w:val="none"/>
        </w:rPr>
        <w:t xml:space="preserve"> ，属于</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工业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（采购文件中明确的所属行业）</w:t>
      </w:r>
      <w:r>
        <w:rPr>
          <w:rFonts w:hint="eastAsia" w:ascii="宋体" w:hAnsi="宋体" w:cs="宋体"/>
          <w:kern w:val="0"/>
          <w:sz w:val="24"/>
          <w:szCs w:val="24"/>
          <w:highlight w:val="none"/>
        </w:rPr>
        <w:t>；制造商为</w:t>
      </w:r>
      <w:r>
        <w:rPr>
          <w:rFonts w:hint="eastAsia" w:ascii="宋体" w:hAnsi="宋体" w:cs="宋体"/>
          <w:kern w:val="0"/>
          <w:sz w:val="24"/>
          <w:szCs w:val="24"/>
          <w:highlight w:val="none"/>
          <w:u w:val="single"/>
        </w:rPr>
        <w:t xml:space="preserve">         （企业名称）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8"/>
          <w:szCs w:val="28"/>
          <w:highlight w:val="none"/>
          <w:vertAlign w:val="superscript"/>
        </w:rPr>
        <w:t>1</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w:t>
      </w:r>
    </w:p>
    <w:p w14:paraId="55F1AB68">
      <w:pPr>
        <w:numPr>
          <w:ilvl w:val="0"/>
          <w:numId w:val="3"/>
        </w:num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u w:val="single"/>
        </w:rPr>
        <w:t xml:space="preserve"> </w:t>
      </w:r>
      <w:r>
        <w:rPr>
          <w:rFonts w:hint="eastAsia" w:ascii="宋体" w:hAnsi="宋体" w:cs="宋体"/>
          <w:kern w:val="0"/>
          <w:sz w:val="24"/>
          <w:highlight w:val="none"/>
          <w:u w:val="single"/>
        </w:rPr>
        <w:t>充消磁检一体机</w:t>
      </w:r>
      <w:r>
        <w:rPr>
          <w:rFonts w:hint="eastAsia" w:ascii="宋体" w:hAnsi="宋体" w:cs="宋体"/>
          <w:kern w:val="0"/>
          <w:sz w:val="24"/>
          <w:szCs w:val="24"/>
          <w:highlight w:val="none"/>
          <w:u w:val="single"/>
        </w:rPr>
        <w:t>（</w:t>
      </w:r>
      <w:r>
        <w:rPr>
          <w:rFonts w:hint="eastAsia" w:ascii="宋体" w:hAnsi="宋体" w:cs="宋体"/>
          <w:kern w:val="0"/>
          <w:sz w:val="24"/>
          <w:szCs w:val="24"/>
          <w:highlight w:val="none"/>
          <w:u w:val="single"/>
          <w:lang w:val="en-US" w:eastAsia="zh-CN"/>
        </w:rPr>
        <w:t>设备</w:t>
      </w:r>
      <w:r>
        <w:rPr>
          <w:rFonts w:hint="eastAsia" w:ascii="宋体" w:hAnsi="宋体" w:cs="宋体"/>
          <w:kern w:val="0"/>
          <w:sz w:val="24"/>
          <w:szCs w:val="24"/>
          <w:highlight w:val="none"/>
          <w:u w:val="single"/>
        </w:rPr>
        <w:t>名称）</w:t>
      </w:r>
      <w:r>
        <w:rPr>
          <w:rFonts w:hint="eastAsia" w:ascii="宋体" w:hAnsi="宋体" w:cs="宋体"/>
          <w:kern w:val="0"/>
          <w:sz w:val="24"/>
          <w:szCs w:val="24"/>
          <w:highlight w:val="none"/>
        </w:rPr>
        <w:t xml:space="preserve"> ，属于</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工业</w:t>
      </w:r>
      <w:r>
        <w:rPr>
          <w:rFonts w:hint="eastAsia" w:ascii="宋体" w:hAnsi="宋体" w:cs="宋体"/>
          <w:kern w:val="0"/>
          <w:sz w:val="24"/>
          <w:szCs w:val="24"/>
          <w:highlight w:val="none"/>
          <w:u w:val="single"/>
        </w:rPr>
        <w:t xml:space="preserve">  （采购文件中明确的所属行业）</w:t>
      </w:r>
      <w:r>
        <w:rPr>
          <w:rFonts w:hint="eastAsia" w:ascii="宋体" w:hAnsi="宋体" w:cs="宋体"/>
          <w:kern w:val="0"/>
          <w:sz w:val="24"/>
          <w:szCs w:val="24"/>
          <w:highlight w:val="none"/>
        </w:rPr>
        <w:t>；制造商为</w:t>
      </w:r>
      <w:r>
        <w:rPr>
          <w:rFonts w:hint="eastAsia" w:ascii="宋体" w:hAnsi="宋体" w:cs="宋体"/>
          <w:kern w:val="0"/>
          <w:sz w:val="24"/>
          <w:szCs w:val="24"/>
          <w:highlight w:val="none"/>
          <w:u w:val="single"/>
        </w:rPr>
        <w:t xml:space="preserve">         （企业名称）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8"/>
          <w:szCs w:val="28"/>
          <w:highlight w:val="none"/>
          <w:vertAlign w:val="superscript"/>
        </w:rPr>
        <w:t>1</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w:t>
      </w:r>
    </w:p>
    <w:p w14:paraId="285DC2B1">
      <w:pPr>
        <w:numPr>
          <w:ilvl w:val="0"/>
          <w:numId w:val="3"/>
        </w:num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u w:val="single"/>
        </w:rPr>
        <w:t xml:space="preserve"> </w:t>
      </w:r>
      <w:r>
        <w:rPr>
          <w:rFonts w:hint="eastAsia" w:ascii="宋体" w:hAnsi="宋体" w:cs="宋体"/>
          <w:kern w:val="0"/>
          <w:sz w:val="24"/>
          <w:highlight w:val="none"/>
          <w:u w:val="single"/>
        </w:rPr>
        <w:t>OPAC阅读机</w:t>
      </w:r>
      <w:r>
        <w:rPr>
          <w:rFonts w:hint="eastAsia" w:ascii="宋体" w:hAnsi="宋体" w:cs="宋体"/>
          <w:kern w:val="0"/>
          <w:sz w:val="24"/>
          <w:szCs w:val="24"/>
          <w:highlight w:val="none"/>
          <w:u w:val="single"/>
        </w:rPr>
        <w:t>（</w:t>
      </w:r>
      <w:r>
        <w:rPr>
          <w:rFonts w:hint="eastAsia" w:ascii="宋体" w:hAnsi="宋体" w:cs="宋体"/>
          <w:kern w:val="0"/>
          <w:sz w:val="24"/>
          <w:szCs w:val="24"/>
          <w:highlight w:val="none"/>
          <w:u w:val="single"/>
          <w:lang w:val="en-US" w:eastAsia="zh-CN"/>
        </w:rPr>
        <w:t>设备</w:t>
      </w:r>
      <w:r>
        <w:rPr>
          <w:rFonts w:hint="eastAsia" w:ascii="宋体" w:hAnsi="宋体" w:cs="宋体"/>
          <w:kern w:val="0"/>
          <w:sz w:val="24"/>
          <w:szCs w:val="24"/>
          <w:highlight w:val="none"/>
          <w:u w:val="single"/>
        </w:rPr>
        <w:t>名称）</w:t>
      </w:r>
      <w:r>
        <w:rPr>
          <w:rFonts w:hint="eastAsia" w:ascii="宋体" w:hAnsi="宋体" w:cs="宋体"/>
          <w:kern w:val="0"/>
          <w:sz w:val="24"/>
          <w:szCs w:val="24"/>
          <w:highlight w:val="none"/>
        </w:rPr>
        <w:t xml:space="preserve"> ，属于</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工业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（采购文件中明确的所属行业）</w:t>
      </w:r>
      <w:r>
        <w:rPr>
          <w:rFonts w:hint="eastAsia" w:ascii="宋体" w:hAnsi="宋体" w:cs="宋体"/>
          <w:kern w:val="0"/>
          <w:sz w:val="24"/>
          <w:szCs w:val="24"/>
          <w:highlight w:val="none"/>
        </w:rPr>
        <w:t>；制造商为</w:t>
      </w:r>
      <w:r>
        <w:rPr>
          <w:rFonts w:hint="eastAsia" w:ascii="宋体" w:hAnsi="宋体" w:cs="宋体"/>
          <w:kern w:val="0"/>
          <w:sz w:val="24"/>
          <w:szCs w:val="24"/>
          <w:highlight w:val="none"/>
          <w:u w:val="single"/>
        </w:rPr>
        <w:t xml:space="preserve">         （企业名称）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8"/>
          <w:szCs w:val="28"/>
          <w:highlight w:val="none"/>
          <w:vertAlign w:val="superscript"/>
        </w:rPr>
        <w:t>1</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w:t>
      </w:r>
    </w:p>
    <w:p w14:paraId="02202B85">
      <w:pPr>
        <w:numPr>
          <w:ilvl w:val="0"/>
          <w:numId w:val="3"/>
        </w:num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u w:val="single"/>
        </w:rPr>
        <w:t xml:space="preserve">  </w:t>
      </w:r>
      <w:r>
        <w:rPr>
          <w:rFonts w:hint="eastAsia" w:ascii="宋体" w:hAnsi="宋体" w:cs="宋体"/>
          <w:kern w:val="0"/>
          <w:sz w:val="24"/>
          <w:highlight w:val="none"/>
          <w:u w:val="single"/>
        </w:rPr>
        <w:t>电脑</w:t>
      </w:r>
      <w:r>
        <w:rPr>
          <w:rFonts w:hint="eastAsia" w:ascii="宋体" w:hAnsi="宋体" w:cs="宋体"/>
          <w:kern w:val="0"/>
          <w:sz w:val="24"/>
          <w:szCs w:val="24"/>
          <w:highlight w:val="none"/>
          <w:u w:val="single"/>
        </w:rPr>
        <w:t>（</w:t>
      </w:r>
      <w:r>
        <w:rPr>
          <w:rFonts w:hint="eastAsia" w:ascii="宋体" w:hAnsi="宋体" w:cs="宋体"/>
          <w:kern w:val="0"/>
          <w:sz w:val="24"/>
          <w:szCs w:val="24"/>
          <w:highlight w:val="none"/>
          <w:u w:val="single"/>
          <w:lang w:val="en-US" w:eastAsia="zh-CN"/>
        </w:rPr>
        <w:t>设备</w:t>
      </w:r>
      <w:r>
        <w:rPr>
          <w:rFonts w:hint="eastAsia" w:ascii="宋体" w:hAnsi="宋体" w:cs="宋体"/>
          <w:kern w:val="0"/>
          <w:sz w:val="24"/>
          <w:szCs w:val="24"/>
          <w:highlight w:val="none"/>
          <w:u w:val="single"/>
        </w:rPr>
        <w:t>名称）</w:t>
      </w:r>
      <w:r>
        <w:rPr>
          <w:rFonts w:hint="eastAsia" w:ascii="宋体" w:hAnsi="宋体" w:cs="宋体"/>
          <w:kern w:val="0"/>
          <w:sz w:val="24"/>
          <w:szCs w:val="24"/>
          <w:highlight w:val="none"/>
        </w:rPr>
        <w:t xml:space="preserve"> ，属于</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工业</w:t>
      </w:r>
      <w:r>
        <w:rPr>
          <w:rFonts w:hint="eastAsia" w:ascii="宋体" w:hAnsi="宋体" w:cs="宋体"/>
          <w:kern w:val="0"/>
          <w:sz w:val="24"/>
          <w:szCs w:val="24"/>
          <w:highlight w:val="none"/>
          <w:u w:val="single"/>
        </w:rPr>
        <w:t xml:space="preserve">  （采购文件中明确的所属行业）</w:t>
      </w:r>
      <w:r>
        <w:rPr>
          <w:rFonts w:hint="eastAsia" w:ascii="宋体" w:hAnsi="宋体" w:cs="宋体"/>
          <w:kern w:val="0"/>
          <w:sz w:val="24"/>
          <w:szCs w:val="24"/>
          <w:highlight w:val="none"/>
        </w:rPr>
        <w:t>；制造商为</w:t>
      </w:r>
      <w:r>
        <w:rPr>
          <w:rFonts w:hint="eastAsia" w:ascii="宋体" w:hAnsi="宋体" w:cs="宋体"/>
          <w:kern w:val="0"/>
          <w:sz w:val="24"/>
          <w:szCs w:val="24"/>
          <w:highlight w:val="none"/>
          <w:u w:val="single"/>
        </w:rPr>
        <w:t xml:space="preserve">         （企业名称）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8"/>
          <w:szCs w:val="28"/>
          <w:highlight w:val="none"/>
          <w:vertAlign w:val="superscript"/>
        </w:rPr>
        <w:t>1</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w:t>
      </w:r>
    </w:p>
    <w:p w14:paraId="63BEBF1D">
      <w:pPr>
        <w:numPr>
          <w:ilvl w:val="0"/>
          <w:numId w:val="3"/>
        </w:num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u w:val="single"/>
        </w:rPr>
        <w:t xml:space="preserve"> </w:t>
      </w:r>
      <w:r>
        <w:rPr>
          <w:rFonts w:hint="eastAsia" w:ascii="宋体" w:hAnsi="宋体" w:cs="宋体"/>
          <w:kern w:val="0"/>
          <w:sz w:val="24"/>
          <w:highlight w:val="none"/>
          <w:u w:val="single"/>
        </w:rPr>
        <w:t>三层书车</w:t>
      </w:r>
      <w:r>
        <w:rPr>
          <w:rFonts w:hint="eastAsia" w:ascii="宋体" w:hAnsi="宋体" w:cs="宋体"/>
          <w:kern w:val="0"/>
          <w:sz w:val="24"/>
          <w:szCs w:val="24"/>
          <w:highlight w:val="none"/>
          <w:u w:val="single"/>
        </w:rPr>
        <w:t>（</w:t>
      </w:r>
      <w:r>
        <w:rPr>
          <w:rFonts w:hint="eastAsia" w:ascii="宋体" w:hAnsi="宋体" w:cs="宋体"/>
          <w:kern w:val="0"/>
          <w:sz w:val="24"/>
          <w:szCs w:val="24"/>
          <w:highlight w:val="none"/>
          <w:u w:val="single"/>
          <w:lang w:val="en-US" w:eastAsia="zh-CN"/>
        </w:rPr>
        <w:t>设备</w:t>
      </w:r>
      <w:r>
        <w:rPr>
          <w:rFonts w:hint="eastAsia" w:ascii="宋体" w:hAnsi="宋体" w:cs="宋体"/>
          <w:kern w:val="0"/>
          <w:sz w:val="24"/>
          <w:szCs w:val="24"/>
          <w:highlight w:val="none"/>
          <w:u w:val="single"/>
        </w:rPr>
        <w:t>名称）</w:t>
      </w:r>
      <w:r>
        <w:rPr>
          <w:rFonts w:hint="eastAsia" w:ascii="宋体" w:hAnsi="宋体" w:cs="宋体"/>
          <w:kern w:val="0"/>
          <w:sz w:val="24"/>
          <w:szCs w:val="24"/>
          <w:highlight w:val="none"/>
        </w:rPr>
        <w:t xml:space="preserve"> ，属于</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工业</w:t>
      </w:r>
      <w:r>
        <w:rPr>
          <w:rFonts w:hint="eastAsia" w:ascii="宋体" w:hAnsi="宋体" w:cs="宋体"/>
          <w:kern w:val="0"/>
          <w:sz w:val="24"/>
          <w:szCs w:val="24"/>
          <w:highlight w:val="none"/>
          <w:u w:val="single"/>
        </w:rPr>
        <w:t xml:space="preserve">  （采购文件中明确的所属行业）</w:t>
      </w:r>
      <w:r>
        <w:rPr>
          <w:rFonts w:hint="eastAsia" w:ascii="宋体" w:hAnsi="宋体" w:cs="宋体"/>
          <w:kern w:val="0"/>
          <w:sz w:val="24"/>
          <w:szCs w:val="24"/>
          <w:highlight w:val="none"/>
        </w:rPr>
        <w:t>；制造商为</w:t>
      </w:r>
      <w:r>
        <w:rPr>
          <w:rFonts w:hint="eastAsia" w:ascii="宋体" w:hAnsi="宋体" w:cs="宋体"/>
          <w:kern w:val="0"/>
          <w:sz w:val="24"/>
          <w:szCs w:val="24"/>
          <w:highlight w:val="none"/>
          <w:u w:val="single"/>
        </w:rPr>
        <w:t xml:space="preserve">         （企业名称）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8"/>
          <w:szCs w:val="28"/>
          <w:highlight w:val="none"/>
          <w:vertAlign w:val="superscript"/>
        </w:rPr>
        <w:t>1</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w:t>
      </w:r>
    </w:p>
    <w:p w14:paraId="461FF3F8">
      <w:pPr>
        <w:numPr>
          <w:ilvl w:val="0"/>
          <w:numId w:val="3"/>
        </w:num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u w:val="single"/>
        </w:rPr>
        <w:t xml:space="preserve"> </w:t>
      </w:r>
      <w:r>
        <w:rPr>
          <w:rFonts w:hint="eastAsia" w:ascii="宋体" w:hAnsi="宋体" w:cs="宋体"/>
          <w:kern w:val="0"/>
          <w:sz w:val="24"/>
          <w:highlight w:val="none"/>
          <w:u w:val="single"/>
        </w:rPr>
        <w:t>还书箱</w:t>
      </w:r>
      <w:r>
        <w:rPr>
          <w:rFonts w:hint="eastAsia" w:ascii="宋体" w:hAnsi="宋体" w:cs="宋体"/>
          <w:kern w:val="0"/>
          <w:sz w:val="24"/>
          <w:szCs w:val="24"/>
          <w:highlight w:val="none"/>
          <w:u w:val="single"/>
        </w:rPr>
        <w:t>（</w:t>
      </w:r>
      <w:r>
        <w:rPr>
          <w:rFonts w:hint="eastAsia" w:ascii="宋体" w:hAnsi="宋体" w:cs="宋体"/>
          <w:kern w:val="0"/>
          <w:sz w:val="24"/>
          <w:szCs w:val="24"/>
          <w:highlight w:val="none"/>
          <w:u w:val="single"/>
          <w:lang w:val="en-US" w:eastAsia="zh-CN"/>
        </w:rPr>
        <w:t>设备</w:t>
      </w:r>
      <w:r>
        <w:rPr>
          <w:rFonts w:hint="eastAsia" w:ascii="宋体" w:hAnsi="宋体" w:cs="宋体"/>
          <w:kern w:val="0"/>
          <w:sz w:val="24"/>
          <w:szCs w:val="24"/>
          <w:highlight w:val="none"/>
          <w:u w:val="single"/>
        </w:rPr>
        <w:t>名称）</w:t>
      </w:r>
      <w:r>
        <w:rPr>
          <w:rFonts w:hint="eastAsia" w:ascii="宋体" w:hAnsi="宋体" w:cs="宋体"/>
          <w:kern w:val="0"/>
          <w:sz w:val="24"/>
          <w:szCs w:val="24"/>
          <w:highlight w:val="none"/>
        </w:rPr>
        <w:t xml:space="preserve"> ，属于</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工业</w:t>
      </w:r>
      <w:r>
        <w:rPr>
          <w:rFonts w:hint="eastAsia" w:ascii="宋体" w:hAnsi="宋体" w:cs="宋体"/>
          <w:kern w:val="0"/>
          <w:sz w:val="24"/>
          <w:szCs w:val="24"/>
          <w:highlight w:val="none"/>
          <w:u w:val="single"/>
        </w:rPr>
        <w:t xml:space="preserve"> （采购文件中明确的所属行业）</w:t>
      </w:r>
      <w:r>
        <w:rPr>
          <w:rFonts w:hint="eastAsia" w:ascii="宋体" w:hAnsi="宋体" w:cs="宋体"/>
          <w:kern w:val="0"/>
          <w:sz w:val="24"/>
          <w:szCs w:val="24"/>
          <w:highlight w:val="none"/>
        </w:rPr>
        <w:t>；制造商为</w:t>
      </w:r>
      <w:r>
        <w:rPr>
          <w:rFonts w:hint="eastAsia" w:ascii="宋体" w:hAnsi="宋体" w:cs="宋体"/>
          <w:kern w:val="0"/>
          <w:sz w:val="24"/>
          <w:szCs w:val="24"/>
          <w:highlight w:val="none"/>
          <w:u w:val="single"/>
        </w:rPr>
        <w:t xml:space="preserve">         （企业名称）</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8"/>
          <w:szCs w:val="28"/>
          <w:highlight w:val="none"/>
          <w:vertAlign w:val="superscript"/>
        </w:rPr>
        <w:t>1</w:t>
      </w:r>
      <w:r>
        <w:rPr>
          <w:rFonts w:hint="eastAsia" w:ascii="宋体" w:hAnsi="宋体" w:cs="宋体"/>
          <w:kern w:val="0"/>
          <w:sz w:val="24"/>
          <w:szCs w:val="24"/>
          <w:highlight w:val="none"/>
        </w:rPr>
        <w:t>，属于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w:t>
      </w:r>
    </w:p>
    <w:p w14:paraId="0560333A">
      <w:p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p>
    <w:p w14:paraId="79EDF7E4">
      <w:p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以上企业，不属于大企业的分支机构，不存在控股股东为大企业的情形，也不存在与大企业的负责人为同一人的情形。</w:t>
      </w:r>
    </w:p>
    <w:p w14:paraId="38D361EC">
      <w:p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本企业对上述声明内容的真实性负责。如有虚假，将依法承担相应责任。</w:t>
      </w:r>
    </w:p>
    <w:p w14:paraId="5B03008D">
      <w:pPr>
        <w:autoSpaceDE w:val="0"/>
        <w:autoSpaceDN w:val="0"/>
        <w:adjustRightInd w:val="0"/>
        <w:spacing w:line="360" w:lineRule="auto"/>
        <w:ind w:firstLine="480" w:firstLineChars="200"/>
        <w:jc w:val="left"/>
        <w:rPr>
          <w:rFonts w:ascii="宋体" w:hAnsi="宋体" w:cs="宋体"/>
          <w:kern w:val="0"/>
          <w:sz w:val="24"/>
          <w:szCs w:val="24"/>
          <w:highlight w:val="none"/>
        </w:rPr>
      </w:pPr>
    </w:p>
    <w:p w14:paraId="79AA49CB">
      <w:pPr>
        <w:autoSpaceDE w:val="0"/>
        <w:autoSpaceDN w:val="0"/>
        <w:adjustRightInd w:val="0"/>
        <w:spacing w:line="360" w:lineRule="auto"/>
        <w:ind w:firstLine="4080" w:firstLineChars="1700"/>
        <w:jc w:val="left"/>
        <w:rPr>
          <w:rFonts w:ascii="宋体" w:hAnsi="宋体" w:cs="宋体"/>
          <w:kern w:val="0"/>
          <w:sz w:val="24"/>
          <w:szCs w:val="24"/>
          <w:highlight w:val="none"/>
        </w:rPr>
      </w:pPr>
      <w:r>
        <w:rPr>
          <w:rFonts w:hint="eastAsia" w:ascii="宋体" w:hAnsi="宋体" w:cs="宋体"/>
          <w:kern w:val="0"/>
          <w:sz w:val="24"/>
          <w:szCs w:val="24"/>
          <w:highlight w:val="none"/>
        </w:rPr>
        <w:t>企业名称（盖章）：</w:t>
      </w:r>
    </w:p>
    <w:p w14:paraId="03019BAA">
      <w:pPr>
        <w:spacing w:line="360" w:lineRule="auto"/>
        <w:ind w:firstLine="4080" w:firstLineChars="1700"/>
        <w:rPr>
          <w:rFonts w:ascii="宋体" w:hAnsi="宋体" w:cs="宋体"/>
          <w:kern w:val="0"/>
          <w:sz w:val="24"/>
          <w:szCs w:val="24"/>
          <w:highlight w:val="none"/>
        </w:rPr>
      </w:pPr>
      <w:r>
        <w:rPr>
          <w:rFonts w:hint="eastAsia" w:ascii="宋体" w:hAnsi="宋体" w:cs="宋体"/>
          <w:kern w:val="0"/>
          <w:sz w:val="24"/>
          <w:szCs w:val="24"/>
          <w:highlight w:val="none"/>
        </w:rPr>
        <w:t>日期：</w:t>
      </w:r>
    </w:p>
    <w:p w14:paraId="6403ADB9">
      <w:pPr>
        <w:rPr>
          <w:rFonts w:ascii="宋体" w:hAnsi="宋体" w:cs="宋体"/>
          <w:kern w:val="0"/>
          <w:sz w:val="32"/>
          <w:szCs w:val="32"/>
          <w:highlight w:val="none"/>
        </w:rPr>
      </w:pPr>
    </w:p>
    <w:p w14:paraId="661D9096">
      <w:pPr>
        <w:rPr>
          <w:rFonts w:ascii="宋体" w:hAnsi="宋体" w:cs="宋体"/>
          <w:snapToGrid w:val="0"/>
          <w:highlight w:val="none"/>
        </w:rPr>
      </w:pPr>
      <w:r>
        <w:rPr>
          <w:rFonts w:hint="eastAsia" w:ascii="宋体" w:hAnsi="宋体" w:cs="宋体"/>
          <w:snapToGrid w:val="0"/>
          <w:highlight w:val="none"/>
          <w:vertAlign w:val="superscript"/>
        </w:rPr>
        <w:t>1</w:t>
      </w:r>
      <w:r>
        <w:rPr>
          <w:rFonts w:hint="eastAsia" w:ascii="宋体" w:hAnsi="宋体" w:cs="宋体"/>
          <w:snapToGrid w:val="0"/>
          <w:highlight w:val="none"/>
        </w:rPr>
        <w:t>从业人员、营业收入、资产总额填报上一年度数据，无上一年度数据的新成立企业可不填报。</w:t>
      </w:r>
    </w:p>
    <w:p w14:paraId="5713583A">
      <w:pPr>
        <w:widowControl/>
        <w:shd w:val="clear" w:color="auto" w:fill="FFFFFF"/>
        <w:spacing w:line="360" w:lineRule="auto"/>
        <w:ind w:firstLine="480"/>
        <w:jc w:val="left"/>
        <w:rPr>
          <w:rFonts w:ascii="宋体" w:hAnsi="宋体" w:cs="宋体"/>
          <w:kern w:val="0"/>
          <w:sz w:val="24"/>
          <w:szCs w:val="24"/>
          <w:highlight w:val="none"/>
        </w:rPr>
      </w:pPr>
    </w:p>
    <w:p w14:paraId="299F5A06">
      <w:pPr>
        <w:widowControl/>
        <w:shd w:val="clear" w:color="auto" w:fill="FFFFFF"/>
        <w:spacing w:line="360" w:lineRule="auto"/>
        <w:ind w:firstLine="480"/>
        <w:jc w:val="left"/>
        <w:rPr>
          <w:rFonts w:ascii="宋体" w:hAnsi="宋体" w:cs="宋体"/>
          <w:kern w:val="0"/>
          <w:sz w:val="24"/>
          <w:szCs w:val="24"/>
          <w:highlight w:val="none"/>
        </w:rPr>
      </w:pPr>
    </w:p>
    <w:p w14:paraId="6610E716">
      <w:pPr>
        <w:widowControl/>
        <w:shd w:val="clear" w:color="auto" w:fill="FFFFFF"/>
        <w:spacing w:line="360" w:lineRule="auto"/>
        <w:ind w:firstLine="480"/>
        <w:jc w:val="left"/>
        <w:rPr>
          <w:rFonts w:ascii="宋体" w:hAnsi="宋体" w:cs="宋体"/>
          <w:b/>
          <w:bCs/>
          <w:kern w:val="0"/>
          <w:sz w:val="24"/>
          <w:szCs w:val="24"/>
          <w:highlight w:val="none"/>
        </w:rPr>
      </w:pPr>
      <w:r>
        <w:rPr>
          <w:rFonts w:hint="eastAsia" w:ascii="宋体" w:hAnsi="宋体" w:cs="宋体"/>
          <w:b/>
          <w:bCs/>
          <w:kern w:val="0"/>
          <w:sz w:val="24"/>
          <w:szCs w:val="24"/>
          <w:highlight w:val="none"/>
        </w:rPr>
        <w:t>注：</w:t>
      </w:r>
    </w:p>
    <w:p w14:paraId="77BCD40C">
      <w:pPr>
        <w:widowControl/>
        <w:numPr>
          <w:ilvl w:val="0"/>
          <w:numId w:val="4"/>
        </w:numPr>
        <w:shd w:val="clear" w:color="auto" w:fill="FFFFFF"/>
        <w:spacing w:line="360" w:lineRule="auto"/>
        <w:ind w:firstLine="480"/>
        <w:jc w:val="left"/>
        <w:rPr>
          <w:rFonts w:ascii="宋体" w:hAnsi="宋体" w:cs="宋体"/>
          <w:b/>
          <w:bCs/>
          <w:kern w:val="0"/>
          <w:sz w:val="24"/>
          <w:szCs w:val="24"/>
          <w:highlight w:val="none"/>
        </w:rPr>
      </w:pPr>
      <w:r>
        <w:rPr>
          <w:rFonts w:hint="eastAsia" w:ascii="宋体" w:hAnsi="宋体" w:cs="宋体"/>
          <w:b/>
          <w:bCs/>
          <w:kern w:val="0"/>
          <w:sz w:val="24"/>
          <w:szCs w:val="24"/>
          <w:highlight w:val="none"/>
        </w:rPr>
        <w:t>投标人须根据制造商情况如实出具声明函。享受本招标文件规定的中小企业扶持政策的，将随中标结果公开中标人的《中小企业声明函》。</w:t>
      </w:r>
    </w:p>
    <w:p w14:paraId="4EDED74B">
      <w:pPr>
        <w:widowControl/>
        <w:numPr>
          <w:ilvl w:val="0"/>
          <w:numId w:val="4"/>
        </w:numPr>
        <w:shd w:val="clear" w:color="auto" w:fill="FFFFFF"/>
        <w:spacing w:line="360" w:lineRule="auto"/>
        <w:ind w:firstLine="480"/>
        <w:jc w:val="left"/>
        <w:rPr>
          <w:rFonts w:ascii="宋体" w:hAnsi="宋体" w:cs="宋体"/>
          <w:b/>
          <w:bCs/>
          <w:kern w:val="0"/>
          <w:sz w:val="24"/>
          <w:szCs w:val="24"/>
          <w:highlight w:val="none"/>
        </w:rPr>
      </w:pPr>
      <w:r>
        <w:rPr>
          <w:rFonts w:hint="eastAsia" w:ascii="宋体" w:hAnsi="宋体" w:cs="宋体"/>
          <w:b/>
          <w:bCs/>
          <w:kern w:val="0"/>
          <w:sz w:val="24"/>
          <w:szCs w:val="24"/>
          <w:highlight w:val="none"/>
        </w:rPr>
        <w:t>所声明的从业人员人数、营业收入金额或资产总额不实的，依照《中华人民共和国政府采购法》等国家有关规定追究相应责任。</w:t>
      </w:r>
    </w:p>
    <w:p w14:paraId="383A50C5">
      <w:pPr>
        <w:widowControl/>
        <w:numPr>
          <w:ilvl w:val="0"/>
          <w:numId w:val="4"/>
        </w:numPr>
        <w:shd w:val="clear" w:color="auto" w:fill="FFFFFF"/>
        <w:spacing w:line="360" w:lineRule="auto"/>
        <w:ind w:firstLine="480"/>
        <w:jc w:val="left"/>
        <w:rPr>
          <w:rFonts w:ascii="宋体" w:hAnsi="宋体" w:cs="宋体"/>
          <w:b/>
          <w:bCs/>
          <w:kern w:val="0"/>
          <w:sz w:val="24"/>
          <w:szCs w:val="24"/>
          <w:highlight w:val="none"/>
        </w:rPr>
      </w:pPr>
      <w:r>
        <w:rPr>
          <w:rFonts w:hint="eastAsia" w:ascii="宋体" w:hAnsi="宋体" w:cs="宋体"/>
          <w:b/>
          <w:bCs/>
          <w:kern w:val="0"/>
          <w:sz w:val="24"/>
          <w:szCs w:val="24"/>
          <w:highlight w:val="none"/>
        </w:rPr>
        <w:t>投标人须核对《关于印发中小企业划型标准规定的通知》（工信部联企业〔2011〕300号）规定的中小企业划型标准，中小企业划型填写错误或所属行业填写错误的，评标委员会将不予进行价格扣除。</w:t>
      </w:r>
    </w:p>
    <w:p w14:paraId="0119938D">
      <w:pPr>
        <w:widowControl/>
        <w:numPr>
          <w:ilvl w:val="0"/>
          <w:numId w:val="4"/>
        </w:numPr>
        <w:shd w:val="clear" w:color="auto" w:fill="FFFFFF"/>
        <w:spacing w:line="360" w:lineRule="auto"/>
        <w:ind w:firstLine="480"/>
        <w:jc w:val="left"/>
        <w:rPr>
          <w:rFonts w:ascii="宋体" w:hAnsi="宋体" w:cs="宋体"/>
          <w:b/>
          <w:bCs/>
          <w:kern w:val="0"/>
          <w:sz w:val="24"/>
          <w:szCs w:val="24"/>
          <w:highlight w:val="none"/>
        </w:rPr>
      </w:pPr>
      <w:r>
        <w:rPr>
          <w:rFonts w:hint="eastAsia" w:ascii="宋体" w:hAnsi="宋体" w:cs="宋体"/>
          <w:b/>
          <w:bCs/>
          <w:kern w:val="0"/>
          <w:sz w:val="24"/>
          <w:szCs w:val="24"/>
          <w:highlight w:val="none"/>
        </w:rPr>
        <w:t>投标人须按招标文件中明确的所属行业填列，否则，其提供的中小企业声明将被判定为无效声明函，由此造成的后果由投标人自行承担（价格评审优惠，将不予进行价格扣除）。</w:t>
      </w:r>
    </w:p>
    <w:bookmarkEnd w:id="361"/>
    <w:bookmarkEnd w:id="362"/>
    <w:bookmarkEnd w:id="363"/>
    <w:bookmarkEnd w:id="364"/>
    <w:bookmarkEnd w:id="365"/>
    <w:bookmarkEnd w:id="366"/>
    <w:bookmarkEnd w:id="367"/>
    <w:p w14:paraId="146C951B">
      <w:pPr>
        <w:jc w:val="center"/>
        <w:outlineLvl w:val="9"/>
        <w:rPr>
          <w:rFonts w:hint="eastAsia" w:hAnsi="宋体" w:cs="宋体"/>
          <w:b/>
          <w:bCs/>
          <w:sz w:val="28"/>
          <w:szCs w:val="28"/>
        </w:rPr>
      </w:pPr>
      <w:bookmarkStart w:id="368" w:name="_Toc13421"/>
      <w:bookmarkStart w:id="369" w:name="_Toc34837740"/>
      <w:bookmarkStart w:id="370" w:name="_Toc12560"/>
      <w:bookmarkStart w:id="371" w:name="_Toc11976"/>
      <w:bookmarkStart w:id="372" w:name="_Toc212648408"/>
      <w:bookmarkStart w:id="373" w:name="_Toc34228205"/>
      <w:r>
        <w:rPr>
          <w:rFonts w:hint="eastAsia" w:hAnsi="宋体" w:cs="宋体"/>
          <w:b/>
          <w:bCs/>
          <w:sz w:val="28"/>
          <w:szCs w:val="28"/>
        </w:rPr>
        <w:br w:type="page"/>
      </w:r>
    </w:p>
    <w:p w14:paraId="2F4E7F9A">
      <w:pPr>
        <w:pStyle w:val="10"/>
        <w:spacing w:line="360" w:lineRule="auto"/>
        <w:jc w:val="center"/>
        <w:outlineLvl w:val="9"/>
        <w:rPr>
          <w:rFonts w:hAnsi="宋体" w:cs="宋体"/>
          <w:b/>
          <w:bCs/>
          <w:sz w:val="28"/>
          <w:szCs w:val="28"/>
        </w:rPr>
      </w:pPr>
      <w:r>
        <w:rPr>
          <w:rFonts w:hint="eastAsia" w:hAnsi="宋体" w:cs="宋体"/>
          <w:b/>
          <w:bCs/>
          <w:sz w:val="28"/>
          <w:szCs w:val="28"/>
        </w:rPr>
        <w:t>残疾人福利性单位声明函</w:t>
      </w:r>
      <w:bookmarkEnd w:id="368"/>
      <w:bookmarkEnd w:id="369"/>
      <w:bookmarkEnd w:id="370"/>
      <w:bookmarkEnd w:id="371"/>
      <w:bookmarkEnd w:id="372"/>
      <w:bookmarkEnd w:id="373"/>
    </w:p>
    <w:p w14:paraId="029DC8E7">
      <w:pPr>
        <w:spacing w:line="6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中国残疾人联合会关于促进残疾人就业政府采购政策的通知》（财库〔2017〕141号）的规定，本单位为符合条件的残疾人福利性单位，且本单位参加______单位的__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55B4FCC8">
      <w:pPr>
        <w:spacing w:line="600" w:lineRule="exact"/>
        <w:ind w:firstLine="480" w:firstLineChars="200"/>
        <w:rPr>
          <w:rFonts w:ascii="宋体" w:hAnsi="宋体" w:cs="宋体"/>
          <w:szCs w:val="21"/>
        </w:rPr>
      </w:pPr>
      <w:r>
        <w:rPr>
          <w:rFonts w:hint="eastAsia" w:ascii="宋体" w:hAnsi="宋体" w:cs="宋体"/>
          <w:sz w:val="24"/>
        </w:rPr>
        <w:t>本单位对上述声明的真实性负责。如有虚假，将依法承担相应责任。</w:t>
      </w:r>
    </w:p>
    <w:p w14:paraId="1448AA42">
      <w:pPr>
        <w:spacing w:line="480" w:lineRule="auto"/>
        <w:ind w:firstLine="420" w:firstLineChars="200"/>
        <w:rPr>
          <w:rFonts w:ascii="宋体" w:hAnsi="宋体" w:cs="宋体"/>
          <w:szCs w:val="21"/>
        </w:rPr>
      </w:pPr>
    </w:p>
    <w:p w14:paraId="14047D31">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60060CFB">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4CE5C3DB">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4FCB8878">
      <w:pPr>
        <w:spacing w:line="360" w:lineRule="auto"/>
        <w:jc w:val="left"/>
        <w:rPr>
          <w:rFonts w:ascii="宋体" w:hAnsi="宋体" w:cs="宋体"/>
          <w:kern w:val="0"/>
          <w:sz w:val="24"/>
        </w:rPr>
      </w:pPr>
      <w:r>
        <w:rPr>
          <w:rFonts w:hint="eastAsia" w:ascii="宋体" w:hAnsi="宋体" w:cs="宋体"/>
          <w:kern w:val="0"/>
          <w:sz w:val="24"/>
        </w:rPr>
        <w:t>注：若为符合政策规定条件的单位需填写本声明函，否则无需填写。</w:t>
      </w:r>
    </w:p>
    <w:p w14:paraId="1EB56396">
      <w:pPr>
        <w:rPr>
          <w:rFonts w:ascii="宋体" w:hAnsi="宋体" w:cs="宋体"/>
        </w:rPr>
      </w:pPr>
      <w:r>
        <w:rPr>
          <w:rFonts w:hint="eastAsia" w:ascii="宋体" w:hAnsi="宋体" w:cs="宋体"/>
        </w:rPr>
        <w:br w:type="page"/>
      </w:r>
    </w:p>
    <w:p w14:paraId="2EABEB55">
      <w:pPr>
        <w:pStyle w:val="10"/>
        <w:spacing w:line="360" w:lineRule="auto"/>
        <w:jc w:val="center"/>
        <w:outlineLvl w:val="9"/>
        <w:rPr>
          <w:rFonts w:hAnsi="宋体" w:cs="宋体"/>
          <w:b/>
          <w:bCs/>
          <w:sz w:val="28"/>
          <w:szCs w:val="28"/>
        </w:rPr>
      </w:pPr>
      <w:bookmarkStart w:id="374" w:name="_Toc24544415"/>
      <w:bookmarkStart w:id="375" w:name="_Toc16092394"/>
      <w:bookmarkStart w:id="376" w:name="_Toc34837741"/>
      <w:bookmarkStart w:id="377" w:name="_Toc6936"/>
      <w:bookmarkStart w:id="378" w:name="_Toc8139"/>
      <w:bookmarkStart w:id="379" w:name="_Toc212648409"/>
      <w:bookmarkStart w:id="380" w:name="_Toc34228206"/>
      <w:bookmarkStart w:id="381" w:name="_Toc32337"/>
      <w:r>
        <w:rPr>
          <w:rFonts w:hint="eastAsia" w:hAnsi="宋体" w:cs="宋体"/>
          <w:b/>
          <w:bCs/>
          <w:sz w:val="28"/>
          <w:szCs w:val="28"/>
        </w:rPr>
        <w:t>监狱企业证明材料（若有）</w:t>
      </w:r>
      <w:bookmarkEnd w:id="374"/>
      <w:bookmarkEnd w:id="375"/>
      <w:bookmarkEnd w:id="376"/>
      <w:bookmarkEnd w:id="377"/>
      <w:bookmarkEnd w:id="378"/>
      <w:bookmarkEnd w:id="379"/>
      <w:bookmarkEnd w:id="380"/>
      <w:bookmarkEnd w:id="381"/>
    </w:p>
    <w:p w14:paraId="1DFCDFCE">
      <w:pPr>
        <w:spacing w:line="600" w:lineRule="exact"/>
        <w:ind w:firstLine="480" w:firstLineChars="200"/>
        <w:rPr>
          <w:rFonts w:ascii="宋体" w:hAnsi="宋体" w:cs="宋体"/>
          <w:sz w:val="24"/>
        </w:rPr>
      </w:pPr>
      <w:r>
        <w:rPr>
          <w:rFonts w:hint="eastAsia" w:ascii="宋体" w:hAnsi="宋体" w:cs="宋体"/>
          <w:sz w:val="24"/>
        </w:rPr>
        <w:t xml:space="preserve">根据《财政部 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75BE3C5">
      <w:pPr>
        <w:spacing w:line="600" w:lineRule="exact"/>
        <w:ind w:firstLine="480" w:firstLineChars="200"/>
        <w:rPr>
          <w:rFonts w:ascii="宋体" w:hAnsi="宋体" w:cs="宋体"/>
          <w:szCs w:val="21"/>
        </w:rPr>
      </w:pPr>
      <w:r>
        <w:rPr>
          <w:rFonts w:hint="eastAsia" w:ascii="宋体" w:hAnsi="宋体" w:cs="宋体"/>
          <w:sz w:val="24"/>
        </w:rPr>
        <w:t>监狱企业参加政府采购活动时，应当提供由省级以上监狱管理局、戒毒管理局（含新疆生产建设兵团）出具的属于监狱企业的证明文件。</w:t>
      </w:r>
    </w:p>
    <w:p w14:paraId="62944F54">
      <w:pPr>
        <w:spacing w:line="600" w:lineRule="exact"/>
        <w:ind w:firstLine="480" w:firstLineChars="200"/>
        <w:rPr>
          <w:rFonts w:ascii="宋体" w:hAnsi="宋体" w:cs="宋体"/>
          <w:sz w:val="24"/>
        </w:rPr>
      </w:pPr>
    </w:p>
    <w:p w14:paraId="1B26DB53">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45F3D0DE">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04FC1983">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20D218E">
      <w:pPr>
        <w:spacing w:line="360" w:lineRule="auto"/>
        <w:jc w:val="left"/>
        <w:rPr>
          <w:rFonts w:ascii="宋体" w:hAnsi="宋体" w:cs="宋体"/>
          <w:kern w:val="0"/>
          <w:sz w:val="24"/>
        </w:rPr>
      </w:pPr>
      <w:r>
        <w:rPr>
          <w:rFonts w:hint="eastAsia" w:ascii="宋体" w:hAnsi="宋体" w:cs="宋体"/>
          <w:kern w:val="0"/>
          <w:sz w:val="24"/>
        </w:rPr>
        <w:t>注：若为符合政策规定条件的单位需填写本声明函，否则无需填写。</w:t>
      </w:r>
    </w:p>
    <w:p w14:paraId="741B3DD4">
      <w:pPr>
        <w:widowControl/>
        <w:jc w:val="left"/>
        <w:rPr>
          <w:rFonts w:ascii="宋体" w:hAnsi="Calibri"/>
          <w:kern w:val="0"/>
          <w:sz w:val="20"/>
          <w:szCs w:val="20"/>
        </w:rPr>
      </w:pPr>
      <w:r>
        <w:br w:type="page"/>
      </w:r>
    </w:p>
    <w:p w14:paraId="480751B6">
      <w:pPr>
        <w:spacing w:line="360" w:lineRule="auto"/>
        <w:ind w:firstLine="560" w:firstLineChars="200"/>
        <w:jc w:val="center"/>
        <w:outlineLvl w:val="2"/>
        <w:rPr>
          <w:rFonts w:hint="eastAsia" w:hAnsi="宋体" w:cs="宋体"/>
          <w:sz w:val="24"/>
        </w:rPr>
      </w:pPr>
      <w:bookmarkStart w:id="382" w:name="_Toc29952"/>
      <w:bookmarkStart w:id="383" w:name="_Toc11761"/>
      <w:bookmarkStart w:id="384" w:name="_Toc1761"/>
      <w:bookmarkStart w:id="385" w:name="_Toc6502"/>
      <w:bookmarkStart w:id="386" w:name="_Toc25465"/>
      <w:r>
        <w:rPr>
          <w:rFonts w:hint="eastAsia" w:ascii="宋体" w:hAnsi="宋体" w:cs="宋体"/>
          <w:b/>
          <w:sz w:val="28"/>
          <w:szCs w:val="28"/>
          <w:lang w:val="en-US" w:eastAsia="zh-CN"/>
        </w:rPr>
        <w:t xml:space="preserve">格式10  </w:t>
      </w:r>
      <w:r>
        <w:rPr>
          <w:rFonts w:hint="eastAsia" w:ascii="宋体" w:hAnsi="宋体" w:eastAsia="宋体" w:cs="宋体"/>
          <w:b/>
          <w:sz w:val="28"/>
          <w:szCs w:val="28"/>
        </w:rPr>
        <w:t>企业综合实力</w:t>
      </w:r>
      <w:bookmarkEnd w:id="382"/>
    </w:p>
    <w:p w14:paraId="06560796">
      <w:pPr>
        <w:spacing w:line="360" w:lineRule="auto"/>
        <w:ind w:firstLine="480" w:firstLineChars="200"/>
        <w:rPr>
          <w:rFonts w:ascii="宋体" w:hAnsi="宋体" w:cs="宋体"/>
          <w:b/>
          <w:sz w:val="28"/>
          <w:szCs w:val="28"/>
        </w:rPr>
      </w:pPr>
      <w:r>
        <w:rPr>
          <w:rFonts w:hint="eastAsia" w:hAnsi="宋体" w:cs="宋体"/>
          <w:sz w:val="24"/>
        </w:rPr>
        <w:t>投标人根据评标办法自行编制该内容。</w:t>
      </w:r>
    </w:p>
    <w:bookmarkEnd w:id="336"/>
    <w:bookmarkEnd w:id="383"/>
    <w:bookmarkEnd w:id="384"/>
    <w:bookmarkEnd w:id="385"/>
    <w:bookmarkEnd w:id="386"/>
    <w:p w14:paraId="3D420A8D">
      <w:pPr>
        <w:spacing w:line="360" w:lineRule="auto"/>
        <w:ind w:firstLine="480" w:firstLineChars="200"/>
        <w:rPr>
          <w:rFonts w:ascii="宋体" w:hAnsi="宋体" w:cs="宋体"/>
          <w:sz w:val="24"/>
        </w:rPr>
        <w:sectPr>
          <w:footerReference r:id="rId7" w:type="default"/>
          <w:pgSz w:w="11906" w:h="16838"/>
          <w:pgMar w:top="1134" w:right="851" w:bottom="1304" w:left="1134" w:header="720" w:footer="720" w:gutter="0"/>
          <w:pgNumType w:fmt="decimal"/>
          <w:cols w:space="720" w:num="1"/>
          <w:docGrid w:type="linesAndChars" w:linePitch="331" w:charSpace="0"/>
        </w:sectPr>
      </w:pPr>
    </w:p>
    <w:p w14:paraId="7123B18A">
      <w:pPr>
        <w:tabs>
          <w:tab w:val="left" w:pos="360"/>
          <w:tab w:val="left" w:pos="900"/>
          <w:tab w:val="left" w:pos="1588"/>
        </w:tabs>
        <w:ind w:firstLine="0" w:firstLineChars="0"/>
        <w:jc w:val="center"/>
        <w:outlineLvl w:val="2"/>
        <w:rPr>
          <w:rFonts w:hint="eastAsia" w:ascii="宋体" w:hAnsi="宋体" w:eastAsia="宋体" w:cs="宋体"/>
          <w:b/>
          <w:sz w:val="28"/>
          <w:szCs w:val="28"/>
        </w:rPr>
      </w:pPr>
      <w:bookmarkStart w:id="387" w:name="_Toc22883"/>
      <w:bookmarkStart w:id="388" w:name="_Toc7"/>
      <w:bookmarkStart w:id="389" w:name="_Toc1663"/>
      <w:bookmarkStart w:id="390" w:name="_Toc11336"/>
      <w:bookmarkStart w:id="391" w:name="_Toc24468"/>
      <w:bookmarkStart w:id="392" w:name="_Toc212648412"/>
      <w:bookmarkStart w:id="393" w:name="_Toc1660"/>
      <w:r>
        <w:rPr>
          <w:rFonts w:hint="eastAsia" w:ascii="宋体" w:hAnsi="宋体" w:cs="宋体"/>
          <w:b/>
          <w:sz w:val="28"/>
          <w:szCs w:val="28"/>
          <w:lang w:val="en-US" w:eastAsia="zh-CN"/>
        </w:rPr>
        <w:t xml:space="preserve">格式11  </w:t>
      </w:r>
      <w:r>
        <w:rPr>
          <w:rFonts w:hint="eastAsia" w:ascii="宋体" w:hAnsi="宋体" w:eastAsia="宋体" w:cs="宋体"/>
          <w:b/>
          <w:sz w:val="28"/>
          <w:szCs w:val="28"/>
        </w:rPr>
        <w:t>构成投标文件商务</w:t>
      </w:r>
      <w:r>
        <w:rPr>
          <w:rFonts w:hint="eastAsia" w:ascii="宋体" w:hAnsi="宋体" w:eastAsia="宋体" w:cs="宋体"/>
          <w:b/>
          <w:sz w:val="28"/>
          <w:szCs w:val="28"/>
          <w:lang w:val="en-US" w:eastAsia="zh-CN"/>
        </w:rPr>
        <w:t>部分</w:t>
      </w:r>
      <w:r>
        <w:rPr>
          <w:rFonts w:hint="eastAsia" w:ascii="宋体" w:hAnsi="宋体" w:eastAsia="宋体" w:cs="宋体"/>
          <w:b/>
          <w:sz w:val="28"/>
          <w:szCs w:val="28"/>
        </w:rPr>
        <w:t>的其它资料</w:t>
      </w:r>
      <w:bookmarkEnd w:id="387"/>
    </w:p>
    <w:p w14:paraId="5BF7F893">
      <w:pPr>
        <w:spacing w:line="360" w:lineRule="auto"/>
        <w:jc w:val="center"/>
        <w:rPr>
          <w:rFonts w:ascii="宋体" w:hAnsi="宋体" w:cs="宋体"/>
          <w:sz w:val="24"/>
        </w:rPr>
      </w:pPr>
    </w:p>
    <w:p w14:paraId="688A3B39">
      <w:pPr>
        <w:spacing w:line="360" w:lineRule="auto"/>
        <w:ind w:firstLine="480" w:firstLineChars="200"/>
        <w:rPr>
          <w:rFonts w:ascii="宋体" w:hAnsi="宋体" w:cs="宋体"/>
          <w:sz w:val="24"/>
        </w:rPr>
      </w:pPr>
      <w:r>
        <w:rPr>
          <w:rFonts w:hint="eastAsia" w:ascii="宋体" w:hAnsi="宋体" w:cs="宋体"/>
          <w:sz w:val="24"/>
        </w:rPr>
        <w:t>招标文件中所涉及到的相关资料及证明文件或投标人认为必须提供的其他相关资料；</w:t>
      </w:r>
    </w:p>
    <w:p w14:paraId="4360FB75">
      <w:pPr>
        <w:spacing w:line="360" w:lineRule="auto"/>
        <w:rPr>
          <w:rFonts w:ascii="宋体" w:hAnsi="宋体" w:cs="宋体"/>
          <w:sz w:val="24"/>
        </w:rPr>
      </w:pPr>
    </w:p>
    <w:p w14:paraId="1EE612D3">
      <w:pPr>
        <w:spacing w:line="360" w:lineRule="auto"/>
        <w:rPr>
          <w:rFonts w:ascii="宋体" w:hAnsi="宋体" w:cs="宋体"/>
          <w:sz w:val="24"/>
        </w:rPr>
        <w:sectPr>
          <w:footerReference r:id="rId8" w:type="default"/>
          <w:pgSz w:w="11906" w:h="16838"/>
          <w:pgMar w:top="1134" w:right="851" w:bottom="1304" w:left="1134" w:header="720" w:footer="720" w:gutter="0"/>
          <w:pgNumType w:fmt="decimal"/>
          <w:cols w:space="720" w:num="1"/>
          <w:docGrid w:type="linesAndChars" w:linePitch="331" w:charSpace="0"/>
        </w:sectPr>
      </w:pPr>
    </w:p>
    <w:p w14:paraId="7B98CED6">
      <w:pPr>
        <w:pStyle w:val="2"/>
        <w:numPr>
          <w:ilvl w:val="0"/>
          <w:numId w:val="0"/>
        </w:numPr>
        <w:jc w:val="center"/>
        <w:rPr>
          <w:rFonts w:ascii="宋体" w:hAnsi="宋体" w:eastAsia="宋体" w:cs="宋体"/>
          <w:sz w:val="32"/>
          <w:szCs w:val="32"/>
        </w:rPr>
      </w:pPr>
      <w:bookmarkStart w:id="394" w:name="_Toc32361"/>
      <w:r>
        <w:rPr>
          <w:rFonts w:hint="eastAsia" w:ascii="宋体" w:hAnsi="宋体" w:eastAsia="宋体" w:cs="宋体"/>
          <w:sz w:val="32"/>
          <w:szCs w:val="32"/>
        </w:rPr>
        <w:t>第五章  采购需求</w:t>
      </w:r>
      <w:bookmarkEnd w:id="388"/>
      <w:bookmarkEnd w:id="389"/>
      <w:bookmarkEnd w:id="390"/>
      <w:bookmarkEnd w:id="391"/>
      <w:bookmarkEnd w:id="392"/>
      <w:bookmarkEnd w:id="393"/>
      <w:bookmarkEnd w:id="394"/>
    </w:p>
    <w:p w14:paraId="64031687">
      <w:pPr>
        <w:rPr>
          <w:b/>
          <w:bCs/>
          <w:sz w:val="24"/>
          <w:szCs w:val="32"/>
        </w:rPr>
      </w:pPr>
      <w:r>
        <w:rPr>
          <w:rFonts w:hint="eastAsia" w:ascii="宋体" w:hAnsi="宋体" w:cs="宋体"/>
          <w:b/>
          <w:bCs/>
          <w:sz w:val="24"/>
        </w:rPr>
        <w:t>《</w:t>
      </w:r>
      <w:r>
        <w:rPr>
          <w:rFonts w:hint="eastAsia" w:ascii="宋体" w:hAnsi="宋体" w:cs="宋体"/>
          <w:b/>
          <w:bCs/>
          <w:sz w:val="24"/>
          <w:lang w:eastAsia="zh-CN"/>
        </w:rPr>
        <w:t>牟定县职业高级中学图书购置和电子阅览室建设项目</w:t>
      </w:r>
      <w:r>
        <w:rPr>
          <w:rFonts w:hint="eastAsia" w:ascii="宋体" w:hAnsi="宋体" w:cs="宋体"/>
          <w:b/>
          <w:bCs/>
          <w:sz w:val="24"/>
          <w:lang w:val="en-US" w:eastAsia="zh-CN"/>
        </w:rPr>
        <w:t>2标段</w:t>
      </w:r>
      <w:r>
        <w:rPr>
          <w:rFonts w:ascii="宋体" w:hAnsi="宋体" w:cs="宋体"/>
          <w:b/>
          <w:bCs/>
          <w:sz w:val="24"/>
        </w:rPr>
        <w:t>采购</w:t>
      </w:r>
      <w:r>
        <w:rPr>
          <w:rFonts w:hint="eastAsia" w:ascii="宋体" w:hAnsi="宋体" w:cs="宋体"/>
          <w:b/>
          <w:bCs/>
          <w:sz w:val="24"/>
        </w:rPr>
        <w:t>需求》</w:t>
      </w:r>
    </w:p>
    <w:p w14:paraId="717BE09A">
      <w:pPr>
        <w:pStyle w:val="3"/>
        <w:numPr>
          <w:ilvl w:val="0"/>
          <w:numId w:val="5"/>
        </w:numPr>
        <w:spacing w:before="0" w:after="0" w:line="360" w:lineRule="auto"/>
        <w:rPr>
          <w:rFonts w:ascii="宋体" w:hAnsi="宋体" w:eastAsia="宋体" w:cs="宋体"/>
          <w:kern w:val="44"/>
          <w:sz w:val="28"/>
          <w:szCs w:val="28"/>
          <w:highlight w:val="none"/>
        </w:rPr>
      </w:pPr>
      <w:bookmarkStart w:id="395" w:name="_Toc21224"/>
      <w:bookmarkStart w:id="396" w:name="_Toc28730"/>
      <w:bookmarkStart w:id="397" w:name="_Toc26040"/>
      <w:bookmarkStart w:id="398" w:name="_Toc12342"/>
      <w:bookmarkStart w:id="399" w:name="_Toc9943"/>
      <w:bookmarkStart w:id="400" w:name="_Toc12120"/>
      <w:bookmarkStart w:id="401" w:name="_Toc6088"/>
      <w:r>
        <w:rPr>
          <w:rFonts w:hint="eastAsia" w:ascii="宋体" w:hAnsi="宋体" w:eastAsia="宋体" w:cs="宋体"/>
          <w:kern w:val="44"/>
          <w:sz w:val="28"/>
          <w:szCs w:val="28"/>
          <w:highlight w:val="none"/>
        </w:rPr>
        <w:t>技术要求</w:t>
      </w:r>
      <w:bookmarkEnd w:id="395"/>
      <w:bookmarkEnd w:id="396"/>
    </w:p>
    <w:tbl>
      <w:tblPr>
        <w:tblStyle w:val="16"/>
        <w:tblW w:w="10225" w:type="dxa"/>
        <w:jc w:val="center"/>
        <w:tblLayout w:type="fixed"/>
        <w:tblCellMar>
          <w:top w:w="0" w:type="dxa"/>
          <w:left w:w="108" w:type="dxa"/>
          <w:bottom w:w="0" w:type="dxa"/>
          <w:right w:w="108" w:type="dxa"/>
        </w:tblCellMar>
      </w:tblPr>
      <w:tblGrid>
        <w:gridCol w:w="737"/>
        <w:gridCol w:w="1155"/>
        <w:gridCol w:w="5183"/>
        <w:gridCol w:w="1045"/>
        <w:gridCol w:w="1263"/>
        <w:gridCol w:w="842"/>
      </w:tblGrid>
      <w:tr w14:paraId="580DACF5">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EDB92AC">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rPr>
              <w:t>序号</w:t>
            </w:r>
          </w:p>
        </w:tc>
        <w:tc>
          <w:tcPr>
            <w:tcW w:w="1155" w:type="dxa"/>
            <w:tcBorders>
              <w:top w:val="single" w:color="000000" w:sz="4" w:space="0"/>
              <w:left w:val="nil"/>
              <w:bottom w:val="single" w:color="000000" w:sz="4" w:space="0"/>
              <w:right w:val="single" w:color="000000" w:sz="4" w:space="0"/>
            </w:tcBorders>
            <w:vAlign w:val="center"/>
          </w:tcPr>
          <w:p w14:paraId="7F2D13E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rPr>
              <w:t>设备名称</w:t>
            </w:r>
          </w:p>
        </w:tc>
        <w:tc>
          <w:tcPr>
            <w:tcW w:w="5183" w:type="dxa"/>
            <w:tcBorders>
              <w:top w:val="single" w:color="000000" w:sz="4" w:space="0"/>
              <w:left w:val="single" w:color="000000" w:sz="4" w:space="0"/>
              <w:bottom w:val="single" w:color="000000" w:sz="4" w:space="0"/>
              <w:right w:val="single" w:color="000000" w:sz="4" w:space="0"/>
            </w:tcBorders>
            <w:vAlign w:val="center"/>
          </w:tcPr>
          <w:p w14:paraId="27A83B5F">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rPr>
              <w:t>技术参数</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0F59C223">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rPr>
              <w:t>数量</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6CA8E44">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rPr>
              <w:t>单位</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C00A">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交货地点</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（备注）</w:t>
            </w:r>
          </w:p>
        </w:tc>
      </w:tr>
      <w:tr w14:paraId="3167E093">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8F9BE77">
            <w:pPr>
              <w:spacing w:line="300" w:lineRule="exact"/>
              <w:jc w:val="center"/>
              <w:rPr>
                <w:rFonts w:ascii="宋体" w:hAnsi="宋体" w:cs="宋体"/>
                <w:sz w:val="22"/>
                <w:szCs w:val="22"/>
                <w:highlight w:val="none"/>
              </w:rPr>
            </w:pPr>
            <w:r>
              <w:rPr>
                <w:rFonts w:hint="eastAsia" w:ascii="宋体" w:hAnsi="宋体" w:cs="宋体"/>
                <w:sz w:val="22"/>
                <w:szCs w:val="22"/>
                <w:highlight w:val="none"/>
              </w:rPr>
              <w:t>1</w:t>
            </w:r>
          </w:p>
        </w:tc>
        <w:tc>
          <w:tcPr>
            <w:tcW w:w="1155" w:type="dxa"/>
            <w:tcBorders>
              <w:top w:val="single" w:color="000000" w:sz="4" w:space="0"/>
              <w:left w:val="nil"/>
              <w:bottom w:val="single" w:color="000000" w:sz="4" w:space="0"/>
              <w:right w:val="single" w:color="000000" w:sz="4" w:space="0"/>
            </w:tcBorders>
            <w:vAlign w:val="center"/>
          </w:tcPr>
          <w:p w14:paraId="230B99E4">
            <w:pPr>
              <w:widowControl/>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图书馆</w:t>
            </w:r>
            <w:r>
              <w:rPr>
                <w:rFonts w:hint="eastAsia" w:ascii="宋体" w:hAnsi="宋体" w:cs="宋体"/>
                <w:color w:val="000000"/>
                <w:kern w:val="0"/>
                <w:sz w:val="22"/>
                <w:szCs w:val="22"/>
                <w:highlight w:val="none"/>
                <w:lang w:val="en-US" w:eastAsia="zh-CN" w:bidi="ar"/>
              </w:rPr>
              <w:t>管理</w:t>
            </w:r>
            <w:r>
              <w:rPr>
                <w:rFonts w:hint="eastAsia" w:ascii="宋体" w:hAnsi="宋体" w:cs="宋体"/>
                <w:color w:val="000000"/>
                <w:kern w:val="0"/>
                <w:sz w:val="22"/>
                <w:szCs w:val="22"/>
                <w:highlight w:val="none"/>
                <w:lang w:bidi="ar"/>
              </w:rPr>
              <w:t>系统</w:t>
            </w:r>
          </w:p>
        </w:tc>
        <w:tc>
          <w:tcPr>
            <w:tcW w:w="5183" w:type="dxa"/>
            <w:tcBorders>
              <w:top w:val="single" w:color="000000" w:sz="4" w:space="0"/>
              <w:left w:val="single" w:color="000000" w:sz="4" w:space="0"/>
              <w:bottom w:val="single" w:color="000000" w:sz="4" w:space="0"/>
              <w:right w:val="single" w:color="000000" w:sz="4" w:space="0"/>
            </w:tcBorders>
            <w:vAlign w:val="center"/>
          </w:tcPr>
          <w:p w14:paraId="0333286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云图书馆平台系统由云图书馆管理系统、PC端网站和读者APP组成。</w:t>
            </w:r>
          </w:p>
          <w:p w14:paraId="28F5296F">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一、功能参数</w:t>
            </w:r>
          </w:p>
          <w:p w14:paraId="2D59AC4A">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（一）云图书馆管理系统</w:t>
            </w:r>
          </w:p>
          <w:p w14:paraId="4F46949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1.系统须具有采访管理、编目管理、典藏管理、流通管理、期刊管理、读者管理、馆际流通管理、辅助管理、系统设置等功能模块。</w:t>
            </w:r>
          </w:p>
          <w:p w14:paraId="6D72F3B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2.系统具有供应商管理功能，支持对供应商进行新增和维护。</w:t>
            </w:r>
          </w:p>
          <w:p w14:paraId="6192C32E">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3.▲系统具有读者荐购功能，可以荐购图书直接导出为采购清单，并能够根据图书采购入藏情况对荐购图书进行自动标识，注明已购或未购。</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1AE3A7BA">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4.系统编目符合国家标准和国际标准，书目机读格式遵循CNMARC规范，可以通过参数配置进行调整。</w:t>
            </w:r>
          </w:p>
          <w:p w14:paraId="6FFB299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5.支持Z39.50广播查询下载，通过输入地址，自动下载Z39.50服务器数据。</w:t>
            </w:r>
          </w:p>
          <w:p w14:paraId="5E6B66E6">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6.支持多种索书号生成方式，至少包括种次号和著者号两种方式。</w:t>
            </w:r>
          </w:p>
          <w:p w14:paraId="64C4497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7.支持5种以上主流的著者号取号规则设置，能够自动生成相应的著者号。</w:t>
            </w:r>
          </w:p>
          <w:p w14:paraId="11332C6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8.支持自定义条码号格式的设置，如定义文献类型号、地区代码、顺序号长度等，并自动生成相应的条码号。</w:t>
            </w:r>
          </w:p>
          <w:p w14:paraId="238AAF68">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9.具有书标打印功能，支持二维码条码号的生成和打印。</w:t>
            </w:r>
          </w:p>
          <w:p w14:paraId="375310F0">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10.▲具有自动排架的功能，支持按一至四级等不同上架类目层级进行自动排架，支持增加特殊排架，支持层架标打印等功能。</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7007C62F">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11.能够自行定义MARC子段的自动生成内容，MARC字段可以进行自由配置，可以添加和删除字段，可以查看所有的MARC字段，能够提供完善的MARC智能编辑方式。</w:t>
            </w:r>
          </w:p>
          <w:p w14:paraId="1BF990F2">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12.编目时具有自动查重功能，可以按全范围查重也可以按月批次查重。</w:t>
            </w:r>
          </w:p>
          <w:p w14:paraId="70BB8A3B">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13.▲具有图书RFID芯片与条码号关联的功能，支持关联和解除关联操作。</w:t>
            </w:r>
          </w:p>
          <w:p w14:paraId="5BCC34A6">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14.▲具有添加藏书溢价的功能，用以自动增加珍藏版图书的借阅押金，保证财产的安全。</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564C1116">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15.具有藏书维护的功能，可修改藏书的基本信息，可重新更换和打印标签。</w:t>
            </w:r>
          </w:p>
          <w:p w14:paraId="5212E828">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16.具有藏书剔旧、数据删除、维修下架、维修上架和批量移库等功能。</w:t>
            </w:r>
          </w:p>
          <w:p w14:paraId="0A42E52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17.具有对藏书进行盘点的功能，可以多机联合盘点。</w:t>
            </w:r>
          </w:p>
          <w:p w14:paraId="31946378">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18.▲具有RFID层架管理的功能，可以导入层架、进行层架关联和层架标签打印等功能。</w:t>
            </w:r>
          </w:p>
          <w:p w14:paraId="3B86349B">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19.具有期刊预订、预订单审核等功能。</w:t>
            </w:r>
          </w:p>
          <w:p w14:paraId="33A3988A">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20.具有期刊记到、期刊合订等功能。</w:t>
            </w:r>
          </w:p>
          <w:p w14:paraId="067B25E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21.支持读者批量导入功能。</w:t>
            </w:r>
          </w:p>
          <w:p w14:paraId="26078C72">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22.支持对读者个人账户进行信息维护、修改密码等功能。</w:t>
            </w:r>
          </w:p>
          <w:p w14:paraId="1CF2D3F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23.支持对读者进行人脸采集和修改照片等功能。</w:t>
            </w:r>
          </w:p>
          <w:p w14:paraId="0FAD7AB6">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24.具有设置多种特权读者的功能，包括增加借阅册数、延长借阅期限、和免押金等；支持特权读者批量导入功能。</w:t>
            </w:r>
          </w:p>
          <w:p w14:paraId="172BB41C">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25.具有读者黑名单管理功能，可将违规违约读者列入黑名单，限制其借阅行为。</w:t>
            </w:r>
          </w:p>
          <w:p w14:paraId="75EBEAC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26.具有文献借出功能，读者可通过账号加密码、RFID证件免密码、二维码免密码等多种方式登录进行借书，借书时能够显示图书基本信息、读者的押金情况和在借信息。</w:t>
            </w:r>
          </w:p>
          <w:p w14:paraId="1C5B1D4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27.支持借书时处理逾期罚金和查看预约图书等功能。</w:t>
            </w:r>
          </w:p>
          <w:p w14:paraId="0D4DFD91">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28.具有读者免登录还书的功能，还书时可以查看图书基本信息和逾期罚金信息。</w:t>
            </w:r>
          </w:p>
          <w:p w14:paraId="4D85F17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29.还书时可同时处理逾期罚金。</w:t>
            </w:r>
          </w:p>
          <w:p w14:paraId="4D4B54A0">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30.具有赔书管理功能，读者可通过账号加密码、RFID证件免密码、二维码免密码等多种方式登录进行赔书，赔书时可直接收取赔金。</w:t>
            </w:r>
          </w:p>
          <w:p w14:paraId="5DE3F092">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31.具有押金管理功能，可直接进行收押金和退押金等操作。</w:t>
            </w:r>
          </w:p>
          <w:p w14:paraId="5F1F0C06">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32.具有一键续借功能，可以查看在借图书列表，点击相应按键即完成指定图书的办理续借业务。</w:t>
            </w:r>
          </w:p>
          <w:p w14:paraId="21870C3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33.▲支持读者在总分馆中通借、通还、通赔的功能。</w:t>
            </w:r>
          </w:p>
          <w:p w14:paraId="3BB880A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34.▲支持读者在总分馆中押金通用的功能，读者在任意馆产生的罚金和赔金可以就近处理。</w:t>
            </w:r>
          </w:p>
          <w:p w14:paraId="23E7DF23">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35.具有馆际图书批量流出和批量流入功能。</w:t>
            </w:r>
          </w:p>
          <w:p w14:paraId="1752606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36.▲支持对馆际流出图书进行清单审核的功能。</w:t>
            </w:r>
          </w:p>
          <w:p w14:paraId="17C44E00">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37.▲支持对馆际流入图书进行清点签收的功能。</w:t>
            </w:r>
          </w:p>
          <w:p w14:paraId="10E2C85A">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38.▲具有设备管理功能，支持对本馆设备状态进行实时监控的功能。</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6248E962">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39.▲可以对本馆的图书自助借还柜进行实时采集盘点数据，无需人工清点。</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19DEF1B8">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40.具有查看和回复读者留言咨询的功能，可以查看OPAC端的读者留言或咨询并进行回复和互动。</w:t>
            </w:r>
          </w:p>
          <w:p w14:paraId="49A285BC">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41.可以添加和删除用户，分配独立的用户权限，可对个人账户进行维护和修改。</w:t>
            </w:r>
          </w:p>
          <w:p w14:paraId="0627890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42.具有库位管理功能，可以对库位进行增加、修改和删除。</w:t>
            </w:r>
          </w:p>
          <w:p w14:paraId="419FF65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43.具有编目设置功能，可以对索书方式、书标类型、查重范围、条码号规则等进行组合式设置。</w:t>
            </w:r>
          </w:p>
          <w:p w14:paraId="0FDD9FC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44.支持多种读者类型设置，设置不同的可借数量、借阅期限和押金规则。</w:t>
            </w:r>
          </w:p>
          <w:p w14:paraId="7FE4B24A">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45.系统具有忘记密码处理功能，支持管理员通过预设的手机号重新设置新密码。</w:t>
            </w:r>
          </w:p>
          <w:p w14:paraId="01E83C5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46.系统支持对本馆的采、编、典、读者、期刊、流通、总分馆等各项进行多维度统计分析的功能。</w:t>
            </w:r>
          </w:p>
          <w:p w14:paraId="59A93024">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47.系统支持对所有分馆、馆藏地点的藏书数量进行统计分析的功能。</w:t>
            </w:r>
          </w:p>
          <w:p w14:paraId="35FF1360">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48.所有统计列表可以直接导出为EXCEL格式和PDF格式文件。</w:t>
            </w:r>
          </w:p>
          <w:p w14:paraId="19591EB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（二）PC端网站</w:t>
            </w:r>
          </w:p>
          <w:p w14:paraId="3CB32DC0">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1.网站必须与图书馆管理系统无缝对接，数据实时互通。</w:t>
            </w:r>
          </w:p>
          <w:p w14:paraId="0C25B09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2.▲打开网站，即进入图书馆的首页，展示本图书馆馆名和其它信息。</w:t>
            </w:r>
          </w:p>
          <w:p w14:paraId="0D1C7554">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3.▲读者注册和登录功能：读者可以直接通过身份证号和手机号完成身份注册，完成注册后的读者可以凭证件号、手机号进行登录。</w:t>
            </w:r>
          </w:p>
          <w:p w14:paraId="463585F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4.▲本馆介绍功能：可以查看本馆藏书量、地址、电话、开放时间、馆情简介等信息。</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348E8E3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5.图书检索功能：可以通过分类号、ISBN、条码号、书名、著译者、出版社、出版年份等条件搜索本馆的纸质藏书。</w:t>
            </w:r>
          </w:p>
          <w:p w14:paraId="2A77651B">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6.▲可以查看本馆纸质藏书的封面、目录、内容简介、库位、在馆状态等信息。 </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779D5E6C">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7.具有对纸质藏书进行预约、续借和分享等功能。</w:t>
            </w:r>
          </w:p>
          <w:p w14:paraId="40EC428A">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8.电子书检索功能：可以通过分类、书名、著译者、出版社、出版年份等条件搜索本馆的电子图书，</w:t>
            </w:r>
          </w:p>
          <w:p w14:paraId="1337045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9.可以查看电子图书的封面、目录、内容简介等信息，具有对电子图书进行收藏和分享的功能。</w:t>
            </w:r>
          </w:p>
          <w:p w14:paraId="22254DA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10.▲电子图书阅读功能：可以直接打开电子图书进行在线阅读，具有书签功能。</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15B4483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11.资讯查阅功能：可以搜索查看本馆的各类资讯，并可进行留言、留言回复和查看他人的留言。</w:t>
            </w:r>
          </w:p>
          <w:p w14:paraId="15764ED0">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12.▲活动查阅功能：可以搜索查看本馆的各类活动，并可在线进行报名。</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7B24352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13.可以对本图书馆进行读者留言、查看他人留言和留言回复，可以查看本馆的借阅制度。</w:t>
            </w:r>
          </w:p>
          <w:p w14:paraId="2A19B443">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14.▲具有总分馆制建设功能，并可点击进入任意一家图书馆对其进行定位导航、查看馆情信息、查看和预约纸质资源、查看和阅读数字资源、浏览活动和资讯等操作。</w:t>
            </w:r>
          </w:p>
          <w:p w14:paraId="15C31928">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15.支持嵌入第三方H5网页功能，可搭载各类第三方数字阅读资源。</w:t>
            </w:r>
          </w:p>
          <w:p w14:paraId="0799A3A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16.▲个人账户管理：具有修改个人密码、个人书架管理、查看个人预约和报名的信息、逾期通知消息、对图书作读书笔记等功能。</w:t>
            </w:r>
          </w:p>
          <w:p w14:paraId="4A1412E2">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17.为保证软件产品的知识产权，投标人需提供软件的著作权登记证书复印件并加盖制造商公章。</w:t>
            </w:r>
          </w:p>
          <w:p w14:paraId="1FF29A9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（三）读者APP</w:t>
            </w:r>
          </w:p>
          <w:p w14:paraId="610EC634">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1.读者APP必须与图书馆管理系统无缝对接，数据实时互通。</w:t>
            </w:r>
          </w:p>
          <w:p w14:paraId="223C9E3B">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2.▲打开APP，无需点击操作，即可进入图书馆的首页，展示本图书馆馆名和其它信息。</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0EB47FA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3.▲读者注册和登录功能：读者可以直接通过身份证号和手机号完成身份注册，完成注册后的读者可以凭证件号、手机号进行登录。</w:t>
            </w:r>
          </w:p>
          <w:p w14:paraId="32A9FDA3">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4.★本馆介绍功能：可以查看本馆藏书量、地址、电话、开放时间、馆情简介等信息，同时具有图书馆定位导航功能。</w:t>
            </w:r>
          </w:p>
          <w:p w14:paraId="1C3C2F91">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5.图书检索功能：可以通过分类号、ISBN、条码号、书名、著译者、出版社、出版年份等条件搜索本馆的纸质藏书。</w:t>
            </w:r>
          </w:p>
          <w:p w14:paraId="03AEBE2A">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6.★可以查看本馆纸质藏书的封面、目录、内容简介、库位、在馆状态等信息。 </w:t>
            </w:r>
          </w:p>
          <w:p w14:paraId="6216C47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7.▲具有对纸质藏书进行预约、续借、荐购和分享等功能。</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4BCE504B">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8.▲电子书检索功能：可以通过分类、书名、著译者、出版社、出版年份等条件搜索本馆的电子图书</w:t>
            </w:r>
            <w:r>
              <w:rPr>
                <w:rFonts w:hint="eastAsia" w:ascii="宋体" w:hAnsi="宋体" w:cs="宋体"/>
                <w:color w:val="auto"/>
                <w:sz w:val="22"/>
                <w:szCs w:val="22"/>
                <w:highlight w:val="none"/>
                <w:lang w:eastAsia="zh-CN"/>
              </w:rPr>
              <w:t>。</w:t>
            </w:r>
            <w:r>
              <w:rPr>
                <w:rFonts w:hint="eastAsia" w:ascii="宋体" w:hAnsi="宋体" w:cs="宋体"/>
                <w:b/>
                <w:bCs/>
                <w:color w:val="auto"/>
                <w:sz w:val="22"/>
                <w:szCs w:val="22"/>
                <w:highlight w:val="none"/>
              </w:rPr>
              <w:t>（提供具有CMA认证的第三方检验机构出具的检验报告复印件或提供系统功能页面截图并加盖投标供应商公章。）</w:t>
            </w:r>
          </w:p>
          <w:p w14:paraId="584050DB">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9.▲可以查看电子图书的封面、目录、内容简介等信息，具有对电子图书进行收藏和分享的功能。</w:t>
            </w:r>
          </w:p>
          <w:p w14:paraId="5533C070">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10.▲电子图书阅读功能：可以直接打开电子图书进行阅读，可对电子图书阅读界面的字体大小和背景颜色进行个性化设置，具有白天夜间模式切换功能，具有书签功能； 打开阅读的电子图书后即加入电子书架，能够在无网络的条件下继续阅读。</w:t>
            </w:r>
          </w:p>
          <w:p w14:paraId="20DA7C2F">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11.视频查看功能：可以搜索本馆的视频资源，并对视频进行播放。</w:t>
            </w:r>
          </w:p>
          <w:p w14:paraId="34CC58A2">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12.资讯查阅功能：可以搜索查看本馆的各类资讯，并可进行留言、留言回复和查看他人的留言。</w:t>
            </w:r>
          </w:p>
          <w:p w14:paraId="15B429C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13.活动查阅功能：可以搜索查看本馆的各类活动，并可在线进行报名。</w:t>
            </w:r>
          </w:p>
          <w:p w14:paraId="737DD33C">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14.可以对本图书馆进行读者留言、查看他人留言和留言回复，可以查看本馆的借阅制度。</w:t>
            </w:r>
          </w:p>
          <w:p w14:paraId="2B14122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15.▲具有总分馆制建设功能，可以呈现四级总分馆制体系； 并可点击进入任意一家图书馆对其进行定位导航、查看馆情信息、查看和预约纸质资源、查看和阅读数字资源、浏览活动和资讯等操作。</w:t>
            </w:r>
          </w:p>
          <w:p w14:paraId="3E6ACBDE">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16.▲具有通过微信和支付宝交押金、交罚金、退押金等功能。</w:t>
            </w:r>
          </w:p>
          <w:p w14:paraId="747766AB">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17.▲个人账户管理：具有修改个人密码、个人书架管理、查看个人预约和报名的信息、逾期通知消息、对图书作读书笔记、新书荐购等功能。</w:t>
            </w:r>
          </w:p>
          <w:p w14:paraId="1CADE08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二、技术参数</w:t>
            </w:r>
          </w:p>
          <w:p w14:paraId="3E9EBCA6">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（一）云图书馆管理系统</w:t>
            </w:r>
          </w:p>
          <w:p w14:paraId="11900D7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1.系统需全面兼容国产化基础设施部署，支持国产化操作系统。</w:t>
            </w:r>
          </w:p>
          <w:p w14:paraId="19B8B5D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2.采用B/S架构，只需浏览器便可在任何时候、任何地点访问。</w:t>
            </w:r>
          </w:p>
          <w:p w14:paraId="7E783ABC">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3.兼容Windows7及以上Windows操作系统。</w:t>
            </w:r>
          </w:p>
          <w:p w14:paraId="36D1FCBA">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4.支持IE（IE8以上）、谷歌、火狐、以及其他主流浏览器。</w:t>
            </w:r>
          </w:p>
          <w:p w14:paraId="0DE8F15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5.系统具有可靠的安全机制和备份机制，在复杂的网络环境下，系统的用户信息的传输和在数据库里面的存储应采用工业标准的算法进行加密。</w:t>
            </w:r>
          </w:p>
          <w:p w14:paraId="28BC6E6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6.系统须具有客户端程序在本地电脑安装使用，以提高本地化应用的体验效果。</w:t>
            </w:r>
          </w:p>
          <w:p w14:paraId="2C35F97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（二）PC端网站</w:t>
            </w:r>
          </w:p>
          <w:p w14:paraId="45BA129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1.基于WEB和Internet的B/S架构，兼容手机端H5网页，只需浏览器便可在任何时候、任何地点访问。</w:t>
            </w:r>
          </w:p>
          <w:p w14:paraId="1F0BB741">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2.兼容Windows7及以上Windows操作系统，手机端H5网页展示兼容Android和IOS系统。</w:t>
            </w:r>
          </w:p>
          <w:p w14:paraId="5606CD2A">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3.支持IE（IE8以上）、谷歌、火狐、以及其他主流浏览器。</w:t>
            </w:r>
          </w:p>
          <w:p w14:paraId="6151D0A9">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（三）读者APP</w:t>
            </w:r>
          </w:p>
          <w:p w14:paraId="5479FA8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★采用IOS和Android原生系统开发，无需第三方APP软件支撑，可在各大手机应用市场直接下载安装。（中标后签订合同前须现场演示读者APP在手机应用市场的直接下载安装，提供软件商对接承诺函并加盖公章）</w:t>
            </w:r>
          </w:p>
          <w:p w14:paraId="0550AFFF">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三、服务参数</w:t>
            </w:r>
          </w:p>
          <w:p w14:paraId="4BB760CA">
            <w:pPr>
              <w:widowControl/>
              <w:jc w:val="left"/>
              <w:textAlignment w:val="center"/>
              <w:rPr>
                <w:rFonts w:ascii="宋体" w:hAnsi="宋体" w:cs="宋体"/>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★包含终身维护和升级。（提供软件商生产商的承诺函并加盖公章）</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B0C86C7">
            <w:pPr>
              <w:widowControl/>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1</w:t>
            </w:r>
          </w:p>
        </w:tc>
        <w:tc>
          <w:tcPr>
            <w:tcW w:w="1263" w:type="dxa"/>
            <w:tcBorders>
              <w:top w:val="single" w:color="000000" w:sz="4" w:space="0"/>
              <w:left w:val="single" w:color="000000" w:sz="4" w:space="0"/>
              <w:bottom w:val="single" w:color="000000" w:sz="4" w:space="0"/>
              <w:right w:val="single" w:color="000000" w:sz="4" w:space="0"/>
            </w:tcBorders>
            <w:vAlign w:val="center"/>
          </w:tcPr>
          <w:p w14:paraId="1904CCBF">
            <w:pPr>
              <w:widowControl/>
              <w:jc w:val="center"/>
              <w:textAlignment w:val="center"/>
              <w:rPr>
                <w:rFonts w:hint="eastAsia" w:ascii="宋体" w:hAnsi="宋体" w:eastAsia="宋体" w:cs="宋体"/>
                <w:kern w:val="0"/>
                <w:sz w:val="22"/>
                <w:szCs w:val="22"/>
                <w:highlight w:val="none"/>
                <w:lang w:eastAsia="zh-CN" w:bidi="ar"/>
              </w:rPr>
            </w:pPr>
            <w:r>
              <w:rPr>
                <w:rFonts w:hint="eastAsia" w:ascii="宋体" w:hAnsi="宋体" w:cs="宋体"/>
                <w:color w:val="000000"/>
                <w:kern w:val="0"/>
                <w:sz w:val="22"/>
                <w:szCs w:val="22"/>
                <w:highlight w:val="none"/>
                <w:lang w:val="en-US" w:eastAsia="zh-CN" w:bidi="ar"/>
              </w:rPr>
              <w:t>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5EDC">
            <w:pPr>
              <w:widowControl/>
              <w:jc w:val="center"/>
              <w:textAlignment w:val="center"/>
              <w:rPr>
                <w:rFonts w:ascii="宋体" w:hAnsi="宋体" w:cs="宋体"/>
                <w:kern w:val="0"/>
                <w:sz w:val="22"/>
                <w:szCs w:val="22"/>
                <w:highlight w:val="none"/>
              </w:rPr>
            </w:pP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111D7AA8">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B1E9943">
            <w:pPr>
              <w:spacing w:line="30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w:t>
            </w:r>
          </w:p>
        </w:tc>
        <w:tc>
          <w:tcPr>
            <w:tcW w:w="1155" w:type="dxa"/>
            <w:tcBorders>
              <w:top w:val="single" w:color="000000" w:sz="4" w:space="0"/>
              <w:left w:val="nil"/>
              <w:bottom w:val="single" w:color="000000" w:sz="4" w:space="0"/>
              <w:right w:val="single" w:color="000000" w:sz="4" w:space="0"/>
            </w:tcBorders>
            <w:vAlign w:val="center"/>
          </w:tcPr>
          <w:p w14:paraId="340D1703">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防盗仪安全门</w:t>
            </w:r>
          </w:p>
        </w:tc>
        <w:tc>
          <w:tcPr>
            <w:tcW w:w="5183" w:type="dxa"/>
            <w:tcBorders>
              <w:top w:val="single" w:color="000000" w:sz="4" w:space="0"/>
              <w:left w:val="single" w:color="000000" w:sz="4" w:space="0"/>
              <w:bottom w:val="single" w:color="000000" w:sz="4" w:space="0"/>
              <w:right w:val="single" w:color="000000" w:sz="4" w:space="0"/>
            </w:tcBorders>
            <w:vAlign w:val="center"/>
          </w:tcPr>
          <w:p w14:paraId="6C6C4C0C">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工作电压：AC:220V±10%、50Hz-60HZ</w:t>
            </w:r>
          </w:p>
          <w:p w14:paraId="315B1886">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功耗：≤6W</w:t>
            </w:r>
          </w:p>
          <w:p w14:paraId="7B305EC9">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cs="宋体"/>
                <w:sz w:val="22"/>
                <w:szCs w:val="22"/>
                <w:highlight w:val="none"/>
              </w:rPr>
              <w:t xml:space="preserve">工作环境：-20℃～70℃ </w:t>
            </w:r>
          </w:p>
          <w:p w14:paraId="32821602">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4.</w:t>
            </w:r>
            <w:r>
              <w:rPr>
                <w:rFonts w:hint="eastAsia" w:ascii="宋体" w:hAnsi="宋体" w:cs="宋体"/>
                <w:sz w:val="22"/>
                <w:szCs w:val="22"/>
                <w:highlight w:val="none"/>
              </w:rPr>
              <w:t>连续工作时间：≥500小时</w:t>
            </w:r>
          </w:p>
          <w:p w14:paraId="2E8DCD03">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cs="宋体"/>
                <w:sz w:val="22"/>
                <w:szCs w:val="22"/>
                <w:highlight w:val="none"/>
              </w:rPr>
              <w:t>材　　料：木制加亚克力板</w:t>
            </w:r>
          </w:p>
          <w:p w14:paraId="38FD1924">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6.</w:t>
            </w:r>
            <w:r>
              <w:rPr>
                <w:rFonts w:hint="eastAsia" w:ascii="宋体" w:hAnsi="宋体" w:cs="宋体"/>
                <w:sz w:val="22"/>
                <w:szCs w:val="22"/>
                <w:highlight w:val="none"/>
              </w:rPr>
              <w:t>检测磁条长度：钴基磁条6cm以上</w:t>
            </w:r>
          </w:p>
          <w:p w14:paraId="01896D0E">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7.</w:t>
            </w:r>
            <w:r>
              <w:rPr>
                <w:rFonts w:hint="eastAsia" w:ascii="宋体" w:hAnsi="宋体" w:cs="宋体"/>
                <w:sz w:val="22"/>
                <w:szCs w:val="22"/>
                <w:highlight w:val="none"/>
              </w:rPr>
              <w:t>监测高度：1700mm</w:t>
            </w:r>
          </w:p>
          <w:p w14:paraId="52DCAFC0">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8.</w:t>
            </w:r>
            <w:r>
              <w:rPr>
                <w:rFonts w:hint="eastAsia" w:ascii="宋体" w:hAnsi="宋体" w:cs="宋体"/>
                <w:sz w:val="22"/>
                <w:szCs w:val="22"/>
                <w:highlight w:val="none"/>
              </w:rPr>
              <w:t>监测宽度：单通道：700-900(mm)       双通道：1400-1800（mm）</w:t>
            </w:r>
          </w:p>
          <w:p w14:paraId="122EE075">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9.</w:t>
            </w:r>
            <w:r>
              <w:rPr>
                <w:rFonts w:hint="eastAsia" w:ascii="宋体" w:hAnsi="宋体" w:cs="宋体"/>
                <w:sz w:val="22"/>
                <w:szCs w:val="22"/>
                <w:highlight w:val="none"/>
              </w:rPr>
              <w:t>外形尺寸：1480*540*40(mm)可靠性：≥100000小时</w:t>
            </w:r>
          </w:p>
          <w:p w14:paraId="767FBB14">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10.</w:t>
            </w:r>
            <w:r>
              <w:rPr>
                <w:rFonts w:hint="eastAsia" w:ascii="宋体" w:hAnsi="宋体" w:cs="宋体"/>
                <w:sz w:val="22"/>
                <w:szCs w:val="22"/>
                <w:highlight w:val="none"/>
              </w:rPr>
              <w:t>特点描述：</w:t>
            </w:r>
          </w:p>
          <w:p w14:paraId="18D55D10">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 xml:space="preserve"> 磁条兼容：兼容EAS各类安全磁条，可监测6CM以上的磁条。</w:t>
            </w:r>
          </w:p>
          <w:p w14:paraId="39392D2A">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 xml:space="preserve"> 通道宽度：使用磁条，通道距离可达到80-90ＣＭ，使用硬标签通道距离可达到100-120CM。</w:t>
            </w:r>
          </w:p>
          <w:p w14:paraId="547AB675">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综合灵敏度：采用电磁波防盗技术，盲区小，综合灵敏度在98%以上。</w:t>
            </w:r>
          </w:p>
          <w:p w14:paraId="75C3C70B">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稳定性能：设备稳定性能高，抗电子干扰能力强，对于一般电子杂讯具有免疫效果。</w:t>
            </w:r>
          </w:p>
          <w:p w14:paraId="69E29BD2">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双重报警提示；当有充磁的磁条通过监测通道时，系统提供声音和灯光信号双重警示。</w:t>
            </w:r>
          </w:p>
          <w:p w14:paraId="184DFBBA">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人数统计：配有人数累计功能，可生成当日客流、流量统计功能。（定做）</w:t>
            </w:r>
          </w:p>
          <w:p w14:paraId="0154AAE2">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可组成多通道；可联机组成需要的三通道，四通道，五通道等。 （定做）</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F7DD504">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vAlign w:val="center"/>
          </w:tcPr>
          <w:p w14:paraId="000E9CC6">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A1AA">
            <w:pPr>
              <w:widowControl/>
              <w:jc w:val="center"/>
              <w:textAlignment w:val="center"/>
              <w:rPr>
                <w:rFonts w:hint="eastAsia" w:hAnsi="宋体" w:cs="宋体"/>
                <w:kern w:val="2"/>
                <w:sz w:val="21"/>
                <w:szCs w:val="21"/>
                <w:lang w:eastAsia="zh-CN"/>
              </w:rPr>
            </w:pP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376045DF">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73EF5A1C">
            <w:pPr>
              <w:spacing w:line="300" w:lineRule="exact"/>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3</w:t>
            </w:r>
          </w:p>
        </w:tc>
        <w:tc>
          <w:tcPr>
            <w:tcW w:w="1155" w:type="dxa"/>
            <w:tcBorders>
              <w:top w:val="single" w:color="000000" w:sz="4" w:space="0"/>
              <w:left w:val="nil"/>
              <w:bottom w:val="single" w:color="000000" w:sz="4" w:space="0"/>
              <w:right w:val="single" w:color="000000" w:sz="4" w:space="0"/>
            </w:tcBorders>
            <w:vAlign w:val="center"/>
          </w:tcPr>
          <w:p w14:paraId="44F0442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充消磁检一体机</w:t>
            </w:r>
          </w:p>
        </w:tc>
        <w:tc>
          <w:tcPr>
            <w:tcW w:w="5183" w:type="dxa"/>
            <w:tcBorders>
              <w:top w:val="single" w:color="000000" w:sz="4" w:space="0"/>
              <w:left w:val="single" w:color="000000" w:sz="4" w:space="0"/>
              <w:bottom w:val="single" w:color="000000" w:sz="4" w:space="0"/>
              <w:right w:val="single" w:color="000000" w:sz="4" w:space="0"/>
            </w:tcBorders>
            <w:vAlign w:val="center"/>
          </w:tcPr>
          <w:p w14:paraId="3A00B0B7">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特点描述：</w:t>
            </w:r>
          </w:p>
          <w:p w14:paraId="2913C50F">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该产品具有充磁、消磁、检验三种功能，不仅能在充/消过程中高效识别商品或图书内磁条的有无（充/消可以和检测同时协调工作，无需转换开关），而且灵敏度高、稳定性好、体积小，是图书馆、卖场的理想选择！</w:t>
            </w:r>
          </w:p>
          <w:p w14:paraId="0B964353">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具体说明：</w:t>
            </w:r>
          </w:p>
          <w:p w14:paraId="1E60E36F">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针对性强：针对国内各种磁条进行有效充磁、消磁、检验。</w:t>
            </w:r>
          </w:p>
          <w:p w14:paraId="421AD0D4">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操作灵活：可选择的自动、手动模式可满足所有操作需求。</w:t>
            </w:r>
          </w:p>
          <w:p w14:paraId="078B758D">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性能优越：充磁和消磁的有效高度高达5厘米。一次操作可同时为多本书充/消磁。</w:t>
            </w:r>
          </w:p>
          <w:p w14:paraId="25B2D9ED">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功能完善：集磁条充、消、检功能于一体。本设备能够充，消，检图书内磁条。</w:t>
            </w:r>
          </w:p>
          <w:p w14:paraId="34FB58D3">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操作可靠：不管是从有效操作空间还是从执行速度来看，本设备都能够保证可靠的充磁、消磁和检磁。</w:t>
            </w:r>
          </w:p>
          <w:p w14:paraId="73520C36">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cs="宋体"/>
                <w:sz w:val="22"/>
                <w:szCs w:val="22"/>
                <w:highlight w:val="none"/>
              </w:rPr>
              <w:t>主要技术参数：</w:t>
            </w:r>
          </w:p>
          <w:p w14:paraId="6BFCB81D">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工作电压：AC：220V±10%、50Hz</w:t>
            </w:r>
          </w:p>
          <w:p w14:paraId="057F4253">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检测功耗：≤10W</w:t>
            </w:r>
          </w:p>
          <w:p w14:paraId="33B9094B">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充敏功率：≤95W</w:t>
            </w:r>
          </w:p>
          <w:p w14:paraId="2CCD0857">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消敏功率：≤95W</w:t>
            </w:r>
          </w:p>
          <w:p w14:paraId="41742B3B">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充敏、消敏有效高度：≤50mm</w:t>
            </w:r>
          </w:p>
          <w:p w14:paraId="709284B0">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磁条检测高度：≤30mm</w:t>
            </w:r>
          </w:p>
          <w:p w14:paraId="50CA7169">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报警形式：声光报警</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0509AF8">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vAlign w:val="center"/>
          </w:tcPr>
          <w:p w14:paraId="3A7C0940">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台</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CD65">
            <w:pPr>
              <w:widowControl/>
              <w:jc w:val="center"/>
              <w:textAlignment w:val="center"/>
              <w:rPr>
                <w:rFonts w:hint="eastAsia" w:hAnsi="宋体" w:cs="宋体"/>
                <w:kern w:val="2"/>
                <w:sz w:val="21"/>
                <w:szCs w:val="21"/>
                <w:lang w:eastAsia="zh-CN"/>
              </w:rPr>
            </w:pP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5B8D74AB">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3080B53E">
            <w:pPr>
              <w:spacing w:line="30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4</w:t>
            </w:r>
          </w:p>
        </w:tc>
        <w:tc>
          <w:tcPr>
            <w:tcW w:w="1155" w:type="dxa"/>
            <w:tcBorders>
              <w:top w:val="single" w:color="000000" w:sz="4" w:space="0"/>
              <w:left w:val="nil"/>
              <w:bottom w:val="single" w:color="000000" w:sz="4" w:space="0"/>
              <w:right w:val="single" w:color="000000" w:sz="4" w:space="0"/>
            </w:tcBorders>
            <w:vAlign w:val="center"/>
          </w:tcPr>
          <w:p w14:paraId="2263266A">
            <w:pPr>
              <w:widowControl/>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opac查询机</w:t>
            </w:r>
          </w:p>
        </w:tc>
        <w:tc>
          <w:tcPr>
            <w:tcW w:w="5183" w:type="dxa"/>
            <w:tcBorders>
              <w:top w:val="single" w:color="000000" w:sz="4" w:space="0"/>
              <w:left w:val="single" w:color="000000" w:sz="4" w:space="0"/>
              <w:bottom w:val="single" w:color="000000" w:sz="4" w:space="0"/>
              <w:right w:val="single" w:color="000000" w:sz="4" w:space="0"/>
            </w:tcBorders>
            <w:vAlign w:val="center"/>
          </w:tcPr>
          <w:p w14:paraId="0EBFAE9E">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一、软件参数</w:t>
            </w:r>
          </w:p>
          <w:p w14:paraId="3A224617">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1.设备必须与图书馆管理系统无缝对接，数据实时互联互通。</w:t>
            </w:r>
          </w:p>
          <w:p w14:paraId="6F3071C9">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2.本馆介绍：可查看图书馆馆情简介、开放时间、借阅规章制度等信息。</w:t>
            </w:r>
          </w:p>
          <w:p w14:paraId="52932CCD">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3.图书：可全方位查询检索本馆纸质藏书，书目分类导航，查看藏书状态和层架信息等。</w:t>
            </w:r>
          </w:p>
          <w:p w14:paraId="65193021">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4.电子书：可全方位查询检索本馆数字藏书，书目分类导航，并可直接打开进行分页阅读。</w:t>
            </w:r>
          </w:p>
          <w:p w14:paraId="4EFEEDF4">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5.配套读者APP软件，读者可通过APP扫描电子图书二维码下载该图书到手机进行阅读，下载的电子图书直接保存于个人的电子书架，可随时查阅，支持离线阅读。读者APP采用IOS和Android原生系统开发，无需第三方APP软件支撑，可在各大手机应用市场直接下载安装。（中标后签订合同前须现场演示读者APP在手机应用市场的直接下载安装，提供承诺函并加盖公章）</w:t>
            </w:r>
          </w:p>
          <w:p w14:paraId="3A4A4C9D">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6.打开读者APP，无需点击操作，即可进入图书馆的首页，展示本图书馆馆名，可以查看本馆藏书量、地址、电话、开放时间、馆情简介等信息，同时具有图书馆定位导航功能。</w:t>
            </w:r>
          </w:p>
          <w:p w14:paraId="77FDA816">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7.资讯：可查询检索本馆资讯，并可直接打开浏览阅读。</w:t>
            </w:r>
          </w:p>
          <w:p w14:paraId="2DC834F0">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8.活动：可查询检索本馆活动，可直接打开浏览阅读。</w:t>
            </w:r>
          </w:p>
          <w:p w14:paraId="1480E4EF">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9.总分馆：可查看本馆对应的各类总分馆信息，包括中心馆、总馆、分馆和网点信息。</w:t>
            </w:r>
          </w:p>
          <w:p w14:paraId="1F23235B">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10.读者留言：可查看其他读者留言信息。</w:t>
            </w:r>
          </w:p>
          <w:p w14:paraId="3504F185">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11.读者登录：可进行个人账号登录，进行修改密码，查看自己借阅数据等操作。</w:t>
            </w:r>
          </w:p>
          <w:p w14:paraId="5B9A7B8B">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12.支持嵌入WebOPAC检索查询和第三方阅读资源链接。</w:t>
            </w:r>
          </w:p>
          <w:p w14:paraId="0E0C1F83">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13.支持视频资源和音频资源播放。</w:t>
            </w:r>
          </w:p>
          <w:p w14:paraId="1505E546">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14.为保障系统的兼容稳定性，投标人所提供的OPAC查询系统软件须与OPAC查询与数字阅读机为同一制造商生产。</w:t>
            </w:r>
          </w:p>
          <w:p w14:paraId="2AD27CAC">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二、资源参数</w:t>
            </w:r>
          </w:p>
          <w:p w14:paraId="505738A3">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1.文件格式：供应商提供的电子书必须以Epub文件格式（含使用授权）交付采购单位，并上传至用户单位正在使用的云图书馆平台系统。（提供承诺函并加盖公章）</w:t>
            </w:r>
          </w:p>
          <w:p w14:paraId="0C13D0DE">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2.数量要求：提供不低于1000册电子图书。</w:t>
            </w:r>
          </w:p>
          <w:p w14:paraId="615F75B2">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3.内容要求：可选内容包括但不限于红色党建、畅销书、文学小说、成功励志、人物传记、教育情感、生活旅游、政治法律、人文社科、自然科学、历史地理、财经管理、计算机与外语、动漫绘本、少儿读物等分类栏目板块。</w:t>
            </w:r>
          </w:p>
          <w:p w14:paraId="158E5E69">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4.品种更新：为保证电子图书内容的新颖性和丰富性，电子图书必须每月定期更新，且每次更新数量不少于200种。</w:t>
            </w:r>
          </w:p>
          <w:p w14:paraId="36612941">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5.版权要求：供应商提供的数字资源必须是国家合法的电子出版物，须承诺采购单位使用时不受任何第三方的追诉。（提供承诺函并加盖公章）。</w:t>
            </w:r>
          </w:p>
          <w:p w14:paraId="40CD427E">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6.授权期限及续费：资源授权使用期限不低于3年，授权到期后续费不超0.50元（人民币）/册/年。（提供承诺函并加盖公章）。</w:t>
            </w:r>
          </w:p>
          <w:p w14:paraId="561AF965">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三、硬件参数</w:t>
            </w:r>
          </w:p>
          <w:p w14:paraId="5F22574C">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1.操作系统：Android。</w:t>
            </w:r>
          </w:p>
          <w:p w14:paraId="68D74A0A">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2.显示屏：≥43英寸液晶显示屏，分辨率≥1920×1080像素像素。</w:t>
            </w:r>
          </w:p>
          <w:p w14:paraId="6415E9CA">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3.触摸屏：10点电容触摸屏，分辨率≥4096×4096像素。</w:t>
            </w:r>
          </w:p>
          <w:p w14:paraId="0E4F382E">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4.处理器：≥四核处理器，主频≥1.8GHz。</w:t>
            </w:r>
          </w:p>
          <w:p w14:paraId="09D6B244">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5.内存：≥4G RAM + 32G ROM。</w:t>
            </w:r>
          </w:p>
          <w:p w14:paraId="241A4FE8">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6.通讯接口：USB2.0、RJ45、蓝牙、WIFI。</w:t>
            </w:r>
          </w:p>
          <w:p w14:paraId="1DC03FA2">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7.支持视频格式：全视频格式（1080P、720P）。</w:t>
            </w:r>
          </w:p>
          <w:p w14:paraId="4DC80FC7">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8.支持音频格式：WMA、MP3、WAV、AAC、AC3、EAC3、Vorbis、FLAC、APE、TrueHD、DRA、DTS、DTSHD。</w:t>
            </w:r>
          </w:p>
          <w:p w14:paraId="6AD75402">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9.支持图片格式：BMP、JPEG、PNG、GIF。</w:t>
            </w:r>
          </w:p>
          <w:p w14:paraId="71C271C6">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10.支持文档格式：TXT、DOCX、XLSX、PPTX。</w:t>
            </w:r>
          </w:p>
          <w:p w14:paraId="3359E92B">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11.支持网页格式：HTTP。</w:t>
            </w:r>
          </w:p>
          <w:p w14:paraId="396D9710">
            <w:pPr>
              <w:widowControl/>
              <w:jc w:val="left"/>
              <w:textAlignment w:val="center"/>
              <w:rPr>
                <w:rFonts w:ascii="宋体" w:hAnsi="宋体" w:cs="宋体"/>
                <w:sz w:val="22"/>
                <w:szCs w:val="22"/>
                <w:highlight w:val="none"/>
              </w:rPr>
            </w:pPr>
            <w:r>
              <w:rPr>
                <w:rFonts w:hint="eastAsia" w:ascii="宋体" w:hAnsi="宋体" w:cs="宋体"/>
                <w:sz w:val="22"/>
                <w:szCs w:val="22"/>
                <w:highlight w:val="none"/>
              </w:rPr>
              <w:t>12.设备带金属底座，可立式安装。</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0D2F3FF">
            <w:pPr>
              <w:widowControl/>
              <w:jc w:val="center"/>
              <w:textAlignment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w:t>
            </w:r>
          </w:p>
        </w:tc>
        <w:tc>
          <w:tcPr>
            <w:tcW w:w="1263" w:type="dxa"/>
            <w:tcBorders>
              <w:top w:val="single" w:color="000000" w:sz="4" w:space="0"/>
              <w:left w:val="single" w:color="000000" w:sz="4" w:space="0"/>
              <w:bottom w:val="single" w:color="000000" w:sz="4" w:space="0"/>
              <w:right w:val="single" w:color="000000" w:sz="4" w:space="0"/>
            </w:tcBorders>
            <w:vAlign w:val="center"/>
          </w:tcPr>
          <w:p w14:paraId="3B7EC629">
            <w:pPr>
              <w:widowControl/>
              <w:jc w:val="center"/>
              <w:textAlignment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台</w:t>
            </w:r>
          </w:p>
        </w:tc>
        <w:tc>
          <w:tcPr>
            <w:tcW w:w="842" w:type="dxa"/>
            <w:tcBorders>
              <w:top w:val="single" w:color="000000" w:sz="4" w:space="0"/>
              <w:left w:val="single" w:color="000000" w:sz="4" w:space="0"/>
              <w:bottom w:val="single" w:color="000000" w:sz="4" w:space="0"/>
              <w:right w:val="single" w:color="000000" w:sz="4" w:space="0"/>
            </w:tcBorders>
            <w:vAlign w:val="center"/>
          </w:tcPr>
          <w:p w14:paraId="2C4D15AF">
            <w:pPr>
              <w:widowControl/>
              <w:jc w:val="center"/>
              <w:textAlignment w:val="center"/>
              <w:rPr>
                <w:rFonts w:ascii="宋体" w:hAnsi="宋体" w:cs="宋体"/>
                <w:kern w:val="0"/>
                <w:sz w:val="22"/>
                <w:szCs w:val="22"/>
                <w:highlight w:val="none"/>
              </w:rPr>
            </w:pP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19F53264">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DECF2CE">
            <w:pPr>
              <w:spacing w:line="30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5</w:t>
            </w:r>
          </w:p>
        </w:tc>
        <w:tc>
          <w:tcPr>
            <w:tcW w:w="1155" w:type="dxa"/>
            <w:tcBorders>
              <w:top w:val="single" w:color="000000" w:sz="4" w:space="0"/>
              <w:left w:val="nil"/>
              <w:bottom w:val="single" w:color="000000" w:sz="4" w:space="0"/>
              <w:right w:val="single" w:color="000000" w:sz="4" w:space="0"/>
            </w:tcBorders>
            <w:vAlign w:val="center"/>
          </w:tcPr>
          <w:p w14:paraId="240F2D80">
            <w:pPr>
              <w:widowControl/>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磁条自助借还书一体机</w:t>
            </w:r>
          </w:p>
        </w:tc>
        <w:tc>
          <w:tcPr>
            <w:tcW w:w="5183" w:type="dxa"/>
            <w:tcBorders>
              <w:top w:val="single" w:color="000000" w:sz="4" w:space="0"/>
              <w:left w:val="single" w:color="000000" w:sz="4" w:space="0"/>
              <w:bottom w:val="single" w:color="000000" w:sz="4" w:space="0"/>
              <w:right w:val="single" w:color="000000" w:sz="4" w:space="0"/>
            </w:tcBorders>
            <w:vAlign w:val="center"/>
          </w:tcPr>
          <w:p w14:paraId="5C1E7835">
            <w:pPr>
              <w:rPr>
                <w:rFonts w:hint="eastAsia"/>
              </w:rPr>
            </w:pPr>
            <w:r>
              <w:rPr>
                <w:rFonts w:hint="eastAsia"/>
              </w:rPr>
              <w:t>一、功能要求</w:t>
            </w:r>
          </w:p>
          <w:p w14:paraId="7BB2E496">
            <w:pPr>
              <w:rPr>
                <w:rFonts w:hint="eastAsia"/>
              </w:rPr>
            </w:pPr>
            <w:r>
              <w:rPr>
                <w:rFonts w:hint="eastAsia"/>
                <w:lang w:val="en-US" w:eastAsia="zh-CN"/>
              </w:rPr>
              <w:t>1</w:t>
            </w:r>
            <w:r>
              <w:rPr>
                <w:rFonts w:hint="eastAsia"/>
              </w:rPr>
              <w:t>、</w:t>
            </w:r>
            <w:r>
              <w:rPr>
                <w:rFonts w:hint="eastAsia"/>
                <w:lang w:eastAsia="zh-CN"/>
              </w:rPr>
              <w:t>设备</w:t>
            </w:r>
            <w:r>
              <w:rPr>
                <w:rFonts w:hint="eastAsia"/>
              </w:rPr>
              <w:t>含放书区域设计，读者会将图书正确放入到充消磁区域，确保充消磁 100%充满或消尽。</w:t>
            </w:r>
          </w:p>
          <w:p w14:paraId="01B2BB24">
            <w:pPr>
              <w:rPr>
                <w:rFonts w:hint="eastAsia"/>
              </w:rPr>
            </w:pPr>
            <w:r>
              <w:rPr>
                <w:rFonts w:hint="eastAsia"/>
                <w:lang w:val="en-US" w:eastAsia="zh-CN"/>
              </w:rPr>
              <w:t>2</w:t>
            </w:r>
            <w:r>
              <w:rPr>
                <w:rFonts w:hint="eastAsia"/>
              </w:rPr>
              <w:t>、系统同时提供视觉交易提示和引导。</w:t>
            </w:r>
          </w:p>
          <w:p w14:paraId="594D3EA4">
            <w:pPr>
              <w:rPr>
                <w:rFonts w:hint="eastAsia"/>
              </w:rPr>
            </w:pPr>
            <w:r>
              <w:rPr>
                <w:rFonts w:hint="eastAsia"/>
                <w:lang w:val="en-US" w:eastAsia="zh-CN"/>
              </w:rPr>
              <w:t>3</w:t>
            </w:r>
            <w:r>
              <w:rPr>
                <w:rFonts w:hint="eastAsia"/>
              </w:rPr>
              <w:t>、系统实时借还书系统，通过SIP2协议，与流通系统软件相连接。</w:t>
            </w:r>
          </w:p>
          <w:p w14:paraId="6239F93F">
            <w:pPr>
              <w:rPr>
                <w:rFonts w:hint="eastAsia"/>
              </w:rPr>
            </w:pPr>
            <w:r>
              <w:rPr>
                <w:rFonts w:hint="eastAsia"/>
                <w:lang w:val="en-US" w:eastAsia="zh-CN"/>
              </w:rPr>
              <w:t>4</w:t>
            </w:r>
            <w:r>
              <w:rPr>
                <w:rFonts w:hint="eastAsia"/>
              </w:rPr>
              <w:t>、标准板支持的读者身份验证方式包含：</w:t>
            </w:r>
          </w:p>
          <w:p w14:paraId="7512E92D">
            <w:pPr>
              <w:rPr>
                <w:rFonts w:hint="eastAsia"/>
              </w:rPr>
            </w:pPr>
            <w:r>
              <w:rPr>
                <w:rFonts w:hint="eastAsia"/>
              </w:rPr>
              <w:t>（1）</w:t>
            </w:r>
            <w:r>
              <w:rPr>
                <w:rFonts w:hint="eastAsia"/>
                <w:lang w:val="en-US" w:eastAsia="zh-CN"/>
              </w:rPr>
              <w:t>支持</w:t>
            </w:r>
            <w:r>
              <w:rPr>
                <w:rFonts w:hint="eastAsia"/>
              </w:rPr>
              <w:t>非加密的借书证非接触式读取；</w:t>
            </w:r>
          </w:p>
          <w:p w14:paraId="346BA98B">
            <w:pPr>
              <w:rPr>
                <w:rFonts w:hint="eastAsia"/>
              </w:rPr>
            </w:pPr>
            <w:r>
              <w:rPr>
                <w:rFonts w:hint="eastAsia"/>
              </w:rPr>
              <w:t>（2）手动输入账号密码。</w:t>
            </w:r>
          </w:p>
          <w:p w14:paraId="1970929A">
            <w:pPr>
              <w:rPr>
                <w:rFonts w:hint="default" w:eastAsiaTheme="minorEastAsia"/>
                <w:lang w:val="en-US" w:eastAsia="zh-CN"/>
              </w:rPr>
            </w:pPr>
            <w:r>
              <w:rPr>
                <w:rFonts w:hint="eastAsia"/>
                <w:lang w:val="en-US" w:eastAsia="zh-CN"/>
              </w:rPr>
              <w:t>（3）支持</w:t>
            </w:r>
            <w:r>
              <w:rPr>
                <w:rFonts w:hint="eastAsia"/>
              </w:rPr>
              <w:t>RFID卡、IC证件、</w:t>
            </w:r>
            <w:r>
              <w:rPr>
                <w:rFonts w:hint="eastAsia"/>
                <w:lang w:val="en-US" w:eastAsia="zh-CN"/>
              </w:rPr>
              <w:t>身份证、</w:t>
            </w:r>
            <w:r>
              <w:rPr>
                <w:rFonts w:hint="eastAsia"/>
              </w:rPr>
              <w:t>人脸识别</w:t>
            </w:r>
            <w:r>
              <w:rPr>
                <w:rFonts w:hint="eastAsia"/>
                <w:lang w:eastAsia="zh-CN"/>
              </w:rPr>
              <w:t>、</w:t>
            </w:r>
            <w:r>
              <w:rPr>
                <w:rFonts w:hint="eastAsia"/>
                <w:lang w:val="en-US" w:eastAsia="zh-CN"/>
              </w:rPr>
              <w:t>无证借还</w:t>
            </w:r>
            <w:r>
              <w:rPr>
                <w:rFonts w:hint="eastAsia"/>
              </w:rPr>
              <w:t>功能</w:t>
            </w:r>
            <w:r>
              <w:rPr>
                <w:rFonts w:hint="eastAsia"/>
                <w:lang w:val="en-US" w:eastAsia="zh-CN"/>
              </w:rPr>
              <w:t>等常规读者认证。</w:t>
            </w:r>
          </w:p>
          <w:p w14:paraId="68A5F716">
            <w:pPr>
              <w:rPr>
                <w:rFonts w:hint="default"/>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支持校园一卡通对接。</w:t>
            </w:r>
          </w:p>
          <w:p w14:paraId="1E727A5A">
            <w:pPr>
              <w:rPr>
                <w:rFonts w:hint="eastAsia"/>
              </w:rPr>
            </w:pPr>
            <w:r>
              <w:rPr>
                <w:rFonts w:hint="eastAsia"/>
                <w:lang w:val="en-US" w:eastAsia="zh-CN"/>
              </w:rPr>
              <w:t>5</w:t>
            </w:r>
            <w:r>
              <w:rPr>
                <w:rFonts w:hint="eastAsia"/>
              </w:rPr>
              <w:t>、支持远程管理服务，拥有Web远程监控和诊断的功能，管理员可以远程管理自助服务设备，实现远程重启快速故障排除。</w:t>
            </w:r>
          </w:p>
          <w:p w14:paraId="5101DCEC">
            <w:pPr>
              <w:rPr>
                <w:rFonts w:hint="eastAsia"/>
              </w:rPr>
            </w:pPr>
            <w:r>
              <w:rPr>
                <w:rFonts w:hint="eastAsia"/>
                <w:lang w:val="en-US" w:eastAsia="zh-CN"/>
              </w:rPr>
              <w:t>6</w:t>
            </w:r>
            <w:r>
              <w:rPr>
                <w:rFonts w:hint="eastAsia"/>
              </w:rPr>
              <w:t>、多本书侦测功能。</w:t>
            </w:r>
          </w:p>
          <w:p w14:paraId="37592DCB">
            <w:pPr>
              <w:rPr>
                <w:rFonts w:hint="eastAsia"/>
              </w:rPr>
            </w:pPr>
            <w:r>
              <w:rPr>
                <w:rFonts w:hint="eastAsia"/>
                <w:lang w:val="en-US" w:eastAsia="zh-CN"/>
              </w:rPr>
              <w:t>7</w:t>
            </w:r>
            <w:r>
              <w:rPr>
                <w:rFonts w:hint="eastAsia"/>
              </w:rPr>
              <w:t>、系统有读者可选择的借还、续借、借阅查询、修改密码等功能，可以按照实际需要增添部分功能。</w:t>
            </w:r>
          </w:p>
          <w:p w14:paraId="0EC1FD71">
            <w:pPr>
              <w:rPr>
                <w:rFonts w:hint="eastAsia"/>
              </w:rPr>
            </w:pPr>
            <w:r>
              <w:rPr>
                <w:rFonts w:hint="eastAsia"/>
                <w:lang w:val="en-US" w:eastAsia="zh-CN"/>
              </w:rPr>
              <w:t>8</w:t>
            </w:r>
            <w:r>
              <w:rPr>
                <w:rFonts w:hint="eastAsia"/>
              </w:rPr>
              <w:t>、设备系统通过简单的硬件转换可以升级，紧跟最新技术发展。</w:t>
            </w:r>
          </w:p>
          <w:p w14:paraId="12840D52">
            <w:pPr>
              <w:rPr>
                <w:rFonts w:hint="eastAsia"/>
              </w:rPr>
            </w:pPr>
            <w:r>
              <w:rPr>
                <w:rFonts w:hint="eastAsia"/>
                <w:lang w:val="en-US" w:eastAsia="zh-CN"/>
              </w:rPr>
              <w:t>9</w:t>
            </w:r>
            <w:r>
              <w:rPr>
                <w:rFonts w:hint="eastAsia"/>
              </w:rPr>
              <w:t>、系统必须提供自动续连功能，在网络短暂故障恢复后，自动连接流通系统服务器，并恢复自助服务,无需馆员协助连接或重新启动服务。</w:t>
            </w:r>
          </w:p>
          <w:p w14:paraId="5173BBB5">
            <w:pPr>
              <w:rPr>
                <w:rFonts w:hint="eastAsia"/>
              </w:rPr>
            </w:pPr>
            <w:r>
              <w:rPr>
                <w:rFonts w:hint="eastAsia"/>
              </w:rPr>
              <w:t>二、软件功能</w:t>
            </w:r>
          </w:p>
          <w:p w14:paraId="00B2A5D2">
            <w:pPr>
              <w:rPr>
                <w:rFonts w:hint="eastAsia"/>
              </w:rPr>
            </w:pPr>
            <w:r>
              <w:rPr>
                <w:rFonts w:hint="eastAsia"/>
              </w:rPr>
              <w:t>1、远程维护功能：支持后台管理端远程重启终端设备和远程上传设备日志快速分析问题；终端设备软件也具有开关机重启功能。</w:t>
            </w:r>
          </w:p>
          <w:p w14:paraId="1C91B254">
            <w:pPr>
              <w:rPr>
                <w:rFonts w:hint="eastAsia"/>
              </w:rPr>
            </w:pPr>
            <w:r>
              <w:rPr>
                <w:rFonts w:hint="eastAsia"/>
              </w:rPr>
              <w:t>2、快速即时云更新：支持软件在线更新功能，程序保持最新版本即通过后台管理端找到对应设备的编号进行远程推送更新。</w:t>
            </w:r>
          </w:p>
          <w:p w14:paraId="5A140AD8">
            <w:pPr>
              <w:rPr>
                <w:rFonts w:hint="eastAsia"/>
              </w:rPr>
            </w:pPr>
            <w:r>
              <w:rPr>
                <w:rFonts w:hint="eastAsia"/>
              </w:rPr>
              <w:t>3、图书查询功能：输入关键字母搜索可以显示本馆图书列表，选择后可查看基本图书名称、简介和架位等基本信息。</w:t>
            </w:r>
          </w:p>
          <w:p w14:paraId="0BD59257">
            <w:pPr>
              <w:rPr>
                <w:rFonts w:hint="eastAsia"/>
              </w:rPr>
            </w:pPr>
            <w:r>
              <w:rPr>
                <w:rFonts w:hint="eastAsia"/>
              </w:rPr>
              <w:t>4、图书不良识别：柜端支持识别书籍功能，可以根据图书类型进行图书不良识别；</w:t>
            </w:r>
          </w:p>
          <w:p w14:paraId="1D0E3BC0">
            <w:pPr>
              <w:rPr>
                <w:rFonts w:hint="eastAsia"/>
              </w:rPr>
            </w:pPr>
            <w:r>
              <w:rPr>
                <w:rFonts w:hint="eastAsia"/>
              </w:rPr>
              <w:t>5、书证流通管理：柜端支持卡证管理，可以将借阅卡和账号进行绑定，可以通过借阅卡或账号进行刷卡借阅图书；</w:t>
            </w:r>
          </w:p>
          <w:p w14:paraId="73F5255D">
            <w:pPr>
              <w:rPr>
                <w:rFonts w:hint="eastAsia"/>
              </w:rPr>
            </w:pPr>
            <w:r>
              <w:rPr>
                <w:rFonts w:hint="eastAsia"/>
              </w:rPr>
              <w:t>三、技术要求</w:t>
            </w:r>
          </w:p>
          <w:p w14:paraId="1939D84D">
            <w:pPr>
              <w:rPr>
                <w:rFonts w:hint="eastAsia"/>
                <w:lang w:val="en-US" w:eastAsia="zh-CN"/>
              </w:rPr>
            </w:pPr>
            <w:r>
              <w:rPr>
                <w:rFonts w:hint="eastAsia"/>
                <w:lang w:val="en-US" w:eastAsia="zh-CN"/>
              </w:rPr>
              <w:t>1、整机尺寸：1589*500*590mm</w:t>
            </w:r>
          </w:p>
          <w:p w14:paraId="1A90B487">
            <w:pPr>
              <w:rPr>
                <w:rFonts w:hint="eastAsia"/>
              </w:rPr>
            </w:pPr>
            <w:r>
              <w:rPr>
                <w:rFonts w:hint="eastAsia"/>
              </w:rPr>
              <w:t>2、主触摸显示屏：≥21.5寸1920*1080竖屏，对比度1500:1，超窄边框纯平电容屏。</w:t>
            </w:r>
          </w:p>
          <w:p w14:paraId="7DA73023">
            <w:pPr>
              <w:rPr>
                <w:rFonts w:hint="eastAsia"/>
              </w:rPr>
            </w:pPr>
            <w:r>
              <w:rPr>
                <w:rFonts w:hint="eastAsia"/>
              </w:rPr>
              <w:t>3、4G无线智能终端：4核处理器；内存：DDR3 4GB；支持TF卡外置存储；操作系统</w:t>
            </w:r>
            <w:r>
              <w:rPr>
                <w:rFonts w:hint="eastAsia"/>
                <w:lang w:eastAsia="zh-CN"/>
              </w:rPr>
              <w:t>：</w:t>
            </w:r>
            <w:r>
              <w:rPr>
                <w:rFonts w:hint="eastAsia"/>
                <w:lang w:val="en-US" w:eastAsia="zh-CN"/>
              </w:rPr>
              <w:t>Windows</w:t>
            </w:r>
            <w:r>
              <w:rPr>
                <w:rFonts w:hint="eastAsia"/>
              </w:rPr>
              <w:t>；</w:t>
            </w:r>
            <w:r>
              <w:rPr>
                <w:rFonts w:hint="eastAsia"/>
                <w:lang w:val="en-US" w:eastAsia="zh-CN"/>
              </w:rPr>
              <w:t>处理器I54代以上内存</w:t>
            </w:r>
            <w:r>
              <w:rPr>
                <w:rFonts w:hint="eastAsia"/>
              </w:rPr>
              <w:t>8GB</w:t>
            </w:r>
            <w:r>
              <w:rPr>
                <w:rFonts w:hint="eastAsia"/>
                <w:lang w:eastAsia="zh-CN"/>
              </w:rPr>
              <w:t>，</w:t>
            </w:r>
            <w:r>
              <w:rPr>
                <w:rFonts w:hint="eastAsia"/>
                <w:lang w:val="en-US" w:eastAsia="zh-CN"/>
              </w:rPr>
              <w:t>硬盘120G以上，集成显卡</w:t>
            </w:r>
            <w:r>
              <w:rPr>
                <w:rFonts w:hint="eastAsia"/>
              </w:rPr>
              <w:t>。4G网络:4G全网通；WiFi:2.4G WiFi。具有状态指示灯；屏显:支持HDMI、LVDS输出接口；音频:具有带功放的音频接口；网口:1个自适应以太网；蓝牙:可选配支持蓝牙；具有USB</w:t>
            </w:r>
            <w:r>
              <w:rPr>
                <w:rFonts w:hint="eastAsia"/>
                <w:lang w:val="en-US" w:eastAsia="zh-CN"/>
              </w:rPr>
              <w:t>2.0/3.0</w:t>
            </w:r>
            <w:r>
              <w:rPr>
                <w:rFonts w:hint="eastAsia"/>
              </w:rPr>
              <w:t>接口；外壳：金属外壳，确保耐高温、抗严寒、防尘等。</w:t>
            </w:r>
          </w:p>
          <w:p w14:paraId="5636214D">
            <w:pPr>
              <w:rPr>
                <w:rFonts w:hint="eastAsia"/>
              </w:rPr>
            </w:pPr>
            <w:r>
              <w:rPr>
                <w:rFonts w:hint="eastAsia"/>
              </w:rPr>
              <w:t>4、人机界面：操作平台高度700/800mm可选（±5mm)；触摸显示屏下沿离地高度840/940mm可选（±5mm)，设备底座尺寸≤500mm*500mm。</w:t>
            </w:r>
          </w:p>
          <w:p w14:paraId="611CAD48">
            <w:pPr>
              <w:rPr>
                <w:rFonts w:hint="eastAsia"/>
              </w:rPr>
            </w:pPr>
            <w:r>
              <w:rPr>
                <w:rFonts w:hint="eastAsia"/>
              </w:rPr>
              <w:t>5、工作温度：温度0℃～50℃，相对湿度5%～95%，室内。</w:t>
            </w:r>
          </w:p>
          <w:p w14:paraId="252D8EB6">
            <w:pPr>
              <w:rPr>
                <w:rFonts w:hint="eastAsia"/>
                <w:lang w:eastAsia="zh-CN"/>
              </w:rPr>
            </w:pPr>
            <w:r>
              <w:rPr>
                <w:rFonts w:hint="eastAsia"/>
              </w:rPr>
              <w:t>6、机体材质：冷轧钢板，汽车烤漆工艺</w:t>
            </w:r>
            <w:r>
              <w:rPr>
                <w:rFonts w:hint="eastAsia"/>
                <w:lang w:eastAsia="zh-CN"/>
              </w:rPr>
              <w:t>。</w:t>
            </w:r>
          </w:p>
          <w:p w14:paraId="31BA57E8">
            <w:pPr>
              <w:widowControl/>
              <w:jc w:val="left"/>
              <w:textAlignment w:val="center"/>
              <w:rPr>
                <w:rFonts w:ascii="宋体" w:hAnsi="宋体" w:cs="宋体"/>
                <w:sz w:val="22"/>
                <w:szCs w:val="22"/>
                <w:highlight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0025B065">
            <w:pPr>
              <w:widowControl/>
              <w:jc w:val="center"/>
              <w:textAlignment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w:t>
            </w:r>
          </w:p>
        </w:tc>
        <w:tc>
          <w:tcPr>
            <w:tcW w:w="1263" w:type="dxa"/>
            <w:tcBorders>
              <w:top w:val="single" w:color="000000" w:sz="4" w:space="0"/>
              <w:left w:val="single" w:color="000000" w:sz="4" w:space="0"/>
              <w:bottom w:val="single" w:color="000000" w:sz="4" w:space="0"/>
              <w:right w:val="single" w:color="000000" w:sz="4" w:space="0"/>
            </w:tcBorders>
            <w:vAlign w:val="center"/>
          </w:tcPr>
          <w:p w14:paraId="2B9D0342">
            <w:pPr>
              <w:widowControl/>
              <w:jc w:val="center"/>
              <w:textAlignment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台</w:t>
            </w:r>
          </w:p>
        </w:tc>
        <w:tc>
          <w:tcPr>
            <w:tcW w:w="842" w:type="dxa"/>
            <w:tcBorders>
              <w:top w:val="single" w:color="000000" w:sz="4" w:space="0"/>
              <w:left w:val="single" w:color="000000" w:sz="4" w:space="0"/>
              <w:bottom w:val="single" w:color="000000" w:sz="4" w:space="0"/>
              <w:right w:val="single" w:color="000000" w:sz="4" w:space="0"/>
            </w:tcBorders>
            <w:vAlign w:val="center"/>
          </w:tcPr>
          <w:p w14:paraId="0C29BC4A">
            <w:pPr>
              <w:widowControl/>
              <w:jc w:val="center"/>
              <w:textAlignment w:val="center"/>
              <w:rPr>
                <w:rFonts w:ascii="宋体" w:hAnsi="宋体" w:cs="宋体"/>
                <w:kern w:val="0"/>
                <w:sz w:val="22"/>
                <w:szCs w:val="22"/>
                <w:highlight w:val="none"/>
              </w:rPr>
            </w:pP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6FD76041">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D502D89">
            <w:pPr>
              <w:spacing w:line="30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6</w:t>
            </w:r>
          </w:p>
        </w:tc>
        <w:tc>
          <w:tcPr>
            <w:tcW w:w="1155" w:type="dxa"/>
            <w:tcBorders>
              <w:top w:val="single" w:color="000000" w:sz="4" w:space="0"/>
              <w:left w:val="nil"/>
              <w:bottom w:val="single" w:color="000000" w:sz="4" w:space="0"/>
              <w:right w:val="single" w:color="000000" w:sz="4" w:space="0"/>
            </w:tcBorders>
            <w:vAlign w:val="center"/>
          </w:tcPr>
          <w:p w14:paraId="6866E6BA">
            <w:pPr>
              <w:widowControl/>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条码枪</w:t>
            </w:r>
          </w:p>
        </w:tc>
        <w:tc>
          <w:tcPr>
            <w:tcW w:w="5183" w:type="dxa"/>
            <w:tcBorders>
              <w:top w:val="single" w:color="000000" w:sz="4" w:space="0"/>
              <w:left w:val="single" w:color="000000" w:sz="4" w:space="0"/>
              <w:bottom w:val="single" w:color="000000" w:sz="4" w:space="0"/>
              <w:right w:val="single" w:color="000000" w:sz="4" w:space="0"/>
            </w:tcBorders>
            <w:vAlign w:val="center"/>
          </w:tcPr>
          <w:p w14:paraId="0EDFC14E">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1.工作电压：DC5V5%</w:t>
            </w:r>
          </w:p>
          <w:p w14:paraId="526DFBBD">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2.光源：可视激光650nm</w:t>
            </w:r>
          </w:p>
          <w:p w14:paraId="7B2E4E7A">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3.扫描宽度(mm):5-300</w:t>
            </w:r>
          </w:p>
          <w:p w14:paraId="4C49023B">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4.景深(mm)：0-750</w:t>
            </w:r>
          </w:p>
          <w:p w14:paraId="3F8E9060">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5.解码速度：200次/秒</w:t>
            </w:r>
          </w:p>
          <w:p w14:paraId="780F72D6">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6.重量：208g</w:t>
            </w:r>
          </w:p>
          <w:p w14:paraId="697C60D5">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7.可读条宽：4mil(0.10mm)</w:t>
            </w:r>
          </w:p>
          <w:p w14:paraId="2B649ACF">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8.通信接口：USB</w:t>
            </w:r>
          </w:p>
          <w:p w14:paraId="2DB095D4">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9.整机尺寸(L*W*H)mm：160*70*80</w:t>
            </w:r>
          </w:p>
          <w:p w14:paraId="671B699B">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10.包装尺寸(L*W*H)mm：185*115*80</w:t>
            </w:r>
          </w:p>
          <w:p w14:paraId="610AE57D">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11.解码能力：EAN-8、EAN-13、UPC-A、UPC-E、Code39、Code93、Code128、EAN128、库德巴码、industrial2of5、Interleave2of5、Matrix2of5、MSI、中国邮政码</w:t>
            </w:r>
          </w:p>
          <w:p w14:paraId="215FF8F6">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12.外观颜色：黑色</w:t>
            </w:r>
          </w:p>
          <w:p w14:paraId="35C2AEA9">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13.蜂鸣器：内置</w:t>
            </w:r>
          </w:p>
          <w:p w14:paraId="2061B7F9">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14.连续扫描：支持</w:t>
            </w:r>
          </w:p>
          <w:p w14:paraId="38EBD27B">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15.功能特性：快速精准扫码</w:t>
            </w:r>
          </w:p>
          <w:p w14:paraId="7EBEC639">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16.新款模具，人体工程学手柄，自然贴合手型设计，让你长时间工作不易疲劳</w:t>
            </w:r>
          </w:p>
          <w:p w14:paraId="6CF44351">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17.USB通信，即插即用</w:t>
            </w:r>
          </w:p>
          <w:p w14:paraId="7E684695">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18.扫描提高效率</w:t>
            </w:r>
          </w:p>
          <w:p w14:paraId="3F562514">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19.扫描枪用芯片，扫描条码更快更精准，残缺破碎条码可扫描</w:t>
            </w:r>
          </w:p>
          <w:p w14:paraId="39B14223">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20.防震防摔，可从2M高度摔下</w:t>
            </w:r>
          </w:p>
          <w:p w14:paraId="7A1827D5">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21.采用快速回弹按键，寿命长达1000万次</w:t>
            </w:r>
          </w:p>
          <w:p w14:paraId="0AD20682">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22.SUB供电接口，专用充插孔，直接通过数据线供电，持续工作，无需驱动，兼容各类系统</w:t>
            </w:r>
          </w:p>
          <w:p w14:paraId="58855BC2">
            <w:pPr>
              <w:widowControl/>
              <w:jc w:val="left"/>
              <w:textAlignment w:val="center"/>
              <w:rPr>
                <w:rFonts w:ascii="宋体" w:hAnsi="宋体" w:cs="宋体"/>
                <w:sz w:val="22"/>
                <w:szCs w:val="22"/>
                <w:highlight w:val="none"/>
              </w:rPr>
            </w:pPr>
            <w:r>
              <w:rPr>
                <w:rFonts w:hint="eastAsia" w:ascii="宋体" w:hAnsi="宋体" w:cs="宋体"/>
                <w:sz w:val="22"/>
                <w:szCs w:val="22"/>
                <w:highlight w:val="none"/>
              </w:rPr>
              <w:t>23.独特蜂鸣器，成功扫描后蜂鸣器短鸣一声，声音清脆悦耳</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68B58615">
            <w:pPr>
              <w:widowControl/>
              <w:jc w:val="center"/>
              <w:textAlignment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w:t>
            </w:r>
          </w:p>
        </w:tc>
        <w:tc>
          <w:tcPr>
            <w:tcW w:w="1263" w:type="dxa"/>
            <w:tcBorders>
              <w:top w:val="single" w:color="000000" w:sz="4" w:space="0"/>
              <w:left w:val="single" w:color="000000" w:sz="4" w:space="0"/>
              <w:bottom w:val="single" w:color="000000" w:sz="4" w:space="0"/>
              <w:right w:val="single" w:color="000000" w:sz="4" w:space="0"/>
            </w:tcBorders>
            <w:vAlign w:val="center"/>
          </w:tcPr>
          <w:p w14:paraId="7E0383D7">
            <w:pPr>
              <w:widowControl/>
              <w:jc w:val="center"/>
              <w:textAlignment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把</w:t>
            </w:r>
          </w:p>
        </w:tc>
        <w:tc>
          <w:tcPr>
            <w:tcW w:w="842" w:type="dxa"/>
            <w:tcBorders>
              <w:top w:val="single" w:color="000000" w:sz="4" w:space="0"/>
              <w:left w:val="single" w:color="000000" w:sz="4" w:space="0"/>
              <w:bottom w:val="single" w:color="000000" w:sz="4" w:space="0"/>
              <w:right w:val="single" w:color="000000" w:sz="4" w:space="0"/>
            </w:tcBorders>
            <w:vAlign w:val="center"/>
          </w:tcPr>
          <w:p w14:paraId="4F392153">
            <w:pPr>
              <w:widowControl/>
              <w:jc w:val="center"/>
              <w:textAlignment w:val="center"/>
              <w:rPr>
                <w:rFonts w:ascii="宋体" w:hAnsi="宋体" w:cs="宋体"/>
                <w:kern w:val="0"/>
                <w:sz w:val="22"/>
                <w:szCs w:val="22"/>
                <w:highlight w:val="none"/>
              </w:rPr>
            </w:pP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3D136BEB">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0E1CBB1">
            <w:pPr>
              <w:spacing w:line="300" w:lineRule="exact"/>
              <w:jc w:val="center"/>
              <w:rPr>
                <w:rFonts w:hint="default" w:ascii="宋体" w:hAnsi="宋体" w:cs="宋体"/>
                <w:sz w:val="22"/>
                <w:szCs w:val="22"/>
                <w:highlight w:val="none"/>
                <w:lang w:val="en-US" w:eastAsia="zh-CN"/>
              </w:rPr>
            </w:pPr>
            <w:bookmarkStart w:id="402" w:name="_Hlk177658063"/>
            <w:r>
              <w:rPr>
                <w:rFonts w:hint="eastAsia" w:ascii="宋体" w:hAnsi="宋体" w:cs="宋体"/>
                <w:sz w:val="22"/>
                <w:szCs w:val="22"/>
                <w:highlight w:val="none"/>
                <w:lang w:val="en-US" w:eastAsia="zh-CN"/>
              </w:rPr>
              <w:t>7</w:t>
            </w:r>
          </w:p>
        </w:tc>
        <w:tc>
          <w:tcPr>
            <w:tcW w:w="1155" w:type="dxa"/>
            <w:tcBorders>
              <w:top w:val="single" w:color="000000" w:sz="4" w:space="0"/>
              <w:left w:val="nil"/>
              <w:bottom w:val="single" w:color="000000" w:sz="4" w:space="0"/>
              <w:right w:val="single" w:color="000000" w:sz="4" w:space="0"/>
            </w:tcBorders>
            <w:vAlign w:val="center"/>
          </w:tcPr>
          <w:p w14:paraId="689CC8D9">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电脑</w:t>
            </w:r>
          </w:p>
        </w:tc>
        <w:tc>
          <w:tcPr>
            <w:tcW w:w="5183" w:type="dxa"/>
            <w:tcBorders>
              <w:top w:val="single" w:color="000000" w:sz="4" w:space="0"/>
              <w:left w:val="single" w:color="000000" w:sz="4" w:space="0"/>
              <w:bottom w:val="single" w:color="000000" w:sz="4" w:space="0"/>
              <w:right w:val="single" w:color="000000" w:sz="4" w:space="0"/>
            </w:tcBorders>
            <w:vAlign w:val="center"/>
          </w:tcPr>
          <w:p w14:paraId="0DE78E1E">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INTEL I3-6100</w:t>
            </w:r>
          </w:p>
          <w:p w14:paraId="3617EB28">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华硕H110主板</w:t>
            </w:r>
          </w:p>
          <w:p w14:paraId="5D7A8109">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cs="宋体"/>
                <w:sz w:val="22"/>
                <w:szCs w:val="22"/>
                <w:highlight w:val="none"/>
              </w:rPr>
              <w:t>8G内存</w:t>
            </w:r>
          </w:p>
          <w:p w14:paraId="742F8ED7">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4.</w:t>
            </w:r>
            <w:r>
              <w:rPr>
                <w:rFonts w:hint="eastAsia" w:ascii="宋体" w:hAnsi="宋体" w:cs="宋体"/>
                <w:sz w:val="22"/>
                <w:szCs w:val="22"/>
                <w:highlight w:val="none"/>
              </w:rPr>
              <w:t>240G固态硬盘</w:t>
            </w:r>
          </w:p>
          <w:p w14:paraId="74E2D1E1">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cs="宋体"/>
                <w:sz w:val="22"/>
                <w:szCs w:val="22"/>
                <w:highlight w:val="none"/>
              </w:rPr>
              <w:t>飞利浦27寸显示器</w:t>
            </w:r>
          </w:p>
          <w:p w14:paraId="3470092A">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6.</w:t>
            </w:r>
            <w:r>
              <w:rPr>
                <w:rFonts w:hint="eastAsia" w:ascii="宋体" w:hAnsi="宋体" w:cs="宋体"/>
                <w:sz w:val="22"/>
                <w:szCs w:val="22"/>
                <w:highlight w:val="none"/>
              </w:rPr>
              <w:t>长城机箱</w:t>
            </w:r>
          </w:p>
          <w:p w14:paraId="52AC7FBA">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7.</w:t>
            </w:r>
            <w:r>
              <w:rPr>
                <w:rFonts w:hint="eastAsia" w:ascii="宋体" w:hAnsi="宋体" w:cs="宋体"/>
                <w:sz w:val="22"/>
                <w:szCs w:val="22"/>
                <w:highlight w:val="none"/>
              </w:rPr>
              <w:t>长城电源</w:t>
            </w:r>
          </w:p>
          <w:p w14:paraId="07CD4E64">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lang w:val="en-US" w:eastAsia="zh-CN"/>
              </w:rPr>
              <w:t>8.</w:t>
            </w:r>
            <w:r>
              <w:rPr>
                <w:rFonts w:hint="eastAsia" w:ascii="宋体" w:hAnsi="宋体" w:cs="宋体"/>
                <w:sz w:val="22"/>
                <w:szCs w:val="22"/>
                <w:highlight w:val="none"/>
              </w:rPr>
              <w:t>罗技光电键鼠套装</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6081BCF0">
            <w:pPr>
              <w:widowControl/>
              <w:jc w:val="center"/>
              <w:textAlignment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2</w:t>
            </w:r>
          </w:p>
        </w:tc>
        <w:tc>
          <w:tcPr>
            <w:tcW w:w="1263" w:type="dxa"/>
            <w:tcBorders>
              <w:top w:val="single" w:color="000000" w:sz="4" w:space="0"/>
              <w:left w:val="single" w:color="000000" w:sz="4" w:space="0"/>
              <w:bottom w:val="single" w:color="000000" w:sz="4" w:space="0"/>
              <w:right w:val="single" w:color="000000" w:sz="4" w:space="0"/>
            </w:tcBorders>
            <w:vAlign w:val="center"/>
          </w:tcPr>
          <w:p w14:paraId="071CF297">
            <w:pPr>
              <w:widowControl/>
              <w:jc w:val="center"/>
              <w:textAlignment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台</w:t>
            </w:r>
          </w:p>
        </w:tc>
        <w:tc>
          <w:tcPr>
            <w:tcW w:w="842" w:type="dxa"/>
            <w:tcBorders>
              <w:top w:val="single" w:color="000000" w:sz="4" w:space="0"/>
              <w:left w:val="single" w:color="000000" w:sz="4" w:space="0"/>
              <w:bottom w:val="single" w:color="000000" w:sz="4" w:space="0"/>
              <w:right w:val="single" w:color="000000" w:sz="4" w:space="0"/>
            </w:tcBorders>
            <w:vAlign w:val="center"/>
          </w:tcPr>
          <w:p w14:paraId="2DE85141">
            <w:pPr>
              <w:widowControl/>
              <w:jc w:val="center"/>
              <w:textAlignment w:val="center"/>
              <w:rPr>
                <w:rFonts w:hint="eastAsia" w:hAnsi="宋体" w:cs="宋体"/>
                <w:kern w:val="2"/>
                <w:sz w:val="21"/>
                <w:szCs w:val="21"/>
                <w:lang w:eastAsia="zh-CN"/>
              </w:rPr>
            </w:pP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216E5D59">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37B7793">
            <w:pPr>
              <w:spacing w:line="300" w:lineRule="exact"/>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8</w:t>
            </w:r>
          </w:p>
        </w:tc>
        <w:tc>
          <w:tcPr>
            <w:tcW w:w="1155" w:type="dxa"/>
            <w:tcBorders>
              <w:top w:val="single" w:color="000000" w:sz="4" w:space="0"/>
              <w:left w:val="nil"/>
              <w:bottom w:val="single" w:color="000000" w:sz="4" w:space="0"/>
              <w:right w:val="single" w:color="000000" w:sz="4" w:space="0"/>
            </w:tcBorders>
            <w:vAlign w:val="center"/>
          </w:tcPr>
          <w:p w14:paraId="3896BD8F">
            <w:pPr>
              <w:keepNext w:val="0"/>
              <w:keepLines w:val="0"/>
              <w:widowControl/>
              <w:suppressLineNumbers w:val="0"/>
              <w:jc w:val="center"/>
              <w:textAlignment w:val="center"/>
              <w:rPr>
                <w:rFonts w:hint="eastAsia" w:ascii="宋体" w:hAnsi="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三层书车</w:t>
            </w:r>
          </w:p>
        </w:tc>
        <w:tc>
          <w:tcPr>
            <w:tcW w:w="5183" w:type="dxa"/>
            <w:tcBorders>
              <w:top w:val="single" w:color="000000" w:sz="4" w:space="0"/>
              <w:left w:val="single" w:color="000000" w:sz="4" w:space="0"/>
              <w:bottom w:val="single" w:color="000000" w:sz="4" w:space="0"/>
              <w:right w:val="single" w:color="000000" w:sz="4" w:space="0"/>
            </w:tcBorders>
            <w:vAlign w:val="center"/>
          </w:tcPr>
          <w:p w14:paraId="7031E7DB">
            <w:pPr>
              <w:keepNext w:val="0"/>
              <w:keepLines w:val="0"/>
              <w:widowControl/>
              <w:suppressLineNumbers w:val="0"/>
              <w:jc w:val="left"/>
              <w:textAlignment w:val="center"/>
              <w:rPr>
                <w:rFonts w:hint="eastAsia" w:ascii="宋体" w:hAnsi="宋体" w:cs="宋体"/>
                <w:sz w:val="22"/>
                <w:szCs w:val="22"/>
                <w:highlight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整体采用1.2mm优质冷轧钢板，采用静音轮。</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866E3C5">
            <w:pPr>
              <w:keepNext w:val="0"/>
              <w:keepLines w:val="0"/>
              <w:widowControl/>
              <w:suppressLineNumbers w:val="0"/>
              <w:jc w:val="center"/>
              <w:textAlignment w:val="center"/>
              <w:rPr>
                <w:rFonts w:hint="eastAsia" w:ascii="宋体" w:hAnsi="宋体" w:cs="宋体"/>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vAlign w:val="center"/>
          </w:tcPr>
          <w:p w14:paraId="0CF2CD19">
            <w:pPr>
              <w:widowControl/>
              <w:jc w:val="center"/>
              <w:textAlignment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张</w:t>
            </w:r>
          </w:p>
        </w:tc>
        <w:tc>
          <w:tcPr>
            <w:tcW w:w="842" w:type="dxa"/>
            <w:tcBorders>
              <w:top w:val="single" w:color="000000" w:sz="4" w:space="0"/>
              <w:left w:val="single" w:color="000000" w:sz="4" w:space="0"/>
              <w:bottom w:val="single" w:color="000000" w:sz="4" w:space="0"/>
              <w:right w:val="single" w:color="000000" w:sz="4" w:space="0"/>
            </w:tcBorders>
            <w:vAlign w:val="center"/>
          </w:tcPr>
          <w:p w14:paraId="4E35AC17">
            <w:pPr>
              <w:widowControl/>
              <w:jc w:val="center"/>
              <w:textAlignment w:val="center"/>
              <w:rPr>
                <w:rFonts w:hint="eastAsia" w:hAnsi="宋体" w:cs="宋体"/>
                <w:kern w:val="2"/>
                <w:sz w:val="21"/>
                <w:szCs w:val="21"/>
                <w:lang w:eastAsia="zh-CN"/>
              </w:rPr>
            </w:pP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7118ABDA">
        <w:tblPrEx>
          <w:tblCellMar>
            <w:top w:w="0" w:type="dxa"/>
            <w:left w:w="108" w:type="dxa"/>
            <w:bottom w:w="0" w:type="dxa"/>
            <w:right w:w="108" w:type="dxa"/>
          </w:tblCellMar>
        </w:tblPrEx>
        <w:trPr>
          <w:trHeight w:val="30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95B7978">
            <w:pPr>
              <w:spacing w:line="300" w:lineRule="exact"/>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9</w:t>
            </w:r>
          </w:p>
        </w:tc>
        <w:tc>
          <w:tcPr>
            <w:tcW w:w="1155" w:type="dxa"/>
            <w:tcBorders>
              <w:top w:val="single" w:color="000000" w:sz="4" w:space="0"/>
              <w:left w:val="nil"/>
              <w:bottom w:val="single" w:color="000000" w:sz="4" w:space="0"/>
              <w:right w:val="single" w:color="000000" w:sz="4" w:space="0"/>
            </w:tcBorders>
            <w:vAlign w:val="center"/>
          </w:tcPr>
          <w:p w14:paraId="0529CEC8">
            <w:pPr>
              <w:keepNext w:val="0"/>
              <w:keepLines w:val="0"/>
              <w:widowControl/>
              <w:suppressLineNumbers w:val="0"/>
              <w:jc w:val="center"/>
              <w:textAlignment w:val="center"/>
              <w:rPr>
                <w:rFonts w:hint="eastAsia" w:ascii="宋体" w:hAnsi="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还书箱</w:t>
            </w:r>
          </w:p>
        </w:tc>
        <w:tc>
          <w:tcPr>
            <w:tcW w:w="5183" w:type="dxa"/>
            <w:tcBorders>
              <w:top w:val="single" w:color="000000" w:sz="4" w:space="0"/>
              <w:left w:val="single" w:color="000000" w:sz="4" w:space="0"/>
              <w:bottom w:val="single" w:color="000000" w:sz="4" w:space="0"/>
              <w:right w:val="single" w:color="000000" w:sz="4" w:space="0"/>
            </w:tcBorders>
            <w:vAlign w:val="center"/>
          </w:tcPr>
          <w:p w14:paraId="212EEA15">
            <w:pPr>
              <w:keepNext w:val="0"/>
              <w:keepLines w:val="0"/>
              <w:widowControl/>
              <w:suppressLineNumbers w:val="0"/>
              <w:jc w:val="left"/>
              <w:textAlignment w:val="center"/>
              <w:rPr>
                <w:rFonts w:hint="eastAsia" w:ascii="宋体" w:hAnsi="宋体" w:cs="宋体"/>
                <w:sz w:val="22"/>
                <w:szCs w:val="22"/>
                <w:highlight w:val="none"/>
              </w:rPr>
            </w:pPr>
            <w:r>
              <w:rPr>
                <w:rFonts w:hint="eastAsia" w:ascii="宋体" w:hAnsi="宋体" w:eastAsia="宋体" w:cs="宋体"/>
                <w:i w:val="0"/>
                <w:iCs w:val="0"/>
                <w:color w:val="000000"/>
                <w:kern w:val="0"/>
                <w:sz w:val="22"/>
                <w:szCs w:val="22"/>
                <w:u w:val="none"/>
                <w:lang w:val="en-US" w:eastAsia="zh-CN" w:bidi="ar"/>
              </w:rPr>
              <w:t>1. 图书容量：≥150 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材质工艺：电泳型材+铝板材+纤维板+喷涂丝印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书箱原理：根据书箱内图书的重量来实现自动升降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 静音轮：前两万向耐磨静音轮。后两万向带刹车耐磨静音轮，方便载 重时推动转向。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特  点：承载板自由升级，无负载离地面≥ 680mm，行程≥450mm，侧面外封板采用高强度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6．铝合金材料，耐瞬时 强度高，有抗变形能力，耐候性好。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功能展示：书箱承载板支持根据负荷自动升降（内部结构采用复杂的力学设计）承载表面采用特殊的处理，有效降低图书放入书箱瞬间撞击力度。</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9BA7AB8">
            <w:pPr>
              <w:keepNext w:val="0"/>
              <w:keepLines w:val="0"/>
              <w:widowControl/>
              <w:suppressLineNumbers w:val="0"/>
              <w:jc w:val="center"/>
              <w:textAlignment w:val="center"/>
              <w:rPr>
                <w:rFonts w:hint="eastAsia" w:ascii="宋体" w:hAnsi="宋体" w:cs="宋体"/>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vAlign w:val="center"/>
          </w:tcPr>
          <w:p w14:paraId="308FCAC5">
            <w:pPr>
              <w:widowControl/>
              <w:jc w:val="center"/>
              <w:textAlignment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张</w:t>
            </w:r>
          </w:p>
        </w:tc>
        <w:tc>
          <w:tcPr>
            <w:tcW w:w="842" w:type="dxa"/>
            <w:tcBorders>
              <w:top w:val="single" w:color="000000" w:sz="4" w:space="0"/>
              <w:left w:val="single" w:color="000000" w:sz="4" w:space="0"/>
              <w:bottom w:val="single" w:color="000000" w:sz="4" w:space="0"/>
              <w:right w:val="single" w:color="000000" w:sz="4" w:space="0"/>
            </w:tcBorders>
            <w:vAlign w:val="center"/>
          </w:tcPr>
          <w:p w14:paraId="36B71192">
            <w:pPr>
              <w:widowControl/>
              <w:jc w:val="center"/>
              <w:textAlignment w:val="center"/>
              <w:rPr>
                <w:rFonts w:hint="eastAsia" w:hAnsi="宋体" w:cs="宋体"/>
                <w:kern w:val="2"/>
                <w:sz w:val="21"/>
                <w:szCs w:val="21"/>
                <w:lang w:eastAsia="zh-CN"/>
              </w:rPr>
            </w:pP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bl>
    <w:p w14:paraId="3D1D5D96">
      <w:pPr>
        <w:adjustRightInd w:val="0"/>
        <w:snapToGrid w:val="0"/>
        <w:spacing w:line="240" w:lineRule="auto"/>
        <w:jc w:val="left"/>
        <w:rPr>
          <w:rFonts w:ascii="宋体" w:hAnsi="宋体" w:cs="宋体"/>
          <w:kern w:val="0"/>
          <w:sz w:val="24"/>
          <w:szCs w:val="24"/>
          <w:highlight w:val="none"/>
        </w:rPr>
      </w:pPr>
      <w:r>
        <w:rPr>
          <w:rFonts w:hint="eastAsia" w:ascii="宋体" w:hAnsi="宋体" w:cs="宋体"/>
          <w:kern w:val="0"/>
          <w:sz w:val="24"/>
          <w:szCs w:val="24"/>
          <w:highlight w:val="none"/>
        </w:rPr>
        <w:t>说明：标识“▲”号条款为重要参数，若有部分“▲”条款未响应或不满足，将根据评审要求影响其得分，但不作为无效投标（响应）条款。</w:t>
      </w:r>
    </w:p>
    <w:bookmarkEnd w:id="402"/>
    <w:p w14:paraId="49F40F96">
      <w:pPr>
        <w:pStyle w:val="3"/>
        <w:numPr>
          <w:ilvl w:val="1"/>
          <w:numId w:val="0"/>
        </w:numPr>
        <w:tabs>
          <w:tab w:val="clear" w:pos="1021"/>
        </w:tabs>
        <w:spacing w:before="0" w:after="0" w:line="360" w:lineRule="auto"/>
        <w:ind w:left="0" w:firstLine="0"/>
        <w:rPr>
          <w:rFonts w:ascii="宋体" w:hAnsi="宋体" w:eastAsia="宋体" w:cs="宋体"/>
          <w:kern w:val="44"/>
          <w:sz w:val="24"/>
          <w:szCs w:val="24"/>
          <w:highlight w:val="none"/>
        </w:rPr>
      </w:pPr>
      <w:bookmarkStart w:id="403" w:name="_Toc10315"/>
      <w:bookmarkStart w:id="404" w:name="_Toc12749"/>
      <w:r>
        <w:rPr>
          <w:rFonts w:hint="eastAsia" w:ascii="宋体" w:hAnsi="宋体" w:eastAsia="宋体" w:cs="宋体"/>
          <w:kern w:val="44"/>
          <w:sz w:val="24"/>
          <w:szCs w:val="24"/>
          <w:highlight w:val="none"/>
        </w:rPr>
        <w:t>二、商务要求</w:t>
      </w:r>
      <w:bookmarkEnd w:id="403"/>
      <w:bookmarkEnd w:id="404"/>
    </w:p>
    <w:p w14:paraId="50545959">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1、交货地点：</w:t>
      </w:r>
      <w:r>
        <w:rPr>
          <w:rFonts w:hint="eastAsia" w:ascii="宋体" w:hAnsi="宋体" w:cs="宋体"/>
          <w:kern w:val="0"/>
          <w:sz w:val="24"/>
          <w:highlight w:val="none"/>
        </w:rPr>
        <w:t>牟定县职业高级中学图书馆指定地点</w:t>
      </w:r>
    </w:p>
    <w:p w14:paraId="5369EBFD">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2、合同履行期限：</w:t>
      </w:r>
      <w:r>
        <w:rPr>
          <w:rFonts w:hint="eastAsia" w:ascii="宋体" w:hAnsi="宋体" w:cs="宋体"/>
          <w:color w:val="auto"/>
          <w:sz w:val="24"/>
          <w:szCs w:val="24"/>
          <w:highlight w:val="none"/>
        </w:rPr>
        <w:t>签订合同后</w:t>
      </w:r>
      <w:r>
        <w:rPr>
          <w:rFonts w:hint="eastAsia" w:ascii="宋体" w:hAnsi="宋体" w:cs="宋体"/>
          <w:color w:val="auto"/>
          <w:sz w:val="24"/>
          <w:szCs w:val="24"/>
          <w:highlight w:val="none"/>
          <w:u w:val="single"/>
        </w:rPr>
        <w:t xml:space="preserve"> 45 </w:t>
      </w:r>
      <w:r>
        <w:rPr>
          <w:rFonts w:hint="eastAsia" w:ascii="宋体" w:hAnsi="宋体" w:cs="宋体"/>
          <w:color w:val="auto"/>
          <w:sz w:val="24"/>
          <w:szCs w:val="24"/>
          <w:highlight w:val="none"/>
        </w:rPr>
        <w:t>个日历天完成项目的硬件设备部分，包括：产品供应、安装、调试及验收移交使用（投标人在此期限内自报最短交货期）。软件部分根据甲方实际情况可延长120个日历日完成安装、调试及验收移交使用。</w:t>
      </w:r>
    </w:p>
    <w:p w14:paraId="58F6FDBF">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3、质保期：</w:t>
      </w:r>
      <w:r>
        <w:rPr>
          <w:rFonts w:hint="eastAsia" w:ascii="宋体" w:hAnsi="宋体" w:cs="宋体"/>
          <w:sz w:val="24"/>
          <w:szCs w:val="24"/>
          <w:highlight w:val="none"/>
        </w:rPr>
        <w:t>不少于</w:t>
      </w:r>
      <w:r>
        <w:rPr>
          <w:rFonts w:hint="eastAsia" w:ascii="宋体" w:hAnsi="宋体" w:cs="宋体"/>
          <w:sz w:val="24"/>
          <w:szCs w:val="24"/>
          <w:highlight w:val="none"/>
          <w:u w:val="single"/>
        </w:rPr>
        <w:t>叁</w:t>
      </w:r>
      <w:r>
        <w:rPr>
          <w:rFonts w:hint="eastAsia" w:ascii="宋体" w:hAnsi="宋体" w:cs="宋体"/>
          <w:sz w:val="24"/>
          <w:szCs w:val="24"/>
          <w:highlight w:val="none"/>
        </w:rPr>
        <w:t>年。</w:t>
      </w:r>
    </w:p>
    <w:p w14:paraId="3A3DBFD4">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4、质量标准：符合国家、行业、省市的相关要求，满足采购人需求，供货、安装、调试完成后一次性验收合格。</w:t>
      </w:r>
    </w:p>
    <w:p w14:paraId="461EB4E9">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5、验收方式：合同签订后，乙方负责将完整配套的原封产品（含开机必要消耗品）送到甲方指定的地点，由甲乙双方共同开箱初验，并由乙方按甲方要求完成安装测试。交货时，乙方随货向甲方交付必需的合格证、保修卡，相关资料（如操作手册、使用指南、维修手册、安装调试说明书、服务手册等）等。</w:t>
      </w:r>
    </w:p>
    <w:p w14:paraId="025E950C">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6、验收要求：试运行结束后，乙方向甲方提交验收申请。甲方收到乙方书面项目验收申请后，组织甲乙双方人员进行验收，验收通过后甲乙双方共同签署验收资料。</w:t>
      </w:r>
    </w:p>
    <w:p w14:paraId="55DEF8C6">
      <w:pPr>
        <w:spacing w:line="360" w:lineRule="auto"/>
        <w:ind w:firstLine="480" w:firstLineChars="200"/>
        <w:jc w:val="left"/>
        <w:rPr>
          <w:rFonts w:ascii="宋体" w:hAnsi="宋体" w:cs="宋体"/>
          <w:b/>
          <w:bCs/>
          <w:sz w:val="24"/>
          <w:szCs w:val="24"/>
          <w:highlight w:val="none"/>
        </w:rPr>
      </w:pPr>
      <w:r>
        <w:rPr>
          <w:rFonts w:hint="eastAsia" w:ascii="宋体" w:hAnsi="宋体" w:cs="宋体"/>
          <w:bCs/>
          <w:sz w:val="24"/>
          <w:szCs w:val="24"/>
          <w:highlight w:val="none"/>
        </w:rPr>
        <w:t>若乙方所交项目及产品与合同标准不相符合的，甲方有权拒收项目或产品，乙方应及时按要求更换合格产品，达到甲方项目验收标准；逾期交付使用将向甲方每日偿付合同总额千分之一的滞纳金。因乙方不能按期交付产品或完成安装调试与合同标准不符使甲方造成经济损失的应由乙方承担赔偿责任。</w:t>
      </w:r>
    </w:p>
    <w:p w14:paraId="0AD88CE6">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7、其他：</w:t>
      </w:r>
    </w:p>
    <w:p w14:paraId="58B30F7D">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7.1 投标人应按招标文件规定的产品性能、技术要求、质量标准向甲方提供未经使用的全新产品。</w:t>
      </w:r>
    </w:p>
    <w:p w14:paraId="56D9373E">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7.2 投标人应保证其提供的产品在采购人使用期间不受第三方可能提出的所有权、用益物权、担保物权、占有等一切涉及物权及知识产权、商标权、专利权、著作权等相关权利的起诉。</w:t>
      </w:r>
    </w:p>
    <w:p w14:paraId="48DFD4CD">
      <w:pPr>
        <w:spacing w:line="360" w:lineRule="auto"/>
        <w:ind w:firstLine="480" w:firstLineChars="200"/>
        <w:jc w:val="left"/>
        <w:rPr>
          <w:rFonts w:ascii="宋体" w:hAnsi="宋体" w:cs="宋体"/>
          <w:bCs/>
          <w:sz w:val="24"/>
          <w:szCs w:val="24"/>
          <w:highlight w:val="none"/>
        </w:rPr>
      </w:pPr>
      <w:bookmarkStart w:id="405" w:name="_Hlk177658029"/>
      <w:r>
        <w:rPr>
          <w:rFonts w:hint="eastAsia" w:ascii="宋体" w:hAnsi="宋体" w:cs="宋体"/>
          <w:bCs/>
          <w:sz w:val="24"/>
          <w:szCs w:val="24"/>
          <w:highlight w:val="none"/>
        </w:rPr>
        <w:t>8.中标单位与采购人签订合同前，须提供所投产品</w:t>
      </w:r>
      <w:r>
        <w:rPr>
          <w:rFonts w:hint="eastAsia" w:ascii="宋体" w:hAnsi="宋体" w:cs="宋体"/>
          <w:color w:val="auto"/>
          <w:kern w:val="0"/>
          <w:sz w:val="24"/>
          <w:szCs w:val="24"/>
          <w:highlight w:val="none"/>
          <w:u w:val="single"/>
        </w:rPr>
        <w:t xml:space="preserve">图书馆管理系统 </w:t>
      </w:r>
      <w:r>
        <w:rPr>
          <w:rFonts w:hint="eastAsia" w:ascii="宋体" w:hAnsi="宋体" w:cs="宋体"/>
          <w:bCs/>
          <w:sz w:val="24"/>
          <w:szCs w:val="24"/>
          <w:highlight w:val="none"/>
        </w:rPr>
        <w:t>厂家授权书原件，否则采购人不与中标单位签订合同，由此造成的一切后果及对采购人造成的后续损失由中标单位承担。</w:t>
      </w:r>
    </w:p>
    <w:bookmarkEnd w:id="405"/>
    <w:p w14:paraId="17EFFC3D">
      <w:pPr>
        <w:rPr>
          <w:rFonts w:ascii="宋体" w:hAnsi="宋体" w:cs="宋体"/>
          <w:highlight w:val="none"/>
        </w:rPr>
      </w:pPr>
    </w:p>
    <w:bookmarkEnd w:id="397"/>
    <w:bookmarkEnd w:id="398"/>
    <w:bookmarkEnd w:id="399"/>
    <w:bookmarkEnd w:id="400"/>
    <w:bookmarkEnd w:id="401"/>
    <w:p w14:paraId="349BF08C">
      <w:pPr>
        <w:spacing w:line="360" w:lineRule="auto"/>
        <w:ind w:firstLine="480" w:firstLineChars="200"/>
        <w:rPr>
          <w:rFonts w:hint="eastAsia" w:ascii="宋体" w:hAnsi="宋体" w:cs="Arial"/>
          <w:color w:val="FF0000"/>
          <w:sz w:val="24"/>
          <w:shd w:val="clear" w:color="auto" w:fill="FFFFFF"/>
        </w:rPr>
      </w:pPr>
    </w:p>
    <w:p w14:paraId="3BFD7241">
      <w:pPr>
        <w:spacing w:line="360" w:lineRule="auto"/>
        <w:ind w:firstLine="480" w:firstLineChars="200"/>
        <w:rPr>
          <w:rFonts w:hint="eastAsia" w:ascii="宋体" w:hAnsi="宋体" w:cs="Arial"/>
          <w:color w:val="FF0000"/>
          <w:sz w:val="24"/>
          <w:shd w:val="clear" w:color="auto" w:fill="FFFFFF"/>
        </w:rPr>
      </w:pPr>
    </w:p>
    <w:p w14:paraId="2D97E225">
      <w:pPr>
        <w:spacing w:line="360" w:lineRule="auto"/>
        <w:ind w:firstLine="480" w:firstLineChars="200"/>
        <w:rPr>
          <w:rFonts w:hint="eastAsia" w:ascii="宋体" w:hAnsi="宋体" w:cs="Arial"/>
          <w:color w:val="FF0000"/>
          <w:sz w:val="24"/>
          <w:shd w:val="clear" w:color="auto" w:fill="FFFFFF"/>
        </w:rPr>
      </w:pPr>
    </w:p>
    <w:p w14:paraId="5C591CB7">
      <w:pPr>
        <w:spacing w:line="360" w:lineRule="auto"/>
        <w:ind w:firstLine="480" w:firstLineChars="200"/>
        <w:rPr>
          <w:rFonts w:hint="eastAsia" w:ascii="宋体" w:hAnsi="宋体" w:cs="Arial"/>
          <w:color w:val="FF0000"/>
          <w:sz w:val="24"/>
          <w:shd w:val="clear" w:color="auto" w:fill="FFFFFF"/>
        </w:rPr>
      </w:pPr>
    </w:p>
    <w:p w14:paraId="3BD8E06E">
      <w:pPr>
        <w:spacing w:line="360" w:lineRule="auto"/>
        <w:ind w:firstLine="480" w:firstLineChars="200"/>
        <w:rPr>
          <w:rFonts w:hint="eastAsia" w:ascii="宋体" w:hAnsi="宋体" w:cs="Arial"/>
          <w:color w:val="FF0000"/>
          <w:sz w:val="24"/>
          <w:shd w:val="clear" w:color="auto" w:fill="FFFFFF"/>
        </w:rPr>
      </w:pPr>
    </w:p>
    <w:p w14:paraId="6459F107">
      <w:pPr>
        <w:rPr>
          <w:rFonts w:hint="eastAsia" w:ascii="宋体" w:hAnsi="宋体" w:eastAsia="宋体" w:cs="宋体"/>
          <w:sz w:val="32"/>
          <w:szCs w:val="32"/>
        </w:rPr>
      </w:pPr>
      <w:bookmarkStart w:id="406" w:name="_Toc447720955"/>
      <w:bookmarkStart w:id="407" w:name="_Toc212648413"/>
      <w:bookmarkStart w:id="408" w:name="_Toc28207"/>
      <w:bookmarkStart w:id="409" w:name="_Toc6742"/>
      <w:bookmarkStart w:id="410" w:name="_Toc26808"/>
      <w:bookmarkStart w:id="411" w:name="_Toc15085"/>
      <w:bookmarkStart w:id="412" w:name="_Toc31585"/>
      <w:bookmarkStart w:id="413" w:name="_Toc250531122"/>
      <w:bookmarkStart w:id="414" w:name="_Toc373252484"/>
      <w:bookmarkStart w:id="415" w:name="_Toc4636"/>
      <w:bookmarkStart w:id="416" w:name="_Toc250531123"/>
      <w:r>
        <w:rPr>
          <w:rFonts w:hint="eastAsia" w:ascii="宋体" w:hAnsi="宋体" w:eastAsia="宋体" w:cs="宋体"/>
          <w:sz w:val="32"/>
          <w:szCs w:val="32"/>
        </w:rPr>
        <w:br w:type="page"/>
      </w:r>
    </w:p>
    <w:p w14:paraId="10548EDD">
      <w:pPr>
        <w:pStyle w:val="2"/>
        <w:numPr>
          <w:ilvl w:val="0"/>
          <w:numId w:val="0"/>
        </w:numPr>
        <w:jc w:val="center"/>
        <w:rPr>
          <w:rFonts w:ascii="宋体" w:hAnsi="宋体" w:eastAsia="宋体" w:cs="宋体"/>
          <w:sz w:val="32"/>
          <w:szCs w:val="32"/>
        </w:rPr>
      </w:pPr>
      <w:r>
        <w:rPr>
          <w:rFonts w:hint="eastAsia" w:ascii="宋体" w:hAnsi="宋体" w:eastAsia="宋体" w:cs="宋体"/>
          <w:sz w:val="32"/>
          <w:szCs w:val="32"/>
        </w:rPr>
        <w:t>第六章  评标方法（综合评分法）</w:t>
      </w:r>
      <w:bookmarkEnd w:id="406"/>
      <w:bookmarkEnd w:id="407"/>
      <w:bookmarkEnd w:id="408"/>
      <w:bookmarkEnd w:id="409"/>
      <w:bookmarkEnd w:id="410"/>
      <w:bookmarkEnd w:id="411"/>
      <w:bookmarkEnd w:id="412"/>
      <w:bookmarkEnd w:id="413"/>
      <w:bookmarkEnd w:id="414"/>
      <w:bookmarkEnd w:id="415"/>
    </w:p>
    <w:bookmarkEnd w:id="416"/>
    <w:p w14:paraId="3D606668">
      <w:pPr>
        <w:ind w:left="425"/>
        <w:jc w:val="center"/>
        <w:outlineLvl w:val="9"/>
        <w:rPr>
          <w:rFonts w:ascii="宋体" w:hAnsi="宋体" w:eastAsia="宋体" w:cs="宋体"/>
          <w:sz w:val="24"/>
        </w:rPr>
      </w:pPr>
      <w:bookmarkStart w:id="417" w:name="_Toc447720956"/>
      <w:bookmarkStart w:id="418" w:name="_Toc30978"/>
      <w:bookmarkStart w:id="419" w:name="_Toc212648414"/>
      <w:r>
        <w:rPr>
          <w:rFonts w:hint="eastAsia" w:ascii="宋体" w:hAnsi="宋体" w:eastAsia="宋体" w:cs="宋体"/>
          <w:sz w:val="24"/>
        </w:rPr>
        <w:t>评标办法前附表</w:t>
      </w:r>
      <w:bookmarkEnd w:id="417"/>
      <w:bookmarkEnd w:id="418"/>
      <w:bookmarkEnd w:id="419"/>
    </w:p>
    <w:tbl>
      <w:tblPr>
        <w:tblStyle w:val="16"/>
        <w:tblW w:w="1074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1"/>
        <w:gridCol w:w="1856"/>
        <w:gridCol w:w="1910"/>
        <w:gridCol w:w="6001"/>
      </w:tblGrid>
      <w:tr w14:paraId="305775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Align w:val="center"/>
          </w:tcPr>
          <w:p w14:paraId="06DAC4EA">
            <w:pPr>
              <w:spacing w:line="360" w:lineRule="auto"/>
              <w:jc w:val="center"/>
              <w:rPr>
                <w:rFonts w:hint="eastAsia" w:ascii="宋体" w:hAnsi="宋体" w:cs="宋体"/>
                <w:b/>
                <w:sz w:val="24"/>
              </w:rPr>
            </w:pPr>
            <w:bookmarkStart w:id="420" w:name="_Hlk34904295"/>
            <w:r>
              <w:rPr>
                <w:rFonts w:hint="eastAsia" w:ascii="宋体" w:hAnsi="宋体" w:cs="宋体"/>
                <w:b/>
                <w:sz w:val="24"/>
              </w:rPr>
              <w:t>条款号</w:t>
            </w:r>
          </w:p>
        </w:tc>
        <w:tc>
          <w:tcPr>
            <w:tcW w:w="1910" w:type="dxa"/>
            <w:vAlign w:val="center"/>
          </w:tcPr>
          <w:p w14:paraId="0B4BDAEE">
            <w:pPr>
              <w:spacing w:line="360" w:lineRule="auto"/>
              <w:jc w:val="center"/>
              <w:rPr>
                <w:rFonts w:hint="eastAsia" w:ascii="宋体" w:hAnsi="宋体" w:cs="宋体"/>
                <w:b/>
                <w:sz w:val="24"/>
              </w:rPr>
            </w:pPr>
            <w:r>
              <w:rPr>
                <w:rFonts w:hint="eastAsia" w:ascii="宋体" w:hAnsi="宋体" w:cs="宋体"/>
                <w:b/>
                <w:sz w:val="24"/>
              </w:rPr>
              <w:t>评审因素</w:t>
            </w:r>
          </w:p>
        </w:tc>
        <w:tc>
          <w:tcPr>
            <w:tcW w:w="6001" w:type="dxa"/>
            <w:vAlign w:val="center"/>
          </w:tcPr>
          <w:p w14:paraId="63A84970">
            <w:pPr>
              <w:spacing w:line="360" w:lineRule="auto"/>
              <w:jc w:val="center"/>
              <w:rPr>
                <w:rFonts w:hint="eastAsia" w:ascii="宋体" w:hAnsi="宋体" w:cs="宋体"/>
                <w:b/>
                <w:sz w:val="24"/>
              </w:rPr>
            </w:pPr>
            <w:r>
              <w:rPr>
                <w:rFonts w:hint="eastAsia" w:ascii="宋体" w:hAnsi="宋体" w:cs="宋体"/>
                <w:b/>
                <w:sz w:val="24"/>
              </w:rPr>
              <w:t>评审标准</w:t>
            </w:r>
          </w:p>
        </w:tc>
      </w:tr>
      <w:tr w14:paraId="666EFE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Align w:val="center"/>
          </w:tcPr>
          <w:p w14:paraId="50A7873C">
            <w:pPr>
              <w:spacing w:line="360" w:lineRule="auto"/>
              <w:jc w:val="center"/>
              <w:rPr>
                <w:rFonts w:hint="eastAsia" w:ascii="宋体" w:hAnsi="宋体" w:cs="宋体"/>
                <w:sz w:val="24"/>
              </w:rPr>
            </w:pPr>
            <w:r>
              <w:rPr>
                <w:rFonts w:hint="eastAsia" w:ascii="宋体" w:hAnsi="宋体" w:cs="宋体"/>
                <w:sz w:val="24"/>
              </w:rPr>
              <w:t>2.1.1</w:t>
            </w:r>
          </w:p>
        </w:tc>
        <w:tc>
          <w:tcPr>
            <w:tcW w:w="1856" w:type="dxa"/>
            <w:vAlign w:val="center"/>
          </w:tcPr>
          <w:p w14:paraId="15BA534D">
            <w:pPr>
              <w:spacing w:line="360" w:lineRule="auto"/>
              <w:jc w:val="center"/>
              <w:rPr>
                <w:rFonts w:hint="eastAsia" w:ascii="宋体" w:hAnsi="宋体" w:cs="宋体"/>
                <w:sz w:val="24"/>
              </w:rPr>
            </w:pPr>
            <w:r>
              <w:rPr>
                <w:rFonts w:hint="eastAsia" w:ascii="宋体" w:hAnsi="宋体" w:cs="宋体"/>
                <w:sz w:val="24"/>
              </w:rPr>
              <w:t>资格评审标准</w:t>
            </w:r>
          </w:p>
        </w:tc>
        <w:tc>
          <w:tcPr>
            <w:tcW w:w="1910" w:type="dxa"/>
            <w:vAlign w:val="center"/>
          </w:tcPr>
          <w:p w14:paraId="4F03DDB3">
            <w:pPr>
              <w:spacing w:line="360" w:lineRule="auto"/>
              <w:jc w:val="center"/>
              <w:rPr>
                <w:rFonts w:hint="eastAsia" w:ascii="宋体" w:hAnsi="宋体" w:cs="宋体"/>
                <w:sz w:val="24"/>
              </w:rPr>
            </w:pPr>
            <w:r>
              <w:rPr>
                <w:rFonts w:hint="eastAsia" w:ascii="宋体" w:hAnsi="宋体" w:cs="宋体"/>
                <w:sz w:val="24"/>
              </w:rPr>
              <w:t>资格条件</w:t>
            </w:r>
          </w:p>
        </w:tc>
        <w:tc>
          <w:tcPr>
            <w:tcW w:w="6001" w:type="dxa"/>
            <w:vAlign w:val="center"/>
          </w:tcPr>
          <w:p w14:paraId="55ABCDE3">
            <w:pPr>
              <w:spacing w:line="360" w:lineRule="auto"/>
              <w:jc w:val="center"/>
              <w:rPr>
                <w:rFonts w:hint="eastAsia" w:ascii="宋体" w:hAnsi="宋体" w:cs="宋体"/>
                <w:bCs/>
                <w:sz w:val="24"/>
                <w:highlight w:val="yellow"/>
              </w:rPr>
            </w:pPr>
            <w:r>
              <w:rPr>
                <w:rFonts w:hint="eastAsia" w:ascii="宋体" w:hAnsi="宋体" w:cs="宋体"/>
                <w:bCs/>
                <w:sz w:val="24"/>
                <w:highlight w:val="none"/>
              </w:rPr>
              <w:t>符合第二章“投标人须知前附表”第4项规定</w:t>
            </w:r>
          </w:p>
        </w:tc>
      </w:tr>
      <w:tr w14:paraId="230414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restart"/>
            <w:vAlign w:val="center"/>
          </w:tcPr>
          <w:p w14:paraId="2857B824">
            <w:pPr>
              <w:spacing w:line="360" w:lineRule="auto"/>
              <w:jc w:val="center"/>
              <w:rPr>
                <w:rFonts w:hint="eastAsia" w:ascii="宋体" w:hAnsi="宋体" w:cs="宋体"/>
                <w:sz w:val="24"/>
              </w:rPr>
            </w:pPr>
            <w:r>
              <w:rPr>
                <w:rFonts w:hint="eastAsia" w:ascii="宋体" w:hAnsi="宋体" w:cs="宋体"/>
                <w:sz w:val="24"/>
              </w:rPr>
              <w:t>2.1.2</w:t>
            </w:r>
          </w:p>
        </w:tc>
        <w:tc>
          <w:tcPr>
            <w:tcW w:w="1856" w:type="dxa"/>
            <w:vMerge w:val="restart"/>
            <w:vAlign w:val="center"/>
          </w:tcPr>
          <w:p w14:paraId="5F7460FB">
            <w:pPr>
              <w:spacing w:line="360" w:lineRule="auto"/>
              <w:jc w:val="center"/>
              <w:rPr>
                <w:rFonts w:hint="eastAsia" w:ascii="宋体" w:hAnsi="宋体" w:cs="宋体"/>
                <w:sz w:val="24"/>
              </w:rPr>
            </w:pPr>
            <w:r>
              <w:rPr>
                <w:rFonts w:hint="eastAsia" w:ascii="宋体" w:hAnsi="宋体" w:cs="宋体"/>
                <w:sz w:val="24"/>
              </w:rPr>
              <w:t>符合性评审标准</w:t>
            </w:r>
          </w:p>
        </w:tc>
        <w:tc>
          <w:tcPr>
            <w:tcW w:w="1910" w:type="dxa"/>
            <w:vAlign w:val="center"/>
          </w:tcPr>
          <w:p w14:paraId="30FF1AE4">
            <w:pPr>
              <w:spacing w:line="360" w:lineRule="auto"/>
              <w:jc w:val="center"/>
              <w:rPr>
                <w:rFonts w:hint="eastAsia" w:ascii="宋体" w:hAnsi="宋体" w:cs="宋体"/>
                <w:sz w:val="24"/>
              </w:rPr>
            </w:pPr>
            <w:r>
              <w:rPr>
                <w:rFonts w:hint="eastAsia" w:ascii="宋体" w:hAnsi="宋体" w:cs="宋体"/>
                <w:sz w:val="24"/>
              </w:rPr>
              <w:t>营业执照</w:t>
            </w:r>
          </w:p>
        </w:tc>
        <w:tc>
          <w:tcPr>
            <w:tcW w:w="6001" w:type="dxa"/>
            <w:vAlign w:val="center"/>
          </w:tcPr>
          <w:p w14:paraId="69F9D529">
            <w:pPr>
              <w:spacing w:line="360" w:lineRule="auto"/>
              <w:jc w:val="center"/>
              <w:rPr>
                <w:rFonts w:hint="eastAsia" w:ascii="宋体" w:hAnsi="宋体" w:cs="宋体"/>
                <w:sz w:val="24"/>
                <w:highlight w:val="none"/>
              </w:rPr>
            </w:pPr>
            <w:r>
              <w:rPr>
                <w:rFonts w:hint="eastAsia" w:ascii="宋体" w:hAnsi="宋体" w:cs="宋体"/>
                <w:sz w:val="24"/>
                <w:highlight w:val="none"/>
              </w:rPr>
              <w:t>具有有效的营业执照或事业单位法人证书</w:t>
            </w:r>
          </w:p>
        </w:tc>
      </w:tr>
      <w:tr w14:paraId="52F5A7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1C3466D6">
            <w:pPr>
              <w:spacing w:line="360" w:lineRule="auto"/>
              <w:rPr>
                <w:rFonts w:hint="eastAsia" w:ascii="宋体" w:hAnsi="宋体" w:cs="宋体"/>
                <w:sz w:val="24"/>
              </w:rPr>
            </w:pPr>
          </w:p>
        </w:tc>
        <w:tc>
          <w:tcPr>
            <w:tcW w:w="1856" w:type="dxa"/>
            <w:vMerge w:val="continue"/>
            <w:vAlign w:val="center"/>
          </w:tcPr>
          <w:p w14:paraId="3BAF26E3">
            <w:pPr>
              <w:spacing w:line="360" w:lineRule="auto"/>
              <w:rPr>
                <w:rFonts w:hint="eastAsia" w:ascii="宋体" w:hAnsi="宋体" w:cs="宋体"/>
                <w:sz w:val="24"/>
              </w:rPr>
            </w:pPr>
          </w:p>
        </w:tc>
        <w:tc>
          <w:tcPr>
            <w:tcW w:w="1910" w:type="dxa"/>
            <w:vAlign w:val="center"/>
          </w:tcPr>
          <w:p w14:paraId="59E469DC">
            <w:pPr>
              <w:spacing w:line="360" w:lineRule="auto"/>
              <w:jc w:val="center"/>
              <w:rPr>
                <w:rFonts w:hint="eastAsia" w:ascii="宋体" w:hAnsi="宋体" w:cs="宋体"/>
                <w:sz w:val="24"/>
              </w:rPr>
            </w:pPr>
            <w:r>
              <w:rPr>
                <w:rFonts w:hint="eastAsia" w:ascii="宋体" w:hAnsi="宋体" w:cs="宋体"/>
                <w:sz w:val="24"/>
              </w:rPr>
              <w:t>投标文件签章</w:t>
            </w:r>
          </w:p>
        </w:tc>
        <w:tc>
          <w:tcPr>
            <w:tcW w:w="6001" w:type="dxa"/>
            <w:vAlign w:val="center"/>
          </w:tcPr>
          <w:p w14:paraId="50B2154E">
            <w:pPr>
              <w:spacing w:line="360" w:lineRule="auto"/>
              <w:jc w:val="center"/>
              <w:rPr>
                <w:rFonts w:hint="eastAsia" w:ascii="宋体" w:hAnsi="宋体" w:cs="宋体"/>
                <w:sz w:val="24"/>
                <w:highlight w:val="none"/>
              </w:rPr>
            </w:pPr>
            <w:r>
              <w:rPr>
                <w:rFonts w:hint="eastAsia" w:ascii="宋体" w:hAnsi="宋体" w:cs="宋体"/>
                <w:sz w:val="24"/>
                <w:highlight w:val="none"/>
              </w:rPr>
              <w:t>符合“第四章 投标文件格式”签章的要求</w:t>
            </w:r>
          </w:p>
        </w:tc>
      </w:tr>
      <w:tr w14:paraId="364E1A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35401E34">
            <w:pPr>
              <w:spacing w:line="360" w:lineRule="auto"/>
              <w:rPr>
                <w:rFonts w:hint="eastAsia" w:ascii="宋体" w:hAnsi="宋体" w:cs="宋体"/>
                <w:sz w:val="24"/>
              </w:rPr>
            </w:pPr>
          </w:p>
        </w:tc>
        <w:tc>
          <w:tcPr>
            <w:tcW w:w="1856" w:type="dxa"/>
            <w:vMerge w:val="continue"/>
            <w:vAlign w:val="center"/>
          </w:tcPr>
          <w:p w14:paraId="172732DA">
            <w:pPr>
              <w:spacing w:line="360" w:lineRule="auto"/>
              <w:rPr>
                <w:rFonts w:hint="eastAsia" w:ascii="宋体" w:hAnsi="宋体" w:cs="宋体"/>
                <w:sz w:val="24"/>
              </w:rPr>
            </w:pPr>
          </w:p>
        </w:tc>
        <w:tc>
          <w:tcPr>
            <w:tcW w:w="1910" w:type="dxa"/>
            <w:vAlign w:val="center"/>
          </w:tcPr>
          <w:p w14:paraId="5AAF5A4F">
            <w:pPr>
              <w:spacing w:line="360" w:lineRule="auto"/>
              <w:jc w:val="center"/>
              <w:rPr>
                <w:rFonts w:hint="eastAsia" w:ascii="宋体" w:hAnsi="宋体" w:cs="宋体"/>
                <w:sz w:val="24"/>
              </w:rPr>
            </w:pPr>
            <w:r>
              <w:rPr>
                <w:rFonts w:hint="eastAsia" w:ascii="宋体" w:hAnsi="宋体" w:cs="宋体"/>
                <w:sz w:val="24"/>
              </w:rPr>
              <w:t>投标文件格式</w:t>
            </w:r>
          </w:p>
        </w:tc>
        <w:tc>
          <w:tcPr>
            <w:tcW w:w="6001" w:type="dxa"/>
            <w:vAlign w:val="center"/>
          </w:tcPr>
          <w:p w14:paraId="39BFFD21">
            <w:pPr>
              <w:spacing w:line="360" w:lineRule="auto"/>
              <w:jc w:val="center"/>
              <w:rPr>
                <w:rFonts w:hint="eastAsia" w:ascii="宋体" w:hAnsi="宋体" w:cs="宋体"/>
                <w:sz w:val="24"/>
                <w:highlight w:val="none"/>
              </w:rPr>
            </w:pPr>
            <w:r>
              <w:rPr>
                <w:rFonts w:hint="eastAsia" w:ascii="宋体" w:hAnsi="宋体" w:cs="宋体"/>
                <w:sz w:val="24"/>
                <w:highlight w:val="none"/>
              </w:rPr>
              <w:t>符合“第四章 投标文件格式”编制的要求</w:t>
            </w:r>
          </w:p>
        </w:tc>
      </w:tr>
      <w:tr w14:paraId="1CF146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01BC767A">
            <w:pPr>
              <w:spacing w:line="360" w:lineRule="auto"/>
              <w:rPr>
                <w:rFonts w:hint="eastAsia" w:ascii="宋体" w:hAnsi="宋体" w:cs="宋体"/>
                <w:sz w:val="24"/>
              </w:rPr>
            </w:pPr>
          </w:p>
        </w:tc>
        <w:tc>
          <w:tcPr>
            <w:tcW w:w="1856" w:type="dxa"/>
            <w:vMerge w:val="continue"/>
            <w:vAlign w:val="center"/>
          </w:tcPr>
          <w:p w14:paraId="742A56B7">
            <w:pPr>
              <w:spacing w:line="360" w:lineRule="auto"/>
              <w:rPr>
                <w:rFonts w:hint="eastAsia" w:ascii="宋体" w:hAnsi="宋体" w:cs="宋体"/>
                <w:sz w:val="24"/>
              </w:rPr>
            </w:pPr>
          </w:p>
        </w:tc>
        <w:tc>
          <w:tcPr>
            <w:tcW w:w="1910" w:type="dxa"/>
            <w:vAlign w:val="center"/>
          </w:tcPr>
          <w:p w14:paraId="561BE8D0">
            <w:pPr>
              <w:spacing w:line="360" w:lineRule="auto"/>
              <w:jc w:val="center"/>
              <w:rPr>
                <w:rFonts w:hint="eastAsia" w:ascii="宋体" w:hAnsi="宋体" w:cs="宋体"/>
                <w:sz w:val="24"/>
              </w:rPr>
            </w:pPr>
            <w:r>
              <w:rPr>
                <w:rFonts w:hint="eastAsia" w:ascii="宋体" w:hAnsi="宋体" w:cs="宋体"/>
                <w:sz w:val="24"/>
              </w:rPr>
              <w:t>投标报价</w:t>
            </w:r>
          </w:p>
        </w:tc>
        <w:tc>
          <w:tcPr>
            <w:tcW w:w="6001" w:type="dxa"/>
            <w:vAlign w:val="center"/>
          </w:tcPr>
          <w:p w14:paraId="663744EE">
            <w:pPr>
              <w:spacing w:line="360" w:lineRule="auto"/>
              <w:jc w:val="center"/>
              <w:rPr>
                <w:rFonts w:hint="eastAsia" w:ascii="宋体" w:hAnsi="宋体" w:cs="宋体"/>
                <w:sz w:val="24"/>
                <w:highlight w:val="yellow"/>
              </w:rPr>
            </w:pPr>
            <w:r>
              <w:rPr>
                <w:rFonts w:hint="eastAsia" w:ascii="宋体" w:hAnsi="宋体" w:cs="宋体"/>
                <w:color w:val="auto"/>
                <w:sz w:val="24"/>
                <w:szCs w:val="24"/>
                <w:lang w:val="en-US" w:eastAsia="zh-CN"/>
              </w:rPr>
              <w:t>符合第二章“投标人须知”第15.1项规定</w:t>
            </w:r>
          </w:p>
        </w:tc>
      </w:tr>
      <w:tr w14:paraId="5BDCD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49342887">
            <w:pPr>
              <w:spacing w:line="360" w:lineRule="auto"/>
              <w:rPr>
                <w:rFonts w:hint="eastAsia" w:ascii="宋体" w:hAnsi="宋体" w:cs="宋体"/>
                <w:sz w:val="24"/>
              </w:rPr>
            </w:pPr>
          </w:p>
        </w:tc>
        <w:tc>
          <w:tcPr>
            <w:tcW w:w="1856" w:type="dxa"/>
            <w:vMerge w:val="continue"/>
            <w:vAlign w:val="center"/>
          </w:tcPr>
          <w:p w14:paraId="582CD63C">
            <w:pPr>
              <w:spacing w:line="360" w:lineRule="auto"/>
              <w:rPr>
                <w:rFonts w:hint="eastAsia" w:ascii="宋体" w:hAnsi="宋体" w:cs="宋体"/>
                <w:sz w:val="24"/>
              </w:rPr>
            </w:pPr>
          </w:p>
        </w:tc>
        <w:tc>
          <w:tcPr>
            <w:tcW w:w="1910" w:type="dxa"/>
            <w:vAlign w:val="center"/>
          </w:tcPr>
          <w:p w14:paraId="1337C09D">
            <w:pPr>
              <w:spacing w:line="360" w:lineRule="auto"/>
              <w:jc w:val="center"/>
              <w:rPr>
                <w:rFonts w:hint="eastAsia" w:ascii="宋体" w:hAnsi="宋体" w:cs="宋体"/>
                <w:sz w:val="24"/>
              </w:rPr>
            </w:pPr>
            <w:r>
              <w:rPr>
                <w:rFonts w:hint="eastAsia" w:ascii="宋体" w:hAnsi="宋体" w:cs="宋体"/>
                <w:sz w:val="24"/>
              </w:rPr>
              <w:t>投标有效期</w:t>
            </w:r>
          </w:p>
        </w:tc>
        <w:tc>
          <w:tcPr>
            <w:tcW w:w="6001" w:type="dxa"/>
            <w:vAlign w:val="center"/>
          </w:tcPr>
          <w:p w14:paraId="54ED3B61">
            <w:pPr>
              <w:spacing w:line="360" w:lineRule="auto"/>
              <w:jc w:val="center"/>
              <w:rPr>
                <w:rFonts w:hint="eastAsia" w:ascii="宋体" w:hAnsi="宋体" w:cs="宋体"/>
                <w:sz w:val="24"/>
                <w:highlight w:val="none"/>
              </w:rPr>
            </w:pPr>
            <w:r>
              <w:rPr>
                <w:rFonts w:hint="eastAsia" w:ascii="宋体" w:hAnsi="宋体" w:cs="宋体"/>
                <w:sz w:val="24"/>
                <w:highlight w:val="none"/>
              </w:rPr>
              <w:t>符合“第二章 投标人须知”第17.1项规定</w:t>
            </w:r>
          </w:p>
        </w:tc>
      </w:tr>
      <w:tr w14:paraId="31BA39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461D27F9">
            <w:pPr>
              <w:spacing w:line="360" w:lineRule="auto"/>
              <w:rPr>
                <w:rFonts w:hint="eastAsia" w:ascii="宋体" w:hAnsi="宋体" w:cs="宋体"/>
                <w:sz w:val="24"/>
              </w:rPr>
            </w:pPr>
          </w:p>
        </w:tc>
        <w:tc>
          <w:tcPr>
            <w:tcW w:w="1856" w:type="dxa"/>
            <w:vMerge w:val="continue"/>
            <w:vAlign w:val="center"/>
          </w:tcPr>
          <w:p w14:paraId="6219D9F8">
            <w:pPr>
              <w:spacing w:line="360" w:lineRule="auto"/>
              <w:rPr>
                <w:rFonts w:hint="eastAsia" w:ascii="宋体" w:hAnsi="宋体" w:cs="宋体"/>
                <w:sz w:val="24"/>
              </w:rPr>
            </w:pPr>
          </w:p>
        </w:tc>
        <w:tc>
          <w:tcPr>
            <w:tcW w:w="1910" w:type="dxa"/>
            <w:vAlign w:val="center"/>
          </w:tcPr>
          <w:p w14:paraId="546DE4B9">
            <w:pPr>
              <w:spacing w:line="360" w:lineRule="auto"/>
              <w:jc w:val="center"/>
              <w:rPr>
                <w:rFonts w:hint="eastAsia" w:ascii="宋体" w:hAnsi="宋体" w:cs="宋体"/>
                <w:sz w:val="24"/>
              </w:rPr>
            </w:pPr>
            <w:r>
              <w:rPr>
                <w:rFonts w:hint="eastAsia" w:ascii="宋体" w:hAnsi="宋体" w:cs="宋体"/>
                <w:sz w:val="24"/>
              </w:rPr>
              <w:t>投标保证金</w:t>
            </w:r>
          </w:p>
        </w:tc>
        <w:tc>
          <w:tcPr>
            <w:tcW w:w="6001" w:type="dxa"/>
            <w:vAlign w:val="center"/>
          </w:tcPr>
          <w:p w14:paraId="73AAF0CB">
            <w:pPr>
              <w:spacing w:line="360" w:lineRule="auto"/>
              <w:jc w:val="center"/>
              <w:rPr>
                <w:rFonts w:hint="eastAsia" w:ascii="宋体" w:hAnsi="宋体" w:cs="宋体"/>
                <w:sz w:val="24"/>
                <w:highlight w:val="none"/>
              </w:rPr>
            </w:pPr>
            <w:r>
              <w:rPr>
                <w:rFonts w:hint="eastAsia" w:ascii="宋体" w:hAnsi="宋体" w:cs="宋体"/>
                <w:sz w:val="24"/>
                <w:highlight w:val="none"/>
              </w:rPr>
              <w:t>符合“第二章 投标人须知”第18.1项规定</w:t>
            </w:r>
          </w:p>
        </w:tc>
      </w:tr>
      <w:tr w14:paraId="4981D6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0764F508">
            <w:pPr>
              <w:spacing w:line="360" w:lineRule="auto"/>
              <w:rPr>
                <w:rFonts w:hint="eastAsia" w:ascii="宋体" w:hAnsi="宋体" w:cs="宋体"/>
                <w:sz w:val="24"/>
              </w:rPr>
            </w:pPr>
          </w:p>
        </w:tc>
        <w:tc>
          <w:tcPr>
            <w:tcW w:w="1856" w:type="dxa"/>
            <w:vMerge w:val="continue"/>
            <w:vAlign w:val="center"/>
          </w:tcPr>
          <w:p w14:paraId="1F641D8A">
            <w:pPr>
              <w:spacing w:line="360" w:lineRule="auto"/>
              <w:rPr>
                <w:rFonts w:hint="eastAsia" w:ascii="宋体" w:hAnsi="宋体" w:cs="宋体"/>
                <w:sz w:val="24"/>
              </w:rPr>
            </w:pPr>
          </w:p>
        </w:tc>
        <w:tc>
          <w:tcPr>
            <w:tcW w:w="1910" w:type="dxa"/>
            <w:vAlign w:val="center"/>
          </w:tcPr>
          <w:p w14:paraId="1DC44EA7">
            <w:pPr>
              <w:spacing w:line="360" w:lineRule="auto"/>
              <w:jc w:val="center"/>
              <w:rPr>
                <w:rFonts w:hint="eastAsia" w:ascii="宋体" w:hAnsi="宋体" w:cs="宋体"/>
                <w:sz w:val="24"/>
              </w:rPr>
            </w:pPr>
            <w:r>
              <w:rPr>
                <w:rFonts w:hint="eastAsia" w:ascii="宋体" w:hAnsi="宋体" w:cs="宋体"/>
                <w:sz w:val="24"/>
              </w:rPr>
              <w:t>实质性要求</w:t>
            </w:r>
          </w:p>
        </w:tc>
        <w:tc>
          <w:tcPr>
            <w:tcW w:w="6001" w:type="dxa"/>
            <w:vAlign w:val="center"/>
          </w:tcPr>
          <w:p w14:paraId="22ECAE33">
            <w:pPr>
              <w:spacing w:line="360" w:lineRule="auto"/>
              <w:jc w:val="center"/>
              <w:rPr>
                <w:rFonts w:hint="eastAsia" w:ascii="宋体" w:hAnsi="宋体" w:cs="宋体"/>
                <w:sz w:val="24"/>
                <w:highlight w:val="none"/>
              </w:rPr>
            </w:pPr>
            <w:r>
              <w:rPr>
                <w:rFonts w:hint="eastAsia" w:ascii="宋体" w:hAnsi="宋体" w:cs="宋体"/>
                <w:sz w:val="24"/>
                <w:highlight w:val="none"/>
              </w:rPr>
              <w:t>投标人未出现招标文件规定的投标无效情形</w:t>
            </w:r>
          </w:p>
        </w:tc>
      </w:tr>
      <w:tr w14:paraId="6C9E6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599AC1CB">
            <w:pPr>
              <w:spacing w:line="360" w:lineRule="auto"/>
              <w:rPr>
                <w:rFonts w:hint="eastAsia" w:ascii="宋体" w:hAnsi="宋体" w:cs="宋体"/>
                <w:sz w:val="24"/>
              </w:rPr>
            </w:pPr>
          </w:p>
        </w:tc>
        <w:tc>
          <w:tcPr>
            <w:tcW w:w="1856" w:type="dxa"/>
            <w:vMerge w:val="continue"/>
            <w:vAlign w:val="center"/>
          </w:tcPr>
          <w:p w14:paraId="04979F82">
            <w:pPr>
              <w:spacing w:line="360" w:lineRule="auto"/>
              <w:rPr>
                <w:rFonts w:hint="eastAsia" w:ascii="宋体" w:hAnsi="宋体" w:cs="宋体"/>
                <w:sz w:val="24"/>
              </w:rPr>
            </w:pPr>
          </w:p>
        </w:tc>
        <w:tc>
          <w:tcPr>
            <w:tcW w:w="1910" w:type="dxa"/>
            <w:vAlign w:val="center"/>
          </w:tcPr>
          <w:p w14:paraId="68392E0B">
            <w:pPr>
              <w:spacing w:line="360" w:lineRule="auto"/>
              <w:jc w:val="center"/>
              <w:rPr>
                <w:rFonts w:hint="eastAsia" w:ascii="宋体" w:hAnsi="宋体" w:cs="宋体"/>
                <w:sz w:val="24"/>
              </w:rPr>
            </w:pPr>
            <w:r>
              <w:rPr>
                <w:rFonts w:hint="eastAsia" w:ascii="宋体" w:hAnsi="宋体" w:cs="宋体"/>
                <w:sz w:val="24"/>
              </w:rPr>
              <w:t>其他条件</w:t>
            </w:r>
          </w:p>
        </w:tc>
        <w:tc>
          <w:tcPr>
            <w:tcW w:w="6001" w:type="dxa"/>
            <w:vAlign w:val="center"/>
          </w:tcPr>
          <w:p w14:paraId="7B505BF2">
            <w:pPr>
              <w:spacing w:line="360" w:lineRule="auto"/>
              <w:jc w:val="center"/>
              <w:rPr>
                <w:rFonts w:hint="eastAsia" w:ascii="宋体" w:hAnsi="宋体" w:cs="宋体"/>
                <w:sz w:val="24"/>
                <w:highlight w:val="none"/>
              </w:rPr>
            </w:pPr>
            <w:r>
              <w:rPr>
                <w:rFonts w:hint="eastAsia" w:ascii="宋体" w:hAnsi="宋体" w:cs="宋体"/>
                <w:sz w:val="24"/>
                <w:highlight w:val="none"/>
              </w:rPr>
              <w:t>响应招标文件中的其他实质性要求（带▲的条款）</w:t>
            </w:r>
          </w:p>
        </w:tc>
      </w:tr>
      <w:tr w14:paraId="5352BE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Align w:val="center"/>
          </w:tcPr>
          <w:p w14:paraId="3954B2E3">
            <w:pPr>
              <w:spacing w:line="360" w:lineRule="auto"/>
              <w:jc w:val="center"/>
              <w:rPr>
                <w:rFonts w:hint="eastAsia" w:ascii="宋体" w:hAnsi="宋体" w:cs="宋体"/>
                <w:b/>
                <w:sz w:val="24"/>
              </w:rPr>
            </w:pPr>
            <w:r>
              <w:rPr>
                <w:rFonts w:hint="eastAsia" w:ascii="宋体" w:hAnsi="宋体" w:cs="宋体"/>
                <w:b/>
                <w:sz w:val="24"/>
              </w:rPr>
              <w:t>条款号</w:t>
            </w:r>
          </w:p>
        </w:tc>
        <w:tc>
          <w:tcPr>
            <w:tcW w:w="1910" w:type="dxa"/>
            <w:vAlign w:val="center"/>
          </w:tcPr>
          <w:p w14:paraId="48FEDBEE">
            <w:pPr>
              <w:spacing w:line="360" w:lineRule="auto"/>
              <w:jc w:val="center"/>
              <w:rPr>
                <w:rFonts w:hint="eastAsia" w:ascii="宋体" w:hAnsi="宋体" w:cs="宋体"/>
                <w:b/>
                <w:sz w:val="24"/>
              </w:rPr>
            </w:pPr>
            <w:r>
              <w:rPr>
                <w:rFonts w:hint="eastAsia" w:ascii="宋体" w:hAnsi="宋体" w:cs="宋体"/>
                <w:b/>
                <w:sz w:val="24"/>
              </w:rPr>
              <w:t>评分因素</w:t>
            </w:r>
          </w:p>
        </w:tc>
        <w:tc>
          <w:tcPr>
            <w:tcW w:w="6001" w:type="dxa"/>
            <w:vAlign w:val="center"/>
          </w:tcPr>
          <w:p w14:paraId="17159294">
            <w:pPr>
              <w:spacing w:line="360" w:lineRule="auto"/>
              <w:jc w:val="center"/>
              <w:rPr>
                <w:rFonts w:hint="eastAsia" w:ascii="宋体" w:hAnsi="宋体" w:cs="宋体"/>
                <w:b/>
                <w:sz w:val="24"/>
              </w:rPr>
            </w:pPr>
            <w:r>
              <w:rPr>
                <w:rFonts w:hint="eastAsia" w:ascii="宋体" w:hAnsi="宋体" w:cs="宋体"/>
                <w:b/>
                <w:sz w:val="24"/>
              </w:rPr>
              <w:t>评分标准</w:t>
            </w:r>
          </w:p>
        </w:tc>
      </w:tr>
      <w:tr w14:paraId="110F99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Merge w:val="restart"/>
            <w:vAlign w:val="center"/>
          </w:tcPr>
          <w:p w14:paraId="0058C9CF">
            <w:pPr>
              <w:spacing w:line="360" w:lineRule="auto"/>
              <w:jc w:val="center"/>
              <w:rPr>
                <w:rFonts w:hint="eastAsia" w:ascii="宋体" w:hAnsi="宋体" w:cs="宋体"/>
                <w:sz w:val="24"/>
              </w:rPr>
            </w:pPr>
            <w:r>
              <w:rPr>
                <w:rFonts w:hint="eastAsia" w:ascii="宋体" w:hAnsi="宋体" w:cs="宋体"/>
                <w:sz w:val="24"/>
              </w:rPr>
              <w:t>2.2详细评审标准</w:t>
            </w:r>
          </w:p>
        </w:tc>
        <w:tc>
          <w:tcPr>
            <w:tcW w:w="1910" w:type="dxa"/>
            <w:vAlign w:val="center"/>
          </w:tcPr>
          <w:p w14:paraId="651BF9CC">
            <w:pPr>
              <w:spacing w:line="360" w:lineRule="auto"/>
              <w:jc w:val="center"/>
              <w:rPr>
                <w:rFonts w:hint="eastAsia" w:ascii="宋体" w:hAnsi="宋体" w:cs="宋体"/>
                <w:sz w:val="24"/>
              </w:rPr>
            </w:pPr>
            <w:r>
              <w:rPr>
                <w:rFonts w:hint="eastAsia" w:ascii="宋体" w:hAnsi="宋体" w:cs="宋体"/>
                <w:sz w:val="24"/>
              </w:rPr>
              <w:t>评标总得分计算公式</w:t>
            </w:r>
          </w:p>
        </w:tc>
        <w:tc>
          <w:tcPr>
            <w:tcW w:w="6001" w:type="dxa"/>
            <w:vAlign w:val="center"/>
          </w:tcPr>
          <w:p w14:paraId="18C3FF3E">
            <w:pPr>
              <w:spacing w:line="360" w:lineRule="auto"/>
              <w:rPr>
                <w:rFonts w:hint="eastAsia" w:ascii="宋体" w:hAnsi="宋体" w:cs="宋体"/>
                <w:sz w:val="24"/>
              </w:rPr>
            </w:pPr>
            <w:r>
              <w:rPr>
                <w:rFonts w:hint="eastAsia" w:ascii="宋体" w:hAnsi="宋体" w:cs="宋体"/>
                <w:sz w:val="24"/>
              </w:rPr>
              <w:t>投标人的评标总得分＝F1×A1＋F2×A2＋F3×A3</w:t>
            </w:r>
          </w:p>
          <w:p w14:paraId="17B54B70">
            <w:pPr>
              <w:spacing w:line="360" w:lineRule="auto"/>
              <w:rPr>
                <w:rFonts w:hint="eastAsia" w:ascii="宋体" w:hAnsi="宋体" w:cs="宋体"/>
                <w:sz w:val="24"/>
              </w:rPr>
            </w:pPr>
            <w:r>
              <w:rPr>
                <w:rFonts w:hint="eastAsia" w:ascii="宋体" w:hAnsi="宋体" w:cs="宋体"/>
                <w:sz w:val="24"/>
              </w:rPr>
              <w:t>其中：</w:t>
            </w:r>
          </w:p>
          <w:p w14:paraId="229FDB45">
            <w:pPr>
              <w:spacing w:line="360" w:lineRule="auto"/>
              <w:rPr>
                <w:rFonts w:hint="eastAsia" w:ascii="宋体" w:hAnsi="宋体" w:cs="宋体"/>
                <w:sz w:val="24"/>
              </w:rPr>
            </w:pPr>
            <w:r>
              <w:rPr>
                <w:rFonts w:hint="eastAsia" w:ascii="宋体" w:hAnsi="宋体" w:cs="宋体"/>
                <w:sz w:val="24"/>
              </w:rPr>
              <w:t>①F1、F2、F3分别为投标报价、技术部分、商务部分3项评分因素的得分。</w:t>
            </w:r>
          </w:p>
          <w:p w14:paraId="39AC019A">
            <w:pPr>
              <w:spacing w:line="360" w:lineRule="auto"/>
              <w:rPr>
                <w:rFonts w:hint="eastAsia" w:ascii="宋体" w:hAnsi="宋体" w:cs="宋体"/>
                <w:sz w:val="24"/>
              </w:rPr>
            </w:pPr>
            <w:r>
              <w:rPr>
                <w:rFonts w:hint="eastAsia" w:ascii="宋体" w:hAnsi="宋体" w:cs="宋体"/>
                <w:sz w:val="24"/>
              </w:rPr>
              <w:t>②A1、A2、A3分别为投标报价、技术部分、商务部分3项评分因素的权重。</w:t>
            </w:r>
          </w:p>
        </w:tc>
      </w:tr>
      <w:tr w14:paraId="097691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Merge w:val="continue"/>
            <w:vAlign w:val="center"/>
          </w:tcPr>
          <w:p w14:paraId="3494F262">
            <w:pPr>
              <w:spacing w:line="360" w:lineRule="auto"/>
              <w:jc w:val="center"/>
              <w:rPr>
                <w:rFonts w:hint="eastAsia" w:ascii="宋体" w:hAnsi="宋体" w:cs="宋体"/>
                <w:sz w:val="24"/>
              </w:rPr>
            </w:pPr>
          </w:p>
        </w:tc>
        <w:tc>
          <w:tcPr>
            <w:tcW w:w="1910" w:type="dxa"/>
            <w:vAlign w:val="center"/>
          </w:tcPr>
          <w:p w14:paraId="3095744D">
            <w:pPr>
              <w:spacing w:line="360" w:lineRule="auto"/>
              <w:jc w:val="center"/>
              <w:rPr>
                <w:rFonts w:hint="eastAsia" w:ascii="宋体" w:hAnsi="宋体" w:cs="宋体"/>
                <w:sz w:val="24"/>
              </w:rPr>
            </w:pPr>
            <w:r>
              <w:rPr>
                <w:rFonts w:hint="eastAsia" w:ascii="宋体" w:hAnsi="宋体" w:cs="宋体"/>
                <w:sz w:val="24"/>
              </w:rPr>
              <w:t>权重构成</w:t>
            </w:r>
          </w:p>
        </w:tc>
        <w:tc>
          <w:tcPr>
            <w:tcW w:w="6001" w:type="dxa"/>
            <w:vAlign w:val="center"/>
          </w:tcPr>
          <w:p w14:paraId="7C5AFB25">
            <w:pPr>
              <w:spacing w:line="360" w:lineRule="auto"/>
              <w:rPr>
                <w:rFonts w:hint="eastAsia" w:ascii="宋体" w:hAnsi="宋体" w:cs="宋体"/>
                <w:sz w:val="24"/>
                <w:highlight w:val="none"/>
              </w:rPr>
            </w:pPr>
            <w:r>
              <w:rPr>
                <w:rFonts w:hint="eastAsia" w:ascii="宋体" w:hAnsi="宋体" w:cs="宋体"/>
                <w:sz w:val="24"/>
                <w:highlight w:val="none"/>
              </w:rPr>
              <w:t>投标报价F1：满分30分，权重：1。</w:t>
            </w:r>
          </w:p>
          <w:p w14:paraId="06EE9E9A">
            <w:pPr>
              <w:spacing w:line="360" w:lineRule="auto"/>
              <w:rPr>
                <w:rFonts w:hint="eastAsia" w:ascii="宋体" w:hAnsi="宋体" w:cs="宋体"/>
                <w:sz w:val="24"/>
                <w:highlight w:val="none"/>
              </w:rPr>
            </w:pPr>
            <w:r>
              <w:rPr>
                <w:rFonts w:hint="eastAsia" w:ascii="宋体" w:hAnsi="宋体" w:cs="宋体"/>
                <w:sz w:val="24"/>
                <w:highlight w:val="none"/>
              </w:rPr>
              <w:t>技术部分F2：满分</w:t>
            </w:r>
            <w:r>
              <w:rPr>
                <w:rFonts w:hint="eastAsia" w:ascii="宋体" w:hAnsi="宋体" w:cs="宋体"/>
                <w:sz w:val="24"/>
                <w:highlight w:val="none"/>
                <w:lang w:eastAsia="zh-CN"/>
              </w:rPr>
              <w:t>5</w:t>
            </w:r>
            <w:r>
              <w:rPr>
                <w:rFonts w:hint="eastAsia" w:ascii="宋体" w:hAnsi="宋体" w:cs="宋体"/>
                <w:sz w:val="24"/>
                <w:highlight w:val="none"/>
                <w:lang w:val="en-US" w:eastAsia="zh-CN"/>
              </w:rPr>
              <w:t>0</w:t>
            </w:r>
            <w:r>
              <w:rPr>
                <w:rFonts w:hint="eastAsia" w:ascii="宋体" w:hAnsi="宋体" w:cs="宋体"/>
                <w:sz w:val="24"/>
                <w:highlight w:val="none"/>
              </w:rPr>
              <w:t>分，权重：1。</w:t>
            </w:r>
          </w:p>
          <w:p w14:paraId="2DF0A87A">
            <w:pPr>
              <w:spacing w:line="360" w:lineRule="auto"/>
              <w:rPr>
                <w:rFonts w:hint="eastAsia" w:ascii="宋体" w:hAnsi="宋体" w:cs="宋体"/>
                <w:sz w:val="24"/>
                <w:u w:val="single"/>
              </w:rPr>
            </w:pPr>
            <w:r>
              <w:rPr>
                <w:rFonts w:hint="eastAsia" w:ascii="宋体" w:hAnsi="宋体" w:cs="宋体"/>
                <w:sz w:val="24"/>
                <w:highlight w:val="none"/>
              </w:rPr>
              <w:t>商务部分F3：满分</w:t>
            </w:r>
            <w:r>
              <w:rPr>
                <w:rFonts w:hint="eastAsia" w:ascii="宋体" w:hAnsi="宋体" w:cs="宋体"/>
                <w:sz w:val="24"/>
                <w:highlight w:val="none"/>
                <w:lang w:eastAsia="zh-CN"/>
              </w:rPr>
              <w:t>2</w:t>
            </w:r>
            <w:r>
              <w:rPr>
                <w:rFonts w:hint="eastAsia" w:ascii="宋体" w:hAnsi="宋体" w:cs="宋体"/>
                <w:sz w:val="24"/>
                <w:highlight w:val="none"/>
                <w:lang w:val="en-US" w:eastAsia="zh-CN"/>
              </w:rPr>
              <w:t>0</w:t>
            </w:r>
            <w:r>
              <w:rPr>
                <w:rFonts w:hint="eastAsia" w:ascii="宋体" w:hAnsi="宋体" w:cs="宋体"/>
                <w:sz w:val="24"/>
                <w:highlight w:val="none"/>
              </w:rPr>
              <w:t>分，权重：1。</w:t>
            </w:r>
          </w:p>
        </w:tc>
      </w:tr>
      <w:tr w14:paraId="4ED4D5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Merge w:val="continue"/>
            <w:vAlign w:val="center"/>
          </w:tcPr>
          <w:p w14:paraId="1F184932">
            <w:pPr>
              <w:spacing w:line="360" w:lineRule="auto"/>
              <w:rPr>
                <w:rFonts w:hint="eastAsia" w:ascii="宋体" w:hAnsi="宋体" w:cs="宋体"/>
                <w:sz w:val="24"/>
              </w:rPr>
            </w:pPr>
          </w:p>
        </w:tc>
        <w:tc>
          <w:tcPr>
            <w:tcW w:w="1910" w:type="dxa"/>
            <w:vAlign w:val="center"/>
          </w:tcPr>
          <w:p w14:paraId="00C6F73C">
            <w:pPr>
              <w:spacing w:line="360" w:lineRule="auto"/>
              <w:jc w:val="center"/>
              <w:rPr>
                <w:rFonts w:hint="eastAsia" w:ascii="宋体" w:hAnsi="宋体" w:cs="宋体"/>
                <w:b/>
                <w:sz w:val="24"/>
              </w:rPr>
            </w:pPr>
            <w:r>
              <w:rPr>
                <w:rFonts w:hint="eastAsia" w:ascii="宋体" w:hAnsi="宋体" w:cs="宋体"/>
                <w:b/>
                <w:sz w:val="24"/>
              </w:rPr>
              <w:t>投标报价</w:t>
            </w:r>
          </w:p>
          <w:p w14:paraId="50BB6DBF">
            <w:pPr>
              <w:spacing w:line="360" w:lineRule="auto"/>
              <w:jc w:val="center"/>
              <w:rPr>
                <w:rFonts w:hint="eastAsia" w:ascii="宋体" w:hAnsi="宋体" w:cs="宋体"/>
                <w:b/>
                <w:sz w:val="24"/>
              </w:rPr>
            </w:pPr>
            <w:r>
              <w:rPr>
                <w:rFonts w:hint="eastAsia" w:ascii="宋体" w:hAnsi="宋体" w:cs="宋体"/>
                <w:b/>
                <w:sz w:val="24"/>
              </w:rPr>
              <w:t>F1</w:t>
            </w:r>
          </w:p>
        </w:tc>
        <w:tc>
          <w:tcPr>
            <w:tcW w:w="6001" w:type="dxa"/>
            <w:vAlign w:val="center"/>
          </w:tcPr>
          <w:p w14:paraId="30C247CD">
            <w:pPr>
              <w:spacing w:line="360" w:lineRule="auto"/>
              <w:jc w:val="left"/>
              <w:rPr>
                <w:rFonts w:hint="eastAsia" w:ascii="宋体" w:hAnsi="宋体" w:eastAsia="宋体" w:cs="宋体"/>
                <w:b/>
                <w:bCs/>
                <w:sz w:val="24"/>
                <w:lang w:val="en-US" w:eastAsia="zh-CN"/>
              </w:rPr>
            </w:pPr>
            <w:r>
              <w:rPr>
                <w:rFonts w:hint="eastAsia" w:ascii="宋体" w:hAnsi="宋体" w:cs="宋体"/>
                <w:b/>
                <w:bCs/>
                <w:sz w:val="24"/>
                <w:lang w:val="en-US" w:eastAsia="zh-CN"/>
              </w:rPr>
              <w:t>一、投标报价（满分30分）</w:t>
            </w:r>
          </w:p>
          <w:p w14:paraId="537B6CD9">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投标报价计算公式= </w:t>
            </w:r>
            <w:r>
              <w:rPr>
                <w:rFonts w:hint="eastAsia" w:ascii="宋体" w:hAnsi="宋体" w:eastAsia="宋体" w:cs="宋体"/>
                <w:sz w:val="24"/>
                <w:highlight w:val="none"/>
              </w:rPr>
              <w:object>
                <v:shape id="_x0000_i1025" o:spt="75" alt="341228446826312" type="#_x0000_t75" style="height:31.5pt;width:66.95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宋体" w:hAnsi="宋体" w:eastAsia="宋体" w:cs="宋体"/>
                <w:sz w:val="24"/>
                <w:highlight w:val="none"/>
              </w:rPr>
              <w:t>×30</w:t>
            </w:r>
          </w:p>
          <w:p w14:paraId="6A88C9CD">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即：</w:t>
            </w:r>
            <w:r>
              <w:rPr>
                <w:rFonts w:hint="eastAsia" w:ascii="宋体" w:hAnsi="宋体" w:eastAsia="宋体" w:cs="宋体"/>
                <w:sz w:val="24"/>
                <w:highlight w:val="none"/>
                <w:lang w:val="en-US" w:eastAsia="zh-CN"/>
              </w:rPr>
              <w:t>F1</w:t>
            </w:r>
            <w:r>
              <w:rPr>
                <w:rFonts w:hint="eastAsia" w:ascii="宋体" w:hAnsi="宋体" w:eastAsia="宋体" w:cs="宋体"/>
                <w:sz w:val="24"/>
                <w:highlight w:val="none"/>
              </w:rPr>
              <w:t>=[C/（B1，B2，…，Bn）]×30</w:t>
            </w:r>
          </w:p>
          <w:p w14:paraId="7EEB7668">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注：</w:t>
            </w:r>
            <w:r>
              <w:rPr>
                <w:rFonts w:hint="eastAsia" w:ascii="宋体" w:hAnsi="宋体" w:eastAsia="宋体" w:cs="宋体"/>
                <w:sz w:val="24"/>
                <w:highlight w:val="none"/>
              </w:rPr>
              <w:t>C为</w:t>
            </w:r>
            <w:r>
              <w:rPr>
                <w:rFonts w:hint="eastAsia" w:ascii="宋体" w:hAnsi="宋体" w:eastAsia="宋体" w:cs="宋体"/>
                <w:sz w:val="24"/>
                <w:highlight w:val="none"/>
                <w:lang w:eastAsia="zh-CN"/>
              </w:rPr>
              <w:t>评审</w:t>
            </w:r>
            <w:r>
              <w:rPr>
                <w:rFonts w:hint="eastAsia" w:ascii="宋体" w:hAnsi="宋体" w:eastAsia="宋体" w:cs="宋体"/>
                <w:sz w:val="24"/>
                <w:highlight w:val="none"/>
              </w:rPr>
              <w:t>基准价，即经符合性评审合格且投标价格最低的投标报价；</w:t>
            </w:r>
          </w:p>
          <w:p w14:paraId="3FFEFB13">
            <w:pPr>
              <w:spacing w:line="360" w:lineRule="auto"/>
              <w:rPr>
                <w:rFonts w:hint="eastAsia" w:ascii="宋体" w:hAnsi="宋体" w:eastAsia="宋体" w:cs="宋体"/>
                <w:sz w:val="24"/>
                <w:highlight w:val="none"/>
              </w:rPr>
            </w:pPr>
            <w:r>
              <w:rPr>
                <w:rFonts w:hint="eastAsia" w:ascii="宋体" w:hAnsi="宋体" w:eastAsia="宋体" w:cs="宋体"/>
                <w:sz w:val="24"/>
                <w:highlight w:val="none"/>
              </w:rPr>
              <w:t>B1，B2，…，Bn为第n个经符合性评审合格的投标报价。</w:t>
            </w:r>
          </w:p>
          <w:p w14:paraId="3C3A5FAC">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1.</w:t>
            </w:r>
            <w:r>
              <w:rPr>
                <w:rFonts w:hint="eastAsia" w:ascii="宋体" w:hAnsi="宋体" w:eastAsia="宋体" w:cs="宋体"/>
                <w:sz w:val="24"/>
                <w:highlight w:val="none"/>
              </w:rPr>
              <w:t>在计算投标报价得分时，对小型或微型企业报价给予10%的扣除，用扣除后的价格参加评审。</w:t>
            </w:r>
          </w:p>
          <w:p w14:paraId="32CAFE6D">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2.</w:t>
            </w:r>
            <w:r>
              <w:rPr>
                <w:rFonts w:hint="eastAsia" w:ascii="宋体" w:hAnsi="宋体" w:eastAsia="宋体" w:cs="宋体"/>
                <w:sz w:val="24"/>
                <w:highlight w:val="none"/>
              </w:rPr>
              <w:t>残疾人福利性单位、监狱企业视同小型、微型企业。</w:t>
            </w:r>
          </w:p>
          <w:p w14:paraId="7C3B263E">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3.</w:t>
            </w:r>
            <w:r>
              <w:rPr>
                <w:rFonts w:hint="eastAsia" w:ascii="宋体" w:hAnsi="宋体" w:eastAsia="宋体" w:cs="宋体"/>
                <w:sz w:val="24"/>
                <w:highlight w:val="none"/>
              </w:rPr>
              <w:t>监狱企业或残疾人福利性单位属于小型、微型企业的，不重复计算，只进行一次价格扣除。</w:t>
            </w:r>
          </w:p>
          <w:p w14:paraId="31874825">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4.政府采购活动中既有本国产品又有非本国产品参与竞争的，依法对本国产品给予价格评审优惠，对本国产品的报价给予20%的价格扣除，用扣除后的价格参与评审。</w:t>
            </w:r>
          </w:p>
          <w:p w14:paraId="5FCFA469">
            <w:pPr>
              <w:spacing w:line="360" w:lineRule="auto"/>
              <w:rPr>
                <w:rFonts w:hint="eastAsia" w:ascii="宋体" w:hAnsi="宋体" w:cs="宋体"/>
                <w:sz w:val="24"/>
              </w:rPr>
            </w:pPr>
            <w:r>
              <w:rPr>
                <w:rFonts w:hint="eastAsia" w:ascii="宋体" w:hAnsi="宋体" w:eastAsia="宋体" w:cs="宋体"/>
                <w:sz w:val="24"/>
                <w:highlight w:val="none"/>
                <w:lang w:val="en-US"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r>
              <w:rPr>
                <w:rFonts w:hint="eastAsia" w:ascii="宋体" w:hAnsi="宋体" w:cs="宋体"/>
                <w:b/>
                <w:bCs/>
                <w:sz w:val="24"/>
                <w:szCs w:val="24"/>
                <w:highlight w:val="none"/>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根据投标人提供的小微企业或监狱企业或残疾人福利性单位相关声明函，认定其是否属于小微企业或监狱企业或残疾人福利性单位并享受相应的优惠政策。投标人对其提供的声明函的真实性负责，如有虚假，自行承担相应责任。</w:t>
            </w:r>
          </w:p>
        </w:tc>
      </w:tr>
      <w:tr w14:paraId="4A9A0A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48" w:hRule="atLeast"/>
          <w:jc w:val="center"/>
        </w:trPr>
        <w:tc>
          <w:tcPr>
            <w:tcW w:w="2837" w:type="dxa"/>
            <w:gridSpan w:val="2"/>
            <w:vMerge w:val="continue"/>
            <w:tcBorders>
              <w:bottom w:val="single" w:color="auto" w:sz="8" w:space="0"/>
            </w:tcBorders>
            <w:vAlign w:val="center"/>
          </w:tcPr>
          <w:p w14:paraId="0D62CA8A">
            <w:pPr>
              <w:spacing w:line="360" w:lineRule="auto"/>
              <w:rPr>
                <w:rFonts w:hint="eastAsia" w:ascii="宋体" w:hAnsi="宋体" w:cs="宋体"/>
                <w:sz w:val="24"/>
              </w:rPr>
            </w:pPr>
          </w:p>
        </w:tc>
        <w:tc>
          <w:tcPr>
            <w:tcW w:w="1910" w:type="dxa"/>
            <w:vMerge w:val="restart"/>
            <w:vAlign w:val="center"/>
          </w:tcPr>
          <w:p w14:paraId="1C81ECFD">
            <w:pPr>
              <w:spacing w:line="360" w:lineRule="auto"/>
              <w:jc w:val="center"/>
              <w:rPr>
                <w:rFonts w:hint="eastAsia" w:ascii="宋体" w:hAnsi="宋体" w:cs="宋体"/>
                <w:b/>
                <w:sz w:val="24"/>
              </w:rPr>
            </w:pPr>
            <w:r>
              <w:rPr>
                <w:rFonts w:hint="eastAsia" w:ascii="宋体" w:hAnsi="宋体" w:cs="宋体"/>
                <w:b/>
                <w:sz w:val="24"/>
              </w:rPr>
              <w:t>技术部分</w:t>
            </w:r>
          </w:p>
          <w:p w14:paraId="3B78D3A8">
            <w:pPr>
              <w:spacing w:line="360" w:lineRule="auto"/>
              <w:jc w:val="center"/>
              <w:rPr>
                <w:rFonts w:hint="eastAsia" w:ascii="宋体" w:hAnsi="宋体" w:cs="宋体"/>
                <w:b/>
                <w:sz w:val="24"/>
              </w:rPr>
            </w:pPr>
            <w:r>
              <w:rPr>
                <w:rFonts w:hint="eastAsia" w:ascii="宋体" w:hAnsi="宋体" w:cs="宋体"/>
                <w:b/>
                <w:sz w:val="24"/>
              </w:rPr>
              <w:t>F2</w:t>
            </w:r>
          </w:p>
        </w:tc>
        <w:tc>
          <w:tcPr>
            <w:tcW w:w="6001" w:type="dxa"/>
            <w:tcBorders>
              <w:bottom w:val="single" w:color="auto" w:sz="8" w:space="0"/>
            </w:tcBorders>
            <w:vAlign w:val="center"/>
          </w:tcPr>
          <w:p w14:paraId="1DC24E9A">
            <w:pPr>
              <w:pStyle w:val="23"/>
              <w:spacing w:line="360" w:lineRule="auto"/>
              <w:rPr>
                <w:rFonts w:hint="eastAsia" w:ascii="宋体" w:hAnsi="宋体" w:eastAsia="宋体" w:cs="宋体"/>
                <w:b/>
                <w:bCs/>
                <w:sz w:val="24"/>
                <w:szCs w:val="24"/>
                <w:highlight w:val="cyan"/>
                <w:lang w:eastAsia="zh-CN"/>
              </w:rPr>
            </w:pPr>
            <w:r>
              <w:rPr>
                <w:rFonts w:hint="eastAsia" w:hAnsi="宋体" w:cs="宋体"/>
                <w:b/>
                <w:bCs/>
                <w:sz w:val="24"/>
                <w:szCs w:val="24"/>
                <w:highlight w:val="none"/>
                <w:lang w:val="en-US" w:eastAsia="zh-CN"/>
              </w:rPr>
              <w:t>一、</w:t>
            </w:r>
            <w:r>
              <w:rPr>
                <w:rFonts w:hint="eastAsia" w:ascii="宋体" w:hAnsi="宋体" w:cs="宋体"/>
                <w:b/>
                <w:bCs/>
                <w:sz w:val="24"/>
                <w:szCs w:val="24"/>
                <w:highlight w:val="none"/>
              </w:rPr>
              <w:t>技术参数、性能响应度评审</w:t>
            </w:r>
            <w:r>
              <w:rPr>
                <w:rFonts w:hint="eastAsia" w:hAnsi="宋体" w:cs="宋体"/>
                <w:b/>
                <w:bCs/>
                <w:sz w:val="24"/>
                <w:szCs w:val="24"/>
                <w:highlight w:val="none"/>
                <w:lang w:eastAsia="zh-CN"/>
              </w:rPr>
              <w:t>（</w:t>
            </w:r>
            <w:r>
              <w:rPr>
                <w:rFonts w:hint="eastAsia" w:hAnsi="宋体" w:cs="宋体"/>
                <w:b/>
                <w:bCs/>
                <w:sz w:val="24"/>
                <w:szCs w:val="24"/>
                <w:highlight w:val="none"/>
                <w:lang w:val="en-US" w:eastAsia="zh-CN"/>
              </w:rPr>
              <w:t>满分20分</w:t>
            </w:r>
            <w:r>
              <w:rPr>
                <w:rFonts w:hint="eastAsia" w:hAnsi="宋体" w:cs="宋体"/>
                <w:b/>
                <w:bCs/>
                <w:sz w:val="24"/>
                <w:szCs w:val="24"/>
                <w:highlight w:val="none"/>
                <w:lang w:eastAsia="zh-CN"/>
              </w:rPr>
              <w:t>）</w:t>
            </w:r>
          </w:p>
          <w:p w14:paraId="62A698D2">
            <w:pPr>
              <w:pStyle w:val="23"/>
              <w:spacing w:line="360" w:lineRule="auto"/>
              <w:rPr>
                <w:rFonts w:hint="eastAsia" w:hAnsi="宋体"/>
                <w:color w:val="auto"/>
                <w:highlight w:val="cyan"/>
              </w:rPr>
            </w:pPr>
            <w:r>
              <w:rPr>
                <w:rFonts w:hint="eastAsia" w:hAnsi="宋体"/>
                <w:color w:val="auto"/>
                <w:highlight w:val="none"/>
              </w:rPr>
              <w:t>1.根据投标文件对招标文件第</w:t>
            </w:r>
            <w:r>
              <w:rPr>
                <w:rFonts w:hint="eastAsia" w:hAnsi="宋体"/>
                <w:color w:val="auto"/>
                <w:highlight w:val="none"/>
                <w:lang w:eastAsia="zh-CN"/>
              </w:rPr>
              <w:t>五</w:t>
            </w:r>
            <w:r>
              <w:rPr>
                <w:rFonts w:hint="eastAsia" w:hAnsi="宋体"/>
                <w:color w:val="auto"/>
                <w:highlight w:val="none"/>
              </w:rPr>
              <w:t>章中“一、技术要求”中技术指标的响应程度进行评分，对照投标人投标文件《技术指标偏离表》及《技术支持资料》。技术指标描述不清晰、缺漏项或缺乏技术支持资料的，按对应分值不予得分或扣分。项数计算是以技术条款中最小序号为1项计算（满分</w:t>
            </w:r>
            <w:r>
              <w:rPr>
                <w:rFonts w:hint="eastAsia" w:hAnsi="宋体"/>
                <w:color w:val="auto"/>
                <w:highlight w:val="none"/>
                <w:lang w:eastAsia="zh-CN"/>
              </w:rPr>
              <w:t>2</w:t>
            </w:r>
            <w:r>
              <w:rPr>
                <w:rFonts w:hint="eastAsia" w:hAnsi="宋体"/>
                <w:color w:val="auto"/>
                <w:highlight w:val="none"/>
                <w:lang w:val="en-US" w:eastAsia="zh-CN"/>
              </w:rPr>
              <w:t>0</w:t>
            </w:r>
            <w:r>
              <w:rPr>
                <w:rFonts w:hint="eastAsia" w:hAnsi="宋体"/>
                <w:color w:val="auto"/>
                <w:highlight w:val="none"/>
              </w:rPr>
              <w:t xml:space="preserve">分）： </w:t>
            </w:r>
          </w:p>
          <w:p w14:paraId="158B130C">
            <w:pPr>
              <w:pStyle w:val="23"/>
              <w:spacing w:line="360" w:lineRule="auto"/>
              <w:rPr>
                <w:rFonts w:hint="eastAsia" w:hAnsi="宋体"/>
                <w:color w:val="auto"/>
                <w:highlight w:val="none"/>
              </w:rPr>
            </w:pPr>
            <w:r>
              <w:rPr>
                <w:rFonts w:hint="eastAsia" w:hAnsi="宋体"/>
                <w:color w:val="auto"/>
                <w:highlight w:val="none"/>
              </w:rPr>
              <w:t>（1）标注“▲”号的为重要指标（共计</w:t>
            </w:r>
            <w:r>
              <w:rPr>
                <w:rFonts w:hint="eastAsia" w:hAnsi="宋体"/>
                <w:color w:val="auto"/>
                <w:highlight w:val="none"/>
                <w:lang w:val="en-US" w:eastAsia="zh-CN"/>
              </w:rPr>
              <w:t>28</w:t>
            </w:r>
            <w:r>
              <w:rPr>
                <w:rFonts w:hint="eastAsia" w:hAnsi="宋体"/>
                <w:color w:val="auto"/>
                <w:highlight w:val="none"/>
              </w:rPr>
              <w:t>项），满分</w:t>
            </w:r>
            <w:r>
              <w:rPr>
                <w:rFonts w:hint="eastAsia" w:hAnsi="宋体"/>
                <w:color w:val="auto"/>
                <w:highlight w:val="none"/>
                <w:lang w:eastAsia="zh-CN"/>
              </w:rPr>
              <w:t>1</w:t>
            </w:r>
            <w:r>
              <w:rPr>
                <w:rFonts w:hint="eastAsia" w:hAnsi="宋体"/>
                <w:color w:val="auto"/>
                <w:highlight w:val="none"/>
                <w:lang w:val="en-US" w:eastAsia="zh-CN"/>
              </w:rPr>
              <w:t>4</w:t>
            </w:r>
            <w:r>
              <w:rPr>
                <w:rFonts w:hint="eastAsia" w:hAnsi="宋体"/>
                <w:color w:val="auto"/>
                <w:highlight w:val="none"/>
              </w:rPr>
              <w:t>分，投标产品全部满足的得</w:t>
            </w:r>
            <w:r>
              <w:rPr>
                <w:rFonts w:hint="eastAsia" w:hAnsi="宋体"/>
                <w:color w:val="auto"/>
                <w:highlight w:val="none"/>
                <w:lang w:eastAsia="zh-CN"/>
              </w:rPr>
              <w:t>1</w:t>
            </w:r>
            <w:r>
              <w:rPr>
                <w:rFonts w:hint="eastAsia" w:hAnsi="宋体"/>
                <w:color w:val="auto"/>
                <w:highlight w:val="none"/>
                <w:lang w:val="en-US" w:eastAsia="zh-CN"/>
              </w:rPr>
              <w:t>4</w:t>
            </w:r>
            <w:r>
              <w:rPr>
                <w:rFonts w:hint="eastAsia" w:hAnsi="宋体"/>
                <w:color w:val="auto"/>
                <w:highlight w:val="none"/>
              </w:rPr>
              <w:t>分，投标产品每出现一项标注“▲”的重要指标不满足招标文件要求的（负偏离）扣</w:t>
            </w:r>
            <w:r>
              <w:rPr>
                <w:rFonts w:hint="eastAsia" w:hAnsi="宋体"/>
                <w:color w:val="auto"/>
                <w:highlight w:val="none"/>
                <w:lang w:val="en-US" w:eastAsia="zh-CN"/>
              </w:rPr>
              <w:t>0.5</w:t>
            </w:r>
            <w:r>
              <w:rPr>
                <w:rFonts w:hint="eastAsia" w:hAnsi="宋体"/>
                <w:color w:val="auto"/>
                <w:highlight w:val="none"/>
              </w:rPr>
              <w:t xml:space="preserve">分； </w:t>
            </w:r>
          </w:p>
          <w:p w14:paraId="0A6EC7A7">
            <w:pPr>
              <w:pStyle w:val="23"/>
              <w:spacing w:line="360" w:lineRule="auto"/>
              <w:rPr>
                <w:rFonts w:hint="eastAsia" w:hAnsi="宋体"/>
                <w:color w:val="auto"/>
                <w:highlight w:val="none"/>
              </w:rPr>
            </w:pPr>
            <w:r>
              <w:rPr>
                <w:rFonts w:hint="eastAsia" w:hAnsi="宋体"/>
                <w:color w:val="auto"/>
                <w:highlight w:val="none"/>
              </w:rPr>
              <w:t>（2）标注“★”号的为</w:t>
            </w:r>
            <w:r>
              <w:rPr>
                <w:rFonts w:hint="eastAsia" w:hAnsi="宋体"/>
                <w:color w:val="auto"/>
                <w:highlight w:val="none"/>
                <w:lang w:val="en-US" w:eastAsia="zh-CN"/>
              </w:rPr>
              <w:t>次</w:t>
            </w:r>
            <w:r>
              <w:rPr>
                <w:rFonts w:hint="eastAsia" w:hAnsi="宋体"/>
                <w:color w:val="auto"/>
                <w:highlight w:val="none"/>
              </w:rPr>
              <w:t>重要指标（共计</w:t>
            </w:r>
            <w:r>
              <w:rPr>
                <w:rFonts w:hint="eastAsia" w:hAnsi="宋体"/>
                <w:color w:val="auto"/>
                <w:highlight w:val="none"/>
                <w:lang w:val="en-US" w:eastAsia="zh-CN"/>
              </w:rPr>
              <w:t>4</w:t>
            </w:r>
            <w:r>
              <w:rPr>
                <w:rFonts w:hint="eastAsia" w:hAnsi="宋体"/>
                <w:color w:val="auto"/>
                <w:highlight w:val="none"/>
              </w:rPr>
              <w:t>项），满分</w:t>
            </w:r>
            <w:r>
              <w:rPr>
                <w:rFonts w:hint="eastAsia" w:hAnsi="宋体"/>
                <w:color w:val="auto"/>
                <w:highlight w:val="none"/>
                <w:lang w:val="en-US" w:eastAsia="zh-CN"/>
              </w:rPr>
              <w:t>1</w:t>
            </w:r>
            <w:r>
              <w:rPr>
                <w:rFonts w:hint="eastAsia" w:hAnsi="宋体"/>
                <w:color w:val="auto"/>
                <w:highlight w:val="none"/>
              </w:rPr>
              <w:t>分，投标产品全部满足的得</w:t>
            </w:r>
            <w:r>
              <w:rPr>
                <w:rFonts w:hint="eastAsia" w:hAnsi="宋体"/>
                <w:color w:val="auto"/>
                <w:highlight w:val="none"/>
                <w:lang w:val="en-US" w:eastAsia="zh-CN"/>
              </w:rPr>
              <w:t>1</w:t>
            </w:r>
            <w:r>
              <w:rPr>
                <w:rFonts w:hint="eastAsia" w:hAnsi="宋体"/>
                <w:color w:val="auto"/>
                <w:highlight w:val="none"/>
              </w:rPr>
              <w:t>分，投标产品每出现一项标注“★”的重要指标不满足招标文件要求的（负偏离）扣</w:t>
            </w:r>
            <w:r>
              <w:rPr>
                <w:rFonts w:hint="eastAsia" w:hAnsi="宋体"/>
                <w:color w:val="auto"/>
                <w:highlight w:val="none"/>
                <w:lang w:val="en-US" w:eastAsia="zh-CN"/>
              </w:rPr>
              <w:t>0.25</w:t>
            </w:r>
            <w:r>
              <w:rPr>
                <w:rFonts w:hint="eastAsia" w:hAnsi="宋体"/>
                <w:color w:val="auto"/>
                <w:highlight w:val="none"/>
              </w:rPr>
              <w:t xml:space="preserve">分； </w:t>
            </w:r>
          </w:p>
          <w:p w14:paraId="09DDD08D">
            <w:pPr>
              <w:pStyle w:val="23"/>
              <w:spacing w:line="360" w:lineRule="auto"/>
              <w:rPr>
                <w:rFonts w:hint="eastAsia" w:hAnsi="宋体"/>
                <w:color w:val="auto"/>
                <w:highlight w:val="none"/>
              </w:rPr>
            </w:pPr>
            <w:r>
              <w:rPr>
                <w:rFonts w:hint="eastAsia" w:hAnsi="宋体"/>
                <w:color w:val="auto"/>
                <w:highlight w:val="none"/>
                <w:lang w:eastAsia="zh-CN"/>
              </w:rPr>
              <w:t>（</w:t>
            </w:r>
            <w:r>
              <w:rPr>
                <w:rFonts w:hint="eastAsia" w:hAnsi="宋体"/>
                <w:color w:val="auto"/>
                <w:highlight w:val="none"/>
                <w:lang w:val="en-US" w:eastAsia="zh-CN"/>
              </w:rPr>
              <w:t>3</w:t>
            </w:r>
            <w:r>
              <w:rPr>
                <w:rFonts w:hint="eastAsia" w:hAnsi="宋体"/>
                <w:color w:val="auto"/>
                <w:highlight w:val="none"/>
                <w:lang w:eastAsia="zh-CN"/>
              </w:rPr>
              <w:t>）</w:t>
            </w:r>
            <w:r>
              <w:rPr>
                <w:rFonts w:hint="eastAsia" w:hAnsi="宋体"/>
                <w:color w:val="auto"/>
                <w:highlight w:val="none"/>
              </w:rPr>
              <w:t>未标注“▲”</w:t>
            </w:r>
            <w:r>
              <w:rPr>
                <w:rFonts w:hint="eastAsia" w:hAnsi="宋体"/>
                <w:color w:val="auto"/>
                <w:highlight w:val="none"/>
                <w:lang w:val="en-US" w:eastAsia="zh-CN"/>
              </w:rPr>
              <w:t>及</w:t>
            </w:r>
            <w:r>
              <w:rPr>
                <w:rFonts w:hint="eastAsia" w:hAnsi="宋体"/>
                <w:color w:val="auto"/>
                <w:highlight w:val="none"/>
              </w:rPr>
              <w:t>“★”号的为一般指标（共计</w:t>
            </w:r>
            <w:r>
              <w:rPr>
                <w:rFonts w:hint="eastAsia" w:hAnsi="宋体"/>
                <w:color w:val="auto"/>
                <w:highlight w:val="none"/>
                <w:lang w:val="en-US" w:eastAsia="zh-CN"/>
              </w:rPr>
              <w:t>165</w:t>
            </w:r>
            <w:r>
              <w:rPr>
                <w:rFonts w:hint="eastAsia" w:hAnsi="宋体"/>
                <w:color w:val="auto"/>
                <w:highlight w:val="none"/>
              </w:rPr>
              <w:t>项），满分</w:t>
            </w:r>
            <w:r>
              <w:rPr>
                <w:rFonts w:hint="eastAsia" w:hAnsi="宋体"/>
                <w:color w:val="auto"/>
                <w:highlight w:val="none"/>
                <w:lang w:val="en-US" w:eastAsia="zh-CN"/>
              </w:rPr>
              <w:t>4</w:t>
            </w:r>
            <w:r>
              <w:rPr>
                <w:rFonts w:hint="eastAsia" w:hAnsi="宋体"/>
                <w:color w:val="auto"/>
                <w:highlight w:val="none"/>
              </w:rPr>
              <w:t>分，投标产品全部满足的得</w:t>
            </w:r>
            <w:r>
              <w:rPr>
                <w:rFonts w:hint="eastAsia" w:hAnsi="宋体"/>
                <w:color w:val="auto"/>
                <w:highlight w:val="none"/>
                <w:lang w:val="en-US" w:eastAsia="zh-CN"/>
              </w:rPr>
              <w:t>4</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rPr>
              <w:t>不满足项数（负偏离），每有一项扣0.</w:t>
            </w:r>
            <w:r>
              <w:rPr>
                <w:rFonts w:hint="eastAsia" w:hAnsi="宋体"/>
                <w:color w:val="auto"/>
                <w:highlight w:val="none"/>
                <w:lang w:val="en-US" w:eastAsia="zh-CN"/>
              </w:rPr>
              <w:t>25</w:t>
            </w:r>
            <w:r>
              <w:rPr>
                <w:rFonts w:hint="eastAsia" w:hAnsi="宋体"/>
                <w:color w:val="auto"/>
                <w:highlight w:val="none"/>
              </w:rPr>
              <w:t>分，合计最多扣</w:t>
            </w:r>
            <w:r>
              <w:rPr>
                <w:rFonts w:hint="eastAsia" w:hAnsi="宋体"/>
                <w:color w:val="auto"/>
                <w:highlight w:val="none"/>
                <w:lang w:eastAsia="zh-CN"/>
              </w:rPr>
              <w:t>4</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lang w:val="en-US" w:eastAsia="zh-CN"/>
              </w:rPr>
              <w:t>扣完为止</w:t>
            </w:r>
            <w:r>
              <w:rPr>
                <w:rFonts w:hint="eastAsia" w:hAnsi="宋体"/>
                <w:color w:val="auto"/>
                <w:highlight w:val="none"/>
              </w:rPr>
              <w:t>；</w:t>
            </w:r>
          </w:p>
          <w:p w14:paraId="27C94B5D">
            <w:pPr>
              <w:pStyle w:val="23"/>
              <w:spacing w:line="360" w:lineRule="auto"/>
              <w:rPr>
                <w:rFonts w:hint="eastAsia" w:hAnsi="宋体"/>
                <w:b w:val="0"/>
                <w:bCs w:val="0"/>
                <w:color w:val="auto"/>
                <w:highlight w:val="none"/>
              </w:rPr>
            </w:pPr>
            <w:r>
              <w:rPr>
                <w:rFonts w:hint="eastAsia" w:hAnsi="宋体"/>
                <w:b w:val="0"/>
                <w:bCs w:val="0"/>
                <w:color w:val="auto"/>
                <w:highlight w:val="none"/>
              </w:rPr>
              <w:t>2.节能环保评审（满分1分）</w:t>
            </w:r>
          </w:p>
          <w:p w14:paraId="3535F47B">
            <w:pPr>
              <w:pStyle w:val="23"/>
              <w:spacing w:line="360" w:lineRule="auto"/>
              <w:rPr>
                <w:rFonts w:hint="eastAsia" w:hAnsi="宋体"/>
                <w:bCs/>
                <w:color w:val="auto"/>
                <w:szCs w:val="24"/>
                <w:highlight w:val="none"/>
              </w:rPr>
            </w:pPr>
            <w:r>
              <w:rPr>
                <w:rFonts w:hint="eastAsia" w:hAnsi="宋体"/>
                <w:color w:val="auto"/>
                <w:highlight w:val="none"/>
              </w:rPr>
              <w:t>（1）</w:t>
            </w:r>
            <w:r>
              <w:rPr>
                <w:rFonts w:hint="eastAsia" w:hAnsi="宋体"/>
                <w:bCs/>
                <w:color w:val="auto"/>
                <w:szCs w:val="24"/>
                <w:highlight w:val="none"/>
              </w:rPr>
              <w:t>投标产品（除政府强制采购节能产品外）为节能产品并提供在有效期内的认证证书的，每提供一项得</w:t>
            </w:r>
            <w:r>
              <w:rPr>
                <w:rFonts w:hint="eastAsia" w:hAnsi="宋体"/>
                <w:color w:val="auto"/>
                <w:highlight w:val="none"/>
              </w:rPr>
              <w:t>0.5</w:t>
            </w:r>
            <w:r>
              <w:rPr>
                <w:rFonts w:hint="eastAsia" w:hAnsi="宋体"/>
                <w:bCs/>
                <w:color w:val="auto"/>
                <w:szCs w:val="24"/>
                <w:highlight w:val="none"/>
              </w:rPr>
              <w:t>分，未提供的不得分。</w:t>
            </w:r>
          </w:p>
          <w:p w14:paraId="569DF8D8">
            <w:pPr>
              <w:pStyle w:val="23"/>
              <w:spacing w:line="360" w:lineRule="auto"/>
              <w:rPr>
                <w:rFonts w:hint="eastAsia" w:hAnsi="宋体"/>
                <w:bCs/>
                <w:color w:val="auto"/>
                <w:szCs w:val="24"/>
                <w:highlight w:val="none"/>
              </w:rPr>
            </w:pPr>
            <w:r>
              <w:rPr>
                <w:rFonts w:hint="eastAsia" w:hAnsi="宋体"/>
                <w:bCs/>
                <w:color w:val="auto"/>
                <w:szCs w:val="24"/>
                <w:highlight w:val="none"/>
              </w:rPr>
              <w:t>（2）投标产品为环境标志产品并提供在有效期内的认证证书的，每提供一项得</w:t>
            </w:r>
            <w:r>
              <w:rPr>
                <w:rFonts w:hint="eastAsia" w:hAnsi="宋体"/>
                <w:color w:val="auto"/>
                <w:highlight w:val="none"/>
              </w:rPr>
              <w:t>0.5</w:t>
            </w:r>
            <w:r>
              <w:rPr>
                <w:rFonts w:hint="eastAsia" w:hAnsi="宋体"/>
                <w:bCs/>
                <w:color w:val="auto"/>
                <w:szCs w:val="24"/>
                <w:highlight w:val="none"/>
              </w:rPr>
              <w:t>分，未提供的不得分。</w:t>
            </w:r>
          </w:p>
          <w:p w14:paraId="13EFBEDC">
            <w:pPr>
              <w:spacing w:line="360" w:lineRule="auto"/>
              <w:ind w:firstLine="480" w:firstLineChars="200"/>
              <w:jc w:val="left"/>
              <w:rPr>
                <w:rFonts w:hint="eastAsia" w:ascii="宋体" w:hAnsi="宋体" w:cs="宋体"/>
                <w:bCs/>
                <w:sz w:val="24"/>
                <w:highlight w:val="none"/>
              </w:rPr>
            </w:pPr>
            <w:r>
              <w:rPr>
                <w:rFonts w:hint="eastAsia" w:ascii="宋体" w:hAnsi="宋体" w:cs="宋体"/>
                <w:b/>
                <w:bCs/>
                <w:color w:val="auto"/>
                <w:sz w:val="24"/>
                <w:szCs w:val="24"/>
                <w:highlight w:val="none"/>
              </w:rPr>
              <w:t>注：技术参数须提供证明材料，证明材料包括：招标文件技术参数内明确要求提供的证明材料，未明确的可提供所投产品主要技术指标、参数及性能的公开印刷的详细说明书（非自行拟定）或制造商公开发布的印刷资料（彩页或产品宣传册）或检测(检验)报告或技术资料或应用截图。若投标文件中技术支持资料参数与技术规格偏离表应答不符或无上述技术支持资料，视为不响应该条技术参数。</w:t>
            </w:r>
          </w:p>
        </w:tc>
      </w:tr>
      <w:tr w14:paraId="0F82DE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3" w:hRule="atLeast"/>
          <w:jc w:val="center"/>
        </w:trPr>
        <w:tc>
          <w:tcPr>
            <w:tcW w:w="2837" w:type="dxa"/>
            <w:gridSpan w:val="2"/>
            <w:vMerge w:val="continue"/>
            <w:tcBorders>
              <w:bottom w:val="single" w:color="auto" w:sz="8" w:space="0"/>
            </w:tcBorders>
            <w:vAlign w:val="center"/>
          </w:tcPr>
          <w:p w14:paraId="0B920F6C">
            <w:pPr>
              <w:spacing w:line="360" w:lineRule="auto"/>
              <w:rPr>
                <w:rFonts w:hint="eastAsia" w:ascii="宋体" w:hAnsi="宋体" w:cs="宋体"/>
                <w:sz w:val="24"/>
              </w:rPr>
            </w:pPr>
          </w:p>
        </w:tc>
        <w:tc>
          <w:tcPr>
            <w:tcW w:w="1910" w:type="dxa"/>
            <w:vMerge w:val="continue"/>
            <w:vAlign w:val="center"/>
          </w:tcPr>
          <w:p w14:paraId="5BBE6722">
            <w:pPr>
              <w:spacing w:line="360" w:lineRule="auto"/>
              <w:jc w:val="center"/>
              <w:rPr>
                <w:rFonts w:hint="eastAsia" w:ascii="宋体" w:hAnsi="宋体" w:cs="宋体"/>
                <w:b/>
                <w:sz w:val="24"/>
              </w:rPr>
            </w:pPr>
          </w:p>
        </w:tc>
        <w:tc>
          <w:tcPr>
            <w:tcW w:w="6001" w:type="dxa"/>
            <w:tcBorders>
              <w:bottom w:val="single" w:color="auto" w:sz="8" w:space="0"/>
            </w:tcBorders>
            <w:vAlign w:val="center"/>
          </w:tcPr>
          <w:p w14:paraId="1B5C4EC4">
            <w:pPr>
              <w:numPr>
                <w:ilvl w:val="0"/>
                <w:numId w:val="5"/>
              </w:numPr>
              <w:wordWrap w:val="0"/>
              <w:spacing w:line="360" w:lineRule="auto"/>
              <w:ind w:left="284" w:hanging="284"/>
              <w:rPr>
                <w:rFonts w:hint="eastAsia" w:ascii="宋体" w:hAnsi="宋体" w:cs="宋体"/>
                <w:b/>
                <w:bCs/>
                <w:sz w:val="24"/>
                <w:szCs w:val="24"/>
                <w:highlight w:val="none"/>
                <w:lang w:eastAsia="zh-CN"/>
              </w:rPr>
            </w:pPr>
            <w:r>
              <w:rPr>
                <w:rFonts w:hint="eastAsia" w:ascii="宋体" w:hAnsi="宋体" w:cs="宋体"/>
                <w:b/>
                <w:bCs/>
                <w:sz w:val="24"/>
                <w:szCs w:val="24"/>
                <w:highlight w:val="none"/>
              </w:rPr>
              <w:t>项目实施方案评审</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满分15分</w:t>
            </w:r>
            <w:r>
              <w:rPr>
                <w:rFonts w:hint="eastAsia" w:ascii="宋体" w:hAnsi="宋体" w:cs="宋体"/>
                <w:b/>
                <w:bCs/>
                <w:sz w:val="24"/>
                <w:szCs w:val="24"/>
                <w:highlight w:val="none"/>
                <w:lang w:eastAsia="zh-CN"/>
              </w:rPr>
              <w:t>）</w:t>
            </w:r>
          </w:p>
          <w:p w14:paraId="7A6CA8AD">
            <w:pPr>
              <w:numPr>
                <w:ilvl w:val="-1"/>
                <w:numId w:val="0"/>
              </w:numPr>
              <w:wordWrap w:val="0"/>
              <w:spacing w:line="360" w:lineRule="auto"/>
              <w:ind w:left="0" w:firstLine="0"/>
              <w:rPr>
                <w:rFonts w:hint="eastAsia" w:ascii="宋体" w:hAnsi="宋体" w:cs="宋体"/>
                <w:bCs/>
                <w:sz w:val="24"/>
                <w:szCs w:val="24"/>
                <w:highlight w:val="none"/>
              </w:rPr>
            </w:pPr>
            <w:r>
              <w:rPr>
                <w:rFonts w:hint="eastAsia" w:ascii="宋体" w:hAnsi="宋体" w:cs="宋体"/>
                <w:bCs/>
                <w:sz w:val="24"/>
                <w:szCs w:val="24"/>
                <w:highlight w:val="none"/>
              </w:rPr>
              <w:t>（1）有项目实施方案，</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5</w:t>
            </w:r>
            <w:r>
              <w:rPr>
                <w:rFonts w:hint="eastAsia" w:ascii="宋体" w:hAnsi="宋体" w:cs="宋体"/>
                <w:b/>
                <w:sz w:val="24"/>
                <w:szCs w:val="24"/>
                <w:highlight w:val="none"/>
              </w:rPr>
              <w:t>分；</w:t>
            </w:r>
          </w:p>
          <w:p w14:paraId="28276215">
            <w:pPr>
              <w:wordWrap w:val="0"/>
              <w:spacing w:line="360" w:lineRule="auto"/>
              <w:rPr>
                <w:rFonts w:hint="eastAsia" w:ascii="宋体" w:hAnsi="宋体" w:cs="宋体"/>
                <w:b/>
                <w:sz w:val="24"/>
                <w:szCs w:val="24"/>
                <w:highlight w:val="none"/>
              </w:rPr>
            </w:pPr>
            <w:r>
              <w:rPr>
                <w:rFonts w:hint="eastAsia" w:ascii="宋体" w:hAnsi="宋体" w:cs="宋体"/>
                <w:bCs/>
                <w:sz w:val="24"/>
                <w:szCs w:val="24"/>
                <w:highlight w:val="none"/>
              </w:rPr>
              <w:t>（2）投标人所提交的项目实施方案中方案内容完整，明确了产品的运输、安装、调试、试运行和移交等各方面的工作计划安排，同时充分考虑了采购人客观条件和风险预计，目标明确。项目组织机构设置对本项目组织人力资源的计划安排合理、可行。对项目实施的重点把握准确，组织形式、阶段划分、组织要点等安排合理，能保证项目目标的实现的，</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10</w:t>
            </w:r>
            <w:r>
              <w:rPr>
                <w:rFonts w:hint="eastAsia" w:ascii="宋体" w:hAnsi="宋体" w:cs="宋体"/>
                <w:b/>
                <w:sz w:val="24"/>
                <w:szCs w:val="24"/>
                <w:highlight w:val="none"/>
              </w:rPr>
              <w:t>分；</w:t>
            </w:r>
          </w:p>
          <w:p w14:paraId="6E7320D1">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投标人所提交的项目实施方案中内容不完整，未明确设备的运输、安装、调试、试运行和移交等其中部分工作计划安排，对采购人客观条件和风险预计有考虑。项目实施机构设置对本项目组织人力资源的计划安排能力薄弱。对项目实施的重点把握不准确，项目实施组织形式、阶段划分、组织要点等安排与实际情况考虑不周，难以保证项目目标的实现的，</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5</w:t>
            </w:r>
            <w:r>
              <w:rPr>
                <w:rFonts w:hint="eastAsia" w:ascii="宋体" w:hAnsi="宋体" w:cs="宋体"/>
                <w:b/>
                <w:sz w:val="24"/>
                <w:szCs w:val="24"/>
                <w:highlight w:val="none"/>
              </w:rPr>
              <w:t>分；</w:t>
            </w:r>
          </w:p>
          <w:p w14:paraId="6B162D1D">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投标人所提交的项目实施方案中内容空洞匮乏，对设备的运输、安装、调试、试运行和移交等各方面的工作计划安排部分均未全部明确。对项目实施的重点把握混乱，项目实施组织形式、阶段划分、组织要点等安排与实际情况不符，无法保证项目目标的实现的，</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3</w:t>
            </w:r>
            <w:r>
              <w:rPr>
                <w:rFonts w:hint="eastAsia" w:ascii="宋体" w:hAnsi="宋体" w:cs="宋体"/>
                <w:b/>
                <w:sz w:val="24"/>
                <w:szCs w:val="24"/>
                <w:highlight w:val="none"/>
              </w:rPr>
              <w:t>分；</w:t>
            </w:r>
          </w:p>
          <w:p w14:paraId="1DD39E41">
            <w:pPr>
              <w:spacing w:line="360" w:lineRule="auto"/>
              <w:jc w:val="left"/>
              <w:rPr>
                <w:rFonts w:hint="eastAsia" w:ascii="宋体" w:hAnsi="宋体" w:cs="宋体"/>
                <w:bCs/>
                <w:sz w:val="24"/>
                <w:szCs w:val="24"/>
                <w:highlight w:val="none"/>
              </w:rPr>
            </w:pPr>
            <w:r>
              <w:rPr>
                <w:rFonts w:hint="eastAsia" w:ascii="宋体" w:hAnsi="宋体" w:cs="宋体"/>
                <w:b/>
                <w:sz w:val="24"/>
                <w:szCs w:val="24"/>
                <w:highlight w:val="none"/>
              </w:rPr>
              <w:t>注：</w:t>
            </w:r>
            <w:r>
              <w:rPr>
                <w:rFonts w:hint="eastAsia" w:ascii="宋体" w:hAnsi="宋体" w:cs="宋体"/>
                <w:bCs/>
                <w:sz w:val="24"/>
                <w:szCs w:val="24"/>
                <w:highlight w:val="none"/>
              </w:rPr>
              <w:t>①无项目实施方案的，本项不得分。</w:t>
            </w:r>
          </w:p>
          <w:p w14:paraId="32B44A16">
            <w:pPr>
              <w:spacing w:line="360" w:lineRule="auto"/>
              <w:ind w:firstLine="480" w:firstLineChars="200"/>
              <w:rPr>
                <w:rFonts w:hint="eastAsia" w:ascii="宋体" w:hAnsi="宋体" w:cs="宋体"/>
                <w:sz w:val="24"/>
                <w:highlight w:val="none"/>
              </w:rPr>
            </w:pPr>
            <w:r>
              <w:rPr>
                <w:rFonts w:hint="eastAsia" w:ascii="宋体" w:hAnsi="宋体" w:cs="宋体"/>
                <w:bCs/>
                <w:sz w:val="24"/>
                <w:szCs w:val="24"/>
                <w:highlight w:val="none"/>
              </w:rPr>
              <w:t>②缺陷是指：非专门针对本项目或不适用项目特性的情形、套用其他项目方案、内容前后矛盾、涉及的规范及标准错误的情形等任意一种情形。不合理是指：方案内容交叉混乱、缺乏重点、生搬硬造、套用错用、存在歧义、仅有标题或框架缺乏具体说明阐述的情形等任意一种情形。</w:t>
            </w:r>
          </w:p>
        </w:tc>
      </w:tr>
      <w:tr w14:paraId="37B5C1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2837" w:type="dxa"/>
            <w:gridSpan w:val="2"/>
            <w:vMerge w:val="continue"/>
            <w:tcBorders>
              <w:bottom w:val="single" w:color="auto" w:sz="8" w:space="0"/>
            </w:tcBorders>
            <w:vAlign w:val="center"/>
          </w:tcPr>
          <w:p w14:paraId="77556E43">
            <w:pPr>
              <w:spacing w:line="360" w:lineRule="auto"/>
              <w:rPr>
                <w:rFonts w:hint="eastAsia" w:ascii="宋体" w:hAnsi="宋体" w:cs="宋体"/>
                <w:sz w:val="24"/>
              </w:rPr>
            </w:pPr>
          </w:p>
        </w:tc>
        <w:tc>
          <w:tcPr>
            <w:tcW w:w="1910" w:type="dxa"/>
            <w:vMerge w:val="continue"/>
            <w:vAlign w:val="center"/>
          </w:tcPr>
          <w:p w14:paraId="0C6B4FBD">
            <w:pPr>
              <w:spacing w:line="360" w:lineRule="auto"/>
              <w:jc w:val="center"/>
              <w:rPr>
                <w:rFonts w:hint="eastAsia" w:ascii="宋体" w:hAnsi="宋体" w:cs="宋体"/>
                <w:b/>
                <w:sz w:val="24"/>
              </w:rPr>
            </w:pPr>
          </w:p>
        </w:tc>
        <w:tc>
          <w:tcPr>
            <w:tcW w:w="6001" w:type="dxa"/>
            <w:tcBorders>
              <w:bottom w:val="single" w:color="auto" w:sz="8" w:space="0"/>
            </w:tcBorders>
            <w:vAlign w:val="center"/>
          </w:tcPr>
          <w:p w14:paraId="2EBB6512">
            <w:pPr>
              <w:numPr>
                <w:ilvl w:val="0"/>
                <w:numId w:val="5"/>
              </w:numPr>
              <w:spacing w:line="360" w:lineRule="auto"/>
              <w:ind w:left="284" w:hanging="284"/>
              <w:jc w:val="left"/>
              <w:rPr>
                <w:rFonts w:hint="eastAsia" w:ascii="宋体" w:hAnsi="宋体" w:cs="宋体"/>
                <w:b/>
                <w:bCs/>
                <w:sz w:val="24"/>
                <w:szCs w:val="24"/>
                <w:highlight w:val="none"/>
              </w:rPr>
            </w:pPr>
            <w:r>
              <w:rPr>
                <w:rFonts w:hint="eastAsia" w:ascii="宋体" w:hAnsi="宋体" w:cs="宋体"/>
                <w:b/>
                <w:bCs/>
                <w:sz w:val="24"/>
                <w:szCs w:val="24"/>
                <w:highlight w:val="none"/>
              </w:rPr>
              <w:t>质量保证措施及违约责任承诺评审</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满分15分</w:t>
            </w:r>
            <w:r>
              <w:rPr>
                <w:rFonts w:hint="eastAsia" w:ascii="宋体" w:hAnsi="宋体" w:cs="宋体"/>
                <w:b/>
                <w:bCs/>
                <w:sz w:val="24"/>
                <w:szCs w:val="24"/>
                <w:highlight w:val="none"/>
                <w:lang w:eastAsia="zh-CN"/>
              </w:rPr>
              <w:t>）</w:t>
            </w:r>
          </w:p>
          <w:p w14:paraId="1F3AD316">
            <w:pPr>
              <w:numPr>
                <w:ilvl w:val="-1"/>
                <w:numId w:val="0"/>
              </w:numPr>
              <w:spacing w:line="360" w:lineRule="auto"/>
              <w:ind w:left="0" w:firstLine="0"/>
              <w:jc w:val="left"/>
              <w:rPr>
                <w:rFonts w:hint="eastAsia" w:ascii="宋体" w:hAnsi="宋体" w:cs="宋体"/>
                <w:bCs/>
                <w:sz w:val="24"/>
                <w:szCs w:val="24"/>
                <w:highlight w:val="none"/>
              </w:rPr>
            </w:pPr>
            <w:r>
              <w:rPr>
                <w:rFonts w:hint="eastAsia" w:ascii="宋体" w:hAnsi="宋体" w:cs="宋体"/>
                <w:bCs/>
                <w:sz w:val="24"/>
                <w:szCs w:val="24"/>
                <w:highlight w:val="none"/>
              </w:rPr>
              <w:t>（1）有质量保证措施及违约责任承诺，</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5</w:t>
            </w:r>
            <w:r>
              <w:rPr>
                <w:rFonts w:hint="eastAsia" w:ascii="宋体" w:hAnsi="宋体" w:cs="宋体"/>
                <w:b/>
                <w:sz w:val="24"/>
                <w:szCs w:val="24"/>
                <w:highlight w:val="none"/>
              </w:rPr>
              <w:t>分</w:t>
            </w:r>
            <w:r>
              <w:rPr>
                <w:rFonts w:hint="eastAsia" w:ascii="宋体" w:hAnsi="宋体" w:cs="宋体"/>
                <w:bCs/>
                <w:sz w:val="24"/>
                <w:szCs w:val="24"/>
                <w:highlight w:val="none"/>
              </w:rPr>
              <w:t>。</w:t>
            </w:r>
          </w:p>
          <w:p w14:paraId="5914C4E8">
            <w:pPr>
              <w:pStyle w:val="23"/>
              <w:spacing w:line="360" w:lineRule="auto"/>
              <w:rPr>
                <w:rFonts w:hint="eastAsia" w:hAnsi="宋体"/>
                <w:bCs/>
                <w:color w:val="auto"/>
                <w:kern w:val="2"/>
                <w:szCs w:val="24"/>
                <w:highlight w:val="none"/>
              </w:rPr>
            </w:pPr>
            <w:r>
              <w:rPr>
                <w:rFonts w:hint="eastAsia" w:hAnsi="宋体"/>
                <w:bCs/>
                <w:color w:val="auto"/>
                <w:kern w:val="2"/>
                <w:szCs w:val="24"/>
                <w:highlight w:val="none"/>
              </w:rPr>
              <w:t>（2）质量保证措施及违约责任承诺</w:t>
            </w:r>
            <w:r>
              <w:rPr>
                <w:rFonts w:hint="eastAsia" w:hAnsi="宋体"/>
                <w:bCs/>
                <w:color w:val="auto"/>
                <w:kern w:val="2"/>
                <w:highlight w:val="none"/>
              </w:rPr>
              <w:t>内容完整，有完备的质量控制制度，承诺</w:t>
            </w:r>
            <w:r>
              <w:rPr>
                <w:rFonts w:hint="eastAsia" w:hAnsi="宋体"/>
                <w:bCs/>
                <w:color w:val="auto"/>
                <w:kern w:val="2"/>
                <w:szCs w:val="24"/>
                <w:highlight w:val="none"/>
              </w:rPr>
              <w:t>违约处罚明确，责任划分清晰，</w:t>
            </w:r>
            <w:r>
              <w:rPr>
                <w:rFonts w:hint="eastAsia" w:hAnsi="宋体"/>
                <w:b/>
                <w:color w:val="auto"/>
                <w:kern w:val="2"/>
                <w:szCs w:val="24"/>
                <w:highlight w:val="none"/>
              </w:rPr>
              <w:t>得</w:t>
            </w:r>
            <w:r>
              <w:rPr>
                <w:rFonts w:hint="eastAsia" w:hAnsi="宋体"/>
                <w:b/>
                <w:color w:val="auto"/>
                <w:kern w:val="2"/>
                <w:szCs w:val="24"/>
                <w:highlight w:val="none"/>
                <w:lang w:val="en-US" w:eastAsia="zh-CN"/>
              </w:rPr>
              <w:t>10</w:t>
            </w:r>
            <w:r>
              <w:rPr>
                <w:rFonts w:hint="eastAsia" w:hAnsi="宋体"/>
                <w:b/>
                <w:color w:val="auto"/>
                <w:kern w:val="2"/>
                <w:szCs w:val="24"/>
                <w:highlight w:val="none"/>
              </w:rPr>
              <w:t>分</w:t>
            </w:r>
            <w:r>
              <w:rPr>
                <w:rFonts w:hint="eastAsia" w:hAnsi="宋体"/>
                <w:bCs/>
                <w:color w:val="auto"/>
                <w:kern w:val="2"/>
                <w:szCs w:val="24"/>
                <w:highlight w:val="none"/>
              </w:rPr>
              <w:t>；</w:t>
            </w:r>
          </w:p>
          <w:p w14:paraId="4749F59C">
            <w:pPr>
              <w:pStyle w:val="23"/>
              <w:spacing w:line="360" w:lineRule="auto"/>
              <w:rPr>
                <w:rFonts w:hint="eastAsia" w:hAnsi="宋体"/>
                <w:bCs/>
                <w:color w:val="auto"/>
                <w:kern w:val="2"/>
                <w:szCs w:val="24"/>
                <w:highlight w:val="none"/>
              </w:rPr>
            </w:pPr>
            <w:r>
              <w:rPr>
                <w:rFonts w:hint="eastAsia" w:hAnsi="宋体"/>
                <w:bCs/>
                <w:color w:val="auto"/>
                <w:kern w:val="2"/>
                <w:highlight w:val="none"/>
              </w:rPr>
              <w:t>有质量控制制度，承诺</w:t>
            </w:r>
            <w:r>
              <w:rPr>
                <w:rFonts w:hint="eastAsia" w:hAnsi="宋体"/>
                <w:bCs/>
                <w:color w:val="auto"/>
                <w:kern w:val="2"/>
                <w:szCs w:val="24"/>
                <w:highlight w:val="none"/>
              </w:rPr>
              <w:t>违约处罚不明确，责任划分存在瑕疵，</w:t>
            </w:r>
            <w:r>
              <w:rPr>
                <w:rFonts w:hint="eastAsia" w:hAnsi="宋体"/>
                <w:b/>
                <w:color w:val="auto"/>
                <w:kern w:val="2"/>
                <w:szCs w:val="24"/>
                <w:highlight w:val="none"/>
              </w:rPr>
              <w:t>得</w:t>
            </w:r>
            <w:r>
              <w:rPr>
                <w:rFonts w:hint="eastAsia" w:hAnsi="宋体"/>
                <w:b/>
                <w:color w:val="auto"/>
                <w:kern w:val="2"/>
                <w:szCs w:val="24"/>
                <w:highlight w:val="none"/>
                <w:lang w:val="en-US" w:eastAsia="zh-CN"/>
              </w:rPr>
              <w:t>5</w:t>
            </w:r>
            <w:r>
              <w:rPr>
                <w:rFonts w:hint="eastAsia" w:hAnsi="宋体"/>
                <w:b/>
                <w:color w:val="auto"/>
                <w:kern w:val="2"/>
                <w:szCs w:val="24"/>
                <w:highlight w:val="none"/>
              </w:rPr>
              <w:t>分</w:t>
            </w:r>
            <w:r>
              <w:rPr>
                <w:rFonts w:hint="eastAsia" w:hAnsi="宋体"/>
                <w:bCs/>
                <w:color w:val="auto"/>
                <w:kern w:val="2"/>
                <w:szCs w:val="24"/>
                <w:highlight w:val="none"/>
              </w:rPr>
              <w:t>；</w:t>
            </w:r>
          </w:p>
          <w:p w14:paraId="7643896C">
            <w:pPr>
              <w:pStyle w:val="23"/>
              <w:spacing w:line="360" w:lineRule="auto"/>
              <w:rPr>
                <w:rFonts w:hint="eastAsia" w:hAnsi="宋体"/>
                <w:bCs/>
                <w:color w:val="auto"/>
                <w:kern w:val="2"/>
                <w:szCs w:val="24"/>
                <w:highlight w:val="none"/>
              </w:rPr>
            </w:pPr>
            <w:r>
              <w:rPr>
                <w:rFonts w:hint="eastAsia" w:hAnsi="宋体"/>
                <w:bCs/>
                <w:color w:val="auto"/>
                <w:kern w:val="2"/>
                <w:szCs w:val="24"/>
                <w:highlight w:val="none"/>
              </w:rPr>
              <w:t>违约处罚模糊，责任划分不清晰，</w:t>
            </w:r>
            <w:r>
              <w:rPr>
                <w:rFonts w:hint="eastAsia" w:hAnsi="宋体"/>
                <w:b/>
                <w:color w:val="auto"/>
                <w:kern w:val="2"/>
                <w:szCs w:val="24"/>
                <w:highlight w:val="none"/>
              </w:rPr>
              <w:t>得</w:t>
            </w:r>
            <w:r>
              <w:rPr>
                <w:rFonts w:hint="eastAsia" w:hAnsi="宋体"/>
                <w:b/>
                <w:color w:val="auto"/>
                <w:kern w:val="2"/>
                <w:szCs w:val="24"/>
                <w:highlight w:val="none"/>
                <w:lang w:val="en-US" w:eastAsia="zh-CN"/>
              </w:rPr>
              <w:t>3</w:t>
            </w:r>
            <w:r>
              <w:rPr>
                <w:rFonts w:hint="eastAsia" w:hAnsi="宋体"/>
                <w:b/>
                <w:color w:val="auto"/>
                <w:kern w:val="2"/>
                <w:szCs w:val="24"/>
                <w:highlight w:val="none"/>
              </w:rPr>
              <w:t>分</w:t>
            </w:r>
            <w:r>
              <w:rPr>
                <w:rFonts w:hint="eastAsia" w:hAnsi="宋体"/>
                <w:bCs/>
                <w:color w:val="auto"/>
                <w:kern w:val="2"/>
                <w:szCs w:val="24"/>
                <w:highlight w:val="none"/>
              </w:rPr>
              <w:t>；</w:t>
            </w:r>
          </w:p>
          <w:p w14:paraId="66ED3A33">
            <w:pPr>
              <w:pStyle w:val="23"/>
              <w:spacing w:line="360" w:lineRule="auto"/>
              <w:rPr>
                <w:rFonts w:hint="eastAsia" w:hAnsi="宋体"/>
                <w:bCs/>
                <w:color w:val="auto"/>
                <w:kern w:val="2"/>
                <w:szCs w:val="24"/>
                <w:highlight w:val="none"/>
              </w:rPr>
            </w:pPr>
            <w:r>
              <w:rPr>
                <w:rFonts w:hint="eastAsia" w:hAnsi="宋体"/>
                <w:bCs/>
                <w:color w:val="auto"/>
                <w:kern w:val="2"/>
                <w:highlight w:val="none"/>
              </w:rPr>
              <w:t>方案不合理或有重大缺陷的不得分。</w:t>
            </w:r>
          </w:p>
          <w:p w14:paraId="1ED6B536">
            <w:pPr>
              <w:spacing w:line="360" w:lineRule="auto"/>
              <w:jc w:val="left"/>
              <w:rPr>
                <w:rFonts w:hint="eastAsia" w:ascii="宋体" w:hAnsi="宋体" w:cs="宋体"/>
                <w:bCs/>
                <w:sz w:val="24"/>
                <w:szCs w:val="24"/>
                <w:highlight w:val="none"/>
              </w:rPr>
            </w:pPr>
            <w:r>
              <w:rPr>
                <w:rFonts w:hint="eastAsia" w:ascii="宋体" w:hAnsi="宋体" w:cs="宋体"/>
                <w:b/>
                <w:sz w:val="24"/>
                <w:szCs w:val="24"/>
                <w:highlight w:val="none"/>
              </w:rPr>
              <w:t>注：</w:t>
            </w:r>
            <w:r>
              <w:rPr>
                <w:rFonts w:hint="eastAsia" w:ascii="宋体" w:hAnsi="宋体" w:cs="宋体"/>
                <w:bCs/>
                <w:sz w:val="24"/>
                <w:szCs w:val="24"/>
                <w:highlight w:val="none"/>
              </w:rPr>
              <w:t>①无质量保证措施及违约责任承诺的，本项不得分；</w:t>
            </w:r>
          </w:p>
          <w:p w14:paraId="3C765A3B">
            <w:pPr>
              <w:pStyle w:val="5"/>
              <w:shd w:val="clear" w:color="auto" w:fill="auto"/>
              <w:spacing w:line="360" w:lineRule="auto"/>
              <w:ind w:firstLine="0" w:firstLineChars="0"/>
              <w:rPr>
                <w:rFonts w:hint="eastAsia" w:ascii="宋体" w:hAnsi="宋体" w:cs="宋体"/>
                <w:bCs/>
                <w:sz w:val="24"/>
                <w:szCs w:val="24"/>
              </w:rPr>
            </w:pPr>
            <w:r>
              <w:rPr>
                <w:rFonts w:hint="eastAsia" w:ascii="宋体" w:hAnsi="宋体" w:cs="宋体"/>
                <w:bCs/>
                <w:sz w:val="24"/>
                <w:szCs w:val="24"/>
                <w:highlight w:val="none"/>
              </w:rPr>
              <w:t>②缺陷是指：非专门针对本项目或不适用项目特性的情形、套用其他项目方案、内容前后矛盾、涉及的规范及标准错误的情形等任意一种情形。不合理是指：方案内容交叉混乱、缺乏重点、生搬硬造、套用错用、存在歧义、仅有标题或框架缺乏具体说明阐述的情形等任意一种情形。</w:t>
            </w:r>
          </w:p>
        </w:tc>
      </w:tr>
      <w:tr w14:paraId="364E70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89" w:hRule="atLeast"/>
          <w:jc w:val="center"/>
        </w:trPr>
        <w:tc>
          <w:tcPr>
            <w:tcW w:w="2837" w:type="dxa"/>
            <w:gridSpan w:val="2"/>
            <w:vMerge w:val="continue"/>
            <w:vAlign w:val="center"/>
          </w:tcPr>
          <w:p w14:paraId="67D13AF4">
            <w:pPr>
              <w:spacing w:line="360" w:lineRule="auto"/>
              <w:rPr>
                <w:rFonts w:hint="eastAsia" w:ascii="宋体" w:hAnsi="宋体" w:cs="宋体"/>
                <w:sz w:val="24"/>
              </w:rPr>
            </w:pPr>
          </w:p>
        </w:tc>
        <w:tc>
          <w:tcPr>
            <w:tcW w:w="1910" w:type="dxa"/>
            <w:vMerge w:val="restart"/>
            <w:vAlign w:val="center"/>
          </w:tcPr>
          <w:p w14:paraId="40E8EE2C">
            <w:pPr>
              <w:spacing w:line="360" w:lineRule="auto"/>
              <w:jc w:val="center"/>
              <w:rPr>
                <w:rFonts w:hint="eastAsia" w:ascii="宋体" w:hAnsi="宋体" w:cs="宋体"/>
                <w:b/>
                <w:sz w:val="24"/>
              </w:rPr>
            </w:pPr>
            <w:r>
              <w:rPr>
                <w:rFonts w:hint="eastAsia" w:ascii="宋体" w:hAnsi="宋体" w:cs="宋体"/>
                <w:b/>
                <w:sz w:val="24"/>
              </w:rPr>
              <w:t>商务部分</w:t>
            </w:r>
          </w:p>
          <w:p w14:paraId="25848DB4">
            <w:pPr>
              <w:spacing w:line="360" w:lineRule="auto"/>
              <w:jc w:val="center"/>
              <w:rPr>
                <w:rFonts w:hint="eastAsia" w:ascii="宋体" w:hAnsi="宋体" w:cs="宋体"/>
                <w:b/>
                <w:sz w:val="24"/>
              </w:rPr>
            </w:pPr>
            <w:r>
              <w:rPr>
                <w:rFonts w:hint="eastAsia" w:ascii="宋体" w:hAnsi="宋体" w:cs="宋体"/>
                <w:b/>
                <w:sz w:val="24"/>
              </w:rPr>
              <w:t>F3</w:t>
            </w:r>
          </w:p>
        </w:tc>
        <w:tc>
          <w:tcPr>
            <w:tcW w:w="6001" w:type="dxa"/>
            <w:vAlign w:val="center"/>
          </w:tcPr>
          <w:p w14:paraId="7B54304E">
            <w:pPr>
              <w:spacing w:line="360" w:lineRule="auto"/>
              <w:jc w:val="left"/>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一、</w:t>
            </w:r>
            <w:r>
              <w:rPr>
                <w:rFonts w:hint="eastAsia" w:ascii="宋体" w:hAnsi="宋体" w:cs="宋体"/>
                <w:b/>
                <w:bCs/>
                <w:sz w:val="24"/>
                <w:szCs w:val="24"/>
                <w:highlight w:val="none"/>
              </w:rPr>
              <w:t>售后响应方案及培训方案评审</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满分16分</w:t>
            </w:r>
            <w:r>
              <w:rPr>
                <w:rFonts w:hint="eastAsia" w:ascii="宋体" w:hAnsi="宋体" w:cs="宋体"/>
                <w:b/>
                <w:bCs/>
                <w:sz w:val="24"/>
                <w:szCs w:val="24"/>
                <w:highlight w:val="none"/>
                <w:lang w:eastAsia="zh-CN"/>
              </w:rPr>
              <w:t>）</w:t>
            </w:r>
          </w:p>
          <w:p w14:paraId="5B6B2DF0">
            <w:pPr>
              <w:spacing w:line="360" w:lineRule="auto"/>
              <w:jc w:val="left"/>
              <w:rPr>
                <w:rFonts w:hint="eastAsia" w:ascii="宋体" w:hAnsi="宋体" w:cs="宋体"/>
                <w:b/>
                <w:sz w:val="24"/>
                <w:szCs w:val="24"/>
                <w:highlight w:val="none"/>
              </w:rPr>
            </w:pPr>
            <w:r>
              <w:rPr>
                <w:rFonts w:hint="eastAsia" w:ascii="宋体" w:hAnsi="宋体" w:cs="宋体"/>
                <w:b/>
                <w:sz w:val="24"/>
                <w:szCs w:val="24"/>
                <w:highlight w:val="none"/>
              </w:rPr>
              <w:t>1.售后响应方案（满分</w:t>
            </w:r>
            <w:r>
              <w:rPr>
                <w:rFonts w:hint="eastAsia" w:ascii="宋体" w:hAnsi="宋体" w:cs="宋体"/>
                <w:b/>
                <w:sz w:val="24"/>
                <w:szCs w:val="24"/>
                <w:highlight w:val="none"/>
                <w:lang w:val="en-US" w:eastAsia="zh-CN"/>
              </w:rPr>
              <w:t>9</w:t>
            </w:r>
            <w:r>
              <w:rPr>
                <w:rFonts w:hint="eastAsia" w:ascii="宋体" w:hAnsi="宋体" w:cs="宋体"/>
                <w:b/>
                <w:sz w:val="24"/>
                <w:szCs w:val="24"/>
                <w:highlight w:val="none"/>
              </w:rPr>
              <w:t>分）</w:t>
            </w:r>
          </w:p>
          <w:p w14:paraId="51306DDC">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（1）有售后响应方案，</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3</w:t>
            </w:r>
            <w:r>
              <w:rPr>
                <w:rFonts w:hint="eastAsia" w:ascii="宋体" w:hAnsi="宋体" w:cs="宋体"/>
                <w:b/>
                <w:sz w:val="24"/>
                <w:szCs w:val="24"/>
                <w:highlight w:val="none"/>
              </w:rPr>
              <w:t>分</w:t>
            </w:r>
            <w:r>
              <w:rPr>
                <w:rFonts w:hint="eastAsia" w:ascii="宋体" w:hAnsi="宋体" w:cs="宋体"/>
                <w:bCs/>
                <w:sz w:val="24"/>
                <w:szCs w:val="24"/>
                <w:highlight w:val="none"/>
              </w:rPr>
              <w:t>；</w:t>
            </w:r>
          </w:p>
          <w:p w14:paraId="1D154AE0">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（2）投标人针对采购人的售后服务管理流程完整，切实可行有针对性，应急响应时间明确且及时，</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6</w:t>
            </w:r>
            <w:r>
              <w:rPr>
                <w:rFonts w:hint="eastAsia" w:ascii="宋体" w:hAnsi="宋体" w:cs="宋体"/>
                <w:b/>
                <w:sz w:val="24"/>
                <w:szCs w:val="24"/>
                <w:highlight w:val="none"/>
              </w:rPr>
              <w:t>分</w:t>
            </w:r>
            <w:r>
              <w:rPr>
                <w:rFonts w:hint="eastAsia" w:ascii="宋体" w:hAnsi="宋体" w:cs="宋体"/>
                <w:bCs/>
                <w:sz w:val="24"/>
                <w:szCs w:val="24"/>
                <w:highlight w:val="none"/>
              </w:rPr>
              <w:t>；</w:t>
            </w:r>
          </w:p>
          <w:p w14:paraId="2047B8F6">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售后服务管理流程不完整，但具备可行性，应急响应时间不及时,</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3</w:t>
            </w:r>
            <w:r>
              <w:rPr>
                <w:rFonts w:hint="eastAsia" w:ascii="宋体" w:hAnsi="宋体" w:cs="宋体"/>
                <w:b/>
                <w:sz w:val="24"/>
                <w:szCs w:val="24"/>
                <w:highlight w:val="none"/>
              </w:rPr>
              <w:t>分</w:t>
            </w:r>
            <w:r>
              <w:rPr>
                <w:rFonts w:hint="eastAsia" w:ascii="宋体" w:hAnsi="宋体" w:cs="宋体"/>
                <w:bCs/>
                <w:sz w:val="24"/>
                <w:szCs w:val="24"/>
                <w:highlight w:val="none"/>
              </w:rPr>
              <w:t>；</w:t>
            </w:r>
          </w:p>
          <w:p w14:paraId="7C353A8A">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内容模糊，缺乏针对性，不符合项目实际情况，</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1</w:t>
            </w:r>
            <w:r>
              <w:rPr>
                <w:rFonts w:hint="eastAsia" w:ascii="宋体" w:hAnsi="宋体" w:cs="宋体"/>
                <w:b/>
                <w:sz w:val="24"/>
                <w:szCs w:val="24"/>
                <w:highlight w:val="none"/>
              </w:rPr>
              <w:t>分</w:t>
            </w:r>
            <w:r>
              <w:rPr>
                <w:rFonts w:hint="eastAsia" w:ascii="宋体" w:hAnsi="宋体" w:cs="宋体"/>
                <w:bCs/>
                <w:sz w:val="24"/>
                <w:szCs w:val="24"/>
                <w:highlight w:val="none"/>
              </w:rPr>
              <w:t>；</w:t>
            </w:r>
          </w:p>
          <w:p w14:paraId="589FF4F8">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方案不合理或有重大缺陷的不得分。</w:t>
            </w:r>
          </w:p>
          <w:p w14:paraId="12B98095">
            <w:pPr>
              <w:pStyle w:val="23"/>
              <w:spacing w:line="360" w:lineRule="auto"/>
              <w:rPr>
                <w:rFonts w:hint="eastAsia" w:hAnsi="宋体"/>
                <w:bCs/>
                <w:color w:val="auto"/>
                <w:kern w:val="2"/>
                <w:szCs w:val="24"/>
                <w:highlight w:val="none"/>
              </w:rPr>
            </w:pPr>
            <w:r>
              <w:rPr>
                <w:rFonts w:hint="eastAsia" w:hAnsi="宋体"/>
                <w:b/>
                <w:color w:val="auto"/>
                <w:szCs w:val="24"/>
                <w:highlight w:val="none"/>
              </w:rPr>
              <w:t>注：无</w:t>
            </w:r>
            <w:r>
              <w:rPr>
                <w:rFonts w:hint="eastAsia" w:hAnsi="宋体"/>
                <w:b/>
                <w:color w:val="auto"/>
                <w:highlight w:val="none"/>
              </w:rPr>
              <w:t>售后响应方案的，本项不得分。</w:t>
            </w:r>
          </w:p>
          <w:p w14:paraId="1AF47AD1">
            <w:pPr>
              <w:pStyle w:val="24"/>
              <w:spacing w:line="360" w:lineRule="auto"/>
              <w:ind w:firstLine="0" w:firstLineChars="0"/>
              <w:rPr>
                <w:rFonts w:hint="eastAsia" w:ascii="宋体" w:hAnsi="宋体" w:cs="宋体"/>
                <w:b/>
                <w:kern w:val="2"/>
                <w:sz w:val="24"/>
                <w:szCs w:val="24"/>
                <w:highlight w:val="none"/>
              </w:rPr>
            </w:pPr>
            <w:r>
              <w:rPr>
                <w:rFonts w:hint="eastAsia" w:ascii="宋体" w:hAnsi="宋体" w:cs="宋体"/>
                <w:b/>
                <w:kern w:val="2"/>
                <w:sz w:val="24"/>
                <w:szCs w:val="24"/>
                <w:highlight w:val="none"/>
              </w:rPr>
              <w:t>2.培训方案（满分</w:t>
            </w:r>
            <w:r>
              <w:rPr>
                <w:rFonts w:hint="eastAsia" w:ascii="宋体" w:hAnsi="宋体" w:cs="宋体"/>
                <w:b/>
                <w:kern w:val="2"/>
                <w:sz w:val="24"/>
                <w:szCs w:val="24"/>
                <w:highlight w:val="none"/>
                <w:lang w:val="en-US" w:eastAsia="zh-CN"/>
              </w:rPr>
              <w:t>7</w:t>
            </w:r>
            <w:r>
              <w:rPr>
                <w:rFonts w:hint="eastAsia" w:ascii="宋体" w:hAnsi="宋体" w:cs="宋体"/>
                <w:b/>
                <w:kern w:val="2"/>
                <w:sz w:val="24"/>
                <w:szCs w:val="24"/>
                <w:highlight w:val="none"/>
              </w:rPr>
              <w:t>分）</w:t>
            </w:r>
          </w:p>
          <w:p w14:paraId="192E7297">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（1）有培训方案，</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2</w:t>
            </w:r>
            <w:r>
              <w:rPr>
                <w:rFonts w:hint="eastAsia" w:ascii="宋体" w:hAnsi="宋体" w:cs="宋体"/>
                <w:b/>
                <w:sz w:val="24"/>
                <w:szCs w:val="24"/>
                <w:highlight w:val="none"/>
              </w:rPr>
              <w:t>分</w:t>
            </w:r>
            <w:r>
              <w:rPr>
                <w:rFonts w:hint="eastAsia" w:ascii="宋体" w:hAnsi="宋体" w:cs="宋体"/>
                <w:bCs/>
                <w:sz w:val="24"/>
                <w:szCs w:val="24"/>
                <w:highlight w:val="none"/>
              </w:rPr>
              <w:t>；</w:t>
            </w:r>
          </w:p>
          <w:p w14:paraId="681A617A">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（2）培训方案完整，定期或不定期的提供对产品的功能、操作及维护等方面的培训服务，</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5</w:t>
            </w:r>
            <w:r>
              <w:rPr>
                <w:rFonts w:hint="eastAsia" w:ascii="宋体" w:hAnsi="宋体" w:cs="宋体"/>
                <w:b/>
                <w:sz w:val="24"/>
                <w:szCs w:val="24"/>
                <w:highlight w:val="none"/>
              </w:rPr>
              <w:t>分</w:t>
            </w:r>
            <w:r>
              <w:rPr>
                <w:rFonts w:hint="eastAsia" w:ascii="宋体" w:hAnsi="宋体" w:cs="宋体"/>
                <w:bCs/>
                <w:sz w:val="24"/>
                <w:szCs w:val="24"/>
                <w:highlight w:val="none"/>
              </w:rPr>
              <w:t>；</w:t>
            </w:r>
          </w:p>
          <w:p w14:paraId="629A8006">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培训方案提供针对一部分产品功能、操作及维护等方面的培训服务，内容缺乏完整度，</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2</w:t>
            </w:r>
            <w:r>
              <w:rPr>
                <w:rFonts w:hint="eastAsia" w:ascii="宋体" w:hAnsi="宋体" w:cs="宋体"/>
                <w:b/>
                <w:sz w:val="24"/>
                <w:szCs w:val="24"/>
                <w:highlight w:val="none"/>
              </w:rPr>
              <w:t>分</w:t>
            </w:r>
            <w:r>
              <w:rPr>
                <w:rFonts w:hint="eastAsia" w:ascii="宋体" w:hAnsi="宋体" w:cs="宋体"/>
                <w:bCs/>
                <w:sz w:val="24"/>
                <w:szCs w:val="24"/>
                <w:highlight w:val="none"/>
              </w:rPr>
              <w:t>；</w:t>
            </w:r>
          </w:p>
          <w:p w14:paraId="3596A399">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培训方案不完整，内容模糊，缺乏针对性，不符合项目实际情况，</w:t>
            </w:r>
            <w:r>
              <w:rPr>
                <w:rFonts w:hint="eastAsia" w:ascii="宋体" w:hAnsi="宋体" w:cs="宋体"/>
                <w:b/>
                <w:sz w:val="24"/>
                <w:szCs w:val="24"/>
                <w:highlight w:val="none"/>
              </w:rPr>
              <w:t>得</w:t>
            </w:r>
            <w:r>
              <w:rPr>
                <w:rFonts w:hint="eastAsia" w:ascii="宋体" w:hAnsi="宋体" w:cs="宋体"/>
                <w:b/>
                <w:sz w:val="24"/>
                <w:szCs w:val="24"/>
                <w:highlight w:val="none"/>
                <w:lang w:val="en-US" w:eastAsia="zh-CN"/>
              </w:rPr>
              <w:t>1</w:t>
            </w:r>
            <w:r>
              <w:rPr>
                <w:rFonts w:hint="eastAsia" w:ascii="宋体" w:hAnsi="宋体" w:cs="宋体"/>
                <w:b/>
                <w:sz w:val="24"/>
                <w:szCs w:val="24"/>
                <w:highlight w:val="none"/>
              </w:rPr>
              <w:t>分</w:t>
            </w:r>
            <w:r>
              <w:rPr>
                <w:rFonts w:hint="eastAsia" w:ascii="宋体" w:hAnsi="宋体" w:cs="宋体"/>
                <w:bCs/>
                <w:sz w:val="24"/>
                <w:szCs w:val="24"/>
                <w:highlight w:val="none"/>
              </w:rPr>
              <w:t>；</w:t>
            </w:r>
          </w:p>
          <w:p w14:paraId="332322F1">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方案不合理或有重大缺陷的不得分。</w:t>
            </w:r>
          </w:p>
          <w:p w14:paraId="2F360C5A">
            <w:pPr>
              <w:pStyle w:val="23"/>
              <w:spacing w:line="360" w:lineRule="auto"/>
              <w:rPr>
                <w:rFonts w:hint="eastAsia" w:hAnsi="宋体"/>
                <w:b/>
                <w:color w:val="auto"/>
                <w:highlight w:val="none"/>
              </w:rPr>
            </w:pPr>
            <w:r>
              <w:rPr>
                <w:rFonts w:hint="eastAsia" w:hAnsi="宋体"/>
                <w:b/>
                <w:color w:val="auto"/>
                <w:szCs w:val="24"/>
                <w:highlight w:val="none"/>
              </w:rPr>
              <w:t>注：无</w:t>
            </w:r>
            <w:r>
              <w:rPr>
                <w:rFonts w:hint="eastAsia" w:hAnsi="宋体"/>
                <w:b/>
                <w:color w:val="auto"/>
                <w:highlight w:val="none"/>
              </w:rPr>
              <w:t>培训方案的，本项不得分。</w:t>
            </w:r>
          </w:p>
          <w:p w14:paraId="3FF48C61">
            <w:pPr>
              <w:pStyle w:val="5"/>
              <w:numPr>
                <w:ilvl w:val="0"/>
                <w:numId w:val="0"/>
              </w:numPr>
              <w:shd w:val="clear" w:color="auto" w:fill="auto"/>
              <w:spacing w:line="360" w:lineRule="auto"/>
              <w:ind w:firstLine="0" w:firstLineChars="0"/>
              <w:rPr>
                <w:rFonts w:hint="eastAsia" w:ascii="宋体" w:hAnsi="宋体" w:eastAsia="宋体" w:cs="宋体"/>
                <w:color w:val="auto"/>
                <w:sz w:val="24"/>
                <w:szCs w:val="24"/>
                <w:highlight w:val="none"/>
              </w:rPr>
            </w:pPr>
            <w:r>
              <w:rPr>
                <w:rFonts w:hint="eastAsia" w:ascii="宋体" w:hAnsi="宋体" w:cs="宋体"/>
                <w:bCs/>
                <w:color w:val="auto"/>
                <w:kern w:val="2"/>
                <w:sz w:val="24"/>
                <w:szCs w:val="24"/>
                <w:highlight w:val="none"/>
              </w:rPr>
              <w:t>（缺陷是指：非专门针对本项目或不适用项目特性的情形、套用其他项目方案、内容前后矛盾、涉及的规范及标准错误的情形等任意一种情形。不合理是指：方案内容交叉混乱、缺乏重点、生搬硬造、套用错用、存在歧义、仅有标题或框架缺乏具体说明阐述的情形等任意一种情形。）</w:t>
            </w:r>
          </w:p>
        </w:tc>
      </w:tr>
      <w:tr w14:paraId="7B9B78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14" w:hRule="atLeast"/>
          <w:jc w:val="center"/>
        </w:trPr>
        <w:tc>
          <w:tcPr>
            <w:tcW w:w="2837" w:type="dxa"/>
            <w:gridSpan w:val="2"/>
            <w:vMerge w:val="continue"/>
            <w:vAlign w:val="center"/>
          </w:tcPr>
          <w:p w14:paraId="15C67598">
            <w:pPr>
              <w:spacing w:line="360" w:lineRule="auto"/>
              <w:rPr>
                <w:rFonts w:hint="eastAsia" w:ascii="宋体" w:hAnsi="宋体" w:cs="宋体"/>
                <w:sz w:val="24"/>
              </w:rPr>
            </w:pPr>
          </w:p>
        </w:tc>
        <w:tc>
          <w:tcPr>
            <w:tcW w:w="1910" w:type="dxa"/>
            <w:vMerge w:val="continue"/>
            <w:vAlign w:val="center"/>
          </w:tcPr>
          <w:p w14:paraId="148F086B">
            <w:pPr>
              <w:spacing w:line="360" w:lineRule="auto"/>
              <w:jc w:val="center"/>
              <w:rPr>
                <w:rFonts w:hint="eastAsia" w:ascii="宋体" w:hAnsi="宋体" w:cs="宋体"/>
                <w:b/>
                <w:sz w:val="24"/>
              </w:rPr>
            </w:pPr>
          </w:p>
        </w:tc>
        <w:tc>
          <w:tcPr>
            <w:tcW w:w="6001" w:type="dxa"/>
            <w:vAlign w:val="center"/>
          </w:tcPr>
          <w:p w14:paraId="4102CCFB">
            <w:pPr>
              <w:keepNext w:val="0"/>
              <w:keepLines w:val="0"/>
              <w:pageBreakBefore w:val="0"/>
              <w:widowControl/>
              <w:kinsoku/>
              <w:wordWrap/>
              <w:overflowPunct/>
              <w:topLinePunct w:val="0"/>
              <w:autoSpaceDE/>
              <w:autoSpaceDN/>
              <w:bidi w:val="0"/>
              <w:adjustRightInd/>
              <w:snapToGrid/>
              <w:spacing w:before="286" w:line="360" w:lineRule="auto"/>
              <w:ind w:left="123" w:leftChars="0" w:right="101" w:rightChars="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二、企业综合实力（满分4分）</w:t>
            </w:r>
          </w:p>
          <w:p w14:paraId="318F1438">
            <w:pPr>
              <w:spacing w:line="360" w:lineRule="auto"/>
              <w:jc w:val="left"/>
              <w:rPr>
                <w:rFonts w:hint="eastAsia" w:ascii="宋体" w:hAnsi="宋体" w:cs="宋体"/>
                <w:sz w:val="24"/>
                <w:szCs w:val="24"/>
                <w:highlight w:val="none"/>
              </w:rPr>
            </w:pPr>
            <w:r>
              <w:rPr>
                <w:rFonts w:hint="eastAsia" w:ascii="宋体" w:hAnsi="宋体" w:eastAsia="宋体" w:cs="宋体"/>
                <w:b w:val="0"/>
                <w:bCs w:val="0"/>
                <w:spacing w:val="-8"/>
                <w:kern w:val="2"/>
                <w:sz w:val="24"/>
                <w:szCs w:val="24"/>
                <w:highlight w:val="none"/>
                <w:lang w:val="en-US" w:eastAsia="en-US" w:bidi="ar-SA"/>
              </w:rPr>
              <w:t>1、</w:t>
            </w:r>
            <w:r>
              <w:rPr>
                <w:rFonts w:hint="eastAsia" w:ascii="宋体" w:hAnsi="宋体" w:cs="宋体"/>
                <w:sz w:val="24"/>
                <w:szCs w:val="24"/>
                <w:highlight w:val="none"/>
              </w:rPr>
              <w:t>投标人202</w:t>
            </w:r>
            <w:r>
              <w:rPr>
                <w:rFonts w:hint="eastAsia" w:ascii="宋体" w:hAnsi="宋体" w:eastAsia="宋体" w:cs="宋体"/>
                <w:sz w:val="24"/>
                <w:szCs w:val="24"/>
                <w:highlight w:val="none"/>
                <w:lang w:eastAsia="zh-CN"/>
              </w:rPr>
              <w:t>3</w:t>
            </w:r>
            <w:r>
              <w:rPr>
                <w:rFonts w:hint="eastAsia" w:ascii="宋体" w:hAnsi="宋体" w:cs="宋体"/>
                <w:sz w:val="24"/>
                <w:szCs w:val="24"/>
                <w:highlight w:val="none"/>
              </w:rPr>
              <w:t>年1月1日起至今每完成1个类似业绩</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类似业绩是指图书馆图书管理系统 / 智慧图书馆项目</w:t>
            </w:r>
            <w:r>
              <w:rPr>
                <w:rFonts w:hint="eastAsia" w:ascii="宋体" w:hAnsi="宋体" w:cs="宋体"/>
                <w:sz w:val="24"/>
                <w:szCs w:val="24"/>
                <w:highlight w:val="none"/>
                <w:lang w:eastAsia="zh-CN"/>
              </w:rPr>
              <w:t>）</w:t>
            </w:r>
            <w:r>
              <w:rPr>
                <w:rFonts w:hint="eastAsia" w:ascii="宋体" w:hAnsi="宋体" w:cs="宋体"/>
                <w:sz w:val="24"/>
                <w:szCs w:val="24"/>
                <w:highlight w:val="none"/>
              </w:rPr>
              <w:t>，并能提供业绩证明材料的得1分，满分为</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p w14:paraId="4DE4B529">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rPr>
              <w:t>注：</w:t>
            </w:r>
          </w:p>
          <w:p w14:paraId="189EBA4D">
            <w:pPr>
              <w:spacing w:line="360" w:lineRule="auto"/>
              <w:jc w:val="left"/>
              <w:rPr>
                <w:rFonts w:hint="eastAsia" w:ascii="宋体" w:hAnsi="宋体" w:cs="宋体"/>
                <w:b/>
                <w:sz w:val="24"/>
                <w:szCs w:val="24"/>
                <w:highlight w:val="none"/>
              </w:rPr>
            </w:pPr>
            <w:r>
              <w:rPr>
                <w:rFonts w:hint="eastAsia" w:ascii="宋体" w:hAnsi="宋体" w:cs="宋体"/>
                <w:b/>
                <w:sz w:val="24"/>
                <w:szCs w:val="24"/>
                <w:highlight w:val="none"/>
              </w:rPr>
              <w:t>（1）按合同签订时间为准；</w:t>
            </w:r>
          </w:p>
          <w:p w14:paraId="231FDC25">
            <w:pPr>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rPr>
              <w:t>（2）业绩证明须同时提供以下材料：合同或协议原件扫描件加盖电子公章（所提供合同证明材料须包含合同首页、合同标的物所在页及合同签字盖章页的扫描件并加盖电子公章，</w:t>
            </w:r>
            <w:r>
              <w:rPr>
                <w:rFonts w:hint="eastAsia" w:ascii="宋体" w:hAnsi="宋体" w:cs="宋体"/>
                <w:b/>
                <w:bCs/>
                <w:kern w:val="0"/>
                <w:sz w:val="24"/>
                <w:szCs w:val="24"/>
                <w:highlight w:val="none"/>
              </w:rPr>
              <w:t>如无法体现项目内容、签订日期等，须另附业主证明材料，</w:t>
            </w:r>
            <w:r>
              <w:rPr>
                <w:rFonts w:hint="eastAsia" w:ascii="宋体" w:hAnsi="宋体" w:cs="宋体"/>
                <w:b/>
                <w:bCs/>
                <w:sz w:val="24"/>
                <w:szCs w:val="24"/>
                <w:highlight w:val="none"/>
              </w:rPr>
              <w:t>否则不作为评审依据）。</w:t>
            </w:r>
          </w:p>
          <w:p w14:paraId="3BB9A85B">
            <w:pPr>
              <w:spacing w:line="360" w:lineRule="auto"/>
              <w:rPr>
                <w:rFonts w:hint="eastAsia" w:ascii="宋体" w:hAnsi="宋体" w:eastAsia="宋体" w:cs="宋体"/>
                <w:b/>
                <w:bCs/>
                <w:sz w:val="24"/>
                <w:szCs w:val="24"/>
                <w:highlight w:val="none"/>
              </w:rPr>
            </w:pPr>
          </w:p>
          <w:p w14:paraId="0D59535E">
            <w:pPr>
              <w:numPr>
                <w:ilvl w:val="0"/>
                <w:numId w:val="6"/>
              </w:numPr>
              <w:spacing w:line="360" w:lineRule="auto"/>
              <w:jc w:val="left"/>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投标人具有</w:t>
            </w:r>
            <w:r>
              <w:rPr>
                <w:rFonts w:hint="eastAsia" w:ascii="宋体" w:hAnsi="宋体" w:eastAsia="宋体" w:cs="宋体"/>
                <w:sz w:val="24"/>
                <w:szCs w:val="24"/>
                <w:highlight w:val="none"/>
              </w:rPr>
              <w:t>AAA 级企业信用等级证书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未提供不得分，满分2分。</w:t>
            </w:r>
            <w:r>
              <w:rPr>
                <w:rFonts w:hint="eastAsia" w:ascii="宋体" w:hAnsi="宋体" w:eastAsia="宋体" w:cs="宋体"/>
                <w:spacing w:val="14"/>
                <w:sz w:val="24"/>
                <w:szCs w:val="24"/>
                <w:highlight w:val="none"/>
              </w:rPr>
              <w:t>提供证书复印件或扫描件并加盖供应商</w:t>
            </w:r>
            <w:r>
              <w:rPr>
                <w:rFonts w:hint="eastAsia" w:ascii="宋体" w:hAnsi="宋体" w:eastAsia="宋体" w:cs="宋体"/>
                <w:spacing w:val="-8"/>
                <w:sz w:val="24"/>
                <w:szCs w:val="24"/>
                <w:highlight w:val="none"/>
              </w:rPr>
              <w:t>公章。</w:t>
            </w:r>
          </w:p>
          <w:p w14:paraId="56CA94A4">
            <w:pPr>
              <w:spacing w:line="360" w:lineRule="auto"/>
              <w:ind w:firstLine="0" w:firstLineChars="0"/>
              <w:rPr>
                <w:rFonts w:hint="eastAsia" w:ascii="宋体" w:hAnsi="宋体" w:cs="宋体"/>
                <w:sz w:val="24"/>
                <w:highlight w:val="none"/>
              </w:rPr>
            </w:pPr>
          </w:p>
        </w:tc>
      </w:tr>
      <w:bookmarkEnd w:id="420"/>
    </w:tbl>
    <w:p w14:paraId="2F6EB585">
      <w:pPr>
        <w:pStyle w:val="10"/>
        <w:tabs>
          <w:tab w:val="left" w:pos="2472"/>
        </w:tabs>
        <w:spacing w:line="360" w:lineRule="auto"/>
        <w:rPr>
          <w:rFonts w:hAnsi="宋体" w:cs="宋体"/>
          <w:b/>
          <w:bCs/>
          <w:sz w:val="24"/>
          <w:szCs w:val="24"/>
        </w:rPr>
      </w:pPr>
      <w:r>
        <w:rPr>
          <w:rFonts w:hint="eastAsia" w:hAnsi="宋体" w:cs="宋体"/>
          <w:b/>
          <w:bCs/>
          <w:sz w:val="24"/>
          <w:szCs w:val="24"/>
        </w:rPr>
        <w:t>1、评标方法</w:t>
      </w:r>
    </w:p>
    <w:p w14:paraId="2F492C6E">
      <w:pPr>
        <w:pStyle w:val="10"/>
        <w:tabs>
          <w:tab w:val="left" w:pos="2472"/>
        </w:tabs>
        <w:spacing w:line="360" w:lineRule="auto"/>
        <w:ind w:firstLine="480" w:firstLineChars="200"/>
        <w:rPr>
          <w:rFonts w:hAnsi="宋体" w:cs="宋体"/>
          <w:b/>
          <w:bCs/>
          <w:sz w:val="24"/>
          <w:szCs w:val="24"/>
        </w:rPr>
      </w:pPr>
      <w:r>
        <w:rPr>
          <w:rFonts w:hint="eastAsia" w:hAnsi="宋体" w:cs="宋体"/>
          <w:b/>
          <w:bCs/>
          <w:sz w:val="24"/>
        </w:rPr>
        <w:t>本次评标采用综合评分法。</w:t>
      </w:r>
      <w:r>
        <w:rPr>
          <w:rFonts w:hint="eastAsia" w:hAnsi="宋体" w:cs="宋体"/>
          <w:sz w:val="24"/>
        </w:rPr>
        <w:t>评标委员会对满足招标文件实质性评审（初步评审）要求的投标文件，按照本章前附表规定的评分标准进行打分，并按下列评标总得分计算公式计算评标总得分，按总得分由高到低的顺序推荐中标候选人排序；评标总得分相等时，按投标报价由低到高顺序排序；评标总得分相等且投标报价相同时，按技术部分得分由高到低顺序排序。</w:t>
      </w:r>
    </w:p>
    <w:p w14:paraId="74B27A2B">
      <w:pPr>
        <w:pStyle w:val="10"/>
        <w:tabs>
          <w:tab w:val="left" w:pos="360"/>
          <w:tab w:val="left" w:pos="2472"/>
        </w:tabs>
        <w:spacing w:line="360" w:lineRule="auto"/>
        <w:rPr>
          <w:rFonts w:hAnsi="宋体" w:cs="宋体"/>
          <w:b/>
          <w:bCs/>
          <w:sz w:val="24"/>
          <w:szCs w:val="24"/>
        </w:rPr>
      </w:pPr>
      <w:r>
        <w:rPr>
          <w:rFonts w:hint="eastAsia" w:hAnsi="宋体" w:cs="宋体"/>
          <w:b/>
          <w:bCs/>
          <w:sz w:val="24"/>
          <w:szCs w:val="24"/>
        </w:rPr>
        <w:t>2、评审标准</w:t>
      </w:r>
    </w:p>
    <w:p w14:paraId="26D7D9AC">
      <w:pPr>
        <w:pStyle w:val="10"/>
        <w:tabs>
          <w:tab w:val="left" w:pos="2472"/>
        </w:tabs>
        <w:spacing w:line="360" w:lineRule="auto"/>
        <w:rPr>
          <w:rFonts w:hAnsi="宋体" w:cs="宋体"/>
          <w:b/>
          <w:bCs/>
          <w:sz w:val="24"/>
          <w:szCs w:val="24"/>
        </w:rPr>
      </w:pPr>
      <w:r>
        <w:rPr>
          <w:rFonts w:hint="eastAsia" w:hAnsi="宋体" w:cs="宋体"/>
          <w:b/>
          <w:bCs/>
          <w:sz w:val="24"/>
          <w:szCs w:val="24"/>
        </w:rPr>
        <w:t>2.1初步评审标准</w:t>
      </w:r>
    </w:p>
    <w:p w14:paraId="3366C18A">
      <w:pPr>
        <w:pStyle w:val="10"/>
        <w:tabs>
          <w:tab w:val="left" w:pos="2472"/>
        </w:tabs>
        <w:spacing w:line="360" w:lineRule="auto"/>
        <w:ind w:firstLine="480" w:firstLineChars="200"/>
        <w:rPr>
          <w:rFonts w:hAnsi="宋体" w:cs="宋体"/>
          <w:sz w:val="24"/>
          <w:szCs w:val="24"/>
        </w:rPr>
      </w:pPr>
      <w:r>
        <w:rPr>
          <w:rFonts w:hint="eastAsia" w:hAnsi="宋体" w:cs="宋体"/>
          <w:sz w:val="24"/>
          <w:szCs w:val="24"/>
        </w:rPr>
        <w:t>2.1.1资格评审标准：见评标办法前附表，采购人或者采购代理机构应当依法对投标人的资格进行审查。</w:t>
      </w:r>
    </w:p>
    <w:p w14:paraId="25FB94B7">
      <w:pPr>
        <w:pStyle w:val="10"/>
        <w:tabs>
          <w:tab w:val="left" w:pos="2472"/>
        </w:tabs>
        <w:spacing w:line="360" w:lineRule="auto"/>
        <w:ind w:firstLine="480" w:firstLineChars="200"/>
        <w:rPr>
          <w:rFonts w:hAnsi="宋体" w:cs="宋体"/>
          <w:sz w:val="24"/>
          <w:szCs w:val="24"/>
        </w:rPr>
      </w:pPr>
      <w:r>
        <w:rPr>
          <w:rFonts w:hint="eastAsia" w:hAnsi="宋体" w:cs="宋体"/>
          <w:sz w:val="24"/>
          <w:szCs w:val="24"/>
        </w:rPr>
        <w:t>2.1.2符合性评审标准：见评标办法前附表。</w:t>
      </w:r>
    </w:p>
    <w:p w14:paraId="4691B251">
      <w:pPr>
        <w:pStyle w:val="10"/>
        <w:tabs>
          <w:tab w:val="left" w:pos="2472"/>
        </w:tabs>
        <w:spacing w:line="360" w:lineRule="auto"/>
        <w:rPr>
          <w:rFonts w:hAnsi="宋体" w:cs="宋体"/>
          <w:b/>
          <w:bCs/>
          <w:sz w:val="24"/>
          <w:szCs w:val="24"/>
        </w:rPr>
      </w:pPr>
      <w:r>
        <w:rPr>
          <w:rFonts w:hint="eastAsia" w:hAnsi="宋体" w:cs="宋体"/>
          <w:b/>
          <w:bCs/>
          <w:sz w:val="24"/>
          <w:szCs w:val="24"/>
        </w:rPr>
        <w:t>2.2 详细评审标准</w:t>
      </w:r>
    </w:p>
    <w:p w14:paraId="72C8B119">
      <w:pPr>
        <w:pStyle w:val="10"/>
        <w:tabs>
          <w:tab w:val="left" w:pos="2472"/>
        </w:tabs>
        <w:spacing w:line="360" w:lineRule="auto"/>
        <w:ind w:firstLine="480" w:firstLineChars="200"/>
        <w:rPr>
          <w:rFonts w:hAnsi="宋体" w:cs="宋体"/>
          <w:sz w:val="24"/>
          <w:szCs w:val="24"/>
        </w:rPr>
      </w:pPr>
      <w:r>
        <w:rPr>
          <w:rFonts w:hint="eastAsia" w:hAnsi="宋体" w:cs="宋体"/>
          <w:sz w:val="24"/>
          <w:szCs w:val="24"/>
        </w:rPr>
        <w:t>详细评审标准：见评标办法前附表。</w:t>
      </w:r>
    </w:p>
    <w:p w14:paraId="2BED8453">
      <w:pPr>
        <w:pStyle w:val="10"/>
        <w:tabs>
          <w:tab w:val="left" w:pos="360"/>
          <w:tab w:val="left" w:pos="2472"/>
        </w:tabs>
        <w:spacing w:line="360" w:lineRule="auto"/>
        <w:rPr>
          <w:rFonts w:hAnsi="宋体" w:cs="宋体"/>
          <w:b/>
          <w:bCs/>
          <w:sz w:val="24"/>
          <w:szCs w:val="24"/>
        </w:rPr>
      </w:pPr>
      <w:r>
        <w:rPr>
          <w:rFonts w:hint="eastAsia" w:hAnsi="宋体" w:cs="宋体"/>
          <w:b/>
          <w:bCs/>
          <w:sz w:val="24"/>
          <w:szCs w:val="24"/>
        </w:rPr>
        <w:t>3、评标程序</w:t>
      </w:r>
    </w:p>
    <w:p w14:paraId="76606567">
      <w:pPr>
        <w:pStyle w:val="10"/>
        <w:tabs>
          <w:tab w:val="left" w:pos="2472"/>
        </w:tabs>
        <w:spacing w:line="360" w:lineRule="auto"/>
        <w:rPr>
          <w:rFonts w:hAnsi="宋体" w:cs="宋体"/>
          <w:b/>
          <w:bCs/>
          <w:sz w:val="24"/>
          <w:szCs w:val="24"/>
        </w:rPr>
      </w:pPr>
      <w:r>
        <w:rPr>
          <w:rFonts w:hint="eastAsia" w:hAnsi="宋体" w:cs="宋体"/>
          <w:b/>
          <w:bCs/>
          <w:sz w:val="24"/>
          <w:szCs w:val="24"/>
        </w:rPr>
        <w:t>3.1初步评审</w:t>
      </w:r>
    </w:p>
    <w:p w14:paraId="3BC16EBC">
      <w:pPr>
        <w:pStyle w:val="10"/>
        <w:tabs>
          <w:tab w:val="left" w:pos="2472"/>
        </w:tabs>
        <w:spacing w:line="360" w:lineRule="auto"/>
        <w:ind w:firstLine="480" w:firstLineChars="200"/>
        <w:rPr>
          <w:rFonts w:hAnsi="宋体" w:cs="宋体"/>
          <w:sz w:val="24"/>
          <w:szCs w:val="24"/>
        </w:rPr>
      </w:pPr>
      <w:r>
        <w:rPr>
          <w:rFonts w:hint="eastAsia" w:hAnsi="宋体" w:cs="宋体"/>
          <w:sz w:val="24"/>
          <w:szCs w:val="24"/>
        </w:rPr>
        <w:t>3.1.1 评标委员会依据本章第2.1.2项规定的标准对投标文件进行初步评审。有一项不符合评审标准的，视为未实质性响应招标文件要求。</w:t>
      </w:r>
    </w:p>
    <w:p w14:paraId="6F05F3D0">
      <w:pPr>
        <w:pStyle w:val="10"/>
        <w:tabs>
          <w:tab w:val="left" w:pos="2472"/>
        </w:tabs>
        <w:spacing w:line="360" w:lineRule="auto"/>
        <w:ind w:firstLine="480" w:firstLineChars="200"/>
        <w:rPr>
          <w:rFonts w:hAnsi="宋体" w:cs="宋体"/>
          <w:sz w:val="24"/>
          <w:szCs w:val="24"/>
          <w:highlight w:val="none"/>
        </w:rPr>
      </w:pPr>
      <w:r>
        <w:rPr>
          <w:rFonts w:hint="eastAsia" w:hAnsi="宋体" w:cs="宋体"/>
          <w:sz w:val="24"/>
          <w:szCs w:val="24"/>
        </w:rPr>
        <w:t>3</w:t>
      </w:r>
      <w:r>
        <w:rPr>
          <w:rFonts w:hint="eastAsia" w:hAnsi="宋体" w:cs="宋体"/>
          <w:sz w:val="24"/>
          <w:szCs w:val="24"/>
          <w:highlight w:val="none"/>
        </w:rPr>
        <w:t>.1.2投标文件报价出现前后不一致的，按照下列规定修正：</w:t>
      </w:r>
    </w:p>
    <w:p w14:paraId="4A1328C3">
      <w:pPr>
        <w:pStyle w:val="10"/>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（1）开标时，投标文件中开标一览表（报价表）内容与投标文件中相应内容不一致的，以开标一览表（报价表）为准。</w:t>
      </w:r>
    </w:p>
    <w:p w14:paraId="3CB5CA9D">
      <w:pPr>
        <w:pStyle w:val="10"/>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（2）大写金额和小写金额不一致的，以大写金额为准；</w:t>
      </w:r>
    </w:p>
    <w:p w14:paraId="2CDBA5FC">
      <w:pPr>
        <w:pStyle w:val="10"/>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（3）单价金额小数点或者百分比有明显错位的，以开标一览表的总价为准，并修改单价；</w:t>
      </w:r>
    </w:p>
    <w:p w14:paraId="3D6B0BF1">
      <w:pPr>
        <w:pStyle w:val="10"/>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（4）总价金额与按单价汇总金额不一致的，以单价金额计算结果为准；</w:t>
      </w:r>
    </w:p>
    <w:p w14:paraId="0D20D33D">
      <w:pPr>
        <w:pStyle w:val="10"/>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同时出现两种以上不一致的，按照第3.1.2项规定的顺序修正。修正后的报价经投标人加盖公章或者由法定代表人或其授权的代表签字确认后产生约束力，投标人不确认的，其投标无效。</w:t>
      </w:r>
    </w:p>
    <w:p w14:paraId="6219432E">
      <w:pPr>
        <w:pStyle w:val="10"/>
        <w:tabs>
          <w:tab w:val="left" w:pos="2472"/>
        </w:tabs>
        <w:spacing w:line="360" w:lineRule="auto"/>
        <w:ind w:firstLine="480" w:firstLineChars="200"/>
        <w:rPr>
          <w:rFonts w:hAnsi="宋体" w:cs="宋体"/>
          <w:sz w:val="24"/>
          <w:szCs w:val="24"/>
        </w:rPr>
      </w:pPr>
      <w:r>
        <w:rPr>
          <w:rFonts w:hint="eastAsia" w:hAnsi="宋体" w:cs="宋体"/>
          <w:sz w:val="24"/>
          <w:szCs w:val="24"/>
        </w:rPr>
        <w:t>3.1.3投标人有以下情形之一的，其投标无效：</w:t>
      </w:r>
    </w:p>
    <w:p w14:paraId="150BF637">
      <w:pPr>
        <w:spacing w:line="360" w:lineRule="auto"/>
        <w:ind w:firstLine="480" w:firstLineChars="200"/>
        <w:jc w:val="left"/>
        <w:rPr>
          <w:rFonts w:ascii="宋体" w:hAnsi="宋体" w:cs="宋体"/>
          <w:sz w:val="24"/>
        </w:rPr>
      </w:pPr>
      <w:r>
        <w:rPr>
          <w:rFonts w:hint="eastAsia" w:ascii="宋体" w:hAnsi="宋体" w:cs="宋体"/>
          <w:sz w:val="24"/>
        </w:rPr>
        <w:t>（1)串通投标或弄虚作假或有其他违法行为的；</w:t>
      </w:r>
    </w:p>
    <w:p w14:paraId="27DECE9F">
      <w:pPr>
        <w:spacing w:line="360" w:lineRule="auto"/>
        <w:ind w:firstLine="480" w:firstLineChars="200"/>
        <w:jc w:val="left"/>
        <w:rPr>
          <w:rFonts w:ascii="宋体" w:hAnsi="宋体" w:cs="宋体"/>
          <w:sz w:val="24"/>
        </w:rPr>
      </w:pPr>
      <w:r>
        <w:rPr>
          <w:rFonts w:hint="eastAsia" w:ascii="宋体" w:hAnsi="宋体" w:cs="宋体"/>
          <w:sz w:val="24"/>
        </w:rPr>
        <w:t>（2）不按评标委员会要求澄清、说明或补正的。</w:t>
      </w:r>
    </w:p>
    <w:p w14:paraId="2CC65A02">
      <w:pPr>
        <w:pStyle w:val="10"/>
        <w:tabs>
          <w:tab w:val="left" w:pos="2472"/>
        </w:tabs>
        <w:spacing w:line="360" w:lineRule="auto"/>
        <w:rPr>
          <w:rFonts w:hAnsi="宋体" w:cs="宋体"/>
          <w:b/>
          <w:bCs/>
          <w:sz w:val="24"/>
          <w:szCs w:val="24"/>
        </w:rPr>
      </w:pPr>
      <w:r>
        <w:rPr>
          <w:rFonts w:hint="eastAsia" w:hAnsi="宋体" w:cs="宋体"/>
          <w:b/>
          <w:bCs/>
          <w:sz w:val="24"/>
          <w:szCs w:val="24"/>
        </w:rPr>
        <w:t>3.2详细评审</w:t>
      </w:r>
    </w:p>
    <w:p w14:paraId="770B4764">
      <w:pPr>
        <w:pStyle w:val="10"/>
        <w:tabs>
          <w:tab w:val="left" w:pos="2472"/>
        </w:tabs>
        <w:spacing w:line="360" w:lineRule="auto"/>
        <w:ind w:firstLine="480" w:firstLineChars="200"/>
        <w:rPr>
          <w:rFonts w:hAnsi="宋体" w:cs="宋体"/>
          <w:sz w:val="24"/>
          <w:szCs w:val="24"/>
        </w:rPr>
      </w:pPr>
      <w:r>
        <w:rPr>
          <w:rFonts w:hint="eastAsia" w:hAnsi="宋体" w:cs="宋体"/>
          <w:sz w:val="24"/>
          <w:szCs w:val="24"/>
        </w:rPr>
        <w:t>3.2.1评标委员会按“评标办法前附表”规定的评分因素进行综合评分。</w:t>
      </w:r>
    </w:p>
    <w:p w14:paraId="1C462F52">
      <w:pPr>
        <w:spacing w:line="360" w:lineRule="auto"/>
        <w:ind w:firstLine="480"/>
        <w:jc w:val="left"/>
        <w:rPr>
          <w:rFonts w:ascii="宋体" w:hAnsi="宋体" w:cs="宋体"/>
          <w:sz w:val="24"/>
        </w:rPr>
      </w:pPr>
      <w:r>
        <w:rPr>
          <w:rFonts w:hint="eastAsia" w:ascii="宋体" w:hAnsi="宋体" w:cs="宋体"/>
          <w:sz w:val="24"/>
        </w:rPr>
        <w:t>3.2.2评标委员会发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处理。</w:t>
      </w:r>
    </w:p>
    <w:p w14:paraId="2D09B167">
      <w:pPr>
        <w:spacing w:line="360" w:lineRule="auto"/>
        <w:ind w:firstLine="480"/>
        <w:jc w:val="left"/>
        <w:rPr>
          <w:rFonts w:ascii="宋体" w:hAnsi="宋体" w:cs="宋体"/>
          <w:sz w:val="24"/>
        </w:rPr>
      </w:pPr>
      <w:r>
        <w:rPr>
          <w:rFonts w:hint="eastAsia" w:ascii="宋体" w:hAnsi="宋体" w:cs="宋体"/>
          <w:sz w:val="24"/>
        </w:rPr>
        <w:t>3.2.3技术部分（F2）和商务部分（F3）得分由评标委员会成员独立评分，</w:t>
      </w:r>
      <w:r>
        <w:rPr>
          <w:rFonts w:hint="eastAsia" w:ascii="宋体" w:hAnsi="宋体" w:cs="宋体"/>
          <w:bCs/>
          <w:sz w:val="24"/>
        </w:rPr>
        <w:t>投标人各项评分因素得分为该项因素各评委评分的算术平均值（保留小数点后两位）</w:t>
      </w:r>
      <w:r>
        <w:rPr>
          <w:rFonts w:hint="eastAsia" w:ascii="宋体" w:hAnsi="宋体" w:cs="宋体"/>
          <w:sz w:val="24"/>
        </w:rPr>
        <w:t>，小数点后第三位“四舍五入”。</w:t>
      </w:r>
    </w:p>
    <w:p w14:paraId="314D7AF5">
      <w:pPr>
        <w:spacing w:line="360" w:lineRule="auto"/>
        <w:ind w:firstLine="480"/>
        <w:jc w:val="left"/>
        <w:rPr>
          <w:rFonts w:ascii="宋体" w:hAnsi="宋体" w:cs="宋体"/>
          <w:sz w:val="24"/>
        </w:rPr>
      </w:pPr>
      <w:r>
        <w:rPr>
          <w:rFonts w:hint="eastAsia" w:ascii="宋体" w:hAnsi="宋体" w:cs="宋体"/>
          <w:sz w:val="24"/>
        </w:rPr>
        <w:t>3.2.4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78756D10">
      <w:pPr>
        <w:pStyle w:val="10"/>
        <w:tabs>
          <w:tab w:val="left" w:pos="2472"/>
        </w:tabs>
        <w:spacing w:line="360" w:lineRule="auto"/>
        <w:rPr>
          <w:rFonts w:hAnsi="宋体" w:cs="宋体"/>
          <w:b/>
          <w:bCs/>
          <w:sz w:val="24"/>
          <w:szCs w:val="24"/>
        </w:rPr>
      </w:pPr>
      <w:r>
        <w:rPr>
          <w:rFonts w:hint="eastAsia" w:hAnsi="宋体" w:cs="宋体"/>
          <w:b/>
          <w:bCs/>
          <w:sz w:val="24"/>
          <w:szCs w:val="24"/>
        </w:rPr>
        <w:t>3.3投标文件的澄清和补正</w:t>
      </w:r>
    </w:p>
    <w:p w14:paraId="096CA3F7">
      <w:pPr>
        <w:spacing w:line="360" w:lineRule="auto"/>
        <w:ind w:firstLine="435"/>
        <w:jc w:val="left"/>
        <w:rPr>
          <w:rFonts w:ascii="宋体" w:hAnsi="宋体" w:cs="宋体"/>
          <w:sz w:val="24"/>
        </w:rPr>
      </w:pPr>
      <w:r>
        <w:rPr>
          <w:rFonts w:hint="eastAsia" w:ascii="宋体" w:hAnsi="宋体" w:cs="宋体"/>
          <w:sz w:val="24"/>
        </w:rPr>
        <w:t>3.3.1在评标过程中，评标委员会可以要求投标人对所提交的投标文件中不明确的内容进行书面澄清或说明，或者对细微偏差进行补正。评标委员会不接受投标人主动提出的澄清、说明或补正。</w:t>
      </w:r>
    </w:p>
    <w:p w14:paraId="4449FED6">
      <w:pPr>
        <w:spacing w:line="360" w:lineRule="auto"/>
        <w:ind w:firstLine="435"/>
        <w:jc w:val="left"/>
        <w:rPr>
          <w:rFonts w:ascii="宋体" w:hAnsi="宋体" w:cs="宋体"/>
          <w:sz w:val="24"/>
        </w:rPr>
      </w:pPr>
      <w:r>
        <w:rPr>
          <w:rFonts w:hint="eastAsia" w:ascii="宋体" w:hAnsi="宋体" w:cs="宋体"/>
          <w:sz w:val="24"/>
        </w:rPr>
        <w:t>3.3.2澄清、说明和补正不得改变投标文件的实质性内容(算术性错误修正的除外)。投标人的书面澄清、说明和补正属于投标文件的组成部分。</w:t>
      </w:r>
    </w:p>
    <w:p w14:paraId="041D0712">
      <w:pPr>
        <w:spacing w:line="360" w:lineRule="auto"/>
        <w:ind w:firstLine="435"/>
        <w:jc w:val="left"/>
        <w:rPr>
          <w:rFonts w:ascii="宋体" w:hAnsi="宋体" w:cs="宋体"/>
          <w:sz w:val="24"/>
        </w:rPr>
      </w:pPr>
      <w:r>
        <w:rPr>
          <w:rFonts w:hint="eastAsia" w:ascii="宋体" w:hAnsi="宋体" w:cs="宋体"/>
          <w:sz w:val="24"/>
        </w:rPr>
        <w:t>3.3.3评标委员会对投标人提交的澄清、说明或补正有疑问的，可以要求投标人进一步澄清、说明或补正，直至满足评标委员会的要求。</w:t>
      </w:r>
    </w:p>
    <w:p w14:paraId="40CA87F6">
      <w:pPr>
        <w:pStyle w:val="10"/>
        <w:tabs>
          <w:tab w:val="left" w:pos="2472"/>
        </w:tabs>
        <w:spacing w:line="360" w:lineRule="auto"/>
        <w:rPr>
          <w:rFonts w:hAnsi="宋体" w:cs="宋体"/>
          <w:b/>
          <w:bCs/>
          <w:sz w:val="24"/>
          <w:szCs w:val="24"/>
        </w:rPr>
      </w:pPr>
      <w:r>
        <w:rPr>
          <w:rFonts w:hint="eastAsia" w:hAnsi="宋体" w:cs="宋体"/>
          <w:b/>
          <w:bCs/>
          <w:sz w:val="24"/>
          <w:szCs w:val="24"/>
        </w:rPr>
        <w:t>3.4评标结果</w:t>
      </w:r>
    </w:p>
    <w:p w14:paraId="113D7BDA">
      <w:pPr>
        <w:spacing w:line="360" w:lineRule="auto"/>
        <w:ind w:firstLine="435"/>
        <w:jc w:val="left"/>
        <w:rPr>
          <w:rFonts w:ascii="宋体" w:hAnsi="宋体" w:cs="宋体"/>
          <w:sz w:val="24"/>
        </w:rPr>
      </w:pPr>
      <w:r>
        <w:rPr>
          <w:rFonts w:hint="eastAsia" w:ascii="宋体" w:hAnsi="宋体" w:cs="宋体"/>
          <w:sz w:val="24"/>
        </w:rPr>
        <w:t>3.4.1评标委员会按最终得分由高到低顺序推荐中标候选人，并提出书面评标报告。</w:t>
      </w:r>
    </w:p>
    <w:p w14:paraId="242463EB">
      <w:pPr>
        <w:spacing w:line="360" w:lineRule="auto"/>
        <w:ind w:firstLine="435"/>
        <w:jc w:val="left"/>
        <w:rPr>
          <w:rFonts w:ascii="宋体" w:hAnsi="宋体" w:cs="宋体"/>
          <w:sz w:val="24"/>
        </w:rPr>
      </w:pPr>
      <w:r>
        <w:rPr>
          <w:rFonts w:hint="eastAsia" w:ascii="宋体" w:hAnsi="宋体" w:cs="宋体"/>
          <w:sz w:val="24"/>
        </w:rPr>
        <w:t>3.4.2 采购人根据评标委员会提出的书面评标报告和推荐的中标候选人名单，确定中标人。</w:t>
      </w:r>
    </w:p>
    <w:p w14:paraId="4D0E2872">
      <w:pPr>
        <w:spacing w:line="360" w:lineRule="auto"/>
        <w:ind w:firstLine="435"/>
        <w:jc w:val="left"/>
        <w:rPr>
          <w:rFonts w:ascii="宋体" w:hAnsi="宋体" w:cs="宋体"/>
          <w:sz w:val="24"/>
        </w:rPr>
      </w:pPr>
      <w:r>
        <w:rPr>
          <w:rFonts w:hint="eastAsia" w:ascii="宋体" w:hAnsi="宋体" w:cs="宋体"/>
          <w:sz w:val="24"/>
        </w:rPr>
        <w:t>3.4.3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6C5B249B">
      <w:pPr>
        <w:spacing w:line="360" w:lineRule="auto"/>
        <w:rPr>
          <w:rFonts w:ascii="宋体" w:hAnsi="宋体" w:cs="宋体"/>
          <w:b/>
          <w:sz w:val="24"/>
        </w:rPr>
      </w:pPr>
      <w:bookmarkStart w:id="421" w:name="_Hlk34905508"/>
      <w:r>
        <w:rPr>
          <w:rFonts w:hint="eastAsia" w:ascii="宋体" w:hAnsi="宋体" w:cs="宋体"/>
          <w:b/>
          <w:sz w:val="24"/>
        </w:rPr>
        <w:t>3.5关于中小企业</w:t>
      </w:r>
    </w:p>
    <w:p w14:paraId="6B379D16">
      <w:pPr>
        <w:spacing w:line="360" w:lineRule="auto"/>
        <w:ind w:firstLine="480" w:firstLineChars="200"/>
        <w:rPr>
          <w:rFonts w:ascii="宋体" w:hAnsi="宋体" w:cs="宋体"/>
          <w:sz w:val="24"/>
        </w:rPr>
      </w:pPr>
      <w:r>
        <w:rPr>
          <w:rFonts w:hint="eastAsia" w:ascii="宋体" w:hAnsi="宋体" w:cs="宋体"/>
          <w:sz w:val="24"/>
        </w:rPr>
        <w:t>3.5.1根据《关于印发&lt;政府采购促进中小企业发展管理办法&gt;的通知》（财库【2020】46号）的规定，投标人提供的货物、工程或者服务符合下列情形的，享受评标方法中小企业扶持政策：</w:t>
      </w:r>
    </w:p>
    <w:p w14:paraId="40DCD0D3">
      <w:pPr>
        <w:spacing w:line="360" w:lineRule="auto"/>
        <w:ind w:firstLine="480" w:firstLineChars="20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7D71EF3D">
      <w:pPr>
        <w:spacing w:line="360" w:lineRule="auto"/>
        <w:ind w:firstLine="480" w:firstLineChars="200"/>
        <w:rPr>
          <w:rFonts w:ascii="宋体" w:hAnsi="宋体" w:cs="宋体"/>
          <w:sz w:val="24"/>
        </w:rPr>
      </w:pPr>
      <w:r>
        <w:rPr>
          <w:rFonts w:hint="eastAsia" w:ascii="宋体" w:hAnsi="宋体" w:cs="宋体"/>
          <w:sz w:val="24"/>
        </w:rPr>
        <w:t>（2）在工程采购项目中，工程由中小企业承建，即工程施工单位为中小企业；</w:t>
      </w:r>
    </w:p>
    <w:p w14:paraId="4AB155D4">
      <w:pPr>
        <w:spacing w:line="360" w:lineRule="auto"/>
        <w:ind w:firstLine="480" w:firstLineChars="20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0EA74E9B">
      <w:pPr>
        <w:spacing w:line="360" w:lineRule="auto"/>
        <w:ind w:firstLine="480" w:firstLineChars="200"/>
        <w:rPr>
          <w:rFonts w:ascii="宋体" w:hAnsi="宋体" w:cs="宋体"/>
          <w:sz w:val="24"/>
        </w:rPr>
      </w:pPr>
      <w:r>
        <w:rPr>
          <w:rFonts w:hint="eastAsia" w:ascii="宋体" w:hAnsi="宋体" w:cs="宋体"/>
          <w:sz w:val="24"/>
        </w:rPr>
        <w:t>在货物采购项目中，投标人提供的货物既有中小企业制造货物，也有大型企业制造货物的，不享受评标方法规定的中小企业扶持政策。</w:t>
      </w:r>
    </w:p>
    <w:p w14:paraId="7D9BB11D">
      <w:pPr>
        <w:spacing w:line="360" w:lineRule="auto"/>
        <w:ind w:firstLine="480" w:firstLineChars="200"/>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6C1AAAB2">
      <w:pPr>
        <w:spacing w:line="360" w:lineRule="auto"/>
        <w:ind w:firstLine="480" w:firstLineChars="200"/>
        <w:rPr>
          <w:rFonts w:ascii="宋体" w:hAnsi="宋体" w:cs="宋体"/>
          <w:sz w:val="24"/>
        </w:rPr>
      </w:pPr>
      <w:r>
        <w:rPr>
          <w:rFonts w:hint="eastAsia" w:ascii="宋体" w:hAnsi="宋体" w:cs="宋体"/>
          <w:sz w:val="24"/>
        </w:rPr>
        <w:t>3.5.2评标方法所称中小企业，是指在中华人民共和国境内依法设立，依据国务院批准的中小企业划分标准确定的中型企业、小型企业和微型企业，但与大企业的负责人为同一人，或者与大企业存在直接、间接控股、管理关系的除外。</w:t>
      </w:r>
    </w:p>
    <w:p w14:paraId="3C61FF16">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3B356B85">
      <w:pPr>
        <w:spacing w:line="360" w:lineRule="auto"/>
        <w:ind w:firstLine="480" w:firstLineChars="200"/>
        <w:rPr>
          <w:rFonts w:ascii="宋体" w:hAnsi="宋体" w:cs="宋体"/>
          <w:sz w:val="24"/>
        </w:rPr>
      </w:pPr>
      <w:r>
        <w:rPr>
          <w:rFonts w:hint="eastAsia" w:ascii="宋体" w:hAnsi="宋体" w:cs="宋体"/>
          <w:sz w:val="24"/>
        </w:rPr>
        <w:t>3.5.3中小企业参加政府采购活动，应当出具《中小企业声明函》（详见《投标文件格式》），否则不得享受相关中小企业扶持政策。</w:t>
      </w:r>
    </w:p>
    <w:p w14:paraId="77155B87">
      <w:pPr>
        <w:spacing w:line="360" w:lineRule="auto"/>
        <w:rPr>
          <w:rFonts w:ascii="宋体" w:hAnsi="宋体" w:cs="宋体"/>
          <w:b/>
          <w:sz w:val="24"/>
        </w:rPr>
      </w:pPr>
      <w:r>
        <w:rPr>
          <w:rFonts w:hint="eastAsia" w:ascii="宋体" w:hAnsi="宋体" w:cs="宋体"/>
          <w:b/>
          <w:sz w:val="24"/>
        </w:rPr>
        <w:t>3.6监狱企业</w:t>
      </w:r>
    </w:p>
    <w:p w14:paraId="3D1B2D19">
      <w:pPr>
        <w:spacing w:line="360" w:lineRule="auto"/>
        <w:ind w:firstLine="480" w:firstLineChars="200"/>
        <w:rPr>
          <w:rFonts w:ascii="宋体" w:hAnsi="宋体" w:cs="宋体"/>
          <w:sz w:val="24"/>
        </w:rPr>
      </w:pPr>
      <w:r>
        <w:rPr>
          <w:rFonts w:hint="eastAsia" w:ascii="宋体" w:hAnsi="宋体" w:cs="宋体"/>
          <w:sz w:val="24"/>
        </w:rPr>
        <w:t>3.6.1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3D8B209">
      <w:pPr>
        <w:spacing w:line="360" w:lineRule="auto"/>
        <w:rPr>
          <w:rFonts w:ascii="宋体" w:hAnsi="宋体" w:cs="宋体"/>
          <w:b/>
          <w:sz w:val="24"/>
        </w:rPr>
      </w:pPr>
      <w:r>
        <w:rPr>
          <w:rFonts w:hint="eastAsia" w:ascii="宋体" w:hAnsi="宋体" w:cs="宋体"/>
          <w:b/>
          <w:sz w:val="24"/>
        </w:rPr>
        <w:t>3.7节能、环境标志产品</w:t>
      </w:r>
    </w:p>
    <w:bookmarkEnd w:id="421"/>
    <w:p w14:paraId="5EE610E8">
      <w:pPr>
        <w:spacing w:line="360" w:lineRule="auto"/>
        <w:ind w:firstLine="480" w:firstLineChars="200"/>
        <w:rPr>
          <w:rFonts w:ascii="宋体" w:hAnsi="宋体" w:cs="宋体"/>
          <w:sz w:val="24"/>
        </w:rPr>
      </w:pPr>
      <w:r>
        <w:rPr>
          <w:rFonts w:hint="eastAsia" w:ascii="宋体" w:hAnsi="宋体" w:cs="宋体"/>
          <w:sz w:val="24"/>
        </w:rPr>
        <w:t>根据《财政部 发展改革委 生态环境部 市场监管总局 关于调整优化节能产品、环境标志产品政府采购执行机制的通知》（财库〔2019〕9 号），对政府采购节能产品、环境标志产品实施品目清单管理。</w:t>
      </w:r>
    </w:p>
    <w:p w14:paraId="1922AD3D">
      <w:pPr>
        <w:spacing w:line="360" w:lineRule="auto"/>
        <w:ind w:firstLine="480" w:firstLineChars="200"/>
        <w:rPr>
          <w:rFonts w:ascii="宋体" w:hAnsi="宋体" w:cs="宋体"/>
          <w:sz w:val="24"/>
        </w:rPr>
      </w:pPr>
      <w:r>
        <w:rPr>
          <w:rFonts w:hint="eastAsia" w:ascii="宋体" w:hAnsi="宋体" w:cs="宋体"/>
          <w:sz w:val="24"/>
        </w:rPr>
        <w:t>节能产品是指列入财政部和发展改革委公布的《关于印发节能产品政府采购品目清单的通知》（财库〔2019〕19 号）《节能产品政府采购品目清单》中的产品，其中以“★”标注的为政府强制采购产品。</w:t>
      </w:r>
    </w:p>
    <w:p w14:paraId="205DA9D3">
      <w:pPr>
        <w:spacing w:line="360" w:lineRule="auto"/>
        <w:ind w:firstLine="480" w:firstLineChars="200"/>
        <w:rPr>
          <w:rFonts w:ascii="宋体" w:hAnsi="宋体" w:cs="宋体"/>
          <w:sz w:val="24"/>
        </w:rPr>
      </w:pPr>
      <w:r>
        <w:rPr>
          <w:rFonts w:hint="eastAsia" w:ascii="宋体" w:hAnsi="宋体" w:cs="宋体"/>
          <w:sz w:val="24"/>
        </w:rPr>
        <w:t xml:space="preserve">环境标志产品是指列入财政部和生态环境部公布的《关于印发环境标志产品政府采购品目清单的通知》（财库〔2019〕18 号）《环境标志产品政府采购品目清单》中的产品。 </w:t>
      </w:r>
    </w:p>
    <w:p w14:paraId="600F7222">
      <w:pPr>
        <w:spacing w:line="360" w:lineRule="auto"/>
        <w:ind w:firstLine="480" w:firstLineChars="200"/>
        <w:rPr>
          <w:rFonts w:ascii="宋体" w:hAnsi="宋体" w:cs="宋体"/>
          <w:sz w:val="24"/>
        </w:rPr>
      </w:pPr>
      <w:r>
        <w:rPr>
          <w:rFonts w:hint="eastAsia" w:ascii="宋体" w:hAnsi="宋体" w:cs="宋体"/>
          <w:sz w:val="24"/>
        </w:rPr>
        <w:t>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未提供有效的节能产品、环境标志产品认证证书，评标委员会在评审过程中将不予认可。</w:t>
      </w:r>
    </w:p>
    <w:p w14:paraId="2E780971">
      <w:pPr>
        <w:spacing w:line="360" w:lineRule="auto"/>
        <w:rPr>
          <w:rFonts w:ascii="宋体" w:hAnsi="宋体" w:cs="宋体"/>
          <w:b/>
          <w:sz w:val="24"/>
        </w:rPr>
      </w:pPr>
      <w:r>
        <w:rPr>
          <w:rFonts w:hint="eastAsia" w:ascii="宋体" w:hAnsi="宋体" w:cs="宋体"/>
          <w:b/>
          <w:sz w:val="24"/>
        </w:rPr>
        <w:t>3.8残疾人福利性单位</w:t>
      </w:r>
    </w:p>
    <w:p w14:paraId="53248851">
      <w:pPr>
        <w:spacing w:line="360" w:lineRule="auto"/>
        <w:ind w:firstLine="480" w:firstLineChars="200"/>
        <w:rPr>
          <w:rFonts w:ascii="宋体" w:hAnsi="宋体" w:cs="宋体"/>
          <w:sz w:val="24"/>
        </w:rPr>
      </w:pPr>
      <w:r>
        <w:rPr>
          <w:rFonts w:hint="eastAsia" w:ascii="宋体" w:hAnsi="宋体" w:cs="宋体"/>
          <w:sz w:val="24"/>
        </w:rPr>
        <w:t>根据《关于促进残疾人就业政府采购政策的通知》（财库〔2017〕141号）的规定，享受政府采购支持政策的残疾人福利性单位应当同时满足以下条件：</w:t>
      </w:r>
    </w:p>
    <w:p w14:paraId="0C94E92F">
      <w:pPr>
        <w:spacing w:line="360" w:lineRule="auto"/>
        <w:ind w:firstLine="480" w:firstLineChars="200"/>
        <w:rPr>
          <w:rFonts w:ascii="宋体" w:hAnsi="宋体" w:cs="宋体"/>
          <w:sz w:val="24"/>
        </w:rPr>
      </w:pPr>
      <w:r>
        <w:rPr>
          <w:rFonts w:hint="eastAsia" w:ascii="宋体" w:hAnsi="宋体" w:cs="宋体"/>
          <w:sz w:val="24"/>
        </w:rPr>
        <w:t>（一）安置的残疾人占本单位在职职工人数的比例不低于25%（含25%），并且安置的残疾人人数不少于10人（含10人）；</w:t>
      </w:r>
    </w:p>
    <w:p w14:paraId="44497154">
      <w:pPr>
        <w:spacing w:line="360" w:lineRule="auto"/>
        <w:ind w:firstLine="480" w:firstLineChars="200"/>
        <w:rPr>
          <w:rFonts w:ascii="宋体" w:hAnsi="宋体" w:cs="宋体"/>
          <w:sz w:val="24"/>
        </w:rPr>
      </w:pPr>
      <w:r>
        <w:rPr>
          <w:rFonts w:hint="eastAsia" w:ascii="宋体" w:hAnsi="宋体" w:cs="宋体"/>
          <w:sz w:val="24"/>
        </w:rPr>
        <w:t>（二）依法与安置的每位残疾人签订了一年以上（含一年）的劳动合同或服务协议；</w:t>
      </w:r>
    </w:p>
    <w:p w14:paraId="0297107C">
      <w:pPr>
        <w:spacing w:line="360" w:lineRule="auto"/>
        <w:ind w:firstLine="480" w:firstLineChars="200"/>
        <w:rPr>
          <w:rFonts w:ascii="宋体" w:hAnsi="宋体" w:cs="宋体"/>
          <w:sz w:val="24"/>
        </w:rPr>
      </w:pPr>
      <w:r>
        <w:rPr>
          <w:rFonts w:hint="eastAsia" w:ascii="宋体" w:hAnsi="宋体" w:cs="宋体"/>
          <w:sz w:val="24"/>
        </w:rPr>
        <w:t>（三）为安置的每位残疾人按月足额缴纳了基本养老保险、基本医疗保险、失业保险、工伤保险和生育保险等社会保险费；</w:t>
      </w:r>
    </w:p>
    <w:p w14:paraId="2C89A00E">
      <w:pPr>
        <w:spacing w:line="360" w:lineRule="auto"/>
        <w:ind w:firstLine="480" w:firstLineChars="200"/>
        <w:rPr>
          <w:rFonts w:ascii="宋体" w:hAnsi="宋体" w:cs="宋体"/>
          <w:sz w:val="24"/>
        </w:rPr>
      </w:pPr>
      <w:r>
        <w:rPr>
          <w:rFonts w:hint="eastAsia" w:ascii="宋体" w:hAnsi="宋体" w:cs="宋体"/>
          <w:sz w:val="24"/>
        </w:rPr>
        <w:t>（四）通过银行等金融机构向安置的每位残疾人，按月支付了不低于单位所在区县适用的经省级人民政府批准的月最低工资标准的工资；</w:t>
      </w:r>
    </w:p>
    <w:p w14:paraId="49D1D25B">
      <w:pPr>
        <w:spacing w:line="360" w:lineRule="auto"/>
        <w:ind w:firstLine="480" w:firstLineChars="200"/>
        <w:rPr>
          <w:rFonts w:ascii="宋体" w:hAnsi="宋体" w:cs="宋体"/>
          <w:sz w:val="24"/>
        </w:rPr>
      </w:pPr>
      <w:r>
        <w:rPr>
          <w:rFonts w:hint="eastAsia" w:ascii="宋体" w:hAnsi="宋体" w:cs="宋体"/>
          <w:sz w:val="24"/>
        </w:rPr>
        <w:t>（五）提供本单位制造的货物、承担的工程或者服务（以下简称产品），或者提供其他残疾人福利性单位制造的货物（不包括使用非残疾人福利性单位注册商标的货物）。</w:t>
      </w:r>
    </w:p>
    <w:p w14:paraId="0923DB7D">
      <w:pPr>
        <w:spacing w:line="360" w:lineRule="auto"/>
        <w:ind w:firstLine="480" w:firstLineChars="200"/>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3A4F4A7">
      <w:pPr>
        <w:spacing w:line="360" w:lineRule="auto"/>
        <w:ind w:firstLine="480" w:firstLineChars="200"/>
        <w:rPr>
          <w:rFonts w:ascii="宋体" w:hAnsi="宋体" w:cs="宋体"/>
          <w:sz w:val="24"/>
        </w:rPr>
      </w:pPr>
      <w:r>
        <w:rPr>
          <w:rFonts w:hint="eastAsia" w:ascii="宋体" w:hAnsi="宋体" w:cs="宋体"/>
          <w:sz w:val="24"/>
        </w:rPr>
        <w:t>符合条件的残疾人福利性单位在参加政府采购活动时，应当按《关于促进残疾人就业政府采购政策的通知》（财库〔2017〕141号）提供规定的《残疾人福利性单位声明函》，并对声明的真实性负责。</w:t>
      </w:r>
    </w:p>
    <w:p w14:paraId="2FE52EDF">
      <w:pPr>
        <w:spacing w:line="360" w:lineRule="auto"/>
        <w:ind w:firstLine="480" w:firstLineChars="200"/>
        <w:rPr>
          <w:rFonts w:ascii="宋体" w:hAnsi="宋体" w:cs="宋体"/>
          <w:sz w:val="24"/>
        </w:rPr>
      </w:pPr>
      <w:r>
        <w:rPr>
          <w:rFonts w:hint="eastAsia" w:ascii="宋体" w:hAnsi="宋体" w:cs="宋体"/>
          <w:sz w:val="24"/>
        </w:rPr>
        <w:t>本项目针对残疾人福利性单位产品的价格给予10%的扣除，用扣除后的价格参与评审。残疾人福利性单位属于小型、微型企业的，不重复享受政策。</w:t>
      </w:r>
    </w:p>
    <w:p w14:paraId="2F8271A8">
      <w:pPr>
        <w:spacing w:line="360" w:lineRule="auto"/>
        <w:ind w:firstLine="480" w:firstLineChars="200"/>
        <w:rPr>
          <w:rFonts w:ascii="宋体" w:hAnsi="宋体" w:cs="宋体"/>
          <w:sz w:val="24"/>
        </w:rPr>
      </w:pPr>
    </w:p>
    <w:p w14:paraId="0FC4AB7C"/>
    <w:p w14:paraId="5AED79CA">
      <w:bookmarkStart w:id="422" w:name="_GoBack"/>
      <w:bookmarkEnd w:id="422"/>
    </w:p>
    <w:p w14:paraId="49FC0D86"/>
    <w:p w14:paraId="0211F39A"/>
    <w:sectPr>
      <w:pgSz w:w="11906" w:h="16838"/>
      <w:pgMar w:top="1134" w:right="851" w:bottom="1304" w:left="1134" w:header="720" w:footer="720"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Light">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PMincho">
    <w:altName w:val="Yu Gothic"/>
    <w:panose1 w:val="00000000000000000000"/>
    <w:charset w:val="80"/>
    <w:family w:val="roman"/>
    <w:pitch w:val="default"/>
    <w:sig w:usb0="00000000" w:usb1="00000000" w:usb2="00000012" w:usb3="00000000" w:csb0="4002009F" w:csb1="DFD7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3392">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D00CB">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DD00CB">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B64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3C8A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43C8A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F136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9E69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39E69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B379">
    <w:pPr>
      <w:pStyle w:val="12"/>
      <w:pBdr>
        <w:bottom w:val="none" w:color="auto" w:sz="0" w:space="1"/>
      </w:pBdr>
    </w:pPr>
    <w:r>
      <w:rPr>
        <w:rFonts w:hint="eastAsia" w:hAnsi="宋体" w:cs="宋体"/>
        <w:kern w:val="2"/>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75E8">
    <w:pPr>
      <w:pStyle w:val="12"/>
      <w:jc w:val="both"/>
    </w:pPr>
    <w:r>
      <w:rPr>
        <w:rFonts w:hint="eastAsia" w:ascii="宋体"/>
        <w:lang w:val="en-GB"/>
      </w:rPr>
      <w:t xml:space="preserve">（项目名称）                                </w:t>
    </w:r>
    <w:r>
      <w:rPr>
        <w:rFonts w:hint="eastAsia" w:ascii="宋体"/>
      </w:rPr>
      <w:t xml:space="preserve">                                           招标编号：</w:t>
    </w:r>
    <w:r>
      <w:rPr>
        <w:rFonts w:hint="eastAsia" w:ascii="宋体"/>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FB23">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D3DB7F4"/>
    <w:multiLevelType w:val="singleLevel"/>
    <w:tmpl w:val="0D3DB7F4"/>
    <w:lvl w:ilvl="0" w:tentative="0">
      <w:start w:val="1"/>
      <w:numFmt w:val="decimal"/>
      <w:suff w:val="space"/>
      <w:lvlText w:val="%1."/>
      <w:lvlJc w:val="left"/>
    </w:lvl>
  </w:abstractNum>
  <w:abstractNum w:abstractNumId="2">
    <w:nsid w:val="1F9B38C5"/>
    <w:multiLevelType w:val="singleLevel"/>
    <w:tmpl w:val="1F9B38C5"/>
    <w:lvl w:ilvl="0" w:tentative="0">
      <w:start w:val="1"/>
      <w:numFmt w:val="decimal"/>
      <w:suff w:val="nothing"/>
      <w:lvlText w:val="%1、"/>
      <w:lvlJc w:val="left"/>
    </w:lvl>
  </w:abstractNum>
  <w:abstractNum w:abstractNumId="3">
    <w:nsid w:val="21F66BB3"/>
    <w:multiLevelType w:val="singleLevel"/>
    <w:tmpl w:val="21F66BB3"/>
    <w:lvl w:ilvl="0" w:tentative="0">
      <w:start w:val="1"/>
      <w:numFmt w:val="decimal"/>
      <w:suff w:val="nothing"/>
      <w:lvlText w:val="%1、"/>
      <w:lvlJc w:val="left"/>
    </w:lvl>
  </w:abstractNum>
  <w:abstractNum w:abstractNumId="4">
    <w:nsid w:val="28EA634E"/>
    <w:multiLevelType w:val="singleLevel"/>
    <w:tmpl w:val="28EA634E"/>
    <w:lvl w:ilvl="0" w:tentative="0">
      <w:start w:val="2"/>
      <w:numFmt w:val="decimal"/>
      <w:suff w:val="nothing"/>
      <w:lvlText w:val="%1、"/>
      <w:lvlJc w:val="left"/>
    </w:lvl>
  </w:abstractNum>
  <w:abstractNum w:abstractNumId="5">
    <w:nsid w:val="49E60F3D"/>
    <w:multiLevelType w:val="singleLevel"/>
    <w:tmpl w:val="49E60F3D"/>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03B3A"/>
    <w:rsid w:val="00732078"/>
    <w:rsid w:val="014D28C9"/>
    <w:rsid w:val="01A87AFF"/>
    <w:rsid w:val="0294264E"/>
    <w:rsid w:val="02A04DDA"/>
    <w:rsid w:val="03304250"/>
    <w:rsid w:val="03B95FF4"/>
    <w:rsid w:val="05191F24"/>
    <w:rsid w:val="052D6C99"/>
    <w:rsid w:val="0599432F"/>
    <w:rsid w:val="05CF7D50"/>
    <w:rsid w:val="069D1BFD"/>
    <w:rsid w:val="07661081"/>
    <w:rsid w:val="07A1571D"/>
    <w:rsid w:val="086F7443"/>
    <w:rsid w:val="08FB24E9"/>
    <w:rsid w:val="09075A53"/>
    <w:rsid w:val="093C394F"/>
    <w:rsid w:val="0A9652E1"/>
    <w:rsid w:val="0AD025A1"/>
    <w:rsid w:val="0B1114B2"/>
    <w:rsid w:val="0BF517B9"/>
    <w:rsid w:val="0D2070E4"/>
    <w:rsid w:val="0E7771D7"/>
    <w:rsid w:val="10765ACC"/>
    <w:rsid w:val="10C37048"/>
    <w:rsid w:val="1125116C"/>
    <w:rsid w:val="118E6D12"/>
    <w:rsid w:val="125A4E46"/>
    <w:rsid w:val="13B21089"/>
    <w:rsid w:val="13FB42E6"/>
    <w:rsid w:val="14605EC8"/>
    <w:rsid w:val="14E432DA"/>
    <w:rsid w:val="162C63AB"/>
    <w:rsid w:val="17186727"/>
    <w:rsid w:val="190D49C0"/>
    <w:rsid w:val="191915B7"/>
    <w:rsid w:val="19466124"/>
    <w:rsid w:val="1A187AC0"/>
    <w:rsid w:val="1B6C00C4"/>
    <w:rsid w:val="1BBE6445"/>
    <w:rsid w:val="1C3B1F3D"/>
    <w:rsid w:val="1D036806"/>
    <w:rsid w:val="1E2F6CB0"/>
    <w:rsid w:val="201725C8"/>
    <w:rsid w:val="20774B2D"/>
    <w:rsid w:val="20A7394C"/>
    <w:rsid w:val="211049F5"/>
    <w:rsid w:val="211368E4"/>
    <w:rsid w:val="214A5879"/>
    <w:rsid w:val="22106BF8"/>
    <w:rsid w:val="22511793"/>
    <w:rsid w:val="22833B1C"/>
    <w:rsid w:val="23C63A07"/>
    <w:rsid w:val="23D06D16"/>
    <w:rsid w:val="24A942EB"/>
    <w:rsid w:val="261F21D6"/>
    <w:rsid w:val="270F1E82"/>
    <w:rsid w:val="298D545F"/>
    <w:rsid w:val="2A07545B"/>
    <w:rsid w:val="2A0A4C52"/>
    <w:rsid w:val="2A24600D"/>
    <w:rsid w:val="2C9E3E55"/>
    <w:rsid w:val="2CD06A4D"/>
    <w:rsid w:val="2CDC497D"/>
    <w:rsid w:val="2E503B3A"/>
    <w:rsid w:val="2E933762"/>
    <w:rsid w:val="2F236894"/>
    <w:rsid w:val="2F727C6F"/>
    <w:rsid w:val="2F8135BA"/>
    <w:rsid w:val="2FD512D6"/>
    <w:rsid w:val="30006BD5"/>
    <w:rsid w:val="300776A7"/>
    <w:rsid w:val="303074BA"/>
    <w:rsid w:val="307044B8"/>
    <w:rsid w:val="313D45FC"/>
    <w:rsid w:val="31A321F2"/>
    <w:rsid w:val="3287538B"/>
    <w:rsid w:val="35B91D00"/>
    <w:rsid w:val="360718EA"/>
    <w:rsid w:val="38067197"/>
    <w:rsid w:val="38B60778"/>
    <w:rsid w:val="39227BBC"/>
    <w:rsid w:val="3B095C59"/>
    <w:rsid w:val="3B1B723C"/>
    <w:rsid w:val="3CAB5D4C"/>
    <w:rsid w:val="3D373032"/>
    <w:rsid w:val="3F850EA5"/>
    <w:rsid w:val="40D21EC7"/>
    <w:rsid w:val="417C7DAA"/>
    <w:rsid w:val="427327B0"/>
    <w:rsid w:val="461D5993"/>
    <w:rsid w:val="46C24024"/>
    <w:rsid w:val="470813E8"/>
    <w:rsid w:val="470B1C8F"/>
    <w:rsid w:val="4877388E"/>
    <w:rsid w:val="49596D2F"/>
    <w:rsid w:val="49634005"/>
    <w:rsid w:val="49FD607F"/>
    <w:rsid w:val="4B9D6145"/>
    <w:rsid w:val="4C9444D5"/>
    <w:rsid w:val="4D902EEE"/>
    <w:rsid w:val="4F802EB1"/>
    <w:rsid w:val="514069D9"/>
    <w:rsid w:val="519A07DF"/>
    <w:rsid w:val="53884592"/>
    <w:rsid w:val="544D1B39"/>
    <w:rsid w:val="55AE4859"/>
    <w:rsid w:val="58262DCD"/>
    <w:rsid w:val="5A4527C1"/>
    <w:rsid w:val="5A470297"/>
    <w:rsid w:val="5ACC13A7"/>
    <w:rsid w:val="5B0627FD"/>
    <w:rsid w:val="5CB607B2"/>
    <w:rsid w:val="5E9A1E1F"/>
    <w:rsid w:val="5EB629D1"/>
    <w:rsid w:val="5EC90B9D"/>
    <w:rsid w:val="5FDE3D79"/>
    <w:rsid w:val="603718EF"/>
    <w:rsid w:val="61882403"/>
    <w:rsid w:val="64151F48"/>
    <w:rsid w:val="65E87AC4"/>
    <w:rsid w:val="66C32347"/>
    <w:rsid w:val="68024591"/>
    <w:rsid w:val="68651A22"/>
    <w:rsid w:val="68EF0FB9"/>
    <w:rsid w:val="6B2F7D93"/>
    <w:rsid w:val="6DFA6436"/>
    <w:rsid w:val="6FCA5A5F"/>
    <w:rsid w:val="70115CB9"/>
    <w:rsid w:val="703A530B"/>
    <w:rsid w:val="70C42D2B"/>
    <w:rsid w:val="7121017E"/>
    <w:rsid w:val="71CC00E9"/>
    <w:rsid w:val="71FF30BB"/>
    <w:rsid w:val="729606F7"/>
    <w:rsid w:val="73307439"/>
    <w:rsid w:val="758E196D"/>
    <w:rsid w:val="76634D94"/>
    <w:rsid w:val="76665227"/>
    <w:rsid w:val="769907B6"/>
    <w:rsid w:val="7730186D"/>
    <w:rsid w:val="77F32D1E"/>
    <w:rsid w:val="787B741D"/>
    <w:rsid w:val="78DC7704"/>
    <w:rsid w:val="79075EAB"/>
    <w:rsid w:val="79A100AE"/>
    <w:rsid w:val="79C61689"/>
    <w:rsid w:val="79FF4DD4"/>
    <w:rsid w:val="7CA103C5"/>
    <w:rsid w:val="7D7635FF"/>
    <w:rsid w:val="7D7B0C16"/>
    <w:rsid w:val="7D7B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3"/>
    <w:basedOn w:val="1"/>
    <w:next w:val="1"/>
    <w:qFormat/>
    <w:uiPriority w:val="0"/>
    <w:pPr>
      <w:numPr>
        <w:ilvl w:val="2"/>
        <w:numId w:val="1"/>
      </w:numPr>
      <w:tabs>
        <w:tab w:val="left" w:pos="360"/>
        <w:tab w:val="left" w:pos="900"/>
      </w:tabs>
      <w:adjustRightInd w:val="0"/>
      <w:spacing w:before="120" w:line="360" w:lineRule="auto"/>
      <w:textAlignment w:val="baseline"/>
      <w:outlineLvl w:val="2"/>
    </w:pPr>
    <w:rPr>
      <w:rFonts w:eastAsia="黑体"/>
      <w:b/>
      <w:kern w:val="0"/>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firstLineChars="200"/>
      <w:jc w:val="left"/>
    </w:pPr>
    <w:rPr>
      <w:kern w:val="0"/>
      <w:sz w:val="20"/>
      <w:szCs w:val="20"/>
    </w:rPr>
  </w:style>
  <w:style w:type="paragraph" w:styleId="6">
    <w:name w:val="Document Map"/>
    <w:basedOn w:val="1"/>
    <w:qFormat/>
    <w:uiPriority w:val="0"/>
    <w:rPr>
      <w:rFonts w:ascii="@Yu Mincho Light"/>
      <w:kern w:val="0"/>
      <w:sz w:val="18"/>
      <w:szCs w:val="18"/>
    </w:rPr>
  </w:style>
  <w:style w:type="paragraph" w:styleId="7">
    <w:name w:val="Body Text"/>
    <w:basedOn w:val="1"/>
    <w:qFormat/>
    <w:uiPriority w:val="99"/>
    <w:pPr>
      <w:spacing w:after="120"/>
    </w:pPr>
    <w:rPr>
      <w:rFonts w:ascii="Calibri" w:hAnsi="Calibri"/>
      <w:kern w:val="0"/>
      <w:sz w:val="20"/>
    </w:rPr>
  </w:style>
  <w:style w:type="paragraph" w:styleId="8">
    <w:name w:val="Body Text Indent"/>
    <w:basedOn w:val="1"/>
    <w:qFormat/>
    <w:uiPriority w:val="99"/>
    <w:pPr>
      <w:spacing w:line="360" w:lineRule="auto"/>
      <w:ind w:firstLine="461" w:firstLineChars="192"/>
    </w:pPr>
    <w:rPr>
      <w:rFonts w:ascii="仿宋_GB2312" w:hAnsi="华文仿宋" w:eastAsia="仿宋_GB2312"/>
      <w:sz w:val="24"/>
      <w:szCs w:val="20"/>
    </w:rPr>
  </w:style>
  <w:style w:type="paragraph" w:styleId="9">
    <w:name w:val="toc 3"/>
    <w:basedOn w:val="1"/>
    <w:next w:val="1"/>
    <w:qFormat/>
    <w:uiPriority w:val="39"/>
    <w:pPr>
      <w:widowControl/>
      <w:spacing w:after="100" w:line="276" w:lineRule="auto"/>
      <w:ind w:left="440" w:firstLine="200" w:firstLineChars="200"/>
      <w:jc w:val="left"/>
    </w:pPr>
    <w:rPr>
      <w:rFonts w:eastAsia="仿宋_GB2312" w:cs="楷体"/>
      <w:kern w:val="0"/>
      <w:sz w:val="22"/>
      <w:shd w:val="clear" w:color="FFFFFF" w:fill="auto"/>
    </w:rPr>
  </w:style>
  <w:style w:type="paragraph" w:styleId="10">
    <w:name w:val="Plain Text"/>
    <w:basedOn w:val="1"/>
    <w:qFormat/>
    <w:uiPriority w:val="0"/>
    <w:rPr>
      <w:rFonts w:ascii="宋体" w:hAnsi="Calibri"/>
      <w:kern w:val="0"/>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39"/>
    <w:pPr>
      <w:tabs>
        <w:tab w:val="right" w:leader="dot" w:pos="9628"/>
      </w:tabs>
      <w:spacing w:before="120" w:after="120"/>
      <w:ind w:firstLine="74" w:firstLineChars="74"/>
      <w:jc w:val="left"/>
    </w:pPr>
    <w:rPr>
      <w:b/>
      <w:bCs/>
      <w:caps/>
      <w:sz w:val="20"/>
      <w:szCs w:val="20"/>
    </w:rPr>
  </w:style>
  <w:style w:type="paragraph" w:styleId="14">
    <w:name w:val="toc 2"/>
    <w:basedOn w:val="1"/>
    <w:next w:val="1"/>
    <w:qFormat/>
    <w:uiPriority w:val="39"/>
    <w:pPr>
      <w:tabs>
        <w:tab w:val="right" w:leader="dot" w:pos="9628"/>
      </w:tabs>
      <w:spacing w:line="260" w:lineRule="exact"/>
      <w:ind w:left="210"/>
      <w:jc w:val="left"/>
    </w:pPr>
    <w:rPr>
      <w:smallCaps/>
      <w:sz w:val="20"/>
      <w:szCs w:val="20"/>
    </w:rPr>
  </w:style>
  <w:style w:type="paragraph" w:styleId="15">
    <w:name w:val="Body Text First Indent 2"/>
    <w:basedOn w:val="8"/>
    <w:qFormat/>
    <w:uiPriority w:val="0"/>
    <w:pPr>
      <w:ind w:firstLine="420"/>
    </w:pPr>
  </w:style>
  <w:style w:type="character" w:styleId="18">
    <w:name w:val="Hyperlink"/>
    <w:qFormat/>
    <w:uiPriority w:val="99"/>
    <w:rPr>
      <w:color w:val="0000FF"/>
      <w:u w:val="single"/>
    </w:rPr>
  </w:style>
  <w:style w:type="paragraph" w:styleId="19">
    <w:name w:val="List Paragraph"/>
    <w:basedOn w:val="1"/>
    <w:qFormat/>
    <w:uiPriority w:val="34"/>
    <w:pPr>
      <w:ind w:firstLine="420" w:firstLineChars="200"/>
    </w:pPr>
  </w:style>
  <w:style w:type="paragraph" w:customStyle="1" w:styleId="20">
    <w:name w:val="_正文"/>
    <w:qFormat/>
    <w:uiPriority w:val="0"/>
    <w:pPr>
      <w:widowControl w:val="0"/>
      <w:spacing w:line="360" w:lineRule="auto"/>
      <w:jc w:val="both"/>
    </w:pPr>
    <w:rPr>
      <w:rFonts w:ascii="宋体" w:hAnsi="宋体" w:eastAsia="宋体" w:cs="宋体"/>
      <w:bCs/>
      <w:kern w:val="2"/>
      <w:sz w:val="21"/>
      <w:szCs w:val="36"/>
      <w:lang w:val="en-US" w:eastAsia="zh-CN" w:bidi="ar-SA"/>
    </w:rPr>
  </w:style>
  <w:style w:type="paragraph" w:customStyle="1" w:styleId="21">
    <w:name w:val="Table Text"/>
    <w:basedOn w:val="1"/>
    <w:semiHidden/>
    <w:qFormat/>
    <w:uiPriority w:val="0"/>
    <w:rPr>
      <w:rFonts w:ascii="仿宋" w:hAnsi="仿宋" w:eastAsia="仿宋" w:cs="仿宋"/>
      <w:sz w:val="28"/>
      <w:szCs w:val="28"/>
      <w:lang w:val="en-US" w:eastAsia="en-US" w:bidi="ar-SA"/>
    </w:rPr>
  </w:style>
  <w:style w:type="paragraph" w:customStyle="1" w:styleId="22">
    <w:name w:val="Table Paragraph"/>
    <w:basedOn w:val="1"/>
    <w:qFormat/>
    <w:uiPriority w:val="1"/>
    <w:pPr>
      <w:spacing w:line="292" w:lineRule="exact"/>
    </w:pPr>
    <w:rPr>
      <w:rFonts w:ascii="@MS PMincho" w:hAnsi="@MS PMincho" w:eastAsia="@MS PMincho" w:cs="@MS PMincho"/>
      <w:szCs w:val="22"/>
      <w:lang w:val="zh-CN" w:bidi="zh-CN"/>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列出段落2"/>
    <w:basedOn w:val="1"/>
    <w:qFormat/>
    <w:uiPriority w:val="34"/>
    <w:pPr>
      <w:adjustRightInd w:val="0"/>
      <w:spacing w:line="312" w:lineRule="atLeast"/>
      <w:ind w:firstLine="420" w:firstLineChars="200"/>
      <w:textAlignment w:val="baseline"/>
    </w:pPr>
    <w:rPr>
      <w:rFonts w:ascii="@MS PMincho" w:hAnsi="@MS PMincho"/>
      <w:kern w:val="0"/>
      <w:szCs w:val="20"/>
    </w:rPr>
  </w:style>
  <w:style w:type="paragraph" w:customStyle="1" w:styleId="25">
    <w:name w:val="p0"/>
    <w:basedOn w:val="1"/>
    <w:qFormat/>
    <w:uiPriority w:val="0"/>
    <w:pPr>
      <w:widowControl/>
    </w:pPr>
    <w:rPr>
      <w:rFonts w:ascii="@MS PMincho" w:hAnsi="@MS PMincho"/>
      <w:kern w:val="0"/>
    </w:rPr>
  </w:style>
  <w:style w:type="paragraph" w:customStyle="1" w:styleId="26">
    <w:name w:val="Normal_1"/>
    <w:autoRedefine/>
    <w:qFormat/>
    <w:uiPriority w:val="0"/>
    <w:pPr>
      <w:widowControl w:val="0"/>
      <w:spacing w:after="200" w:line="276" w:lineRule="auto"/>
      <w:jc w:val="both"/>
    </w:pPr>
    <w:rPr>
      <w:rFonts w:ascii="Calibri" w:hAnsi="Calibri" w:eastAsia="Calibri"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28185</Words>
  <Characters>30267</Characters>
  <Lines>0</Lines>
  <Paragraphs>0</Paragraphs>
  <TotalTime>0</TotalTime>
  <ScaleCrop>false</ScaleCrop>
  <LinksUpToDate>false</LinksUpToDate>
  <CharactersWithSpaces>32466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2026-01-05T09:15:00Z</dcterms:created>
  <dc:creator>Administrator</dc:creator>
  <cp:lastModifiedBy>云南省楚雄彝族自治州气象局</cp:lastModifiedBy>
  <dcterms:modified xsi:type="dcterms:W3CDTF">2026-06-08T11:08:06Z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7DD24D3435FB4608AF2FA99A68D31DAD_11</vt:lpwstr>
  </property>
  <property fmtid="{D5CDD505-2E9C-101B-9397-08002B2CF9AE}" pid="4" name="KSOTemplateDocerSaveRecord">
    <vt:lpwstr>eyJoZGlkIjoiYTdhZDk2NDJiODA4ZGNjOGU5OTcyMjhkOGRjMTFkNzciLCJ1c2VySWQiOiIyNTk5NTIzNzIifQ==</vt:lpwstr>
  </property>
</Properties>
</file>