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F020C">
      <w:pPr>
        <w:pStyle w:val="26"/>
        <w:adjustRightInd w:val="0"/>
        <w:snapToGrid w:val="0"/>
        <w:spacing w:line="360" w:lineRule="auto"/>
        <w:jc w:val="center"/>
        <w:rPr>
          <w:rFonts w:hint="eastAsia" w:ascii="仿宋" w:hAnsi="仿宋" w:eastAsia="仿宋" w:cs="仿宋"/>
          <w:b/>
          <w:color w:val="auto"/>
          <w:sz w:val="44"/>
          <w:szCs w:val="44"/>
          <w:highlight w:val="none"/>
        </w:rPr>
      </w:pPr>
      <w:bookmarkStart w:id="0" w:name="第二部分第六章"/>
    </w:p>
    <w:p w14:paraId="2273937D">
      <w:pPr>
        <w:pStyle w:val="26"/>
        <w:adjustRightInd w:val="0"/>
        <w:snapToGrid w:val="0"/>
        <w:spacing w:line="360" w:lineRule="auto"/>
        <w:jc w:val="center"/>
        <w:rPr>
          <w:rFonts w:hint="default" w:ascii="仿宋" w:hAnsi="仿宋" w:eastAsia="仿宋" w:cs="仿宋"/>
          <w:b/>
          <w:bCs/>
          <w:color w:val="auto"/>
          <w:sz w:val="40"/>
          <w:szCs w:val="40"/>
          <w:highlight w:val="none"/>
          <w:lang w:val="en-US" w:eastAsia="zh-CN"/>
        </w:rPr>
      </w:pPr>
      <w:r>
        <w:rPr>
          <w:rFonts w:hint="eastAsia" w:ascii="仿宋" w:hAnsi="仿宋" w:eastAsia="仿宋" w:cs="仿宋"/>
          <w:b/>
          <w:bCs/>
          <w:color w:val="auto"/>
          <w:sz w:val="40"/>
          <w:szCs w:val="40"/>
          <w:highlight w:val="none"/>
          <w:lang w:eastAsia="zh-CN"/>
        </w:rPr>
        <w:t>“健康新疆之时令节气与健康”健康科普网络直播服务项目</w:t>
      </w:r>
    </w:p>
    <w:p w14:paraId="51734E56">
      <w:pPr>
        <w:pStyle w:val="26"/>
        <w:adjustRightInd w:val="0"/>
        <w:snapToGrid w:val="0"/>
        <w:spacing w:line="360" w:lineRule="auto"/>
        <w:jc w:val="center"/>
        <w:rPr>
          <w:rFonts w:hint="eastAsia" w:ascii="仿宋" w:hAnsi="仿宋" w:eastAsia="仿宋" w:cs="仿宋"/>
          <w:color w:val="auto"/>
          <w:szCs w:val="24"/>
          <w:highlight w:val="none"/>
        </w:rPr>
      </w:pPr>
      <w:r>
        <w:rPr>
          <w:rFonts w:hint="eastAsia" w:ascii="仿宋" w:hAnsi="仿宋" w:eastAsia="仿宋" w:cs="仿宋"/>
          <w:b/>
          <w:bCs/>
          <w:color w:val="auto"/>
          <w:sz w:val="36"/>
          <w:szCs w:val="36"/>
          <w:highlight w:val="none"/>
          <w:lang w:eastAsia="zh-CN"/>
        </w:rPr>
        <w:t>项目编号：XJXH-2026-Z-038</w:t>
      </w:r>
    </w:p>
    <w:p w14:paraId="57423677">
      <w:pPr>
        <w:pStyle w:val="26"/>
        <w:adjustRightInd w:val="0"/>
        <w:snapToGrid w:val="0"/>
        <w:spacing w:line="360" w:lineRule="auto"/>
        <w:jc w:val="center"/>
        <w:rPr>
          <w:rFonts w:hint="eastAsia" w:ascii="仿宋" w:hAnsi="仿宋" w:eastAsia="仿宋" w:cs="仿宋"/>
          <w:color w:val="auto"/>
          <w:szCs w:val="24"/>
          <w:highlight w:val="none"/>
        </w:rPr>
      </w:pPr>
    </w:p>
    <w:p w14:paraId="060EF80F">
      <w:pPr>
        <w:pStyle w:val="26"/>
        <w:adjustRightInd w:val="0"/>
        <w:snapToGrid w:val="0"/>
        <w:spacing w:line="360" w:lineRule="auto"/>
        <w:jc w:val="center"/>
        <w:rPr>
          <w:rFonts w:hint="eastAsia" w:ascii="仿宋" w:hAnsi="仿宋" w:eastAsia="仿宋" w:cs="仿宋"/>
          <w:b/>
          <w:color w:val="auto"/>
          <w:szCs w:val="24"/>
          <w:highlight w:val="none"/>
        </w:rPr>
      </w:pPr>
    </w:p>
    <w:p w14:paraId="79683731">
      <w:pPr>
        <w:pStyle w:val="26"/>
        <w:adjustRightInd w:val="0"/>
        <w:snapToGrid w:val="0"/>
        <w:spacing w:line="360" w:lineRule="auto"/>
        <w:jc w:val="center"/>
        <w:rPr>
          <w:rFonts w:hint="eastAsia" w:ascii="仿宋" w:hAnsi="仿宋" w:eastAsia="仿宋" w:cs="仿宋"/>
          <w:b/>
          <w:color w:val="auto"/>
          <w:sz w:val="72"/>
          <w:szCs w:val="96"/>
          <w:highlight w:val="none"/>
        </w:rPr>
      </w:pPr>
      <w:r>
        <w:rPr>
          <w:rFonts w:hint="eastAsia" w:ascii="仿宋" w:hAnsi="仿宋" w:eastAsia="仿宋" w:cs="仿宋"/>
          <w:b/>
          <w:color w:val="auto"/>
          <w:sz w:val="56"/>
          <w:szCs w:val="60"/>
          <w:highlight w:val="none"/>
          <w:lang w:eastAsia="zh-CN"/>
        </w:rPr>
        <w:t>竞</w:t>
      </w:r>
      <w:r>
        <w:rPr>
          <w:rFonts w:hint="eastAsia" w:ascii="仿宋" w:hAnsi="仿宋" w:eastAsia="仿宋" w:cs="仿宋"/>
          <w:b/>
          <w:color w:val="auto"/>
          <w:sz w:val="56"/>
          <w:szCs w:val="60"/>
          <w:highlight w:val="none"/>
          <w:lang w:val="en-US" w:eastAsia="zh-CN"/>
        </w:rPr>
        <w:t xml:space="preserve"> </w:t>
      </w:r>
      <w:r>
        <w:rPr>
          <w:rFonts w:hint="eastAsia" w:ascii="仿宋" w:hAnsi="仿宋" w:eastAsia="仿宋" w:cs="仿宋"/>
          <w:b/>
          <w:color w:val="auto"/>
          <w:sz w:val="56"/>
          <w:szCs w:val="60"/>
          <w:highlight w:val="none"/>
          <w:lang w:eastAsia="zh-CN"/>
        </w:rPr>
        <w:t>争</w:t>
      </w:r>
      <w:r>
        <w:rPr>
          <w:rFonts w:hint="eastAsia" w:ascii="仿宋" w:hAnsi="仿宋" w:eastAsia="仿宋" w:cs="仿宋"/>
          <w:b/>
          <w:color w:val="auto"/>
          <w:sz w:val="56"/>
          <w:szCs w:val="60"/>
          <w:highlight w:val="none"/>
          <w:lang w:val="en-US" w:eastAsia="zh-CN"/>
        </w:rPr>
        <w:t xml:space="preserve"> </w:t>
      </w:r>
      <w:r>
        <w:rPr>
          <w:rFonts w:hint="eastAsia" w:ascii="仿宋" w:hAnsi="仿宋" w:eastAsia="仿宋" w:cs="仿宋"/>
          <w:b/>
          <w:color w:val="auto"/>
          <w:sz w:val="56"/>
          <w:szCs w:val="60"/>
          <w:highlight w:val="none"/>
          <w:lang w:eastAsia="zh-CN"/>
        </w:rPr>
        <w:t>性</w:t>
      </w:r>
      <w:r>
        <w:rPr>
          <w:rFonts w:hint="eastAsia" w:ascii="仿宋" w:hAnsi="仿宋" w:eastAsia="仿宋" w:cs="仿宋"/>
          <w:b/>
          <w:color w:val="auto"/>
          <w:sz w:val="56"/>
          <w:szCs w:val="60"/>
          <w:highlight w:val="none"/>
          <w:lang w:val="en-US" w:eastAsia="zh-CN"/>
        </w:rPr>
        <w:t xml:space="preserve"> </w:t>
      </w:r>
      <w:r>
        <w:rPr>
          <w:rFonts w:hint="eastAsia" w:ascii="仿宋" w:hAnsi="仿宋" w:eastAsia="仿宋" w:cs="仿宋"/>
          <w:b/>
          <w:color w:val="auto"/>
          <w:sz w:val="56"/>
          <w:szCs w:val="60"/>
          <w:highlight w:val="none"/>
          <w:lang w:eastAsia="zh-CN"/>
        </w:rPr>
        <w:t>磋</w:t>
      </w:r>
      <w:r>
        <w:rPr>
          <w:rFonts w:hint="eastAsia" w:ascii="仿宋" w:hAnsi="仿宋" w:eastAsia="仿宋" w:cs="仿宋"/>
          <w:b/>
          <w:color w:val="auto"/>
          <w:sz w:val="56"/>
          <w:szCs w:val="60"/>
          <w:highlight w:val="none"/>
          <w:lang w:val="en-US" w:eastAsia="zh-CN"/>
        </w:rPr>
        <w:t xml:space="preserve"> </w:t>
      </w:r>
      <w:r>
        <w:rPr>
          <w:rFonts w:hint="eastAsia" w:ascii="仿宋" w:hAnsi="仿宋" w:eastAsia="仿宋" w:cs="仿宋"/>
          <w:b/>
          <w:color w:val="auto"/>
          <w:sz w:val="56"/>
          <w:szCs w:val="60"/>
          <w:highlight w:val="none"/>
          <w:lang w:eastAsia="zh-CN"/>
        </w:rPr>
        <w:t>商</w:t>
      </w:r>
      <w:r>
        <w:rPr>
          <w:rFonts w:hint="eastAsia" w:ascii="仿宋" w:hAnsi="仿宋" w:eastAsia="仿宋" w:cs="仿宋"/>
          <w:b/>
          <w:color w:val="auto"/>
          <w:sz w:val="56"/>
          <w:szCs w:val="60"/>
          <w:highlight w:val="none"/>
          <w:lang w:val="en-US" w:eastAsia="zh-CN"/>
        </w:rPr>
        <w:t xml:space="preserve"> </w:t>
      </w:r>
      <w:r>
        <w:rPr>
          <w:rFonts w:hint="eastAsia" w:ascii="仿宋" w:hAnsi="仿宋" w:eastAsia="仿宋" w:cs="仿宋"/>
          <w:b/>
          <w:color w:val="auto"/>
          <w:sz w:val="56"/>
          <w:szCs w:val="60"/>
          <w:highlight w:val="none"/>
        </w:rPr>
        <w:t>文</w:t>
      </w:r>
      <w:r>
        <w:rPr>
          <w:rFonts w:hint="eastAsia" w:ascii="仿宋" w:hAnsi="仿宋" w:eastAsia="仿宋" w:cs="仿宋"/>
          <w:b/>
          <w:color w:val="auto"/>
          <w:sz w:val="56"/>
          <w:szCs w:val="60"/>
          <w:highlight w:val="none"/>
          <w:lang w:val="en-US" w:eastAsia="zh-CN"/>
        </w:rPr>
        <w:t xml:space="preserve"> </w:t>
      </w:r>
      <w:r>
        <w:rPr>
          <w:rFonts w:hint="eastAsia" w:ascii="仿宋" w:hAnsi="仿宋" w:eastAsia="仿宋" w:cs="仿宋"/>
          <w:b/>
          <w:color w:val="auto"/>
          <w:sz w:val="56"/>
          <w:szCs w:val="60"/>
          <w:highlight w:val="none"/>
        </w:rPr>
        <w:t>件</w:t>
      </w:r>
    </w:p>
    <w:p w14:paraId="2182884B">
      <w:pPr>
        <w:pStyle w:val="26"/>
        <w:adjustRightInd w:val="0"/>
        <w:snapToGrid w:val="0"/>
        <w:spacing w:line="360" w:lineRule="auto"/>
        <w:rPr>
          <w:rFonts w:hint="eastAsia" w:ascii="仿宋" w:hAnsi="仿宋" w:eastAsia="仿宋" w:cs="仿宋"/>
          <w:b/>
          <w:color w:val="auto"/>
          <w:sz w:val="32"/>
          <w:szCs w:val="32"/>
          <w:highlight w:val="none"/>
        </w:rPr>
      </w:pPr>
    </w:p>
    <w:p w14:paraId="14719A47">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color w:val="auto"/>
          <w:sz w:val="36"/>
          <w:szCs w:val="44"/>
          <w:highlight w:val="none"/>
        </w:rPr>
      </w:pPr>
    </w:p>
    <w:p w14:paraId="3F1B373B">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color w:val="auto"/>
          <w:sz w:val="32"/>
          <w:szCs w:val="40"/>
          <w:highlight w:val="none"/>
          <w:lang w:eastAsia="zh-CN"/>
        </w:rPr>
      </w:pPr>
      <w:r>
        <w:rPr>
          <w:rFonts w:hint="eastAsia" w:ascii="仿宋" w:hAnsi="仿宋" w:eastAsia="仿宋" w:cs="仿宋"/>
          <w:color w:val="auto"/>
          <w:sz w:val="32"/>
          <w:szCs w:val="40"/>
          <w:highlight w:val="none"/>
        </w:rPr>
        <w:t>采 购 人：</w:t>
      </w:r>
      <w:r>
        <w:rPr>
          <w:rFonts w:hint="eastAsia" w:ascii="仿宋" w:hAnsi="仿宋" w:eastAsia="仿宋" w:cs="仿宋"/>
          <w:color w:val="auto"/>
          <w:sz w:val="32"/>
          <w:szCs w:val="40"/>
          <w:highlight w:val="none"/>
          <w:lang w:eastAsia="zh-CN"/>
        </w:rPr>
        <w:t>新疆维吾尔自治区卫生健康宣传教育中心</w:t>
      </w:r>
    </w:p>
    <w:p w14:paraId="13402903">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color w:val="auto"/>
          <w:sz w:val="32"/>
          <w:szCs w:val="40"/>
          <w:highlight w:val="none"/>
          <w:lang w:eastAsia="zh-CN"/>
        </w:rPr>
      </w:pPr>
      <w:r>
        <w:rPr>
          <w:rFonts w:hint="eastAsia" w:ascii="仿宋" w:hAnsi="仿宋" w:eastAsia="仿宋" w:cs="仿宋"/>
          <w:color w:val="auto"/>
          <w:sz w:val="32"/>
          <w:szCs w:val="40"/>
          <w:highlight w:val="none"/>
          <w:lang w:eastAsia="zh-CN"/>
        </w:rPr>
        <w:t>联系人：高杨</w:t>
      </w:r>
    </w:p>
    <w:p w14:paraId="3CD64FC5">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color w:val="auto"/>
          <w:sz w:val="32"/>
          <w:szCs w:val="40"/>
          <w:highlight w:val="none"/>
          <w:lang w:eastAsia="zh-CN"/>
        </w:rPr>
      </w:pPr>
      <w:r>
        <w:rPr>
          <w:rFonts w:hint="eastAsia" w:ascii="仿宋" w:hAnsi="仿宋" w:eastAsia="仿宋" w:cs="仿宋"/>
          <w:color w:val="auto"/>
          <w:sz w:val="32"/>
          <w:szCs w:val="40"/>
          <w:highlight w:val="none"/>
          <w:lang w:eastAsia="zh-CN"/>
        </w:rPr>
        <w:t>电话：0991-2816103</w:t>
      </w:r>
    </w:p>
    <w:p w14:paraId="442AC430">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color w:val="auto"/>
          <w:sz w:val="32"/>
          <w:szCs w:val="40"/>
          <w:highlight w:val="none"/>
          <w:lang w:eastAsia="zh-CN"/>
        </w:rPr>
      </w:pPr>
      <w:r>
        <w:rPr>
          <w:rFonts w:hint="eastAsia" w:ascii="仿宋" w:hAnsi="仿宋" w:eastAsia="仿宋" w:cs="仿宋"/>
          <w:color w:val="auto"/>
          <w:sz w:val="32"/>
          <w:szCs w:val="40"/>
          <w:highlight w:val="none"/>
          <w:lang w:eastAsia="zh-CN"/>
        </w:rPr>
        <w:t>地址：昆明路西一巷127号</w:t>
      </w:r>
    </w:p>
    <w:p w14:paraId="488BCE06">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color w:val="auto"/>
          <w:sz w:val="32"/>
          <w:szCs w:val="40"/>
          <w:highlight w:val="none"/>
          <w:lang w:val="en-US" w:eastAsia="zh-CN"/>
        </w:rPr>
      </w:pPr>
      <w:r>
        <w:rPr>
          <w:rFonts w:hint="eastAsia" w:ascii="仿宋" w:hAnsi="仿宋" w:eastAsia="仿宋" w:cs="仿宋"/>
          <w:color w:val="auto"/>
          <w:sz w:val="32"/>
          <w:szCs w:val="40"/>
          <w:highlight w:val="none"/>
          <w:lang w:val="en-US" w:eastAsia="zh-CN"/>
        </w:rPr>
        <w:t>---------------------------------------------</w:t>
      </w:r>
    </w:p>
    <w:p w14:paraId="2E70F0C2">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color w:val="auto"/>
          <w:sz w:val="32"/>
          <w:szCs w:val="40"/>
          <w:highlight w:val="none"/>
          <w:lang w:eastAsia="zh-CN"/>
        </w:rPr>
      </w:pPr>
      <w:bookmarkStart w:id="1" w:name="_Hlk99472014"/>
      <w:r>
        <w:rPr>
          <w:rFonts w:hint="eastAsia" w:ascii="仿宋" w:hAnsi="仿宋" w:eastAsia="仿宋" w:cs="仿宋"/>
          <w:color w:val="auto"/>
          <w:sz w:val="32"/>
          <w:szCs w:val="40"/>
          <w:highlight w:val="none"/>
          <w:lang w:eastAsia="zh-CN"/>
        </w:rPr>
        <w:t>招标代理机构</w:t>
      </w:r>
      <w:r>
        <w:rPr>
          <w:rFonts w:hint="eastAsia" w:ascii="仿宋" w:hAnsi="仿宋" w:eastAsia="仿宋" w:cs="仿宋"/>
          <w:color w:val="auto"/>
          <w:sz w:val="32"/>
          <w:szCs w:val="40"/>
          <w:highlight w:val="none"/>
        </w:rPr>
        <w:t>：</w:t>
      </w:r>
      <w:r>
        <w:rPr>
          <w:rFonts w:hint="eastAsia" w:ascii="仿宋" w:hAnsi="仿宋" w:eastAsia="仿宋" w:cs="仿宋"/>
          <w:color w:val="auto"/>
          <w:sz w:val="32"/>
          <w:szCs w:val="40"/>
          <w:highlight w:val="none"/>
          <w:lang w:eastAsia="zh-CN"/>
        </w:rPr>
        <w:t>新疆旭辉项目管理有限公司</w:t>
      </w:r>
    </w:p>
    <w:p w14:paraId="53AF5699">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color w:val="auto"/>
          <w:sz w:val="32"/>
          <w:szCs w:val="40"/>
          <w:highlight w:val="none"/>
          <w:lang w:eastAsia="zh-CN"/>
        </w:rPr>
      </w:pPr>
      <w:r>
        <w:rPr>
          <w:rFonts w:hint="eastAsia" w:ascii="仿宋" w:hAnsi="仿宋" w:eastAsia="仿宋" w:cs="仿宋"/>
          <w:color w:val="auto"/>
          <w:sz w:val="32"/>
          <w:szCs w:val="40"/>
          <w:highlight w:val="none"/>
          <w:lang w:eastAsia="zh-CN"/>
        </w:rPr>
        <w:t>联系人：谢楠</w:t>
      </w:r>
    </w:p>
    <w:p w14:paraId="7F2D1F75">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color w:val="auto"/>
          <w:sz w:val="32"/>
          <w:szCs w:val="40"/>
          <w:highlight w:val="none"/>
          <w:lang w:val="en-US" w:eastAsia="zh-CN"/>
        </w:rPr>
      </w:pPr>
      <w:r>
        <w:rPr>
          <w:rFonts w:hint="eastAsia" w:ascii="仿宋" w:hAnsi="仿宋" w:eastAsia="仿宋" w:cs="仿宋"/>
          <w:color w:val="auto"/>
          <w:sz w:val="32"/>
          <w:szCs w:val="40"/>
          <w:highlight w:val="none"/>
          <w:lang w:eastAsia="zh-CN"/>
        </w:rPr>
        <w:t>电话：</w:t>
      </w:r>
      <w:r>
        <w:rPr>
          <w:rFonts w:hint="eastAsia" w:ascii="仿宋" w:hAnsi="仿宋" w:eastAsia="仿宋" w:cs="仿宋"/>
          <w:color w:val="auto"/>
          <w:sz w:val="32"/>
          <w:szCs w:val="40"/>
          <w:highlight w:val="none"/>
          <w:lang w:val="en-US" w:eastAsia="zh-CN"/>
        </w:rPr>
        <w:t>0991-3651985</w:t>
      </w:r>
    </w:p>
    <w:p w14:paraId="36C1753B">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仿宋" w:hAnsi="仿宋" w:eastAsia="仿宋" w:cs="仿宋"/>
          <w:b/>
          <w:color w:val="auto"/>
          <w:sz w:val="28"/>
          <w:szCs w:val="28"/>
          <w:highlight w:val="none"/>
        </w:rPr>
      </w:pPr>
      <w:r>
        <w:rPr>
          <w:rFonts w:hint="eastAsia" w:ascii="仿宋" w:hAnsi="仿宋" w:eastAsia="仿宋" w:cs="仿宋"/>
          <w:color w:val="auto"/>
          <w:sz w:val="32"/>
          <w:szCs w:val="40"/>
          <w:highlight w:val="none"/>
          <w:lang w:eastAsia="zh-CN"/>
        </w:rPr>
        <w:t>地址：乌鲁木齐市北京南路盈科国际中心</w:t>
      </w:r>
      <w:r>
        <w:rPr>
          <w:rFonts w:hint="eastAsia" w:ascii="仿宋" w:hAnsi="仿宋" w:eastAsia="仿宋" w:cs="仿宋"/>
          <w:b/>
          <w:color w:val="auto"/>
          <w:sz w:val="32"/>
          <w:szCs w:val="40"/>
          <w:highlight w:val="none"/>
        </w:rPr>
        <w:br w:type="page"/>
      </w:r>
    </w:p>
    <w:bookmarkEnd w:id="1"/>
    <w:p w14:paraId="21839C91">
      <w:pPr>
        <w:pStyle w:val="26"/>
        <w:adjustRightInd w:val="0"/>
        <w:snapToGrid w:val="0"/>
        <w:spacing w:line="360" w:lineRule="auto"/>
        <w:jc w:val="center"/>
        <w:rPr>
          <w:rFonts w:hint="eastAsia" w:ascii="仿宋" w:hAnsi="仿宋" w:eastAsia="仿宋" w:cs="仿宋"/>
          <w:b/>
          <w:color w:val="auto"/>
          <w:spacing w:val="160"/>
          <w:sz w:val="36"/>
          <w:szCs w:val="36"/>
          <w:highlight w:val="none"/>
        </w:rPr>
      </w:pPr>
      <w:r>
        <w:rPr>
          <w:rFonts w:hint="eastAsia" w:ascii="仿宋" w:hAnsi="仿宋" w:eastAsia="仿宋" w:cs="仿宋"/>
          <w:b/>
          <w:color w:val="auto"/>
          <w:spacing w:val="160"/>
          <w:sz w:val="36"/>
          <w:szCs w:val="36"/>
          <w:highlight w:val="none"/>
        </w:rPr>
        <w:t>目录</w:t>
      </w:r>
    </w:p>
    <w:p w14:paraId="0CF94C71">
      <w:pPr>
        <w:pStyle w:val="33"/>
        <w:tabs>
          <w:tab w:val="right" w:leader="dot" w:pos="8312"/>
        </w:tabs>
        <w:spacing w:line="720" w:lineRule="auto"/>
        <w:rPr>
          <w:rFonts w:hint="eastAsia" w:ascii="仿宋" w:hAnsi="仿宋" w:eastAsia="仿宋" w:cs="仿宋"/>
          <w:color w:val="auto"/>
          <w:sz w:val="32"/>
          <w:szCs w:val="32"/>
          <w:highlight w:val="none"/>
        </w:rPr>
      </w:pPr>
      <w:bookmarkStart w:id="2" w:name="_Toc419219410"/>
      <w:bookmarkStart w:id="3" w:name="_Toc419219645"/>
      <w:bookmarkStart w:id="4" w:name="_Toc419219491"/>
      <w:bookmarkStart w:id="5" w:name="_Toc420948005"/>
      <w:r>
        <w:rPr>
          <w:rFonts w:hint="eastAsia" w:ascii="仿宋" w:hAnsi="仿宋" w:eastAsia="仿宋" w:cs="仿宋"/>
          <w:b w:val="0"/>
          <w:color w:val="auto"/>
          <w:sz w:val="24"/>
          <w:szCs w:val="24"/>
          <w:highlight w:val="none"/>
        </w:rPr>
        <w:fldChar w:fldCharType="begin"/>
      </w:r>
      <w:r>
        <w:rPr>
          <w:rFonts w:hint="eastAsia" w:ascii="仿宋" w:hAnsi="仿宋" w:eastAsia="仿宋" w:cs="仿宋"/>
          <w:b w:val="0"/>
          <w:color w:val="auto"/>
          <w:sz w:val="24"/>
          <w:szCs w:val="24"/>
          <w:highlight w:val="none"/>
        </w:rPr>
        <w:instrText xml:space="preserve"> TOC \o "1-3" \h \z \u </w:instrText>
      </w:r>
      <w:r>
        <w:rPr>
          <w:rFonts w:hint="eastAsia" w:ascii="仿宋" w:hAnsi="仿宋" w:eastAsia="仿宋" w:cs="仿宋"/>
          <w:b w:val="0"/>
          <w:color w:val="auto"/>
          <w:sz w:val="24"/>
          <w:szCs w:val="24"/>
          <w:highlight w:val="none"/>
        </w:rPr>
        <w:fldChar w:fldCharType="separate"/>
      </w:r>
      <w:r>
        <w:rPr>
          <w:rFonts w:hint="eastAsia" w:ascii="仿宋" w:hAnsi="仿宋" w:eastAsia="仿宋" w:cs="仿宋"/>
          <w:color w:val="auto"/>
          <w:sz w:val="32"/>
          <w:szCs w:val="24"/>
          <w:highlight w:val="none"/>
        </w:rPr>
        <w:fldChar w:fldCharType="begin"/>
      </w:r>
      <w:r>
        <w:rPr>
          <w:rFonts w:hint="eastAsia" w:ascii="仿宋" w:hAnsi="仿宋" w:eastAsia="仿宋" w:cs="仿宋"/>
          <w:color w:val="auto"/>
          <w:sz w:val="32"/>
          <w:szCs w:val="24"/>
          <w:highlight w:val="none"/>
        </w:rPr>
        <w:instrText xml:space="preserve"> HYPERLINK \l _Toc30800 </w:instrText>
      </w:r>
      <w:r>
        <w:rPr>
          <w:rFonts w:hint="eastAsia" w:ascii="仿宋" w:hAnsi="仿宋" w:eastAsia="仿宋" w:cs="仿宋"/>
          <w:color w:val="auto"/>
          <w:sz w:val="32"/>
          <w:szCs w:val="24"/>
          <w:highlight w:val="none"/>
        </w:rPr>
        <w:fldChar w:fldCharType="separate"/>
      </w:r>
      <w:r>
        <w:rPr>
          <w:rFonts w:hint="eastAsia" w:ascii="仿宋" w:hAnsi="仿宋" w:eastAsia="仿宋" w:cs="仿宋"/>
          <w:color w:val="auto"/>
          <w:sz w:val="32"/>
          <w:szCs w:val="32"/>
          <w:highlight w:val="none"/>
        </w:rPr>
        <w:t xml:space="preserve">第一章  </w:t>
      </w:r>
      <w:r>
        <w:rPr>
          <w:rFonts w:hint="eastAsia" w:ascii="仿宋" w:hAnsi="仿宋" w:eastAsia="仿宋" w:cs="仿宋"/>
          <w:color w:val="auto"/>
          <w:sz w:val="32"/>
          <w:szCs w:val="32"/>
          <w:highlight w:val="none"/>
          <w:lang w:eastAsia="zh-CN"/>
        </w:rPr>
        <w:t>招标公告</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_Toc30800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24"/>
          <w:highlight w:val="none"/>
        </w:rPr>
        <w:fldChar w:fldCharType="end"/>
      </w:r>
    </w:p>
    <w:p w14:paraId="0683A8A5">
      <w:pPr>
        <w:pStyle w:val="33"/>
        <w:tabs>
          <w:tab w:val="right" w:leader="dot" w:pos="8312"/>
        </w:tabs>
        <w:spacing w:line="72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24"/>
          <w:highlight w:val="none"/>
        </w:rPr>
        <w:fldChar w:fldCharType="begin"/>
      </w:r>
      <w:r>
        <w:rPr>
          <w:rFonts w:hint="eastAsia" w:ascii="仿宋" w:hAnsi="仿宋" w:eastAsia="仿宋" w:cs="仿宋"/>
          <w:color w:val="auto"/>
          <w:sz w:val="32"/>
          <w:szCs w:val="24"/>
          <w:highlight w:val="none"/>
        </w:rPr>
        <w:instrText xml:space="preserve"> HYPERLINK \l _Toc13207 </w:instrText>
      </w:r>
      <w:r>
        <w:rPr>
          <w:rFonts w:hint="eastAsia" w:ascii="仿宋" w:hAnsi="仿宋" w:eastAsia="仿宋" w:cs="仿宋"/>
          <w:color w:val="auto"/>
          <w:sz w:val="32"/>
          <w:szCs w:val="24"/>
          <w:highlight w:val="none"/>
        </w:rPr>
        <w:fldChar w:fldCharType="separate"/>
      </w:r>
      <w:r>
        <w:rPr>
          <w:rFonts w:hint="eastAsia" w:ascii="仿宋" w:hAnsi="仿宋" w:eastAsia="仿宋" w:cs="仿宋"/>
          <w:bCs/>
          <w:color w:val="auto"/>
          <w:kern w:val="2"/>
          <w:sz w:val="32"/>
          <w:szCs w:val="22"/>
          <w:highlight w:val="none"/>
          <w:lang w:val="en-US" w:eastAsia="zh-CN" w:bidi="ar-SA"/>
        </w:rPr>
        <w:t xml:space="preserve">第二章  </w:t>
      </w:r>
      <w:r>
        <w:rPr>
          <w:rFonts w:hint="eastAsia" w:ascii="仿宋" w:hAnsi="仿宋" w:eastAsia="仿宋" w:cs="仿宋"/>
          <w:bCs/>
          <w:color w:val="auto"/>
          <w:sz w:val="32"/>
          <w:szCs w:val="32"/>
          <w:highlight w:val="none"/>
        </w:rPr>
        <w:t>投标须知</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_Toc13207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7</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24"/>
          <w:highlight w:val="none"/>
        </w:rPr>
        <w:fldChar w:fldCharType="end"/>
      </w:r>
    </w:p>
    <w:p w14:paraId="3519DC09">
      <w:pPr>
        <w:pStyle w:val="33"/>
        <w:tabs>
          <w:tab w:val="right" w:leader="dot" w:pos="8312"/>
        </w:tabs>
        <w:spacing w:line="72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24"/>
          <w:highlight w:val="none"/>
        </w:rPr>
        <w:fldChar w:fldCharType="begin"/>
      </w:r>
      <w:r>
        <w:rPr>
          <w:rFonts w:hint="eastAsia" w:ascii="仿宋" w:hAnsi="仿宋" w:eastAsia="仿宋" w:cs="仿宋"/>
          <w:color w:val="auto"/>
          <w:sz w:val="32"/>
          <w:szCs w:val="24"/>
          <w:highlight w:val="none"/>
        </w:rPr>
        <w:instrText xml:space="preserve"> HYPERLINK \l _Toc21688 </w:instrText>
      </w:r>
      <w:r>
        <w:rPr>
          <w:rFonts w:hint="eastAsia" w:ascii="仿宋" w:hAnsi="仿宋" w:eastAsia="仿宋" w:cs="仿宋"/>
          <w:color w:val="auto"/>
          <w:sz w:val="32"/>
          <w:szCs w:val="24"/>
          <w:highlight w:val="none"/>
        </w:rPr>
        <w:fldChar w:fldCharType="separate"/>
      </w:r>
      <w:r>
        <w:rPr>
          <w:rFonts w:hint="eastAsia" w:ascii="仿宋" w:hAnsi="仿宋" w:eastAsia="仿宋" w:cs="仿宋"/>
          <w:bCs/>
          <w:color w:val="auto"/>
          <w:kern w:val="2"/>
          <w:sz w:val="32"/>
          <w:szCs w:val="22"/>
          <w:highlight w:val="none"/>
          <w:lang w:val="en-US" w:eastAsia="zh-CN" w:bidi="ar-SA"/>
        </w:rPr>
        <w:t xml:space="preserve">第三章  </w:t>
      </w:r>
      <w:r>
        <w:rPr>
          <w:rFonts w:hint="eastAsia" w:ascii="仿宋" w:hAnsi="仿宋" w:eastAsia="仿宋" w:cs="仿宋"/>
          <w:bCs/>
          <w:color w:val="auto"/>
          <w:sz w:val="32"/>
          <w:szCs w:val="32"/>
          <w:highlight w:val="none"/>
          <w:lang w:eastAsia="zh-CN"/>
        </w:rPr>
        <w:t>评标办法</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_Toc21688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21</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24"/>
          <w:highlight w:val="none"/>
        </w:rPr>
        <w:fldChar w:fldCharType="end"/>
      </w:r>
    </w:p>
    <w:p w14:paraId="51B5BAD2">
      <w:pPr>
        <w:pStyle w:val="33"/>
        <w:tabs>
          <w:tab w:val="right" w:leader="dot" w:pos="8312"/>
        </w:tabs>
        <w:spacing w:line="72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24"/>
          <w:highlight w:val="none"/>
        </w:rPr>
        <w:fldChar w:fldCharType="begin"/>
      </w:r>
      <w:r>
        <w:rPr>
          <w:rFonts w:hint="eastAsia" w:ascii="仿宋" w:hAnsi="仿宋" w:eastAsia="仿宋" w:cs="仿宋"/>
          <w:color w:val="auto"/>
          <w:sz w:val="32"/>
          <w:szCs w:val="24"/>
          <w:highlight w:val="none"/>
        </w:rPr>
        <w:instrText xml:space="preserve"> HYPERLINK \l _Toc25844 </w:instrText>
      </w:r>
      <w:r>
        <w:rPr>
          <w:rFonts w:hint="eastAsia" w:ascii="仿宋" w:hAnsi="仿宋" w:eastAsia="仿宋" w:cs="仿宋"/>
          <w:color w:val="auto"/>
          <w:sz w:val="32"/>
          <w:szCs w:val="24"/>
          <w:highlight w:val="none"/>
        </w:rPr>
        <w:fldChar w:fldCharType="separate"/>
      </w:r>
      <w:r>
        <w:rPr>
          <w:rFonts w:hint="eastAsia" w:ascii="仿宋" w:hAnsi="仿宋" w:eastAsia="仿宋" w:cs="仿宋"/>
          <w:color w:val="auto"/>
          <w:sz w:val="32"/>
          <w:szCs w:val="32"/>
          <w:highlight w:val="none"/>
        </w:rPr>
        <w:t>第四章  采购需求</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_Toc25844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29</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24"/>
          <w:highlight w:val="none"/>
        </w:rPr>
        <w:fldChar w:fldCharType="end"/>
      </w:r>
    </w:p>
    <w:p w14:paraId="7F1F590E">
      <w:pPr>
        <w:pStyle w:val="33"/>
        <w:tabs>
          <w:tab w:val="right" w:leader="dot" w:pos="8312"/>
        </w:tabs>
        <w:spacing w:line="72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24"/>
          <w:highlight w:val="none"/>
        </w:rPr>
        <w:fldChar w:fldCharType="begin"/>
      </w:r>
      <w:r>
        <w:rPr>
          <w:rFonts w:hint="eastAsia" w:ascii="仿宋" w:hAnsi="仿宋" w:eastAsia="仿宋" w:cs="仿宋"/>
          <w:color w:val="auto"/>
          <w:sz w:val="32"/>
          <w:szCs w:val="24"/>
          <w:highlight w:val="none"/>
        </w:rPr>
        <w:instrText xml:space="preserve"> HYPERLINK \l _Toc3804 </w:instrText>
      </w:r>
      <w:r>
        <w:rPr>
          <w:rFonts w:hint="eastAsia" w:ascii="仿宋" w:hAnsi="仿宋" w:eastAsia="仿宋" w:cs="仿宋"/>
          <w:color w:val="auto"/>
          <w:sz w:val="32"/>
          <w:szCs w:val="24"/>
          <w:highlight w:val="none"/>
        </w:rPr>
        <w:fldChar w:fldCharType="separate"/>
      </w:r>
      <w:r>
        <w:rPr>
          <w:rFonts w:hint="eastAsia" w:ascii="仿宋" w:hAnsi="仿宋" w:eastAsia="仿宋" w:cs="仿宋"/>
          <w:color w:val="auto"/>
          <w:sz w:val="32"/>
          <w:szCs w:val="32"/>
          <w:highlight w:val="none"/>
        </w:rPr>
        <w:t xml:space="preserve">第五章  </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格式</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_Toc3804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29</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24"/>
          <w:highlight w:val="none"/>
        </w:rPr>
        <w:fldChar w:fldCharType="end"/>
      </w:r>
    </w:p>
    <w:p w14:paraId="13024B87">
      <w:pPr>
        <w:pStyle w:val="33"/>
        <w:tabs>
          <w:tab w:val="right" w:leader="dot" w:pos="8312"/>
        </w:tabs>
        <w:spacing w:line="72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24"/>
          <w:highlight w:val="none"/>
        </w:rPr>
        <w:fldChar w:fldCharType="begin"/>
      </w:r>
      <w:r>
        <w:rPr>
          <w:rFonts w:hint="eastAsia" w:ascii="仿宋" w:hAnsi="仿宋" w:eastAsia="仿宋" w:cs="仿宋"/>
          <w:color w:val="auto"/>
          <w:sz w:val="32"/>
          <w:szCs w:val="24"/>
          <w:highlight w:val="none"/>
        </w:rPr>
        <w:instrText xml:space="preserve"> HYPERLINK \l _Toc8578 </w:instrText>
      </w:r>
      <w:r>
        <w:rPr>
          <w:rFonts w:hint="eastAsia" w:ascii="仿宋" w:hAnsi="仿宋" w:eastAsia="仿宋" w:cs="仿宋"/>
          <w:color w:val="auto"/>
          <w:sz w:val="32"/>
          <w:szCs w:val="24"/>
          <w:highlight w:val="none"/>
        </w:rPr>
        <w:fldChar w:fldCharType="separate"/>
      </w: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eastAsia="zh-CN"/>
        </w:rPr>
        <w:t>六</w:t>
      </w:r>
      <w:r>
        <w:rPr>
          <w:rFonts w:hint="eastAsia" w:ascii="仿宋" w:hAnsi="仿宋" w:eastAsia="仿宋" w:cs="仿宋"/>
          <w:color w:val="auto"/>
          <w:sz w:val="32"/>
          <w:szCs w:val="32"/>
          <w:highlight w:val="none"/>
        </w:rPr>
        <w:t xml:space="preserve">章  </w:t>
      </w:r>
      <w:r>
        <w:rPr>
          <w:rFonts w:hint="eastAsia" w:ascii="仿宋" w:hAnsi="仿宋" w:eastAsia="仿宋" w:cs="仿宋"/>
          <w:color w:val="auto"/>
          <w:sz w:val="32"/>
          <w:szCs w:val="32"/>
          <w:highlight w:val="none"/>
          <w:lang w:eastAsia="zh-CN"/>
        </w:rPr>
        <w:t>政府采购合同模板</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_Toc8578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55</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24"/>
          <w:highlight w:val="none"/>
        </w:rPr>
        <w:fldChar w:fldCharType="end"/>
      </w:r>
    </w:p>
    <w:p w14:paraId="6780BFAE">
      <w:pPr>
        <w:spacing w:line="720" w:lineRule="auto"/>
        <w:jc w:val="center"/>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fldChar w:fldCharType="end"/>
      </w:r>
      <w:bookmarkStart w:id="6" w:name="_Toc433113174"/>
    </w:p>
    <w:p w14:paraId="57D45401">
      <w:pPr>
        <w:pStyle w:val="20"/>
        <w:rPr>
          <w:rFonts w:hint="eastAsia" w:ascii="仿宋" w:hAnsi="仿宋" w:eastAsia="仿宋" w:cs="仿宋"/>
          <w:color w:val="auto"/>
          <w:highlight w:val="none"/>
        </w:rPr>
        <w:sectPr>
          <w:headerReference r:id="rId4" w:type="first"/>
          <w:headerReference r:id="rId3" w:type="default"/>
          <w:pgSz w:w="11906" w:h="16838"/>
          <w:pgMar w:top="1440" w:right="1797" w:bottom="1440" w:left="1797" w:header="851" w:footer="992" w:gutter="0"/>
          <w:cols w:space="720" w:num="1"/>
          <w:docGrid w:linePitch="312" w:charSpace="0"/>
        </w:sectPr>
      </w:pPr>
    </w:p>
    <w:p w14:paraId="6B70B9AC">
      <w:pPr>
        <w:pStyle w:val="20"/>
        <w:rPr>
          <w:rFonts w:hint="eastAsia" w:ascii="仿宋" w:hAnsi="仿宋" w:eastAsia="仿宋" w:cs="仿宋"/>
          <w:color w:val="auto"/>
          <w:highlight w:val="none"/>
        </w:rPr>
      </w:pPr>
    </w:p>
    <w:p w14:paraId="3A6E1A4E">
      <w:pPr>
        <w:pStyle w:val="20"/>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3F058402">
      <w:pPr>
        <w:pStyle w:val="2"/>
        <w:rPr>
          <w:rFonts w:hint="eastAsia" w:ascii="仿宋" w:hAnsi="仿宋" w:eastAsia="仿宋" w:cs="仿宋"/>
          <w:color w:val="auto"/>
          <w:highlight w:val="none"/>
        </w:rPr>
        <w:sectPr>
          <w:footerReference r:id="rId5" w:type="default"/>
          <w:type w:val="continuous"/>
          <w:pgSz w:w="11906" w:h="16838"/>
          <w:pgMar w:top="1440" w:right="1797" w:bottom="1440" w:left="1797" w:header="851" w:footer="992" w:gutter="0"/>
          <w:pgNumType w:start="1"/>
          <w:cols w:space="720" w:num="1"/>
          <w:docGrid w:linePitch="312" w:charSpace="0"/>
        </w:sectPr>
      </w:pPr>
    </w:p>
    <w:p w14:paraId="3D3020AD">
      <w:pPr>
        <w:pStyle w:val="2"/>
        <w:rPr>
          <w:rFonts w:hint="eastAsia" w:ascii="仿宋" w:hAnsi="仿宋" w:eastAsia="仿宋" w:cs="仿宋"/>
          <w:color w:val="auto"/>
          <w:sz w:val="24"/>
          <w:szCs w:val="24"/>
          <w:highlight w:val="none"/>
          <w:lang w:eastAsia="zh-CN"/>
        </w:rPr>
      </w:pPr>
      <w:bookmarkStart w:id="7" w:name="_Toc30800"/>
      <w:r>
        <w:rPr>
          <w:rFonts w:hint="eastAsia" w:ascii="仿宋" w:hAnsi="仿宋" w:eastAsia="仿宋" w:cs="仿宋"/>
          <w:color w:val="auto"/>
          <w:highlight w:val="none"/>
        </w:rPr>
        <w:t xml:space="preserve">第一章  </w:t>
      </w:r>
      <w:bookmarkEnd w:id="2"/>
      <w:bookmarkEnd w:id="3"/>
      <w:bookmarkEnd w:id="4"/>
      <w:bookmarkEnd w:id="5"/>
      <w:bookmarkEnd w:id="6"/>
      <w:bookmarkStart w:id="8" w:name="_Toc433113175"/>
      <w:bookmarkStart w:id="9" w:name="_Toc420948006"/>
      <w:r>
        <w:rPr>
          <w:rFonts w:hint="eastAsia" w:ascii="仿宋" w:hAnsi="仿宋" w:eastAsia="仿宋" w:cs="仿宋"/>
          <w:color w:val="auto"/>
          <w:highlight w:val="none"/>
          <w:lang w:eastAsia="zh-CN"/>
        </w:rPr>
        <w:t>竞争性磋商公告</w:t>
      </w:r>
      <w:bookmarkEnd w:id="7"/>
    </w:p>
    <w:p w14:paraId="106C1DC0">
      <w:pPr>
        <w:keepNext w:val="0"/>
        <w:keepLines w:val="0"/>
        <w:widowControl/>
        <w:suppressLineNumbers w:val="0"/>
        <w:pBdr>
          <w:bottom w:val="none" w:color="auto" w:sz="0" w:space="0"/>
        </w:pBdr>
        <w:spacing w:line="450" w:lineRule="atLeast"/>
        <w:ind w:left="0" w:firstLine="0"/>
        <w:jc w:val="center"/>
        <w:rPr>
          <w:rFonts w:hint="eastAsia" w:ascii="仿宋" w:hAnsi="仿宋" w:eastAsia="仿宋" w:cs="仿宋"/>
          <w:b/>
          <w:bCs/>
          <w:i w:val="0"/>
          <w:iCs w:val="0"/>
          <w:caps w:val="0"/>
          <w:color w:val="auto"/>
          <w:spacing w:val="0"/>
          <w:sz w:val="36"/>
          <w:szCs w:val="36"/>
          <w:highlight w:val="none"/>
        </w:rPr>
      </w:pPr>
      <w:r>
        <w:rPr>
          <w:rFonts w:hint="eastAsia" w:ascii="仿宋" w:hAnsi="仿宋" w:eastAsia="仿宋" w:cs="仿宋"/>
          <w:b/>
          <w:bCs/>
          <w:i w:val="0"/>
          <w:iCs w:val="0"/>
          <w:caps w:val="0"/>
          <w:color w:val="auto"/>
          <w:spacing w:val="0"/>
          <w:kern w:val="0"/>
          <w:sz w:val="36"/>
          <w:szCs w:val="36"/>
          <w:highlight w:val="none"/>
          <w:lang w:val="en-US" w:eastAsia="zh-CN" w:bidi="ar"/>
        </w:rPr>
        <w:t>“健康新疆之时令节气与健康”健康科普网络直播服务项目竞争性磋商公告</w:t>
      </w:r>
    </w:p>
    <w:p w14:paraId="05063D2D">
      <w:pPr>
        <w:pStyle w:val="44"/>
        <w:keepNext w:val="0"/>
        <w:keepLines w:val="0"/>
        <w:widowControl/>
        <w:suppressLineNumbers w:val="0"/>
        <w:spacing w:before="255" w:beforeAutospacing="0" w:after="255" w:afterAutospacing="0" w:line="300" w:lineRule="atLeast"/>
        <w:ind w:left="0" w:right="0"/>
        <w:jc w:val="both"/>
        <w:rPr>
          <w:rStyle w:val="50"/>
          <w:rFonts w:hint="eastAsia" w:ascii="仿宋" w:hAnsi="仿宋" w:eastAsia="仿宋" w:cs="仿宋"/>
          <w:i w:val="0"/>
          <w:iCs w:val="0"/>
          <w:caps w:val="0"/>
          <w:color w:val="auto"/>
          <w:spacing w:val="0"/>
          <w:sz w:val="27"/>
          <w:szCs w:val="27"/>
          <w:highlight w:val="none"/>
        </w:rPr>
      </w:pPr>
      <w:r>
        <w:rPr>
          <w:rFonts w:hint="eastAsia" w:ascii="仿宋" w:hAnsi="仿宋" w:eastAsia="仿宋" w:cs="仿宋"/>
          <w:color w:val="auto"/>
          <w:sz w:val="27"/>
          <w:highlight w:val="none"/>
        </w:rPr>
        <mc:AlternateContent>
          <mc:Choice Requires="wps">
            <w:drawing>
              <wp:anchor distT="0" distB="0" distL="114300" distR="114300" simplePos="0" relativeHeight="251659264" behindDoc="0" locked="0" layoutInCell="1" allowOverlap="1">
                <wp:simplePos x="0" y="0"/>
                <wp:positionH relativeFrom="column">
                  <wp:posOffset>-121920</wp:posOffset>
                </wp:positionH>
                <wp:positionV relativeFrom="paragraph">
                  <wp:posOffset>117475</wp:posOffset>
                </wp:positionV>
                <wp:extent cx="5683250" cy="1394460"/>
                <wp:effectExtent l="13970" t="13970" r="17780" b="20320"/>
                <wp:wrapNone/>
                <wp:docPr id="4" name="文本框 4"/>
                <wp:cNvGraphicFramePr/>
                <a:graphic xmlns:a="http://schemas.openxmlformats.org/drawingml/2006/main">
                  <a:graphicData uri="http://schemas.microsoft.com/office/word/2010/wordprocessingShape">
                    <wps:wsp>
                      <wps:cNvSpPr txBox="1"/>
                      <wps:spPr>
                        <a:xfrm>
                          <a:off x="885825" y="2335530"/>
                          <a:ext cx="5683250" cy="1394460"/>
                        </a:xfrm>
                        <a:prstGeom prst="rect">
                          <a:avLst/>
                        </a:prstGeom>
                        <a:solidFill>
                          <a:schemeClr val="lt1"/>
                        </a:solidFill>
                        <a:ln w="285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03CFC3C">
                            <w:pPr>
                              <w:pStyle w:val="44"/>
                              <w:keepNext w:val="0"/>
                              <w:keepLines w:val="0"/>
                              <w:widowControl/>
                              <w:suppressLineNumbers w:val="0"/>
                              <w:spacing w:before="75" w:beforeAutospacing="0" w:after="75" w:afterAutospacing="0"/>
                              <w:ind w:left="0" w:right="0"/>
                              <w:rPr>
                                <w:highlight w:val="none"/>
                              </w:rPr>
                            </w:pPr>
                            <w:r>
                              <w:rPr>
                                <w:rFonts w:ascii="仿宋" w:hAnsi="仿宋" w:eastAsia="仿宋" w:cs="仿宋"/>
                                <w:i w:val="0"/>
                                <w:iCs w:val="0"/>
                                <w:caps w:val="0"/>
                                <w:color w:val="000000"/>
                                <w:spacing w:val="0"/>
                                <w:sz w:val="27"/>
                                <w:szCs w:val="27"/>
                                <w:highlight w:val="none"/>
                              </w:rPr>
                              <w:t>项目概况</w:t>
                            </w:r>
                          </w:p>
                          <w:p w14:paraId="715AF0CB">
                            <w:pPr>
                              <w:pStyle w:val="44"/>
                              <w:keepNext w:val="0"/>
                              <w:keepLines w:val="0"/>
                              <w:widowControl/>
                              <w:suppressLineNumbers w:val="0"/>
                              <w:spacing w:before="75" w:beforeAutospacing="0" w:after="75" w:afterAutospacing="0"/>
                              <w:ind w:left="0" w:right="0" w:firstLine="540" w:firstLineChars="200"/>
                              <w:rPr>
                                <w:highlight w:val="none"/>
                              </w:rPr>
                            </w:pPr>
                            <w:r>
                              <w:rPr>
                                <w:rFonts w:hint="eastAsia" w:ascii="仿宋" w:hAnsi="仿宋" w:eastAsia="仿宋" w:cs="仿宋"/>
                                <w:i w:val="0"/>
                                <w:iCs w:val="0"/>
                                <w:caps w:val="0"/>
                                <w:color w:val="000000"/>
                                <w:spacing w:val="0"/>
                                <w:sz w:val="27"/>
                                <w:szCs w:val="27"/>
                                <w:highlight w:val="none"/>
                                <w:lang w:eastAsia="zh-CN"/>
                              </w:rPr>
                              <w:t>“健康新疆之时令节气与健康”健康科普网络直播服务项目</w:t>
                            </w:r>
                            <w:r>
                              <w:rPr>
                                <w:rFonts w:hint="eastAsia" w:ascii="仿宋" w:hAnsi="仿宋" w:eastAsia="仿宋" w:cs="仿宋"/>
                                <w:i w:val="0"/>
                                <w:iCs w:val="0"/>
                                <w:caps w:val="0"/>
                                <w:color w:val="000000"/>
                                <w:spacing w:val="0"/>
                                <w:sz w:val="27"/>
                                <w:szCs w:val="27"/>
                                <w:highlight w:val="none"/>
                              </w:rPr>
                              <w:t>的潜在投标人应在政采云平台http://www.zcygov.cn/线上报名获取</w:t>
                            </w:r>
                            <w:r>
                              <w:rPr>
                                <w:rFonts w:hint="eastAsia" w:ascii="仿宋" w:hAnsi="仿宋" w:eastAsia="仿宋" w:cs="仿宋"/>
                                <w:i w:val="0"/>
                                <w:iCs w:val="0"/>
                                <w:caps w:val="0"/>
                                <w:color w:val="000000"/>
                                <w:spacing w:val="0"/>
                                <w:sz w:val="27"/>
                                <w:szCs w:val="27"/>
                                <w:highlight w:val="none"/>
                                <w:lang w:eastAsia="zh-CN"/>
                              </w:rPr>
                              <w:t>竞争性磋商文件</w:t>
                            </w:r>
                            <w:r>
                              <w:rPr>
                                <w:rFonts w:hint="eastAsia" w:ascii="仿宋" w:hAnsi="仿宋" w:eastAsia="仿宋" w:cs="仿宋"/>
                                <w:i w:val="0"/>
                                <w:iCs w:val="0"/>
                                <w:caps w:val="0"/>
                                <w:color w:val="000000"/>
                                <w:spacing w:val="0"/>
                                <w:sz w:val="27"/>
                                <w:szCs w:val="27"/>
                                <w:highlight w:val="none"/>
                              </w:rPr>
                              <w:t>，并于</w:t>
                            </w:r>
                            <w:r>
                              <w:rPr>
                                <w:rFonts w:hint="eastAsia" w:ascii="仿宋" w:hAnsi="仿宋" w:eastAsia="仿宋" w:cs="仿宋"/>
                                <w:i w:val="0"/>
                                <w:iCs w:val="0"/>
                                <w:caps w:val="0"/>
                                <w:color w:val="000000"/>
                                <w:spacing w:val="0"/>
                                <w:sz w:val="27"/>
                                <w:szCs w:val="27"/>
                                <w:highlight w:val="none"/>
                                <w:lang w:eastAsia="zh-CN"/>
                              </w:rPr>
                              <w:t>2026年06月01日 16:00</w:t>
                            </w:r>
                            <w:r>
                              <w:rPr>
                                <w:rFonts w:hint="eastAsia" w:ascii="仿宋" w:hAnsi="仿宋" w:eastAsia="仿宋" w:cs="仿宋"/>
                                <w:i w:val="0"/>
                                <w:iCs w:val="0"/>
                                <w:caps w:val="0"/>
                                <w:color w:val="000000"/>
                                <w:spacing w:val="0"/>
                                <w:sz w:val="27"/>
                                <w:szCs w:val="27"/>
                                <w:highlight w:val="none"/>
                              </w:rPr>
                              <w:t>（北京时间）前递交</w:t>
                            </w:r>
                            <w:r>
                              <w:rPr>
                                <w:rFonts w:hint="eastAsia" w:ascii="仿宋" w:hAnsi="仿宋" w:eastAsia="仿宋" w:cs="仿宋"/>
                                <w:i w:val="0"/>
                                <w:iCs w:val="0"/>
                                <w:caps w:val="0"/>
                                <w:color w:val="000000"/>
                                <w:spacing w:val="0"/>
                                <w:sz w:val="27"/>
                                <w:szCs w:val="27"/>
                                <w:highlight w:val="none"/>
                                <w:lang w:eastAsia="zh-CN"/>
                              </w:rPr>
                              <w:t>响应文件</w:t>
                            </w:r>
                            <w:r>
                              <w:rPr>
                                <w:rFonts w:hint="eastAsia" w:ascii="仿宋" w:hAnsi="仿宋" w:eastAsia="仿宋" w:cs="仿宋"/>
                                <w:i w:val="0"/>
                                <w:iCs w:val="0"/>
                                <w:caps w:val="0"/>
                                <w:color w:val="000000"/>
                                <w:spacing w:val="0"/>
                                <w:sz w:val="27"/>
                                <w:szCs w:val="27"/>
                                <w:highlight w:val="none"/>
                              </w:rPr>
                              <w:t>。</w:t>
                            </w:r>
                          </w:p>
                          <w:p w14:paraId="6CC7A448">
                            <w:pPr>
                              <w:rPr>
                                <w:highlight w:val="none"/>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6pt;margin-top:9.25pt;height:109.8pt;width:447.5pt;z-index:251659264;mso-width-relative:page;mso-height-relative:page;" fillcolor="#FFFFFF [3201]" filled="t" stroked="t" coordsize="21600,21600" o:gfxdata="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pJnj92gAAAAoBAAAPAAAAAAAAAAEAIAAAACIAAABkcnMvZG93bnJldi54bWxQ&#10;SwECFAAUAAAACACHTuJASMAAVmcCAADEBAAADgAAAAAAAAABACAAAAApAQAAZHJzL2Uyb0RvYy54&#10;bWxQSwUGAAAAAAYABgBZAQAAAgYAAAAA&#10;">
                <v:fill on="t" focussize="0,0"/>
                <v:stroke weight="2.25pt" color="#000000 [3204]" joinstyle="round"/>
                <v:imagedata o:title=""/>
                <o:lock v:ext="edit" aspectratio="f"/>
                <v:textbox>
                  <w:txbxContent>
                    <w:p w14:paraId="703CFC3C">
                      <w:pPr>
                        <w:pStyle w:val="44"/>
                        <w:keepNext w:val="0"/>
                        <w:keepLines w:val="0"/>
                        <w:widowControl/>
                        <w:suppressLineNumbers w:val="0"/>
                        <w:spacing w:before="75" w:beforeAutospacing="0" w:after="75" w:afterAutospacing="0"/>
                        <w:ind w:left="0" w:right="0"/>
                        <w:rPr>
                          <w:highlight w:val="none"/>
                        </w:rPr>
                      </w:pPr>
                      <w:r>
                        <w:rPr>
                          <w:rFonts w:ascii="仿宋" w:hAnsi="仿宋" w:eastAsia="仿宋" w:cs="仿宋"/>
                          <w:i w:val="0"/>
                          <w:iCs w:val="0"/>
                          <w:caps w:val="0"/>
                          <w:color w:val="000000"/>
                          <w:spacing w:val="0"/>
                          <w:sz w:val="27"/>
                          <w:szCs w:val="27"/>
                          <w:highlight w:val="none"/>
                        </w:rPr>
                        <w:t>项目概况</w:t>
                      </w:r>
                    </w:p>
                    <w:p w14:paraId="715AF0CB">
                      <w:pPr>
                        <w:pStyle w:val="44"/>
                        <w:keepNext w:val="0"/>
                        <w:keepLines w:val="0"/>
                        <w:widowControl/>
                        <w:suppressLineNumbers w:val="0"/>
                        <w:spacing w:before="75" w:beforeAutospacing="0" w:after="75" w:afterAutospacing="0"/>
                        <w:ind w:left="0" w:right="0" w:firstLine="540" w:firstLineChars="200"/>
                        <w:rPr>
                          <w:highlight w:val="none"/>
                        </w:rPr>
                      </w:pPr>
                      <w:r>
                        <w:rPr>
                          <w:rFonts w:hint="eastAsia" w:ascii="仿宋" w:hAnsi="仿宋" w:eastAsia="仿宋" w:cs="仿宋"/>
                          <w:i w:val="0"/>
                          <w:iCs w:val="0"/>
                          <w:caps w:val="0"/>
                          <w:color w:val="000000"/>
                          <w:spacing w:val="0"/>
                          <w:sz w:val="27"/>
                          <w:szCs w:val="27"/>
                          <w:highlight w:val="none"/>
                          <w:lang w:eastAsia="zh-CN"/>
                        </w:rPr>
                        <w:t>“健康新疆之时令节气与健康”健康科普网络直播服务项目</w:t>
                      </w:r>
                      <w:r>
                        <w:rPr>
                          <w:rFonts w:hint="eastAsia" w:ascii="仿宋" w:hAnsi="仿宋" w:eastAsia="仿宋" w:cs="仿宋"/>
                          <w:i w:val="0"/>
                          <w:iCs w:val="0"/>
                          <w:caps w:val="0"/>
                          <w:color w:val="000000"/>
                          <w:spacing w:val="0"/>
                          <w:sz w:val="27"/>
                          <w:szCs w:val="27"/>
                          <w:highlight w:val="none"/>
                        </w:rPr>
                        <w:t>的潜在投标人应在政采云平台http://www.zcygov.cn/线上报名获取</w:t>
                      </w:r>
                      <w:r>
                        <w:rPr>
                          <w:rFonts w:hint="eastAsia" w:ascii="仿宋" w:hAnsi="仿宋" w:eastAsia="仿宋" w:cs="仿宋"/>
                          <w:i w:val="0"/>
                          <w:iCs w:val="0"/>
                          <w:caps w:val="0"/>
                          <w:color w:val="000000"/>
                          <w:spacing w:val="0"/>
                          <w:sz w:val="27"/>
                          <w:szCs w:val="27"/>
                          <w:highlight w:val="none"/>
                          <w:lang w:eastAsia="zh-CN"/>
                        </w:rPr>
                        <w:t>竞争性磋商文件</w:t>
                      </w:r>
                      <w:r>
                        <w:rPr>
                          <w:rFonts w:hint="eastAsia" w:ascii="仿宋" w:hAnsi="仿宋" w:eastAsia="仿宋" w:cs="仿宋"/>
                          <w:i w:val="0"/>
                          <w:iCs w:val="0"/>
                          <w:caps w:val="0"/>
                          <w:color w:val="000000"/>
                          <w:spacing w:val="0"/>
                          <w:sz w:val="27"/>
                          <w:szCs w:val="27"/>
                          <w:highlight w:val="none"/>
                        </w:rPr>
                        <w:t>，并于</w:t>
                      </w:r>
                      <w:r>
                        <w:rPr>
                          <w:rFonts w:hint="eastAsia" w:ascii="仿宋" w:hAnsi="仿宋" w:eastAsia="仿宋" w:cs="仿宋"/>
                          <w:i w:val="0"/>
                          <w:iCs w:val="0"/>
                          <w:caps w:val="0"/>
                          <w:color w:val="000000"/>
                          <w:spacing w:val="0"/>
                          <w:sz w:val="27"/>
                          <w:szCs w:val="27"/>
                          <w:highlight w:val="none"/>
                          <w:lang w:eastAsia="zh-CN"/>
                        </w:rPr>
                        <w:t>2026年06月01日 16:00</w:t>
                      </w:r>
                      <w:r>
                        <w:rPr>
                          <w:rFonts w:hint="eastAsia" w:ascii="仿宋" w:hAnsi="仿宋" w:eastAsia="仿宋" w:cs="仿宋"/>
                          <w:i w:val="0"/>
                          <w:iCs w:val="0"/>
                          <w:caps w:val="0"/>
                          <w:color w:val="000000"/>
                          <w:spacing w:val="0"/>
                          <w:sz w:val="27"/>
                          <w:szCs w:val="27"/>
                          <w:highlight w:val="none"/>
                        </w:rPr>
                        <w:t>（北京时间）前递交</w:t>
                      </w:r>
                      <w:r>
                        <w:rPr>
                          <w:rFonts w:hint="eastAsia" w:ascii="仿宋" w:hAnsi="仿宋" w:eastAsia="仿宋" w:cs="仿宋"/>
                          <w:i w:val="0"/>
                          <w:iCs w:val="0"/>
                          <w:caps w:val="0"/>
                          <w:color w:val="000000"/>
                          <w:spacing w:val="0"/>
                          <w:sz w:val="27"/>
                          <w:szCs w:val="27"/>
                          <w:highlight w:val="none"/>
                          <w:lang w:eastAsia="zh-CN"/>
                        </w:rPr>
                        <w:t>响应文件</w:t>
                      </w:r>
                      <w:r>
                        <w:rPr>
                          <w:rFonts w:hint="eastAsia" w:ascii="仿宋" w:hAnsi="仿宋" w:eastAsia="仿宋" w:cs="仿宋"/>
                          <w:i w:val="0"/>
                          <w:iCs w:val="0"/>
                          <w:caps w:val="0"/>
                          <w:color w:val="000000"/>
                          <w:spacing w:val="0"/>
                          <w:sz w:val="27"/>
                          <w:szCs w:val="27"/>
                          <w:highlight w:val="none"/>
                        </w:rPr>
                        <w:t>。</w:t>
                      </w:r>
                    </w:p>
                    <w:p w14:paraId="6CC7A448">
                      <w:pPr>
                        <w:rPr>
                          <w:highlight w:val="none"/>
                        </w:rPr>
                      </w:pPr>
                    </w:p>
                  </w:txbxContent>
                </v:textbox>
              </v:shape>
            </w:pict>
          </mc:Fallback>
        </mc:AlternateContent>
      </w:r>
    </w:p>
    <w:p w14:paraId="677A07E2">
      <w:pPr>
        <w:pStyle w:val="44"/>
        <w:keepNext w:val="0"/>
        <w:keepLines w:val="0"/>
        <w:widowControl/>
        <w:suppressLineNumbers w:val="0"/>
        <w:spacing w:before="255" w:beforeAutospacing="0" w:after="255" w:afterAutospacing="0" w:line="300" w:lineRule="atLeast"/>
        <w:ind w:left="0" w:right="0"/>
        <w:jc w:val="both"/>
        <w:rPr>
          <w:rStyle w:val="50"/>
          <w:rFonts w:hint="eastAsia" w:ascii="仿宋" w:hAnsi="仿宋" w:eastAsia="仿宋" w:cs="仿宋"/>
          <w:i w:val="0"/>
          <w:iCs w:val="0"/>
          <w:caps w:val="0"/>
          <w:color w:val="auto"/>
          <w:spacing w:val="0"/>
          <w:sz w:val="27"/>
          <w:szCs w:val="27"/>
          <w:highlight w:val="none"/>
        </w:rPr>
      </w:pPr>
    </w:p>
    <w:p w14:paraId="7466B086">
      <w:pPr>
        <w:pStyle w:val="44"/>
        <w:keepNext w:val="0"/>
        <w:keepLines w:val="0"/>
        <w:widowControl/>
        <w:suppressLineNumbers w:val="0"/>
        <w:spacing w:before="255" w:beforeAutospacing="0" w:after="255" w:afterAutospacing="0" w:line="300" w:lineRule="atLeast"/>
        <w:ind w:left="0" w:right="0"/>
        <w:jc w:val="both"/>
        <w:rPr>
          <w:rStyle w:val="50"/>
          <w:rFonts w:hint="eastAsia" w:ascii="仿宋" w:hAnsi="仿宋" w:eastAsia="仿宋" w:cs="仿宋"/>
          <w:i w:val="0"/>
          <w:iCs w:val="0"/>
          <w:caps w:val="0"/>
          <w:color w:val="auto"/>
          <w:spacing w:val="0"/>
          <w:sz w:val="27"/>
          <w:szCs w:val="27"/>
          <w:highlight w:val="none"/>
        </w:rPr>
      </w:pPr>
    </w:p>
    <w:p w14:paraId="4D56F630">
      <w:pPr>
        <w:pStyle w:val="44"/>
        <w:keepNext w:val="0"/>
        <w:keepLines w:val="0"/>
        <w:widowControl/>
        <w:suppressLineNumbers w:val="0"/>
        <w:spacing w:before="255" w:beforeAutospacing="0" w:after="255" w:afterAutospacing="0" w:line="300" w:lineRule="atLeast"/>
        <w:ind w:left="0" w:right="0"/>
        <w:jc w:val="both"/>
        <w:rPr>
          <w:rStyle w:val="50"/>
          <w:rFonts w:hint="eastAsia" w:ascii="仿宋" w:hAnsi="仿宋" w:eastAsia="仿宋" w:cs="仿宋"/>
          <w:i w:val="0"/>
          <w:iCs w:val="0"/>
          <w:caps w:val="0"/>
          <w:color w:val="auto"/>
          <w:spacing w:val="0"/>
          <w:sz w:val="27"/>
          <w:szCs w:val="27"/>
          <w:highlight w:val="none"/>
        </w:rPr>
      </w:pPr>
    </w:p>
    <w:p w14:paraId="6C55A117">
      <w:pPr>
        <w:pStyle w:val="44"/>
        <w:keepNext w:val="0"/>
        <w:keepLines w:val="0"/>
        <w:widowControl/>
        <w:suppressLineNumbers w:val="0"/>
        <w:spacing w:before="255" w:beforeAutospacing="0" w:after="255" w:afterAutospacing="0" w:line="300" w:lineRule="atLeast"/>
        <w:ind w:left="0" w:right="0"/>
        <w:jc w:val="both"/>
        <w:rPr>
          <w:rFonts w:hint="eastAsia" w:ascii="仿宋" w:hAnsi="仿宋" w:eastAsia="仿宋" w:cs="仿宋"/>
          <w:color w:val="auto"/>
          <w:sz w:val="24"/>
          <w:szCs w:val="24"/>
          <w:highlight w:val="none"/>
        </w:rPr>
      </w:pPr>
      <w:r>
        <w:rPr>
          <w:rStyle w:val="50"/>
          <w:rFonts w:hint="eastAsia" w:ascii="仿宋" w:hAnsi="仿宋" w:eastAsia="仿宋" w:cs="仿宋"/>
          <w:i w:val="0"/>
          <w:iCs w:val="0"/>
          <w:caps w:val="0"/>
          <w:color w:val="auto"/>
          <w:spacing w:val="0"/>
          <w:sz w:val="24"/>
          <w:szCs w:val="24"/>
          <w:highlight w:val="none"/>
        </w:rPr>
        <w:t>一、项目基本情况</w:t>
      </w:r>
    </w:p>
    <w:p w14:paraId="7424E00B">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项目编号：</w:t>
      </w:r>
      <w:r>
        <w:rPr>
          <w:rFonts w:hint="eastAsia" w:ascii="仿宋" w:hAnsi="仿宋" w:eastAsia="仿宋" w:cs="仿宋"/>
          <w:i w:val="0"/>
          <w:iCs w:val="0"/>
          <w:caps w:val="0"/>
          <w:color w:val="auto"/>
          <w:spacing w:val="0"/>
          <w:sz w:val="24"/>
          <w:szCs w:val="24"/>
          <w:highlight w:val="none"/>
          <w:lang w:eastAsia="zh-CN"/>
        </w:rPr>
        <w:t>XJXH-2026-Z-038</w:t>
      </w:r>
    </w:p>
    <w:p w14:paraId="3511B109">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项目名称：</w:t>
      </w:r>
      <w:r>
        <w:rPr>
          <w:rFonts w:hint="eastAsia" w:ascii="仿宋" w:hAnsi="仿宋" w:eastAsia="仿宋" w:cs="仿宋"/>
          <w:i w:val="0"/>
          <w:iCs w:val="0"/>
          <w:caps w:val="0"/>
          <w:color w:val="auto"/>
          <w:spacing w:val="0"/>
          <w:sz w:val="24"/>
          <w:szCs w:val="24"/>
          <w:highlight w:val="none"/>
          <w:lang w:eastAsia="zh-CN"/>
        </w:rPr>
        <w:t>“健康新疆之时令节气与健康”健康科普网络直播服务项目</w:t>
      </w:r>
    </w:p>
    <w:p w14:paraId="02E14475">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采购方式：</w:t>
      </w:r>
      <w:r>
        <w:rPr>
          <w:rFonts w:hint="eastAsia" w:ascii="仿宋" w:hAnsi="仿宋" w:eastAsia="仿宋" w:cs="仿宋"/>
          <w:i w:val="0"/>
          <w:iCs w:val="0"/>
          <w:caps w:val="0"/>
          <w:color w:val="auto"/>
          <w:spacing w:val="0"/>
          <w:sz w:val="24"/>
          <w:szCs w:val="24"/>
          <w:highlight w:val="none"/>
          <w:lang w:eastAsia="zh-CN"/>
        </w:rPr>
        <w:t>竞争性磋商</w:t>
      </w:r>
    </w:p>
    <w:p w14:paraId="1C8AB83A">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预算金额（元）：</w:t>
      </w:r>
      <w:r>
        <w:rPr>
          <w:rFonts w:hint="eastAsia" w:ascii="仿宋" w:hAnsi="仿宋" w:eastAsia="仿宋" w:cs="仿宋"/>
          <w:i w:val="0"/>
          <w:iCs w:val="0"/>
          <w:caps w:val="0"/>
          <w:color w:val="auto"/>
          <w:spacing w:val="0"/>
          <w:sz w:val="24"/>
          <w:szCs w:val="24"/>
          <w:highlight w:val="none"/>
          <w:lang w:val="en-US" w:eastAsia="zh-CN"/>
        </w:rPr>
        <w:t>336000.00</w:t>
      </w:r>
    </w:p>
    <w:p w14:paraId="46923352">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最高限价（元）：</w:t>
      </w:r>
      <w:r>
        <w:rPr>
          <w:rFonts w:hint="eastAsia" w:ascii="仿宋" w:hAnsi="仿宋" w:eastAsia="仿宋" w:cs="仿宋"/>
          <w:i w:val="0"/>
          <w:iCs w:val="0"/>
          <w:caps w:val="0"/>
          <w:color w:val="auto"/>
          <w:spacing w:val="0"/>
          <w:sz w:val="24"/>
          <w:szCs w:val="24"/>
          <w:highlight w:val="none"/>
          <w:lang w:val="en-US" w:eastAsia="zh-CN"/>
        </w:rPr>
        <w:t>336000.00</w:t>
      </w:r>
    </w:p>
    <w:p w14:paraId="5916A10B">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采购需求：</w:t>
      </w:r>
    </w:p>
    <w:p w14:paraId="1193AD66">
      <w:pPr>
        <w:pStyle w:val="4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color="auto" w:fill="auto"/>
        </w:rPr>
        <w:t>标项一</w:t>
      </w:r>
      <w:r>
        <w:rPr>
          <w:rFonts w:hint="eastAsia" w:ascii="仿宋" w:hAnsi="仿宋" w:eastAsia="仿宋" w:cs="仿宋"/>
          <w:i w:val="0"/>
          <w:iCs w:val="0"/>
          <w:caps w:val="0"/>
          <w:color w:val="auto"/>
          <w:spacing w:val="0"/>
          <w:sz w:val="24"/>
          <w:szCs w:val="24"/>
          <w:highlight w:val="none"/>
          <w:shd w:val="clear" w:color="auto" w:fill="auto"/>
        </w:rPr>
        <w:br w:type="textWrapping"/>
      </w:r>
      <w:r>
        <w:rPr>
          <w:rFonts w:hint="eastAsia" w:ascii="仿宋" w:hAnsi="仿宋" w:eastAsia="仿宋" w:cs="仿宋"/>
          <w:i w:val="0"/>
          <w:iCs w:val="0"/>
          <w:caps w:val="0"/>
          <w:color w:val="auto"/>
          <w:spacing w:val="0"/>
          <w:sz w:val="24"/>
          <w:szCs w:val="24"/>
          <w:highlight w:val="none"/>
          <w:shd w:val="clear" w:color="auto" w:fill="auto"/>
        </w:rPr>
        <w:t xml:space="preserve">  </w:t>
      </w:r>
      <w:r>
        <w:rPr>
          <w:rFonts w:hint="eastAsia" w:ascii="仿宋" w:hAnsi="仿宋" w:eastAsia="仿宋" w:cs="仿宋"/>
          <w:i w:val="0"/>
          <w:iCs w:val="0"/>
          <w:caps w:val="0"/>
          <w:color w:val="auto"/>
          <w:spacing w:val="0"/>
          <w:sz w:val="24"/>
          <w:szCs w:val="24"/>
          <w:highlight w:val="none"/>
        </w:rPr>
        <w:t> 标项名称:</w:t>
      </w:r>
      <w:r>
        <w:rPr>
          <w:rFonts w:hint="eastAsia" w:ascii="仿宋" w:hAnsi="仿宋" w:eastAsia="仿宋" w:cs="仿宋"/>
          <w:i w:val="0"/>
          <w:iCs w:val="0"/>
          <w:caps w:val="0"/>
          <w:color w:val="auto"/>
          <w:spacing w:val="0"/>
          <w:sz w:val="24"/>
          <w:szCs w:val="24"/>
          <w:highlight w:val="none"/>
          <w:lang w:eastAsia="zh-CN"/>
        </w:rPr>
        <w:t>“健康新疆之时令节气与健康”健康科普网络直播服务项目</w:t>
      </w:r>
    </w:p>
    <w:p w14:paraId="1E845E0E">
      <w:pPr>
        <w:pStyle w:val="4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数量:</w:t>
      </w:r>
      <w:r>
        <w:rPr>
          <w:rFonts w:hint="eastAsia" w:ascii="仿宋" w:hAnsi="仿宋" w:eastAsia="仿宋" w:cs="仿宋"/>
          <w:i w:val="0"/>
          <w:iCs w:val="0"/>
          <w:caps w:val="0"/>
          <w:color w:val="auto"/>
          <w:spacing w:val="0"/>
          <w:sz w:val="24"/>
          <w:szCs w:val="24"/>
          <w:highlight w:val="none"/>
          <w:lang w:val="en-US" w:eastAsia="zh-CN"/>
        </w:rPr>
        <w:t>1</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   预算金额（元）</w:t>
      </w:r>
      <w:r>
        <w:rPr>
          <w:rFonts w:hint="eastAsia" w:ascii="仿宋" w:hAnsi="仿宋" w:eastAsia="仿宋" w:cs="仿宋"/>
          <w:i w:val="0"/>
          <w:iCs w:val="0"/>
          <w:caps w:val="0"/>
          <w:color w:val="auto"/>
          <w:spacing w:val="0"/>
          <w:sz w:val="24"/>
          <w:szCs w:val="24"/>
          <w:highlight w:val="none"/>
          <w:lang w:val="en-US" w:eastAsia="zh-CN"/>
        </w:rPr>
        <w:t>336000.00</w:t>
      </w:r>
      <w:r>
        <w:rPr>
          <w:rFonts w:hint="eastAsia" w:ascii="仿宋" w:hAnsi="仿宋" w:eastAsia="仿宋" w:cs="仿宋"/>
          <w:i w:val="0"/>
          <w:iCs w:val="0"/>
          <w:caps w:val="0"/>
          <w:color w:val="auto"/>
          <w:spacing w:val="0"/>
          <w:sz w:val="24"/>
          <w:szCs w:val="24"/>
          <w:highlight w:val="none"/>
        </w:rPr>
        <w:t>   </w:t>
      </w:r>
    </w:p>
    <w:p w14:paraId="25D6D68A">
      <w:pPr>
        <w:pStyle w:val="4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简要规格描述：</w:t>
      </w:r>
      <w:r>
        <w:rPr>
          <w:rFonts w:hint="eastAsia" w:ascii="仿宋" w:hAnsi="仿宋" w:eastAsia="仿宋" w:cs="仿宋"/>
          <w:i w:val="0"/>
          <w:iCs w:val="0"/>
          <w:caps w:val="0"/>
          <w:color w:val="auto"/>
          <w:spacing w:val="0"/>
          <w:sz w:val="24"/>
          <w:szCs w:val="24"/>
          <w:highlight w:val="none"/>
          <w:lang w:eastAsia="zh-CN"/>
        </w:rPr>
        <w:t>健康科普资源库制作</w:t>
      </w:r>
    </w:p>
    <w:p w14:paraId="412777A4">
      <w:pPr>
        <w:pStyle w:val="4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合同履约期限：</w:t>
      </w:r>
      <w:r>
        <w:rPr>
          <w:rFonts w:hint="eastAsia" w:ascii="仿宋" w:hAnsi="仿宋" w:eastAsia="仿宋" w:cs="仿宋"/>
          <w:i w:val="0"/>
          <w:iCs w:val="0"/>
          <w:caps w:val="0"/>
          <w:color w:val="auto"/>
          <w:spacing w:val="0"/>
          <w:kern w:val="0"/>
          <w:sz w:val="24"/>
          <w:szCs w:val="24"/>
          <w:highlight w:val="none"/>
          <w:lang w:val="en-US" w:eastAsia="zh-CN" w:bidi="ar-SA"/>
        </w:rPr>
        <w:t>2026年6月1日-2027年5月31日</w:t>
      </w:r>
    </w:p>
    <w:p w14:paraId="6D43BFCE">
      <w:pPr>
        <w:pStyle w:val="4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本项目（否）接受联合体投标。</w:t>
      </w:r>
    </w:p>
    <w:p w14:paraId="417C0B01">
      <w:pPr>
        <w:pStyle w:val="44"/>
        <w:keepNext w:val="0"/>
        <w:keepLines w:val="0"/>
        <w:widowControl/>
        <w:numPr>
          <w:ilvl w:val="0"/>
          <w:numId w:val="0"/>
        </w:numPr>
        <w:suppressLineNumbers w:val="0"/>
        <w:spacing w:before="75" w:beforeAutospacing="0" w:after="75" w:afterAutospacing="0" w:line="300" w:lineRule="atLeast"/>
        <w:ind w:left="0" w:leftChars="0" w:right="0" w:rightChars="0"/>
        <w:rPr>
          <w:rStyle w:val="50"/>
          <w:rFonts w:hint="eastAsia" w:ascii="仿宋" w:hAnsi="仿宋" w:eastAsia="仿宋" w:cs="仿宋"/>
          <w:i w:val="0"/>
          <w:iCs w:val="0"/>
          <w:caps w:val="0"/>
          <w:color w:val="auto"/>
          <w:spacing w:val="0"/>
          <w:sz w:val="24"/>
          <w:szCs w:val="24"/>
          <w:highlight w:val="none"/>
        </w:rPr>
      </w:pPr>
      <w:r>
        <w:rPr>
          <w:rFonts w:hint="eastAsia" w:ascii="仿宋" w:hAnsi="仿宋" w:eastAsia="仿宋" w:cs="仿宋"/>
          <w:b/>
          <w:bCs/>
          <w:i w:val="0"/>
          <w:iCs w:val="0"/>
          <w:caps w:val="0"/>
          <w:color w:val="auto"/>
          <w:spacing w:val="0"/>
          <w:kern w:val="0"/>
          <w:sz w:val="24"/>
          <w:szCs w:val="24"/>
          <w:highlight w:val="none"/>
          <w:lang w:val="en-US" w:eastAsia="zh-CN" w:bidi="ar-SA"/>
        </w:rPr>
        <w:t>二、</w:t>
      </w:r>
      <w:r>
        <w:rPr>
          <w:rStyle w:val="50"/>
          <w:rFonts w:hint="eastAsia" w:ascii="仿宋" w:hAnsi="仿宋" w:eastAsia="仿宋" w:cs="仿宋"/>
          <w:i w:val="0"/>
          <w:iCs w:val="0"/>
          <w:caps w:val="0"/>
          <w:color w:val="auto"/>
          <w:spacing w:val="0"/>
          <w:sz w:val="24"/>
          <w:szCs w:val="24"/>
          <w:highlight w:val="none"/>
        </w:rPr>
        <w:t>申请人的资格要求：</w:t>
      </w:r>
    </w:p>
    <w:p w14:paraId="10BF1F61">
      <w:pPr>
        <w:pStyle w:val="4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1.满足《中华人民共和国政府采购法》第二十二条规定；</w:t>
      </w:r>
    </w:p>
    <w:p w14:paraId="674D40F8">
      <w:pPr>
        <w:pStyle w:val="4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2.落实政府采购政策需满足的资格要求：</w:t>
      </w:r>
      <w:r>
        <w:rPr>
          <w:rFonts w:hint="eastAsia" w:ascii="仿宋" w:hAnsi="仿宋" w:eastAsia="仿宋" w:cs="仿宋"/>
          <w:i w:val="0"/>
          <w:iCs w:val="0"/>
          <w:caps w:val="0"/>
          <w:color w:val="auto"/>
          <w:spacing w:val="0"/>
          <w:sz w:val="24"/>
          <w:szCs w:val="24"/>
          <w:highlight w:val="none"/>
          <w:lang w:eastAsia="zh-CN"/>
        </w:rPr>
        <w:t>本项目专门面向小微企业采购。</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3.本项目的特定资格要求：</w:t>
      </w:r>
      <w:r>
        <w:rPr>
          <w:rFonts w:hint="eastAsia" w:ascii="仿宋" w:hAnsi="仿宋" w:eastAsia="仿宋" w:cs="仿宋"/>
          <w:i w:val="0"/>
          <w:iCs w:val="0"/>
          <w:caps w:val="0"/>
          <w:color w:val="auto"/>
          <w:spacing w:val="0"/>
          <w:sz w:val="24"/>
          <w:szCs w:val="24"/>
          <w:highlight w:val="none"/>
          <w:lang w:eastAsia="zh-CN"/>
        </w:rPr>
        <w:t>无</w:t>
      </w:r>
    </w:p>
    <w:p w14:paraId="73498D35">
      <w:pPr>
        <w:pStyle w:val="44"/>
        <w:keepNext w:val="0"/>
        <w:keepLines w:val="0"/>
        <w:widowControl/>
        <w:suppressLineNumbers w:val="0"/>
        <w:spacing w:before="255" w:beforeAutospacing="0" w:after="255" w:afterAutospacing="0" w:line="300" w:lineRule="atLeast"/>
        <w:ind w:left="0" w:right="0"/>
        <w:jc w:val="both"/>
        <w:rPr>
          <w:rFonts w:hint="eastAsia" w:ascii="仿宋" w:hAnsi="仿宋" w:eastAsia="仿宋" w:cs="仿宋"/>
          <w:color w:val="auto"/>
          <w:sz w:val="24"/>
          <w:szCs w:val="24"/>
          <w:highlight w:val="none"/>
          <w:lang w:eastAsia="zh-CN"/>
        </w:rPr>
      </w:pPr>
      <w:r>
        <w:rPr>
          <w:rStyle w:val="50"/>
          <w:rFonts w:hint="eastAsia" w:ascii="仿宋" w:hAnsi="仿宋" w:eastAsia="仿宋" w:cs="仿宋"/>
          <w:i w:val="0"/>
          <w:iCs w:val="0"/>
          <w:caps w:val="0"/>
          <w:color w:val="auto"/>
          <w:spacing w:val="0"/>
          <w:sz w:val="24"/>
          <w:szCs w:val="24"/>
          <w:highlight w:val="none"/>
        </w:rPr>
        <w:t>三、获取</w:t>
      </w:r>
      <w:r>
        <w:rPr>
          <w:rStyle w:val="50"/>
          <w:rFonts w:hint="eastAsia" w:ascii="仿宋" w:hAnsi="仿宋" w:eastAsia="仿宋" w:cs="仿宋"/>
          <w:i w:val="0"/>
          <w:iCs w:val="0"/>
          <w:caps w:val="0"/>
          <w:color w:val="auto"/>
          <w:spacing w:val="0"/>
          <w:sz w:val="24"/>
          <w:szCs w:val="24"/>
          <w:highlight w:val="none"/>
          <w:lang w:eastAsia="zh-CN"/>
        </w:rPr>
        <w:t>竞争性磋商文件</w:t>
      </w:r>
    </w:p>
    <w:p w14:paraId="0ACEDC46">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时间：</w:t>
      </w:r>
      <w:r>
        <w:rPr>
          <w:rFonts w:hint="eastAsia" w:ascii="仿宋" w:hAnsi="仿宋" w:eastAsia="仿宋" w:cs="仿宋"/>
          <w:i w:val="0"/>
          <w:iCs w:val="0"/>
          <w:caps w:val="0"/>
          <w:color w:val="auto"/>
          <w:spacing w:val="0"/>
          <w:sz w:val="24"/>
          <w:szCs w:val="24"/>
          <w:highlight w:val="none"/>
          <w:lang w:eastAsia="zh-CN"/>
        </w:rPr>
        <w:t>2026年05月1</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lang w:eastAsia="zh-CN"/>
        </w:rPr>
        <w:t>日</w:t>
      </w:r>
      <w:r>
        <w:rPr>
          <w:rFonts w:hint="eastAsia" w:ascii="仿宋" w:hAnsi="仿宋" w:eastAsia="仿宋" w:cs="仿宋"/>
          <w:i w:val="0"/>
          <w:iCs w:val="0"/>
          <w:caps w:val="0"/>
          <w:color w:val="auto"/>
          <w:spacing w:val="0"/>
          <w:sz w:val="24"/>
          <w:szCs w:val="24"/>
          <w:highlight w:val="none"/>
        </w:rPr>
        <w:t>至</w:t>
      </w:r>
      <w:r>
        <w:rPr>
          <w:rFonts w:hint="eastAsia" w:ascii="仿宋" w:hAnsi="仿宋" w:eastAsia="仿宋" w:cs="仿宋"/>
          <w:i w:val="0"/>
          <w:iCs w:val="0"/>
          <w:caps w:val="0"/>
          <w:color w:val="auto"/>
          <w:spacing w:val="0"/>
          <w:sz w:val="24"/>
          <w:szCs w:val="24"/>
          <w:highlight w:val="none"/>
          <w:lang w:eastAsia="zh-CN"/>
        </w:rPr>
        <w:t>2026年05月</w:t>
      </w:r>
      <w:r>
        <w:rPr>
          <w:rFonts w:hint="eastAsia" w:ascii="仿宋" w:hAnsi="仿宋" w:eastAsia="仿宋" w:cs="仿宋"/>
          <w:i w:val="0"/>
          <w:iCs w:val="0"/>
          <w:caps w:val="0"/>
          <w:color w:val="auto"/>
          <w:spacing w:val="0"/>
          <w:sz w:val="24"/>
          <w:szCs w:val="24"/>
          <w:highlight w:val="none"/>
          <w:lang w:val="en-US" w:eastAsia="zh-CN"/>
        </w:rPr>
        <w:t>22</w:t>
      </w:r>
      <w:r>
        <w:rPr>
          <w:rFonts w:hint="eastAsia" w:ascii="仿宋" w:hAnsi="仿宋" w:eastAsia="仿宋" w:cs="仿宋"/>
          <w:i w:val="0"/>
          <w:iCs w:val="0"/>
          <w:caps w:val="0"/>
          <w:color w:val="auto"/>
          <w:spacing w:val="0"/>
          <w:sz w:val="24"/>
          <w:szCs w:val="24"/>
          <w:highlight w:val="none"/>
          <w:lang w:eastAsia="zh-CN"/>
        </w:rPr>
        <w:t>日</w:t>
      </w:r>
      <w:r>
        <w:rPr>
          <w:rFonts w:hint="eastAsia" w:ascii="仿宋" w:hAnsi="仿宋" w:eastAsia="仿宋" w:cs="仿宋"/>
          <w:i w:val="0"/>
          <w:iCs w:val="0"/>
          <w:caps w:val="0"/>
          <w:color w:val="auto"/>
          <w:spacing w:val="0"/>
          <w:sz w:val="24"/>
          <w:szCs w:val="24"/>
          <w:highlight w:val="none"/>
        </w:rPr>
        <w:t>，每天上午00:00至12:00，下午12:00至23:59（北京时间，法定节假日除外）</w:t>
      </w:r>
    </w:p>
    <w:p w14:paraId="7E9F7028">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地点：政采云平台http://www.zcygov.cn/线上报名</w:t>
      </w:r>
    </w:p>
    <w:p w14:paraId="610BE9A8">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方式：线上报名及获取采购文件。供应商登陆政采云账户（网址：https://www.zcygov.cn/）,在线申请获取</w:t>
      </w:r>
      <w:r>
        <w:rPr>
          <w:rFonts w:hint="eastAsia" w:ascii="仿宋" w:hAnsi="仿宋" w:eastAsia="仿宋" w:cs="仿宋"/>
          <w:i w:val="0"/>
          <w:iCs w:val="0"/>
          <w:caps w:val="0"/>
          <w:color w:val="auto"/>
          <w:spacing w:val="0"/>
          <w:sz w:val="24"/>
          <w:szCs w:val="24"/>
          <w:highlight w:val="none"/>
          <w:lang w:eastAsia="zh-CN"/>
        </w:rPr>
        <w:t>竞争性磋商文件</w:t>
      </w:r>
      <w:r>
        <w:rPr>
          <w:rFonts w:hint="eastAsia" w:ascii="仿宋" w:hAnsi="仿宋" w:eastAsia="仿宋" w:cs="仿宋"/>
          <w:i w:val="0"/>
          <w:iCs w:val="0"/>
          <w:caps w:val="0"/>
          <w:color w:val="auto"/>
          <w:spacing w:val="0"/>
          <w:sz w:val="24"/>
          <w:szCs w:val="24"/>
          <w:highlight w:val="none"/>
        </w:rPr>
        <w:t>（登录政府采购云平台→采购项目→获取采购文件→申请，审核通过后可下载</w:t>
      </w:r>
      <w:r>
        <w:rPr>
          <w:rFonts w:hint="eastAsia" w:ascii="仿宋" w:hAnsi="仿宋" w:eastAsia="仿宋" w:cs="仿宋"/>
          <w:i w:val="0"/>
          <w:iCs w:val="0"/>
          <w:caps w:val="0"/>
          <w:color w:val="auto"/>
          <w:spacing w:val="0"/>
          <w:sz w:val="24"/>
          <w:szCs w:val="24"/>
          <w:highlight w:val="none"/>
          <w:lang w:eastAsia="zh-CN"/>
        </w:rPr>
        <w:t>竞争性磋商文件</w:t>
      </w:r>
      <w:r>
        <w:rPr>
          <w:rFonts w:hint="eastAsia" w:ascii="仿宋" w:hAnsi="仿宋" w:eastAsia="仿宋" w:cs="仿宋"/>
          <w:i w:val="0"/>
          <w:iCs w:val="0"/>
          <w:caps w:val="0"/>
          <w:color w:val="auto"/>
          <w:spacing w:val="0"/>
          <w:sz w:val="24"/>
          <w:szCs w:val="24"/>
          <w:highlight w:val="none"/>
        </w:rPr>
        <w:t>，如有操作性问题，可咨询政采云在线客服，电话：95763）</w:t>
      </w:r>
    </w:p>
    <w:p w14:paraId="0A363327">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售价（元）：0</w:t>
      </w:r>
    </w:p>
    <w:p w14:paraId="43728743">
      <w:pPr>
        <w:pStyle w:val="44"/>
        <w:keepNext w:val="0"/>
        <w:keepLines w:val="0"/>
        <w:widowControl/>
        <w:suppressLineNumbers w:val="0"/>
        <w:spacing w:before="255" w:beforeAutospacing="0" w:after="255" w:afterAutospacing="0" w:line="300" w:lineRule="atLeast"/>
        <w:ind w:left="0" w:right="0"/>
        <w:jc w:val="both"/>
        <w:rPr>
          <w:rFonts w:hint="eastAsia" w:ascii="仿宋" w:hAnsi="仿宋" w:eastAsia="仿宋" w:cs="仿宋"/>
          <w:color w:val="auto"/>
          <w:sz w:val="24"/>
          <w:szCs w:val="24"/>
          <w:highlight w:val="none"/>
        </w:rPr>
      </w:pPr>
      <w:r>
        <w:rPr>
          <w:rStyle w:val="50"/>
          <w:rFonts w:hint="eastAsia" w:ascii="仿宋" w:hAnsi="仿宋" w:eastAsia="仿宋" w:cs="仿宋"/>
          <w:i w:val="0"/>
          <w:iCs w:val="0"/>
          <w:caps w:val="0"/>
          <w:color w:val="auto"/>
          <w:spacing w:val="0"/>
          <w:sz w:val="24"/>
          <w:szCs w:val="24"/>
          <w:highlight w:val="none"/>
        </w:rPr>
        <w:t>四、提交</w:t>
      </w:r>
      <w:r>
        <w:rPr>
          <w:rStyle w:val="50"/>
          <w:rFonts w:hint="eastAsia" w:ascii="仿宋" w:hAnsi="仿宋" w:eastAsia="仿宋" w:cs="仿宋"/>
          <w:i w:val="0"/>
          <w:iCs w:val="0"/>
          <w:caps w:val="0"/>
          <w:color w:val="auto"/>
          <w:spacing w:val="0"/>
          <w:sz w:val="24"/>
          <w:szCs w:val="24"/>
          <w:highlight w:val="none"/>
          <w:lang w:eastAsia="zh-CN"/>
        </w:rPr>
        <w:t>响应文件</w:t>
      </w:r>
      <w:r>
        <w:rPr>
          <w:rStyle w:val="50"/>
          <w:rFonts w:hint="eastAsia" w:ascii="仿宋" w:hAnsi="仿宋" w:eastAsia="仿宋" w:cs="仿宋"/>
          <w:i w:val="0"/>
          <w:iCs w:val="0"/>
          <w:caps w:val="0"/>
          <w:color w:val="auto"/>
          <w:spacing w:val="0"/>
          <w:sz w:val="24"/>
          <w:szCs w:val="24"/>
          <w:highlight w:val="none"/>
        </w:rPr>
        <w:t>截止时间、开标时间和地点</w:t>
      </w:r>
    </w:p>
    <w:p w14:paraId="339D3AF5">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提交</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截止时间：</w:t>
      </w:r>
      <w:r>
        <w:rPr>
          <w:rFonts w:hint="eastAsia" w:ascii="仿宋" w:hAnsi="仿宋" w:eastAsia="仿宋" w:cs="仿宋"/>
          <w:i w:val="0"/>
          <w:iCs w:val="0"/>
          <w:caps w:val="0"/>
          <w:color w:val="auto"/>
          <w:spacing w:val="0"/>
          <w:sz w:val="24"/>
          <w:szCs w:val="24"/>
          <w:highlight w:val="none"/>
          <w:lang w:eastAsia="zh-CN"/>
        </w:rPr>
        <w:t>2026年06月01日 16:00</w:t>
      </w:r>
      <w:r>
        <w:rPr>
          <w:rFonts w:hint="eastAsia" w:ascii="仿宋" w:hAnsi="仿宋" w:eastAsia="仿宋" w:cs="仿宋"/>
          <w:i w:val="0"/>
          <w:iCs w:val="0"/>
          <w:caps w:val="0"/>
          <w:color w:val="auto"/>
          <w:spacing w:val="0"/>
          <w:sz w:val="24"/>
          <w:szCs w:val="24"/>
          <w:highlight w:val="none"/>
        </w:rPr>
        <w:t>（北京时间）</w:t>
      </w:r>
    </w:p>
    <w:p w14:paraId="6BA1C796">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投标地点：请登录政采云投标客户端投标，将</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上传至政采云平台https://www.zcygov.cn/对应位置（逾期未上传的或不符合规定的</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将被拒绝接收）</w:t>
      </w:r>
    </w:p>
    <w:p w14:paraId="17EEADA5">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开标时间：</w:t>
      </w:r>
      <w:r>
        <w:rPr>
          <w:rFonts w:hint="eastAsia" w:ascii="仿宋" w:hAnsi="仿宋" w:eastAsia="仿宋" w:cs="仿宋"/>
          <w:i w:val="0"/>
          <w:iCs w:val="0"/>
          <w:caps w:val="0"/>
          <w:color w:val="auto"/>
          <w:spacing w:val="0"/>
          <w:sz w:val="24"/>
          <w:szCs w:val="24"/>
          <w:highlight w:val="none"/>
          <w:lang w:eastAsia="zh-CN"/>
        </w:rPr>
        <w:t>2026年06月01日 16:00</w:t>
      </w:r>
      <w:r>
        <w:rPr>
          <w:rFonts w:hint="eastAsia" w:ascii="仿宋" w:hAnsi="仿宋" w:eastAsia="仿宋" w:cs="仿宋"/>
          <w:i w:val="0"/>
          <w:iCs w:val="0"/>
          <w:caps w:val="0"/>
          <w:color w:val="auto"/>
          <w:spacing w:val="0"/>
          <w:sz w:val="24"/>
          <w:szCs w:val="24"/>
          <w:highlight w:val="none"/>
        </w:rPr>
        <w:t>（北京时间）</w:t>
      </w:r>
    </w:p>
    <w:p w14:paraId="5DAE962B">
      <w:pPr>
        <w:pStyle w:val="44"/>
        <w:keepNext w:val="0"/>
        <w:keepLines w:val="0"/>
        <w:widowControl/>
        <w:suppressLineNumbers w:val="0"/>
        <w:spacing w:before="75" w:beforeAutospacing="0" w:after="75" w:afterAutospacing="0" w:line="300" w:lineRule="atLeast"/>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开标地点：投标人登录政采云平台https://www.zcygov.cn/，进入“项目采购-开标评标-右边选择对应项目点击“进入项目”进入开标大厅。</w:t>
      </w:r>
    </w:p>
    <w:p w14:paraId="787DEE25">
      <w:pPr>
        <w:pStyle w:val="44"/>
        <w:keepNext w:val="0"/>
        <w:keepLines w:val="0"/>
        <w:widowControl/>
        <w:suppressLineNumbers w:val="0"/>
        <w:spacing w:before="255" w:beforeAutospacing="0" w:after="255" w:afterAutospacing="0" w:line="300" w:lineRule="atLeast"/>
        <w:ind w:left="0" w:right="0"/>
        <w:jc w:val="both"/>
        <w:rPr>
          <w:rFonts w:hint="eastAsia" w:ascii="仿宋" w:hAnsi="仿宋" w:eastAsia="仿宋" w:cs="仿宋"/>
          <w:color w:val="auto"/>
          <w:sz w:val="24"/>
          <w:szCs w:val="24"/>
          <w:highlight w:val="none"/>
        </w:rPr>
      </w:pPr>
      <w:r>
        <w:rPr>
          <w:rStyle w:val="50"/>
          <w:rFonts w:hint="eastAsia" w:ascii="仿宋" w:hAnsi="仿宋" w:eastAsia="仿宋" w:cs="仿宋"/>
          <w:i w:val="0"/>
          <w:iCs w:val="0"/>
          <w:caps w:val="0"/>
          <w:color w:val="auto"/>
          <w:spacing w:val="0"/>
          <w:sz w:val="24"/>
          <w:szCs w:val="24"/>
          <w:highlight w:val="none"/>
        </w:rPr>
        <w:t>五、公告期限</w:t>
      </w:r>
    </w:p>
    <w:p w14:paraId="0EC8C716">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自本公告发布之日起5个工作日。</w:t>
      </w:r>
    </w:p>
    <w:p w14:paraId="6D72BD03">
      <w:pPr>
        <w:pStyle w:val="44"/>
        <w:keepNext w:val="0"/>
        <w:keepLines w:val="0"/>
        <w:widowControl/>
        <w:suppressLineNumbers w:val="0"/>
        <w:spacing w:before="255" w:beforeAutospacing="0" w:after="255" w:afterAutospacing="0" w:line="300" w:lineRule="atLeast"/>
        <w:ind w:left="0" w:right="0"/>
        <w:jc w:val="both"/>
        <w:rPr>
          <w:rFonts w:hint="eastAsia" w:ascii="仿宋" w:hAnsi="仿宋" w:eastAsia="仿宋" w:cs="仿宋"/>
          <w:color w:val="auto"/>
          <w:sz w:val="24"/>
          <w:szCs w:val="24"/>
          <w:highlight w:val="none"/>
        </w:rPr>
      </w:pPr>
      <w:r>
        <w:rPr>
          <w:rStyle w:val="50"/>
          <w:rFonts w:hint="eastAsia" w:ascii="仿宋" w:hAnsi="仿宋" w:eastAsia="仿宋" w:cs="仿宋"/>
          <w:i w:val="0"/>
          <w:iCs w:val="0"/>
          <w:caps w:val="0"/>
          <w:color w:val="auto"/>
          <w:spacing w:val="0"/>
          <w:sz w:val="24"/>
          <w:szCs w:val="24"/>
          <w:highlight w:val="none"/>
        </w:rPr>
        <w:t>六、其他补充事宜</w:t>
      </w:r>
    </w:p>
    <w:p w14:paraId="5DB9E76C">
      <w:pPr>
        <w:pStyle w:val="44"/>
        <w:keepNext w:val="0"/>
        <w:keepLines w:val="0"/>
        <w:widowControl/>
        <w:suppressLineNumbers w:val="0"/>
        <w:spacing w:before="75" w:beforeAutospacing="0" w:after="75" w:afterAutospacing="0" w:line="360" w:lineRule="auto"/>
        <w:ind w:right="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1.本项目实行网上投标，采用电子</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3.供应商在完成政采云电子交易客户端下载、安装后，可通过账号密码或CA登录客户端进行</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4.供应商应当在投标截止时间前,将生成的“电子加密</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”上传递交至“政府采购云平台”,投标截止时间以后上传递交的</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将被“政府采购云平台”拒收；</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5.供应商在开标前须提前配置好电脑浏览器（建议使用360浏览器或谷歌浏览器）,开标时登录政采云平台，在“项目采购-开标评标”功能中，使用制作加密电子</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的CA锁进行解密及报价确认。本项目</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的解密时间定为30分钟内,若供应商在规定时间内因自身原因导致无法正常解密,后果由供应商自行承担；</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6.供应商登录政采云平台，在开标时间后30分钟内用“项目采购-开标评标”功能进行解密</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。若供应商在规定时间内未按时解密的，视为无效投标。解密与加密</w:t>
      </w:r>
      <w:r>
        <w:rPr>
          <w:rFonts w:hint="eastAsia" w:ascii="仿宋" w:hAnsi="仿宋" w:eastAsia="仿宋" w:cs="仿宋"/>
          <w:i w:val="0"/>
          <w:iCs w:val="0"/>
          <w:caps w:val="0"/>
          <w:color w:val="auto"/>
          <w:spacing w:val="0"/>
          <w:sz w:val="24"/>
          <w:szCs w:val="24"/>
          <w:highlight w:val="none"/>
          <w:lang w:eastAsia="zh-CN"/>
        </w:rPr>
        <w:t>响应文件</w:t>
      </w:r>
      <w:r>
        <w:rPr>
          <w:rFonts w:hint="eastAsia" w:ascii="仿宋" w:hAnsi="仿宋" w:eastAsia="仿宋" w:cs="仿宋"/>
          <w:i w:val="0"/>
          <w:iCs w:val="0"/>
          <w:caps w:val="0"/>
          <w:color w:val="auto"/>
          <w:spacing w:val="0"/>
          <w:sz w:val="24"/>
          <w:szCs w:val="24"/>
          <w:highlight w:val="none"/>
        </w:rPr>
        <w:t>须使用同一个CA。</w:t>
      </w:r>
    </w:p>
    <w:p w14:paraId="1F1782C9">
      <w:pPr>
        <w:pStyle w:val="44"/>
        <w:keepNext w:val="0"/>
        <w:keepLines w:val="0"/>
        <w:widowControl/>
        <w:suppressLineNumbers w:val="0"/>
        <w:spacing w:before="75" w:beforeAutospacing="0" w:after="75" w:afterAutospacing="0" w:line="360" w:lineRule="auto"/>
        <w:ind w:left="0" w:right="0"/>
        <w:rPr>
          <w:rFonts w:hint="eastAsia" w:ascii="仿宋" w:hAnsi="仿宋" w:eastAsia="仿宋" w:cs="仿宋"/>
          <w:b/>
          <w:bCs/>
          <w:color w:val="auto"/>
          <w:sz w:val="24"/>
          <w:szCs w:val="24"/>
          <w:highlight w:val="none"/>
        </w:rPr>
      </w:pPr>
      <w:r>
        <w:rPr>
          <w:rFonts w:hint="eastAsia" w:ascii="仿宋" w:hAnsi="仿宋" w:eastAsia="仿宋" w:cs="仿宋"/>
          <w:b/>
          <w:bCs/>
          <w:i w:val="0"/>
          <w:iCs w:val="0"/>
          <w:caps w:val="0"/>
          <w:color w:val="auto"/>
          <w:spacing w:val="0"/>
          <w:sz w:val="24"/>
          <w:szCs w:val="24"/>
          <w:highlight w:val="none"/>
        </w:rPr>
        <w:t>特别提示：</w:t>
      </w:r>
    </w:p>
    <w:p w14:paraId="5D7540F5">
      <w:pPr>
        <w:pStyle w:val="44"/>
        <w:keepNext w:val="0"/>
        <w:keepLines w:val="0"/>
        <w:widowControl/>
        <w:suppressLineNumbers w:val="0"/>
        <w:spacing w:before="75" w:beforeAutospacing="0" w:after="75" w:afterAutospacing="0" w:line="360" w:lineRule="auto"/>
        <w:ind w:left="0" w:right="0"/>
        <w:rPr>
          <w:rFonts w:hint="eastAsia" w:ascii="仿宋" w:hAnsi="仿宋" w:eastAsia="仿宋" w:cs="仿宋"/>
          <w:b/>
          <w:bCs/>
          <w:color w:val="auto"/>
          <w:sz w:val="24"/>
          <w:szCs w:val="24"/>
          <w:highlight w:val="none"/>
        </w:rPr>
      </w:pPr>
      <w:r>
        <w:rPr>
          <w:rFonts w:hint="eastAsia" w:ascii="仿宋" w:hAnsi="仿宋" w:eastAsia="仿宋" w:cs="仿宋"/>
          <w:b/>
          <w:bCs/>
          <w:i w:val="0"/>
          <w:iCs w:val="0"/>
          <w:caps w:val="0"/>
          <w:color w:val="auto"/>
          <w:spacing w:val="0"/>
          <w:sz w:val="24"/>
          <w:szCs w:val="24"/>
          <w:highlight w:val="none"/>
        </w:rPr>
        <w:t>1、采购限额标准以上，200万元以下的货物和服务采购项目、400万元以下的工程采购项目，适宜由中小企业提供的，采购人应当专门面向中小企业采购。</w:t>
      </w:r>
    </w:p>
    <w:p w14:paraId="3707C0A1">
      <w:pPr>
        <w:pStyle w:val="44"/>
        <w:keepNext w:val="0"/>
        <w:keepLines w:val="0"/>
        <w:widowControl/>
        <w:suppressLineNumbers w:val="0"/>
        <w:spacing w:before="75" w:beforeAutospacing="0" w:after="75" w:afterAutospacing="0" w:line="360" w:lineRule="auto"/>
        <w:ind w:left="0" w:right="0"/>
        <w:rPr>
          <w:rFonts w:hint="eastAsia" w:ascii="仿宋" w:hAnsi="仿宋" w:eastAsia="仿宋" w:cs="仿宋"/>
          <w:b/>
          <w:bCs/>
          <w:color w:val="auto"/>
          <w:sz w:val="24"/>
          <w:szCs w:val="24"/>
          <w:highlight w:val="none"/>
        </w:rPr>
      </w:pPr>
      <w:r>
        <w:rPr>
          <w:rFonts w:hint="eastAsia" w:ascii="仿宋" w:hAnsi="仿宋" w:eastAsia="仿宋" w:cs="仿宋"/>
          <w:b/>
          <w:bCs/>
          <w:i w:val="0"/>
          <w:iCs w:val="0"/>
          <w:caps w:val="0"/>
          <w:color w:val="auto"/>
          <w:spacing w:val="0"/>
          <w:sz w:val="24"/>
          <w:szCs w:val="24"/>
          <w:highlight w:val="none"/>
        </w:rPr>
        <w:t>2、超过200万元的货物和服务采购项目，预留该部分采购项目预算总额的30%以上专门面向中小企业采购，其中预留给小微企业的比例不低于60%。</w:t>
      </w:r>
    </w:p>
    <w:p w14:paraId="2957646C">
      <w:pPr>
        <w:pStyle w:val="44"/>
        <w:keepNext w:val="0"/>
        <w:keepLines w:val="0"/>
        <w:widowControl/>
        <w:suppressLineNumbers w:val="0"/>
        <w:spacing w:before="75" w:beforeAutospacing="0" w:after="75" w:afterAutospacing="0" w:line="360" w:lineRule="auto"/>
        <w:ind w:left="0" w:right="0"/>
        <w:rPr>
          <w:rFonts w:hint="eastAsia" w:ascii="仿宋" w:hAnsi="仿宋" w:eastAsia="仿宋" w:cs="仿宋"/>
          <w:b/>
          <w:bCs/>
          <w:color w:val="auto"/>
          <w:sz w:val="24"/>
          <w:szCs w:val="24"/>
          <w:highlight w:val="none"/>
        </w:rPr>
      </w:pPr>
      <w:r>
        <w:rPr>
          <w:rFonts w:hint="eastAsia" w:ascii="仿宋" w:hAnsi="仿宋" w:eastAsia="仿宋" w:cs="仿宋"/>
          <w:b/>
          <w:bCs/>
          <w:i w:val="0"/>
          <w:iCs w:val="0"/>
          <w:caps w:val="0"/>
          <w:color w:val="auto"/>
          <w:spacing w:val="0"/>
          <w:sz w:val="24"/>
          <w:szCs w:val="24"/>
          <w:highlight w:val="none"/>
        </w:rPr>
        <w:t>3、超过400万元的工程采购项目中适宜由中小企业提供的，预留该部分采购项目预算总额的40%以上专门面向中小企业采购，其中预留给小微企业的比例不低于60%。</w:t>
      </w:r>
    </w:p>
    <w:p w14:paraId="0B73B674">
      <w:pPr>
        <w:pStyle w:val="44"/>
        <w:keepNext w:val="0"/>
        <w:keepLines w:val="0"/>
        <w:widowControl/>
        <w:suppressLineNumbers w:val="0"/>
        <w:spacing w:before="75" w:beforeAutospacing="0" w:after="75" w:afterAutospacing="0" w:line="360" w:lineRule="auto"/>
        <w:ind w:left="0" w:right="0"/>
        <w:rPr>
          <w:rFonts w:hint="eastAsia" w:ascii="仿宋" w:hAnsi="仿宋" w:eastAsia="仿宋" w:cs="仿宋"/>
          <w:b/>
          <w:bCs/>
          <w:color w:val="auto"/>
          <w:sz w:val="24"/>
          <w:szCs w:val="24"/>
          <w:highlight w:val="none"/>
        </w:rPr>
      </w:pPr>
      <w:r>
        <w:rPr>
          <w:rFonts w:hint="eastAsia" w:ascii="仿宋" w:hAnsi="仿宋" w:eastAsia="仿宋" w:cs="仿宋"/>
          <w:b/>
          <w:bCs/>
          <w:i w:val="0"/>
          <w:iCs w:val="0"/>
          <w:caps w:val="0"/>
          <w:color w:val="auto"/>
          <w:spacing w:val="0"/>
          <w:sz w:val="24"/>
          <w:szCs w:val="24"/>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B10F586">
      <w:pPr>
        <w:pStyle w:val="44"/>
        <w:keepNext w:val="0"/>
        <w:keepLines w:val="0"/>
        <w:widowControl/>
        <w:suppressLineNumbers w:val="0"/>
        <w:spacing w:before="75" w:beforeAutospacing="0" w:after="75" w:afterAutospacing="0" w:line="360" w:lineRule="auto"/>
        <w:ind w:left="0" w:right="0"/>
        <w:rPr>
          <w:rFonts w:hint="eastAsia" w:ascii="仿宋" w:hAnsi="仿宋" w:eastAsia="仿宋" w:cs="仿宋"/>
          <w:b/>
          <w:bCs/>
          <w:color w:val="auto"/>
          <w:sz w:val="24"/>
          <w:szCs w:val="24"/>
          <w:highlight w:val="none"/>
        </w:rPr>
      </w:pPr>
      <w:r>
        <w:rPr>
          <w:rFonts w:hint="eastAsia" w:ascii="仿宋" w:hAnsi="仿宋" w:eastAsia="仿宋" w:cs="仿宋"/>
          <w:b/>
          <w:bCs/>
          <w:i w:val="0"/>
          <w:iCs w:val="0"/>
          <w:caps w:val="0"/>
          <w:color w:val="auto"/>
          <w:spacing w:val="0"/>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BD56AAC">
      <w:pPr>
        <w:pStyle w:val="44"/>
        <w:keepNext w:val="0"/>
        <w:keepLines w:val="0"/>
        <w:widowControl/>
        <w:suppressLineNumbers w:val="0"/>
        <w:spacing w:before="255" w:beforeAutospacing="0" w:after="255" w:afterAutospacing="0" w:line="480" w:lineRule="atLeast"/>
        <w:ind w:left="0" w:right="0"/>
        <w:jc w:val="both"/>
        <w:rPr>
          <w:rFonts w:hint="eastAsia" w:ascii="仿宋" w:hAnsi="仿宋" w:eastAsia="仿宋" w:cs="仿宋"/>
          <w:color w:val="auto"/>
          <w:sz w:val="24"/>
          <w:szCs w:val="24"/>
          <w:highlight w:val="none"/>
        </w:rPr>
      </w:pPr>
      <w:r>
        <w:rPr>
          <w:rStyle w:val="50"/>
          <w:rFonts w:hint="eastAsia" w:ascii="仿宋" w:hAnsi="仿宋" w:eastAsia="仿宋" w:cs="仿宋"/>
          <w:i w:val="0"/>
          <w:iCs w:val="0"/>
          <w:caps w:val="0"/>
          <w:color w:val="auto"/>
          <w:spacing w:val="0"/>
          <w:sz w:val="24"/>
          <w:szCs w:val="24"/>
          <w:highlight w:val="none"/>
        </w:rPr>
        <w:t>七、对本次采购提出询问，请按以下方式联系</w:t>
      </w:r>
    </w:p>
    <w:p w14:paraId="4828BE38">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1.采购人信息</w:t>
      </w:r>
    </w:p>
    <w:p w14:paraId="4E75F7CF">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名 称：</w:t>
      </w:r>
      <w:r>
        <w:rPr>
          <w:rStyle w:val="61"/>
          <w:rFonts w:hint="eastAsia" w:ascii="仿宋" w:hAnsi="仿宋" w:eastAsia="仿宋" w:cs="仿宋"/>
          <w:i w:val="0"/>
          <w:iCs w:val="0"/>
          <w:caps w:val="0"/>
          <w:color w:val="auto"/>
          <w:spacing w:val="0"/>
          <w:sz w:val="24"/>
          <w:szCs w:val="24"/>
          <w:highlight w:val="none"/>
          <w:lang w:eastAsia="zh-CN"/>
        </w:rPr>
        <w:t>新疆维吾尔自治区卫生健康宣传教育中心</w:t>
      </w:r>
    </w:p>
    <w:p w14:paraId="5863303C">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地 址：</w:t>
      </w:r>
      <w:r>
        <w:rPr>
          <w:rFonts w:hint="eastAsia" w:ascii="仿宋" w:hAnsi="仿宋" w:eastAsia="仿宋" w:cs="仿宋"/>
          <w:i w:val="0"/>
          <w:iCs w:val="0"/>
          <w:caps w:val="0"/>
          <w:color w:val="auto"/>
          <w:spacing w:val="0"/>
          <w:sz w:val="24"/>
          <w:szCs w:val="24"/>
          <w:highlight w:val="none"/>
          <w:lang w:eastAsia="zh-CN"/>
        </w:rPr>
        <w:t>昆明路西一巷127号</w:t>
      </w:r>
    </w:p>
    <w:p w14:paraId="617BB0C6">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联系方式：</w:t>
      </w:r>
      <w:r>
        <w:rPr>
          <w:rFonts w:hint="eastAsia" w:ascii="仿宋" w:hAnsi="仿宋" w:eastAsia="仿宋" w:cs="仿宋"/>
          <w:i w:val="0"/>
          <w:iCs w:val="0"/>
          <w:caps w:val="0"/>
          <w:color w:val="auto"/>
          <w:spacing w:val="0"/>
          <w:sz w:val="24"/>
          <w:szCs w:val="24"/>
          <w:highlight w:val="none"/>
          <w:lang w:eastAsia="zh-CN"/>
        </w:rPr>
        <w:t>0991-2816103</w:t>
      </w:r>
    </w:p>
    <w:p w14:paraId="17B5D6D6">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2.采购代理机构信息</w:t>
      </w:r>
    </w:p>
    <w:p w14:paraId="2A3E47A4">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名 称：</w:t>
      </w:r>
      <w:r>
        <w:rPr>
          <w:rFonts w:hint="eastAsia" w:ascii="仿宋" w:hAnsi="仿宋" w:eastAsia="仿宋" w:cs="仿宋"/>
          <w:i w:val="0"/>
          <w:iCs w:val="0"/>
          <w:caps w:val="0"/>
          <w:color w:val="auto"/>
          <w:spacing w:val="0"/>
          <w:sz w:val="24"/>
          <w:szCs w:val="24"/>
          <w:highlight w:val="none"/>
          <w:lang w:eastAsia="zh-CN"/>
        </w:rPr>
        <w:t>新疆旭辉项目管理有限公司</w:t>
      </w:r>
    </w:p>
    <w:p w14:paraId="4105CB25">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地 址：乌鲁木齐市北京南路盈科国际中心</w:t>
      </w:r>
    </w:p>
    <w:p w14:paraId="4EC191B3">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联系方式：</w:t>
      </w:r>
      <w:r>
        <w:rPr>
          <w:rFonts w:hint="eastAsia" w:ascii="仿宋" w:hAnsi="仿宋" w:eastAsia="仿宋" w:cs="仿宋"/>
          <w:i w:val="0"/>
          <w:iCs w:val="0"/>
          <w:caps w:val="0"/>
          <w:color w:val="auto"/>
          <w:spacing w:val="0"/>
          <w:sz w:val="24"/>
          <w:szCs w:val="24"/>
          <w:highlight w:val="none"/>
          <w:lang w:val="en-US" w:eastAsia="zh-CN"/>
        </w:rPr>
        <w:t>0991-3651985</w:t>
      </w:r>
    </w:p>
    <w:p w14:paraId="0C5407F6">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3.项目联系方式</w:t>
      </w:r>
    </w:p>
    <w:p w14:paraId="7F2A5B92">
      <w:pPr>
        <w:pStyle w:val="44"/>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项目联系人：</w:t>
      </w:r>
      <w:r>
        <w:rPr>
          <w:rStyle w:val="61"/>
          <w:rFonts w:hint="eastAsia" w:ascii="仿宋" w:hAnsi="仿宋" w:eastAsia="仿宋" w:cs="仿宋"/>
          <w:i w:val="0"/>
          <w:iCs w:val="0"/>
          <w:caps w:val="0"/>
          <w:color w:val="auto"/>
          <w:spacing w:val="0"/>
          <w:sz w:val="24"/>
          <w:szCs w:val="24"/>
          <w:highlight w:val="none"/>
          <w:lang w:eastAsia="zh-CN"/>
        </w:rPr>
        <w:t>谢工</w:t>
      </w:r>
    </w:p>
    <w:p w14:paraId="1E6ABE2E">
      <w:pPr>
        <w:pStyle w:val="44"/>
        <w:keepNext w:val="0"/>
        <w:keepLines w:val="0"/>
        <w:widowControl/>
        <w:suppressLineNumbers w:val="0"/>
        <w:spacing w:before="75" w:beforeAutospacing="0" w:after="75" w:afterAutospacing="0"/>
        <w:ind w:left="0" w:right="0" w:firstLine="420"/>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电 话：</w:t>
      </w:r>
      <w:r>
        <w:rPr>
          <w:rStyle w:val="61"/>
          <w:rFonts w:hint="eastAsia" w:ascii="仿宋" w:hAnsi="仿宋" w:eastAsia="仿宋" w:cs="仿宋"/>
          <w:i w:val="0"/>
          <w:iCs w:val="0"/>
          <w:caps w:val="0"/>
          <w:color w:val="auto"/>
          <w:spacing w:val="0"/>
          <w:sz w:val="24"/>
          <w:szCs w:val="24"/>
          <w:highlight w:val="none"/>
          <w:lang w:val="en-US" w:eastAsia="zh-CN"/>
        </w:rPr>
        <w:t>18599192565</w:t>
      </w:r>
    </w:p>
    <w:p w14:paraId="43DE7E06">
      <w:pPr>
        <w:rPr>
          <w:rFonts w:hint="eastAsia" w:ascii="仿宋" w:hAnsi="仿宋" w:eastAsia="仿宋" w:cs="仿宋"/>
          <w:b/>
          <w:bCs/>
          <w:color w:val="auto"/>
          <w:kern w:val="2"/>
          <w:sz w:val="28"/>
          <w:szCs w:val="20"/>
          <w:highlight w:val="none"/>
          <w:lang w:val="en-US" w:eastAsia="zh-CN" w:bidi="ar-SA"/>
        </w:rPr>
      </w:pPr>
      <w:r>
        <w:rPr>
          <w:rFonts w:hint="eastAsia" w:ascii="仿宋" w:hAnsi="仿宋" w:eastAsia="仿宋" w:cs="仿宋"/>
          <w:b/>
          <w:bCs/>
          <w:color w:val="auto"/>
          <w:kern w:val="2"/>
          <w:sz w:val="28"/>
          <w:szCs w:val="20"/>
          <w:highlight w:val="none"/>
          <w:lang w:val="en-US" w:eastAsia="zh-CN" w:bidi="ar-SA"/>
        </w:rPr>
        <w:br w:type="page"/>
      </w:r>
    </w:p>
    <w:p w14:paraId="1A705045">
      <w:pPr>
        <w:pStyle w:val="2"/>
        <w:keepNext/>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Style w:val="65"/>
          <w:rFonts w:hint="eastAsia" w:ascii="仿宋" w:hAnsi="仿宋" w:eastAsia="仿宋" w:cs="仿宋"/>
          <w:b/>
          <w:bCs/>
          <w:color w:val="auto"/>
          <w:highlight w:val="none"/>
        </w:rPr>
      </w:pPr>
      <w:bookmarkStart w:id="10" w:name="_Toc13207"/>
      <w:r>
        <w:rPr>
          <w:rFonts w:hint="eastAsia" w:ascii="仿宋" w:hAnsi="仿宋" w:eastAsia="仿宋" w:cs="仿宋"/>
          <w:b/>
          <w:bCs/>
          <w:color w:val="auto"/>
          <w:kern w:val="2"/>
          <w:sz w:val="28"/>
          <w:szCs w:val="20"/>
          <w:highlight w:val="none"/>
          <w:lang w:val="en-US" w:eastAsia="zh-CN" w:bidi="ar-SA"/>
        </w:rPr>
        <w:t xml:space="preserve">第二章  </w:t>
      </w:r>
      <w:r>
        <w:rPr>
          <w:rStyle w:val="65"/>
          <w:rFonts w:hint="eastAsia" w:ascii="仿宋" w:hAnsi="仿宋" w:eastAsia="仿宋" w:cs="仿宋"/>
          <w:b/>
          <w:bCs/>
          <w:color w:val="auto"/>
          <w:highlight w:val="none"/>
        </w:rPr>
        <w:t>投标须知</w:t>
      </w:r>
      <w:bookmarkEnd w:id="8"/>
      <w:bookmarkEnd w:id="9"/>
      <w:bookmarkEnd w:id="10"/>
    </w:p>
    <w:p w14:paraId="4A05DFAD">
      <w:pPr>
        <w:numPr>
          <w:ilvl w:val="0"/>
          <w:numId w:val="0"/>
        </w:numPr>
        <w:ind w:left="5040" w:leftChars="0"/>
        <w:rPr>
          <w:rFonts w:hint="eastAsia" w:ascii="仿宋" w:hAnsi="仿宋" w:eastAsia="仿宋" w:cs="仿宋"/>
          <w:color w:val="auto"/>
          <w:highlight w:val="none"/>
        </w:rPr>
      </w:pPr>
    </w:p>
    <w:p w14:paraId="2CB86254">
      <w:pPr>
        <w:pStyle w:val="4"/>
        <w:bidi w:val="0"/>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磋商须知前附表</w:t>
      </w:r>
    </w:p>
    <w:p w14:paraId="7543786B">
      <w:pPr>
        <w:rPr>
          <w:rFonts w:hint="eastAsia" w:ascii="仿宋" w:hAnsi="仿宋" w:eastAsia="仿宋" w:cs="仿宋"/>
          <w:color w:val="auto"/>
          <w:sz w:val="24"/>
          <w:szCs w:val="24"/>
          <w:highlight w:val="none"/>
        </w:rPr>
      </w:pPr>
    </w:p>
    <w:tbl>
      <w:tblPr>
        <w:tblStyle w:val="47"/>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1787"/>
        <w:gridCol w:w="4803"/>
      </w:tblGrid>
      <w:tr w14:paraId="145B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2199" w:type="dxa"/>
            <w:vAlign w:val="center"/>
          </w:tcPr>
          <w:p w14:paraId="67125F24">
            <w:pPr>
              <w:adjustRightInd w:val="0"/>
              <w:snapToGrid w:val="0"/>
              <w:spacing w:line="4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条款号</w:t>
            </w:r>
          </w:p>
        </w:tc>
        <w:tc>
          <w:tcPr>
            <w:tcW w:w="1787" w:type="dxa"/>
            <w:vAlign w:val="center"/>
          </w:tcPr>
          <w:p w14:paraId="630C82D8">
            <w:pPr>
              <w:adjustRightInd w:val="0"/>
              <w:snapToGrid w:val="0"/>
              <w:spacing w:line="4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条款名称</w:t>
            </w:r>
          </w:p>
        </w:tc>
        <w:tc>
          <w:tcPr>
            <w:tcW w:w="4803" w:type="dxa"/>
            <w:vAlign w:val="center"/>
          </w:tcPr>
          <w:p w14:paraId="12AD6BA0">
            <w:pPr>
              <w:adjustRightInd w:val="0"/>
              <w:snapToGrid w:val="0"/>
              <w:spacing w:line="40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编列内容规定</w:t>
            </w:r>
          </w:p>
        </w:tc>
      </w:tr>
      <w:tr w14:paraId="1884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534DACB3">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一、说明</w:t>
            </w:r>
          </w:p>
        </w:tc>
      </w:tr>
      <w:tr w14:paraId="482F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27AA8B0A">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第二章第1.1款</w:t>
            </w:r>
          </w:p>
        </w:tc>
        <w:tc>
          <w:tcPr>
            <w:tcW w:w="1787" w:type="dxa"/>
            <w:vAlign w:val="center"/>
          </w:tcPr>
          <w:p w14:paraId="34D6084E">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4803" w:type="dxa"/>
            <w:vAlign w:val="center"/>
          </w:tcPr>
          <w:p w14:paraId="348E0225">
            <w:pPr>
              <w:spacing w:line="40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“健康新疆之时令节气与健康”健康科普网络直播服务项目</w:t>
            </w:r>
          </w:p>
        </w:tc>
      </w:tr>
      <w:tr w14:paraId="20A2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199" w:type="dxa"/>
            <w:vAlign w:val="center"/>
          </w:tcPr>
          <w:p w14:paraId="633DC33F">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第二章第1.2款</w:t>
            </w:r>
          </w:p>
        </w:tc>
        <w:tc>
          <w:tcPr>
            <w:tcW w:w="1787" w:type="dxa"/>
            <w:vAlign w:val="center"/>
          </w:tcPr>
          <w:p w14:paraId="1EE7BD48">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采购内容</w:t>
            </w:r>
          </w:p>
        </w:tc>
        <w:tc>
          <w:tcPr>
            <w:tcW w:w="4803" w:type="dxa"/>
            <w:vAlign w:val="center"/>
          </w:tcPr>
          <w:p w14:paraId="5ED53CBB">
            <w:pPr>
              <w:spacing w:line="40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网络直播服务</w:t>
            </w:r>
            <w:r>
              <w:rPr>
                <w:rFonts w:hint="eastAsia" w:ascii="仿宋" w:hAnsi="仿宋" w:eastAsia="仿宋" w:cs="仿宋"/>
                <w:i w:val="0"/>
                <w:iCs w:val="0"/>
                <w:caps w:val="0"/>
                <w:color w:val="auto"/>
                <w:spacing w:val="0"/>
                <w:sz w:val="24"/>
                <w:szCs w:val="24"/>
                <w:highlight w:val="none"/>
              </w:rPr>
              <w:t>（具体内容详见</w:t>
            </w:r>
            <w:r>
              <w:rPr>
                <w:rFonts w:hint="eastAsia" w:ascii="仿宋" w:hAnsi="仿宋" w:eastAsia="仿宋" w:cs="仿宋"/>
                <w:i w:val="0"/>
                <w:iCs w:val="0"/>
                <w:caps w:val="0"/>
                <w:color w:val="auto"/>
                <w:spacing w:val="0"/>
                <w:sz w:val="24"/>
                <w:szCs w:val="24"/>
                <w:highlight w:val="none"/>
                <w:lang w:eastAsia="zh-CN"/>
              </w:rPr>
              <w:t>竞争性磋商文件</w:t>
            </w:r>
            <w:r>
              <w:rPr>
                <w:rFonts w:hint="eastAsia" w:ascii="仿宋" w:hAnsi="仿宋" w:eastAsia="仿宋" w:cs="仿宋"/>
                <w:i w:val="0"/>
                <w:iCs w:val="0"/>
                <w:caps w:val="0"/>
                <w:color w:val="auto"/>
                <w:spacing w:val="0"/>
                <w:sz w:val="24"/>
                <w:szCs w:val="24"/>
                <w:highlight w:val="none"/>
              </w:rPr>
              <w:t>）</w:t>
            </w:r>
          </w:p>
        </w:tc>
      </w:tr>
      <w:tr w14:paraId="3720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415B5248">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第二章第1.3款</w:t>
            </w:r>
          </w:p>
        </w:tc>
        <w:tc>
          <w:tcPr>
            <w:tcW w:w="1787" w:type="dxa"/>
            <w:vAlign w:val="center"/>
          </w:tcPr>
          <w:p w14:paraId="44457B2B">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w:t>
            </w:r>
          </w:p>
        </w:tc>
        <w:tc>
          <w:tcPr>
            <w:tcW w:w="4803" w:type="dxa"/>
            <w:vAlign w:val="center"/>
          </w:tcPr>
          <w:p w14:paraId="2917ADF6">
            <w:pPr>
              <w:spacing w:line="40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竞争性磋商</w:t>
            </w:r>
          </w:p>
        </w:tc>
      </w:tr>
      <w:tr w14:paraId="53FE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011E2395">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第二章第1.4款</w:t>
            </w:r>
          </w:p>
        </w:tc>
        <w:tc>
          <w:tcPr>
            <w:tcW w:w="1787" w:type="dxa"/>
            <w:vAlign w:val="center"/>
          </w:tcPr>
          <w:p w14:paraId="0B9B0133">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项目地点</w:t>
            </w:r>
          </w:p>
        </w:tc>
        <w:tc>
          <w:tcPr>
            <w:tcW w:w="4803" w:type="dxa"/>
            <w:vAlign w:val="center"/>
          </w:tcPr>
          <w:p w14:paraId="4BA05186">
            <w:pPr>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采购人指定地点</w:t>
            </w:r>
          </w:p>
        </w:tc>
      </w:tr>
      <w:tr w14:paraId="1240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113BDA7D">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第二章第1.5款</w:t>
            </w:r>
          </w:p>
        </w:tc>
        <w:tc>
          <w:tcPr>
            <w:tcW w:w="1787" w:type="dxa"/>
            <w:vAlign w:val="center"/>
          </w:tcPr>
          <w:p w14:paraId="2D2E9C82">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w:t>
            </w:r>
          </w:p>
        </w:tc>
        <w:tc>
          <w:tcPr>
            <w:tcW w:w="4803" w:type="dxa"/>
            <w:vAlign w:val="center"/>
          </w:tcPr>
          <w:p w14:paraId="2438CE9F">
            <w:pPr>
              <w:adjustRightInd w:val="0"/>
              <w:snapToGrid w:val="0"/>
              <w:spacing w:line="40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2026</w:t>
            </w:r>
            <w:bookmarkStart w:id="327" w:name="_GoBack"/>
            <w:bookmarkEnd w:id="327"/>
            <w:r>
              <w:rPr>
                <w:rFonts w:hint="eastAsia" w:ascii="仿宋" w:hAnsi="仿宋" w:eastAsia="仿宋" w:cs="仿宋"/>
                <w:color w:val="auto"/>
                <w:sz w:val="24"/>
                <w:szCs w:val="24"/>
                <w:highlight w:val="none"/>
                <w:lang w:val="en-US" w:eastAsia="zh-CN"/>
              </w:rPr>
              <w:t>年6月1日-2027年5月31日</w:t>
            </w:r>
          </w:p>
        </w:tc>
      </w:tr>
      <w:tr w14:paraId="4238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033CF303">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款</w:t>
            </w:r>
          </w:p>
        </w:tc>
        <w:tc>
          <w:tcPr>
            <w:tcW w:w="1787" w:type="dxa"/>
            <w:vAlign w:val="center"/>
          </w:tcPr>
          <w:p w14:paraId="16E9B533">
            <w:pPr>
              <w:adjustRightInd w:val="0"/>
              <w:snapToGrid w:val="0"/>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付款方式</w:t>
            </w:r>
          </w:p>
        </w:tc>
        <w:tc>
          <w:tcPr>
            <w:tcW w:w="4803" w:type="dxa"/>
            <w:vAlign w:val="center"/>
          </w:tcPr>
          <w:p w14:paraId="6B73C2DE">
            <w:pPr>
              <w:spacing w:line="400" w:lineRule="exact"/>
              <w:jc w:val="left"/>
              <w:rPr>
                <w:rFonts w:hint="eastAsia" w:ascii="仿宋" w:hAnsi="仿宋" w:eastAsia="仿宋" w:cs="仿宋"/>
                <w:color w:val="auto"/>
                <w:kern w:val="0"/>
                <w:sz w:val="24"/>
                <w:szCs w:val="24"/>
                <w:highlight w:val="none"/>
                <w:lang w:eastAsia="zh-CN"/>
              </w:rPr>
            </w:pPr>
            <w:r>
              <w:rPr>
                <w:rFonts w:hint="eastAsia" w:ascii="仿宋" w:hAnsi="仿宋" w:eastAsia="仿宋" w:cs="仿宋"/>
                <w:i w:val="0"/>
                <w:iCs w:val="0"/>
                <w:caps w:val="0"/>
                <w:color w:val="auto"/>
                <w:spacing w:val="0"/>
                <w:sz w:val="24"/>
                <w:szCs w:val="24"/>
                <w:highlight w:val="none"/>
                <w:lang w:eastAsia="zh-CN"/>
              </w:rPr>
              <w:t>以合同签订为准</w:t>
            </w:r>
            <w:r>
              <w:rPr>
                <w:rFonts w:hint="eastAsia" w:ascii="仿宋" w:hAnsi="仿宋" w:eastAsia="仿宋" w:cs="仿宋"/>
                <w:i w:val="0"/>
                <w:iCs w:val="0"/>
                <w:caps w:val="0"/>
                <w:color w:val="auto"/>
                <w:spacing w:val="0"/>
                <w:sz w:val="24"/>
                <w:szCs w:val="24"/>
                <w:highlight w:val="none"/>
              </w:rPr>
              <w:t>。</w:t>
            </w:r>
          </w:p>
        </w:tc>
      </w:tr>
      <w:tr w14:paraId="71BA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199" w:type="dxa"/>
            <w:vAlign w:val="center"/>
          </w:tcPr>
          <w:p w14:paraId="5E8B0D0F">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第二章第2.1款</w:t>
            </w:r>
          </w:p>
        </w:tc>
        <w:tc>
          <w:tcPr>
            <w:tcW w:w="1787" w:type="dxa"/>
            <w:vAlign w:val="center"/>
          </w:tcPr>
          <w:p w14:paraId="4CEAB621">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4803" w:type="dxa"/>
            <w:vAlign w:val="center"/>
          </w:tcPr>
          <w:p w14:paraId="21BF5ABB">
            <w:pPr>
              <w:pStyle w:val="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 购 人：</w:t>
            </w:r>
            <w:r>
              <w:rPr>
                <w:rFonts w:hint="eastAsia" w:ascii="仿宋" w:hAnsi="仿宋" w:eastAsia="仿宋" w:cs="仿宋"/>
                <w:color w:val="auto"/>
                <w:sz w:val="24"/>
                <w:szCs w:val="24"/>
                <w:highlight w:val="none"/>
                <w:lang w:eastAsia="zh-CN"/>
              </w:rPr>
              <w:t>新疆维吾尔自治区卫生健康宣传教育中心</w:t>
            </w:r>
          </w:p>
          <w:p w14:paraId="70C6A230">
            <w:pPr>
              <w:pStyle w:val="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eastAsia="zh-CN"/>
              </w:rPr>
              <w:t>高杨</w:t>
            </w:r>
          </w:p>
          <w:p w14:paraId="49AB491C">
            <w:pPr>
              <w:pStyle w:val="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lang w:eastAsia="zh-CN"/>
              </w:rPr>
              <w:t>0991-2816103</w:t>
            </w:r>
          </w:p>
          <w:p w14:paraId="34F875DF">
            <w:pPr>
              <w:pStyle w:val="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eastAsia="zh-CN"/>
              </w:rPr>
              <w:t>昆明路西一巷127号</w:t>
            </w:r>
          </w:p>
        </w:tc>
      </w:tr>
      <w:tr w14:paraId="138D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199" w:type="dxa"/>
            <w:vAlign w:val="center"/>
          </w:tcPr>
          <w:p w14:paraId="50EFA5E8">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第二章第2.2款</w:t>
            </w:r>
          </w:p>
        </w:tc>
        <w:tc>
          <w:tcPr>
            <w:tcW w:w="1787" w:type="dxa"/>
            <w:vAlign w:val="center"/>
          </w:tcPr>
          <w:p w14:paraId="54FFCD7A">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4803" w:type="dxa"/>
            <w:vAlign w:val="center"/>
          </w:tcPr>
          <w:p w14:paraId="69B3CDC8">
            <w:pPr>
              <w:adjustRightInd w:val="0"/>
              <w:snapToGrid w:val="0"/>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新疆旭辉项目管理有限公司</w:t>
            </w:r>
          </w:p>
          <w:p w14:paraId="7E6648EB">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地址：新市区北京南路416号盈科国际中心</w:t>
            </w:r>
          </w:p>
          <w:p w14:paraId="7C215729">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eastAsia="zh-CN"/>
              </w:rPr>
              <w:t>谢工</w:t>
            </w:r>
          </w:p>
          <w:p w14:paraId="750EB011">
            <w:pPr>
              <w:adjustRightInd w:val="0"/>
              <w:snapToGrid w:val="0"/>
              <w:spacing w:line="40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联系方式： </w:t>
            </w:r>
            <w:r>
              <w:rPr>
                <w:rFonts w:hint="eastAsia" w:ascii="仿宋" w:hAnsi="仿宋" w:eastAsia="仿宋" w:cs="仿宋"/>
                <w:color w:val="auto"/>
                <w:sz w:val="24"/>
                <w:szCs w:val="24"/>
                <w:highlight w:val="none"/>
                <w:lang w:val="en-US" w:eastAsia="zh-CN"/>
              </w:rPr>
              <w:t>18599192565</w:t>
            </w:r>
          </w:p>
        </w:tc>
      </w:tr>
      <w:tr w14:paraId="1769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199" w:type="dxa"/>
            <w:vAlign w:val="center"/>
          </w:tcPr>
          <w:p w14:paraId="31B6D3D7">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第二章第3.1款</w:t>
            </w:r>
          </w:p>
        </w:tc>
        <w:tc>
          <w:tcPr>
            <w:tcW w:w="1787" w:type="dxa"/>
            <w:vAlign w:val="center"/>
          </w:tcPr>
          <w:p w14:paraId="0E134221">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投标人</w:t>
            </w:r>
            <w:r>
              <w:rPr>
                <w:rFonts w:hint="eastAsia" w:ascii="仿宋" w:hAnsi="仿宋" w:eastAsia="仿宋" w:cs="仿宋"/>
                <w:color w:val="auto"/>
                <w:sz w:val="24"/>
                <w:szCs w:val="24"/>
                <w:highlight w:val="none"/>
              </w:rPr>
              <w:t>资格条件</w:t>
            </w:r>
          </w:p>
        </w:tc>
        <w:tc>
          <w:tcPr>
            <w:tcW w:w="4803" w:type="dxa"/>
            <w:vAlign w:val="center"/>
          </w:tcPr>
          <w:p w14:paraId="5EFEA16E">
            <w:pPr>
              <w:spacing w:line="4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140A4105">
            <w:pPr>
              <w:pStyle w:val="4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2.落实政府采购政策需满足的资格要求：</w:t>
            </w:r>
            <w:r>
              <w:rPr>
                <w:rFonts w:hint="eastAsia" w:ascii="仿宋" w:hAnsi="仿宋" w:eastAsia="仿宋" w:cs="仿宋"/>
                <w:i w:val="0"/>
                <w:iCs w:val="0"/>
                <w:caps w:val="0"/>
                <w:color w:val="auto"/>
                <w:spacing w:val="0"/>
                <w:sz w:val="24"/>
                <w:szCs w:val="24"/>
                <w:highlight w:val="none"/>
                <w:lang w:eastAsia="zh-CN"/>
              </w:rPr>
              <w:t>本项目专门面向小微企业采购。</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3.本项目的特定资格要求：</w:t>
            </w:r>
            <w:r>
              <w:rPr>
                <w:rFonts w:hint="eastAsia" w:ascii="仿宋" w:hAnsi="仿宋" w:eastAsia="仿宋" w:cs="仿宋"/>
                <w:i w:val="0"/>
                <w:iCs w:val="0"/>
                <w:caps w:val="0"/>
                <w:color w:val="auto"/>
                <w:spacing w:val="0"/>
                <w:sz w:val="24"/>
                <w:szCs w:val="24"/>
                <w:highlight w:val="none"/>
                <w:lang w:eastAsia="zh-CN"/>
              </w:rPr>
              <w:t>无</w:t>
            </w:r>
          </w:p>
          <w:p w14:paraId="68F1B566">
            <w:pPr>
              <w:spacing w:line="40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4、本项目不接受联合体投标。</w:t>
            </w:r>
          </w:p>
        </w:tc>
      </w:tr>
      <w:tr w14:paraId="58C9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25894CB0">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第二章第6.1款</w:t>
            </w:r>
          </w:p>
        </w:tc>
        <w:tc>
          <w:tcPr>
            <w:tcW w:w="1787" w:type="dxa"/>
            <w:vAlign w:val="center"/>
          </w:tcPr>
          <w:p w14:paraId="683D5910">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联合体形式</w:t>
            </w:r>
          </w:p>
        </w:tc>
        <w:tc>
          <w:tcPr>
            <w:tcW w:w="4803" w:type="dxa"/>
            <w:vAlign w:val="center"/>
          </w:tcPr>
          <w:p w14:paraId="02E3079A">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不接受</w:t>
            </w:r>
          </w:p>
        </w:tc>
      </w:tr>
      <w:tr w14:paraId="1472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7F92089F">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第二章第6.2（3）款</w:t>
            </w:r>
          </w:p>
        </w:tc>
        <w:tc>
          <w:tcPr>
            <w:tcW w:w="1787" w:type="dxa"/>
            <w:vAlign w:val="center"/>
          </w:tcPr>
          <w:p w14:paraId="188AFC31">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对联合体各方的要求</w:t>
            </w:r>
          </w:p>
        </w:tc>
        <w:tc>
          <w:tcPr>
            <w:tcW w:w="4803" w:type="dxa"/>
            <w:vAlign w:val="center"/>
          </w:tcPr>
          <w:p w14:paraId="22A154BD">
            <w:pPr>
              <w:adjustRightInd w:val="0"/>
              <w:snapToGrid w:val="0"/>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本项目不涉及</w:t>
            </w:r>
          </w:p>
        </w:tc>
      </w:tr>
      <w:tr w14:paraId="4701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10272C83">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第二章第7.1款</w:t>
            </w:r>
          </w:p>
        </w:tc>
        <w:tc>
          <w:tcPr>
            <w:tcW w:w="1787" w:type="dxa"/>
            <w:vAlign w:val="center"/>
          </w:tcPr>
          <w:p w14:paraId="4E9B0DB7">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现场考察</w:t>
            </w:r>
          </w:p>
        </w:tc>
        <w:tc>
          <w:tcPr>
            <w:tcW w:w="4803" w:type="dxa"/>
            <w:vAlign w:val="center"/>
          </w:tcPr>
          <w:p w14:paraId="240A4F94">
            <w:pPr>
              <w:adjustRightInd w:val="0"/>
              <w:snapToGrid w:val="0"/>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本项目不涉及</w:t>
            </w:r>
          </w:p>
        </w:tc>
      </w:tr>
      <w:tr w14:paraId="7C36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1584727E">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第二章第8.1款</w:t>
            </w:r>
          </w:p>
        </w:tc>
        <w:tc>
          <w:tcPr>
            <w:tcW w:w="1787" w:type="dxa"/>
            <w:vAlign w:val="center"/>
          </w:tcPr>
          <w:p w14:paraId="3A587D75">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合同</w:t>
            </w:r>
            <w:r>
              <w:rPr>
                <w:rFonts w:hint="eastAsia" w:ascii="仿宋" w:hAnsi="仿宋" w:eastAsia="仿宋" w:cs="仿宋"/>
                <w:color w:val="auto"/>
                <w:sz w:val="24"/>
                <w:szCs w:val="24"/>
                <w:highlight w:val="none"/>
              </w:rPr>
              <w:t>分包</w:t>
            </w:r>
          </w:p>
        </w:tc>
        <w:tc>
          <w:tcPr>
            <w:tcW w:w="4803" w:type="dxa"/>
            <w:vAlign w:val="center"/>
          </w:tcPr>
          <w:p w14:paraId="3EE1266E">
            <w:pPr>
              <w:adjustRightInd w:val="0"/>
              <w:snapToGrid w:val="0"/>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本项目不允许合同分包</w:t>
            </w:r>
          </w:p>
        </w:tc>
      </w:tr>
      <w:tr w14:paraId="6954A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Merge w:val="restart"/>
            <w:vAlign w:val="center"/>
          </w:tcPr>
          <w:p w14:paraId="074ADDC7">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第二章第9.1款</w:t>
            </w:r>
          </w:p>
        </w:tc>
        <w:tc>
          <w:tcPr>
            <w:tcW w:w="1787" w:type="dxa"/>
            <w:vAlign w:val="center"/>
          </w:tcPr>
          <w:p w14:paraId="43BAB82F">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w:t>
            </w:r>
            <w:r>
              <w:rPr>
                <w:rFonts w:hint="eastAsia" w:ascii="仿宋" w:hAnsi="仿宋" w:eastAsia="仿宋" w:cs="仿宋"/>
                <w:bCs/>
                <w:color w:val="auto"/>
                <w:kern w:val="0"/>
                <w:sz w:val="24"/>
                <w:szCs w:val="24"/>
                <w:highlight w:val="none"/>
              </w:rPr>
              <w:t>支持</w:t>
            </w:r>
            <w:r>
              <w:rPr>
                <w:rFonts w:hint="eastAsia" w:ascii="仿宋" w:hAnsi="仿宋" w:eastAsia="仿宋" w:cs="仿宋"/>
                <w:color w:val="auto"/>
                <w:sz w:val="24"/>
                <w:szCs w:val="24"/>
                <w:highlight w:val="none"/>
              </w:rPr>
              <w:t>中小企业发展</w:t>
            </w:r>
          </w:p>
        </w:tc>
        <w:tc>
          <w:tcPr>
            <w:tcW w:w="4803" w:type="dxa"/>
            <w:vAlign w:val="center"/>
          </w:tcPr>
          <w:p w14:paraId="040ECBCE">
            <w:pPr>
              <w:adjustRightInd w:val="0"/>
              <w:snapToGrid w:val="0"/>
              <w:spacing w:line="400" w:lineRule="exact"/>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lang w:eastAsia="zh-CN"/>
              </w:rPr>
              <w:t>本项目专门面向小微企业采购。</w:t>
            </w:r>
          </w:p>
          <w:p w14:paraId="1F9DE558">
            <w:pPr>
              <w:adjustRightInd w:val="0"/>
              <w:snapToGrid w:val="0"/>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本项目所属行业：</w:t>
            </w:r>
            <w:r>
              <w:rPr>
                <w:rFonts w:hint="eastAsia" w:ascii="仿宋" w:hAnsi="仿宋" w:eastAsia="仿宋" w:cs="仿宋"/>
                <w:b/>
                <w:bCs/>
                <w:color w:val="auto"/>
                <w:sz w:val="24"/>
                <w:szCs w:val="24"/>
                <w:highlight w:val="none"/>
                <w:lang w:eastAsia="zh-CN"/>
              </w:rPr>
              <w:t>其他未列明行业</w:t>
            </w:r>
          </w:p>
        </w:tc>
      </w:tr>
      <w:tr w14:paraId="68F4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199" w:type="dxa"/>
            <w:vMerge w:val="continue"/>
            <w:vAlign w:val="center"/>
          </w:tcPr>
          <w:p w14:paraId="489A55FE">
            <w:pPr>
              <w:adjustRightInd w:val="0"/>
              <w:snapToGrid w:val="0"/>
              <w:spacing w:line="400" w:lineRule="exact"/>
              <w:jc w:val="center"/>
              <w:rPr>
                <w:rFonts w:hint="eastAsia" w:ascii="仿宋" w:hAnsi="仿宋" w:eastAsia="仿宋" w:cs="仿宋"/>
                <w:color w:val="auto"/>
                <w:sz w:val="24"/>
                <w:szCs w:val="24"/>
                <w:highlight w:val="none"/>
              </w:rPr>
            </w:pPr>
          </w:p>
        </w:tc>
        <w:tc>
          <w:tcPr>
            <w:tcW w:w="1787" w:type="dxa"/>
            <w:vMerge w:val="restart"/>
            <w:vAlign w:val="center"/>
          </w:tcPr>
          <w:p w14:paraId="35FF2D62">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中小微企业政策文件</w:t>
            </w:r>
          </w:p>
        </w:tc>
        <w:tc>
          <w:tcPr>
            <w:tcW w:w="4803" w:type="dxa"/>
            <w:vAlign w:val="center"/>
          </w:tcPr>
          <w:p w14:paraId="138633ED">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（1）根据财政部、工业和信息化部关于印发《政府采购促进中小企业发展管理办法》的通知(财库(2020)46 号)，投标人属于《工业和信息化部、国家统计局、国家发展和改革委员会、财政部关于印发中小企业划型标准规定的通知》（工信部联企业 [2011]300 号）中规定的小型、微型企业标准的，按</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 xml:space="preserve">格式提供《中小企业声明函》。 </w:t>
            </w:r>
          </w:p>
        </w:tc>
      </w:tr>
      <w:tr w14:paraId="69CF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199" w:type="dxa"/>
            <w:vMerge w:val="continue"/>
            <w:vAlign w:val="center"/>
          </w:tcPr>
          <w:p w14:paraId="53929E6A">
            <w:pPr>
              <w:adjustRightInd w:val="0"/>
              <w:snapToGrid w:val="0"/>
              <w:spacing w:line="400" w:lineRule="exact"/>
              <w:rPr>
                <w:rFonts w:hint="eastAsia" w:ascii="仿宋" w:hAnsi="仿宋" w:eastAsia="仿宋" w:cs="仿宋"/>
                <w:color w:val="auto"/>
                <w:sz w:val="24"/>
                <w:szCs w:val="24"/>
                <w:highlight w:val="none"/>
              </w:rPr>
            </w:pPr>
          </w:p>
        </w:tc>
        <w:tc>
          <w:tcPr>
            <w:tcW w:w="1787" w:type="dxa"/>
            <w:vMerge w:val="continue"/>
            <w:vAlign w:val="center"/>
          </w:tcPr>
          <w:p w14:paraId="705BE773">
            <w:pPr>
              <w:adjustRightInd w:val="0"/>
              <w:snapToGrid w:val="0"/>
              <w:spacing w:line="400" w:lineRule="exact"/>
              <w:rPr>
                <w:rFonts w:hint="eastAsia" w:ascii="仿宋" w:hAnsi="仿宋" w:eastAsia="仿宋" w:cs="仿宋"/>
                <w:color w:val="auto"/>
                <w:sz w:val="24"/>
                <w:szCs w:val="24"/>
                <w:highlight w:val="none"/>
              </w:rPr>
            </w:pPr>
          </w:p>
        </w:tc>
        <w:tc>
          <w:tcPr>
            <w:tcW w:w="4803" w:type="dxa"/>
            <w:vAlign w:val="center"/>
          </w:tcPr>
          <w:p w14:paraId="0C848534">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（2）根据财政部、司令部《关于政府采购支持监狱企业发展有关问题》的通知财库[2014]68 号，监狱企业参加本项目投标时，应当提供由省级以上监狱管理局、戒毒管理局（新疆生产建设兵团）出具的属于监狱企业的证明文件。监狱企业视同小型、微型企业。 </w:t>
            </w:r>
          </w:p>
        </w:tc>
      </w:tr>
      <w:tr w14:paraId="0B75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199" w:type="dxa"/>
            <w:vMerge w:val="continue"/>
            <w:vAlign w:val="center"/>
          </w:tcPr>
          <w:p w14:paraId="6DE65982">
            <w:pPr>
              <w:adjustRightInd w:val="0"/>
              <w:snapToGrid w:val="0"/>
              <w:spacing w:line="400" w:lineRule="exact"/>
              <w:rPr>
                <w:rFonts w:hint="eastAsia" w:ascii="仿宋" w:hAnsi="仿宋" w:eastAsia="仿宋" w:cs="仿宋"/>
                <w:color w:val="auto"/>
                <w:sz w:val="24"/>
                <w:szCs w:val="24"/>
                <w:highlight w:val="none"/>
              </w:rPr>
            </w:pPr>
          </w:p>
        </w:tc>
        <w:tc>
          <w:tcPr>
            <w:tcW w:w="1787" w:type="dxa"/>
            <w:vMerge w:val="continue"/>
            <w:vAlign w:val="center"/>
          </w:tcPr>
          <w:p w14:paraId="70215900">
            <w:pPr>
              <w:adjustRightInd w:val="0"/>
              <w:snapToGrid w:val="0"/>
              <w:spacing w:line="400" w:lineRule="exact"/>
              <w:rPr>
                <w:rFonts w:hint="eastAsia" w:ascii="仿宋" w:hAnsi="仿宋" w:eastAsia="仿宋" w:cs="仿宋"/>
                <w:color w:val="auto"/>
                <w:sz w:val="24"/>
                <w:szCs w:val="24"/>
                <w:highlight w:val="none"/>
              </w:rPr>
            </w:pPr>
          </w:p>
        </w:tc>
        <w:tc>
          <w:tcPr>
            <w:tcW w:w="4803" w:type="dxa"/>
            <w:vAlign w:val="center"/>
          </w:tcPr>
          <w:p w14:paraId="430F3DF5">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（3）根据财政部、民政部、中国残疾人联合会《关于促进残疾人就业政府采购政策的通知》（财库[2017]141 号），在政府采购活动中，残疾人福利性单位视同小型、微型企业。投标人属于残疾人福利性单位的，按照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格式提供残疾人福利性单位声明函。</w:t>
            </w:r>
          </w:p>
        </w:tc>
      </w:tr>
      <w:tr w14:paraId="74FF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789" w:type="dxa"/>
            <w:gridSpan w:val="3"/>
            <w:vAlign w:val="center"/>
          </w:tcPr>
          <w:p w14:paraId="22845BFB">
            <w:pPr>
              <w:adjustRightInd w:val="0"/>
              <w:snapToGrid w:val="0"/>
              <w:spacing w:line="400" w:lineRule="exact"/>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eastAsia="zh-CN"/>
              </w:rPr>
              <w:t>竞争性磋商文件</w:t>
            </w:r>
          </w:p>
        </w:tc>
      </w:tr>
      <w:tr w14:paraId="08D43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395B3A6E">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第二章第10.3款</w:t>
            </w:r>
          </w:p>
        </w:tc>
        <w:tc>
          <w:tcPr>
            <w:tcW w:w="1787" w:type="dxa"/>
            <w:vAlign w:val="center"/>
          </w:tcPr>
          <w:p w14:paraId="15A16C01">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采购文件的可能实质性变动内容</w:t>
            </w:r>
          </w:p>
        </w:tc>
        <w:tc>
          <w:tcPr>
            <w:tcW w:w="4803" w:type="dxa"/>
            <w:vAlign w:val="center"/>
          </w:tcPr>
          <w:p w14:paraId="659989C0">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技术、服务要求以及合同草案条款</w:t>
            </w:r>
          </w:p>
        </w:tc>
      </w:tr>
      <w:tr w14:paraId="3D22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057A8127">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第二章第11.1款</w:t>
            </w:r>
          </w:p>
        </w:tc>
        <w:tc>
          <w:tcPr>
            <w:tcW w:w="1787" w:type="dxa"/>
            <w:vAlign w:val="center"/>
          </w:tcPr>
          <w:p w14:paraId="23BBF4B3">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截止时间</w:t>
            </w:r>
          </w:p>
        </w:tc>
        <w:tc>
          <w:tcPr>
            <w:tcW w:w="4803" w:type="dxa"/>
            <w:vAlign w:val="center"/>
          </w:tcPr>
          <w:p w14:paraId="0EB4CE1F">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lang w:eastAsia="zh-CN"/>
              </w:rPr>
              <w:t>2026年06月01日 16:00</w:t>
            </w:r>
            <w:r>
              <w:rPr>
                <w:rFonts w:hint="eastAsia" w:ascii="仿宋" w:hAnsi="仿宋" w:eastAsia="仿宋" w:cs="仿宋"/>
                <w:color w:val="auto"/>
                <w:sz w:val="24"/>
                <w:szCs w:val="24"/>
                <w:highlight w:val="none"/>
              </w:rPr>
              <w:t>整</w:t>
            </w:r>
          </w:p>
        </w:tc>
      </w:tr>
      <w:tr w14:paraId="367E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89" w:type="dxa"/>
            <w:gridSpan w:val="3"/>
            <w:vAlign w:val="center"/>
          </w:tcPr>
          <w:p w14:paraId="393049F2">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三、</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的编写</w:t>
            </w:r>
          </w:p>
        </w:tc>
      </w:tr>
      <w:tr w14:paraId="6B21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99" w:type="dxa"/>
            <w:vAlign w:val="center"/>
          </w:tcPr>
          <w:p w14:paraId="0677B1B4">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第二章第15.5款</w:t>
            </w:r>
          </w:p>
        </w:tc>
        <w:tc>
          <w:tcPr>
            <w:tcW w:w="1787" w:type="dxa"/>
            <w:vAlign w:val="center"/>
          </w:tcPr>
          <w:p w14:paraId="28D8A66D">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预算资金</w:t>
            </w:r>
          </w:p>
        </w:tc>
        <w:tc>
          <w:tcPr>
            <w:tcW w:w="4803" w:type="dxa"/>
            <w:vAlign w:val="center"/>
          </w:tcPr>
          <w:p w14:paraId="3CA8575D">
            <w:pPr>
              <w:adjustRightInd w:val="0"/>
              <w:snapToGrid w:val="0"/>
              <w:spacing w:line="340" w:lineRule="exact"/>
              <w:jc w:val="left"/>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336000.00元</w:t>
            </w:r>
          </w:p>
        </w:tc>
      </w:tr>
      <w:tr w14:paraId="2197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9" w:type="dxa"/>
            <w:vMerge w:val="restart"/>
            <w:vAlign w:val="center"/>
          </w:tcPr>
          <w:p w14:paraId="23929BAB">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第二章第17.1款</w:t>
            </w:r>
          </w:p>
        </w:tc>
        <w:tc>
          <w:tcPr>
            <w:tcW w:w="1787" w:type="dxa"/>
            <w:vMerge w:val="restart"/>
            <w:vAlign w:val="center"/>
          </w:tcPr>
          <w:p w14:paraId="1F93A191">
            <w:pPr>
              <w:adjustRightInd w:val="0"/>
              <w:snapToGrid w:val="0"/>
              <w:spacing w:line="40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竞争性磋商保证金</w:t>
            </w:r>
          </w:p>
        </w:tc>
        <w:tc>
          <w:tcPr>
            <w:tcW w:w="4803" w:type="dxa"/>
            <w:vAlign w:val="center"/>
          </w:tcPr>
          <w:p w14:paraId="23547CBD">
            <w:pPr>
              <w:numPr>
                <w:ilvl w:val="0"/>
                <w:numId w:val="0"/>
              </w:numPr>
              <w:adjustRightInd w:val="0"/>
              <w:snapToGrid w:val="0"/>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kern w:val="2"/>
                <w:sz w:val="24"/>
                <w:szCs w:val="24"/>
                <w:highlight w:val="none"/>
                <w:lang w:val="en-US" w:eastAsia="zh-CN" w:bidi="ar-SA"/>
              </w:rPr>
              <w:t>1、</w:t>
            </w:r>
            <w:r>
              <w:rPr>
                <w:rFonts w:hint="eastAsia" w:ascii="仿宋" w:hAnsi="仿宋" w:eastAsia="仿宋" w:cs="仿宋"/>
                <w:bCs/>
                <w:color w:val="auto"/>
                <w:sz w:val="24"/>
                <w:szCs w:val="24"/>
                <w:highlight w:val="none"/>
                <w:lang w:val="en-US" w:eastAsia="zh-CN"/>
              </w:rPr>
              <w:t>金额：6000.00元（人民币：陆仟元整）</w:t>
            </w:r>
          </w:p>
        </w:tc>
      </w:tr>
      <w:tr w14:paraId="7CD8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2199" w:type="dxa"/>
            <w:vMerge w:val="continue"/>
            <w:vAlign w:val="center"/>
          </w:tcPr>
          <w:p w14:paraId="39D3F113">
            <w:pPr>
              <w:adjustRightInd w:val="0"/>
              <w:snapToGrid w:val="0"/>
              <w:spacing w:line="400" w:lineRule="exact"/>
              <w:jc w:val="center"/>
              <w:rPr>
                <w:rFonts w:hint="eastAsia" w:ascii="仿宋" w:hAnsi="仿宋" w:eastAsia="仿宋" w:cs="仿宋"/>
                <w:color w:val="auto"/>
                <w:sz w:val="24"/>
                <w:szCs w:val="24"/>
                <w:highlight w:val="none"/>
              </w:rPr>
            </w:pPr>
          </w:p>
        </w:tc>
        <w:tc>
          <w:tcPr>
            <w:tcW w:w="1787" w:type="dxa"/>
            <w:vMerge w:val="continue"/>
            <w:vAlign w:val="center"/>
          </w:tcPr>
          <w:p w14:paraId="155CC110">
            <w:pPr>
              <w:adjustRightInd w:val="0"/>
              <w:snapToGrid w:val="0"/>
              <w:spacing w:line="400" w:lineRule="exact"/>
              <w:ind w:left="-533" w:leftChars="-254" w:firstLine="609" w:firstLineChars="254"/>
              <w:rPr>
                <w:rFonts w:hint="eastAsia" w:ascii="仿宋" w:hAnsi="仿宋" w:eastAsia="仿宋" w:cs="仿宋"/>
                <w:color w:val="auto"/>
                <w:sz w:val="24"/>
                <w:szCs w:val="24"/>
                <w:highlight w:val="none"/>
              </w:rPr>
            </w:pPr>
          </w:p>
        </w:tc>
        <w:tc>
          <w:tcPr>
            <w:tcW w:w="4803" w:type="dxa"/>
            <w:vAlign w:val="center"/>
          </w:tcPr>
          <w:p w14:paraId="7A3EFCC4">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2、形式：以</w:t>
            </w:r>
            <w:r>
              <w:rPr>
                <w:rFonts w:hint="eastAsia" w:ascii="仿宋" w:hAnsi="仿宋" w:eastAsia="仿宋" w:cs="仿宋"/>
                <w:bCs/>
                <w:color w:val="auto"/>
                <w:sz w:val="24"/>
                <w:szCs w:val="24"/>
                <w:highlight w:val="none"/>
                <w:lang w:eastAsia="zh-CN"/>
              </w:rPr>
              <w:t>汇款、</w:t>
            </w:r>
            <w:r>
              <w:rPr>
                <w:rFonts w:hint="eastAsia" w:ascii="仿宋" w:hAnsi="仿宋" w:eastAsia="仿宋" w:cs="仿宋"/>
                <w:bCs/>
                <w:color w:val="auto"/>
                <w:sz w:val="24"/>
                <w:szCs w:val="24"/>
                <w:highlight w:val="none"/>
              </w:rPr>
              <w:t>支票、汇票、本票或者金融机构、担保机构出具的保函等</w:t>
            </w:r>
            <w:r>
              <w:rPr>
                <w:rFonts w:hint="eastAsia" w:ascii="仿宋" w:hAnsi="仿宋" w:eastAsia="仿宋" w:cs="仿宋"/>
                <w:bCs/>
                <w:color w:val="auto"/>
                <w:sz w:val="24"/>
                <w:szCs w:val="24"/>
                <w:highlight w:val="none"/>
                <w:lang w:eastAsia="zh-CN"/>
              </w:rPr>
              <w:t>非现金</w:t>
            </w:r>
            <w:r>
              <w:rPr>
                <w:rFonts w:hint="eastAsia" w:ascii="仿宋" w:hAnsi="仿宋" w:eastAsia="仿宋" w:cs="仿宋"/>
                <w:bCs/>
                <w:color w:val="auto"/>
                <w:sz w:val="24"/>
                <w:szCs w:val="24"/>
                <w:highlight w:val="none"/>
              </w:rPr>
              <w:t>形式提交。</w:t>
            </w:r>
          </w:p>
          <w:p w14:paraId="746FF4DF">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3、递交时间：在投标截止时间前递交（以到账时间为准）；</w:t>
            </w:r>
          </w:p>
          <w:p w14:paraId="35DA5985">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4、账户信息：</w:t>
            </w:r>
          </w:p>
          <w:p w14:paraId="5FEE819B">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单位名称：</w:t>
            </w:r>
            <w:r>
              <w:rPr>
                <w:rFonts w:hint="eastAsia" w:ascii="仿宋" w:hAnsi="仿宋" w:eastAsia="仿宋" w:cs="仿宋"/>
                <w:bCs/>
                <w:color w:val="auto"/>
                <w:sz w:val="24"/>
                <w:szCs w:val="24"/>
                <w:highlight w:val="none"/>
                <w:lang w:eastAsia="zh-CN"/>
              </w:rPr>
              <w:t>新疆旭辉项目管理有限公司</w:t>
            </w:r>
          </w:p>
          <w:p w14:paraId="28BFC152">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开户行：招商银行股份有限公司乌鲁木齐苏州路支行</w:t>
            </w:r>
          </w:p>
          <w:p w14:paraId="05D6920A">
            <w:pPr>
              <w:adjustRightInd w:val="0"/>
              <w:snapToGrid w:val="0"/>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帐 号：991906636310558</w:t>
            </w:r>
          </w:p>
          <w:p w14:paraId="2D58919C">
            <w:pPr>
              <w:adjustRightInd w:val="0"/>
              <w:snapToGrid w:val="0"/>
              <w:spacing w:line="360" w:lineRule="auto"/>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注：</w:t>
            </w:r>
          </w:p>
          <w:p w14:paraId="37433DAC">
            <w:pPr>
              <w:adjustRightInd w:val="0"/>
              <w:snapToGrid w:val="0"/>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b/>
                <w:bCs/>
                <w:color w:val="auto"/>
                <w:kern w:val="0"/>
                <w:sz w:val="24"/>
                <w:szCs w:val="24"/>
                <w:highlight w:val="none"/>
              </w:rPr>
              <w:t>用网银转账提交保证金，应当从其基本账户转入招标代理机构银行账户；未按招标要求缴纳</w:t>
            </w:r>
            <w:r>
              <w:rPr>
                <w:rFonts w:hint="eastAsia" w:ascii="仿宋" w:hAnsi="仿宋" w:eastAsia="仿宋" w:cs="仿宋"/>
                <w:b/>
                <w:bCs/>
                <w:color w:val="auto"/>
                <w:kern w:val="0"/>
                <w:sz w:val="24"/>
                <w:szCs w:val="24"/>
                <w:highlight w:val="none"/>
                <w:lang w:eastAsia="zh-CN"/>
              </w:rPr>
              <w:t>磋商保证金</w:t>
            </w:r>
            <w:r>
              <w:rPr>
                <w:rFonts w:hint="eastAsia" w:ascii="仿宋" w:hAnsi="仿宋" w:eastAsia="仿宋" w:cs="仿宋"/>
                <w:b/>
                <w:bCs/>
                <w:color w:val="auto"/>
                <w:kern w:val="0"/>
                <w:sz w:val="24"/>
                <w:szCs w:val="24"/>
                <w:highlight w:val="none"/>
              </w:rPr>
              <w:t>的，视为非实质性响应。请各投标人在缴纳保证金时注明项目名称（若字数超标，可自行简写项目名称）及项目编号，如未注明，造成保证金无法查明的，责任由投标人承担。</w:t>
            </w:r>
          </w:p>
        </w:tc>
      </w:tr>
      <w:tr w14:paraId="00E7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63C081F6">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第二章第18.1款</w:t>
            </w:r>
          </w:p>
        </w:tc>
        <w:tc>
          <w:tcPr>
            <w:tcW w:w="1787" w:type="dxa"/>
            <w:vAlign w:val="center"/>
          </w:tcPr>
          <w:p w14:paraId="27A2A488">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响应文件</w:t>
            </w:r>
            <w:r>
              <w:rPr>
                <w:rFonts w:hint="eastAsia" w:ascii="仿宋" w:hAnsi="仿宋" w:eastAsia="仿宋" w:cs="仿宋"/>
                <w:bCs/>
                <w:color w:val="auto"/>
                <w:sz w:val="24"/>
                <w:szCs w:val="24"/>
                <w:highlight w:val="none"/>
              </w:rPr>
              <w:t>有效期</w:t>
            </w:r>
          </w:p>
        </w:tc>
        <w:tc>
          <w:tcPr>
            <w:tcW w:w="4803" w:type="dxa"/>
            <w:vAlign w:val="center"/>
          </w:tcPr>
          <w:p w14:paraId="4FA02B42">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u w:val="single"/>
                <w:lang w:val="en-US" w:eastAsia="zh-CN"/>
              </w:rPr>
              <w:t>90</w:t>
            </w:r>
            <w:r>
              <w:rPr>
                <w:rFonts w:hint="eastAsia" w:ascii="仿宋" w:hAnsi="仿宋" w:eastAsia="仿宋" w:cs="仿宋"/>
                <w:color w:val="auto"/>
                <w:sz w:val="24"/>
                <w:szCs w:val="24"/>
                <w:highlight w:val="none"/>
              </w:rPr>
              <w:t>日（日历日）</w:t>
            </w:r>
          </w:p>
        </w:tc>
      </w:tr>
      <w:tr w14:paraId="2C67E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199" w:type="dxa"/>
            <w:vAlign w:val="center"/>
          </w:tcPr>
          <w:p w14:paraId="5190E28A">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第二章第19.1款</w:t>
            </w:r>
          </w:p>
        </w:tc>
        <w:tc>
          <w:tcPr>
            <w:tcW w:w="1787" w:type="dxa"/>
            <w:vAlign w:val="center"/>
          </w:tcPr>
          <w:p w14:paraId="65BF9962">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eastAsia="zh-CN"/>
              </w:rPr>
              <w:t>响应文件</w:t>
            </w:r>
            <w:r>
              <w:rPr>
                <w:rFonts w:hint="eastAsia" w:ascii="仿宋" w:hAnsi="仿宋" w:eastAsia="仿宋" w:cs="仿宋"/>
                <w:color w:val="auto"/>
                <w:sz w:val="24"/>
                <w:szCs w:val="24"/>
                <w:highlight w:val="none"/>
              </w:rPr>
              <w:t>份数</w:t>
            </w:r>
          </w:p>
        </w:tc>
        <w:tc>
          <w:tcPr>
            <w:tcW w:w="4803" w:type="dxa"/>
            <w:vAlign w:val="center"/>
          </w:tcPr>
          <w:p w14:paraId="36E1CCF5">
            <w:pPr>
              <w:adjustRightInd w:val="0"/>
              <w:snapToGrid w:val="0"/>
              <w:spacing w:line="4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经加密的电子版文件一份</w:t>
            </w:r>
          </w:p>
        </w:tc>
      </w:tr>
      <w:tr w14:paraId="30D3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789" w:type="dxa"/>
            <w:gridSpan w:val="3"/>
            <w:vAlign w:val="center"/>
          </w:tcPr>
          <w:p w14:paraId="79D7532D">
            <w:pPr>
              <w:adjustRightInd w:val="0"/>
              <w:snapToGrid w:val="0"/>
              <w:spacing w:line="400" w:lineRule="exact"/>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四、</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的递交</w:t>
            </w:r>
          </w:p>
        </w:tc>
      </w:tr>
      <w:tr w14:paraId="4895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199" w:type="dxa"/>
            <w:vAlign w:val="center"/>
          </w:tcPr>
          <w:p w14:paraId="12769F15">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第二章第20.2款</w:t>
            </w:r>
          </w:p>
        </w:tc>
        <w:tc>
          <w:tcPr>
            <w:tcW w:w="1787" w:type="dxa"/>
            <w:vAlign w:val="center"/>
          </w:tcPr>
          <w:p w14:paraId="1F7CD22D">
            <w:pPr>
              <w:adjustRightInd w:val="0"/>
              <w:snapToGrid w:val="0"/>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封套上应载明的信息</w:t>
            </w:r>
            <w:r>
              <w:rPr>
                <w:rFonts w:hint="eastAsia" w:ascii="仿宋" w:hAnsi="仿宋" w:eastAsia="仿宋" w:cs="仿宋"/>
                <w:color w:val="auto"/>
                <w:sz w:val="24"/>
                <w:szCs w:val="24"/>
                <w:highlight w:val="none"/>
                <w:lang w:eastAsia="zh-CN"/>
              </w:rPr>
              <w:t>（本项目不涉及）</w:t>
            </w:r>
          </w:p>
        </w:tc>
        <w:tc>
          <w:tcPr>
            <w:tcW w:w="4803" w:type="dxa"/>
            <w:vAlign w:val="center"/>
          </w:tcPr>
          <w:p w14:paraId="79021D99">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收件人名称： </w:t>
            </w:r>
          </w:p>
          <w:p w14:paraId="5762254B">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项目编号：                                         </w:t>
            </w:r>
          </w:p>
          <w:p w14:paraId="57591D91">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w:t>
            </w:r>
          </w:p>
          <w:p w14:paraId="57D666E5">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投标人名称：                 </w:t>
            </w:r>
          </w:p>
          <w:p w14:paraId="0FFCA955">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投标人地址：                 </w:t>
            </w:r>
          </w:p>
          <w:p w14:paraId="149F2506">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 系 人：                   </w:t>
            </w:r>
          </w:p>
          <w:p w14:paraId="0F5BB4A8">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联系电话：                   </w:t>
            </w:r>
          </w:p>
          <w:p w14:paraId="719790C0">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传    真：                   </w:t>
            </w:r>
          </w:p>
          <w:p w14:paraId="223A0127">
            <w:pPr>
              <w:adjustRightInd w:val="0"/>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在规定的开标时间 年 月 日  ： 前不得启封</w:t>
            </w:r>
          </w:p>
        </w:tc>
      </w:tr>
      <w:tr w14:paraId="3700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2AFD4737">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第二章第22.1款</w:t>
            </w:r>
          </w:p>
        </w:tc>
        <w:tc>
          <w:tcPr>
            <w:tcW w:w="1787" w:type="dxa"/>
            <w:vAlign w:val="center"/>
          </w:tcPr>
          <w:p w14:paraId="6C689AF9">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的递交地点</w:t>
            </w:r>
          </w:p>
        </w:tc>
        <w:tc>
          <w:tcPr>
            <w:tcW w:w="4803" w:type="dxa"/>
            <w:vAlign w:val="center"/>
          </w:tcPr>
          <w:p w14:paraId="7256A9FE">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政采云平台</w:t>
            </w:r>
          </w:p>
        </w:tc>
      </w:tr>
      <w:tr w14:paraId="66A9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7C261876">
            <w:pPr>
              <w:adjustRightInd w:val="0"/>
              <w:snapToGrid w:val="0"/>
              <w:spacing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的评审</w:t>
            </w:r>
          </w:p>
        </w:tc>
      </w:tr>
      <w:tr w14:paraId="5ECD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6FC16700">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第二章第29.1款</w:t>
            </w:r>
          </w:p>
        </w:tc>
        <w:tc>
          <w:tcPr>
            <w:tcW w:w="1787" w:type="dxa"/>
            <w:vAlign w:val="center"/>
          </w:tcPr>
          <w:p w14:paraId="1DB4A611">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评审办法</w:t>
            </w:r>
          </w:p>
        </w:tc>
        <w:tc>
          <w:tcPr>
            <w:tcW w:w="4803" w:type="dxa"/>
            <w:vAlign w:val="center"/>
          </w:tcPr>
          <w:p w14:paraId="5D484D4C">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w:t>
            </w:r>
          </w:p>
        </w:tc>
      </w:tr>
      <w:tr w14:paraId="665B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4897CD6B">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第二章第30.1款</w:t>
            </w:r>
          </w:p>
        </w:tc>
        <w:tc>
          <w:tcPr>
            <w:tcW w:w="1787" w:type="dxa"/>
            <w:vAlign w:val="center"/>
          </w:tcPr>
          <w:p w14:paraId="48A5472E">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推荐的中标候选人数量</w:t>
            </w:r>
          </w:p>
        </w:tc>
        <w:tc>
          <w:tcPr>
            <w:tcW w:w="4803" w:type="dxa"/>
            <w:vAlign w:val="center"/>
          </w:tcPr>
          <w:p w14:paraId="7293ADED">
            <w:pPr>
              <w:adjustRightInd w:val="0"/>
              <w:snapToGrid w:val="0"/>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r>
      <w:tr w14:paraId="239A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789" w:type="dxa"/>
            <w:gridSpan w:val="3"/>
            <w:vAlign w:val="center"/>
          </w:tcPr>
          <w:p w14:paraId="31A10D1A">
            <w:pPr>
              <w:adjustRightInd w:val="0"/>
              <w:snapToGrid w:val="0"/>
              <w:spacing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六、中标结果信息公布与授予合同</w:t>
            </w:r>
          </w:p>
        </w:tc>
      </w:tr>
      <w:tr w14:paraId="6E28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9" w:type="dxa"/>
            <w:vAlign w:val="center"/>
          </w:tcPr>
          <w:p w14:paraId="69A2026E">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第二章第35.1款</w:t>
            </w:r>
          </w:p>
        </w:tc>
        <w:tc>
          <w:tcPr>
            <w:tcW w:w="1787" w:type="dxa"/>
            <w:vAlign w:val="center"/>
          </w:tcPr>
          <w:p w14:paraId="5E034ED0">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财政部门指定发布媒体</w:t>
            </w:r>
          </w:p>
        </w:tc>
        <w:tc>
          <w:tcPr>
            <w:tcW w:w="4803" w:type="dxa"/>
            <w:vAlign w:val="center"/>
          </w:tcPr>
          <w:p w14:paraId="65F71822">
            <w:pPr>
              <w:adjustRightInd w:val="0"/>
              <w:snapToGrid w:val="0"/>
              <w:spacing w:line="400" w:lineRule="exact"/>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新疆政府采购网</w:t>
            </w:r>
          </w:p>
        </w:tc>
      </w:tr>
      <w:tr w14:paraId="398D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199" w:type="dxa"/>
            <w:vAlign w:val="center"/>
          </w:tcPr>
          <w:p w14:paraId="42F5A4B3">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第二章第37.3款</w:t>
            </w:r>
          </w:p>
        </w:tc>
        <w:tc>
          <w:tcPr>
            <w:tcW w:w="1787" w:type="dxa"/>
            <w:vAlign w:val="center"/>
          </w:tcPr>
          <w:p w14:paraId="5CE3D910">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eastAsia="zh-CN"/>
              </w:rPr>
              <w:t>履约担保</w:t>
            </w:r>
          </w:p>
        </w:tc>
        <w:tc>
          <w:tcPr>
            <w:tcW w:w="4803" w:type="dxa"/>
            <w:vAlign w:val="center"/>
          </w:tcPr>
          <w:p w14:paraId="09CABA68">
            <w:pPr>
              <w:adjustRightInd w:val="0"/>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1. 履约保证金的金额 </w:t>
            </w:r>
          </w:p>
          <w:p w14:paraId="34AF726E">
            <w:pPr>
              <w:adjustRightInd w:val="0"/>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中标供应商应在收到中标通知书后7个工作日内，向采购人提交合同总金额10%的履约保证金。</w:t>
            </w:r>
          </w:p>
          <w:p w14:paraId="16CC0635">
            <w:pPr>
              <w:adjustRightInd w:val="0"/>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2. 履约保证金的形式  </w:t>
            </w:r>
          </w:p>
          <w:p w14:paraId="0B5115D8">
            <w:pPr>
              <w:adjustRightInd w:val="0"/>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银行保函（由国有商业银行或股份制银行开具）；其他采购人认可的形式。</w:t>
            </w:r>
          </w:p>
          <w:p w14:paraId="55C51778">
            <w:pPr>
              <w:adjustRightInd w:val="0"/>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3. 履约保证金的有效期</w:t>
            </w:r>
          </w:p>
          <w:p w14:paraId="7EC514D7">
            <w:pPr>
              <w:adjustRightInd w:val="0"/>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履约保证金的有效期应持续至合同项下所有义务履行完毕。</w:t>
            </w:r>
          </w:p>
          <w:p w14:paraId="25311455">
            <w:pPr>
              <w:adjustRightInd w:val="0"/>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4. 履约保证金的扣除 </w:t>
            </w:r>
          </w:p>
          <w:p w14:paraId="78AAE9C6">
            <w:pPr>
              <w:adjustRightInd w:val="0"/>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如中标供应商未能履行合同义务或违反合同约定，采购人有权根据合同条款扣除全部或部分履约保证金。扣除的履约保证金将用于补偿采购人因供应商违约所遭受的损失。</w:t>
            </w:r>
          </w:p>
          <w:p w14:paraId="6E18894C">
            <w:pPr>
              <w:adjustRightInd w:val="0"/>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 xml:space="preserve">5. 其他说明  </w:t>
            </w:r>
          </w:p>
          <w:p w14:paraId="7DF239BD">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eastAsia="zh-CN"/>
              </w:rPr>
              <w:t>未按要求提交履约保证金的，视为放弃中标资格。</w:t>
            </w:r>
          </w:p>
        </w:tc>
      </w:tr>
      <w:tr w14:paraId="44FF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0C368F1D">
            <w:pPr>
              <w:adjustRightInd w:val="0"/>
              <w:snapToGrid w:val="0"/>
              <w:spacing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七、其他规定</w:t>
            </w:r>
          </w:p>
        </w:tc>
      </w:tr>
      <w:tr w14:paraId="132E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199" w:type="dxa"/>
            <w:vAlign w:val="center"/>
          </w:tcPr>
          <w:p w14:paraId="399866A4">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第二章第39.1款</w:t>
            </w:r>
          </w:p>
        </w:tc>
        <w:tc>
          <w:tcPr>
            <w:tcW w:w="1787" w:type="dxa"/>
            <w:vAlign w:val="center"/>
          </w:tcPr>
          <w:p w14:paraId="27A0891B">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代理服务费</w:t>
            </w:r>
          </w:p>
        </w:tc>
        <w:tc>
          <w:tcPr>
            <w:tcW w:w="4803" w:type="dxa"/>
            <w:vAlign w:val="center"/>
          </w:tcPr>
          <w:p w14:paraId="1775B073">
            <w:pPr>
              <w:adjustRightInd w:val="0"/>
              <w:snapToGrid w:val="0"/>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中标投标人在收到中标通知书后，须向</w:t>
            </w:r>
            <w:r>
              <w:rPr>
                <w:rFonts w:hint="eastAsia" w:ascii="仿宋" w:hAnsi="仿宋" w:eastAsia="仿宋" w:cs="仿宋"/>
                <w:color w:val="auto"/>
                <w:sz w:val="24"/>
                <w:szCs w:val="24"/>
                <w:highlight w:val="none"/>
                <w:lang w:eastAsia="zh-CN"/>
              </w:rPr>
              <w:t>新疆旭辉项目管理有限公司</w:t>
            </w:r>
            <w:r>
              <w:rPr>
                <w:rFonts w:hint="eastAsia" w:ascii="仿宋" w:hAnsi="仿宋" w:eastAsia="仿宋" w:cs="仿宋"/>
                <w:color w:val="auto"/>
                <w:sz w:val="24"/>
                <w:szCs w:val="24"/>
                <w:highlight w:val="none"/>
              </w:rPr>
              <w:t>支付代理服务费，参照发改价格[2011]534号及计价格[2002]1980号文件计算的招标代理服务收费标准</w:t>
            </w:r>
            <w:r>
              <w:rPr>
                <w:rFonts w:hint="eastAsia" w:ascii="仿宋" w:hAnsi="仿宋" w:eastAsia="仿宋" w:cs="仿宋"/>
                <w:color w:val="auto"/>
                <w:sz w:val="24"/>
                <w:szCs w:val="24"/>
                <w:highlight w:val="none"/>
                <w:lang w:eastAsia="zh-CN"/>
              </w:rPr>
              <w:t>下浮</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eastAsia="zh-CN"/>
              </w:rPr>
              <w:t>收取。</w:t>
            </w:r>
          </w:p>
        </w:tc>
      </w:tr>
      <w:tr w14:paraId="0D04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3986" w:type="dxa"/>
            <w:gridSpan w:val="2"/>
            <w:vAlign w:val="center"/>
          </w:tcPr>
          <w:p w14:paraId="064645C2">
            <w:pPr>
              <w:adjustRightInd w:val="0"/>
              <w:snapToGrid w:val="0"/>
              <w:spacing w:line="400" w:lineRule="exact"/>
              <w:jc w:val="center"/>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是否允许进口</w:t>
            </w:r>
          </w:p>
        </w:tc>
        <w:tc>
          <w:tcPr>
            <w:tcW w:w="4803" w:type="dxa"/>
            <w:vAlign w:val="center"/>
          </w:tcPr>
          <w:p w14:paraId="1E586898">
            <w:pPr>
              <w:adjustRightInd w:val="0"/>
              <w:snapToGrid w:val="0"/>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本项目不涉及</w:t>
            </w:r>
          </w:p>
        </w:tc>
      </w:tr>
      <w:tr w14:paraId="3BC2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57D1BEF7">
            <w:pPr>
              <w:keepNext w:val="0"/>
              <w:keepLines w:val="0"/>
              <w:suppressLineNumbers w:val="0"/>
              <w:adjustRightInd w:val="0"/>
              <w:snapToGrid w:val="0"/>
              <w:spacing w:before="0" w:beforeAutospacing="0" w:after="0" w:afterAutospacing="0" w:line="400" w:lineRule="exact"/>
              <w:ind w:left="0" w:right="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相同品牌处理办法（本项目不涉及）：</w:t>
            </w:r>
          </w:p>
          <w:p w14:paraId="05AB00DD">
            <w:pPr>
              <w:keepNext w:val="0"/>
              <w:keepLines w:val="0"/>
              <w:suppressLineNumbers w:val="0"/>
              <w:adjustRightInd w:val="0"/>
              <w:snapToGrid w:val="0"/>
              <w:spacing w:before="0" w:beforeAutospacing="0" w:after="0" w:afterAutospacing="0" w:line="4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规定的方式确定一个参加评标的投标人，</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未规定的采取随机抽取方式确定，其他投标无效。</w:t>
            </w:r>
          </w:p>
          <w:p w14:paraId="129F0F6E">
            <w:pPr>
              <w:keepNext w:val="0"/>
              <w:keepLines w:val="0"/>
              <w:suppressLineNumbers w:val="0"/>
              <w:adjustRightInd w:val="0"/>
              <w:snapToGrid w:val="0"/>
              <w:spacing w:before="0" w:beforeAutospacing="0" w:after="0" w:afterAutospacing="0" w:line="4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规定的方式确定一个投标人获得中标人推荐资格，</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未规定的采取随机抽取方式确定，其他同品牌投标人不作为中标候选人。</w:t>
            </w:r>
          </w:p>
          <w:p w14:paraId="47ACB987">
            <w:pPr>
              <w:adjustRightInd w:val="0"/>
              <w:snapToGrid w:val="0"/>
              <w:spacing w:line="400" w:lineRule="exact"/>
              <w:rPr>
                <w:rFonts w:hint="eastAsia" w:ascii="仿宋" w:hAnsi="仿宋" w:eastAsia="仿宋" w:cs="仿宋"/>
                <w:b/>
                <w:color w:val="auto"/>
                <w:kern w:val="0"/>
                <w:sz w:val="24"/>
                <w:szCs w:val="24"/>
                <w:highlight w:val="none"/>
              </w:rPr>
            </w:pPr>
            <w:r>
              <w:rPr>
                <w:rFonts w:hint="eastAsia" w:ascii="仿宋" w:hAnsi="仿宋" w:eastAsia="仿宋" w:cs="仿宋"/>
                <w:color w:val="auto"/>
                <w:sz w:val="24"/>
                <w:szCs w:val="24"/>
                <w:highlight w:val="none"/>
              </w:rPr>
              <w:t>非单一产品采购项目，采购人应当根据采购项目技术构成、产品价格比重等合理确定核心产品，并在</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中载明。多家投标人提供的核心产品品牌相同的，按前两款规定处理。</w:t>
            </w:r>
          </w:p>
        </w:tc>
      </w:tr>
      <w:tr w14:paraId="7137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644558F9">
            <w:pPr>
              <w:adjustRightInd w:val="0"/>
              <w:snapToGrid w:val="0"/>
              <w:spacing w:line="400" w:lineRule="exact"/>
              <w:rPr>
                <w:rFonts w:hint="eastAsia"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rPr>
              <w:t>本采购文件规定的各项技术规格中出现的商标、名称或供应者等均不做特别指定的要求，仅作为对技术规格的描述要求，按“或相当于”理解，投标人在投标时不得低于此要求。</w:t>
            </w:r>
          </w:p>
        </w:tc>
      </w:tr>
    </w:tbl>
    <w:p w14:paraId="3DBCA226">
      <w:pPr>
        <w:rPr>
          <w:rFonts w:hint="eastAsia" w:ascii="仿宋" w:hAnsi="仿宋" w:eastAsia="仿宋" w:cs="仿宋"/>
          <w:color w:val="auto"/>
          <w:highlight w:val="none"/>
        </w:rPr>
      </w:pPr>
      <w:bookmarkStart w:id="11" w:name="_Toc420948007"/>
      <w:r>
        <w:rPr>
          <w:rFonts w:hint="eastAsia" w:ascii="仿宋" w:hAnsi="仿宋" w:eastAsia="仿宋" w:cs="仿宋"/>
          <w:color w:val="auto"/>
          <w:highlight w:val="none"/>
        </w:rPr>
        <w:br w:type="page"/>
      </w:r>
    </w:p>
    <w:p w14:paraId="5305EB13">
      <w:pPr>
        <w:pStyle w:val="4"/>
        <w:bidi w:val="0"/>
        <w:jc w:val="center"/>
        <w:rPr>
          <w:rFonts w:hint="eastAsia" w:ascii="仿宋" w:hAnsi="仿宋" w:eastAsia="仿宋" w:cs="仿宋"/>
          <w:color w:val="auto"/>
          <w:highlight w:val="none"/>
          <w:lang w:eastAsia="zh-CN"/>
        </w:rPr>
      </w:pPr>
      <w:bookmarkStart w:id="12" w:name="_Toc6225"/>
      <w:r>
        <w:rPr>
          <w:rFonts w:hint="eastAsia" w:ascii="仿宋" w:hAnsi="仿宋" w:eastAsia="仿宋" w:cs="仿宋"/>
          <w:color w:val="auto"/>
          <w:highlight w:val="none"/>
          <w:lang w:eastAsia="zh-CN"/>
        </w:rPr>
        <w:t>投标须知正文</w:t>
      </w:r>
      <w:bookmarkEnd w:id="11"/>
      <w:bookmarkEnd w:id="12"/>
    </w:p>
    <w:p w14:paraId="0DE93CA9">
      <w:pPr>
        <w:rPr>
          <w:rFonts w:hint="eastAsia" w:ascii="仿宋" w:hAnsi="仿宋" w:eastAsia="仿宋" w:cs="仿宋"/>
          <w:color w:val="auto"/>
          <w:sz w:val="24"/>
          <w:szCs w:val="24"/>
          <w:highlight w:val="none"/>
        </w:rPr>
      </w:pPr>
    </w:p>
    <w:p w14:paraId="7F82EEEA">
      <w:pPr>
        <w:bidi w:val="0"/>
        <w:spacing w:line="360" w:lineRule="auto"/>
        <w:jc w:val="left"/>
        <w:rPr>
          <w:rFonts w:hint="eastAsia" w:ascii="仿宋" w:hAnsi="仿宋" w:eastAsia="仿宋" w:cs="仿宋"/>
          <w:color w:val="auto"/>
          <w:sz w:val="24"/>
          <w:szCs w:val="24"/>
          <w:highlight w:val="none"/>
        </w:rPr>
      </w:pPr>
      <w:bookmarkStart w:id="13" w:name="_Toc420948008"/>
      <w:r>
        <w:rPr>
          <w:rFonts w:hint="eastAsia" w:ascii="仿宋" w:hAnsi="仿宋" w:eastAsia="仿宋" w:cs="仿宋"/>
          <w:color w:val="auto"/>
          <w:sz w:val="24"/>
          <w:szCs w:val="24"/>
          <w:highlight w:val="none"/>
        </w:rPr>
        <w:t>一、</w:t>
      </w:r>
      <w:r>
        <w:rPr>
          <w:rFonts w:hint="eastAsia" w:ascii="仿宋" w:hAnsi="仿宋" w:eastAsia="仿宋" w:cs="仿宋"/>
          <w:b/>
          <w:bCs/>
          <w:color w:val="auto"/>
          <w:sz w:val="24"/>
          <w:szCs w:val="24"/>
          <w:highlight w:val="none"/>
        </w:rPr>
        <w:t>总则</w:t>
      </w:r>
    </w:p>
    <w:p w14:paraId="4BAF7A1C">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 项目概况</w:t>
      </w:r>
    </w:p>
    <w:p w14:paraId="037E55C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1.1项目名称：详见</w:t>
      </w:r>
      <w:r>
        <w:rPr>
          <w:rFonts w:hint="eastAsia" w:ascii="仿宋" w:hAnsi="仿宋" w:eastAsia="仿宋" w:cs="仿宋"/>
          <w:color w:val="auto"/>
          <w:sz w:val="24"/>
          <w:szCs w:val="24"/>
          <w:highlight w:val="none"/>
          <w:lang w:eastAsia="zh-CN"/>
        </w:rPr>
        <w:t>磋商须知前附表</w:t>
      </w:r>
      <w:r>
        <w:rPr>
          <w:rFonts w:hint="eastAsia" w:ascii="仿宋" w:hAnsi="仿宋" w:eastAsia="仿宋" w:cs="仿宋"/>
          <w:color w:val="auto"/>
          <w:sz w:val="24"/>
          <w:szCs w:val="24"/>
          <w:highlight w:val="none"/>
        </w:rPr>
        <w:t>；</w:t>
      </w:r>
    </w:p>
    <w:p w14:paraId="103E1A9D">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1.2采购内容：详见</w:t>
      </w:r>
      <w:r>
        <w:rPr>
          <w:rFonts w:hint="eastAsia" w:ascii="仿宋" w:hAnsi="仿宋" w:eastAsia="仿宋" w:cs="仿宋"/>
          <w:color w:val="auto"/>
          <w:sz w:val="24"/>
          <w:szCs w:val="24"/>
          <w:highlight w:val="none"/>
          <w:lang w:eastAsia="zh-CN"/>
        </w:rPr>
        <w:t>磋商须知前附表</w:t>
      </w:r>
      <w:r>
        <w:rPr>
          <w:rFonts w:hint="eastAsia" w:ascii="仿宋" w:hAnsi="仿宋" w:eastAsia="仿宋" w:cs="仿宋"/>
          <w:color w:val="auto"/>
          <w:sz w:val="24"/>
          <w:szCs w:val="24"/>
          <w:highlight w:val="none"/>
        </w:rPr>
        <w:t>；</w:t>
      </w:r>
    </w:p>
    <w:p w14:paraId="4EE5FF47">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1.3采购方式：详见</w:t>
      </w:r>
      <w:r>
        <w:rPr>
          <w:rFonts w:hint="eastAsia" w:ascii="仿宋" w:hAnsi="仿宋" w:eastAsia="仿宋" w:cs="仿宋"/>
          <w:color w:val="auto"/>
          <w:sz w:val="24"/>
          <w:szCs w:val="24"/>
          <w:highlight w:val="none"/>
          <w:lang w:eastAsia="zh-CN"/>
        </w:rPr>
        <w:t>磋商须知前附表</w:t>
      </w:r>
      <w:r>
        <w:rPr>
          <w:rFonts w:hint="eastAsia" w:ascii="仿宋" w:hAnsi="仿宋" w:eastAsia="仿宋" w:cs="仿宋"/>
          <w:color w:val="auto"/>
          <w:sz w:val="24"/>
          <w:szCs w:val="24"/>
          <w:highlight w:val="none"/>
        </w:rPr>
        <w:t>；</w:t>
      </w:r>
    </w:p>
    <w:p w14:paraId="45A260DA">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1.4项目地点：详见</w:t>
      </w:r>
      <w:r>
        <w:rPr>
          <w:rFonts w:hint="eastAsia" w:ascii="仿宋" w:hAnsi="仿宋" w:eastAsia="仿宋" w:cs="仿宋"/>
          <w:color w:val="auto"/>
          <w:sz w:val="24"/>
          <w:szCs w:val="24"/>
          <w:highlight w:val="none"/>
          <w:lang w:eastAsia="zh-CN"/>
        </w:rPr>
        <w:t>磋商须知前附表</w:t>
      </w:r>
      <w:r>
        <w:rPr>
          <w:rFonts w:hint="eastAsia" w:ascii="仿宋" w:hAnsi="仿宋" w:eastAsia="仿宋" w:cs="仿宋"/>
          <w:color w:val="auto"/>
          <w:sz w:val="24"/>
          <w:szCs w:val="24"/>
          <w:highlight w:val="none"/>
        </w:rPr>
        <w:t>；</w:t>
      </w:r>
    </w:p>
    <w:p w14:paraId="13DBAC15">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1.5服务期限：详见</w:t>
      </w:r>
      <w:r>
        <w:rPr>
          <w:rFonts w:hint="eastAsia" w:ascii="仿宋" w:hAnsi="仿宋" w:eastAsia="仿宋" w:cs="仿宋"/>
          <w:color w:val="auto"/>
          <w:sz w:val="24"/>
          <w:szCs w:val="24"/>
          <w:highlight w:val="none"/>
          <w:lang w:eastAsia="zh-CN"/>
        </w:rPr>
        <w:t>磋商须知前附表</w:t>
      </w:r>
      <w:r>
        <w:rPr>
          <w:rFonts w:hint="eastAsia" w:ascii="仿宋" w:hAnsi="仿宋" w:eastAsia="仿宋" w:cs="仿宋"/>
          <w:color w:val="auto"/>
          <w:sz w:val="24"/>
          <w:szCs w:val="24"/>
          <w:highlight w:val="none"/>
        </w:rPr>
        <w:t>。</w:t>
      </w:r>
      <w:bookmarkEnd w:id="13"/>
    </w:p>
    <w:p w14:paraId="661D8F61">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 定义</w:t>
      </w:r>
    </w:p>
    <w:p w14:paraId="4AE705B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“采购人”是指依法进行政府采购的国家机关、事业单位、团体组织。本次政府采购的采购人名称、地址、电话、联系人见</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w:t>
      </w:r>
    </w:p>
    <w:p w14:paraId="1FDFE947">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“采购代理机构”是指接受采购人委托，代理采购项目的采购代理机构。</w:t>
      </w:r>
    </w:p>
    <w:p w14:paraId="3FE5A63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 “投标人”是指响应采购文件要求、参加</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采购的法人、其他组织或者自然人。</w:t>
      </w:r>
    </w:p>
    <w:p w14:paraId="6596581C">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 “服务”是指除货物和工程以外的其他政府采购对象。</w:t>
      </w:r>
    </w:p>
    <w:p w14:paraId="47C15A9D">
      <w:pPr>
        <w:adjustRightInd w:val="0"/>
        <w:snapToGrid w:val="0"/>
        <w:spacing w:line="360" w:lineRule="auto"/>
        <w:ind w:firstLine="422"/>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2.5偏离</w:t>
      </w:r>
    </w:p>
    <w:p w14:paraId="3F1CF03D">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2.5.1本条所称偏离为</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对采购文件的偏离，即不满足、或不响应采购文件的要求。偏离分为对采购文件的实质性要求条款偏离和对采购文件的一般商务和技术条款偏离。</w:t>
      </w:r>
    </w:p>
    <w:p w14:paraId="33F6C411">
      <w:pPr>
        <w:adjustRightInd w:val="0"/>
        <w:snapToGrid w:val="0"/>
        <w:spacing w:line="360" w:lineRule="auto"/>
        <w:ind w:firstLine="422"/>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2.6特别说明</w:t>
      </w:r>
    </w:p>
    <w:p w14:paraId="79C088F4">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2.6.1除采购文件内有特殊说明外，本次投标响应投标人所使用的资格、信誉、荣誉、业绩与企业认证等必须为投标单位法人所拥有。</w:t>
      </w:r>
    </w:p>
    <w:p w14:paraId="4D49388D">
      <w:pPr>
        <w:adjustRightInd w:val="0"/>
        <w:snapToGrid w:val="0"/>
        <w:spacing w:line="360" w:lineRule="auto"/>
        <w:ind w:firstLine="480" w:firstLineChars="200"/>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szCs w:val="24"/>
          <w:highlight w:val="none"/>
        </w:rPr>
        <w:t>2.6.2</w:t>
      </w:r>
      <w:r>
        <w:rPr>
          <w:rFonts w:hint="eastAsia" w:ascii="仿宋" w:hAnsi="仿宋" w:eastAsia="仿宋" w:cs="仿宋"/>
          <w:color w:val="auto"/>
          <w:sz w:val="24"/>
          <w:szCs w:val="24"/>
          <w:highlight w:val="none"/>
        </w:rPr>
        <w:t>投标人</w:t>
      </w:r>
      <w:r>
        <w:rPr>
          <w:rFonts w:hint="eastAsia" w:ascii="仿宋" w:hAnsi="仿宋" w:eastAsia="仿宋" w:cs="仿宋"/>
          <w:color w:val="auto"/>
          <w:kern w:val="0"/>
          <w:sz w:val="24"/>
          <w:szCs w:val="24"/>
          <w:highlight w:val="none"/>
        </w:rPr>
        <w:t>应仔细阅读采购文件的所有内容，按照采购文件的要求编制、提交</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，并对所提供的全部资料的真实性承担法律责任。</w:t>
      </w:r>
    </w:p>
    <w:p w14:paraId="5CFD797C">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2.6.3投标人在投标活动中提供任何虚假材料, 其</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无效并承担相应法律责任。</w:t>
      </w:r>
    </w:p>
    <w:p w14:paraId="09F27B8A">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3.投标人的资格要求</w:t>
      </w:r>
    </w:p>
    <w:p w14:paraId="2320E5D9">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投标人应当符合</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中规定投标人资格条件。</w:t>
      </w:r>
    </w:p>
    <w:p w14:paraId="05EEC956">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投标人不得存在下列情形之一：</w:t>
      </w:r>
    </w:p>
    <w:p w14:paraId="10AEBA3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（l）与采购人、代理机构存在</w:t>
      </w:r>
      <w:r>
        <w:rPr>
          <w:rFonts w:hint="eastAsia" w:ascii="仿宋" w:hAnsi="仿宋" w:eastAsia="仿宋" w:cs="仿宋"/>
          <w:bCs/>
          <w:color w:val="auto"/>
          <w:sz w:val="24"/>
          <w:szCs w:val="24"/>
          <w:highlight w:val="none"/>
        </w:rPr>
        <w:t>利害关系</w:t>
      </w:r>
      <w:r>
        <w:rPr>
          <w:rFonts w:hint="eastAsia" w:ascii="仿宋" w:hAnsi="仿宋" w:eastAsia="仿宋" w:cs="仿宋"/>
          <w:color w:val="auto"/>
          <w:sz w:val="24"/>
          <w:szCs w:val="24"/>
          <w:highlight w:val="none"/>
        </w:rPr>
        <w:t>。</w:t>
      </w:r>
    </w:p>
    <w:p w14:paraId="4935EC21">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（2）单位负责人为同一人或者存在直接控股、管理关系的不同投标人，不得参加同一合同项下的政府采购活动。</w:t>
      </w:r>
    </w:p>
    <w:p w14:paraId="4A0CA76A">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（3）除单一来源采购项目外，为采购项目提供整体设计、规范编制或者项目管理、监理、检测等服务的投标人，不得再参加该采购项目的其他采购活动。</w:t>
      </w:r>
    </w:p>
    <w:p w14:paraId="13CA1CF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被列入失信被执行人、重大税收违法案件当事人名单、政府采购严重违法失信行为记录名单（处罚决定规定的时间和地域范围内）。采购人或采购代理机构将查询投标人的信用记录。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人将被认定为投标</w:t>
      </w:r>
      <w:r>
        <w:rPr>
          <w:rFonts w:hint="eastAsia" w:ascii="仿宋" w:hAnsi="仿宋" w:eastAsia="仿宋" w:cs="仿宋"/>
          <w:b/>
          <w:color w:val="auto"/>
          <w:sz w:val="24"/>
          <w:szCs w:val="24"/>
          <w:highlight w:val="none"/>
        </w:rPr>
        <w:t>无效</w:t>
      </w:r>
      <w:r>
        <w:rPr>
          <w:rFonts w:hint="eastAsia" w:ascii="仿宋" w:hAnsi="仿宋" w:eastAsia="仿宋" w:cs="仿宋"/>
          <w:color w:val="auto"/>
          <w:sz w:val="24"/>
          <w:szCs w:val="24"/>
          <w:highlight w:val="none"/>
        </w:rPr>
        <w:t>。以联合体形式参加投标的，联合体任何成员存在以上不良信用记录的，联合体投标人将被认定为投标</w:t>
      </w:r>
      <w:r>
        <w:rPr>
          <w:rFonts w:hint="eastAsia" w:ascii="仿宋" w:hAnsi="仿宋" w:eastAsia="仿宋" w:cs="仿宋"/>
          <w:b/>
          <w:color w:val="auto"/>
          <w:sz w:val="24"/>
          <w:szCs w:val="24"/>
          <w:highlight w:val="none"/>
        </w:rPr>
        <w:t>无效</w:t>
      </w:r>
      <w:r>
        <w:rPr>
          <w:rFonts w:hint="eastAsia" w:ascii="仿宋" w:hAnsi="仿宋" w:eastAsia="仿宋" w:cs="仿宋"/>
          <w:color w:val="auto"/>
          <w:sz w:val="24"/>
          <w:szCs w:val="24"/>
          <w:highlight w:val="none"/>
        </w:rPr>
        <w:t>。</w:t>
      </w:r>
    </w:p>
    <w:p w14:paraId="3580829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或采购代理机构经办人将查询网页打印、签字并存档备查。投标人不良信用记录以采购人或采购代理机构查询结果为准。投标人自行提供的与网站信息不一致的其他证明材料亦不作为资格审查依据。在本采购文件规定的查询时间之外，网站信息发生的任何变更均不作为资格审查依据。</w:t>
      </w:r>
    </w:p>
    <w:p w14:paraId="00B55A35">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 投标人具有履行合同所必需的设备和专业技术能力，在人员、设备、资金等方面具有相应能力；投标人在项目地具有技术支持和后续服务等能力。</w:t>
      </w:r>
    </w:p>
    <w:p w14:paraId="765AEFAF">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4. 费用和知识产权 </w:t>
      </w:r>
    </w:p>
    <w:p w14:paraId="29146C28">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4.1投标人应承担其参加本采购活动自身所发生的费用。采购文件所提供的资料，是采购人现有的能被投标人利用的资料，采购人对投标人做出的任何推论、理解和结论均不负责任。</w:t>
      </w:r>
    </w:p>
    <w:p w14:paraId="58A6071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投标人应保证，在中华人民共和国境内使用成果、服务或其任何一部分时，不会产生因第三方提出侵犯其专利权或其它知识产权而引起的法律和经济纠纷。如投标人不拥有相应的知识产权，则在报价中须包括合法获取该知识产权的相关费用。</w:t>
      </w:r>
    </w:p>
    <w:p w14:paraId="610CB741">
      <w:pPr>
        <w:pStyle w:val="26"/>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5．</w:t>
      </w:r>
      <w:r>
        <w:rPr>
          <w:rFonts w:hint="eastAsia" w:ascii="仿宋" w:hAnsi="仿宋" w:eastAsia="仿宋" w:cs="仿宋"/>
          <w:b/>
          <w:bCs/>
          <w:color w:val="auto"/>
          <w:sz w:val="24"/>
          <w:szCs w:val="24"/>
          <w:highlight w:val="none"/>
        </w:rPr>
        <w:t>授权委托</w:t>
      </w:r>
    </w:p>
    <w:p w14:paraId="1250F123">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5.1投标人代表为投标人法定代表人的，应持有法定代表人身份证明。投标人代表不是投标人法定代表人的，应持有法定代表人授权书。</w:t>
      </w:r>
    </w:p>
    <w:p w14:paraId="5F71E228">
      <w:pPr>
        <w:pStyle w:val="26"/>
        <w:adjustRightInd w:val="0"/>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6．联合体形式</w:t>
      </w:r>
      <w:r>
        <w:rPr>
          <w:rFonts w:hint="eastAsia" w:ascii="仿宋" w:hAnsi="仿宋" w:eastAsia="仿宋" w:cs="仿宋"/>
          <w:color w:val="auto"/>
          <w:sz w:val="24"/>
          <w:szCs w:val="24"/>
          <w:highlight w:val="none"/>
        </w:rPr>
        <w:t xml:space="preserve"> </w:t>
      </w:r>
    </w:p>
    <w:p w14:paraId="621321F3">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6.1除</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中另有规定，本次投标不接受为联合体形式的投标人。</w:t>
      </w:r>
    </w:p>
    <w:p w14:paraId="43E2DE51">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6.2投标人为联合体形式的，除应符合本章第3条规定外，还应遵守以下规定：</w:t>
      </w:r>
    </w:p>
    <w:p w14:paraId="176ECC9C">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（l）联合体各方必须签订联合体协议书，明确联合体牵头人和各方的义务、工作、合同工作量比例；</w:t>
      </w:r>
    </w:p>
    <w:p w14:paraId="023BC60B">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（2）联合体各方均应当符合本章第3.1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规定的投标人基本资格条件；</w:t>
      </w:r>
    </w:p>
    <w:p w14:paraId="7BAC1307">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（3）除</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中另有规定，联合体各方中至少有一方应当符合本章第3.1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规定的投标人特定资格条件；</w:t>
      </w:r>
    </w:p>
    <w:p w14:paraId="3D0E3E8C">
      <w:pPr>
        <w:adjustRightInd w:val="0"/>
        <w:snapToGrid w:val="0"/>
        <w:spacing w:line="360" w:lineRule="auto"/>
        <w:ind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t>（4）</w:t>
      </w:r>
      <w:r>
        <w:rPr>
          <w:rFonts w:hint="eastAsia" w:ascii="仿宋" w:hAnsi="仿宋" w:eastAsia="仿宋" w:cs="仿宋"/>
          <w:color w:val="auto"/>
          <w:kern w:val="0"/>
          <w:sz w:val="24"/>
          <w:szCs w:val="24"/>
          <w:highlight w:val="none"/>
          <w:lang w:val="zh-CN"/>
        </w:rPr>
        <w:t>联合体各方不得再单独或与其他投标人组成新的联合体参加同一项目的采购活动。</w:t>
      </w:r>
    </w:p>
    <w:p w14:paraId="1A82FEE5">
      <w:pPr>
        <w:adjustRightInd w:val="0"/>
        <w:snapToGrid w:val="0"/>
        <w:spacing w:line="360" w:lineRule="auto"/>
        <w:rPr>
          <w:rFonts w:hint="eastAsia" w:ascii="仿宋" w:hAnsi="仿宋" w:eastAsia="仿宋" w:cs="仿宋"/>
          <w:bCs/>
          <w:color w:val="auto"/>
          <w:sz w:val="24"/>
          <w:szCs w:val="24"/>
          <w:highlight w:val="none"/>
          <w:lang w:eastAsia="zh-CN"/>
        </w:rPr>
      </w:pPr>
      <w:r>
        <w:rPr>
          <w:rFonts w:hint="eastAsia" w:ascii="仿宋" w:hAnsi="仿宋" w:eastAsia="仿宋" w:cs="仿宋"/>
          <w:b/>
          <w:color w:val="auto"/>
          <w:sz w:val="24"/>
          <w:szCs w:val="24"/>
          <w:highlight w:val="none"/>
        </w:rPr>
        <w:t>7.现场勘察</w:t>
      </w:r>
      <w:r>
        <w:rPr>
          <w:rFonts w:hint="eastAsia" w:ascii="仿宋" w:hAnsi="仿宋" w:eastAsia="仿宋" w:cs="仿宋"/>
          <w:b/>
          <w:color w:val="auto"/>
          <w:sz w:val="24"/>
          <w:szCs w:val="24"/>
          <w:highlight w:val="none"/>
          <w:lang w:eastAsia="zh-CN"/>
        </w:rPr>
        <w:t>（本项目不涉及）</w:t>
      </w:r>
    </w:p>
    <w:p w14:paraId="7D3E083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7.1投标人应按</w:t>
      </w:r>
      <w:r>
        <w:rPr>
          <w:rFonts w:hint="eastAsia" w:ascii="仿宋" w:hAnsi="仿宋" w:eastAsia="仿宋" w:cs="仿宋"/>
          <w:bCs/>
          <w:color w:val="auto"/>
          <w:sz w:val="24"/>
          <w:szCs w:val="24"/>
          <w:highlight w:val="none"/>
          <w:lang w:eastAsia="zh-CN"/>
        </w:rPr>
        <w:t>磋商须知前附表</w:t>
      </w:r>
      <w:r>
        <w:rPr>
          <w:rFonts w:hint="eastAsia" w:ascii="仿宋" w:hAnsi="仿宋" w:eastAsia="仿宋" w:cs="仿宋"/>
          <w:bCs/>
          <w:color w:val="auto"/>
          <w:sz w:val="24"/>
          <w:szCs w:val="24"/>
          <w:highlight w:val="none"/>
        </w:rPr>
        <w:t>中</w:t>
      </w:r>
      <w:r>
        <w:rPr>
          <w:rFonts w:hint="eastAsia" w:ascii="仿宋" w:hAnsi="仿宋" w:eastAsia="仿宋" w:cs="仿宋"/>
          <w:color w:val="auto"/>
          <w:sz w:val="24"/>
          <w:szCs w:val="24"/>
          <w:highlight w:val="none"/>
        </w:rPr>
        <w:t>规定对采购项目现场和周围环境的现场考察。</w:t>
      </w:r>
    </w:p>
    <w:p w14:paraId="32FD6223">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7.2考察现场的费用由投标人自己承担，考察期间所发生的人身伤害及财产损失由投标人自己负责。</w:t>
      </w:r>
    </w:p>
    <w:p w14:paraId="2ACEEE08">
      <w:pPr>
        <w:adjustRightInd w:val="0"/>
        <w:snapToGrid w:val="0"/>
        <w:spacing w:line="360" w:lineRule="auto"/>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7.3采购人不对投标人据此而做出的推论、理解和结论负责。一旦中标，投标人不得以任何借口，而提出额外补偿，或延长合同期限的要求。</w:t>
      </w:r>
    </w:p>
    <w:p w14:paraId="5F381544">
      <w:pPr>
        <w:adjustRightInd w:val="0"/>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8. </w:t>
      </w:r>
      <w:r>
        <w:rPr>
          <w:rFonts w:hint="eastAsia" w:ascii="仿宋" w:hAnsi="仿宋" w:eastAsia="仿宋" w:cs="仿宋"/>
          <w:b/>
          <w:color w:val="auto"/>
          <w:sz w:val="24"/>
          <w:szCs w:val="24"/>
          <w:highlight w:val="none"/>
          <w:lang w:eastAsia="zh-CN"/>
        </w:rPr>
        <w:t>合同</w:t>
      </w:r>
      <w:r>
        <w:rPr>
          <w:rFonts w:hint="eastAsia" w:ascii="仿宋" w:hAnsi="仿宋" w:eastAsia="仿宋" w:cs="仿宋"/>
          <w:b/>
          <w:color w:val="auto"/>
          <w:sz w:val="24"/>
          <w:szCs w:val="24"/>
          <w:highlight w:val="none"/>
        </w:rPr>
        <w:t>分包</w:t>
      </w:r>
    </w:p>
    <w:p w14:paraId="4871E081">
      <w:pPr>
        <w:adjustRightInd w:val="0"/>
        <w:snapToGrid w:val="0"/>
        <w:spacing w:line="360" w:lineRule="auto"/>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本项目</w:t>
      </w:r>
      <w:r>
        <w:rPr>
          <w:rFonts w:hint="eastAsia" w:ascii="仿宋" w:hAnsi="仿宋" w:eastAsia="仿宋" w:cs="仿宋"/>
          <w:color w:val="auto"/>
          <w:sz w:val="24"/>
          <w:szCs w:val="24"/>
          <w:highlight w:val="none"/>
        </w:rPr>
        <w:t>不允许</w:t>
      </w:r>
      <w:r>
        <w:rPr>
          <w:rFonts w:hint="eastAsia" w:ascii="仿宋" w:hAnsi="仿宋" w:eastAsia="仿宋" w:cs="仿宋"/>
          <w:color w:val="auto"/>
          <w:sz w:val="24"/>
          <w:szCs w:val="24"/>
          <w:highlight w:val="none"/>
          <w:lang w:eastAsia="zh-CN"/>
        </w:rPr>
        <w:t>合同分包</w:t>
      </w:r>
    </w:p>
    <w:p w14:paraId="5D8DA530">
      <w:pPr>
        <w:adjustRightInd w:val="0"/>
        <w:snapToGrid w:val="0"/>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9.</w:t>
      </w:r>
      <w:r>
        <w:rPr>
          <w:rFonts w:hint="eastAsia" w:ascii="仿宋" w:hAnsi="仿宋" w:eastAsia="仿宋" w:cs="仿宋"/>
          <w:b/>
          <w:color w:val="auto"/>
          <w:sz w:val="24"/>
          <w:szCs w:val="24"/>
          <w:highlight w:val="none"/>
        </w:rPr>
        <w:t xml:space="preserve"> 政府采购政策支持</w:t>
      </w:r>
    </w:p>
    <w:p w14:paraId="40EE4409">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bookmarkStart w:id="14" w:name="_Toc420948009"/>
      <w:r>
        <w:rPr>
          <w:rFonts w:hint="eastAsia" w:ascii="仿宋" w:hAnsi="仿宋" w:eastAsia="仿宋" w:cs="仿宋"/>
          <w:color w:val="auto"/>
          <w:sz w:val="24"/>
          <w:szCs w:val="24"/>
          <w:highlight w:val="none"/>
        </w:rPr>
        <w:t>9.1投标人符合支持中小企业发展优惠政策的，报价可以优惠扣除。本项目价格扣除比例见</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w:t>
      </w:r>
    </w:p>
    <w:p w14:paraId="6992B877">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9.2为推进政府采购诚信体系建设，投标人在签署相关承诺，提供相关信息前，应认真阅读财政部门相关政策规定。</w:t>
      </w:r>
    </w:p>
    <w:p w14:paraId="6AA19211">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 中小企业在融资、投标保证、履约保证等方面有需求的，可查询当地政府采购管理部门相关政策，通过专业化的担保途径解决。</w:t>
      </w:r>
    </w:p>
    <w:p w14:paraId="6DBB3986">
      <w:pPr>
        <w:bidi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w:t>
      </w:r>
      <w:bookmarkEnd w:id="14"/>
      <w:r>
        <w:rPr>
          <w:rFonts w:hint="eastAsia" w:ascii="仿宋" w:hAnsi="仿宋" w:eastAsia="仿宋" w:cs="仿宋"/>
          <w:b/>
          <w:bCs/>
          <w:color w:val="auto"/>
          <w:sz w:val="24"/>
          <w:szCs w:val="24"/>
          <w:highlight w:val="none"/>
        </w:rPr>
        <w:t>采购文件</w:t>
      </w:r>
    </w:p>
    <w:p w14:paraId="1E6C4217">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10．采购文件的组成</w:t>
      </w:r>
    </w:p>
    <w:p w14:paraId="638B12D3">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 采购文件由下列文件组成：</w:t>
      </w:r>
    </w:p>
    <w:p w14:paraId="379389A1">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第一章 </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公告</w:t>
      </w:r>
    </w:p>
    <w:p w14:paraId="3B3685BB">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第二章 投标须知</w:t>
      </w:r>
    </w:p>
    <w:p w14:paraId="42FE15BE">
      <w:pPr>
        <w:pStyle w:val="26"/>
        <w:adjustRightInd w:val="0"/>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第三章 </w:t>
      </w:r>
      <w:r>
        <w:rPr>
          <w:rFonts w:hint="eastAsia" w:ascii="仿宋" w:hAnsi="仿宋" w:eastAsia="仿宋" w:cs="仿宋"/>
          <w:color w:val="auto"/>
          <w:sz w:val="24"/>
          <w:szCs w:val="24"/>
          <w:highlight w:val="none"/>
          <w:lang w:eastAsia="zh-CN"/>
        </w:rPr>
        <w:t>评标办法</w:t>
      </w:r>
    </w:p>
    <w:p w14:paraId="761E1128">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第四章 采购需求</w:t>
      </w:r>
    </w:p>
    <w:p w14:paraId="687E45CA">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第五章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w:t>
      </w:r>
    </w:p>
    <w:p w14:paraId="0BEE6DB9">
      <w:pPr>
        <w:pStyle w:val="26"/>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第六章</w:t>
      </w:r>
      <w:r>
        <w:rPr>
          <w:rFonts w:hint="eastAsia" w:ascii="仿宋" w:hAnsi="仿宋" w:eastAsia="仿宋" w:cs="仿宋"/>
          <w:color w:val="auto"/>
          <w:sz w:val="24"/>
          <w:szCs w:val="24"/>
          <w:highlight w:val="none"/>
          <w:lang w:val="en-US" w:eastAsia="zh-CN"/>
        </w:rPr>
        <w:t xml:space="preserve"> 政府采购合同模板</w:t>
      </w:r>
    </w:p>
    <w:p w14:paraId="4E9534D9">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w:t>
      </w:r>
      <w:r>
        <w:rPr>
          <w:rFonts w:hint="eastAsia" w:ascii="仿宋" w:hAnsi="仿宋" w:eastAsia="仿宋" w:cs="仿宋"/>
          <w:bCs/>
          <w:color w:val="auto"/>
          <w:sz w:val="24"/>
          <w:szCs w:val="24"/>
          <w:highlight w:val="none"/>
        </w:rPr>
        <w:t>本章第11.1</w:t>
      </w:r>
      <w:r>
        <w:rPr>
          <w:rFonts w:hint="eastAsia" w:ascii="仿宋" w:hAnsi="仿宋" w:eastAsia="仿宋" w:cs="仿宋"/>
          <w:color w:val="auto"/>
          <w:kern w:val="0"/>
          <w:sz w:val="24"/>
          <w:szCs w:val="24"/>
          <w:highlight w:val="none"/>
          <w:lang w:val="zh-CN"/>
        </w:rPr>
        <w:t>款</w:t>
      </w:r>
      <w:r>
        <w:rPr>
          <w:rFonts w:hint="eastAsia" w:ascii="仿宋" w:hAnsi="仿宋" w:eastAsia="仿宋" w:cs="仿宋"/>
          <w:bCs/>
          <w:color w:val="auto"/>
          <w:sz w:val="24"/>
          <w:szCs w:val="24"/>
          <w:highlight w:val="none"/>
        </w:rPr>
        <w:t>规定的</w:t>
      </w:r>
      <w:r>
        <w:rPr>
          <w:rFonts w:hint="eastAsia" w:ascii="仿宋" w:hAnsi="仿宋" w:eastAsia="仿宋" w:cs="仿宋"/>
          <w:color w:val="auto"/>
          <w:kern w:val="0"/>
          <w:sz w:val="24"/>
          <w:szCs w:val="24"/>
          <w:highlight w:val="none"/>
        </w:rPr>
        <w:t>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kern w:val="0"/>
          <w:sz w:val="24"/>
          <w:szCs w:val="24"/>
          <w:highlight w:val="none"/>
        </w:rPr>
        <w:t>截止时间前对</w:t>
      </w:r>
      <w:r>
        <w:rPr>
          <w:rFonts w:hint="eastAsia" w:ascii="仿宋" w:hAnsi="仿宋" w:eastAsia="仿宋" w:cs="仿宋"/>
          <w:color w:val="auto"/>
          <w:sz w:val="24"/>
          <w:szCs w:val="24"/>
          <w:highlight w:val="none"/>
        </w:rPr>
        <w:t>采购文件</w:t>
      </w:r>
      <w:r>
        <w:rPr>
          <w:rFonts w:hint="eastAsia" w:ascii="仿宋" w:hAnsi="仿宋" w:eastAsia="仿宋" w:cs="仿宋"/>
          <w:color w:val="auto"/>
          <w:kern w:val="0"/>
          <w:sz w:val="24"/>
          <w:szCs w:val="24"/>
          <w:highlight w:val="none"/>
        </w:rPr>
        <w:t>澄清或者修改内容，为</w:t>
      </w:r>
      <w:r>
        <w:rPr>
          <w:rFonts w:hint="eastAsia" w:ascii="仿宋" w:hAnsi="仿宋" w:eastAsia="仿宋" w:cs="仿宋"/>
          <w:color w:val="auto"/>
          <w:sz w:val="24"/>
          <w:szCs w:val="24"/>
          <w:highlight w:val="none"/>
        </w:rPr>
        <w:t>采购文件</w:t>
      </w:r>
      <w:r>
        <w:rPr>
          <w:rFonts w:hint="eastAsia" w:ascii="仿宋" w:hAnsi="仿宋" w:eastAsia="仿宋" w:cs="仿宋"/>
          <w:color w:val="auto"/>
          <w:kern w:val="0"/>
          <w:sz w:val="24"/>
          <w:szCs w:val="24"/>
          <w:highlight w:val="none"/>
        </w:rPr>
        <w:t>的组成部分。</w:t>
      </w:r>
    </w:p>
    <w:p w14:paraId="2C93B71E">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 评审小组根据与投标人投标情况可能实质性变动的内容，包括采购需求中的技术、服务要求以及合同条款，在</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中明确。</w:t>
      </w:r>
    </w:p>
    <w:p w14:paraId="3C17F3E0">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10.4投标人应仔细阅读采购文件的全部内容，按照采购文件要求编制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。任何对采购文件的忽略或误解不能作为</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存在缺陷或瑕疵的理由，其风险由投标人承担。</w:t>
      </w:r>
    </w:p>
    <w:p w14:paraId="282CE51A">
      <w:pPr>
        <w:pStyle w:val="26"/>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11.</w:t>
      </w:r>
      <w:r>
        <w:rPr>
          <w:rFonts w:hint="eastAsia" w:ascii="仿宋" w:hAnsi="仿宋" w:eastAsia="仿宋" w:cs="仿宋"/>
          <w:b/>
          <w:color w:val="auto"/>
          <w:kern w:val="0"/>
          <w:sz w:val="24"/>
          <w:szCs w:val="24"/>
          <w:highlight w:val="none"/>
        </w:rPr>
        <w:t>提交</w:t>
      </w:r>
      <w:r>
        <w:rPr>
          <w:rFonts w:hint="eastAsia" w:ascii="仿宋" w:hAnsi="仿宋" w:eastAsia="仿宋" w:cs="仿宋"/>
          <w:b/>
          <w:color w:val="auto"/>
          <w:kern w:val="0"/>
          <w:sz w:val="24"/>
          <w:szCs w:val="24"/>
          <w:highlight w:val="none"/>
          <w:lang w:eastAsia="zh-CN"/>
        </w:rPr>
        <w:t>响应文件</w:t>
      </w:r>
      <w:r>
        <w:rPr>
          <w:rFonts w:hint="eastAsia" w:ascii="仿宋" w:hAnsi="仿宋" w:eastAsia="仿宋" w:cs="仿宋"/>
          <w:b/>
          <w:color w:val="auto"/>
          <w:sz w:val="24"/>
          <w:szCs w:val="24"/>
          <w:highlight w:val="none"/>
        </w:rPr>
        <w:t>的</w:t>
      </w:r>
      <w:r>
        <w:rPr>
          <w:rFonts w:hint="eastAsia" w:ascii="仿宋" w:hAnsi="仿宋" w:eastAsia="仿宋" w:cs="仿宋"/>
          <w:b/>
          <w:color w:val="auto"/>
          <w:kern w:val="0"/>
          <w:sz w:val="24"/>
          <w:szCs w:val="24"/>
          <w:highlight w:val="none"/>
        </w:rPr>
        <w:t>截止</w:t>
      </w:r>
      <w:r>
        <w:rPr>
          <w:rFonts w:hint="eastAsia" w:ascii="仿宋" w:hAnsi="仿宋" w:eastAsia="仿宋" w:cs="仿宋"/>
          <w:b/>
          <w:color w:val="auto"/>
          <w:sz w:val="24"/>
          <w:szCs w:val="24"/>
          <w:highlight w:val="none"/>
        </w:rPr>
        <w:t>时间</w:t>
      </w:r>
    </w:p>
    <w:p w14:paraId="5B972063">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w:t>
      </w:r>
      <w:r>
        <w:rPr>
          <w:rFonts w:hint="eastAsia" w:ascii="仿宋" w:hAnsi="仿宋" w:eastAsia="仿宋" w:cs="仿宋"/>
          <w:color w:val="auto"/>
          <w:kern w:val="0"/>
          <w:sz w:val="24"/>
          <w:szCs w:val="24"/>
          <w:highlight w:val="none"/>
        </w:rPr>
        <w:t>投标人提交</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截止</w:t>
      </w:r>
      <w:r>
        <w:rPr>
          <w:rFonts w:hint="eastAsia" w:ascii="仿宋" w:hAnsi="仿宋" w:eastAsia="仿宋" w:cs="仿宋"/>
          <w:color w:val="auto"/>
          <w:sz w:val="24"/>
          <w:szCs w:val="24"/>
          <w:highlight w:val="none"/>
        </w:rPr>
        <w:t>时间见</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w:t>
      </w:r>
    </w:p>
    <w:p w14:paraId="2415416C">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12.</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采购文件的澄清</w:t>
      </w:r>
      <w:r>
        <w:rPr>
          <w:rFonts w:hint="eastAsia" w:ascii="仿宋" w:hAnsi="仿宋" w:eastAsia="仿宋" w:cs="仿宋"/>
          <w:b/>
          <w:color w:val="auto"/>
          <w:kern w:val="0"/>
          <w:sz w:val="24"/>
          <w:szCs w:val="24"/>
          <w:highlight w:val="none"/>
          <w:lang w:val="zh-CN"/>
        </w:rPr>
        <w:t>或者</w:t>
      </w:r>
      <w:r>
        <w:rPr>
          <w:rFonts w:hint="eastAsia" w:ascii="仿宋" w:hAnsi="仿宋" w:eastAsia="仿宋" w:cs="仿宋"/>
          <w:b/>
          <w:bCs/>
          <w:color w:val="auto"/>
          <w:sz w:val="24"/>
          <w:szCs w:val="24"/>
          <w:highlight w:val="none"/>
        </w:rPr>
        <w:t>修改</w:t>
      </w:r>
    </w:p>
    <w:p w14:paraId="02CF8F87">
      <w:pPr>
        <w:adjustRightInd w:val="0"/>
        <w:snapToGrid w:val="0"/>
        <w:spacing w:line="360" w:lineRule="auto"/>
        <w:ind w:right="-105" w:rightChars="-50" w:firstLine="480" w:firstLineChars="200"/>
        <w:rPr>
          <w:rFonts w:hint="eastAsia" w:ascii="仿宋" w:hAnsi="仿宋" w:eastAsia="仿宋" w:cs="仿宋"/>
          <w:color w:val="auto"/>
          <w:kern w:val="0"/>
          <w:sz w:val="24"/>
          <w:szCs w:val="24"/>
          <w:highlight w:val="none"/>
        </w:rPr>
      </w:pPr>
      <w:bookmarkStart w:id="15" w:name="_Toc420948010"/>
      <w:r>
        <w:rPr>
          <w:rFonts w:hint="eastAsia" w:ascii="仿宋" w:hAnsi="仿宋" w:eastAsia="仿宋" w:cs="仿宋"/>
          <w:color w:val="auto"/>
          <w:sz w:val="24"/>
          <w:szCs w:val="24"/>
          <w:highlight w:val="none"/>
        </w:rPr>
        <w:t>12.1在</w:t>
      </w:r>
      <w:r>
        <w:rPr>
          <w:rFonts w:hint="eastAsia" w:ascii="仿宋" w:hAnsi="仿宋" w:eastAsia="仿宋" w:cs="仿宋"/>
          <w:bCs/>
          <w:color w:val="auto"/>
          <w:sz w:val="24"/>
          <w:szCs w:val="24"/>
          <w:highlight w:val="none"/>
        </w:rPr>
        <w:t>本章第11.1</w:t>
      </w:r>
      <w:r>
        <w:rPr>
          <w:rFonts w:hint="eastAsia" w:ascii="仿宋" w:hAnsi="仿宋" w:eastAsia="仿宋" w:cs="仿宋"/>
          <w:color w:val="auto"/>
          <w:kern w:val="0"/>
          <w:sz w:val="24"/>
          <w:szCs w:val="24"/>
          <w:highlight w:val="none"/>
          <w:lang w:val="zh-CN"/>
        </w:rPr>
        <w:t>款</w:t>
      </w:r>
      <w:r>
        <w:rPr>
          <w:rFonts w:hint="eastAsia" w:ascii="仿宋" w:hAnsi="仿宋" w:eastAsia="仿宋" w:cs="仿宋"/>
          <w:bCs/>
          <w:color w:val="auto"/>
          <w:sz w:val="24"/>
          <w:szCs w:val="24"/>
          <w:highlight w:val="none"/>
        </w:rPr>
        <w:t>规定的</w:t>
      </w:r>
      <w:r>
        <w:rPr>
          <w:rFonts w:hint="eastAsia" w:ascii="仿宋" w:hAnsi="仿宋" w:eastAsia="仿宋" w:cs="仿宋"/>
          <w:color w:val="auto"/>
          <w:kern w:val="0"/>
          <w:sz w:val="24"/>
          <w:szCs w:val="24"/>
          <w:highlight w:val="none"/>
        </w:rPr>
        <w:t>提交首次</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 xml:space="preserve">截止之日前，采购人、采购代理机构或者评审小组可以对已发出的采购文件进行必要的澄清或者修改。 </w:t>
      </w:r>
    </w:p>
    <w:p w14:paraId="2BCD0E23">
      <w:pPr>
        <w:adjustRightInd w:val="0"/>
        <w:snapToGrid w:val="0"/>
        <w:spacing w:line="360" w:lineRule="auto"/>
        <w:ind w:right="-105" w:rightChars="-50"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12.2</w:t>
      </w:r>
      <w:r>
        <w:rPr>
          <w:rFonts w:hint="eastAsia" w:ascii="仿宋" w:hAnsi="仿宋" w:eastAsia="仿宋" w:cs="仿宋"/>
          <w:color w:val="auto"/>
          <w:kern w:val="0"/>
          <w:sz w:val="24"/>
          <w:szCs w:val="24"/>
          <w:highlight w:val="none"/>
        </w:rPr>
        <w:t>澄清或者修改的内容可能影响</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编制的，采购人、采购代理机构或者评审小组应当在</w:t>
      </w:r>
      <w:r>
        <w:rPr>
          <w:rFonts w:hint="eastAsia" w:ascii="仿宋" w:hAnsi="仿宋" w:eastAsia="仿宋" w:cs="仿宋"/>
          <w:bCs/>
          <w:color w:val="auto"/>
          <w:sz w:val="24"/>
          <w:szCs w:val="24"/>
          <w:highlight w:val="none"/>
        </w:rPr>
        <w:t>本章第11.1</w:t>
      </w:r>
      <w:r>
        <w:rPr>
          <w:rFonts w:hint="eastAsia" w:ascii="仿宋" w:hAnsi="仿宋" w:eastAsia="仿宋" w:cs="仿宋"/>
          <w:color w:val="auto"/>
          <w:kern w:val="0"/>
          <w:sz w:val="24"/>
          <w:szCs w:val="24"/>
          <w:highlight w:val="none"/>
          <w:lang w:val="zh-CN"/>
        </w:rPr>
        <w:t>款</w:t>
      </w:r>
      <w:r>
        <w:rPr>
          <w:rFonts w:hint="eastAsia" w:ascii="仿宋" w:hAnsi="仿宋" w:eastAsia="仿宋" w:cs="仿宋"/>
          <w:bCs/>
          <w:color w:val="auto"/>
          <w:sz w:val="24"/>
          <w:szCs w:val="24"/>
          <w:highlight w:val="none"/>
        </w:rPr>
        <w:t>规定的</w:t>
      </w:r>
      <w:r>
        <w:rPr>
          <w:rFonts w:hint="eastAsia" w:ascii="仿宋" w:hAnsi="仿宋" w:eastAsia="仿宋" w:cs="仿宋"/>
          <w:color w:val="auto"/>
          <w:kern w:val="0"/>
          <w:sz w:val="24"/>
          <w:szCs w:val="24"/>
          <w:highlight w:val="none"/>
        </w:rPr>
        <w:t>提交首次</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截止之日5日前，以书面形式通知所有接收采购文件的</w:t>
      </w:r>
      <w:r>
        <w:rPr>
          <w:rFonts w:hint="eastAsia" w:ascii="仿宋" w:hAnsi="仿宋" w:eastAsia="仿宋" w:cs="仿宋"/>
          <w:color w:val="auto"/>
          <w:sz w:val="24"/>
          <w:szCs w:val="24"/>
          <w:highlight w:val="none"/>
        </w:rPr>
        <w:t>投标人</w:t>
      </w:r>
      <w:r>
        <w:rPr>
          <w:rFonts w:hint="eastAsia" w:ascii="仿宋" w:hAnsi="仿宋" w:eastAsia="仿宋" w:cs="仿宋"/>
          <w:color w:val="auto"/>
          <w:kern w:val="0"/>
          <w:sz w:val="24"/>
          <w:szCs w:val="24"/>
          <w:highlight w:val="none"/>
        </w:rPr>
        <w:t>，不足5日的，顺延</w:t>
      </w:r>
      <w:r>
        <w:rPr>
          <w:rFonts w:hint="eastAsia" w:ascii="仿宋" w:hAnsi="仿宋" w:eastAsia="仿宋" w:cs="仿宋"/>
          <w:color w:val="auto"/>
          <w:sz w:val="24"/>
          <w:szCs w:val="24"/>
          <w:highlight w:val="none"/>
        </w:rPr>
        <w:t>投标人</w:t>
      </w:r>
      <w:r>
        <w:rPr>
          <w:rFonts w:hint="eastAsia" w:ascii="仿宋" w:hAnsi="仿宋" w:eastAsia="仿宋" w:cs="仿宋"/>
          <w:color w:val="auto"/>
          <w:kern w:val="0"/>
          <w:sz w:val="24"/>
          <w:szCs w:val="24"/>
          <w:highlight w:val="none"/>
        </w:rPr>
        <w:t>提交首次</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截止时间。</w:t>
      </w:r>
      <w:r>
        <w:rPr>
          <w:rFonts w:hint="eastAsia" w:ascii="仿宋" w:hAnsi="仿宋" w:eastAsia="仿宋" w:cs="仿宋"/>
          <w:color w:val="auto"/>
          <w:sz w:val="24"/>
          <w:szCs w:val="24"/>
          <w:highlight w:val="none"/>
        </w:rPr>
        <w:t>澄清或者修改文件作为采购文件的组成部分对投标人具有约束力。</w:t>
      </w:r>
    </w:p>
    <w:p w14:paraId="4270F495">
      <w:pPr>
        <w:pStyle w:val="26"/>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12.3</w:t>
      </w:r>
      <w:r>
        <w:rPr>
          <w:rFonts w:hint="eastAsia" w:ascii="仿宋" w:hAnsi="仿宋" w:eastAsia="仿宋" w:cs="仿宋"/>
          <w:color w:val="auto"/>
          <w:kern w:val="0"/>
          <w:sz w:val="24"/>
          <w:szCs w:val="24"/>
          <w:highlight w:val="none"/>
        </w:rPr>
        <w:t>投标人认为采购文件存在歧视性条款的，应在收到采购文件之日或者采购文件公告期限届满之日起7个工作日内以书面形式向本代理机构提出。</w:t>
      </w:r>
    </w:p>
    <w:p w14:paraId="3357906F">
      <w:pPr>
        <w:bidi w:val="0"/>
        <w:spacing w:line="360" w:lineRule="auto"/>
        <w:jc w:val="lef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三、</w:t>
      </w:r>
      <w:bookmarkEnd w:id="15"/>
      <w:r>
        <w:rPr>
          <w:rFonts w:hint="eastAsia" w:ascii="仿宋" w:hAnsi="仿宋" w:eastAsia="仿宋" w:cs="仿宋"/>
          <w:b/>
          <w:bCs/>
          <w:color w:val="auto"/>
          <w:sz w:val="24"/>
          <w:szCs w:val="24"/>
          <w:highlight w:val="none"/>
          <w:lang w:eastAsia="zh-CN"/>
        </w:rPr>
        <w:t>响应文件</w:t>
      </w:r>
    </w:p>
    <w:p w14:paraId="0729B673">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13.一般要求</w:t>
      </w:r>
    </w:p>
    <w:p w14:paraId="3CDB6EA3">
      <w:pPr>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13.1 投标人应仔细阅读</w:t>
      </w:r>
      <w:r>
        <w:rPr>
          <w:rFonts w:hint="eastAsia" w:ascii="仿宋" w:hAnsi="仿宋" w:eastAsia="仿宋" w:cs="仿宋"/>
          <w:color w:val="auto"/>
          <w:sz w:val="24"/>
          <w:szCs w:val="24"/>
          <w:highlight w:val="none"/>
        </w:rPr>
        <w:t>采购文件</w:t>
      </w:r>
      <w:r>
        <w:rPr>
          <w:rFonts w:hint="eastAsia" w:ascii="仿宋" w:hAnsi="仿宋" w:eastAsia="仿宋" w:cs="仿宋"/>
          <w:bCs/>
          <w:color w:val="auto"/>
          <w:sz w:val="24"/>
          <w:szCs w:val="24"/>
          <w:highlight w:val="none"/>
        </w:rPr>
        <w:t>的所有内容，按</w:t>
      </w:r>
      <w:r>
        <w:rPr>
          <w:rFonts w:hint="eastAsia" w:ascii="仿宋" w:hAnsi="仿宋" w:eastAsia="仿宋" w:cs="仿宋"/>
          <w:color w:val="auto"/>
          <w:sz w:val="24"/>
          <w:szCs w:val="24"/>
          <w:highlight w:val="none"/>
        </w:rPr>
        <w:t>采购文件</w:t>
      </w:r>
      <w:r>
        <w:rPr>
          <w:rFonts w:hint="eastAsia" w:ascii="仿宋" w:hAnsi="仿宋" w:eastAsia="仿宋" w:cs="仿宋"/>
          <w:bCs/>
          <w:color w:val="auto"/>
          <w:sz w:val="24"/>
          <w:szCs w:val="24"/>
          <w:highlight w:val="none"/>
        </w:rPr>
        <w:t>的要求编制</w:t>
      </w:r>
      <w:r>
        <w:rPr>
          <w:rFonts w:hint="eastAsia" w:ascii="仿宋" w:hAnsi="仿宋" w:eastAsia="仿宋" w:cs="仿宋"/>
          <w:color w:val="auto"/>
          <w:sz w:val="24"/>
          <w:szCs w:val="24"/>
          <w:highlight w:val="none"/>
          <w:lang w:eastAsia="zh-CN"/>
        </w:rPr>
        <w:t>响应文件</w:t>
      </w:r>
      <w:r>
        <w:rPr>
          <w:rFonts w:hint="eastAsia" w:ascii="仿宋" w:hAnsi="仿宋" w:eastAsia="仿宋" w:cs="仿宋"/>
          <w:bCs/>
          <w:color w:val="auto"/>
          <w:sz w:val="24"/>
          <w:szCs w:val="24"/>
          <w:highlight w:val="none"/>
        </w:rPr>
        <w:t>，并保证所提供的全部资料的真实性，以使其</w:t>
      </w:r>
      <w:r>
        <w:rPr>
          <w:rFonts w:hint="eastAsia" w:ascii="仿宋" w:hAnsi="仿宋" w:eastAsia="仿宋" w:cs="仿宋"/>
          <w:color w:val="auto"/>
          <w:sz w:val="24"/>
          <w:szCs w:val="24"/>
          <w:highlight w:val="none"/>
          <w:lang w:eastAsia="zh-CN"/>
        </w:rPr>
        <w:t>响应文件</w:t>
      </w:r>
      <w:r>
        <w:rPr>
          <w:rFonts w:hint="eastAsia" w:ascii="仿宋" w:hAnsi="仿宋" w:eastAsia="仿宋" w:cs="仿宋"/>
          <w:bCs/>
          <w:color w:val="auto"/>
          <w:sz w:val="24"/>
          <w:szCs w:val="24"/>
          <w:highlight w:val="none"/>
        </w:rPr>
        <w:t>对</w:t>
      </w:r>
      <w:r>
        <w:rPr>
          <w:rFonts w:hint="eastAsia" w:ascii="仿宋" w:hAnsi="仿宋" w:eastAsia="仿宋" w:cs="仿宋"/>
          <w:color w:val="auto"/>
          <w:sz w:val="24"/>
          <w:szCs w:val="24"/>
          <w:highlight w:val="none"/>
        </w:rPr>
        <w:t>采购文件</w:t>
      </w:r>
      <w:r>
        <w:rPr>
          <w:rFonts w:hint="eastAsia" w:ascii="仿宋" w:hAnsi="仿宋" w:eastAsia="仿宋" w:cs="仿宋"/>
          <w:bCs/>
          <w:color w:val="auto"/>
          <w:sz w:val="24"/>
          <w:szCs w:val="24"/>
          <w:highlight w:val="none"/>
        </w:rPr>
        <w:t>做出实质性的响应。</w:t>
      </w:r>
    </w:p>
    <w:p w14:paraId="113ABD2D">
      <w:pPr>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13.2 </w:t>
      </w:r>
      <w:r>
        <w:rPr>
          <w:rFonts w:hint="eastAsia" w:ascii="仿宋" w:hAnsi="仿宋" w:eastAsia="仿宋" w:cs="仿宋"/>
          <w:color w:val="auto"/>
          <w:sz w:val="24"/>
          <w:szCs w:val="24"/>
          <w:highlight w:val="none"/>
        </w:rPr>
        <w:t>投标人提交的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及投标人与采购人或代理机构就有关投标的所有来往函电均使用中文。投标人可以提交其它语言的资料，但应附中文注释，在有差异时以中文为准。</w:t>
      </w:r>
    </w:p>
    <w:p w14:paraId="05AB814D">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13.3 </w:t>
      </w:r>
      <w:r>
        <w:rPr>
          <w:rFonts w:hint="eastAsia" w:ascii="仿宋" w:hAnsi="仿宋" w:eastAsia="仿宋" w:cs="仿宋"/>
          <w:color w:val="auto"/>
          <w:sz w:val="24"/>
          <w:szCs w:val="24"/>
          <w:highlight w:val="none"/>
        </w:rPr>
        <w:t>计量单位应使用我国法定计量单位，未列明时应默认为我国法定计量单位。</w:t>
      </w:r>
    </w:p>
    <w:p w14:paraId="6E2F56A8">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13.4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应采用书面形式，传真、电子邮件形式的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概不接受。</w:t>
      </w:r>
    </w:p>
    <w:p w14:paraId="734A79C3">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13.5 投标人应按采购文件中提供的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格式填写。</w:t>
      </w:r>
    </w:p>
    <w:p w14:paraId="7F163E8A">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14.</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bCs/>
          <w:color w:val="auto"/>
          <w:sz w:val="24"/>
          <w:szCs w:val="24"/>
          <w:highlight w:val="none"/>
        </w:rPr>
        <w:t>的组成</w:t>
      </w:r>
    </w:p>
    <w:p w14:paraId="1EB0B2D0">
      <w:pPr>
        <w:adjustRightInd w:val="0"/>
        <w:snapToGrid w:val="0"/>
        <w:spacing w:line="360" w:lineRule="auto"/>
        <w:ind w:firstLine="480" w:firstLineChars="200"/>
        <w:jc w:val="left"/>
        <w:rPr>
          <w:rFonts w:hint="eastAsia" w:ascii="仿宋" w:hAnsi="仿宋" w:eastAsia="仿宋" w:cs="仿宋"/>
          <w:color w:val="auto"/>
          <w:sz w:val="24"/>
          <w:szCs w:val="24"/>
          <w:highlight w:val="none"/>
        </w:rPr>
      </w:pPr>
      <w:bookmarkStart w:id="16" w:name="_Toc432175154"/>
      <w:bookmarkStart w:id="17" w:name="_Toc432175034"/>
      <w:bookmarkStart w:id="18" w:name="_Toc432242402"/>
      <w:bookmarkStart w:id="19" w:name="_Toc427862404"/>
      <w:bookmarkStart w:id="20" w:name="_Toc428285922"/>
      <w:bookmarkStart w:id="21" w:name="_Toc432175092"/>
      <w:bookmarkStart w:id="22" w:name="_Toc432242303"/>
      <w:bookmarkStart w:id="23" w:name="_Toc420948011"/>
      <w:r>
        <w:rPr>
          <w:rFonts w:hint="eastAsia" w:ascii="仿宋" w:hAnsi="仿宋" w:eastAsia="仿宋" w:cs="仿宋"/>
          <w:color w:val="auto"/>
          <w:sz w:val="24"/>
          <w:szCs w:val="24"/>
          <w:highlight w:val="none"/>
        </w:rPr>
        <w:t xml:space="preserve">14.1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包括下列内容：</w:t>
      </w:r>
      <w:bookmarkEnd w:id="16"/>
      <w:bookmarkEnd w:id="17"/>
      <w:bookmarkEnd w:id="18"/>
      <w:bookmarkEnd w:id="19"/>
      <w:bookmarkEnd w:id="20"/>
      <w:bookmarkEnd w:id="21"/>
      <w:bookmarkEnd w:id="22"/>
      <w:bookmarkEnd w:id="23"/>
      <w:r>
        <w:rPr>
          <w:rFonts w:hint="eastAsia" w:ascii="仿宋" w:hAnsi="仿宋" w:eastAsia="仿宋" w:cs="仿宋"/>
          <w:color w:val="auto"/>
          <w:sz w:val="24"/>
          <w:szCs w:val="24"/>
          <w:highlight w:val="none"/>
        </w:rPr>
        <w:t xml:space="preserve"> </w:t>
      </w:r>
    </w:p>
    <w:p w14:paraId="2AE3DE20">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具有独立承担民事责任的能力的证明材料</w:t>
      </w:r>
      <w:r>
        <w:rPr>
          <w:rFonts w:hint="eastAsia" w:ascii="仿宋" w:hAnsi="仿宋" w:eastAsia="仿宋" w:cs="仿宋"/>
          <w:bCs/>
          <w:color w:val="auto"/>
          <w:sz w:val="24"/>
          <w:szCs w:val="24"/>
          <w:highlight w:val="none"/>
        </w:rPr>
        <w:tab/>
      </w:r>
    </w:p>
    <w:p w14:paraId="2C26431E">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法定代表人身份证明(法定代表人参加投标)</w:t>
      </w:r>
    </w:p>
    <w:p w14:paraId="1EE82B9C">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法定代表人/单位负责人授权书(委托代理人参加投标)</w:t>
      </w:r>
    </w:p>
    <w:p w14:paraId="111CB279">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具有良好的商业信誉和健全的财务会计制度</w:t>
      </w:r>
      <w:r>
        <w:rPr>
          <w:rFonts w:hint="eastAsia" w:ascii="仿宋" w:hAnsi="仿宋" w:eastAsia="仿宋" w:cs="仿宋"/>
          <w:bCs/>
          <w:color w:val="auto"/>
          <w:sz w:val="24"/>
          <w:szCs w:val="24"/>
          <w:highlight w:val="none"/>
        </w:rPr>
        <w:tab/>
      </w:r>
    </w:p>
    <w:p w14:paraId="1B60D64C">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具有履行合同所必需的设备和专业技术能力承诺函</w:t>
      </w:r>
      <w:r>
        <w:rPr>
          <w:rFonts w:hint="eastAsia" w:ascii="仿宋" w:hAnsi="仿宋" w:eastAsia="仿宋" w:cs="仿宋"/>
          <w:bCs/>
          <w:color w:val="auto"/>
          <w:sz w:val="24"/>
          <w:szCs w:val="24"/>
          <w:highlight w:val="none"/>
        </w:rPr>
        <w:tab/>
      </w:r>
    </w:p>
    <w:p w14:paraId="7BFFD79C">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具有依法缴纳税收和社会保障资金的良好记录</w:t>
      </w:r>
      <w:r>
        <w:rPr>
          <w:rFonts w:hint="eastAsia" w:ascii="仿宋" w:hAnsi="仿宋" w:eastAsia="仿宋" w:cs="仿宋"/>
          <w:bCs/>
          <w:color w:val="auto"/>
          <w:sz w:val="24"/>
          <w:szCs w:val="24"/>
          <w:highlight w:val="none"/>
        </w:rPr>
        <w:tab/>
      </w:r>
    </w:p>
    <w:p w14:paraId="1BD75FC8">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参加政府采购活动前三年内，在在经营活动中没有重大违法记录</w:t>
      </w:r>
      <w:r>
        <w:rPr>
          <w:rFonts w:hint="eastAsia" w:ascii="仿宋" w:hAnsi="仿宋" w:eastAsia="仿宋" w:cs="仿宋"/>
          <w:bCs/>
          <w:color w:val="auto"/>
          <w:sz w:val="24"/>
          <w:szCs w:val="24"/>
          <w:highlight w:val="none"/>
        </w:rPr>
        <w:tab/>
      </w:r>
    </w:p>
    <w:p w14:paraId="269D956F">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中小企业声明函</w:t>
      </w:r>
      <w:r>
        <w:rPr>
          <w:rFonts w:hint="eastAsia" w:ascii="仿宋" w:hAnsi="仿宋" w:eastAsia="仿宋" w:cs="仿宋"/>
          <w:bCs/>
          <w:color w:val="auto"/>
          <w:sz w:val="24"/>
          <w:szCs w:val="24"/>
          <w:highlight w:val="none"/>
        </w:rPr>
        <w:tab/>
      </w:r>
    </w:p>
    <w:p w14:paraId="0367DDC7">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监狱企业声明函（如涉及）</w:t>
      </w:r>
      <w:r>
        <w:rPr>
          <w:rFonts w:hint="eastAsia" w:ascii="仿宋" w:hAnsi="仿宋" w:eastAsia="仿宋" w:cs="仿宋"/>
          <w:bCs/>
          <w:color w:val="auto"/>
          <w:sz w:val="24"/>
          <w:szCs w:val="24"/>
          <w:highlight w:val="none"/>
        </w:rPr>
        <w:tab/>
      </w:r>
    </w:p>
    <w:p w14:paraId="36B8ACC5">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残疾人福利性单位声明函（如涉及）</w:t>
      </w:r>
      <w:r>
        <w:rPr>
          <w:rFonts w:hint="eastAsia" w:ascii="仿宋" w:hAnsi="仿宋" w:eastAsia="仿宋" w:cs="仿宋"/>
          <w:bCs/>
          <w:color w:val="auto"/>
          <w:sz w:val="24"/>
          <w:szCs w:val="24"/>
          <w:highlight w:val="none"/>
        </w:rPr>
        <w:tab/>
      </w:r>
    </w:p>
    <w:p w14:paraId="2A40FC13">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承诺函</w:t>
      </w:r>
      <w:r>
        <w:rPr>
          <w:rFonts w:hint="eastAsia" w:ascii="仿宋" w:hAnsi="仿宋" w:eastAsia="仿宋" w:cs="仿宋"/>
          <w:bCs/>
          <w:color w:val="auto"/>
          <w:sz w:val="24"/>
          <w:szCs w:val="24"/>
          <w:highlight w:val="none"/>
        </w:rPr>
        <w:tab/>
      </w:r>
    </w:p>
    <w:p w14:paraId="0B35ED54">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投标函</w:t>
      </w:r>
      <w:r>
        <w:rPr>
          <w:rFonts w:hint="eastAsia" w:ascii="仿宋" w:hAnsi="仿宋" w:eastAsia="仿宋" w:cs="仿宋"/>
          <w:bCs/>
          <w:color w:val="auto"/>
          <w:sz w:val="24"/>
          <w:szCs w:val="24"/>
          <w:highlight w:val="none"/>
        </w:rPr>
        <w:tab/>
      </w:r>
    </w:p>
    <w:p w14:paraId="65EB5202">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承诺函</w:t>
      </w:r>
      <w:r>
        <w:rPr>
          <w:rFonts w:hint="eastAsia" w:ascii="仿宋" w:hAnsi="仿宋" w:eastAsia="仿宋" w:cs="仿宋"/>
          <w:bCs/>
          <w:color w:val="auto"/>
          <w:sz w:val="24"/>
          <w:szCs w:val="24"/>
          <w:highlight w:val="none"/>
        </w:rPr>
        <w:tab/>
      </w:r>
    </w:p>
    <w:p w14:paraId="64926C7F">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开标一览表</w:t>
      </w:r>
      <w:r>
        <w:rPr>
          <w:rFonts w:hint="eastAsia" w:ascii="仿宋" w:hAnsi="仿宋" w:eastAsia="仿宋" w:cs="仿宋"/>
          <w:bCs/>
          <w:color w:val="auto"/>
          <w:sz w:val="24"/>
          <w:szCs w:val="24"/>
          <w:highlight w:val="none"/>
        </w:rPr>
        <w:tab/>
      </w:r>
    </w:p>
    <w:p w14:paraId="010E9BF6">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报价明细表</w:t>
      </w:r>
      <w:r>
        <w:rPr>
          <w:rFonts w:hint="eastAsia" w:ascii="仿宋" w:hAnsi="仿宋" w:eastAsia="仿宋" w:cs="仿宋"/>
          <w:bCs/>
          <w:color w:val="auto"/>
          <w:sz w:val="24"/>
          <w:szCs w:val="24"/>
          <w:highlight w:val="none"/>
        </w:rPr>
        <w:tab/>
      </w:r>
    </w:p>
    <w:p w14:paraId="6F2C4459">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响应/偏离表</w:t>
      </w:r>
      <w:r>
        <w:rPr>
          <w:rFonts w:hint="eastAsia" w:ascii="仿宋" w:hAnsi="仿宋" w:eastAsia="仿宋" w:cs="仿宋"/>
          <w:bCs/>
          <w:color w:val="auto"/>
          <w:sz w:val="24"/>
          <w:szCs w:val="24"/>
          <w:highlight w:val="none"/>
        </w:rPr>
        <w:tab/>
      </w:r>
    </w:p>
    <w:p w14:paraId="4014B738">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投标人基本情况表</w:t>
      </w:r>
      <w:r>
        <w:rPr>
          <w:rFonts w:hint="eastAsia" w:ascii="仿宋" w:hAnsi="仿宋" w:eastAsia="仿宋" w:cs="仿宋"/>
          <w:bCs/>
          <w:color w:val="auto"/>
          <w:sz w:val="24"/>
          <w:szCs w:val="24"/>
          <w:highlight w:val="none"/>
        </w:rPr>
        <w:tab/>
      </w:r>
    </w:p>
    <w:p w14:paraId="50653725">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类似项目业绩一览表</w:t>
      </w:r>
      <w:r>
        <w:rPr>
          <w:rFonts w:hint="eastAsia" w:ascii="仿宋" w:hAnsi="仿宋" w:eastAsia="仿宋" w:cs="仿宋"/>
          <w:bCs/>
          <w:color w:val="auto"/>
          <w:sz w:val="24"/>
          <w:szCs w:val="24"/>
          <w:highlight w:val="none"/>
        </w:rPr>
        <w:tab/>
      </w:r>
    </w:p>
    <w:p w14:paraId="42FC996F">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磋商保证金凭证</w:t>
      </w:r>
      <w:r>
        <w:rPr>
          <w:rFonts w:hint="eastAsia" w:ascii="仿宋" w:hAnsi="仿宋" w:eastAsia="仿宋" w:cs="仿宋"/>
          <w:bCs/>
          <w:color w:val="auto"/>
          <w:sz w:val="24"/>
          <w:szCs w:val="24"/>
          <w:highlight w:val="none"/>
        </w:rPr>
        <w:tab/>
      </w:r>
    </w:p>
    <w:p w14:paraId="7A80D925">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人员配置及能力证明</w:t>
      </w:r>
      <w:r>
        <w:rPr>
          <w:rFonts w:hint="eastAsia" w:ascii="仿宋" w:hAnsi="仿宋" w:eastAsia="仿宋" w:cs="仿宋"/>
          <w:bCs/>
          <w:color w:val="auto"/>
          <w:sz w:val="24"/>
          <w:szCs w:val="24"/>
          <w:highlight w:val="none"/>
        </w:rPr>
        <w:tab/>
      </w:r>
    </w:p>
    <w:p w14:paraId="338B0247">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服务方案</w:t>
      </w:r>
      <w:r>
        <w:rPr>
          <w:rFonts w:hint="eastAsia" w:ascii="仿宋" w:hAnsi="仿宋" w:eastAsia="仿宋" w:cs="仿宋"/>
          <w:bCs/>
          <w:color w:val="auto"/>
          <w:sz w:val="24"/>
          <w:szCs w:val="24"/>
          <w:highlight w:val="none"/>
        </w:rPr>
        <w:tab/>
      </w:r>
    </w:p>
    <w:p w14:paraId="3B6D6544">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进度控制方案</w:t>
      </w:r>
      <w:r>
        <w:rPr>
          <w:rFonts w:hint="eastAsia" w:ascii="仿宋" w:hAnsi="仿宋" w:eastAsia="仿宋" w:cs="仿宋"/>
          <w:bCs/>
          <w:color w:val="auto"/>
          <w:sz w:val="24"/>
          <w:szCs w:val="24"/>
          <w:highlight w:val="none"/>
        </w:rPr>
        <w:tab/>
      </w:r>
    </w:p>
    <w:p w14:paraId="6C30CC04">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突发事件处理预案</w:t>
      </w:r>
      <w:r>
        <w:rPr>
          <w:rFonts w:hint="eastAsia" w:ascii="仿宋" w:hAnsi="仿宋" w:eastAsia="仿宋" w:cs="仿宋"/>
          <w:bCs/>
          <w:color w:val="auto"/>
          <w:sz w:val="24"/>
          <w:szCs w:val="24"/>
          <w:highlight w:val="none"/>
        </w:rPr>
        <w:tab/>
      </w:r>
    </w:p>
    <w:p w14:paraId="42272E7F">
      <w:pPr>
        <w:numPr>
          <w:ilvl w:val="0"/>
          <w:numId w:val="1"/>
        </w:numPr>
        <w:adjustRightInd w:val="0"/>
        <w:snapToGrid w:val="0"/>
        <w:spacing w:line="360" w:lineRule="auto"/>
        <w:ind w:left="425" w:leftChars="0" w:hanging="425" w:firstLineChars="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其他材料</w:t>
      </w:r>
      <w:r>
        <w:rPr>
          <w:rFonts w:hint="eastAsia" w:ascii="仿宋" w:hAnsi="仿宋" w:eastAsia="仿宋" w:cs="仿宋"/>
          <w:bCs/>
          <w:color w:val="auto"/>
          <w:sz w:val="24"/>
          <w:szCs w:val="24"/>
          <w:highlight w:val="none"/>
        </w:rPr>
        <w:tab/>
      </w:r>
    </w:p>
    <w:p w14:paraId="348FD7BE">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14.2根据《政府采购法》第四十二条的规定，投标人无论中标与否，其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不予退还。</w:t>
      </w:r>
    </w:p>
    <w:p w14:paraId="08AF496F">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15.报价</w:t>
      </w:r>
    </w:p>
    <w:p w14:paraId="1DC27547">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15.1投标人应当根据采购文件要求和采购内容，以</w:t>
      </w:r>
      <w:r>
        <w:rPr>
          <w:rFonts w:hint="eastAsia" w:ascii="仿宋" w:hAnsi="仿宋" w:eastAsia="仿宋" w:cs="仿宋"/>
          <w:bCs/>
          <w:color w:val="auto"/>
          <w:sz w:val="24"/>
          <w:szCs w:val="24"/>
          <w:highlight w:val="none"/>
        </w:rPr>
        <w:t>人民币</w:t>
      </w:r>
      <w:r>
        <w:rPr>
          <w:rFonts w:hint="eastAsia" w:ascii="仿宋" w:hAnsi="仿宋" w:eastAsia="仿宋" w:cs="仿宋"/>
          <w:color w:val="auto"/>
          <w:sz w:val="24"/>
          <w:szCs w:val="24"/>
          <w:highlight w:val="none"/>
        </w:rPr>
        <w:t>报价，以元为单位，保留小数点后两位。</w:t>
      </w:r>
    </w:p>
    <w:p w14:paraId="2D409AFD">
      <w:pPr>
        <w:pStyle w:val="117"/>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投标报价是履行合同的最终价格，应包括为完成本项目采购范围内所有服务费的总和，投标人应结合市场状况、工作成本进行自主报价，投标报价应包括为履行本项目所必须所须发生的全部费用和投标人应承担的一切税费，包括完成满足实体检测、节能检测要求的一切费用(含税金)，包括但不限于仪器设备费、检测费、技术工作费、报告文本费、规费及税金等一切费用（包含为达到检测条件所需的其他费用）。各综合单价不因检测数量变化、位置、市场价格波动、政策变化及所有不可预见等因素改变而增减。投标人漏报的单价或每项单价报价中漏报、少报的费用，视为此项费用已包含在已标价分项报价的单价和合价中，中标后不予调整。</w:t>
      </w:r>
    </w:p>
    <w:p w14:paraId="4926A7A1">
      <w:pPr>
        <w:pStyle w:val="117"/>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15.3投标人应按第四章“采购需求”要求及第五章“</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格式”格式填写。投标人在</w:t>
      </w:r>
      <w:r>
        <w:rPr>
          <w:rFonts w:hint="eastAsia" w:ascii="仿宋" w:hAnsi="仿宋" w:eastAsia="仿宋" w:cs="仿宋"/>
          <w:bCs/>
          <w:color w:val="auto"/>
          <w:sz w:val="24"/>
          <w:szCs w:val="24"/>
          <w:highlight w:val="none"/>
        </w:rPr>
        <w:t>本章第11.1</w:t>
      </w:r>
      <w:r>
        <w:rPr>
          <w:rFonts w:hint="eastAsia" w:ascii="仿宋" w:hAnsi="仿宋" w:eastAsia="仿宋" w:cs="仿宋"/>
          <w:color w:val="auto"/>
          <w:sz w:val="24"/>
          <w:szCs w:val="24"/>
          <w:highlight w:val="none"/>
          <w:lang w:val="zh-CN"/>
        </w:rPr>
        <w:t>款</w:t>
      </w:r>
      <w:r>
        <w:rPr>
          <w:rFonts w:hint="eastAsia" w:ascii="仿宋" w:hAnsi="仿宋" w:eastAsia="仿宋" w:cs="仿宋"/>
          <w:bCs/>
          <w:color w:val="auto"/>
          <w:sz w:val="24"/>
          <w:szCs w:val="24"/>
          <w:highlight w:val="none"/>
        </w:rPr>
        <w:t>规定的</w:t>
      </w:r>
      <w:r>
        <w:rPr>
          <w:rFonts w:hint="eastAsia" w:ascii="仿宋" w:hAnsi="仿宋" w:eastAsia="仿宋" w:cs="仿宋"/>
          <w:color w:val="auto"/>
          <w:sz w:val="24"/>
          <w:szCs w:val="24"/>
          <w:highlight w:val="none"/>
        </w:rPr>
        <w:t>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截止之日前修改报价，应同时修改其按第五章要求填写的相应表格中的报价。此修改须符合本章第21.1款的有关要求。</w:t>
      </w:r>
    </w:p>
    <w:p w14:paraId="50BC1F91">
      <w:pPr>
        <w:pStyle w:val="117"/>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中标明的价格在合同执行过程中是固定不变的，不得以任何理由予以变更。以可变动价格提交的报价将被认为是非实质响应而被拒绝。</w:t>
      </w:r>
    </w:p>
    <w:p w14:paraId="6E9D8F2F">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15.5</w:t>
      </w:r>
      <w:r>
        <w:rPr>
          <w:rFonts w:hint="eastAsia" w:ascii="仿宋" w:hAnsi="仿宋" w:eastAsia="仿宋" w:cs="仿宋"/>
          <w:color w:val="auto"/>
          <w:kern w:val="0"/>
          <w:sz w:val="24"/>
          <w:szCs w:val="24"/>
          <w:highlight w:val="none"/>
          <w:lang w:val="zh-CN"/>
        </w:rPr>
        <w:t>投标人</w:t>
      </w:r>
      <w:r>
        <w:rPr>
          <w:rFonts w:hint="eastAsia" w:ascii="仿宋" w:hAnsi="仿宋" w:eastAsia="仿宋" w:cs="仿宋"/>
          <w:color w:val="auto"/>
          <w:sz w:val="24"/>
          <w:szCs w:val="24"/>
          <w:highlight w:val="none"/>
        </w:rPr>
        <w:t>的报价不得超过采购项目预算，采购项目预算见</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w:t>
      </w:r>
    </w:p>
    <w:p w14:paraId="5DDB280E">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15.6采购人不保证将合同授予最低报价的投标人。</w:t>
      </w:r>
    </w:p>
    <w:p w14:paraId="2929A180">
      <w:pPr>
        <w:pStyle w:val="26"/>
        <w:adjustRightInd w:val="0"/>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16.符合采购文件规定的证明文件</w:t>
      </w:r>
    </w:p>
    <w:p w14:paraId="33FCFF3B">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16.1投标人</w:t>
      </w:r>
      <w:r>
        <w:rPr>
          <w:rFonts w:hint="eastAsia" w:ascii="仿宋" w:hAnsi="仿宋" w:eastAsia="仿宋" w:cs="仿宋"/>
          <w:color w:val="auto"/>
          <w:sz w:val="24"/>
          <w:szCs w:val="24"/>
          <w:highlight w:val="none"/>
        </w:rPr>
        <w:t>符合采购文件规定的资格证明文件</w:t>
      </w:r>
    </w:p>
    <w:p w14:paraId="343C606A">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zh-CN"/>
        </w:rPr>
        <w:t>16.1.1</w:t>
      </w:r>
      <w:r>
        <w:rPr>
          <w:rFonts w:hint="eastAsia" w:ascii="仿宋" w:hAnsi="仿宋" w:eastAsia="仿宋" w:cs="仿宋"/>
          <w:color w:val="auto"/>
          <w:sz w:val="24"/>
          <w:szCs w:val="24"/>
          <w:highlight w:val="none"/>
        </w:rPr>
        <w:t>投标人应提供资格证明材料，以证实其各项条件能满足本章第3.1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规定的投标人资格条件要求。</w:t>
      </w:r>
    </w:p>
    <w:p w14:paraId="4DB9591B">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16.1.2</w:t>
      </w:r>
      <w:r>
        <w:rPr>
          <w:rFonts w:hint="eastAsia" w:ascii="仿宋" w:hAnsi="仿宋" w:eastAsia="仿宋" w:cs="仿宋"/>
          <w:color w:val="auto"/>
          <w:kern w:val="0"/>
          <w:sz w:val="24"/>
          <w:szCs w:val="24"/>
          <w:highlight w:val="none"/>
          <w:lang w:val="zh-CN"/>
        </w:rPr>
        <w:t>投标人</w:t>
      </w:r>
      <w:r>
        <w:rPr>
          <w:rFonts w:hint="eastAsia" w:ascii="仿宋" w:hAnsi="仿宋" w:eastAsia="仿宋" w:cs="仿宋"/>
          <w:color w:val="auto"/>
          <w:sz w:val="24"/>
          <w:szCs w:val="24"/>
          <w:highlight w:val="none"/>
        </w:rPr>
        <w:t>为联合体形式的，则应提交联合体各方资格文件、联合体协议，否则将视为非实质而被拒绝。</w:t>
      </w:r>
    </w:p>
    <w:p w14:paraId="15375F4B">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zh-CN"/>
        </w:rPr>
        <w:t>16.1.3</w:t>
      </w:r>
      <w:r>
        <w:rPr>
          <w:rFonts w:hint="eastAsia" w:ascii="仿宋" w:hAnsi="仿宋" w:eastAsia="仿宋" w:cs="仿宋"/>
          <w:color w:val="auto"/>
          <w:sz w:val="24"/>
          <w:szCs w:val="24"/>
          <w:highlight w:val="none"/>
        </w:rPr>
        <w:t>至</w:t>
      </w:r>
      <w:r>
        <w:rPr>
          <w:rFonts w:hint="eastAsia" w:ascii="仿宋" w:hAnsi="仿宋" w:eastAsia="仿宋" w:cs="仿宋"/>
          <w:color w:val="auto"/>
          <w:kern w:val="0"/>
          <w:sz w:val="24"/>
          <w:szCs w:val="24"/>
          <w:highlight w:val="none"/>
        </w:rPr>
        <w:t>提交首次</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sz w:val="24"/>
          <w:szCs w:val="24"/>
          <w:highlight w:val="none"/>
        </w:rPr>
        <w:t>止，投标人资格条件发生重大变化，影响或者可能影响资格条件的，投标人应更新或者补充提供的资格证明材料，以证实其各项条件仍能继续满足本章第3.1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规定的投标人资格条件要求。</w:t>
      </w:r>
    </w:p>
    <w:p w14:paraId="528AC211">
      <w:pPr>
        <w:pStyle w:val="26"/>
        <w:adjustRightInd w:val="0"/>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17. </w:t>
      </w:r>
      <w:r>
        <w:rPr>
          <w:rFonts w:hint="eastAsia" w:ascii="仿宋" w:hAnsi="仿宋" w:eastAsia="仿宋" w:cs="仿宋"/>
          <w:b/>
          <w:color w:val="auto"/>
          <w:sz w:val="24"/>
          <w:szCs w:val="24"/>
          <w:highlight w:val="none"/>
          <w:lang w:eastAsia="zh-CN"/>
        </w:rPr>
        <w:t>磋商</w:t>
      </w:r>
      <w:r>
        <w:rPr>
          <w:rFonts w:hint="eastAsia" w:ascii="仿宋" w:hAnsi="仿宋" w:eastAsia="仿宋" w:cs="仿宋"/>
          <w:b/>
          <w:color w:val="auto"/>
          <w:sz w:val="24"/>
          <w:szCs w:val="24"/>
          <w:highlight w:val="none"/>
        </w:rPr>
        <w:t>保证金</w:t>
      </w:r>
    </w:p>
    <w:p w14:paraId="7831DE00">
      <w:pPr>
        <w:pStyle w:val="26"/>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17.1</w:t>
      </w:r>
      <w:r>
        <w:rPr>
          <w:rFonts w:hint="eastAsia" w:ascii="仿宋" w:hAnsi="仿宋" w:eastAsia="仿宋" w:cs="仿宋"/>
          <w:b/>
          <w:color w:val="auto"/>
          <w:sz w:val="24"/>
          <w:szCs w:val="24"/>
          <w:highlight w:val="none"/>
          <w:lang w:eastAsia="zh-CN"/>
        </w:rPr>
        <w:t>磋商</w:t>
      </w:r>
      <w:r>
        <w:rPr>
          <w:rFonts w:hint="eastAsia" w:ascii="仿宋" w:hAnsi="仿宋" w:eastAsia="仿宋" w:cs="仿宋"/>
          <w:b/>
          <w:color w:val="auto"/>
          <w:sz w:val="24"/>
          <w:szCs w:val="24"/>
          <w:highlight w:val="none"/>
        </w:rPr>
        <w:t>须知前附表</w:t>
      </w:r>
      <w:r>
        <w:rPr>
          <w:rFonts w:hint="eastAsia" w:ascii="仿宋" w:hAnsi="仿宋" w:eastAsia="仿宋" w:cs="仿宋"/>
          <w:color w:val="auto"/>
          <w:sz w:val="24"/>
          <w:szCs w:val="24"/>
          <w:highlight w:val="none"/>
        </w:rPr>
        <w:t>规定提交</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保证金的，应按</w:t>
      </w:r>
      <w:r>
        <w:rPr>
          <w:rFonts w:hint="eastAsia" w:ascii="仿宋" w:hAnsi="仿宋" w:eastAsia="仿宋" w:cs="仿宋"/>
          <w:b/>
          <w:color w:val="auto"/>
          <w:sz w:val="24"/>
          <w:szCs w:val="24"/>
          <w:highlight w:val="none"/>
          <w:lang w:eastAsia="zh-CN"/>
        </w:rPr>
        <w:t>磋商</w:t>
      </w:r>
      <w:r>
        <w:rPr>
          <w:rFonts w:hint="eastAsia" w:ascii="仿宋" w:hAnsi="仿宋" w:eastAsia="仿宋" w:cs="仿宋"/>
          <w:b/>
          <w:color w:val="auto"/>
          <w:sz w:val="24"/>
          <w:szCs w:val="24"/>
          <w:highlight w:val="none"/>
        </w:rPr>
        <w:t>须知前附表</w:t>
      </w:r>
      <w:r>
        <w:rPr>
          <w:rFonts w:hint="eastAsia" w:ascii="仿宋" w:hAnsi="仿宋" w:eastAsia="仿宋" w:cs="仿宋"/>
          <w:color w:val="auto"/>
          <w:sz w:val="24"/>
          <w:szCs w:val="24"/>
          <w:highlight w:val="none"/>
        </w:rPr>
        <w:t>规定的形式、金额，在本章第11.1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w:t>
      </w:r>
      <w:r>
        <w:rPr>
          <w:rFonts w:hint="eastAsia" w:ascii="仿宋" w:hAnsi="仿宋" w:eastAsia="仿宋" w:cs="仿宋"/>
          <w:color w:val="auto"/>
          <w:kern w:val="0"/>
          <w:sz w:val="24"/>
          <w:szCs w:val="24"/>
          <w:highlight w:val="none"/>
        </w:rPr>
        <w:t>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kern w:val="0"/>
          <w:sz w:val="24"/>
          <w:szCs w:val="24"/>
          <w:highlight w:val="none"/>
        </w:rPr>
        <w:t>截止时间</w:t>
      </w:r>
      <w:r>
        <w:rPr>
          <w:rFonts w:hint="eastAsia" w:ascii="仿宋" w:hAnsi="仿宋" w:eastAsia="仿宋" w:cs="仿宋"/>
          <w:color w:val="auto"/>
          <w:sz w:val="24"/>
          <w:szCs w:val="24"/>
          <w:highlight w:val="none"/>
        </w:rPr>
        <w:t>前，</w:t>
      </w:r>
      <w:r>
        <w:rPr>
          <w:rFonts w:hint="eastAsia" w:ascii="仿宋" w:hAnsi="仿宋" w:eastAsia="仿宋" w:cs="仿宋"/>
          <w:bCs/>
          <w:color w:val="auto"/>
          <w:sz w:val="24"/>
          <w:szCs w:val="24"/>
          <w:highlight w:val="none"/>
        </w:rPr>
        <w:t>提交</w:t>
      </w:r>
      <w:r>
        <w:rPr>
          <w:rFonts w:hint="eastAsia" w:ascii="仿宋" w:hAnsi="仿宋" w:eastAsia="仿宋" w:cs="仿宋"/>
          <w:bCs/>
          <w:color w:val="auto"/>
          <w:sz w:val="24"/>
          <w:szCs w:val="24"/>
          <w:highlight w:val="none"/>
          <w:lang w:eastAsia="zh-CN"/>
        </w:rPr>
        <w:t>磋商</w:t>
      </w:r>
      <w:r>
        <w:rPr>
          <w:rFonts w:hint="eastAsia" w:ascii="仿宋" w:hAnsi="仿宋" w:eastAsia="仿宋" w:cs="仿宋"/>
          <w:bCs/>
          <w:color w:val="auto"/>
          <w:sz w:val="24"/>
          <w:szCs w:val="24"/>
          <w:highlight w:val="none"/>
        </w:rPr>
        <w:t>保证金</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lang w:eastAsia="zh-CN"/>
        </w:rPr>
        <w:t>磋商</w:t>
      </w:r>
      <w:r>
        <w:rPr>
          <w:rFonts w:hint="eastAsia" w:ascii="仿宋" w:hAnsi="仿宋" w:eastAsia="仿宋" w:cs="仿宋"/>
          <w:bCs/>
          <w:color w:val="auto"/>
          <w:sz w:val="24"/>
          <w:szCs w:val="24"/>
          <w:highlight w:val="none"/>
        </w:rPr>
        <w:t>保证金有效期应当与</w:t>
      </w:r>
      <w:r>
        <w:rPr>
          <w:rFonts w:hint="eastAsia" w:ascii="仿宋" w:hAnsi="仿宋" w:eastAsia="仿宋" w:cs="仿宋"/>
          <w:color w:val="auto"/>
          <w:sz w:val="24"/>
          <w:szCs w:val="24"/>
          <w:highlight w:val="none"/>
        </w:rPr>
        <w:t>本章第18.1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w:t>
      </w:r>
      <w:r>
        <w:rPr>
          <w:rFonts w:hint="eastAsia" w:ascii="仿宋" w:hAnsi="仿宋" w:eastAsia="仿宋" w:cs="仿宋"/>
          <w:color w:val="auto"/>
          <w:sz w:val="24"/>
          <w:szCs w:val="24"/>
          <w:highlight w:val="none"/>
          <w:lang w:eastAsia="zh-CN"/>
        </w:rPr>
        <w:t>响应文件</w:t>
      </w:r>
      <w:r>
        <w:rPr>
          <w:rFonts w:hint="eastAsia" w:ascii="仿宋" w:hAnsi="仿宋" w:eastAsia="仿宋" w:cs="仿宋"/>
          <w:bCs/>
          <w:color w:val="auto"/>
          <w:sz w:val="24"/>
          <w:szCs w:val="24"/>
          <w:highlight w:val="none"/>
        </w:rPr>
        <w:t>有效期一致。</w:t>
      </w:r>
    </w:p>
    <w:p w14:paraId="4266DFD6">
      <w:pPr>
        <w:adjustRightInd w:val="0"/>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17.2</w:t>
      </w:r>
      <w:r>
        <w:rPr>
          <w:rFonts w:hint="eastAsia" w:ascii="仿宋" w:hAnsi="仿宋" w:eastAsia="仿宋" w:cs="仿宋"/>
          <w:color w:val="auto"/>
          <w:kern w:val="0"/>
          <w:sz w:val="24"/>
          <w:szCs w:val="24"/>
          <w:highlight w:val="none"/>
          <w:lang w:val="zh-CN"/>
        </w:rPr>
        <w:t>投标人为联合体的，可以由联合体中的一方或者共同交纳磋商保证金，其交纳的磋商保证金，对联合体各方均具有约束力。</w:t>
      </w:r>
    </w:p>
    <w:p w14:paraId="643F07C7">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 未按采购文件规定提交</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保证金的，</w:t>
      </w:r>
      <w:r>
        <w:rPr>
          <w:rFonts w:hint="eastAsia" w:ascii="仿宋" w:hAnsi="仿宋" w:eastAsia="仿宋" w:cs="仿宋"/>
          <w:bCs/>
          <w:color w:val="auto"/>
          <w:sz w:val="24"/>
          <w:szCs w:val="24"/>
          <w:highlight w:val="none"/>
        </w:rPr>
        <w:t>其</w:t>
      </w:r>
      <w:r>
        <w:rPr>
          <w:rFonts w:hint="eastAsia" w:ascii="仿宋" w:hAnsi="仿宋" w:eastAsia="仿宋" w:cs="仿宋"/>
          <w:color w:val="auto"/>
          <w:sz w:val="24"/>
          <w:szCs w:val="24"/>
          <w:highlight w:val="none"/>
          <w:lang w:eastAsia="zh-CN"/>
        </w:rPr>
        <w:t>响应文件</w:t>
      </w:r>
      <w:r>
        <w:rPr>
          <w:rFonts w:hint="eastAsia" w:ascii="仿宋" w:hAnsi="仿宋" w:eastAsia="仿宋" w:cs="仿宋"/>
          <w:bCs/>
          <w:color w:val="auto"/>
          <w:sz w:val="24"/>
          <w:szCs w:val="24"/>
          <w:highlight w:val="none"/>
        </w:rPr>
        <w:t>无效</w:t>
      </w:r>
      <w:r>
        <w:rPr>
          <w:rFonts w:hint="eastAsia" w:ascii="仿宋" w:hAnsi="仿宋" w:eastAsia="仿宋" w:cs="仿宋"/>
          <w:color w:val="auto"/>
          <w:sz w:val="24"/>
          <w:szCs w:val="24"/>
          <w:highlight w:val="none"/>
        </w:rPr>
        <w:t>。</w:t>
      </w:r>
    </w:p>
    <w:p w14:paraId="0EE17C55">
      <w:pPr>
        <w:pStyle w:val="26"/>
        <w:tabs>
          <w:tab w:val="left" w:pos="630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17.4代理机构在中标通知书发出后5个工作日内退还未中标投标人的</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保证金；在采购合同签定后5个工作日内退还中标投标人的</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保证金，但因投标人自身原因导致无法及时退还的除外。</w:t>
      </w:r>
    </w:p>
    <w:p w14:paraId="09F32E43">
      <w:pPr>
        <w:pStyle w:val="26"/>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 xml:space="preserve">17.5 </w:t>
      </w:r>
      <w:r>
        <w:rPr>
          <w:rFonts w:hint="eastAsia" w:ascii="仿宋" w:hAnsi="仿宋" w:eastAsia="仿宋" w:cs="仿宋"/>
          <w:color w:val="auto"/>
          <w:kern w:val="0"/>
          <w:sz w:val="24"/>
          <w:szCs w:val="24"/>
          <w:highlight w:val="none"/>
        </w:rPr>
        <w:t>有下列情形之一的，</w:t>
      </w:r>
      <w:r>
        <w:rPr>
          <w:rFonts w:hint="eastAsia" w:ascii="仿宋" w:hAnsi="仿宋" w:eastAsia="仿宋" w:cs="仿宋"/>
          <w:color w:val="auto"/>
          <w:kern w:val="0"/>
          <w:sz w:val="24"/>
          <w:szCs w:val="24"/>
          <w:highlight w:val="none"/>
          <w:lang w:eastAsia="zh-CN"/>
        </w:rPr>
        <w:t>磋商</w:t>
      </w:r>
      <w:r>
        <w:rPr>
          <w:rFonts w:hint="eastAsia" w:ascii="仿宋" w:hAnsi="仿宋" w:eastAsia="仿宋" w:cs="仿宋"/>
          <w:color w:val="auto"/>
          <w:kern w:val="0"/>
          <w:sz w:val="24"/>
          <w:szCs w:val="24"/>
          <w:highlight w:val="none"/>
        </w:rPr>
        <w:t>保证金不予退还：</w:t>
      </w:r>
    </w:p>
    <w:p w14:paraId="7850419A">
      <w:pPr>
        <w:pStyle w:val="26"/>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（1）投标人在提交</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截止时间后撤回</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的；</w:t>
      </w:r>
    </w:p>
    <w:p w14:paraId="608B8F67">
      <w:pPr>
        <w:pStyle w:val="26"/>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（2）投标人在</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中提供虚假材料的；</w:t>
      </w:r>
    </w:p>
    <w:p w14:paraId="109BFE9A">
      <w:pPr>
        <w:pStyle w:val="26"/>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（3）除因不可抗力或采购文件认可的情形以外，中标投标人不与采购人签订合同的；</w:t>
      </w:r>
    </w:p>
    <w:p w14:paraId="783DFE29">
      <w:pPr>
        <w:pStyle w:val="26"/>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（4）投标人与采购人、其他投标人或者采购代理机构恶意串通的；</w:t>
      </w:r>
    </w:p>
    <w:p w14:paraId="0A462AAB">
      <w:pPr>
        <w:pStyle w:val="26"/>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（5）采购文件规定的其他情形。</w:t>
      </w:r>
    </w:p>
    <w:p w14:paraId="7C85092B">
      <w:pPr>
        <w:pStyle w:val="26"/>
        <w:adjustRightInd w:val="0"/>
        <w:snapToGrid w:val="0"/>
        <w:spacing w:line="360" w:lineRule="auto"/>
        <w:ind w:left="-2" w:leftChars="-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18.</w:t>
      </w:r>
      <w:r>
        <w:rPr>
          <w:rFonts w:hint="eastAsia" w:ascii="仿宋" w:hAnsi="仿宋" w:eastAsia="仿宋" w:cs="仿宋"/>
          <w:color w:val="auto"/>
          <w:sz w:val="24"/>
          <w:szCs w:val="24"/>
          <w:highlight w:val="none"/>
        </w:rPr>
        <w:t xml:space="preserve"> </w:t>
      </w:r>
      <w:r>
        <w:rPr>
          <w:rFonts w:hint="eastAsia" w:ascii="仿宋" w:hAnsi="仿宋" w:eastAsia="仿宋" w:cs="仿宋"/>
          <w:b/>
          <w:color w:val="auto"/>
          <w:sz w:val="24"/>
          <w:szCs w:val="24"/>
          <w:highlight w:val="none"/>
          <w:lang w:eastAsia="zh-CN"/>
        </w:rPr>
        <w:t>响应文件</w:t>
      </w:r>
      <w:r>
        <w:rPr>
          <w:rFonts w:hint="eastAsia" w:ascii="仿宋" w:hAnsi="仿宋" w:eastAsia="仿宋" w:cs="仿宋"/>
          <w:b/>
          <w:color w:val="auto"/>
          <w:sz w:val="24"/>
          <w:szCs w:val="24"/>
          <w:highlight w:val="none"/>
        </w:rPr>
        <w:t>有效期</w:t>
      </w:r>
    </w:p>
    <w:p w14:paraId="3A39AE8F">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有效期见</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，在此期间</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对投标人具有法律约束力，从本章第11.1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w:t>
      </w:r>
      <w:r>
        <w:rPr>
          <w:rFonts w:hint="eastAsia" w:ascii="仿宋" w:hAnsi="仿宋" w:eastAsia="仿宋" w:cs="仿宋"/>
          <w:color w:val="auto"/>
          <w:kern w:val="0"/>
          <w:sz w:val="24"/>
          <w:szCs w:val="24"/>
          <w:highlight w:val="none"/>
        </w:rPr>
        <w:t>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kern w:val="0"/>
          <w:sz w:val="24"/>
          <w:szCs w:val="24"/>
          <w:highlight w:val="none"/>
        </w:rPr>
        <w:t>截止时间</w:t>
      </w:r>
      <w:r>
        <w:rPr>
          <w:rFonts w:hint="eastAsia" w:ascii="仿宋" w:hAnsi="仿宋" w:eastAsia="仿宋" w:cs="仿宋"/>
          <w:color w:val="auto"/>
          <w:sz w:val="24"/>
          <w:szCs w:val="24"/>
          <w:highlight w:val="none"/>
        </w:rPr>
        <w:t>之日起计算。</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有效期不足的将被视为无效文件。</w:t>
      </w:r>
    </w:p>
    <w:p w14:paraId="128FA15B">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19.</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的签署及规定</w:t>
      </w:r>
    </w:p>
    <w:p w14:paraId="5A806B02">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19.1响应文件须上传政采云平台https://www.zcygov.cn/。</w:t>
      </w:r>
    </w:p>
    <w:p w14:paraId="6719B80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 响应文件应按磋商文件要求签章处盖单位电子章和由法定代表人或其委托代理人签字；否则，将导致响应文件无效。</w:t>
      </w:r>
    </w:p>
    <w:p w14:paraId="3DE2CC1A">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 在磋商过程中，投标人按磋商文件规定和磋商小组要求提交的最后报价(或者重新提交的响应文件和最后报价)，投标人须登录政采云平台https://www.zcygov.cn/在线进行最终报价。否则，将导致最终报价无效。</w:t>
      </w:r>
    </w:p>
    <w:p w14:paraId="3867560F">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四、响应文件的递交</w:t>
      </w:r>
    </w:p>
    <w:p w14:paraId="452CF54E">
      <w:pPr>
        <w:adjustRightInd w:val="0"/>
        <w:snapToGrid w:val="0"/>
        <w:spacing w:line="360" w:lineRule="auto"/>
        <w:ind w:firstLine="361" w:firstLineChars="15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20. 响应文件的密封和标记</w:t>
      </w:r>
    </w:p>
    <w:p w14:paraId="6758A54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20.1响应文件“电子版”应通过政采云</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制作工具进行加密，在解密时间内（自开标时间起30分钟内），投标人登录政采云平台https://www.zcygov.cn/在线进行解密。</w:t>
      </w:r>
    </w:p>
    <w:p w14:paraId="38E7AC4E">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20.2响应文件如果未按上述规定加密和解密，将导致代理机构无法接收响应文件。</w:t>
      </w:r>
    </w:p>
    <w:p w14:paraId="3F18308A">
      <w:pPr>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21.</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的</w:t>
      </w:r>
      <w:r>
        <w:rPr>
          <w:rFonts w:hint="eastAsia" w:ascii="仿宋" w:hAnsi="仿宋" w:eastAsia="仿宋" w:cs="仿宋"/>
          <w:b/>
          <w:color w:val="auto"/>
          <w:kern w:val="0"/>
          <w:sz w:val="24"/>
          <w:szCs w:val="24"/>
          <w:highlight w:val="none"/>
          <w:lang w:val="zh-CN"/>
        </w:rPr>
        <w:t>补充、修改或者撤回</w:t>
      </w:r>
    </w:p>
    <w:p w14:paraId="76DCD374">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w:t>
      </w:r>
      <w:r>
        <w:rPr>
          <w:rFonts w:hint="eastAsia" w:ascii="仿宋" w:hAnsi="仿宋" w:eastAsia="仿宋" w:cs="仿宋"/>
          <w:color w:val="auto"/>
          <w:kern w:val="0"/>
          <w:sz w:val="24"/>
          <w:szCs w:val="24"/>
          <w:highlight w:val="none"/>
        </w:rPr>
        <w:t>投标人在</w:t>
      </w:r>
      <w:r>
        <w:rPr>
          <w:rFonts w:hint="eastAsia" w:ascii="仿宋" w:hAnsi="仿宋" w:eastAsia="仿宋" w:cs="仿宋"/>
          <w:color w:val="auto"/>
          <w:sz w:val="24"/>
          <w:szCs w:val="24"/>
          <w:highlight w:val="none"/>
        </w:rPr>
        <w:t>本章第11.1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w:t>
      </w:r>
      <w:r>
        <w:rPr>
          <w:rFonts w:hint="eastAsia" w:ascii="仿宋" w:hAnsi="仿宋" w:eastAsia="仿宋" w:cs="仿宋"/>
          <w:color w:val="auto"/>
          <w:kern w:val="0"/>
          <w:sz w:val="24"/>
          <w:szCs w:val="24"/>
          <w:highlight w:val="none"/>
        </w:rPr>
        <w:t>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kern w:val="0"/>
          <w:sz w:val="24"/>
          <w:szCs w:val="24"/>
          <w:highlight w:val="none"/>
        </w:rPr>
        <w:t>截止时间前，可以对所提交的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kern w:val="0"/>
          <w:sz w:val="24"/>
          <w:szCs w:val="24"/>
          <w:highlight w:val="none"/>
        </w:rPr>
        <w:t>进行补充、修改或者撤回，并书面通知采购人、代理机构。</w:t>
      </w:r>
      <w:r>
        <w:rPr>
          <w:rFonts w:hint="eastAsia" w:ascii="仿宋" w:hAnsi="仿宋" w:eastAsia="仿宋" w:cs="仿宋"/>
          <w:color w:val="auto"/>
          <w:sz w:val="24"/>
          <w:szCs w:val="24"/>
          <w:highlight w:val="none"/>
        </w:rPr>
        <w:t>该通知应有投标人法定代表人或其委托代理人签字。</w:t>
      </w:r>
    </w:p>
    <w:p w14:paraId="341A485E">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w:t>
      </w:r>
      <w:r>
        <w:rPr>
          <w:rFonts w:hint="eastAsia" w:ascii="仿宋" w:hAnsi="仿宋" w:eastAsia="仿宋" w:cs="仿宋"/>
          <w:color w:val="auto"/>
          <w:kern w:val="0"/>
          <w:sz w:val="24"/>
          <w:szCs w:val="24"/>
          <w:highlight w:val="none"/>
          <w:lang w:val="zh-CN"/>
        </w:rPr>
        <w:t>补充、修改的内容与响应文件不一致时，以补充、修改的内容为准。</w:t>
      </w:r>
    </w:p>
    <w:p w14:paraId="1A410717">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22.</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的递交与接收</w:t>
      </w:r>
    </w:p>
    <w:p w14:paraId="59AF2569">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投标人应在本章第11.1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w:t>
      </w:r>
      <w:r>
        <w:rPr>
          <w:rFonts w:hint="eastAsia" w:ascii="仿宋" w:hAnsi="仿宋" w:eastAsia="仿宋" w:cs="仿宋"/>
          <w:color w:val="auto"/>
          <w:kern w:val="0"/>
          <w:sz w:val="24"/>
          <w:szCs w:val="24"/>
          <w:highlight w:val="none"/>
        </w:rPr>
        <w:t>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kern w:val="0"/>
          <w:sz w:val="24"/>
          <w:szCs w:val="24"/>
          <w:highlight w:val="none"/>
        </w:rPr>
        <w:t>截止时间</w:t>
      </w:r>
      <w:r>
        <w:rPr>
          <w:rFonts w:hint="eastAsia" w:ascii="仿宋" w:hAnsi="仿宋" w:eastAsia="仿宋" w:cs="仿宋"/>
          <w:color w:val="auto"/>
          <w:sz w:val="24"/>
          <w:szCs w:val="24"/>
          <w:highlight w:val="none"/>
        </w:rPr>
        <w:t>前，将</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送达</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中指定的地点。</w:t>
      </w:r>
      <w:r>
        <w:rPr>
          <w:rFonts w:hint="eastAsia" w:ascii="仿宋" w:hAnsi="仿宋" w:eastAsia="仿宋" w:cs="仿宋"/>
          <w:color w:val="auto"/>
          <w:kern w:val="0"/>
          <w:sz w:val="24"/>
          <w:szCs w:val="24"/>
          <w:highlight w:val="none"/>
        </w:rPr>
        <w:t>在截止时间后送达的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kern w:val="0"/>
          <w:sz w:val="24"/>
          <w:szCs w:val="24"/>
          <w:highlight w:val="none"/>
        </w:rPr>
        <w:t>，采购人、代理机构或者评审小组将拒收。</w:t>
      </w:r>
    </w:p>
    <w:p w14:paraId="07E2707B">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w:t>
      </w:r>
      <w:r>
        <w:rPr>
          <w:rFonts w:hint="eastAsia" w:ascii="仿宋" w:hAnsi="仿宋" w:eastAsia="仿宋" w:cs="仿宋"/>
          <w:color w:val="auto"/>
          <w:kern w:val="0"/>
          <w:sz w:val="24"/>
          <w:szCs w:val="24"/>
          <w:highlight w:val="none"/>
        </w:rPr>
        <w:t>在</w:t>
      </w:r>
      <w:r>
        <w:rPr>
          <w:rFonts w:hint="eastAsia" w:ascii="仿宋" w:hAnsi="仿宋" w:eastAsia="仿宋" w:cs="仿宋"/>
          <w:color w:val="auto"/>
          <w:sz w:val="24"/>
          <w:szCs w:val="24"/>
          <w:highlight w:val="none"/>
        </w:rPr>
        <w:t>本章第11.1</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z w:val="24"/>
          <w:szCs w:val="24"/>
          <w:highlight w:val="none"/>
        </w:rPr>
        <w:t>规定的</w:t>
      </w:r>
      <w:r>
        <w:rPr>
          <w:rFonts w:hint="eastAsia" w:ascii="仿宋" w:hAnsi="仿宋" w:eastAsia="仿宋" w:cs="仿宋"/>
          <w:color w:val="auto"/>
          <w:kern w:val="0"/>
          <w:sz w:val="24"/>
          <w:szCs w:val="24"/>
          <w:highlight w:val="none"/>
        </w:rPr>
        <w:t>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kern w:val="0"/>
          <w:sz w:val="24"/>
          <w:szCs w:val="24"/>
          <w:highlight w:val="none"/>
        </w:rPr>
        <w:t>截止时间后，</w:t>
      </w:r>
      <w:r>
        <w:rPr>
          <w:rFonts w:hint="eastAsia" w:ascii="仿宋" w:hAnsi="仿宋" w:eastAsia="仿宋" w:cs="仿宋"/>
          <w:color w:val="auto"/>
          <w:sz w:val="24"/>
          <w:szCs w:val="24"/>
          <w:highlight w:val="none"/>
        </w:rPr>
        <w:t>由</w:t>
      </w:r>
      <w:r>
        <w:rPr>
          <w:rFonts w:hint="eastAsia" w:ascii="仿宋" w:hAnsi="仿宋" w:eastAsia="仿宋" w:cs="仿宋"/>
          <w:bCs/>
          <w:color w:val="auto"/>
          <w:sz w:val="24"/>
          <w:szCs w:val="24"/>
          <w:highlight w:val="none"/>
        </w:rPr>
        <w:t>投标人代表</w:t>
      </w:r>
      <w:r>
        <w:rPr>
          <w:rFonts w:hint="eastAsia" w:ascii="仿宋" w:hAnsi="仿宋" w:eastAsia="仿宋" w:cs="仿宋"/>
          <w:color w:val="auto"/>
          <w:sz w:val="24"/>
          <w:szCs w:val="24"/>
          <w:highlight w:val="none"/>
        </w:rPr>
        <w:t>当场查验</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的密封状况，采购人或</w:t>
      </w:r>
      <w:r>
        <w:rPr>
          <w:rFonts w:hint="eastAsia" w:ascii="仿宋" w:hAnsi="仿宋" w:eastAsia="仿宋" w:cs="仿宋"/>
          <w:bCs/>
          <w:color w:val="auto"/>
          <w:sz w:val="24"/>
          <w:szCs w:val="24"/>
          <w:highlight w:val="none"/>
        </w:rPr>
        <w:t>代理机构</w:t>
      </w:r>
      <w:r>
        <w:rPr>
          <w:rFonts w:hint="eastAsia" w:ascii="仿宋" w:hAnsi="仿宋" w:eastAsia="仿宋" w:cs="仿宋"/>
          <w:color w:val="auto"/>
          <w:sz w:val="24"/>
          <w:szCs w:val="24"/>
          <w:highlight w:val="none"/>
        </w:rPr>
        <w:t>当场拆封</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p>
    <w:p w14:paraId="74763FD9">
      <w:pPr>
        <w:bidi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五</w:t>
      </w:r>
      <w:r>
        <w:rPr>
          <w:rFonts w:hint="eastAsia" w:ascii="仿宋" w:hAnsi="仿宋" w:eastAsia="仿宋" w:cs="仿宋"/>
          <w:b/>
          <w:bCs/>
          <w:color w:val="auto"/>
          <w:sz w:val="24"/>
          <w:szCs w:val="24"/>
          <w:highlight w:val="none"/>
        </w:rPr>
        <w:t>、中标结果信息公布与授予合同</w:t>
      </w:r>
    </w:p>
    <w:p w14:paraId="2B21FC89">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23</w:t>
      </w:r>
      <w:r>
        <w:rPr>
          <w:rFonts w:hint="eastAsia" w:ascii="仿宋" w:hAnsi="仿宋" w:eastAsia="仿宋" w:cs="仿宋"/>
          <w:b/>
          <w:bCs/>
          <w:color w:val="auto"/>
          <w:sz w:val="24"/>
          <w:szCs w:val="24"/>
          <w:highlight w:val="none"/>
        </w:rPr>
        <w:t>.中标信息的公布</w:t>
      </w:r>
    </w:p>
    <w:p w14:paraId="78C318E8">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.1中标投标人确定后2个工作日内，采购人或者采购代理机构应将中标结果信息在</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指定的媒体上公布。</w:t>
      </w:r>
    </w:p>
    <w:p w14:paraId="53455939">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24</w:t>
      </w:r>
      <w:r>
        <w:rPr>
          <w:rFonts w:hint="eastAsia" w:ascii="仿宋" w:hAnsi="仿宋" w:eastAsia="仿宋" w:cs="仿宋"/>
          <w:b/>
          <w:bCs/>
          <w:color w:val="auto"/>
          <w:sz w:val="24"/>
          <w:szCs w:val="24"/>
          <w:highlight w:val="none"/>
        </w:rPr>
        <w:t>.询问及质疑</w:t>
      </w:r>
    </w:p>
    <w:p w14:paraId="4245E969">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rPr>
        <w:t>.1投标人对采购文件提出询问或者质疑的，必须遵守政府采购的相关法规，且应提交纸质的质询或者质疑文件原件，并须附证明材料，同时说明投标人联系人、联系方式。原件需加盖投标人公章并由被授权代表签署。</w:t>
      </w:r>
    </w:p>
    <w:p w14:paraId="19147455">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25</w:t>
      </w:r>
      <w:r>
        <w:rPr>
          <w:rFonts w:hint="eastAsia" w:ascii="仿宋" w:hAnsi="仿宋" w:eastAsia="仿宋" w:cs="仿宋"/>
          <w:b/>
          <w:bCs/>
          <w:color w:val="auto"/>
          <w:sz w:val="24"/>
          <w:szCs w:val="24"/>
          <w:highlight w:val="none"/>
        </w:rPr>
        <w:t>.中标通知</w:t>
      </w:r>
    </w:p>
    <w:p w14:paraId="41B0378E">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.1中标单位确定后，采购人或采购代理机构将以书面形式向中标</w:t>
      </w:r>
      <w:r>
        <w:rPr>
          <w:rFonts w:hint="eastAsia" w:ascii="仿宋" w:hAnsi="仿宋" w:eastAsia="仿宋" w:cs="仿宋"/>
          <w:color w:val="auto"/>
          <w:kern w:val="0"/>
          <w:sz w:val="24"/>
          <w:szCs w:val="24"/>
          <w:highlight w:val="none"/>
        </w:rPr>
        <w:t>单位</w:t>
      </w:r>
      <w:r>
        <w:rPr>
          <w:rFonts w:hint="eastAsia" w:ascii="仿宋" w:hAnsi="仿宋" w:eastAsia="仿宋" w:cs="仿宋"/>
          <w:color w:val="auto"/>
          <w:sz w:val="24"/>
          <w:szCs w:val="24"/>
          <w:highlight w:val="none"/>
        </w:rPr>
        <w:t>发出中标通知书。中标通知书对采购人和中标单位具有同等法律效力。</w:t>
      </w:r>
    </w:p>
    <w:p w14:paraId="65DE9A6E">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.2 中标通知书是合同文件的组成部分。</w:t>
      </w:r>
    </w:p>
    <w:p w14:paraId="1FC48AFA">
      <w:pPr>
        <w:tabs>
          <w:tab w:val="left" w:pos="7560"/>
          <w:tab w:val="left" w:pos="7740"/>
          <w:tab w:val="left" w:pos="7920"/>
        </w:tabs>
        <w:autoSpaceDN w:val="0"/>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25</w:t>
      </w:r>
      <w:r>
        <w:rPr>
          <w:rFonts w:hint="eastAsia" w:ascii="仿宋" w:hAnsi="仿宋" w:eastAsia="仿宋" w:cs="仿宋"/>
          <w:color w:val="auto"/>
          <w:kern w:val="0"/>
          <w:sz w:val="24"/>
          <w:szCs w:val="24"/>
          <w:highlight w:val="none"/>
        </w:rPr>
        <w:t xml:space="preserve">.3 </w:t>
      </w:r>
      <w:r>
        <w:rPr>
          <w:rFonts w:hint="eastAsia" w:ascii="仿宋" w:hAnsi="仿宋" w:eastAsia="仿宋" w:cs="仿宋"/>
          <w:color w:val="auto"/>
          <w:sz w:val="24"/>
          <w:szCs w:val="24"/>
          <w:highlight w:val="none"/>
        </w:rPr>
        <w:t>中标单位在收到采购代理机构的中标通知书后10日内，应按照</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的规定，向采购人提交履约担保。</w:t>
      </w:r>
    </w:p>
    <w:p w14:paraId="039D82E8">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rPr>
        <w:t>.4 中标单位</w:t>
      </w:r>
      <w:r>
        <w:rPr>
          <w:rFonts w:hint="eastAsia" w:ascii="仿宋" w:hAnsi="仿宋" w:eastAsia="仿宋" w:cs="仿宋"/>
          <w:color w:val="auto"/>
          <w:spacing w:val="4"/>
          <w:sz w:val="24"/>
          <w:szCs w:val="24"/>
          <w:highlight w:val="none"/>
        </w:rPr>
        <w:t>没有按照本章第37.3</w:t>
      </w:r>
      <w:r>
        <w:rPr>
          <w:rFonts w:hint="eastAsia" w:ascii="仿宋" w:hAnsi="仿宋" w:eastAsia="仿宋" w:cs="仿宋"/>
          <w:color w:val="auto"/>
          <w:kern w:val="0"/>
          <w:sz w:val="24"/>
          <w:szCs w:val="24"/>
          <w:highlight w:val="none"/>
          <w:lang w:val="zh-CN"/>
        </w:rPr>
        <w:t>款</w:t>
      </w:r>
      <w:r>
        <w:rPr>
          <w:rFonts w:hint="eastAsia" w:ascii="仿宋" w:hAnsi="仿宋" w:eastAsia="仿宋" w:cs="仿宋"/>
          <w:color w:val="auto"/>
          <w:spacing w:val="4"/>
          <w:sz w:val="24"/>
          <w:szCs w:val="24"/>
          <w:highlight w:val="none"/>
        </w:rPr>
        <w:t>规定</w:t>
      </w:r>
      <w:r>
        <w:rPr>
          <w:rFonts w:hint="eastAsia" w:ascii="仿宋" w:hAnsi="仿宋" w:eastAsia="仿宋" w:cs="仿宋"/>
          <w:color w:val="auto"/>
          <w:sz w:val="24"/>
          <w:szCs w:val="24"/>
          <w:highlight w:val="none"/>
        </w:rPr>
        <w:t>提交履约担保的</w:t>
      </w:r>
      <w:r>
        <w:rPr>
          <w:rFonts w:hint="eastAsia" w:ascii="仿宋" w:hAnsi="仿宋" w:eastAsia="仿宋" w:cs="仿宋"/>
          <w:color w:val="auto"/>
          <w:spacing w:val="4"/>
          <w:sz w:val="24"/>
          <w:szCs w:val="24"/>
          <w:highlight w:val="none"/>
        </w:rPr>
        <w:t>，视为放弃</w:t>
      </w:r>
      <w:r>
        <w:rPr>
          <w:rFonts w:hint="eastAsia" w:ascii="仿宋" w:hAnsi="仿宋" w:eastAsia="仿宋" w:cs="仿宋"/>
          <w:color w:val="auto"/>
          <w:sz w:val="24"/>
          <w:szCs w:val="24"/>
          <w:highlight w:val="none"/>
        </w:rPr>
        <w:t>中标资格</w:t>
      </w:r>
      <w:r>
        <w:rPr>
          <w:rFonts w:hint="eastAsia" w:ascii="仿宋" w:hAnsi="仿宋" w:eastAsia="仿宋" w:cs="仿宋"/>
          <w:color w:val="auto"/>
          <w:spacing w:val="4"/>
          <w:sz w:val="24"/>
          <w:szCs w:val="24"/>
          <w:highlight w:val="none"/>
        </w:rPr>
        <w:t>，</w:t>
      </w:r>
      <w:r>
        <w:rPr>
          <w:rFonts w:hint="eastAsia" w:ascii="仿宋" w:hAnsi="仿宋" w:eastAsia="仿宋" w:cs="仿宋"/>
          <w:color w:val="auto"/>
          <w:spacing w:val="2"/>
          <w:sz w:val="24"/>
          <w:szCs w:val="24"/>
          <w:highlight w:val="none"/>
        </w:rPr>
        <w:t>其</w:t>
      </w:r>
      <w:r>
        <w:rPr>
          <w:rFonts w:hint="eastAsia" w:ascii="仿宋" w:hAnsi="仿宋" w:eastAsia="仿宋" w:cs="仿宋"/>
          <w:color w:val="auto"/>
          <w:spacing w:val="2"/>
          <w:sz w:val="24"/>
          <w:szCs w:val="24"/>
          <w:highlight w:val="none"/>
          <w:lang w:eastAsia="zh-CN"/>
        </w:rPr>
        <w:t>磋商保证金</w:t>
      </w:r>
      <w:r>
        <w:rPr>
          <w:rFonts w:hint="eastAsia" w:ascii="仿宋" w:hAnsi="仿宋" w:eastAsia="仿宋" w:cs="仿宋"/>
          <w:color w:val="auto"/>
          <w:spacing w:val="2"/>
          <w:sz w:val="24"/>
          <w:szCs w:val="24"/>
          <w:highlight w:val="none"/>
        </w:rPr>
        <w:t>不予退还。</w:t>
      </w:r>
    </w:p>
    <w:p w14:paraId="5B00222D">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26</w:t>
      </w:r>
      <w:r>
        <w:rPr>
          <w:rFonts w:hint="eastAsia" w:ascii="仿宋" w:hAnsi="仿宋" w:eastAsia="仿宋" w:cs="仿宋"/>
          <w:b/>
          <w:bCs/>
          <w:color w:val="auto"/>
          <w:sz w:val="24"/>
          <w:szCs w:val="24"/>
          <w:highlight w:val="none"/>
        </w:rPr>
        <w:t>.签订合同</w:t>
      </w:r>
    </w:p>
    <w:p w14:paraId="4BB32599">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.1 采购文件、中标单位的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及其补充的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等均为签订政府采购合同的依据。</w:t>
      </w:r>
    </w:p>
    <w:p w14:paraId="1A8FA393">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.2 中标单位应当在中标通知书发出之日起30日内与采购人签订政府采购合同。</w:t>
      </w:r>
    </w:p>
    <w:p w14:paraId="633EFE53">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.3 中标单位应当按照合同约定履行义务。中标单位不得向他人转让中标项目，也不得将中标项目分包后分别向他人转让。</w:t>
      </w:r>
    </w:p>
    <w:p w14:paraId="4EC62906">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.4 中标单位有下列情形之一的，责令限期改正，情节严重的，列入不良行为记录名单，在1至3年内禁止参加政府采购活动，并予以通报：</w:t>
      </w:r>
    </w:p>
    <w:p w14:paraId="2B1D80C9">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（一）中标后无正当理由不与采购人签订合同的；</w:t>
      </w:r>
    </w:p>
    <w:p w14:paraId="3B0CD80C">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（二）未按照采购文件确定的事项签订政府采购合同，或者与采购人另行订立背离合同实质性内容的协议的；</w:t>
      </w:r>
    </w:p>
    <w:p w14:paraId="06BFB5BF">
      <w:pPr>
        <w:pStyle w:val="26"/>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（三）拒绝履行合同义务的；</w:t>
      </w:r>
    </w:p>
    <w:p w14:paraId="0FC50205">
      <w:pPr>
        <w:pStyle w:val="26"/>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kern w:val="0"/>
          <w:sz w:val="24"/>
          <w:szCs w:val="24"/>
          <w:highlight w:val="none"/>
        </w:rPr>
        <w:t>违反法律、规章、规范性文件规定的。</w:t>
      </w:r>
    </w:p>
    <w:p w14:paraId="545E2711">
      <w:pPr>
        <w:bidi w:val="0"/>
        <w:spacing w:line="360" w:lineRule="auto"/>
        <w:jc w:val="left"/>
        <w:rPr>
          <w:rFonts w:hint="eastAsia" w:ascii="仿宋" w:hAnsi="仿宋" w:eastAsia="仿宋" w:cs="仿宋"/>
          <w:b/>
          <w:bCs/>
          <w:color w:val="auto"/>
          <w:sz w:val="24"/>
          <w:szCs w:val="24"/>
          <w:highlight w:val="none"/>
        </w:rPr>
      </w:pPr>
      <w:bookmarkStart w:id="24" w:name="_Toc425613608"/>
      <w:r>
        <w:rPr>
          <w:rFonts w:hint="eastAsia" w:ascii="仿宋" w:hAnsi="仿宋" w:eastAsia="仿宋" w:cs="仿宋"/>
          <w:b/>
          <w:bCs/>
          <w:color w:val="auto"/>
          <w:sz w:val="24"/>
          <w:szCs w:val="24"/>
          <w:highlight w:val="none"/>
          <w:lang w:eastAsia="zh-CN"/>
        </w:rPr>
        <w:t>六</w:t>
      </w:r>
      <w:r>
        <w:rPr>
          <w:rFonts w:hint="eastAsia" w:ascii="仿宋" w:hAnsi="仿宋" w:eastAsia="仿宋" w:cs="仿宋"/>
          <w:b/>
          <w:bCs/>
          <w:color w:val="auto"/>
          <w:sz w:val="24"/>
          <w:szCs w:val="24"/>
          <w:highlight w:val="none"/>
        </w:rPr>
        <w:t>、其他规定</w:t>
      </w:r>
      <w:bookmarkEnd w:id="24"/>
    </w:p>
    <w:p w14:paraId="5367509A">
      <w:pPr>
        <w:adjustRightInd w:val="0"/>
        <w:snapToGrid w:val="0"/>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27</w:t>
      </w:r>
      <w:r>
        <w:rPr>
          <w:rFonts w:hint="eastAsia" w:ascii="仿宋" w:hAnsi="仿宋" w:eastAsia="仿宋" w:cs="仿宋"/>
          <w:b/>
          <w:color w:val="auto"/>
          <w:sz w:val="24"/>
          <w:szCs w:val="24"/>
          <w:highlight w:val="none"/>
        </w:rPr>
        <w:t>.采购代理服务费</w:t>
      </w:r>
    </w:p>
    <w:p w14:paraId="572E6DFB">
      <w:pPr>
        <w:tabs>
          <w:tab w:val="left" w:pos="420"/>
          <w:tab w:val="left" w:pos="7560"/>
          <w:tab w:val="left" w:pos="7740"/>
          <w:tab w:val="left" w:pos="7920"/>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27</w:t>
      </w:r>
      <w:r>
        <w:rPr>
          <w:rFonts w:hint="eastAsia" w:ascii="仿宋" w:hAnsi="仿宋" w:eastAsia="仿宋" w:cs="仿宋"/>
          <w:color w:val="auto"/>
          <w:sz w:val="24"/>
          <w:szCs w:val="24"/>
          <w:highlight w:val="none"/>
        </w:rPr>
        <w:t>.1采购代理机构应按</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规定收取采购代理服务费。</w:t>
      </w:r>
    </w:p>
    <w:p w14:paraId="1C8352E1">
      <w:pPr>
        <w:tabs>
          <w:tab w:val="left" w:pos="420"/>
          <w:tab w:val="left" w:pos="7560"/>
          <w:tab w:val="left" w:pos="7740"/>
          <w:tab w:val="left" w:pos="7920"/>
        </w:tabs>
        <w:adjustRightInd w:val="0"/>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28</w:t>
      </w:r>
      <w:r>
        <w:rPr>
          <w:rFonts w:hint="eastAsia" w:ascii="仿宋" w:hAnsi="仿宋" w:eastAsia="仿宋" w:cs="仿宋"/>
          <w:b/>
          <w:color w:val="auto"/>
          <w:sz w:val="24"/>
          <w:szCs w:val="24"/>
          <w:highlight w:val="none"/>
        </w:rPr>
        <w:t>. 其他规定</w:t>
      </w:r>
    </w:p>
    <w:p w14:paraId="664A007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28</w:t>
      </w:r>
      <w:r>
        <w:rPr>
          <w:rFonts w:hint="eastAsia" w:ascii="仿宋" w:hAnsi="仿宋" w:eastAsia="仿宋" w:cs="仿宋"/>
          <w:color w:val="auto"/>
          <w:sz w:val="24"/>
          <w:szCs w:val="24"/>
          <w:highlight w:val="none"/>
        </w:rPr>
        <w:t>.1采购文件的其他规定见</w:t>
      </w:r>
      <w:r>
        <w:rPr>
          <w:rFonts w:hint="eastAsia" w:ascii="仿宋" w:hAnsi="仿宋" w:eastAsia="仿宋" w:cs="仿宋"/>
          <w:b/>
          <w:color w:val="auto"/>
          <w:sz w:val="24"/>
          <w:szCs w:val="24"/>
          <w:highlight w:val="none"/>
          <w:lang w:eastAsia="zh-CN"/>
        </w:rPr>
        <w:t>磋商须知前附表</w:t>
      </w:r>
      <w:r>
        <w:rPr>
          <w:rFonts w:hint="eastAsia" w:ascii="仿宋" w:hAnsi="仿宋" w:eastAsia="仿宋" w:cs="仿宋"/>
          <w:color w:val="auto"/>
          <w:sz w:val="24"/>
          <w:szCs w:val="24"/>
          <w:highlight w:val="none"/>
        </w:rPr>
        <w:t>。</w:t>
      </w:r>
    </w:p>
    <w:p w14:paraId="074BA074">
      <w:pPr>
        <w:rPr>
          <w:rFonts w:hint="eastAsia" w:ascii="仿宋" w:hAnsi="仿宋" w:eastAsia="仿宋" w:cs="仿宋"/>
          <w:b/>
          <w:bCs/>
          <w:color w:val="auto"/>
          <w:kern w:val="2"/>
          <w:sz w:val="28"/>
          <w:szCs w:val="20"/>
          <w:highlight w:val="none"/>
          <w:lang w:val="en-US" w:eastAsia="zh-CN" w:bidi="ar-SA"/>
        </w:rPr>
      </w:pPr>
      <w:bookmarkStart w:id="25" w:name="_Toc433113176"/>
      <w:bookmarkStart w:id="26" w:name="_Toc420948016"/>
      <w:r>
        <w:rPr>
          <w:rFonts w:hint="eastAsia" w:ascii="仿宋" w:hAnsi="仿宋" w:eastAsia="仿宋" w:cs="仿宋"/>
          <w:b/>
          <w:bCs/>
          <w:color w:val="auto"/>
          <w:kern w:val="2"/>
          <w:sz w:val="28"/>
          <w:szCs w:val="20"/>
          <w:highlight w:val="none"/>
          <w:lang w:val="en-US" w:eastAsia="zh-CN" w:bidi="ar-SA"/>
        </w:rPr>
        <w:br w:type="page"/>
      </w:r>
    </w:p>
    <w:p w14:paraId="67D2DD19">
      <w:pPr>
        <w:pStyle w:val="2"/>
        <w:keepNext/>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Style w:val="65"/>
          <w:rFonts w:hint="eastAsia" w:ascii="仿宋" w:hAnsi="仿宋" w:eastAsia="仿宋" w:cs="仿宋"/>
          <w:b/>
          <w:bCs/>
          <w:color w:val="auto"/>
          <w:highlight w:val="none"/>
          <w:lang w:eastAsia="zh-CN"/>
        </w:rPr>
      </w:pPr>
      <w:bookmarkStart w:id="27" w:name="_Toc21688"/>
      <w:r>
        <w:rPr>
          <w:rFonts w:hint="eastAsia" w:ascii="仿宋" w:hAnsi="仿宋" w:eastAsia="仿宋" w:cs="仿宋"/>
          <w:b/>
          <w:bCs/>
          <w:color w:val="auto"/>
          <w:kern w:val="2"/>
          <w:sz w:val="28"/>
          <w:szCs w:val="20"/>
          <w:highlight w:val="none"/>
          <w:lang w:val="en-US" w:eastAsia="zh-CN" w:bidi="ar-SA"/>
        </w:rPr>
        <w:t xml:space="preserve">第三章  </w:t>
      </w:r>
      <w:r>
        <w:rPr>
          <w:rStyle w:val="65"/>
          <w:rFonts w:hint="eastAsia" w:ascii="仿宋" w:hAnsi="仿宋" w:eastAsia="仿宋" w:cs="仿宋"/>
          <w:b/>
          <w:bCs/>
          <w:color w:val="auto"/>
          <w:highlight w:val="none"/>
          <w:lang w:eastAsia="zh-CN"/>
        </w:rPr>
        <w:t>评标办法</w:t>
      </w:r>
      <w:bookmarkEnd w:id="27"/>
    </w:p>
    <w:p w14:paraId="38B590C1">
      <w:pPr>
        <w:numPr>
          <w:ilvl w:val="0"/>
          <w:numId w:val="0"/>
        </w:numPr>
        <w:rPr>
          <w:rFonts w:hint="eastAsia" w:ascii="仿宋" w:hAnsi="仿宋" w:eastAsia="仿宋" w:cs="仿宋"/>
          <w:color w:val="auto"/>
          <w:highlight w:val="none"/>
          <w:lang w:eastAsia="zh-CN"/>
        </w:rPr>
      </w:pPr>
    </w:p>
    <w:p w14:paraId="49527EBB">
      <w:pPr>
        <w:bidi w:val="0"/>
        <w:spacing w:line="360" w:lineRule="auto"/>
        <w:jc w:val="left"/>
        <w:rPr>
          <w:rFonts w:hint="eastAsia" w:ascii="仿宋" w:hAnsi="仿宋" w:eastAsia="仿宋" w:cs="仿宋"/>
          <w:b/>
          <w:bCs/>
          <w:color w:val="auto"/>
          <w:sz w:val="24"/>
          <w:szCs w:val="24"/>
          <w:highlight w:val="none"/>
        </w:rPr>
      </w:pPr>
      <w:bookmarkStart w:id="28" w:name="_Toc420948013"/>
      <w:r>
        <w:rPr>
          <w:rFonts w:hint="eastAsia" w:ascii="仿宋" w:hAnsi="仿宋" w:eastAsia="仿宋" w:cs="仿宋"/>
          <w:b/>
          <w:bCs/>
          <w:color w:val="auto"/>
          <w:sz w:val="24"/>
          <w:szCs w:val="24"/>
          <w:highlight w:val="none"/>
          <w:lang w:eastAsia="zh-CN"/>
        </w:rPr>
        <w:t>一</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响应文件</w:t>
      </w:r>
      <w:r>
        <w:rPr>
          <w:rFonts w:hint="eastAsia" w:ascii="仿宋" w:hAnsi="仿宋" w:eastAsia="仿宋" w:cs="仿宋"/>
          <w:b/>
          <w:bCs/>
          <w:color w:val="auto"/>
          <w:sz w:val="24"/>
          <w:szCs w:val="24"/>
          <w:highlight w:val="none"/>
        </w:rPr>
        <w:t>的评审</w:t>
      </w:r>
      <w:bookmarkEnd w:id="28"/>
    </w:p>
    <w:p w14:paraId="45BE844A">
      <w:pPr>
        <w:tabs>
          <w:tab w:val="left" w:pos="0"/>
        </w:tabs>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开标程序</w:t>
      </w:r>
    </w:p>
    <w:p w14:paraId="5B34A4E6">
      <w:pPr>
        <w:tabs>
          <w:tab w:val="left" w:pos="0"/>
        </w:tabs>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开标程序：初步审查（资格性审查、符合性审查），澄清</w:t>
      </w:r>
      <w:r>
        <w:rPr>
          <w:rFonts w:hint="eastAsia" w:ascii="仿宋" w:hAnsi="仿宋" w:eastAsia="仿宋" w:cs="仿宋"/>
          <w:color w:val="auto"/>
          <w:kern w:val="0"/>
          <w:sz w:val="24"/>
          <w:szCs w:val="24"/>
          <w:highlight w:val="none"/>
          <w:lang w:eastAsia="zh-CN"/>
        </w:rPr>
        <w:t>（若有）</w:t>
      </w:r>
      <w:r>
        <w:rPr>
          <w:rFonts w:hint="eastAsia" w:ascii="仿宋" w:hAnsi="仿宋" w:eastAsia="仿宋" w:cs="仿宋"/>
          <w:color w:val="auto"/>
          <w:kern w:val="0"/>
          <w:sz w:val="24"/>
          <w:szCs w:val="24"/>
          <w:highlight w:val="none"/>
        </w:rPr>
        <w:t>、磋商、综合评分、推荐候选投标人</w:t>
      </w:r>
      <w:r>
        <w:rPr>
          <w:rFonts w:hint="eastAsia" w:ascii="仿宋" w:hAnsi="仿宋" w:eastAsia="仿宋" w:cs="仿宋"/>
          <w:bCs/>
          <w:color w:val="auto"/>
          <w:sz w:val="24"/>
          <w:szCs w:val="24"/>
          <w:highlight w:val="none"/>
        </w:rPr>
        <w:t>。</w:t>
      </w:r>
    </w:p>
    <w:p w14:paraId="212F4F7A">
      <w:pPr>
        <w:tabs>
          <w:tab w:val="left" w:pos="0"/>
        </w:tabs>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评审小组成员应当按照客观、公正、审慎的原则，根据采购文件规定的评审程序、评审方法和评审标准进行独立评审。</w:t>
      </w:r>
    </w:p>
    <w:p w14:paraId="170435D9">
      <w:pPr>
        <w:tabs>
          <w:tab w:val="left" w:pos="0"/>
        </w:tabs>
        <w:adjustRightInd w:val="0"/>
        <w:snapToGrid w:val="0"/>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初步审查</w:t>
      </w:r>
    </w:p>
    <w:p w14:paraId="74A90C35">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评审小组对参加投标的单位提交的</w:t>
      </w:r>
      <w:r>
        <w:rPr>
          <w:rFonts w:hint="eastAsia" w:ascii="仿宋" w:hAnsi="仿宋" w:eastAsia="仿宋" w:cs="仿宋"/>
          <w:color w:val="auto"/>
          <w:kern w:val="0"/>
          <w:sz w:val="24"/>
          <w:szCs w:val="24"/>
          <w:highlight w:val="none"/>
        </w:rPr>
        <w:t>首次</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进行初步审查。</w:t>
      </w:r>
      <w:r>
        <w:rPr>
          <w:rFonts w:hint="eastAsia" w:ascii="仿宋" w:hAnsi="仿宋" w:eastAsia="仿宋" w:cs="仿宋"/>
          <w:bCs/>
          <w:color w:val="auto"/>
          <w:sz w:val="24"/>
          <w:szCs w:val="24"/>
          <w:highlight w:val="none"/>
          <w:lang w:eastAsia="zh-CN"/>
        </w:rPr>
        <w:t>响应文件</w:t>
      </w:r>
      <w:r>
        <w:rPr>
          <w:rFonts w:hint="eastAsia" w:ascii="仿宋" w:hAnsi="仿宋" w:eastAsia="仿宋" w:cs="仿宋"/>
          <w:bCs/>
          <w:color w:val="auto"/>
          <w:sz w:val="24"/>
          <w:szCs w:val="24"/>
          <w:highlight w:val="none"/>
        </w:rPr>
        <w:t>不符合资格性审查及符合性审查条件的，</w:t>
      </w:r>
      <w:r>
        <w:rPr>
          <w:rFonts w:hint="eastAsia" w:ascii="仿宋" w:hAnsi="仿宋" w:eastAsia="仿宋" w:cs="仿宋"/>
          <w:color w:val="auto"/>
          <w:kern w:val="0"/>
          <w:sz w:val="24"/>
          <w:szCs w:val="24"/>
          <w:highlight w:val="none"/>
          <w:lang w:val="zh-CN"/>
        </w:rPr>
        <w:t>其响应文件无效，</w:t>
      </w:r>
      <w:r>
        <w:rPr>
          <w:rFonts w:hint="eastAsia" w:ascii="仿宋" w:hAnsi="仿宋" w:eastAsia="仿宋" w:cs="仿宋"/>
          <w:color w:val="auto"/>
          <w:kern w:val="0"/>
          <w:sz w:val="24"/>
          <w:szCs w:val="24"/>
          <w:highlight w:val="none"/>
        </w:rPr>
        <w:t>评审小组应当告知有关</w:t>
      </w:r>
      <w:r>
        <w:rPr>
          <w:rFonts w:hint="eastAsia" w:ascii="仿宋" w:hAnsi="仿宋" w:eastAsia="仿宋" w:cs="仿宋"/>
          <w:color w:val="auto"/>
          <w:sz w:val="24"/>
          <w:szCs w:val="24"/>
          <w:highlight w:val="none"/>
        </w:rPr>
        <w:t>磋商单位</w:t>
      </w:r>
      <w:r>
        <w:rPr>
          <w:rFonts w:hint="eastAsia" w:ascii="仿宋" w:hAnsi="仿宋" w:eastAsia="仿宋" w:cs="仿宋"/>
          <w:color w:val="auto"/>
          <w:kern w:val="0"/>
          <w:sz w:val="24"/>
          <w:szCs w:val="24"/>
          <w:highlight w:val="none"/>
        </w:rPr>
        <w:t>。</w:t>
      </w:r>
    </w:p>
    <w:p w14:paraId="1ECDE976">
      <w:pPr>
        <w:tabs>
          <w:tab w:val="left" w:pos="0"/>
        </w:tabs>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资格审查</w:t>
      </w:r>
    </w:p>
    <w:p w14:paraId="70730078">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资格性检查。依据法律法规和采购文件的规定，对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中的资格证明进行审查，以确定投标人是否具备投标资格。</w:t>
      </w:r>
    </w:p>
    <w:p w14:paraId="5F72DAA7">
      <w:pPr>
        <w:pStyle w:val="20"/>
        <w:rPr>
          <w:rFonts w:hint="eastAsia" w:ascii="仿宋" w:hAnsi="仿宋" w:eastAsia="仿宋" w:cs="仿宋"/>
          <w:b/>
          <w:bCs/>
          <w:color w:val="auto"/>
          <w:sz w:val="24"/>
          <w:szCs w:val="24"/>
          <w:highlight w:val="none"/>
        </w:rPr>
      </w:pPr>
    </w:p>
    <w:tbl>
      <w:tblPr>
        <w:tblStyle w:val="47"/>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0"/>
        <w:gridCol w:w="7455"/>
      </w:tblGrid>
      <w:tr w14:paraId="24FC8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50" w:type="dxa"/>
            <w:tcBorders>
              <w:top w:val="single" w:color="auto" w:sz="4" w:space="0"/>
              <w:bottom w:val="single" w:color="auto" w:sz="4" w:space="0"/>
              <w:right w:val="single" w:color="auto" w:sz="4" w:space="0"/>
            </w:tcBorders>
            <w:vAlign w:val="center"/>
          </w:tcPr>
          <w:p w14:paraId="53C71D61">
            <w:pPr>
              <w:spacing w:line="3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7455" w:type="dxa"/>
            <w:tcBorders>
              <w:top w:val="single" w:color="auto" w:sz="4" w:space="0"/>
              <w:left w:val="single" w:color="auto" w:sz="4" w:space="0"/>
              <w:bottom w:val="single" w:color="auto" w:sz="4" w:space="0"/>
              <w:right w:val="single" w:color="auto" w:sz="4" w:space="0"/>
            </w:tcBorders>
            <w:vAlign w:val="center"/>
          </w:tcPr>
          <w:p w14:paraId="166468A8">
            <w:pPr>
              <w:spacing w:line="3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评审因素</w:t>
            </w:r>
          </w:p>
        </w:tc>
      </w:tr>
      <w:tr w14:paraId="2A93E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1050" w:type="dxa"/>
            <w:vMerge w:val="restart"/>
            <w:tcBorders>
              <w:top w:val="single" w:color="auto" w:sz="4" w:space="0"/>
              <w:right w:val="single" w:color="auto" w:sz="4" w:space="0"/>
            </w:tcBorders>
            <w:vAlign w:val="center"/>
          </w:tcPr>
          <w:p w14:paraId="3F080595">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资格性检查</w:t>
            </w:r>
          </w:p>
        </w:tc>
        <w:tc>
          <w:tcPr>
            <w:tcW w:w="7455" w:type="dxa"/>
            <w:tcBorders>
              <w:top w:val="single" w:color="auto" w:sz="4" w:space="0"/>
              <w:left w:val="single" w:color="auto" w:sz="4" w:space="0"/>
              <w:bottom w:val="single" w:color="auto" w:sz="4" w:space="0"/>
              <w:right w:val="single" w:color="auto" w:sz="4" w:space="0"/>
            </w:tcBorders>
            <w:vAlign w:val="center"/>
          </w:tcPr>
          <w:p w14:paraId="5581EDD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1、符合《中华人民共和国政府采购法》第二十二条规定：</w:t>
            </w:r>
          </w:p>
          <w:p w14:paraId="0719863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有效的营业执照复印件或其他证明材料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5EA3BC43">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具有良好的商业信誉和健全的财务会计制度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val="en-US" w:eastAsia="zh-CN"/>
              </w:rPr>
              <w:t>2024年度或2025年度</w:t>
            </w:r>
            <w:r>
              <w:rPr>
                <w:rFonts w:hint="eastAsia" w:ascii="仿宋" w:hAnsi="仿宋" w:eastAsia="仿宋" w:cs="仿宋"/>
                <w:color w:val="auto"/>
                <w:sz w:val="24"/>
                <w:szCs w:val="24"/>
                <w:highlight w:val="none"/>
              </w:rPr>
              <w:t>经审计财务审计报告或</w:t>
            </w:r>
            <w:r>
              <w:rPr>
                <w:rFonts w:hint="eastAsia" w:ascii="仿宋" w:hAnsi="仿宋" w:eastAsia="仿宋" w:cs="仿宋"/>
                <w:color w:val="auto"/>
                <w:sz w:val="24"/>
                <w:szCs w:val="24"/>
                <w:highlight w:val="none"/>
                <w:lang w:eastAsia="zh-CN"/>
              </w:rPr>
              <w:t>开标前</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个月内基本开户银行出具的资信证明；成立不满一年</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企业提供财务报表或开标前近</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个月内基本开户银行出具的资信证明</w:t>
            </w:r>
            <w:r>
              <w:rPr>
                <w:rFonts w:hint="eastAsia" w:ascii="仿宋" w:hAnsi="仿宋" w:eastAsia="仿宋" w:cs="仿宋"/>
                <w:color w:val="auto"/>
                <w:sz w:val="24"/>
                <w:szCs w:val="24"/>
                <w:highlight w:val="none"/>
                <w:lang w:eastAsia="zh-CN"/>
              </w:rPr>
              <w:t>）</w:t>
            </w:r>
          </w:p>
          <w:p w14:paraId="330BA2F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具有履行合同所必需的设备和专业技术能力</w:t>
            </w:r>
            <w:r>
              <w:rPr>
                <w:rFonts w:hint="eastAsia" w:ascii="仿宋" w:hAnsi="仿宋" w:eastAsia="仿宋" w:cs="仿宋"/>
                <w:color w:val="auto"/>
                <w:sz w:val="24"/>
                <w:szCs w:val="24"/>
                <w:highlight w:val="none"/>
                <w:lang w:eastAsia="zh-CN"/>
              </w:rPr>
              <w:t>（提供承诺函）</w:t>
            </w:r>
            <w:r>
              <w:rPr>
                <w:rFonts w:hint="eastAsia" w:ascii="仿宋" w:hAnsi="仿宋" w:eastAsia="仿宋" w:cs="仿宋"/>
                <w:color w:val="auto"/>
                <w:sz w:val="24"/>
                <w:szCs w:val="24"/>
                <w:highlight w:val="none"/>
              </w:rPr>
              <w:t>；</w:t>
            </w:r>
          </w:p>
          <w:p w14:paraId="7381A8A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具有依法缴纳税收和社会保障资金的良好记录</w:t>
            </w:r>
            <w:r>
              <w:rPr>
                <w:rFonts w:hint="eastAsia" w:ascii="仿宋" w:hAnsi="仿宋" w:eastAsia="仿宋" w:cs="仿宋"/>
                <w:color w:val="auto"/>
                <w:sz w:val="24"/>
                <w:szCs w:val="24"/>
                <w:highlight w:val="none"/>
                <w:lang w:eastAsia="zh-CN"/>
              </w:rPr>
              <w:t>（提供开标前半年任意一</w:t>
            </w:r>
            <w:r>
              <w:rPr>
                <w:rFonts w:hint="eastAsia" w:ascii="仿宋" w:hAnsi="仿宋" w:eastAsia="仿宋" w:cs="仿宋"/>
                <w:color w:val="auto"/>
                <w:sz w:val="24"/>
                <w:szCs w:val="24"/>
                <w:highlight w:val="none"/>
              </w:rPr>
              <w:t>个月依法缴纳税收证明</w:t>
            </w:r>
            <w:r>
              <w:rPr>
                <w:rFonts w:hint="eastAsia" w:ascii="仿宋" w:hAnsi="仿宋" w:eastAsia="仿宋" w:cs="仿宋"/>
                <w:b/>
                <w:bCs/>
                <w:color w:val="auto"/>
                <w:sz w:val="24"/>
                <w:szCs w:val="24"/>
                <w:highlight w:val="none"/>
                <w:lang w:eastAsia="zh-CN"/>
              </w:rPr>
              <w:t>及</w:t>
            </w:r>
            <w:r>
              <w:rPr>
                <w:rFonts w:hint="eastAsia" w:ascii="仿宋" w:hAnsi="仿宋" w:eastAsia="仿宋" w:cs="仿宋"/>
                <w:b w:val="0"/>
                <w:bCs w:val="0"/>
                <w:color w:val="auto"/>
                <w:sz w:val="24"/>
                <w:szCs w:val="24"/>
                <w:highlight w:val="none"/>
              </w:rPr>
              <w:t>社</w:t>
            </w:r>
            <w:r>
              <w:rPr>
                <w:rFonts w:hint="eastAsia" w:ascii="仿宋" w:hAnsi="仿宋" w:eastAsia="仿宋" w:cs="仿宋"/>
                <w:color w:val="auto"/>
                <w:sz w:val="24"/>
                <w:szCs w:val="24"/>
                <w:highlight w:val="none"/>
              </w:rPr>
              <w:t>保机构出具的</w:t>
            </w:r>
            <w:r>
              <w:rPr>
                <w:rFonts w:hint="eastAsia" w:ascii="仿宋" w:hAnsi="仿宋" w:eastAsia="仿宋" w:cs="仿宋"/>
                <w:color w:val="auto"/>
                <w:sz w:val="24"/>
                <w:szCs w:val="24"/>
                <w:highlight w:val="none"/>
                <w:lang w:eastAsia="zh-CN"/>
              </w:rPr>
              <w:t>开标前半年任意一</w:t>
            </w:r>
            <w:r>
              <w:rPr>
                <w:rFonts w:hint="eastAsia" w:ascii="仿宋" w:hAnsi="仿宋" w:eastAsia="仿宋" w:cs="仿宋"/>
                <w:color w:val="auto"/>
                <w:sz w:val="24"/>
                <w:szCs w:val="24"/>
                <w:highlight w:val="none"/>
              </w:rPr>
              <w:t>个月社保缴纳证明（成立不足</w:t>
            </w:r>
            <w:r>
              <w:rPr>
                <w:rFonts w:hint="eastAsia" w:ascii="仿宋" w:hAnsi="仿宋" w:eastAsia="仿宋" w:cs="仿宋"/>
                <w:color w:val="auto"/>
                <w:sz w:val="24"/>
                <w:szCs w:val="24"/>
                <w:highlight w:val="none"/>
                <w:lang w:eastAsia="zh-CN"/>
              </w:rPr>
              <w:t>六</w:t>
            </w:r>
            <w:r>
              <w:rPr>
                <w:rFonts w:hint="eastAsia" w:ascii="仿宋" w:hAnsi="仿宋" w:eastAsia="仿宋" w:cs="仿宋"/>
                <w:color w:val="auto"/>
                <w:sz w:val="24"/>
                <w:szCs w:val="24"/>
                <w:highlight w:val="none"/>
              </w:rPr>
              <w:t>个月的按实际时间提供）</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126EE76B">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）参加政府采购活动前三年内，在</w:t>
            </w:r>
            <w:r>
              <w:rPr>
                <w:rFonts w:hint="eastAsia" w:ascii="仿宋" w:hAnsi="仿宋" w:eastAsia="仿宋" w:cs="仿宋"/>
                <w:color w:val="auto"/>
                <w:sz w:val="24"/>
                <w:szCs w:val="24"/>
                <w:highlight w:val="none"/>
              </w:rPr>
              <w:t>经营活动中没有重大违法记录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提供承诺函，格式自拟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tc>
      </w:tr>
      <w:tr w14:paraId="5B499E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1050" w:type="dxa"/>
            <w:vMerge w:val="continue"/>
            <w:tcBorders>
              <w:right w:val="single" w:color="auto" w:sz="4" w:space="0"/>
            </w:tcBorders>
            <w:vAlign w:val="center"/>
          </w:tcPr>
          <w:p w14:paraId="5A39B331">
            <w:pPr>
              <w:spacing w:line="360" w:lineRule="exact"/>
              <w:jc w:val="center"/>
              <w:rPr>
                <w:rFonts w:hint="eastAsia" w:ascii="仿宋" w:hAnsi="仿宋" w:eastAsia="仿宋" w:cs="仿宋"/>
                <w:color w:val="auto"/>
                <w:sz w:val="24"/>
                <w:szCs w:val="24"/>
                <w:highlight w:val="none"/>
              </w:rPr>
            </w:pPr>
          </w:p>
        </w:tc>
        <w:tc>
          <w:tcPr>
            <w:tcW w:w="7455" w:type="dxa"/>
            <w:tcBorders>
              <w:top w:val="single" w:color="auto" w:sz="4" w:space="0"/>
              <w:left w:val="single" w:color="auto" w:sz="4" w:space="0"/>
              <w:bottom w:val="single" w:color="auto" w:sz="4" w:space="0"/>
              <w:right w:val="single" w:color="auto" w:sz="4" w:space="0"/>
            </w:tcBorders>
            <w:vAlign w:val="center"/>
          </w:tcPr>
          <w:p w14:paraId="6C5C104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2、供应商应为小微企业（提供中小企业声明函）</w:t>
            </w:r>
          </w:p>
        </w:tc>
      </w:tr>
      <w:tr w14:paraId="0F314B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1050" w:type="dxa"/>
            <w:vMerge w:val="continue"/>
            <w:tcBorders>
              <w:right w:val="single" w:color="auto" w:sz="4" w:space="0"/>
            </w:tcBorders>
            <w:vAlign w:val="center"/>
          </w:tcPr>
          <w:p w14:paraId="0A5D06EB">
            <w:pPr>
              <w:spacing w:line="360" w:lineRule="exact"/>
              <w:jc w:val="center"/>
              <w:rPr>
                <w:rFonts w:hint="eastAsia" w:ascii="仿宋" w:hAnsi="仿宋" w:eastAsia="仿宋" w:cs="仿宋"/>
                <w:color w:val="auto"/>
                <w:sz w:val="24"/>
                <w:szCs w:val="24"/>
                <w:highlight w:val="none"/>
              </w:rPr>
            </w:pPr>
          </w:p>
        </w:tc>
        <w:tc>
          <w:tcPr>
            <w:tcW w:w="7455" w:type="dxa"/>
            <w:tcBorders>
              <w:top w:val="single" w:color="auto" w:sz="4" w:space="0"/>
              <w:left w:val="single" w:color="auto" w:sz="4" w:space="0"/>
              <w:bottom w:val="single" w:color="auto" w:sz="4" w:space="0"/>
              <w:right w:val="single" w:color="auto" w:sz="4" w:space="0"/>
            </w:tcBorders>
            <w:vAlign w:val="center"/>
          </w:tcPr>
          <w:p w14:paraId="0B3A33C3">
            <w:pPr>
              <w:spacing w:line="3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投标人不存在第二章投标须知正文3.2项规定</w:t>
            </w:r>
            <w:r>
              <w:rPr>
                <w:rFonts w:hint="eastAsia" w:ascii="仿宋" w:hAnsi="仿宋" w:eastAsia="仿宋" w:cs="仿宋"/>
                <w:color w:val="auto"/>
                <w:kern w:val="0"/>
                <w:sz w:val="24"/>
                <w:szCs w:val="24"/>
                <w:highlight w:val="none"/>
                <w:lang w:eastAsia="zh-CN"/>
              </w:rPr>
              <w:t>（提供承诺函）</w:t>
            </w:r>
          </w:p>
        </w:tc>
      </w:tr>
      <w:tr w14:paraId="2E94C4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50" w:type="dxa"/>
            <w:tcBorders>
              <w:top w:val="single" w:color="auto" w:sz="4" w:space="0"/>
              <w:bottom w:val="single" w:color="auto" w:sz="4" w:space="0"/>
              <w:right w:val="single" w:color="auto" w:sz="4" w:space="0"/>
            </w:tcBorders>
            <w:vAlign w:val="center"/>
          </w:tcPr>
          <w:p w14:paraId="2C33D05D">
            <w:pPr>
              <w:spacing w:line="3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结论</w:t>
            </w:r>
          </w:p>
        </w:tc>
        <w:tc>
          <w:tcPr>
            <w:tcW w:w="7455" w:type="dxa"/>
            <w:tcBorders>
              <w:top w:val="single" w:color="auto" w:sz="4" w:space="0"/>
              <w:left w:val="single" w:color="auto" w:sz="4" w:space="0"/>
              <w:bottom w:val="single" w:color="auto" w:sz="4" w:space="0"/>
              <w:right w:val="single" w:color="auto" w:sz="4" w:space="0"/>
            </w:tcBorders>
            <w:vAlign w:val="center"/>
          </w:tcPr>
          <w:p w14:paraId="17437914">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是否通过审查，进入下一阶段</w:t>
            </w:r>
          </w:p>
        </w:tc>
      </w:tr>
      <w:tr w14:paraId="252073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505" w:type="dxa"/>
            <w:gridSpan w:val="2"/>
            <w:tcBorders>
              <w:top w:val="single" w:color="auto" w:sz="4" w:space="0"/>
              <w:right w:val="single" w:color="auto" w:sz="4" w:space="0"/>
            </w:tcBorders>
            <w:vAlign w:val="center"/>
          </w:tcPr>
          <w:p w14:paraId="7E3C70E1">
            <w:pPr>
              <w:tabs>
                <w:tab w:val="left" w:pos="0"/>
              </w:tabs>
              <w:adjustRightInd w:val="0"/>
              <w:snapToGrid w:val="0"/>
              <w:spacing w:line="3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1）“是否通过并进入下一阶段评审”一栏应写“通过”或“不通过”。</w:t>
            </w:r>
          </w:p>
          <w:p w14:paraId="0592485C">
            <w:pPr>
              <w:tabs>
                <w:tab w:val="left" w:pos="0"/>
              </w:tabs>
              <w:adjustRightInd w:val="0"/>
              <w:snapToGrid w:val="0"/>
              <w:spacing w:line="3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2）出现一个“×”的结论为“不通过”。表中全部为“√”，同意进入下一阶段评审。</w:t>
            </w:r>
          </w:p>
          <w:p w14:paraId="7E1FCDB2">
            <w:pPr>
              <w:spacing w:line="36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3）若审查组成员意见不一致时，则按少数服从多数的原则，由全部成员投票决定该投标人是否通过审查，进入下一阶段评审。</w:t>
            </w:r>
          </w:p>
        </w:tc>
      </w:tr>
    </w:tbl>
    <w:p w14:paraId="7EAD2A6B">
      <w:pPr>
        <w:pStyle w:val="26"/>
        <w:adjustRightInd w:val="0"/>
        <w:snapToGrid w:val="0"/>
        <w:spacing w:line="360" w:lineRule="auto"/>
        <w:rPr>
          <w:rFonts w:hint="eastAsia" w:ascii="仿宋" w:hAnsi="仿宋" w:eastAsia="仿宋" w:cs="仿宋"/>
          <w:b/>
          <w:color w:val="auto"/>
          <w:kern w:val="0"/>
          <w:sz w:val="24"/>
          <w:szCs w:val="24"/>
          <w:highlight w:val="none"/>
        </w:rPr>
      </w:pPr>
    </w:p>
    <w:p w14:paraId="4FA52B7F">
      <w:pPr>
        <w:tabs>
          <w:tab w:val="left" w:pos="0"/>
        </w:tabs>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符合性审查</w:t>
      </w:r>
    </w:p>
    <w:p w14:paraId="4FFC4681">
      <w:pPr>
        <w:pStyle w:val="26"/>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依据采购文件的规定，从</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 xml:space="preserve">的有效性、完整性和对采购文件的响应程度进行审查，以确定是否对采购文件的实质性要求作出响应 </w:t>
      </w:r>
      <w:r>
        <w:rPr>
          <w:rFonts w:hint="eastAsia" w:ascii="仿宋" w:hAnsi="仿宋" w:eastAsia="仿宋" w:cs="仿宋"/>
          <w:color w:val="auto"/>
          <w:kern w:val="0"/>
          <w:sz w:val="24"/>
          <w:szCs w:val="24"/>
          <w:highlight w:val="none"/>
        </w:rPr>
        <w:t>(包括首次</w:t>
      </w:r>
      <w:r>
        <w:rPr>
          <w:rFonts w:hint="eastAsia" w:ascii="仿宋" w:hAnsi="仿宋" w:eastAsia="仿宋" w:cs="仿宋"/>
          <w:color w:val="auto"/>
          <w:sz w:val="24"/>
          <w:szCs w:val="24"/>
          <w:highlight w:val="none"/>
        </w:rPr>
        <w:t>提交的</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、重新提交的</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w:t>
      </w:r>
    </w:p>
    <w:tbl>
      <w:tblPr>
        <w:tblStyle w:val="47"/>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7561"/>
      </w:tblGrid>
      <w:tr w14:paraId="5B17D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944" w:type="dxa"/>
            <w:tcBorders>
              <w:top w:val="single" w:color="auto" w:sz="4" w:space="0"/>
              <w:bottom w:val="single" w:color="auto" w:sz="4" w:space="0"/>
              <w:right w:val="single" w:color="auto" w:sz="4" w:space="0"/>
            </w:tcBorders>
            <w:vAlign w:val="center"/>
          </w:tcPr>
          <w:p w14:paraId="497427E9">
            <w:pPr>
              <w:spacing w:line="3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7561" w:type="dxa"/>
            <w:tcBorders>
              <w:top w:val="single" w:color="auto" w:sz="4" w:space="0"/>
              <w:left w:val="single" w:color="auto" w:sz="4" w:space="0"/>
              <w:bottom w:val="single" w:color="auto" w:sz="4" w:space="0"/>
              <w:right w:val="single" w:color="auto" w:sz="4" w:space="0"/>
            </w:tcBorders>
            <w:vAlign w:val="center"/>
          </w:tcPr>
          <w:p w14:paraId="25E60C5F">
            <w:pPr>
              <w:spacing w:line="3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评审因素</w:t>
            </w:r>
          </w:p>
        </w:tc>
      </w:tr>
      <w:tr w14:paraId="3635F0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restart"/>
            <w:tcBorders>
              <w:top w:val="single" w:color="auto" w:sz="4" w:space="0"/>
              <w:right w:val="single" w:color="auto" w:sz="4" w:space="0"/>
            </w:tcBorders>
            <w:vAlign w:val="center"/>
          </w:tcPr>
          <w:p w14:paraId="5DC0AC01">
            <w:pPr>
              <w:spacing w:line="3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符合性检查</w:t>
            </w:r>
          </w:p>
        </w:tc>
        <w:tc>
          <w:tcPr>
            <w:tcW w:w="7561" w:type="dxa"/>
            <w:tcBorders>
              <w:top w:val="single" w:color="auto" w:sz="4" w:space="0"/>
              <w:left w:val="single" w:color="auto" w:sz="4" w:space="0"/>
              <w:bottom w:val="single" w:color="auto" w:sz="4" w:space="0"/>
              <w:right w:val="single" w:color="auto" w:sz="4" w:space="0"/>
            </w:tcBorders>
            <w:vAlign w:val="center"/>
          </w:tcPr>
          <w:p w14:paraId="61CE85DA">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按照采购文件规定的内容、格式填写，字迹清晰可辨</w:t>
            </w:r>
          </w:p>
        </w:tc>
      </w:tr>
      <w:tr w14:paraId="15D57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41CA42E0">
            <w:pPr>
              <w:spacing w:line="360" w:lineRule="exact"/>
              <w:jc w:val="center"/>
              <w:rPr>
                <w:rFonts w:hint="eastAsia" w:ascii="仿宋" w:hAnsi="仿宋" w:eastAsia="仿宋" w:cs="仿宋"/>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tcPr>
          <w:p w14:paraId="144D887B">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提供法定代表人授权委托书或提供法定代表人身份证明</w:t>
            </w:r>
          </w:p>
        </w:tc>
      </w:tr>
      <w:tr w14:paraId="604B17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538AA905">
            <w:pPr>
              <w:spacing w:line="360" w:lineRule="exact"/>
              <w:jc w:val="center"/>
              <w:rPr>
                <w:rFonts w:hint="eastAsia" w:ascii="仿宋" w:hAnsi="仿宋" w:eastAsia="仿宋" w:cs="仿宋"/>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2D8598FB">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上法定代表人或其授权代理人的签字、投标人的单位章齐全符合采购文件规定</w:t>
            </w:r>
          </w:p>
        </w:tc>
      </w:tr>
      <w:tr w14:paraId="3336B7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477F5522">
            <w:pPr>
              <w:spacing w:line="360" w:lineRule="exact"/>
              <w:jc w:val="center"/>
              <w:rPr>
                <w:rFonts w:hint="eastAsia" w:ascii="仿宋" w:hAnsi="仿宋" w:eastAsia="仿宋" w:cs="仿宋"/>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582A525D">
            <w:pPr>
              <w:spacing w:line="3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4、按规定交纳</w:t>
            </w:r>
            <w:r>
              <w:rPr>
                <w:rFonts w:hint="eastAsia" w:ascii="仿宋" w:hAnsi="仿宋" w:eastAsia="仿宋" w:cs="仿宋"/>
                <w:color w:val="auto"/>
                <w:sz w:val="24"/>
                <w:szCs w:val="24"/>
                <w:highlight w:val="none"/>
                <w:lang w:eastAsia="zh-CN"/>
              </w:rPr>
              <w:t>磋商保证金</w:t>
            </w:r>
          </w:p>
        </w:tc>
      </w:tr>
      <w:tr w14:paraId="0CB102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07A1B16D">
            <w:pPr>
              <w:spacing w:line="360" w:lineRule="exact"/>
              <w:jc w:val="center"/>
              <w:rPr>
                <w:rFonts w:hint="eastAsia" w:ascii="仿宋" w:hAnsi="仿宋" w:eastAsia="仿宋" w:cs="仿宋"/>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41B7B5FA">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承诺响应有效期满足采购文件要求</w:t>
            </w:r>
          </w:p>
        </w:tc>
      </w:tr>
      <w:tr w14:paraId="72CE41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3C091093">
            <w:pPr>
              <w:spacing w:line="360" w:lineRule="exact"/>
              <w:jc w:val="center"/>
              <w:rPr>
                <w:rFonts w:hint="eastAsia" w:ascii="仿宋" w:hAnsi="仿宋" w:eastAsia="仿宋" w:cs="仿宋"/>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4BB02E3A">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6、报价具有唯一性，未超过采购项目预算</w:t>
            </w:r>
          </w:p>
        </w:tc>
      </w:tr>
      <w:tr w14:paraId="6666A0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0360F9AE">
            <w:pPr>
              <w:spacing w:line="360" w:lineRule="exact"/>
              <w:jc w:val="center"/>
              <w:rPr>
                <w:rFonts w:hint="eastAsia" w:ascii="仿宋" w:hAnsi="仿宋" w:eastAsia="仿宋" w:cs="仿宋"/>
                <w:color w:val="auto"/>
                <w:sz w:val="24"/>
                <w:szCs w:val="24"/>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5A30E5DB">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未附有采购人不能接受的条件或不符合采购文件的其他要求</w:t>
            </w:r>
          </w:p>
        </w:tc>
      </w:tr>
      <w:tr w14:paraId="6C815D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tcBorders>
              <w:top w:val="single" w:color="auto" w:sz="4" w:space="0"/>
              <w:bottom w:val="single" w:color="auto" w:sz="4" w:space="0"/>
              <w:right w:val="single" w:color="auto" w:sz="4" w:space="0"/>
            </w:tcBorders>
            <w:vAlign w:val="center"/>
          </w:tcPr>
          <w:p w14:paraId="1AD4118D">
            <w:pPr>
              <w:spacing w:line="3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结论</w:t>
            </w:r>
          </w:p>
        </w:tc>
        <w:tc>
          <w:tcPr>
            <w:tcW w:w="7561" w:type="dxa"/>
            <w:tcBorders>
              <w:top w:val="single" w:color="auto" w:sz="4" w:space="0"/>
              <w:left w:val="single" w:color="auto" w:sz="4" w:space="0"/>
              <w:bottom w:val="single" w:color="auto" w:sz="4" w:space="0"/>
              <w:right w:val="single" w:color="auto" w:sz="4" w:space="0"/>
            </w:tcBorders>
            <w:vAlign w:val="center"/>
          </w:tcPr>
          <w:p w14:paraId="276B80AF">
            <w:pPr>
              <w:spacing w:line="3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是否通过审查，进入下一阶段</w:t>
            </w:r>
          </w:p>
        </w:tc>
      </w:tr>
      <w:tr w14:paraId="4E681B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505" w:type="dxa"/>
            <w:gridSpan w:val="2"/>
            <w:tcBorders>
              <w:top w:val="single" w:color="auto" w:sz="4" w:space="0"/>
              <w:right w:val="single" w:color="auto" w:sz="4" w:space="0"/>
            </w:tcBorders>
            <w:vAlign w:val="center"/>
          </w:tcPr>
          <w:p w14:paraId="43080627">
            <w:pPr>
              <w:tabs>
                <w:tab w:val="left" w:pos="0"/>
              </w:tabs>
              <w:adjustRightInd w:val="0"/>
              <w:snapToGrid w:val="0"/>
              <w:spacing w:line="3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1）“是否通过并进入下一阶段评审”一栏应写“通过”或“不通过”。</w:t>
            </w:r>
          </w:p>
          <w:p w14:paraId="499D6F0E">
            <w:pPr>
              <w:tabs>
                <w:tab w:val="left" w:pos="0"/>
              </w:tabs>
              <w:adjustRightInd w:val="0"/>
              <w:snapToGrid w:val="0"/>
              <w:spacing w:line="3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2）出现一个“×”的结论为“不通过”。表中全部为“√”，同意进入下一阶段评审。</w:t>
            </w:r>
          </w:p>
          <w:p w14:paraId="1FF4A592">
            <w:pPr>
              <w:spacing w:line="36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3）若专家意见不一致时，则按少数服从多数的原则，由专家投票决定该投标人是否通过审查，进入下一阶段评审。</w:t>
            </w:r>
          </w:p>
        </w:tc>
      </w:tr>
    </w:tbl>
    <w:p w14:paraId="091E81EC">
      <w:pPr>
        <w:tabs>
          <w:tab w:val="left" w:pos="0"/>
          <w:tab w:val="left" w:pos="7560"/>
          <w:tab w:val="left" w:pos="7740"/>
          <w:tab w:val="left" w:pos="7920"/>
        </w:tabs>
        <w:adjustRightInd w:val="0"/>
        <w:snapToGrid w:val="0"/>
        <w:spacing w:line="360" w:lineRule="auto"/>
        <w:ind w:right="23" w:rightChars="11"/>
        <w:rPr>
          <w:rFonts w:hint="eastAsia" w:ascii="仿宋" w:hAnsi="仿宋" w:eastAsia="仿宋" w:cs="仿宋"/>
          <w:b/>
          <w:color w:val="auto"/>
          <w:kern w:val="0"/>
          <w:sz w:val="24"/>
          <w:szCs w:val="24"/>
          <w:highlight w:val="none"/>
        </w:rPr>
      </w:pPr>
    </w:p>
    <w:p w14:paraId="5559E858">
      <w:pPr>
        <w:tabs>
          <w:tab w:val="left" w:pos="0"/>
          <w:tab w:val="left" w:pos="7560"/>
          <w:tab w:val="left" w:pos="7740"/>
          <w:tab w:val="left" w:pos="7920"/>
        </w:tabs>
        <w:adjustRightInd w:val="0"/>
        <w:snapToGrid w:val="0"/>
        <w:spacing w:line="360" w:lineRule="auto"/>
        <w:ind w:right="23" w:rightChars="11"/>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澄清</w:t>
      </w:r>
    </w:p>
    <w:p w14:paraId="6311D799">
      <w:pPr>
        <w:widowControl/>
        <w:adjustRightInd w:val="0"/>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评审小组在对</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(包括首次</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、重新提交的</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)的有效性、完整性和对采购文件的响应程度进行审查时，可以要求</w:t>
      </w:r>
      <w:r>
        <w:rPr>
          <w:rFonts w:hint="eastAsia" w:ascii="仿宋" w:hAnsi="仿宋" w:eastAsia="仿宋" w:cs="仿宋"/>
          <w:color w:val="auto"/>
          <w:sz w:val="24"/>
          <w:szCs w:val="24"/>
          <w:highlight w:val="none"/>
        </w:rPr>
        <w:t>投标人</w:t>
      </w:r>
      <w:r>
        <w:rPr>
          <w:rFonts w:hint="eastAsia" w:ascii="仿宋" w:hAnsi="仿宋" w:eastAsia="仿宋" w:cs="仿宋"/>
          <w:color w:val="auto"/>
          <w:kern w:val="0"/>
          <w:sz w:val="24"/>
          <w:szCs w:val="24"/>
          <w:highlight w:val="none"/>
        </w:rPr>
        <w:t>对</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中含义不明确、同类问题表述不一致或者有明显文字和计算错误的内容等作出必要的澄清、说明或者更正。该要求应当以书面形式作出。投标人的澄清、说明或者更正不得超出</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的范围或者改变</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的实质性内容。</w:t>
      </w:r>
      <w:r>
        <w:rPr>
          <w:rFonts w:hint="eastAsia" w:ascii="仿宋" w:hAnsi="仿宋" w:eastAsia="仿宋" w:cs="仿宋"/>
          <w:color w:val="auto"/>
          <w:sz w:val="24"/>
          <w:szCs w:val="24"/>
          <w:highlight w:val="none"/>
        </w:rPr>
        <w:t>投标人</w:t>
      </w:r>
      <w:r>
        <w:rPr>
          <w:rFonts w:hint="eastAsia" w:ascii="仿宋" w:hAnsi="仿宋" w:eastAsia="仿宋" w:cs="仿宋"/>
          <w:color w:val="auto"/>
          <w:kern w:val="0"/>
          <w:sz w:val="24"/>
          <w:szCs w:val="24"/>
          <w:highlight w:val="none"/>
        </w:rPr>
        <w:t>的澄清、说明或者更正应当采用书面形式，由其法定代表人或其委托代理人签字，</w:t>
      </w:r>
      <w:r>
        <w:rPr>
          <w:rFonts w:hint="eastAsia" w:ascii="仿宋" w:hAnsi="仿宋" w:eastAsia="仿宋" w:cs="仿宋"/>
          <w:color w:val="auto"/>
          <w:sz w:val="24"/>
          <w:szCs w:val="24"/>
          <w:highlight w:val="none"/>
        </w:rPr>
        <w:t>投标人</w:t>
      </w:r>
      <w:r>
        <w:rPr>
          <w:rFonts w:hint="eastAsia" w:ascii="仿宋" w:hAnsi="仿宋" w:eastAsia="仿宋" w:cs="仿宋"/>
          <w:color w:val="auto"/>
          <w:kern w:val="0"/>
          <w:sz w:val="24"/>
          <w:szCs w:val="24"/>
          <w:highlight w:val="none"/>
        </w:rPr>
        <w:t>的澄清、说明或者更正不得超出</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的范围或者改变</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的实质性内容。</w:t>
      </w:r>
    </w:p>
    <w:p w14:paraId="1F5FB581">
      <w:pPr>
        <w:widowControl/>
        <w:adjustRightInd w:val="0"/>
        <w:snapToGrid w:val="0"/>
        <w:spacing w:line="360" w:lineRule="auto"/>
        <w:ind w:firstLine="420"/>
        <w:jc w:val="left"/>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szCs w:val="24"/>
          <w:highlight w:val="none"/>
        </w:rPr>
        <w:t>报价计算错误修正的原则：报价的大写金额和小写金额不一致的，以大写金额为准；</w:t>
      </w:r>
      <w:r>
        <w:rPr>
          <w:rFonts w:hint="eastAsia" w:ascii="仿宋" w:hAnsi="仿宋" w:eastAsia="仿宋" w:cs="仿宋"/>
          <w:color w:val="auto"/>
          <w:sz w:val="24"/>
          <w:szCs w:val="24"/>
          <w:highlight w:val="none"/>
        </w:rPr>
        <w:t>总价金额与按单价汇总金额不一致的，以单价金额计算结果为准；单价金额小数点有明显错位的，应以总价为准，并修改单价。若投标人拒绝接受上述修正，在评审时将其视为无效响应</w:t>
      </w:r>
      <w:r>
        <w:rPr>
          <w:rFonts w:hint="eastAsia" w:ascii="仿宋" w:hAnsi="仿宋" w:eastAsia="仿宋" w:cs="仿宋"/>
          <w:color w:val="auto"/>
          <w:kern w:val="0"/>
          <w:sz w:val="24"/>
          <w:szCs w:val="24"/>
          <w:highlight w:val="none"/>
        </w:rPr>
        <w:t>。</w:t>
      </w:r>
    </w:p>
    <w:p w14:paraId="703A4A9F">
      <w:pPr>
        <w:widowControl/>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综合评分</w:t>
      </w:r>
    </w:p>
    <w:p w14:paraId="2D7909D5">
      <w:pPr>
        <w:adjustRightInd w:val="0"/>
        <w:snapToGrid w:val="0"/>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经确定</w:t>
      </w:r>
      <w:r>
        <w:rPr>
          <w:rFonts w:hint="eastAsia" w:ascii="仿宋" w:hAnsi="仿宋" w:eastAsia="仿宋" w:cs="仿宋"/>
          <w:bCs/>
          <w:color w:val="auto"/>
          <w:kern w:val="0"/>
          <w:sz w:val="24"/>
          <w:szCs w:val="24"/>
          <w:highlight w:val="none"/>
        </w:rPr>
        <w:t>最终采购需求和提交最后报价的投标人后，由评审小组采用综合评分法对提交最后报价的投标人的</w:t>
      </w:r>
      <w:r>
        <w:rPr>
          <w:rFonts w:hint="eastAsia" w:ascii="仿宋" w:hAnsi="仿宋" w:eastAsia="仿宋" w:cs="仿宋"/>
          <w:bCs/>
          <w:color w:val="auto"/>
          <w:kern w:val="0"/>
          <w:sz w:val="24"/>
          <w:szCs w:val="24"/>
          <w:highlight w:val="none"/>
          <w:lang w:eastAsia="zh-CN"/>
        </w:rPr>
        <w:t>响应文件</w:t>
      </w:r>
      <w:r>
        <w:rPr>
          <w:rFonts w:hint="eastAsia" w:ascii="仿宋" w:hAnsi="仿宋" w:eastAsia="仿宋" w:cs="仿宋"/>
          <w:bCs/>
          <w:color w:val="auto"/>
          <w:kern w:val="0"/>
          <w:sz w:val="24"/>
          <w:szCs w:val="24"/>
          <w:highlight w:val="none"/>
        </w:rPr>
        <w:t>和最后报价进行综合评分。</w:t>
      </w:r>
    </w:p>
    <w:p w14:paraId="352E0572">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综合评分法，是指</w:t>
      </w:r>
      <w:r>
        <w:rPr>
          <w:rFonts w:hint="eastAsia" w:ascii="仿宋" w:hAnsi="仿宋" w:eastAsia="仿宋" w:cs="仿宋"/>
          <w:color w:val="auto"/>
          <w:kern w:val="0"/>
          <w:sz w:val="24"/>
          <w:szCs w:val="24"/>
          <w:highlight w:val="none"/>
          <w:lang w:eastAsia="zh-CN"/>
        </w:rPr>
        <w:t>响应文件</w:t>
      </w:r>
      <w:r>
        <w:rPr>
          <w:rFonts w:hint="eastAsia" w:ascii="仿宋" w:hAnsi="仿宋" w:eastAsia="仿宋" w:cs="仿宋"/>
          <w:color w:val="auto"/>
          <w:kern w:val="0"/>
          <w:sz w:val="24"/>
          <w:szCs w:val="24"/>
          <w:highlight w:val="none"/>
        </w:rPr>
        <w:t>满足采购文件全部实质性要求且按评审因素的量化指标评审得分最高的投标人为中标候选投标人的评审方法。</w:t>
      </w:r>
    </w:p>
    <w:p w14:paraId="42275C5F">
      <w:pPr>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评审时，评审小组各成员应当独立对每个有效响应的文件进行评价、打分，然后汇总每个投标人每项评分因素的得分。</w:t>
      </w:r>
    </w:p>
    <w:p w14:paraId="1A30BF24">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评分办法：综合评分法</w:t>
      </w:r>
      <w:bookmarkStart w:id="29" w:name="_Toc21884"/>
      <w:r>
        <w:rPr>
          <w:rFonts w:hint="eastAsia" w:ascii="仿宋" w:hAnsi="仿宋" w:eastAsia="仿宋" w:cs="仿宋"/>
          <w:color w:val="auto"/>
          <w:kern w:val="0"/>
          <w:sz w:val="24"/>
          <w:szCs w:val="24"/>
          <w:highlight w:val="none"/>
          <w:lang w:val="en-US" w:eastAsia="zh-CN"/>
        </w:rPr>
        <w:t xml:space="preserve">   </w:t>
      </w:r>
    </w:p>
    <w:p w14:paraId="5E82CECA">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71C116EF">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199830FC">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5521A905">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31744C7F">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30FD3A64">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192CBBD7">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1743D537">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20AF603A">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6E8228D0">
      <w:pPr>
        <w:adjustRightInd w:val="0"/>
        <w:snapToGrid w:val="0"/>
        <w:spacing w:line="360" w:lineRule="auto"/>
        <w:ind w:firstLine="480" w:firstLineChars="200"/>
        <w:rPr>
          <w:rFonts w:hint="eastAsia" w:ascii="仿宋" w:hAnsi="仿宋" w:eastAsia="仿宋" w:cs="仿宋"/>
          <w:color w:val="auto"/>
          <w:kern w:val="0"/>
          <w:sz w:val="24"/>
          <w:szCs w:val="24"/>
          <w:highlight w:val="none"/>
          <w:lang w:val="en-US" w:eastAsia="zh-CN"/>
        </w:rPr>
      </w:pPr>
    </w:p>
    <w:p w14:paraId="79A4DFAB">
      <w:pPr>
        <w:adjustRightInd w:val="0"/>
        <w:snapToGrid w:val="0"/>
        <w:spacing w:line="360" w:lineRule="auto"/>
        <w:ind w:firstLine="562" w:firstLineChars="200"/>
        <w:jc w:val="center"/>
        <w:rPr>
          <w:rFonts w:hint="eastAsia" w:ascii="仿宋" w:hAnsi="仿宋" w:eastAsia="仿宋" w:cs="仿宋"/>
          <w:b/>
          <w:bCs/>
          <w:color w:val="auto"/>
          <w:sz w:val="28"/>
          <w:szCs w:val="36"/>
          <w:highlight w:val="none"/>
          <w:lang w:val="en-US" w:eastAsia="zh-CN"/>
        </w:rPr>
      </w:pPr>
      <w:r>
        <w:rPr>
          <w:rFonts w:hint="eastAsia" w:ascii="仿宋" w:hAnsi="仿宋" w:eastAsia="仿宋" w:cs="仿宋"/>
          <w:b/>
          <w:bCs/>
          <w:color w:val="auto"/>
          <w:sz w:val="28"/>
          <w:szCs w:val="36"/>
          <w:highlight w:val="none"/>
          <w:lang w:val="en-US" w:eastAsia="zh-CN"/>
        </w:rPr>
        <w:t>综合评分表</w:t>
      </w:r>
      <w:bookmarkEnd w:id="29"/>
    </w:p>
    <w:tbl>
      <w:tblPr>
        <w:tblStyle w:val="47"/>
        <w:tblW w:w="97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0"/>
        <w:gridCol w:w="1410"/>
        <w:gridCol w:w="1070"/>
        <w:gridCol w:w="5893"/>
      </w:tblGrid>
      <w:tr w14:paraId="4B63B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0" w:type="dxa"/>
            <w:gridSpan w:val="2"/>
            <w:noWrap w:val="0"/>
            <w:vAlign w:val="center"/>
          </w:tcPr>
          <w:p w14:paraId="75109E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评标项目</w:t>
            </w:r>
          </w:p>
        </w:tc>
        <w:tc>
          <w:tcPr>
            <w:tcW w:w="1070" w:type="dxa"/>
            <w:noWrap w:val="0"/>
            <w:vAlign w:val="center"/>
          </w:tcPr>
          <w:p w14:paraId="1408CB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评标分值</w:t>
            </w:r>
          </w:p>
        </w:tc>
        <w:tc>
          <w:tcPr>
            <w:tcW w:w="5893" w:type="dxa"/>
            <w:noWrap w:val="0"/>
            <w:vAlign w:val="center"/>
          </w:tcPr>
          <w:p w14:paraId="794AFF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评标方法描述</w:t>
            </w:r>
          </w:p>
        </w:tc>
      </w:tr>
      <w:tr w14:paraId="44C11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0" w:type="dxa"/>
            <w:noWrap w:val="0"/>
            <w:vAlign w:val="center"/>
          </w:tcPr>
          <w:p w14:paraId="6DC7E3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经济部分</w:t>
            </w:r>
            <w:r>
              <w:rPr>
                <w:rFonts w:hint="eastAsia" w:ascii="仿宋" w:hAnsi="仿宋" w:eastAsia="仿宋" w:cs="仿宋"/>
                <w:color w:val="auto"/>
                <w:sz w:val="24"/>
                <w:szCs w:val="24"/>
                <w:highlight w:val="none"/>
                <w:lang w:val="en-US" w:eastAsia="zh-CN"/>
              </w:rPr>
              <w:t>10分</w:t>
            </w:r>
          </w:p>
        </w:tc>
        <w:tc>
          <w:tcPr>
            <w:tcW w:w="1410" w:type="dxa"/>
            <w:noWrap w:val="0"/>
            <w:vAlign w:val="center"/>
          </w:tcPr>
          <w:p w14:paraId="7D3D1F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价格评分</w:t>
            </w:r>
          </w:p>
        </w:tc>
        <w:tc>
          <w:tcPr>
            <w:tcW w:w="1070" w:type="dxa"/>
            <w:noWrap w:val="0"/>
            <w:vAlign w:val="center"/>
          </w:tcPr>
          <w:p w14:paraId="7C12C4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10分</w:t>
            </w:r>
          </w:p>
        </w:tc>
        <w:tc>
          <w:tcPr>
            <w:tcW w:w="5893" w:type="dxa"/>
            <w:noWrap w:val="0"/>
            <w:vAlign w:val="center"/>
          </w:tcPr>
          <w:p w14:paraId="5ED9E08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采用低价优先计算，即满足</w:t>
            </w:r>
            <w:r>
              <w:rPr>
                <w:rFonts w:hint="eastAsia" w:ascii="仿宋" w:hAnsi="仿宋" w:eastAsia="仿宋" w:cs="仿宋"/>
                <w:color w:val="auto"/>
                <w:sz w:val="24"/>
                <w:szCs w:val="24"/>
                <w:highlight w:val="none"/>
                <w:lang w:eastAsia="zh-CN"/>
              </w:rPr>
              <w:t>公开招标文件</w:t>
            </w:r>
            <w:r>
              <w:rPr>
                <w:rFonts w:hint="eastAsia" w:ascii="仿宋" w:hAnsi="仿宋" w:eastAsia="仿宋" w:cs="仿宋"/>
                <w:color w:val="auto"/>
                <w:sz w:val="24"/>
                <w:szCs w:val="24"/>
                <w:highlight w:val="none"/>
              </w:rPr>
              <w:t>要求且投标价格最低的投标报价为评标基准价，其价格得分为满分，其他投标人的价格得分统一按照下列公式计算：价格得分=（评标基准价/投标报</w:t>
            </w:r>
            <w:r>
              <w:rPr>
                <w:rFonts w:hint="eastAsia" w:ascii="仿宋" w:hAnsi="仿宋" w:eastAsia="仿宋" w:cs="仿宋"/>
                <w:color w:val="auto"/>
                <w:sz w:val="24"/>
                <w:szCs w:val="24"/>
                <w:highlight w:val="none"/>
                <w:lang w:eastAsia="zh-CN"/>
              </w:rPr>
              <w:t>价）×</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%×100。</w:t>
            </w:r>
          </w:p>
          <w:p w14:paraId="418AD3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注：出现异常低价，按照《关于推动解决政府采购异常低价问题的通知》财库〔2026〕2号执行。</w:t>
            </w:r>
          </w:p>
          <w:p w14:paraId="2199B1C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低价的认定情形：</w:t>
            </w:r>
          </w:p>
          <w:p w14:paraId="38C2BAC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1.投标（响应）报价低于全部通过符合性审查供应商投标（响应）报价平均值65%的，即投标（响应）报价&lt;全部通过符合性审查供应商投标（响应）报价平均值×65；</w:t>
            </w:r>
          </w:p>
          <w:p w14:paraId="2E9523B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2.投标（响应）报价低于通过符合性审查的次低报价供应商投标（响应）报价65%的，即投标（响应）报价&lt;通过符合性审查的次低报价供应商投标（响应）报价×65%；</w:t>
            </w:r>
          </w:p>
          <w:p w14:paraId="4050BEA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3.投标（响应）报价低于采购项目最高限价65%的，即投标（响应）报价&lt;采购项目最高限价×65%；</w:t>
            </w:r>
          </w:p>
          <w:p w14:paraId="4E84BA8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4.评审委员会基于专业判断，认为供应商报价过低，有可能影响产品质量或者不能诚信履约的其他情形。</w:t>
            </w:r>
          </w:p>
        </w:tc>
      </w:tr>
      <w:tr w14:paraId="31190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0" w:type="dxa"/>
            <w:vMerge w:val="restart"/>
            <w:noWrap w:val="0"/>
            <w:vAlign w:val="center"/>
          </w:tcPr>
          <w:p w14:paraId="01723B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商务部分</w:t>
            </w:r>
            <w:r>
              <w:rPr>
                <w:rFonts w:hint="eastAsia" w:ascii="仿宋" w:hAnsi="仿宋" w:eastAsia="仿宋" w:cs="仿宋"/>
                <w:color w:val="auto"/>
                <w:sz w:val="24"/>
                <w:szCs w:val="24"/>
                <w:highlight w:val="none"/>
                <w:lang w:val="en-US" w:eastAsia="zh-CN"/>
              </w:rPr>
              <w:t>27分</w:t>
            </w:r>
          </w:p>
        </w:tc>
        <w:tc>
          <w:tcPr>
            <w:tcW w:w="1410" w:type="dxa"/>
            <w:noWrap w:val="0"/>
            <w:vAlign w:val="center"/>
          </w:tcPr>
          <w:p w14:paraId="4D7F38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类似项目业绩</w:t>
            </w:r>
          </w:p>
        </w:tc>
        <w:tc>
          <w:tcPr>
            <w:tcW w:w="1070" w:type="dxa"/>
            <w:noWrap w:val="0"/>
            <w:vAlign w:val="center"/>
          </w:tcPr>
          <w:p w14:paraId="7182E0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9分</w:t>
            </w:r>
          </w:p>
        </w:tc>
        <w:tc>
          <w:tcPr>
            <w:tcW w:w="5893" w:type="dxa"/>
            <w:noWrap w:val="0"/>
            <w:vAlign w:val="center"/>
          </w:tcPr>
          <w:p w14:paraId="3063F88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投标供应商</w:t>
            </w:r>
            <w:r>
              <w:rPr>
                <w:rFonts w:hint="eastAsia" w:ascii="仿宋" w:hAnsi="仿宋" w:eastAsia="仿宋" w:cs="仿宋"/>
                <w:color w:val="auto"/>
                <w:sz w:val="24"/>
                <w:szCs w:val="24"/>
                <w:highlight w:val="none"/>
              </w:rPr>
              <w:t>提供近三年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2023年5月至今</w:t>
            </w:r>
            <w:r>
              <w:rPr>
                <w:rFonts w:hint="eastAsia" w:ascii="仿宋" w:hAnsi="仿宋" w:eastAsia="仿宋" w:cs="仿宋"/>
                <w:color w:val="auto"/>
                <w:sz w:val="24"/>
                <w:szCs w:val="24"/>
                <w:highlight w:val="none"/>
                <w:lang w:eastAsia="zh-CN"/>
              </w:rPr>
              <w:t>）类似项目业绩</w:t>
            </w:r>
            <w:r>
              <w:rPr>
                <w:rFonts w:hint="eastAsia" w:ascii="仿宋" w:hAnsi="仿宋" w:eastAsia="仿宋" w:cs="仿宋"/>
                <w:color w:val="auto"/>
                <w:sz w:val="24"/>
                <w:szCs w:val="24"/>
                <w:highlight w:val="none"/>
              </w:rPr>
              <w:t>，每提供1份得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本项</w:t>
            </w:r>
            <w:r>
              <w:rPr>
                <w:rFonts w:hint="eastAsia" w:ascii="仿宋" w:hAnsi="仿宋" w:eastAsia="仿宋" w:cs="仿宋"/>
                <w:color w:val="auto"/>
                <w:sz w:val="24"/>
                <w:szCs w:val="24"/>
                <w:highlight w:val="none"/>
              </w:rPr>
              <w:t>最高得</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（提供类似项目业绩的中标通知书或采购合同复印件）</w:t>
            </w:r>
          </w:p>
        </w:tc>
      </w:tr>
      <w:tr w14:paraId="430C2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0" w:type="dxa"/>
            <w:vMerge w:val="continue"/>
            <w:noWrap w:val="0"/>
            <w:vAlign w:val="center"/>
          </w:tcPr>
          <w:p w14:paraId="52EB82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p>
        </w:tc>
        <w:tc>
          <w:tcPr>
            <w:tcW w:w="1410" w:type="dxa"/>
            <w:noWrap w:val="0"/>
            <w:vAlign w:val="center"/>
          </w:tcPr>
          <w:p w14:paraId="464467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人员配置及能力证明</w:t>
            </w:r>
          </w:p>
        </w:tc>
        <w:tc>
          <w:tcPr>
            <w:tcW w:w="1070" w:type="dxa"/>
            <w:noWrap w:val="0"/>
            <w:vAlign w:val="center"/>
          </w:tcPr>
          <w:p w14:paraId="64EE0B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10分</w:t>
            </w:r>
          </w:p>
        </w:tc>
        <w:tc>
          <w:tcPr>
            <w:tcW w:w="5893" w:type="dxa"/>
            <w:noWrap w:val="0"/>
            <w:vAlign w:val="center"/>
          </w:tcPr>
          <w:p w14:paraId="2CFAE235">
            <w:pPr>
              <w:adjustRightInd w:val="0"/>
              <w:snapToGrid w:val="0"/>
              <w:spacing w:line="360" w:lineRule="auto"/>
              <w:rPr>
                <w:rFonts w:hint="default"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直播总导演</w:t>
            </w:r>
            <w:r>
              <w:rPr>
                <w:rFonts w:hint="eastAsia" w:ascii="仿宋" w:hAnsi="仿宋" w:eastAsia="仿宋" w:cs="仿宋"/>
                <w:color w:val="auto"/>
                <w:kern w:val="0"/>
                <w:sz w:val="24"/>
                <w:szCs w:val="24"/>
                <w:highlight w:val="none"/>
                <w:lang w:val="en-US" w:eastAsia="zh-CN"/>
              </w:rPr>
              <w:t>：具备3年以上健康类直播项目统筹经验，需提供相关项目证明（提供履历表及至少一个项目业绩证明材料）。3分。</w:t>
            </w:r>
          </w:p>
          <w:p w14:paraId="04246944">
            <w:pPr>
              <w:adjustRightInd w:val="0"/>
              <w:snapToGrid w:val="0"/>
              <w:spacing w:line="360" w:lineRule="auto"/>
              <w:rPr>
                <w:rFonts w:hint="default"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内容策划组</w:t>
            </w:r>
            <w:r>
              <w:rPr>
                <w:rFonts w:hint="eastAsia" w:ascii="仿宋" w:hAnsi="仿宋" w:eastAsia="仿宋" w:cs="仿宋"/>
                <w:color w:val="auto"/>
                <w:kern w:val="0"/>
                <w:sz w:val="24"/>
                <w:szCs w:val="24"/>
                <w:highlight w:val="none"/>
                <w:lang w:val="en-US" w:eastAsia="zh-CN"/>
              </w:rPr>
              <w:t>：至少1人具备中医药科普内容策划经验，1人熟悉新疆地域文化、民族饮食、地方病防控特点，能独立撰写符合新疆受众需求的科普脚本。3分。</w:t>
            </w:r>
          </w:p>
          <w:p w14:paraId="4617675F">
            <w:pPr>
              <w:adjustRightInd w:val="0"/>
              <w:snapToGrid w:val="0"/>
              <w:spacing w:line="360" w:lineRule="auto"/>
              <w:rPr>
                <w:rFonts w:hint="default" w:ascii="仿宋" w:hAnsi="仿宋" w:eastAsia="仿宋" w:cs="仿宋"/>
                <w:color w:val="auto"/>
                <w:kern w:val="0"/>
                <w:sz w:val="24"/>
                <w:szCs w:val="24"/>
                <w:highlight w:val="none"/>
                <w:lang w:val="en-US" w:eastAsia="zh-CN"/>
              </w:rPr>
            </w:pPr>
            <w:r>
              <w:rPr>
                <w:rFonts w:hint="default" w:ascii="仿宋" w:hAnsi="仿宋" w:eastAsia="仿宋" w:cs="仿宋"/>
                <w:color w:val="auto"/>
                <w:kern w:val="0"/>
                <w:sz w:val="24"/>
                <w:szCs w:val="24"/>
                <w:highlight w:val="none"/>
                <w:lang w:val="en-US" w:eastAsia="zh-CN"/>
              </w:rPr>
              <w:t>制作技术组</w:t>
            </w:r>
            <w:r>
              <w:rPr>
                <w:rFonts w:hint="eastAsia" w:ascii="仿宋" w:hAnsi="仿宋" w:eastAsia="仿宋" w:cs="仿宋"/>
                <w:color w:val="auto"/>
                <w:kern w:val="0"/>
                <w:sz w:val="24"/>
                <w:szCs w:val="24"/>
                <w:highlight w:val="none"/>
                <w:lang w:val="en-US" w:eastAsia="zh-CN"/>
              </w:rPr>
              <w:t>：包含导播1人、摄像2人、后期剪辑1人、技术保障1人，所有人员具备2年以上直播项目从业经验，导播需具备多平台同步推流实操经验；提供相关证明。每提供一人得0.5分，最多得2分。</w:t>
            </w:r>
          </w:p>
          <w:p w14:paraId="2E5098B1">
            <w:pPr>
              <w:adjustRightInd w:val="0"/>
              <w:snapToGrid w:val="0"/>
              <w:spacing w:line="360" w:lineRule="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kern w:val="0"/>
                <w:sz w:val="24"/>
                <w:szCs w:val="24"/>
                <w:highlight w:val="none"/>
                <w:lang w:val="en-US" w:eastAsia="zh-CN"/>
              </w:rPr>
              <w:t>直播执行组</w:t>
            </w:r>
            <w:r>
              <w:rPr>
                <w:rFonts w:hint="eastAsia" w:ascii="仿宋" w:hAnsi="仿宋" w:eastAsia="仿宋" w:cs="仿宋"/>
                <w:color w:val="auto"/>
                <w:kern w:val="0"/>
                <w:sz w:val="24"/>
                <w:szCs w:val="24"/>
                <w:highlight w:val="none"/>
                <w:lang w:val="en-US" w:eastAsia="zh-CN"/>
              </w:rPr>
              <w:t>：主持人需为新疆广播电视台在册主持人，具备健康类节目主持经验，提供拟邀请主持人姓名及主持健康类节目名单。每场邀请嘉宾2人，均为新疆本地二甲以上医院副高及以上职称专家，嘉宾资质需提前报采购方审核，承诺做好专家联络、稿件审核、交通保障等服务性工作（提供承诺函）。2分。</w:t>
            </w:r>
          </w:p>
        </w:tc>
      </w:tr>
      <w:tr w14:paraId="22DB2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0" w:type="dxa"/>
            <w:vMerge w:val="continue"/>
            <w:noWrap w:val="0"/>
            <w:vAlign w:val="center"/>
          </w:tcPr>
          <w:p w14:paraId="40AEFD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p>
        </w:tc>
        <w:tc>
          <w:tcPr>
            <w:tcW w:w="1410" w:type="dxa"/>
            <w:noWrap w:val="0"/>
            <w:vAlign w:val="center"/>
          </w:tcPr>
          <w:p w14:paraId="1EF97F66">
            <w:pPr>
              <w:pStyle w:val="300"/>
              <w:widowControl/>
              <w:snapToGrid w:val="0"/>
              <w:ind w:firstLine="0" w:firstLineChars="0"/>
              <w:rPr>
                <w:rFonts w:hint="eastAsia" w:ascii="仿宋" w:hAnsi="仿宋" w:eastAsia="仿宋" w:cs="仿宋"/>
                <w:color w:val="auto"/>
                <w:sz w:val="24"/>
                <w:szCs w:val="24"/>
                <w:highlight w:val="none"/>
                <w:lang w:eastAsia="zh-CN"/>
              </w:rPr>
            </w:pPr>
            <w:r>
              <w:rPr>
                <w:rFonts w:hint="eastAsia" w:ascii="仿宋" w:hAnsi="仿宋" w:eastAsia="仿宋" w:cs="宋体"/>
                <w:kern w:val="0"/>
                <w:szCs w:val="24"/>
                <w:highlight w:val="none"/>
                <w:lang w:eastAsia="zh-CN"/>
              </w:rPr>
              <w:t>设备设施</w:t>
            </w:r>
          </w:p>
        </w:tc>
        <w:tc>
          <w:tcPr>
            <w:tcW w:w="1070" w:type="dxa"/>
            <w:noWrap w:val="0"/>
            <w:vAlign w:val="center"/>
          </w:tcPr>
          <w:p w14:paraId="148980C1">
            <w:pPr>
              <w:pStyle w:val="300"/>
              <w:widowControl/>
              <w:snapToGrid w:val="0"/>
              <w:ind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12分</w:t>
            </w:r>
          </w:p>
        </w:tc>
        <w:tc>
          <w:tcPr>
            <w:tcW w:w="5893" w:type="dxa"/>
            <w:noWrap w:val="0"/>
            <w:vAlign w:val="center"/>
          </w:tcPr>
          <w:p w14:paraId="36AD089F">
            <w:pPr>
              <w:pStyle w:val="300"/>
              <w:widowControl/>
              <w:snapToGrid w:val="0"/>
              <w:ind w:firstLine="0" w:firstLineChars="0"/>
              <w:rPr>
                <w:rFonts w:hint="default" w:ascii="仿宋" w:hAnsi="仿宋" w:eastAsia="仿宋" w:cs="宋体"/>
                <w:kern w:val="0"/>
                <w:szCs w:val="24"/>
                <w:highlight w:val="none"/>
                <w:lang w:val="en-US" w:eastAsia="zh-CN"/>
              </w:rPr>
            </w:pPr>
            <w:r>
              <w:rPr>
                <w:rFonts w:hint="eastAsia" w:ascii="仿宋" w:hAnsi="仿宋" w:eastAsia="仿宋" w:cs="宋体"/>
                <w:kern w:val="0"/>
                <w:szCs w:val="24"/>
                <w:highlight w:val="none"/>
                <w:lang w:eastAsia="zh-CN"/>
              </w:rPr>
              <w:t>供应商</w:t>
            </w:r>
            <w:r>
              <w:rPr>
                <w:rFonts w:hint="eastAsia" w:ascii="仿宋" w:hAnsi="仿宋" w:eastAsia="仿宋" w:cs="宋体"/>
                <w:kern w:val="0"/>
                <w:szCs w:val="24"/>
                <w:highlight w:val="none"/>
              </w:rPr>
              <w:t>提供拟投入本项目的专业硬件设施设备</w:t>
            </w:r>
            <w:r>
              <w:rPr>
                <w:rFonts w:hint="eastAsia" w:ascii="仿宋" w:hAnsi="仿宋" w:eastAsia="仿宋" w:cs="宋体"/>
                <w:kern w:val="0"/>
                <w:szCs w:val="24"/>
                <w:highlight w:val="none"/>
                <w:lang w:eastAsia="zh-CN"/>
              </w:rPr>
              <w:t>：在招标文件要求的拍摄设备的基础上，每增加</w:t>
            </w:r>
            <w:r>
              <w:rPr>
                <w:rFonts w:hint="eastAsia" w:ascii="仿宋" w:hAnsi="仿宋" w:eastAsia="仿宋" w:cs="宋体"/>
                <w:kern w:val="0"/>
                <w:szCs w:val="24"/>
                <w:highlight w:val="none"/>
                <w:lang w:val="en-US" w:eastAsia="zh-CN"/>
              </w:rPr>
              <w:t>1个能够提高项目完成质量的设备加2分，本项最高加12分。</w:t>
            </w:r>
          </w:p>
          <w:p w14:paraId="1774F85C">
            <w:pPr>
              <w:pStyle w:val="300"/>
              <w:snapToGrid w:val="0"/>
              <w:ind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宋体"/>
                <w:kern w:val="0"/>
                <w:szCs w:val="24"/>
                <w:highlight w:val="none"/>
                <w:lang w:eastAsia="zh-CN"/>
              </w:rPr>
              <w:t>提供设备设施</w:t>
            </w:r>
            <w:r>
              <w:rPr>
                <w:rFonts w:hint="eastAsia" w:ascii="仿宋" w:hAnsi="仿宋" w:eastAsia="仿宋" w:cs="宋体"/>
                <w:b w:val="0"/>
                <w:bCs w:val="0"/>
                <w:kern w:val="0"/>
                <w:szCs w:val="24"/>
                <w:highlight w:val="none"/>
                <w:lang w:eastAsia="zh-CN"/>
              </w:rPr>
              <w:t>清单，注明增加设备设施</w:t>
            </w:r>
            <w:r>
              <w:rPr>
                <w:rFonts w:hint="eastAsia" w:ascii="仿宋" w:hAnsi="仿宋" w:eastAsia="仿宋" w:cs="宋体"/>
                <w:kern w:val="0"/>
                <w:szCs w:val="24"/>
                <w:highlight w:val="none"/>
                <w:lang w:eastAsia="zh-CN"/>
              </w:rPr>
              <w:t>，并提供设备购置发票或租赁证明或其他能够证明该设备设施真实存在的相关证明材料。</w:t>
            </w:r>
          </w:p>
        </w:tc>
      </w:tr>
      <w:tr w14:paraId="451E5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0" w:type="dxa"/>
            <w:vMerge w:val="restart"/>
            <w:noWrap w:val="0"/>
            <w:vAlign w:val="center"/>
          </w:tcPr>
          <w:p w14:paraId="3B6398FD">
            <w:pPr>
              <w:keepNext w:val="0"/>
              <w:keepLines w:val="0"/>
              <w:pageBreakBefore w:val="0"/>
              <w:kinsoku/>
              <w:overflowPunct/>
              <w:autoSpaceDE/>
              <w:autoSpaceDN/>
              <w:bidi w:val="0"/>
              <w:spacing w:line="360" w:lineRule="auto"/>
              <w:jc w:val="center"/>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技术部分63分</w:t>
            </w:r>
          </w:p>
        </w:tc>
        <w:tc>
          <w:tcPr>
            <w:tcW w:w="1410" w:type="dxa"/>
            <w:noWrap w:val="0"/>
            <w:vAlign w:val="center"/>
          </w:tcPr>
          <w:p w14:paraId="6C6A7683">
            <w:pPr>
              <w:keepNext w:val="0"/>
              <w:keepLines w:val="0"/>
              <w:pageBreakBefore w:val="0"/>
              <w:kinsoku/>
              <w:overflowPunct/>
              <w:autoSpaceDE/>
              <w:autoSpaceDN/>
              <w:bidi w:val="0"/>
              <w:spacing w:line="360" w:lineRule="auto"/>
              <w:jc w:val="center"/>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项目整体方案</w:t>
            </w:r>
          </w:p>
        </w:tc>
        <w:tc>
          <w:tcPr>
            <w:tcW w:w="1070" w:type="dxa"/>
            <w:noWrap w:val="0"/>
            <w:vAlign w:val="center"/>
          </w:tcPr>
          <w:p w14:paraId="564F9B1D">
            <w:pPr>
              <w:keepNext w:val="0"/>
              <w:keepLines w:val="0"/>
              <w:pageBreakBefore w:val="0"/>
              <w:kinsoku/>
              <w:overflowPunct/>
              <w:autoSpaceDE/>
              <w:autoSpaceDN/>
              <w:bidi w:val="0"/>
              <w:spacing w:line="360"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16分</w:t>
            </w:r>
          </w:p>
        </w:tc>
        <w:tc>
          <w:tcPr>
            <w:tcW w:w="5893" w:type="dxa"/>
            <w:noWrap w:val="0"/>
            <w:vAlign w:val="center"/>
          </w:tcPr>
          <w:p w14:paraId="730A8CB2">
            <w:pPr>
              <w:keepNext w:val="0"/>
              <w:keepLines w:val="0"/>
              <w:pageBreakBefore w:val="0"/>
              <w:kinsoku/>
              <w:overflowPunct/>
              <w:autoSpaceDE/>
              <w:autoSpaceDN/>
              <w:bidi w:val="0"/>
              <w:spacing w:line="360" w:lineRule="auto"/>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rPr>
              <w:t>供应商根据本项目服务内容提供项目整体</w:t>
            </w:r>
            <w:r>
              <w:rPr>
                <w:rFonts w:hint="eastAsia" w:ascii="仿宋" w:hAnsi="仿宋" w:eastAsia="仿宋" w:cs="仿宋"/>
                <w:color w:val="auto"/>
                <w:sz w:val="24"/>
                <w:szCs w:val="24"/>
                <w:highlight w:val="none"/>
                <w:lang w:eastAsia="zh-CN"/>
              </w:rPr>
              <w:t>方案</w:t>
            </w:r>
            <w:r>
              <w:rPr>
                <w:rFonts w:hint="eastAsia" w:ascii="仿宋" w:hAnsi="仿宋" w:eastAsia="仿宋" w:cs="仿宋"/>
                <w:color w:val="auto"/>
                <w:sz w:val="24"/>
                <w:szCs w:val="24"/>
                <w:highlight w:val="none"/>
              </w:rPr>
              <w:t>，方案内容包含</w:t>
            </w:r>
            <w:r>
              <w:rPr>
                <w:rFonts w:hint="eastAsia" w:ascii="仿宋" w:hAnsi="仿宋" w:eastAsia="仿宋" w:cs="仿宋"/>
                <w:color w:val="auto"/>
                <w:sz w:val="24"/>
                <w:szCs w:val="24"/>
                <w:highlight w:val="none"/>
                <w:lang w:val="en-US" w:eastAsia="zh-CN"/>
              </w:rPr>
              <w:t>①节目创意与内容；②制作能力；③播出方案（注明计划播出平台）；④预算与成本控制等，</w:t>
            </w:r>
            <w:r>
              <w:rPr>
                <w:rFonts w:hint="eastAsia" w:ascii="仿宋" w:hAnsi="仿宋" w:eastAsia="仿宋" w:cs="仿宋"/>
                <w:b w:val="0"/>
                <w:bCs w:val="0"/>
                <w:color w:val="auto"/>
                <w:sz w:val="24"/>
                <w:szCs w:val="24"/>
                <w:highlight w:val="none"/>
                <w:lang w:val="en-US" w:eastAsia="zh-CN"/>
              </w:rPr>
              <w:t>以上内容针对性强贴合事实、内容全面合理，可实施性强的得16分；</w:t>
            </w:r>
            <w:r>
              <w:rPr>
                <w:rFonts w:hint="eastAsia" w:ascii="仿宋" w:hAnsi="仿宋" w:eastAsia="仿宋" w:cs="仿宋"/>
                <w:color w:val="auto"/>
                <w:sz w:val="24"/>
                <w:szCs w:val="24"/>
                <w:highlight w:val="none"/>
              </w:rPr>
              <w:t>每有一处缺陷的扣1分;扣完为止</w:t>
            </w:r>
            <w:r>
              <w:rPr>
                <w:rFonts w:hint="eastAsia" w:ascii="仿宋" w:hAnsi="仿宋" w:eastAsia="仿宋" w:cs="仿宋"/>
                <w:b w:val="0"/>
                <w:bCs w:val="0"/>
                <w:color w:val="auto"/>
                <w:sz w:val="24"/>
                <w:szCs w:val="24"/>
                <w:highlight w:val="none"/>
                <w:lang w:val="en-US" w:eastAsia="zh-CN"/>
              </w:rPr>
              <w:t>。</w:t>
            </w:r>
          </w:p>
          <w:p w14:paraId="3DFB2759">
            <w:pPr>
              <w:keepNext w:val="0"/>
              <w:keepLines w:val="0"/>
              <w:pageBreakBefore w:val="0"/>
              <w:kinsoku/>
              <w:overflowPunct/>
              <w:autoSpaceDE/>
              <w:autoSpaceDN/>
              <w:bidi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（缺陷是指:存在不适用该项目实际情况的情形、凭空编造、内容前后不一致、前后逻辑错误、涉及的规范及标准错误、地点区域错误、内容缺失、不符合采购需求的任意一项）</w:t>
            </w:r>
            <w:r>
              <w:rPr>
                <w:rFonts w:hint="eastAsia" w:ascii="仿宋" w:hAnsi="仿宋" w:eastAsia="仿宋" w:cs="仿宋"/>
                <w:b w:val="0"/>
                <w:bCs w:val="0"/>
                <w:color w:val="auto"/>
                <w:sz w:val="24"/>
                <w:szCs w:val="24"/>
                <w:highlight w:val="none"/>
                <w:lang w:val="en-US" w:eastAsia="zh-CN"/>
              </w:rPr>
              <w:t>。</w:t>
            </w:r>
          </w:p>
        </w:tc>
      </w:tr>
      <w:tr w14:paraId="3E25C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0" w:type="dxa"/>
            <w:vMerge w:val="continue"/>
            <w:noWrap w:val="0"/>
            <w:vAlign w:val="center"/>
          </w:tcPr>
          <w:p w14:paraId="419D7380">
            <w:pPr>
              <w:keepNext w:val="0"/>
              <w:keepLines w:val="0"/>
              <w:pageBreakBefore w:val="0"/>
              <w:kinsoku/>
              <w:overflowPunct/>
              <w:autoSpaceDE/>
              <w:autoSpaceDN/>
              <w:bidi w:val="0"/>
              <w:spacing w:line="360" w:lineRule="auto"/>
              <w:jc w:val="center"/>
              <w:textAlignment w:val="baseline"/>
              <w:rPr>
                <w:rFonts w:hint="eastAsia" w:ascii="仿宋" w:hAnsi="仿宋" w:eastAsia="仿宋" w:cs="仿宋"/>
                <w:color w:val="auto"/>
                <w:sz w:val="24"/>
                <w:szCs w:val="24"/>
                <w:highlight w:val="none"/>
                <w:lang w:val="en-US" w:eastAsia="zh-CN"/>
              </w:rPr>
            </w:pPr>
          </w:p>
        </w:tc>
        <w:tc>
          <w:tcPr>
            <w:tcW w:w="1410" w:type="dxa"/>
            <w:noWrap w:val="0"/>
            <w:vAlign w:val="center"/>
          </w:tcPr>
          <w:p w14:paraId="05FE7485">
            <w:pPr>
              <w:keepNext w:val="0"/>
              <w:keepLines w:val="0"/>
              <w:pageBreakBefore w:val="0"/>
              <w:kinsoku/>
              <w:overflowPunct/>
              <w:autoSpaceDE/>
              <w:autoSpaceDN/>
              <w:bidi w:val="0"/>
              <w:spacing w:line="360"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服务方案</w:t>
            </w:r>
          </w:p>
        </w:tc>
        <w:tc>
          <w:tcPr>
            <w:tcW w:w="1070" w:type="dxa"/>
            <w:noWrap w:val="0"/>
            <w:vAlign w:val="center"/>
          </w:tcPr>
          <w:p w14:paraId="3C370A40">
            <w:pPr>
              <w:keepNext w:val="0"/>
              <w:keepLines w:val="0"/>
              <w:pageBreakBefore w:val="0"/>
              <w:kinsoku/>
              <w:overflowPunct/>
              <w:autoSpaceDE/>
              <w:autoSpaceDN/>
              <w:bidi w:val="0"/>
              <w:spacing w:line="360" w:lineRule="auto"/>
              <w:jc w:val="center"/>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35分</w:t>
            </w:r>
          </w:p>
        </w:tc>
        <w:tc>
          <w:tcPr>
            <w:tcW w:w="5893" w:type="dxa"/>
            <w:noWrap w:val="0"/>
            <w:vAlign w:val="center"/>
          </w:tcPr>
          <w:p w14:paraId="4BDDF416">
            <w:pPr>
              <w:keepNext w:val="0"/>
              <w:keepLines w:val="0"/>
              <w:pageBreakBefore w:val="0"/>
              <w:kinsoku/>
              <w:overflowPunct/>
              <w:autoSpaceDE/>
              <w:autoSpaceDN/>
              <w:bidi w:val="0"/>
              <w:spacing w:line="360" w:lineRule="auto"/>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rPr>
              <w:t>供应商根据本项目服务内容提供服务</w:t>
            </w:r>
            <w:r>
              <w:rPr>
                <w:rFonts w:hint="eastAsia" w:ascii="仿宋" w:hAnsi="仿宋" w:eastAsia="仿宋" w:cs="仿宋"/>
                <w:color w:val="auto"/>
                <w:sz w:val="24"/>
                <w:szCs w:val="24"/>
                <w:highlight w:val="none"/>
                <w:lang w:val="en-US" w:eastAsia="zh-CN"/>
              </w:rPr>
              <w:t>方</w:t>
            </w:r>
            <w:r>
              <w:rPr>
                <w:rFonts w:hint="eastAsia" w:ascii="仿宋" w:hAnsi="仿宋" w:eastAsia="仿宋" w:cs="仿宋"/>
                <w:color w:val="auto"/>
                <w:sz w:val="24"/>
                <w:szCs w:val="24"/>
                <w:highlight w:val="none"/>
              </w:rPr>
              <w:t>案，方案内容包含</w:t>
            </w:r>
            <w:r>
              <w:rPr>
                <w:rFonts w:hint="eastAsia" w:ascii="仿宋" w:hAnsi="仿宋" w:eastAsia="仿宋" w:cs="仿宋"/>
                <w:color w:val="auto"/>
                <w:sz w:val="24"/>
                <w:szCs w:val="24"/>
                <w:highlight w:val="none"/>
                <w:lang w:val="en-US" w:eastAsia="zh-CN"/>
              </w:rPr>
              <w:t>①项目理解分析；②项目实施计划；③脚本及策划；④宣传方案；⑤服务团队组织架构；⑥服务保障方案；⑦安全保障及应急预案等，</w:t>
            </w:r>
            <w:r>
              <w:rPr>
                <w:rFonts w:hint="eastAsia" w:ascii="仿宋" w:hAnsi="仿宋" w:eastAsia="仿宋" w:cs="仿宋"/>
                <w:b w:val="0"/>
                <w:bCs w:val="0"/>
                <w:color w:val="auto"/>
                <w:sz w:val="24"/>
                <w:szCs w:val="24"/>
                <w:highlight w:val="none"/>
                <w:lang w:val="en-US" w:eastAsia="zh-CN"/>
              </w:rPr>
              <w:t>以上内容针对性强贴合事实、内容全面合理，可实施性强的得35分；</w:t>
            </w:r>
            <w:r>
              <w:rPr>
                <w:rFonts w:hint="eastAsia" w:ascii="仿宋" w:hAnsi="仿宋" w:eastAsia="仿宋" w:cs="仿宋"/>
                <w:color w:val="auto"/>
                <w:sz w:val="24"/>
                <w:szCs w:val="24"/>
                <w:highlight w:val="none"/>
              </w:rPr>
              <w:t>每有一处缺陷的扣1分;扣完为止</w:t>
            </w:r>
            <w:r>
              <w:rPr>
                <w:rFonts w:hint="eastAsia" w:ascii="仿宋" w:hAnsi="仿宋" w:eastAsia="仿宋" w:cs="仿宋"/>
                <w:b w:val="0"/>
                <w:bCs w:val="0"/>
                <w:color w:val="auto"/>
                <w:sz w:val="24"/>
                <w:szCs w:val="24"/>
                <w:highlight w:val="none"/>
                <w:lang w:val="en-US" w:eastAsia="zh-CN"/>
              </w:rPr>
              <w:t>。</w:t>
            </w:r>
          </w:p>
          <w:p w14:paraId="5208BE0E">
            <w:pPr>
              <w:keepNext w:val="0"/>
              <w:keepLines w:val="0"/>
              <w:pageBreakBefore w:val="0"/>
              <w:kinsoku/>
              <w:overflowPunct/>
              <w:autoSpaceDE/>
              <w:autoSpaceDN/>
              <w:bidi w:val="0"/>
              <w:spacing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（缺陷是指:存在不适用该项目实际情况的情形、凭空编造、内容前后不一致、前后逻辑错误、涉及的规范及标准错误、地点区域错误、内容缺失、不符合采购需求的任意一项）</w:t>
            </w:r>
          </w:p>
        </w:tc>
      </w:tr>
      <w:tr w14:paraId="1BE0D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0" w:type="dxa"/>
            <w:vMerge w:val="continue"/>
            <w:noWrap w:val="0"/>
            <w:vAlign w:val="center"/>
          </w:tcPr>
          <w:p w14:paraId="0CDD88C2">
            <w:pPr>
              <w:keepNext w:val="0"/>
              <w:keepLines w:val="0"/>
              <w:pageBreakBefore w:val="0"/>
              <w:kinsoku/>
              <w:overflowPunct/>
              <w:autoSpaceDE/>
              <w:autoSpaceDN/>
              <w:bidi w:val="0"/>
              <w:spacing w:line="360" w:lineRule="auto"/>
              <w:jc w:val="center"/>
              <w:textAlignment w:val="baseline"/>
              <w:rPr>
                <w:rFonts w:hint="eastAsia" w:ascii="仿宋" w:hAnsi="仿宋" w:eastAsia="仿宋" w:cs="仿宋"/>
                <w:color w:val="auto"/>
                <w:sz w:val="24"/>
                <w:szCs w:val="24"/>
                <w:highlight w:val="none"/>
                <w:lang w:val="en-US" w:eastAsia="zh-CN"/>
              </w:rPr>
            </w:pPr>
          </w:p>
        </w:tc>
        <w:tc>
          <w:tcPr>
            <w:tcW w:w="1410" w:type="dxa"/>
            <w:noWrap w:val="0"/>
            <w:vAlign w:val="center"/>
          </w:tcPr>
          <w:p w14:paraId="17F389A9">
            <w:pPr>
              <w:keepNext w:val="0"/>
              <w:keepLines w:val="0"/>
              <w:pageBreakBefore w:val="0"/>
              <w:kinsoku/>
              <w:overflowPunct/>
              <w:autoSpaceDE/>
              <w:autoSpaceDN/>
              <w:bidi w:val="0"/>
              <w:spacing w:line="360" w:lineRule="auto"/>
              <w:jc w:val="center"/>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进度控制方案</w:t>
            </w:r>
          </w:p>
        </w:tc>
        <w:tc>
          <w:tcPr>
            <w:tcW w:w="1070" w:type="dxa"/>
            <w:noWrap w:val="0"/>
            <w:vAlign w:val="center"/>
          </w:tcPr>
          <w:p w14:paraId="4625089D">
            <w:pPr>
              <w:keepNext w:val="0"/>
              <w:keepLines w:val="0"/>
              <w:pageBreakBefore w:val="0"/>
              <w:kinsoku/>
              <w:overflowPunct/>
              <w:autoSpaceDE/>
              <w:autoSpaceDN/>
              <w:bidi w:val="0"/>
              <w:spacing w:line="360" w:lineRule="auto"/>
              <w:jc w:val="center"/>
              <w:textAlignment w:val="baseline"/>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8分</w:t>
            </w:r>
          </w:p>
        </w:tc>
        <w:tc>
          <w:tcPr>
            <w:tcW w:w="5893" w:type="dxa"/>
            <w:noWrap w:val="0"/>
            <w:vAlign w:val="center"/>
          </w:tcPr>
          <w:p w14:paraId="78B739CB">
            <w:pPr>
              <w:keepNext w:val="0"/>
              <w:keepLines w:val="0"/>
              <w:pageBreakBefore w:val="0"/>
              <w:kinsoku/>
              <w:overflowPunct/>
              <w:autoSpaceDE/>
              <w:autoSpaceDN/>
              <w:bidi w:val="0"/>
              <w:spacing w:line="360" w:lineRule="auto"/>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eastAsia="zh-CN"/>
              </w:rPr>
              <w:t>供应商根据本项目提供项目进度控制方案，内容包含：①进度计划制定②进度监控与调整方案③组织保障措施④技术支持方案。</w:t>
            </w:r>
            <w:r>
              <w:rPr>
                <w:rFonts w:hint="eastAsia" w:ascii="仿宋" w:hAnsi="仿宋" w:eastAsia="仿宋" w:cs="仿宋"/>
                <w:b w:val="0"/>
                <w:bCs w:val="0"/>
                <w:color w:val="auto"/>
                <w:sz w:val="24"/>
                <w:szCs w:val="24"/>
                <w:highlight w:val="none"/>
                <w:lang w:val="en-US" w:eastAsia="zh-CN"/>
              </w:rPr>
              <w:t>以上内容针对性强贴合事实、内容全面合理，可实施性强的得8分；</w:t>
            </w:r>
            <w:r>
              <w:rPr>
                <w:rFonts w:hint="eastAsia" w:ascii="仿宋" w:hAnsi="仿宋" w:eastAsia="仿宋" w:cs="仿宋"/>
                <w:color w:val="auto"/>
                <w:sz w:val="24"/>
                <w:szCs w:val="24"/>
                <w:highlight w:val="none"/>
              </w:rPr>
              <w:t>每有一处缺陷的扣1分;扣完为止</w:t>
            </w:r>
            <w:r>
              <w:rPr>
                <w:rFonts w:hint="eastAsia" w:ascii="仿宋" w:hAnsi="仿宋" w:eastAsia="仿宋" w:cs="仿宋"/>
                <w:b w:val="0"/>
                <w:bCs w:val="0"/>
                <w:color w:val="auto"/>
                <w:sz w:val="24"/>
                <w:szCs w:val="24"/>
                <w:highlight w:val="none"/>
                <w:lang w:val="en-US" w:eastAsia="zh-CN"/>
              </w:rPr>
              <w:t>。</w:t>
            </w:r>
          </w:p>
          <w:p w14:paraId="17C8499C">
            <w:pPr>
              <w:keepNext w:val="0"/>
              <w:keepLines w:val="0"/>
              <w:pageBreakBefore w:val="0"/>
              <w:kinsoku/>
              <w:overflowPunct/>
              <w:autoSpaceDE/>
              <w:autoSpaceDN/>
              <w:bidi w:val="0"/>
              <w:spacing w:line="360" w:lineRule="auto"/>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（缺陷是指:存在不适用该项目实际情况的情形、凭空编造、内容前后不一致、前后逻辑错误、涉及的规范及标准错误、地点区域错误、内容缺失、不符合采购需求的任意一项）</w:t>
            </w:r>
          </w:p>
        </w:tc>
      </w:tr>
    </w:tbl>
    <w:p w14:paraId="042208F7">
      <w:pPr>
        <w:widowControl/>
        <w:adjustRightInd w:val="0"/>
        <w:snapToGrid w:val="0"/>
        <w:spacing w:line="360" w:lineRule="auto"/>
        <w:jc w:val="left"/>
        <w:rPr>
          <w:rFonts w:hint="eastAsia" w:ascii="仿宋" w:hAnsi="仿宋" w:eastAsia="仿宋" w:cs="仿宋"/>
          <w:b/>
          <w:bCs/>
          <w:color w:val="auto"/>
          <w:sz w:val="24"/>
          <w:szCs w:val="24"/>
          <w:highlight w:val="none"/>
        </w:rPr>
      </w:pPr>
    </w:p>
    <w:p w14:paraId="7E2A3767">
      <w:pPr>
        <w:widowControl/>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提出中标候选人</w:t>
      </w:r>
    </w:p>
    <w:p w14:paraId="40DB1313">
      <w:pPr>
        <w:widowControl/>
        <w:adjustRightInd w:val="0"/>
        <w:snapToGrid w:val="0"/>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color w:val="auto"/>
          <w:kern w:val="0"/>
          <w:sz w:val="24"/>
          <w:szCs w:val="24"/>
          <w:highlight w:val="none"/>
        </w:rPr>
        <w:t>评审小组应当根据综合评分情况，按照评审得分由高到低顺序推荐</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名中标候选人，并编写评审报告。评审得分相同的，按照最后评审价格由低到高的顺序推荐。评审得分且最后评审价格相同的，按照技术指标优劣顺序推荐。</w:t>
      </w:r>
    </w:p>
    <w:p w14:paraId="7EA471DF">
      <w:pPr>
        <w:tabs>
          <w:tab w:val="left" w:pos="0"/>
        </w:tabs>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确定中标单位</w:t>
      </w:r>
    </w:p>
    <w:p w14:paraId="21DC6F32">
      <w:pPr>
        <w:widowControl/>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采购代理机构应当在评审结束后2个工作日内将评审报告送采购人确认。</w:t>
      </w:r>
    </w:p>
    <w:p w14:paraId="44C2D13E">
      <w:pPr>
        <w:widowControl/>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采购人应当在收到评审报告后5个工作日内，从评审报告提出的中标候选人中，按照排序由高到低的原则确定中标单位，也可以书面授权评审小组直接确定中标单位。</w:t>
      </w:r>
    </w:p>
    <w:p w14:paraId="3546D54B">
      <w:pPr>
        <w:pStyle w:val="26"/>
        <w:adjustRightInd w:val="0"/>
        <w:snapToGrid w:val="0"/>
        <w:spacing w:line="360" w:lineRule="auto"/>
        <w:ind w:left="632" w:hanging="723" w:hangingChars="3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终止</w:t>
      </w:r>
      <w:r>
        <w:rPr>
          <w:rFonts w:hint="eastAsia" w:ascii="仿宋" w:hAnsi="仿宋" w:eastAsia="仿宋" w:cs="仿宋"/>
          <w:b/>
          <w:color w:val="auto"/>
          <w:sz w:val="24"/>
          <w:szCs w:val="24"/>
          <w:highlight w:val="none"/>
          <w:lang w:eastAsia="zh-CN"/>
        </w:rPr>
        <w:t>竞争性磋商</w:t>
      </w:r>
      <w:r>
        <w:rPr>
          <w:rFonts w:hint="eastAsia" w:ascii="仿宋" w:hAnsi="仿宋" w:eastAsia="仿宋" w:cs="仿宋"/>
          <w:b/>
          <w:color w:val="auto"/>
          <w:sz w:val="24"/>
          <w:szCs w:val="24"/>
          <w:highlight w:val="none"/>
        </w:rPr>
        <w:t>采购</w:t>
      </w:r>
    </w:p>
    <w:p w14:paraId="6C3D431A">
      <w:pPr>
        <w:widowControl/>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出现下列情形之一的，采购人或者采购代理机构应当终止</w:t>
      </w:r>
      <w:r>
        <w:rPr>
          <w:rFonts w:hint="eastAsia" w:ascii="仿宋" w:hAnsi="仿宋" w:eastAsia="仿宋" w:cs="仿宋"/>
          <w:color w:val="auto"/>
          <w:kern w:val="0"/>
          <w:sz w:val="24"/>
          <w:szCs w:val="24"/>
          <w:highlight w:val="none"/>
          <w:lang w:eastAsia="zh-CN"/>
        </w:rPr>
        <w:t>竞争性磋商</w:t>
      </w:r>
      <w:r>
        <w:rPr>
          <w:rFonts w:hint="eastAsia" w:ascii="仿宋" w:hAnsi="仿宋" w:eastAsia="仿宋" w:cs="仿宋"/>
          <w:color w:val="auto"/>
          <w:kern w:val="0"/>
          <w:sz w:val="24"/>
          <w:szCs w:val="24"/>
          <w:highlight w:val="none"/>
        </w:rPr>
        <w:t>采购活动，</w:t>
      </w:r>
      <w:r>
        <w:rPr>
          <w:rFonts w:hint="eastAsia" w:ascii="仿宋" w:hAnsi="仿宋" w:eastAsia="仿宋" w:cs="仿宋"/>
          <w:color w:val="auto"/>
          <w:sz w:val="24"/>
          <w:szCs w:val="24"/>
          <w:highlight w:val="none"/>
        </w:rPr>
        <w:t>在财政部门指定的媒体上</w:t>
      </w:r>
      <w:r>
        <w:rPr>
          <w:rFonts w:hint="eastAsia" w:ascii="仿宋" w:hAnsi="仿宋" w:eastAsia="仿宋" w:cs="仿宋"/>
          <w:color w:val="auto"/>
          <w:kern w:val="0"/>
          <w:sz w:val="24"/>
          <w:szCs w:val="24"/>
          <w:highlight w:val="none"/>
        </w:rPr>
        <w:t xml:space="preserve">发布项目终止公告并说明原因，重新开展采购活动： </w:t>
      </w:r>
    </w:p>
    <w:p w14:paraId="71DBBCA7">
      <w:pPr>
        <w:widowControl/>
        <w:adjustRightInd w:val="0"/>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（1）因情况变化，不再符合规定的</w:t>
      </w:r>
      <w:r>
        <w:rPr>
          <w:rFonts w:hint="eastAsia" w:ascii="仿宋" w:hAnsi="仿宋" w:eastAsia="仿宋" w:cs="仿宋"/>
          <w:color w:val="auto"/>
          <w:kern w:val="0"/>
          <w:sz w:val="24"/>
          <w:szCs w:val="24"/>
          <w:highlight w:val="none"/>
          <w:lang w:eastAsia="zh-CN"/>
        </w:rPr>
        <w:t>竞争性磋商</w:t>
      </w:r>
      <w:r>
        <w:rPr>
          <w:rFonts w:hint="eastAsia" w:ascii="仿宋" w:hAnsi="仿宋" w:eastAsia="仿宋" w:cs="仿宋"/>
          <w:color w:val="auto"/>
          <w:kern w:val="0"/>
          <w:sz w:val="24"/>
          <w:szCs w:val="24"/>
          <w:highlight w:val="none"/>
        </w:rPr>
        <w:t>采购方式适用情形的；</w:t>
      </w:r>
    </w:p>
    <w:p w14:paraId="063EBC2B">
      <w:pPr>
        <w:widowControl/>
        <w:adjustRightInd w:val="0"/>
        <w:snapToGrid w:val="0"/>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（2）出现影响采购公正的违法、违规行为的；</w:t>
      </w:r>
    </w:p>
    <w:p w14:paraId="6CF554BD">
      <w:pPr>
        <w:widowControl/>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color w:val="auto"/>
          <w:kern w:val="0"/>
          <w:sz w:val="24"/>
          <w:szCs w:val="24"/>
          <w:highlight w:val="none"/>
        </w:rPr>
        <w:t>（3）除市场竞争不充分的科研项目，以及需要扶持的科技成果转化项目外，在采购过程中符合竞争要求的投标人或者报价未超过采购预算的投标人不足3家的，或者提交最后报价的投标人少于3家的。</w:t>
      </w:r>
    </w:p>
    <w:p w14:paraId="43CC35FA">
      <w:pPr>
        <w:widowControl/>
        <w:adjustRightInd w:val="0"/>
        <w:snapToGrid w:val="0"/>
        <w:spacing w:line="360" w:lineRule="auto"/>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重新评审</w:t>
      </w:r>
    </w:p>
    <w:p w14:paraId="30934716">
      <w:pPr>
        <w:widowControl/>
        <w:adjustRightInd w:val="0"/>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资格性审查认定错误和分值汇总计算错误、分项评分超出评分标准范围、客观分评分不一致、经评审小组一致认定评分畸高、畸低的情形外，采购人或者采购代理机构不以任何理由组织重新评审。采购人、采购代理机构发现评审小组未按照采购文件规定的评定中标的标准进行评审的，应当重新开展采购活动，并同时书面报告本级财政部门。</w:t>
      </w:r>
    </w:p>
    <w:p w14:paraId="095F5803">
      <w:pPr>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保密及串通行为</w:t>
      </w:r>
    </w:p>
    <w:p w14:paraId="1D447D62">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评审小组成员以及与评审工作有关的人员不得泄露评审情况以及评审过程中获悉的国家秘密、商业秘密。</w:t>
      </w:r>
    </w:p>
    <w:p w14:paraId="465784EC">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不得与</w:t>
      </w:r>
      <w:r>
        <w:rPr>
          <w:rFonts w:hint="eastAsia" w:ascii="仿宋" w:hAnsi="仿宋" w:eastAsia="仿宋" w:cs="仿宋"/>
          <w:color w:val="auto"/>
          <w:kern w:val="0"/>
          <w:sz w:val="24"/>
          <w:szCs w:val="24"/>
          <w:highlight w:val="none"/>
        </w:rPr>
        <w:t>采购人、采购代理机构、其他投标人恶意</w:t>
      </w:r>
      <w:r>
        <w:rPr>
          <w:rFonts w:hint="eastAsia" w:ascii="仿宋" w:hAnsi="仿宋" w:eastAsia="仿宋" w:cs="仿宋"/>
          <w:color w:val="auto"/>
          <w:sz w:val="24"/>
          <w:szCs w:val="24"/>
          <w:highlight w:val="none"/>
        </w:rPr>
        <w:t>串通；不得向</w:t>
      </w:r>
      <w:r>
        <w:rPr>
          <w:rFonts w:hint="eastAsia" w:ascii="仿宋" w:hAnsi="仿宋" w:eastAsia="仿宋" w:cs="仿宋"/>
          <w:color w:val="auto"/>
          <w:kern w:val="0"/>
          <w:sz w:val="24"/>
          <w:szCs w:val="24"/>
          <w:highlight w:val="none"/>
        </w:rPr>
        <w:t>采购人、采购代理机构</w:t>
      </w:r>
      <w:r>
        <w:rPr>
          <w:rFonts w:hint="eastAsia" w:ascii="仿宋" w:hAnsi="仿宋" w:eastAsia="仿宋" w:cs="仿宋"/>
          <w:color w:val="auto"/>
          <w:sz w:val="24"/>
          <w:szCs w:val="24"/>
          <w:highlight w:val="none"/>
        </w:rPr>
        <w:t>或者评审小组成员行贿或者提供其他不正当利益；不得提供虚假材料谋取中标；不得以任何方式干扰、影响采购工作。</w:t>
      </w:r>
    </w:p>
    <w:p w14:paraId="47409967">
      <w:pPr>
        <w:pStyle w:val="44"/>
        <w:adjustRightInd w:val="0"/>
        <w:snapToGrid w:val="0"/>
        <w:spacing w:before="0" w:beforeAutospacing="0" w:after="0" w:afterAutospacing="0"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有下列情形之一的，</w:t>
      </w:r>
      <w:r>
        <w:rPr>
          <w:rFonts w:hint="eastAsia" w:ascii="仿宋" w:hAnsi="仿宋" w:eastAsia="仿宋" w:cs="仿宋"/>
          <w:color w:val="auto"/>
          <w:sz w:val="24"/>
          <w:szCs w:val="24"/>
          <w:highlight w:val="none"/>
          <w:lang w:val="zh-CN"/>
        </w:rPr>
        <w:t>属于恶意串通，</w:t>
      </w:r>
      <w:r>
        <w:rPr>
          <w:rFonts w:hint="eastAsia" w:ascii="仿宋" w:hAnsi="仿宋" w:eastAsia="仿宋" w:cs="仿宋"/>
          <w:color w:val="auto"/>
          <w:sz w:val="24"/>
          <w:szCs w:val="24"/>
          <w:highlight w:val="none"/>
        </w:rPr>
        <w:t>中标无效，并</w:t>
      </w:r>
      <w:r>
        <w:rPr>
          <w:rFonts w:hint="eastAsia" w:ascii="仿宋" w:hAnsi="仿宋" w:eastAsia="仿宋" w:cs="仿宋"/>
          <w:color w:val="auto"/>
          <w:sz w:val="24"/>
          <w:szCs w:val="24"/>
          <w:highlight w:val="none"/>
          <w:lang w:val="zh-CN"/>
        </w:rPr>
        <w:t>依照《政府采购法》第七十七条的规定追究法律责任：</w:t>
      </w:r>
    </w:p>
    <w:p w14:paraId="03A2E80D">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直接或者间接从</w:t>
      </w:r>
      <w:r>
        <w:rPr>
          <w:rFonts w:hint="eastAsia" w:ascii="仿宋" w:hAnsi="仿宋" w:eastAsia="仿宋" w:cs="仿宋"/>
          <w:bCs/>
          <w:color w:val="auto"/>
          <w:sz w:val="24"/>
          <w:szCs w:val="24"/>
          <w:highlight w:val="none"/>
        </w:rPr>
        <w:t>采购人、采购代理机构</w:t>
      </w:r>
      <w:r>
        <w:rPr>
          <w:rFonts w:hint="eastAsia" w:ascii="仿宋" w:hAnsi="仿宋" w:eastAsia="仿宋" w:cs="仿宋"/>
          <w:color w:val="auto"/>
          <w:sz w:val="24"/>
          <w:szCs w:val="24"/>
          <w:highlight w:val="none"/>
        </w:rPr>
        <w:t>获得其他</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的相应情况，并修改其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w:t>
      </w:r>
    </w:p>
    <w:p w14:paraId="0DC5479D">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bCs/>
          <w:color w:val="auto"/>
          <w:sz w:val="24"/>
          <w:szCs w:val="24"/>
          <w:highlight w:val="none"/>
        </w:rPr>
        <w:t>采购人、采购代理机构</w:t>
      </w:r>
      <w:r>
        <w:rPr>
          <w:rFonts w:hint="eastAsia" w:ascii="仿宋" w:hAnsi="仿宋" w:eastAsia="仿宋" w:cs="仿宋"/>
          <w:color w:val="auto"/>
          <w:sz w:val="24"/>
          <w:szCs w:val="24"/>
          <w:highlight w:val="none"/>
        </w:rPr>
        <w:t>授意</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撤换、修改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w:t>
      </w:r>
    </w:p>
    <w:p w14:paraId="1CC3810A">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之间协商技术方案、合同条款以及报价等</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实质性内容的；</w:t>
      </w:r>
    </w:p>
    <w:p w14:paraId="0FDC08A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（4）属于同一集团、协会、商会等组织成员的</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按照该组织要求协同参加</w:t>
      </w:r>
      <w:r>
        <w:rPr>
          <w:rFonts w:hint="eastAsia" w:ascii="仿宋" w:hAnsi="仿宋" w:eastAsia="仿宋" w:cs="仿宋"/>
          <w:color w:val="auto"/>
          <w:sz w:val="24"/>
          <w:szCs w:val="24"/>
          <w:highlight w:val="none"/>
          <w:lang w:eastAsia="zh-CN"/>
        </w:rPr>
        <w:t>竞争性磋商</w:t>
      </w:r>
      <w:r>
        <w:rPr>
          <w:rFonts w:hint="eastAsia" w:ascii="仿宋" w:hAnsi="仿宋" w:eastAsia="仿宋" w:cs="仿宋"/>
          <w:color w:val="auto"/>
          <w:sz w:val="24"/>
          <w:szCs w:val="24"/>
          <w:highlight w:val="none"/>
        </w:rPr>
        <w:t>政府采购活动的；</w:t>
      </w:r>
    </w:p>
    <w:p w14:paraId="3EF29D58">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之间事先约定由某一特定</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中标的；</w:t>
      </w:r>
    </w:p>
    <w:p w14:paraId="3502F8E5">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之间商定部分</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放弃提交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或者退出投标或者放弃中标的；</w:t>
      </w:r>
    </w:p>
    <w:p w14:paraId="469DF29E">
      <w:pPr>
        <w:adjustRightInd w:val="0"/>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与</w:t>
      </w:r>
      <w:r>
        <w:rPr>
          <w:rFonts w:hint="eastAsia" w:ascii="仿宋" w:hAnsi="仿宋" w:eastAsia="仿宋" w:cs="仿宋"/>
          <w:bCs/>
          <w:color w:val="auto"/>
          <w:sz w:val="24"/>
          <w:szCs w:val="24"/>
          <w:highlight w:val="none"/>
        </w:rPr>
        <w:t>采购人、采购代理机构以及</w:t>
      </w:r>
      <w:r>
        <w:rPr>
          <w:rFonts w:hint="eastAsia" w:ascii="仿宋" w:hAnsi="仿宋" w:eastAsia="仿宋" w:cs="仿宋"/>
          <w:color w:val="auto"/>
          <w:sz w:val="24"/>
          <w:szCs w:val="24"/>
          <w:highlight w:val="none"/>
        </w:rPr>
        <w:t>评审小组成员之间、</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相互之间，为谋求特定</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中标或者排斥其他</w:t>
      </w:r>
      <w:r>
        <w:rPr>
          <w:rFonts w:hint="eastAsia" w:ascii="仿宋" w:hAnsi="仿宋" w:eastAsia="仿宋" w:cs="仿宋"/>
          <w:color w:val="auto"/>
          <w:kern w:val="0"/>
          <w:sz w:val="24"/>
          <w:szCs w:val="24"/>
          <w:highlight w:val="none"/>
        </w:rPr>
        <w:t>投标人</w:t>
      </w:r>
      <w:r>
        <w:rPr>
          <w:rFonts w:hint="eastAsia" w:ascii="仿宋" w:hAnsi="仿宋" w:eastAsia="仿宋" w:cs="仿宋"/>
          <w:color w:val="auto"/>
          <w:sz w:val="24"/>
          <w:szCs w:val="24"/>
          <w:highlight w:val="none"/>
        </w:rPr>
        <w:t>的其他串通行为的。</w:t>
      </w:r>
    </w:p>
    <w:p w14:paraId="7EB96F02">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（8）法律、行政法规或规章规定的其他串通行为。</w:t>
      </w:r>
    </w:p>
    <w:bookmarkEnd w:id="25"/>
    <w:bookmarkEnd w:id="26"/>
    <w:p w14:paraId="590E697F">
      <w:pPr>
        <w:rPr>
          <w:rFonts w:hint="eastAsia" w:ascii="仿宋" w:hAnsi="仿宋" w:eastAsia="仿宋" w:cs="仿宋"/>
          <w:color w:val="auto"/>
          <w:highlight w:val="none"/>
        </w:rPr>
      </w:pPr>
      <w:bookmarkStart w:id="30" w:name="_Toc25844"/>
      <w:bookmarkStart w:id="31" w:name="_Toc12906820"/>
      <w:bookmarkStart w:id="32" w:name="_Toc433113178"/>
      <w:bookmarkStart w:id="33" w:name="_Toc420948022"/>
      <w:r>
        <w:rPr>
          <w:rFonts w:hint="eastAsia" w:ascii="仿宋" w:hAnsi="仿宋" w:eastAsia="仿宋" w:cs="仿宋"/>
          <w:color w:val="auto"/>
          <w:highlight w:val="none"/>
        </w:rPr>
        <w:br w:type="page"/>
      </w:r>
    </w:p>
    <w:p w14:paraId="246275F9">
      <w:pPr>
        <w:pStyle w:val="2"/>
        <w:numPr>
          <w:ilvl w:val="0"/>
          <w:numId w:val="2"/>
        </w:numPr>
        <w:rPr>
          <w:rFonts w:hint="eastAsia" w:ascii="仿宋" w:hAnsi="仿宋" w:eastAsia="仿宋" w:cs="仿宋"/>
          <w:color w:val="auto"/>
          <w:highlight w:val="none"/>
        </w:rPr>
      </w:pPr>
      <w:r>
        <w:rPr>
          <w:rFonts w:hint="eastAsia" w:ascii="仿宋" w:hAnsi="仿宋" w:eastAsia="仿宋" w:cs="仿宋"/>
          <w:color w:val="auto"/>
          <w:highlight w:val="none"/>
        </w:rPr>
        <w:t xml:space="preserve"> 采购需求</w:t>
      </w:r>
      <w:bookmarkEnd w:id="30"/>
      <w:bookmarkEnd w:id="31"/>
    </w:p>
    <w:p w14:paraId="50A6ACB3">
      <w:pPr>
        <w:jc w:val="center"/>
        <w:rPr>
          <w:rFonts w:hint="default"/>
          <w:sz w:val="28"/>
          <w:szCs w:val="28"/>
        </w:rPr>
      </w:pPr>
      <w:bookmarkStart w:id="34" w:name="_Toc3804"/>
      <w:r>
        <w:rPr>
          <w:rFonts w:hint="default"/>
          <w:sz w:val="28"/>
          <w:szCs w:val="28"/>
        </w:rPr>
        <w:t>“健康新疆之时令节气与健康”健康科普网络直播服务项目</w:t>
      </w:r>
    </w:p>
    <w:p w14:paraId="0F54AE0A">
      <w:pPr>
        <w:jc w:val="center"/>
        <w:rPr>
          <w:sz w:val="28"/>
          <w:szCs w:val="28"/>
        </w:rPr>
      </w:pPr>
      <w:r>
        <w:rPr>
          <w:rFonts w:hint="default"/>
          <w:sz w:val="28"/>
          <w:szCs w:val="28"/>
        </w:rPr>
        <w:t>竞争性磋商技术参数</w:t>
      </w:r>
    </w:p>
    <w:p w14:paraId="0A556ED2">
      <w:pPr>
        <w:rPr>
          <w:rFonts w:hint="default"/>
        </w:rPr>
      </w:pPr>
      <w:r>
        <w:rPr>
          <w:rFonts w:hint="default"/>
        </w:rPr>
        <w:t>一、项目基本信息</w:t>
      </w:r>
    </w:p>
    <w:tbl>
      <w:tblPr>
        <w:tblStyle w:val="47"/>
        <w:tblW w:w="8522" w:type="dxa"/>
        <w:jc w:val="center"/>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66"/>
        <w:gridCol w:w="6556"/>
      </w:tblGrid>
      <w:tr w14:paraId="28268756">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1966"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6777CE1B">
            <w:pPr>
              <w:snapToGrid w:val="0"/>
              <w:rPr>
                <w:rFonts w:hint="default"/>
              </w:rPr>
            </w:pPr>
            <w:r>
              <w:rPr>
                <w:rFonts w:hint="default"/>
                <w:lang w:val="en-US" w:eastAsia="zh-CN"/>
              </w:rPr>
              <w:t>项目项</w:t>
            </w:r>
          </w:p>
        </w:tc>
        <w:tc>
          <w:tcPr>
            <w:tcW w:w="6556"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491DEFAF">
            <w:pPr>
              <w:snapToGrid w:val="0"/>
              <w:rPr>
                <w:rFonts w:hint="default"/>
              </w:rPr>
            </w:pPr>
            <w:r>
              <w:rPr>
                <w:rFonts w:hint="default"/>
                <w:lang w:val="en-US" w:eastAsia="zh-CN"/>
              </w:rPr>
              <w:t>详情</w:t>
            </w:r>
          </w:p>
        </w:tc>
      </w:tr>
      <w:tr w14:paraId="0FE3C580">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966"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5ABE515C">
            <w:pPr>
              <w:snapToGrid w:val="0"/>
              <w:rPr>
                <w:rFonts w:hint="default"/>
              </w:rPr>
            </w:pPr>
            <w:r>
              <w:rPr>
                <w:rFonts w:hint="default"/>
                <w:lang w:val="en-US" w:eastAsia="zh-CN"/>
              </w:rPr>
              <w:t>项目名称</w:t>
            </w:r>
          </w:p>
        </w:tc>
        <w:tc>
          <w:tcPr>
            <w:tcW w:w="6556"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6C45E815">
            <w:pPr>
              <w:snapToGrid w:val="0"/>
              <w:rPr>
                <w:rFonts w:hint="default"/>
              </w:rPr>
            </w:pPr>
            <w:r>
              <w:rPr>
                <w:rFonts w:hint="default"/>
                <w:lang w:val="en-US" w:eastAsia="zh-CN"/>
              </w:rPr>
              <w:t>“健康新疆之时令节气与健康”健康科普网络直播服务</w:t>
            </w:r>
          </w:p>
        </w:tc>
      </w:tr>
      <w:tr w14:paraId="1F9ECC6F">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966"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1FBF7CF7">
            <w:pPr>
              <w:snapToGrid w:val="0"/>
              <w:rPr>
                <w:rFonts w:hint="default"/>
              </w:rPr>
            </w:pPr>
            <w:r>
              <w:rPr>
                <w:rFonts w:hint="default"/>
                <w:lang w:val="en-US" w:eastAsia="zh-CN"/>
              </w:rPr>
              <w:t>服务周期</w:t>
            </w:r>
          </w:p>
        </w:tc>
        <w:tc>
          <w:tcPr>
            <w:tcW w:w="6556"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4AEB0052">
            <w:pPr>
              <w:snapToGrid w:val="0"/>
              <w:rPr>
                <w:rFonts w:hint="default"/>
              </w:rPr>
            </w:pPr>
            <w:r>
              <w:rPr>
                <w:rFonts w:hint="default"/>
                <w:lang w:val="en-US" w:eastAsia="zh-CN"/>
              </w:rPr>
              <w:t>2026年6月1日-2027年5月31日</w:t>
            </w:r>
          </w:p>
        </w:tc>
      </w:tr>
      <w:tr w14:paraId="6A60FC0D">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1966"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1356612B">
            <w:pPr>
              <w:snapToGrid w:val="0"/>
              <w:rPr>
                <w:rFonts w:hint="default"/>
              </w:rPr>
            </w:pPr>
            <w:r>
              <w:rPr>
                <w:rFonts w:hint="default"/>
                <w:lang w:val="en-US" w:eastAsia="zh-CN"/>
              </w:rPr>
              <w:t>项目预算</w:t>
            </w:r>
          </w:p>
        </w:tc>
        <w:tc>
          <w:tcPr>
            <w:tcW w:w="6556"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70698BF3">
            <w:pPr>
              <w:snapToGrid w:val="0"/>
              <w:rPr>
                <w:rFonts w:hint="default"/>
              </w:rPr>
            </w:pPr>
            <w:r>
              <w:rPr>
                <w:rFonts w:hint="default"/>
                <w:lang w:val="en-US" w:eastAsia="zh-CN"/>
              </w:rPr>
              <w:t>336000.00元（大写：人民币叁拾叁万陆仟元整）</w:t>
            </w:r>
          </w:p>
        </w:tc>
      </w:tr>
      <w:tr w14:paraId="6BDE1207">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966"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50ED33C8">
            <w:pPr>
              <w:snapToGrid w:val="0"/>
              <w:rPr>
                <w:rFonts w:hint="default"/>
              </w:rPr>
            </w:pPr>
            <w:r>
              <w:rPr>
                <w:rFonts w:hint="default"/>
                <w:lang w:val="en-US" w:eastAsia="zh-CN"/>
              </w:rPr>
              <w:t>采购方</w:t>
            </w:r>
          </w:p>
        </w:tc>
        <w:tc>
          <w:tcPr>
            <w:tcW w:w="6556"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4B1ECD29">
            <w:pPr>
              <w:snapToGrid w:val="0"/>
              <w:rPr>
                <w:rFonts w:hint="default"/>
              </w:rPr>
            </w:pPr>
            <w:r>
              <w:rPr>
                <w:rFonts w:hint="default"/>
                <w:lang w:val="en-US" w:eastAsia="zh-CN"/>
              </w:rPr>
              <w:t>新疆维吾尔自治区卫生健康委员会健康传播部</w:t>
            </w:r>
          </w:p>
        </w:tc>
      </w:tr>
      <w:tr w14:paraId="125A0132">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1966"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5A180256">
            <w:pPr>
              <w:snapToGrid w:val="0"/>
              <w:rPr>
                <w:rFonts w:hint="default"/>
              </w:rPr>
            </w:pPr>
            <w:r>
              <w:rPr>
                <w:rFonts w:hint="default"/>
                <w:lang w:val="en-US" w:eastAsia="zh-CN"/>
              </w:rPr>
              <w:t>*实质性要求</w:t>
            </w:r>
          </w:p>
        </w:tc>
        <w:tc>
          <w:tcPr>
            <w:tcW w:w="6556"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153EF688">
            <w:pPr>
              <w:snapToGrid w:val="0"/>
              <w:rPr>
                <w:rFonts w:hint="default"/>
              </w:rPr>
            </w:pPr>
            <w:r>
              <w:rPr>
                <w:rFonts w:hint="default"/>
                <w:lang w:val="en-US" w:eastAsia="zh-CN"/>
              </w:rPr>
              <w:t>未满足以下任意一项的响应文件按无效处理</w:t>
            </w:r>
          </w:p>
        </w:tc>
      </w:tr>
    </w:tbl>
    <w:p w14:paraId="2E305232">
      <w:pPr>
        <w:rPr>
          <w:rFonts w:hint="default"/>
        </w:rPr>
      </w:pPr>
      <w:r>
        <w:rPr>
          <w:rFonts w:hint="default"/>
        </w:rPr>
        <w:t>二、核心服务内容要求</w:t>
      </w:r>
    </w:p>
    <w:p w14:paraId="0B08A71C">
      <w:pPr>
        <w:rPr>
          <w:rFonts w:hint="default"/>
        </w:rPr>
      </w:pPr>
      <w:r>
        <w:rPr>
          <w:rFonts w:hint="default"/>
        </w:rPr>
        <w:t>服务商需完成两大类合计36场直播全流程服务，内容必须贴合新疆地域特色，不得直接挪用通用内地养生科普内容：</w:t>
      </w:r>
    </w:p>
    <w:p w14:paraId="647F9321">
      <w:pPr>
        <w:rPr>
          <w:rFonts w:hint="default"/>
        </w:rPr>
      </w:pPr>
      <w:r>
        <w:rPr>
          <w:rFonts w:hint="default"/>
        </w:rPr>
        <w:t>24场二十四节气主题直播：每场时长60-90分钟，内容需覆盖南北疆、荒漠高寒区差异化健康需求，结合当季新疆气候特点、高发疾病、</w:t>
      </w:r>
      <w:r>
        <w:rPr>
          <w:rFonts w:hint="eastAsia"/>
          <w:lang w:eastAsia="zh-CN"/>
        </w:rPr>
        <w:t>地域</w:t>
      </w:r>
      <w:r>
        <w:rPr>
          <w:rFonts w:hint="default"/>
        </w:rPr>
        <w:t>饮食文化设计科普内容，包含节气文化科普、新疆特色药膳/药茶教学、高发疾病防治、本地健康谣言辟谣、观众互动5个核心模块。</w:t>
      </w:r>
    </w:p>
    <w:p w14:paraId="0D7AA4AD">
      <w:pPr>
        <w:rPr>
          <w:rFonts w:hint="default"/>
        </w:rPr>
      </w:pPr>
      <w:r>
        <w:rPr>
          <w:rFonts w:hint="default"/>
        </w:rPr>
        <w:t>12场卫生健康节点日配套直播：每场时长60分钟，结合国家规定的卫生健康宣传节点（如世界环境日、全国高血压日等），同步开展专项健康科普，内容需适配新疆地方病、职业健康、农牧区健康素养现状定制。</w:t>
      </w:r>
    </w:p>
    <w:p w14:paraId="1C2CBCC3">
      <w:pPr>
        <w:rPr>
          <w:rFonts w:hint="default"/>
        </w:rPr>
      </w:pPr>
      <w:r>
        <w:rPr>
          <w:rFonts w:hint="default"/>
        </w:rPr>
        <w:t>三、核心技术参数</w:t>
      </w:r>
    </w:p>
    <w:p w14:paraId="07C93EDB">
      <w:pPr>
        <w:rPr>
          <w:rFonts w:hint="default"/>
        </w:rPr>
      </w:pPr>
      <w:r>
        <w:rPr>
          <w:rFonts w:hint="default"/>
        </w:rPr>
        <w:t>（一）内容生产参数</w:t>
      </w:r>
    </w:p>
    <w:tbl>
      <w:tblPr>
        <w:tblStyle w:val="47"/>
        <w:tblW w:w="8522" w:type="dxa"/>
        <w:jc w:val="center"/>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98"/>
        <w:gridCol w:w="5383"/>
        <w:gridCol w:w="2515"/>
      </w:tblGrid>
      <w:tr w14:paraId="01936C8E">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Header/>
          <w:jc w:val="center"/>
        </w:trPr>
        <w:tc>
          <w:tcPr>
            <w:tcW w:w="877"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68D60AF7">
            <w:pPr>
              <w:snapToGrid w:val="0"/>
              <w:ind w:left="0" w:leftChars="0" w:right="0" w:rightChars="0" w:firstLine="0" w:firstLineChars="0"/>
              <w:jc w:val="center"/>
              <w:rPr>
                <w:rFonts w:hint="default"/>
                <w:b/>
              </w:rPr>
            </w:pPr>
            <w:r>
              <w:rPr>
                <w:rFonts w:hint="default"/>
                <w:b/>
                <w:lang w:val="en-US" w:eastAsia="zh-CN"/>
              </w:rPr>
              <w:t>序号</w:t>
            </w:r>
          </w:p>
        </w:tc>
        <w:tc>
          <w:tcPr>
            <w:tcW w:w="616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6CA87968">
            <w:pPr>
              <w:snapToGrid w:val="0"/>
              <w:ind w:left="0" w:leftChars="0" w:right="0" w:rightChars="0" w:firstLine="0" w:firstLineChars="0"/>
              <w:jc w:val="center"/>
              <w:rPr>
                <w:rFonts w:hint="default"/>
                <w:b/>
              </w:rPr>
            </w:pPr>
            <w:r>
              <w:rPr>
                <w:rFonts w:hint="default"/>
                <w:b/>
                <w:lang w:val="en-US" w:eastAsia="zh-CN"/>
              </w:rPr>
              <w:t>指标要求</w:t>
            </w:r>
          </w:p>
        </w:tc>
        <w:tc>
          <w:tcPr>
            <w:tcW w:w="318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2DC7BD2B">
            <w:pPr>
              <w:snapToGrid w:val="0"/>
              <w:ind w:left="0" w:leftChars="0" w:right="0" w:rightChars="0" w:firstLine="0" w:firstLineChars="0"/>
              <w:jc w:val="center"/>
              <w:rPr>
                <w:rFonts w:hint="default"/>
                <w:b/>
              </w:rPr>
            </w:pPr>
            <w:r>
              <w:rPr>
                <w:rFonts w:hint="default"/>
                <w:b/>
                <w:lang w:val="en-US" w:eastAsia="zh-CN"/>
              </w:rPr>
              <w:t>备注</w:t>
            </w:r>
          </w:p>
        </w:tc>
      </w:tr>
      <w:tr w14:paraId="0ED79EB6">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77"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47857A75">
            <w:pPr>
              <w:snapToGrid w:val="0"/>
              <w:ind w:left="0" w:leftChars="0" w:right="0" w:rightChars="0" w:firstLine="0" w:firstLineChars="0"/>
              <w:jc w:val="center"/>
              <w:rPr>
                <w:rFonts w:hint="default"/>
              </w:rPr>
            </w:pPr>
            <w:r>
              <w:rPr>
                <w:rFonts w:hint="default"/>
                <w:lang w:val="en-US" w:eastAsia="zh-CN"/>
              </w:rPr>
              <w:t>*1</w:t>
            </w:r>
          </w:p>
        </w:tc>
        <w:tc>
          <w:tcPr>
            <w:tcW w:w="616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637F40D0">
            <w:pPr>
              <w:snapToGrid w:val="0"/>
              <w:ind w:left="0" w:leftChars="0" w:right="0" w:rightChars="0" w:firstLine="0" w:firstLineChars="0"/>
              <w:jc w:val="both"/>
              <w:rPr>
                <w:rFonts w:hint="default"/>
              </w:rPr>
            </w:pPr>
            <w:r>
              <w:rPr>
                <w:rFonts w:hint="default"/>
                <w:lang w:val="en-US" w:eastAsia="zh-CN"/>
              </w:rPr>
              <w:t>所有科普内容需经新疆本地副高及以上职称的临床、公卫、中医药专家审核，无科学错误、无违规表述、符合国家健康科普内容规范</w:t>
            </w:r>
          </w:p>
        </w:tc>
        <w:tc>
          <w:tcPr>
            <w:tcW w:w="318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002A7035">
            <w:pPr>
              <w:snapToGrid w:val="0"/>
              <w:ind w:left="0" w:leftChars="0" w:right="0" w:rightChars="0" w:firstLine="0" w:firstLineChars="0"/>
              <w:jc w:val="left"/>
              <w:rPr>
                <w:rFonts w:hint="default"/>
              </w:rPr>
            </w:pPr>
            <w:r>
              <w:rPr>
                <w:rFonts w:hint="default"/>
                <w:lang w:val="en-US" w:eastAsia="zh-CN"/>
              </w:rPr>
              <w:t>需提供专家审核记录作为验收依据</w:t>
            </w:r>
          </w:p>
        </w:tc>
      </w:tr>
      <w:tr w14:paraId="24C76753">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77"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1B390DF8">
            <w:pPr>
              <w:snapToGrid w:val="0"/>
              <w:ind w:left="0" w:leftChars="0" w:right="0" w:rightChars="0" w:firstLine="0" w:firstLineChars="0"/>
              <w:jc w:val="center"/>
              <w:rPr>
                <w:rFonts w:hint="default"/>
              </w:rPr>
            </w:pPr>
            <w:r>
              <w:rPr>
                <w:rFonts w:hint="default"/>
                <w:lang w:val="en-US" w:eastAsia="zh-CN"/>
              </w:rPr>
              <w:t>2</w:t>
            </w:r>
          </w:p>
        </w:tc>
        <w:tc>
          <w:tcPr>
            <w:tcW w:w="616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2D6CA8A4">
            <w:pPr>
              <w:snapToGrid w:val="0"/>
              <w:ind w:left="0" w:leftChars="0" w:right="0" w:rightChars="0" w:firstLine="0" w:firstLineChars="0"/>
              <w:jc w:val="both"/>
              <w:rPr>
                <w:rFonts w:hint="default"/>
              </w:rPr>
            </w:pPr>
            <w:r>
              <w:rPr>
                <w:rFonts w:hint="default"/>
                <w:lang w:val="en-US" w:eastAsia="zh-CN"/>
              </w:rPr>
              <w:t>每场直播内容结构严格遵循：3分钟开场→7分钟药膳/药茶实操教学→5分钟节气/节点文化科普→30分钟高发疾病防治讲解→10分钟观众互动→5分钟总结预告</w:t>
            </w:r>
          </w:p>
        </w:tc>
        <w:tc>
          <w:tcPr>
            <w:tcW w:w="318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19FDC62D">
            <w:pPr>
              <w:snapToGrid w:val="0"/>
              <w:ind w:left="0" w:leftChars="0" w:right="0" w:rightChars="0" w:firstLine="0" w:firstLineChars="0"/>
              <w:jc w:val="left"/>
              <w:rPr>
                <w:rFonts w:hint="default"/>
              </w:rPr>
            </w:pPr>
            <w:r>
              <w:rPr>
                <w:rFonts w:hint="default"/>
                <w:lang w:val="en-US" w:eastAsia="zh-CN"/>
              </w:rPr>
              <w:t>节气直播可根据内容需求延长至90分钟</w:t>
            </w:r>
          </w:p>
        </w:tc>
      </w:tr>
      <w:tr w14:paraId="6330F13B">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77"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20E928A8">
            <w:pPr>
              <w:snapToGrid w:val="0"/>
              <w:ind w:left="0" w:leftChars="0" w:right="0" w:rightChars="0" w:firstLine="0" w:firstLineChars="0"/>
              <w:jc w:val="center"/>
              <w:rPr>
                <w:rFonts w:hint="default"/>
              </w:rPr>
            </w:pPr>
            <w:r>
              <w:rPr>
                <w:rFonts w:hint="default"/>
                <w:lang w:val="en-US" w:eastAsia="zh-CN"/>
              </w:rPr>
              <w:t>3</w:t>
            </w:r>
          </w:p>
        </w:tc>
        <w:tc>
          <w:tcPr>
            <w:tcW w:w="616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3ADFF3B0">
            <w:pPr>
              <w:snapToGrid w:val="0"/>
              <w:ind w:left="0" w:leftChars="0" w:right="0" w:rightChars="0" w:firstLine="0" w:firstLineChars="0"/>
              <w:jc w:val="both"/>
              <w:rPr>
                <w:rFonts w:hint="default"/>
              </w:rPr>
            </w:pPr>
            <w:r>
              <w:rPr>
                <w:rFonts w:hint="default"/>
                <w:lang w:val="en-US" w:eastAsia="zh-CN"/>
              </w:rPr>
              <w:t>内容需覆盖三大特色板块：①地域差异化内容：针对南疆风沙防护、北疆冬季关节保健、高寒区高原反应预防设计专属内容；②民族食养内容：结合维吾尔族药茶、哈萨克族肉制品、蒙古族奶食等开发食养科普；③辟谣内容：每期至少拆解1个新疆本地流传的健康谣言，</w:t>
            </w:r>
            <w:r>
              <w:rPr>
                <w:rFonts w:hint="eastAsia"/>
                <w:lang w:val="en-US" w:eastAsia="zh-CN"/>
              </w:rPr>
              <w:t>可采</w:t>
            </w:r>
            <w:r>
              <w:rPr>
                <w:rFonts w:hint="default"/>
                <w:lang w:val="en-US" w:eastAsia="zh-CN"/>
              </w:rPr>
              <w:t>用实验、数据、临床案例佐证</w:t>
            </w:r>
          </w:p>
        </w:tc>
        <w:tc>
          <w:tcPr>
            <w:tcW w:w="318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73D2ADF3">
            <w:pPr>
              <w:snapToGrid w:val="0"/>
              <w:ind w:left="0" w:leftChars="0" w:right="0" w:rightChars="0" w:firstLine="0" w:firstLineChars="0"/>
              <w:jc w:val="left"/>
              <w:rPr>
                <w:rFonts w:hint="default"/>
              </w:rPr>
            </w:pPr>
          </w:p>
        </w:tc>
      </w:tr>
    </w:tbl>
    <w:p w14:paraId="13509C68">
      <w:pPr>
        <w:rPr>
          <w:rFonts w:hint="default"/>
        </w:rPr>
      </w:pPr>
      <w:r>
        <w:rPr>
          <w:rFonts w:hint="default"/>
        </w:rPr>
        <w:t>（二）直播技术参数</w:t>
      </w:r>
    </w:p>
    <w:tbl>
      <w:tblPr>
        <w:tblStyle w:val="47"/>
        <w:tblW w:w="142" w:type="dxa"/>
        <w:jc w:val="center"/>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3"/>
        <w:gridCol w:w="5986"/>
        <w:gridCol w:w="1923"/>
      </w:tblGrid>
      <w:tr w14:paraId="74F17145">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jc w:val="center"/>
        </w:trPr>
        <w:tc>
          <w:tcPr>
            <w:tcW w:w="61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17C0D0D7">
            <w:pPr>
              <w:keepNext/>
              <w:snapToGrid w:val="0"/>
              <w:ind w:left="0" w:leftChars="0" w:right="0" w:rightChars="0" w:firstLine="0" w:firstLineChars="0"/>
              <w:jc w:val="center"/>
              <w:rPr>
                <w:rFonts w:hint="default"/>
                <w:b/>
              </w:rPr>
            </w:pPr>
            <w:r>
              <w:rPr>
                <w:rFonts w:hint="default"/>
                <w:b/>
                <w:lang w:val="en-US" w:eastAsia="zh-CN"/>
              </w:rPr>
              <w:t>序号</w:t>
            </w:r>
          </w:p>
        </w:tc>
        <w:tc>
          <w:tcPr>
            <w:tcW w:w="5986"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4E71BB68">
            <w:pPr>
              <w:keepNext/>
              <w:snapToGrid w:val="0"/>
              <w:ind w:left="0" w:leftChars="0" w:right="0" w:rightChars="0" w:firstLine="0" w:firstLineChars="0"/>
              <w:jc w:val="center"/>
              <w:rPr>
                <w:rFonts w:hint="default"/>
                <w:b/>
              </w:rPr>
            </w:pPr>
            <w:r>
              <w:rPr>
                <w:rFonts w:hint="default"/>
                <w:b/>
                <w:lang w:val="en-US" w:eastAsia="zh-CN"/>
              </w:rPr>
              <w:t>指标要求</w:t>
            </w:r>
          </w:p>
        </w:tc>
        <w:tc>
          <w:tcPr>
            <w:tcW w:w="192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5CA95B36">
            <w:pPr>
              <w:keepNext/>
              <w:snapToGrid w:val="0"/>
              <w:ind w:left="0" w:leftChars="0" w:right="0" w:rightChars="0" w:firstLine="0" w:firstLineChars="0"/>
              <w:jc w:val="center"/>
              <w:rPr>
                <w:rFonts w:hint="default"/>
                <w:b/>
              </w:rPr>
            </w:pPr>
            <w:r>
              <w:rPr>
                <w:rFonts w:hint="default"/>
                <w:b/>
                <w:lang w:val="en-US" w:eastAsia="zh-CN"/>
              </w:rPr>
              <w:t>备注</w:t>
            </w:r>
          </w:p>
        </w:tc>
      </w:tr>
      <w:tr w14:paraId="2528B5CC">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61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2F95747B">
            <w:pPr>
              <w:keepNext/>
              <w:snapToGrid w:val="0"/>
              <w:ind w:left="0" w:leftChars="0" w:right="0" w:rightChars="0" w:firstLine="0" w:firstLineChars="0"/>
              <w:jc w:val="center"/>
              <w:rPr>
                <w:rFonts w:hint="default"/>
              </w:rPr>
            </w:pPr>
            <w:r>
              <w:rPr>
                <w:rFonts w:hint="default"/>
                <w:lang w:val="en-US" w:eastAsia="zh-CN"/>
              </w:rPr>
              <w:t>*1</w:t>
            </w:r>
          </w:p>
        </w:tc>
        <w:tc>
          <w:tcPr>
            <w:tcW w:w="5986"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45A1EA76">
            <w:pPr>
              <w:keepNext/>
              <w:snapToGrid w:val="0"/>
              <w:ind w:left="0" w:leftChars="0" w:right="0" w:rightChars="0" w:firstLine="0" w:firstLineChars="0"/>
              <w:jc w:val="both"/>
              <w:rPr>
                <w:rFonts w:hint="default"/>
              </w:rPr>
            </w:pPr>
            <w:r>
              <w:rPr>
                <w:rFonts w:hint="default"/>
                <w:lang w:val="en-US" w:eastAsia="zh-CN"/>
              </w:rPr>
              <w:t>支持同步推流至采购方指定平台：快手、抖音、微信视频号、微信公众号、丝路视听，直播全程无卡顿、无断流，信号故障率≤1%</w:t>
            </w:r>
          </w:p>
        </w:tc>
        <w:tc>
          <w:tcPr>
            <w:tcW w:w="192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0D635A5C">
            <w:pPr>
              <w:keepNext/>
              <w:snapToGrid w:val="0"/>
              <w:ind w:left="0" w:leftChars="0" w:right="0" w:rightChars="0" w:firstLine="0" w:firstLineChars="0"/>
              <w:jc w:val="left"/>
              <w:rPr>
                <w:rFonts w:hint="eastAsia" w:eastAsiaTheme="minorEastAsia"/>
                <w:lang w:eastAsia="zh-CN"/>
              </w:rPr>
            </w:pPr>
            <w:r>
              <w:rPr>
                <w:rFonts w:hint="eastAsia"/>
                <w:lang w:eastAsia="zh-CN"/>
              </w:rPr>
              <w:t>需负责账号的直播运维</w:t>
            </w:r>
          </w:p>
        </w:tc>
      </w:tr>
      <w:tr w14:paraId="6E10AB50">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61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52175DCE">
            <w:pPr>
              <w:keepNext/>
              <w:snapToGrid w:val="0"/>
              <w:ind w:left="0" w:leftChars="0" w:right="0" w:rightChars="0" w:firstLine="0" w:firstLineChars="0"/>
              <w:jc w:val="center"/>
              <w:rPr>
                <w:rFonts w:hint="default"/>
              </w:rPr>
            </w:pPr>
            <w:r>
              <w:rPr>
                <w:rFonts w:hint="default"/>
                <w:lang w:val="en-US" w:eastAsia="zh-CN"/>
              </w:rPr>
              <w:t>*2</w:t>
            </w:r>
          </w:p>
        </w:tc>
        <w:tc>
          <w:tcPr>
            <w:tcW w:w="5986"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7FF85C7D">
            <w:pPr>
              <w:keepNext/>
              <w:snapToGrid w:val="0"/>
              <w:ind w:left="0" w:leftChars="0" w:right="0" w:rightChars="0" w:firstLine="0" w:firstLineChars="0"/>
              <w:jc w:val="both"/>
              <w:rPr>
                <w:rFonts w:hint="default"/>
              </w:rPr>
            </w:pPr>
            <w:r>
              <w:rPr>
                <w:rFonts w:hint="default"/>
                <w:lang w:val="en-US" w:eastAsia="zh-CN"/>
              </w:rPr>
              <w:t>拍摄设备要求至少3机位4K高清摄像机，配备专业收音系统、补光系统，直播画面清晰、收音无杂音，支持实时字幕投放</w:t>
            </w:r>
          </w:p>
        </w:tc>
        <w:tc>
          <w:tcPr>
            <w:tcW w:w="192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18FB83AC">
            <w:pPr>
              <w:keepNext/>
              <w:snapToGrid w:val="0"/>
              <w:ind w:left="0" w:leftChars="0" w:right="0" w:rightChars="0" w:firstLine="0" w:firstLineChars="0"/>
              <w:jc w:val="left"/>
              <w:rPr>
                <w:rFonts w:hint="default"/>
              </w:rPr>
            </w:pPr>
          </w:p>
        </w:tc>
      </w:tr>
      <w:tr w14:paraId="7D8FCAB5">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61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19D11546">
            <w:pPr>
              <w:keepNext/>
              <w:snapToGrid w:val="0"/>
              <w:ind w:left="0" w:leftChars="0" w:right="0" w:rightChars="0" w:firstLine="0" w:firstLineChars="0"/>
              <w:jc w:val="center"/>
              <w:rPr>
                <w:rFonts w:hint="default"/>
              </w:rPr>
            </w:pPr>
            <w:r>
              <w:rPr>
                <w:rFonts w:hint="default"/>
                <w:lang w:val="en-US" w:eastAsia="zh-CN"/>
              </w:rPr>
              <w:t>3</w:t>
            </w:r>
          </w:p>
        </w:tc>
        <w:tc>
          <w:tcPr>
            <w:tcW w:w="5986"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1D0C239D">
            <w:pPr>
              <w:keepNext/>
              <w:snapToGrid w:val="0"/>
              <w:ind w:left="0" w:leftChars="0" w:right="0" w:rightChars="0" w:firstLine="0" w:firstLineChars="0"/>
              <w:jc w:val="both"/>
              <w:rPr>
                <w:rFonts w:hint="default"/>
              </w:rPr>
            </w:pPr>
            <w:r>
              <w:rPr>
                <w:rFonts w:hint="default"/>
                <w:lang w:val="en-US" w:eastAsia="zh-CN"/>
              </w:rPr>
              <w:t>直播间设置需包含主讲区（专家+主持人访谈）、品鉴区（药膳/药茶操作）两大功能区，视觉元素融合新疆地貌、节气符号、健康标识</w:t>
            </w:r>
          </w:p>
        </w:tc>
        <w:tc>
          <w:tcPr>
            <w:tcW w:w="192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3ACE7DC9">
            <w:pPr>
              <w:keepNext/>
              <w:snapToGrid w:val="0"/>
              <w:ind w:left="0" w:leftChars="0" w:right="0" w:rightChars="0" w:firstLine="0" w:firstLineChars="0"/>
              <w:jc w:val="left"/>
              <w:rPr>
                <w:rFonts w:hint="default"/>
              </w:rPr>
            </w:pPr>
            <w:r>
              <w:rPr>
                <w:rFonts w:hint="default"/>
                <w:lang w:val="en-US" w:eastAsia="zh-CN"/>
              </w:rPr>
              <w:t>可根据主题需求选择演播室、户外场景开展直播</w:t>
            </w:r>
          </w:p>
        </w:tc>
      </w:tr>
      <w:tr w14:paraId="318AF59D">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61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5001D45F">
            <w:pPr>
              <w:keepNext/>
              <w:snapToGrid w:val="0"/>
              <w:ind w:left="0" w:leftChars="0" w:right="0" w:rightChars="0" w:firstLine="0" w:firstLineChars="0"/>
              <w:jc w:val="center"/>
              <w:rPr>
                <w:rFonts w:hint="default"/>
              </w:rPr>
            </w:pPr>
            <w:r>
              <w:rPr>
                <w:rFonts w:hint="default"/>
                <w:lang w:val="en-US" w:eastAsia="zh-CN"/>
              </w:rPr>
              <w:t>4</w:t>
            </w:r>
          </w:p>
        </w:tc>
        <w:tc>
          <w:tcPr>
            <w:tcW w:w="5986"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490880F9">
            <w:pPr>
              <w:keepNext/>
              <w:snapToGrid w:val="0"/>
              <w:ind w:left="0" w:leftChars="0" w:right="0" w:rightChars="0" w:firstLine="0" w:firstLineChars="0"/>
              <w:jc w:val="both"/>
              <w:rPr>
                <w:rFonts w:hint="default"/>
              </w:rPr>
            </w:pPr>
            <w:r>
              <w:rPr>
                <w:rFonts w:hint="default"/>
                <w:lang w:val="en-US" w:eastAsia="zh-CN"/>
              </w:rPr>
              <w:t>如遇户外直播需配备便携式5G直播设备，保证偏远农牧区直播信号稳定</w:t>
            </w:r>
          </w:p>
        </w:tc>
        <w:tc>
          <w:tcPr>
            <w:tcW w:w="1923"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31034BD6">
            <w:pPr>
              <w:keepNext/>
              <w:snapToGrid w:val="0"/>
              <w:ind w:left="0" w:leftChars="0" w:right="0" w:rightChars="0" w:firstLine="0" w:firstLineChars="0"/>
              <w:jc w:val="left"/>
              <w:rPr>
                <w:rFonts w:hint="default"/>
              </w:rPr>
            </w:pPr>
          </w:p>
        </w:tc>
      </w:tr>
    </w:tbl>
    <w:p w14:paraId="3243FAEA">
      <w:pPr>
        <w:rPr>
          <w:rFonts w:hint="default"/>
        </w:rPr>
      </w:pPr>
      <w:r>
        <w:rPr>
          <w:rFonts w:hint="default"/>
        </w:rPr>
        <w:t>（三）宣发及传播参数</w:t>
      </w:r>
    </w:p>
    <w:tbl>
      <w:tblPr>
        <w:tblStyle w:val="47"/>
        <w:tblW w:w="8522" w:type="dxa"/>
        <w:jc w:val="center"/>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82"/>
        <w:gridCol w:w="5190"/>
        <w:gridCol w:w="2724"/>
      </w:tblGrid>
      <w:tr w14:paraId="620F9E68">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jc w:val="center"/>
        </w:trPr>
        <w:tc>
          <w:tcPr>
            <w:tcW w:w="871"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1A40E2D7">
            <w:pPr>
              <w:snapToGrid w:val="0"/>
              <w:ind w:left="0" w:leftChars="0" w:right="0" w:rightChars="0" w:firstLine="0" w:firstLineChars="0"/>
              <w:jc w:val="center"/>
              <w:rPr>
                <w:rFonts w:hint="default"/>
                <w:b/>
              </w:rPr>
            </w:pPr>
            <w:r>
              <w:rPr>
                <w:rFonts w:hint="default"/>
                <w:b/>
                <w:lang w:val="en-US" w:eastAsia="zh-CN"/>
              </w:rPr>
              <w:t>序号</w:t>
            </w:r>
          </w:p>
        </w:tc>
        <w:tc>
          <w:tcPr>
            <w:tcW w:w="6057"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40373B66">
            <w:pPr>
              <w:snapToGrid w:val="0"/>
              <w:ind w:left="0" w:leftChars="0" w:right="0" w:rightChars="0" w:firstLine="0" w:firstLineChars="0"/>
              <w:jc w:val="center"/>
              <w:rPr>
                <w:rFonts w:hint="default"/>
                <w:b/>
              </w:rPr>
            </w:pPr>
            <w:r>
              <w:rPr>
                <w:rFonts w:hint="default"/>
                <w:b/>
                <w:lang w:val="en-US" w:eastAsia="zh-CN"/>
              </w:rPr>
              <w:t>指标要求</w:t>
            </w:r>
          </w:p>
        </w:tc>
        <w:tc>
          <w:tcPr>
            <w:tcW w:w="1594"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40A9AF62">
            <w:pPr>
              <w:snapToGrid w:val="0"/>
              <w:ind w:left="0" w:leftChars="0" w:right="0" w:rightChars="0" w:firstLine="0" w:firstLineChars="0"/>
              <w:jc w:val="center"/>
              <w:rPr>
                <w:rFonts w:hint="default"/>
                <w:b/>
              </w:rPr>
            </w:pPr>
            <w:r>
              <w:rPr>
                <w:rFonts w:hint="default"/>
                <w:b/>
                <w:lang w:val="en-US" w:eastAsia="zh-CN"/>
              </w:rPr>
              <w:t>备注</w:t>
            </w:r>
          </w:p>
        </w:tc>
      </w:tr>
      <w:tr w14:paraId="1A32498B">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71"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4B9554D7">
            <w:pPr>
              <w:snapToGrid w:val="0"/>
              <w:ind w:left="0" w:leftChars="0" w:right="0" w:rightChars="0" w:firstLine="0" w:firstLineChars="0"/>
              <w:jc w:val="center"/>
              <w:rPr>
                <w:rFonts w:hint="default"/>
              </w:rPr>
            </w:pPr>
            <w:r>
              <w:rPr>
                <w:rFonts w:hint="default"/>
                <w:lang w:val="en-US" w:eastAsia="zh-CN"/>
              </w:rPr>
              <w:t>*1</w:t>
            </w:r>
          </w:p>
        </w:tc>
        <w:tc>
          <w:tcPr>
            <w:tcW w:w="6057"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2031717D">
            <w:pPr>
              <w:snapToGrid w:val="0"/>
              <w:ind w:left="0" w:leftChars="0" w:right="0" w:rightChars="0" w:firstLine="0" w:firstLineChars="0"/>
              <w:jc w:val="center"/>
              <w:rPr>
                <w:rFonts w:hint="default"/>
              </w:rPr>
            </w:pPr>
            <w:r>
              <w:rPr>
                <w:rFonts w:hint="default"/>
                <w:lang w:val="en-US" w:eastAsia="zh-CN"/>
              </w:rPr>
              <w:t>项目全周期累计全网直播观看人次≥400万</w:t>
            </w:r>
          </w:p>
        </w:tc>
        <w:tc>
          <w:tcPr>
            <w:tcW w:w="1594"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51077423">
            <w:pPr>
              <w:snapToGrid w:val="0"/>
              <w:ind w:left="0" w:leftChars="0" w:right="0" w:rightChars="0" w:firstLine="0" w:firstLineChars="0"/>
              <w:jc w:val="left"/>
              <w:rPr>
                <w:rFonts w:hint="default"/>
              </w:rPr>
            </w:pPr>
            <w:r>
              <w:rPr>
                <w:rFonts w:hint="default"/>
                <w:lang w:val="en-US" w:eastAsia="zh-CN"/>
              </w:rPr>
              <w:t>需提供各平台官方后台数据截图作为验收依据</w:t>
            </w:r>
          </w:p>
        </w:tc>
      </w:tr>
      <w:tr w14:paraId="758E51A0">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871"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54536A3C">
            <w:pPr>
              <w:snapToGrid w:val="0"/>
              <w:ind w:left="0" w:leftChars="0" w:right="0" w:rightChars="0" w:firstLine="0" w:firstLineChars="0"/>
              <w:jc w:val="center"/>
              <w:rPr>
                <w:rFonts w:hint="default"/>
              </w:rPr>
            </w:pPr>
            <w:r>
              <w:rPr>
                <w:rFonts w:hint="default"/>
                <w:lang w:val="en-US" w:eastAsia="zh-CN"/>
              </w:rPr>
              <w:t>2</w:t>
            </w:r>
          </w:p>
        </w:tc>
        <w:tc>
          <w:tcPr>
            <w:tcW w:w="6057"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4C484771">
            <w:pPr>
              <w:snapToGrid w:val="0"/>
              <w:ind w:left="0" w:leftChars="0" w:right="0" w:rightChars="0" w:firstLine="0" w:firstLineChars="0"/>
              <w:jc w:val="both"/>
              <w:rPr>
                <w:rFonts w:hint="default"/>
              </w:rPr>
            </w:pPr>
            <w:r>
              <w:rPr>
                <w:rFonts w:hint="default"/>
                <w:lang w:val="en-US" w:eastAsia="zh-CN"/>
              </w:rPr>
              <w:t>预热要求：提前3天发布电子海报（主视觉、药膳预告、专家介绍、互动悬念）；提前3天发布抖音/快手15秒悬念短视频；提前1天发布微信视频号60秒专家预告片；提前3天发布公众号图文预告</w:t>
            </w:r>
          </w:p>
        </w:tc>
        <w:tc>
          <w:tcPr>
            <w:tcW w:w="1594"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68F91CB2">
            <w:pPr>
              <w:snapToGrid w:val="0"/>
              <w:ind w:left="0" w:leftChars="0" w:right="0" w:rightChars="0" w:firstLine="0" w:firstLineChars="0"/>
              <w:jc w:val="left"/>
              <w:rPr>
                <w:rFonts w:hint="default"/>
              </w:rPr>
            </w:pPr>
            <w:r>
              <w:rPr>
                <w:rFonts w:hint="default"/>
                <w:lang w:val="en-US" w:eastAsia="zh-CN"/>
              </w:rPr>
              <w:t>所有预热物料需经采购方审核后上线</w:t>
            </w:r>
          </w:p>
        </w:tc>
      </w:tr>
      <w:tr w14:paraId="01FE66E2">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71"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333FBCCB">
            <w:pPr>
              <w:snapToGrid w:val="0"/>
              <w:ind w:left="0" w:leftChars="0" w:right="0" w:rightChars="0" w:firstLine="0" w:firstLineChars="0"/>
              <w:jc w:val="center"/>
              <w:rPr>
                <w:rFonts w:hint="default"/>
              </w:rPr>
            </w:pPr>
            <w:r>
              <w:rPr>
                <w:rFonts w:hint="default"/>
                <w:lang w:val="en-US" w:eastAsia="zh-CN"/>
              </w:rPr>
              <w:t>3</w:t>
            </w:r>
          </w:p>
        </w:tc>
        <w:tc>
          <w:tcPr>
            <w:tcW w:w="6057"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3F8ECB1E">
            <w:pPr>
              <w:snapToGrid w:val="0"/>
              <w:ind w:left="0" w:leftChars="0" w:right="0" w:rightChars="0" w:firstLine="0" w:firstLineChars="0"/>
              <w:jc w:val="both"/>
              <w:rPr>
                <w:rFonts w:hint="default"/>
              </w:rPr>
            </w:pPr>
            <w:r>
              <w:rPr>
                <w:rFonts w:hint="default"/>
                <w:lang w:val="en-US" w:eastAsia="zh-CN"/>
              </w:rPr>
              <w:t>二次传播要求：每场直播结束24小时内发布要点梳理推文（含节气知识摘要、药膳配方、专家答疑精选）；直播结束3个工作日内产出至少3条精华短视频：5分钟药膳教程、1分钟专家金句集锦、观众互动片段</w:t>
            </w:r>
            <w:r>
              <w:rPr>
                <w:rFonts w:hint="eastAsia"/>
                <w:lang w:val="en-US" w:eastAsia="zh-CN"/>
              </w:rPr>
              <w:t>等体现直播要点的内容</w:t>
            </w:r>
          </w:p>
        </w:tc>
        <w:tc>
          <w:tcPr>
            <w:tcW w:w="1594"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7D489338">
            <w:pPr>
              <w:snapToGrid w:val="0"/>
              <w:ind w:left="0" w:leftChars="0" w:right="0" w:rightChars="0" w:firstLine="0" w:firstLineChars="0"/>
              <w:jc w:val="left"/>
              <w:rPr>
                <w:rFonts w:hint="default"/>
              </w:rPr>
            </w:pPr>
            <w:r>
              <w:rPr>
                <w:rFonts w:hint="default"/>
                <w:lang w:val="en-US" w:eastAsia="zh-CN"/>
              </w:rPr>
              <w:t>所有二次传播内容需同步推送到全平台矩阵</w:t>
            </w:r>
          </w:p>
        </w:tc>
      </w:tr>
      <w:tr w14:paraId="4496465A">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71"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47AC815D">
            <w:pPr>
              <w:snapToGrid w:val="0"/>
              <w:ind w:left="0" w:leftChars="0" w:right="0" w:rightChars="0" w:firstLine="0" w:firstLineChars="0"/>
              <w:jc w:val="center"/>
              <w:rPr>
                <w:rFonts w:hint="default"/>
              </w:rPr>
            </w:pPr>
            <w:r>
              <w:rPr>
                <w:rFonts w:hint="default"/>
                <w:lang w:val="en-US" w:eastAsia="zh-CN"/>
              </w:rPr>
              <w:t>4</w:t>
            </w:r>
          </w:p>
        </w:tc>
        <w:tc>
          <w:tcPr>
            <w:tcW w:w="6057"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63EEDF6B">
            <w:pPr>
              <w:snapToGrid w:val="0"/>
              <w:ind w:left="0" w:leftChars="0" w:right="0" w:rightChars="0" w:firstLine="0" w:firstLineChars="0"/>
              <w:jc w:val="both"/>
              <w:rPr>
                <w:rFonts w:hint="default"/>
              </w:rPr>
            </w:pPr>
            <w:r>
              <w:rPr>
                <w:rFonts w:hint="default"/>
                <w:lang w:val="en-US" w:eastAsia="zh-CN"/>
              </w:rPr>
              <w:t>每月提交月度运营报告，包含当月直播数据、受众反馈、优化建议；项目结束后10个工作日内提交完整年度复盘报告</w:t>
            </w:r>
          </w:p>
        </w:tc>
        <w:tc>
          <w:tcPr>
            <w:tcW w:w="1594"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26E91CB8">
            <w:pPr>
              <w:snapToGrid w:val="0"/>
              <w:ind w:left="0" w:leftChars="0" w:right="0" w:rightChars="0" w:firstLine="0" w:firstLineChars="0"/>
              <w:jc w:val="left"/>
              <w:rPr>
                <w:rFonts w:hint="default"/>
              </w:rPr>
            </w:pPr>
          </w:p>
        </w:tc>
      </w:tr>
    </w:tbl>
    <w:p w14:paraId="4B5FA549">
      <w:pPr>
        <w:rPr>
          <w:rFonts w:hint="default"/>
        </w:rPr>
      </w:pPr>
      <w:r>
        <w:rPr>
          <w:rFonts w:hint="default"/>
        </w:rPr>
        <w:t>四、项目团队配置要求</w:t>
      </w:r>
    </w:p>
    <w:tbl>
      <w:tblPr>
        <w:tblStyle w:val="47"/>
        <w:tblW w:w="8353" w:type="dxa"/>
        <w:jc w:val="center"/>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85"/>
        <w:gridCol w:w="796"/>
        <w:gridCol w:w="6240"/>
      </w:tblGrid>
      <w:tr w14:paraId="13162B3C">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jc w:val="center"/>
        </w:trPr>
        <w:tc>
          <w:tcPr>
            <w:tcW w:w="1485"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14238A83">
            <w:pPr>
              <w:snapToGrid w:val="0"/>
              <w:ind w:left="0" w:leftChars="0" w:right="0" w:rightChars="0" w:firstLine="0" w:firstLineChars="0"/>
              <w:jc w:val="center"/>
              <w:rPr>
                <w:rFonts w:hint="default"/>
                <w:b/>
              </w:rPr>
            </w:pPr>
            <w:r>
              <w:rPr>
                <w:rFonts w:hint="default"/>
                <w:b/>
                <w:lang w:val="en-US" w:eastAsia="zh-CN"/>
              </w:rPr>
              <w:t>岗位</w:t>
            </w:r>
          </w:p>
        </w:tc>
        <w:tc>
          <w:tcPr>
            <w:tcW w:w="796"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24F62A7D">
            <w:pPr>
              <w:snapToGrid w:val="0"/>
              <w:ind w:left="0" w:leftChars="0" w:right="0" w:rightChars="0" w:firstLine="0" w:firstLineChars="0"/>
              <w:jc w:val="center"/>
              <w:rPr>
                <w:rFonts w:hint="default"/>
                <w:b/>
              </w:rPr>
            </w:pPr>
            <w:r>
              <w:rPr>
                <w:rFonts w:hint="default"/>
                <w:b/>
                <w:lang w:val="en-US" w:eastAsia="zh-CN"/>
              </w:rPr>
              <w:t>人数</w:t>
            </w:r>
          </w:p>
        </w:tc>
        <w:tc>
          <w:tcPr>
            <w:tcW w:w="6240"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234ABB08">
            <w:pPr>
              <w:snapToGrid w:val="0"/>
              <w:ind w:left="0" w:leftChars="0" w:right="0" w:rightChars="0" w:firstLine="0" w:firstLineChars="0"/>
              <w:jc w:val="center"/>
              <w:rPr>
                <w:rFonts w:hint="default"/>
                <w:b/>
              </w:rPr>
            </w:pPr>
            <w:r>
              <w:rPr>
                <w:rFonts w:hint="default"/>
                <w:b/>
                <w:lang w:val="en-US" w:eastAsia="zh-CN"/>
              </w:rPr>
              <w:t>资质要求</w:t>
            </w:r>
          </w:p>
        </w:tc>
      </w:tr>
      <w:tr w14:paraId="3B995C4A">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1485"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04E66BD1">
            <w:pPr>
              <w:snapToGrid w:val="0"/>
              <w:ind w:left="0" w:leftChars="0" w:right="0" w:rightChars="0" w:firstLine="0" w:firstLineChars="0"/>
              <w:jc w:val="center"/>
              <w:rPr>
                <w:rFonts w:hint="default"/>
              </w:rPr>
            </w:pPr>
            <w:r>
              <w:rPr>
                <w:rFonts w:hint="default"/>
                <w:lang w:val="en-US" w:eastAsia="zh-CN"/>
              </w:rPr>
              <w:t>直播总导演</w:t>
            </w:r>
          </w:p>
        </w:tc>
        <w:tc>
          <w:tcPr>
            <w:tcW w:w="796"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668849B0">
            <w:pPr>
              <w:snapToGrid w:val="0"/>
              <w:ind w:left="0" w:leftChars="0" w:right="0" w:rightChars="0" w:firstLine="0" w:firstLineChars="0"/>
              <w:jc w:val="center"/>
              <w:rPr>
                <w:rFonts w:hint="default"/>
              </w:rPr>
            </w:pPr>
            <w:r>
              <w:rPr>
                <w:rFonts w:hint="default"/>
                <w:lang w:val="en-US" w:eastAsia="zh-CN"/>
              </w:rPr>
              <w:t>1人</w:t>
            </w:r>
          </w:p>
        </w:tc>
        <w:tc>
          <w:tcPr>
            <w:tcW w:w="6240"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0D8C606B">
            <w:pPr>
              <w:snapToGrid w:val="0"/>
              <w:ind w:left="0" w:leftChars="0" w:right="0" w:rightChars="0" w:firstLine="0" w:firstLineChars="0"/>
              <w:jc w:val="left"/>
              <w:rPr>
                <w:rFonts w:hint="default"/>
              </w:rPr>
            </w:pPr>
            <w:r>
              <w:rPr>
                <w:rFonts w:hint="default"/>
                <w:lang w:val="en-US" w:eastAsia="zh-CN"/>
              </w:rPr>
              <w:t>具备3年以上健康类直播项目统筹经验，主导过单场观看量≥10万的健康科普直播项目，需提供相关项目证明</w:t>
            </w:r>
          </w:p>
        </w:tc>
      </w:tr>
      <w:tr w14:paraId="35111DE5">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485"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46C40BB0">
            <w:pPr>
              <w:snapToGrid w:val="0"/>
              <w:ind w:left="0" w:leftChars="0" w:right="0" w:rightChars="0" w:firstLine="0" w:firstLineChars="0"/>
              <w:jc w:val="center"/>
              <w:rPr>
                <w:rFonts w:hint="default"/>
              </w:rPr>
            </w:pPr>
            <w:r>
              <w:rPr>
                <w:rFonts w:hint="default"/>
                <w:lang w:val="en-US" w:eastAsia="zh-CN"/>
              </w:rPr>
              <w:t>内容策划组</w:t>
            </w:r>
          </w:p>
        </w:tc>
        <w:tc>
          <w:tcPr>
            <w:tcW w:w="796"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7174B4AA">
            <w:pPr>
              <w:snapToGrid w:val="0"/>
              <w:ind w:left="0" w:leftChars="0" w:right="0" w:rightChars="0" w:firstLine="0" w:firstLineChars="0"/>
              <w:jc w:val="center"/>
              <w:rPr>
                <w:rFonts w:hint="default"/>
              </w:rPr>
            </w:pPr>
            <w:r>
              <w:rPr>
                <w:rFonts w:hint="default"/>
                <w:lang w:val="en-US" w:eastAsia="zh-CN"/>
              </w:rPr>
              <w:t>2人</w:t>
            </w:r>
          </w:p>
        </w:tc>
        <w:tc>
          <w:tcPr>
            <w:tcW w:w="6240"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17D3C4A1">
            <w:pPr>
              <w:snapToGrid w:val="0"/>
              <w:ind w:left="0" w:leftChars="0" w:right="0" w:rightChars="0" w:firstLine="0" w:firstLineChars="0"/>
              <w:jc w:val="left"/>
              <w:rPr>
                <w:rFonts w:hint="default"/>
              </w:rPr>
            </w:pPr>
            <w:r>
              <w:rPr>
                <w:rFonts w:hint="default"/>
                <w:lang w:val="en-US" w:eastAsia="zh-CN"/>
              </w:rPr>
              <w:t>至少1人具备中医药科普内容策划经验，1人熟悉新疆地域文化、民族饮食、地方病防控特点，能独立撰写符合新疆受众需求的科普脚本</w:t>
            </w:r>
          </w:p>
        </w:tc>
      </w:tr>
      <w:tr w14:paraId="340A3CB0">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485"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4663CE33">
            <w:pPr>
              <w:snapToGrid w:val="0"/>
              <w:ind w:left="0" w:leftChars="0" w:right="0" w:rightChars="0" w:firstLine="0" w:firstLineChars="0"/>
              <w:jc w:val="center"/>
              <w:rPr>
                <w:rFonts w:hint="default"/>
              </w:rPr>
            </w:pPr>
            <w:r>
              <w:rPr>
                <w:rFonts w:hint="default"/>
                <w:lang w:val="en-US" w:eastAsia="zh-CN"/>
              </w:rPr>
              <w:t>制作技术组</w:t>
            </w:r>
          </w:p>
        </w:tc>
        <w:tc>
          <w:tcPr>
            <w:tcW w:w="796"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3FBC21D1">
            <w:pPr>
              <w:snapToGrid w:val="0"/>
              <w:ind w:left="0" w:leftChars="0" w:right="0" w:rightChars="0" w:firstLine="0" w:firstLineChars="0"/>
              <w:jc w:val="center"/>
              <w:rPr>
                <w:rFonts w:hint="default"/>
              </w:rPr>
            </w:pPr>
            <w:r>
              <w:rPr>
                <w:rFonts w:hint="default"/>
                <w:lang w:val="en-US" w:eastAsia="zh-CN"/>
              </w:rPr>
              <w:t>5人</w:t>
            </w:r>
          </w:p>
        </w:tc>
        <w:tc>
          <w:tcPr>
            <w:tcW w:w="6240"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7862F849">
            <w:pPr>
              <w:snapToGrid w:val="0"/>
              <w:ind w:left="0" w:leftChars="0" w:right="0" w:rightChars="0" w:firstLine="0" w:firstLineChars="0"/>
              <w:jc w:val="left"/>
              <w:rPr>
                <w:rFonts w:hint="default"/>
              </w:rPr>
            </w:pPr>
            <w:r>
              <w:rPr>
                <w:rFonts w:hint="default"/>
                <w:lang w:val="en-US" w:eastAsia="zh-CN"/>
              </w:rPr>
              <w:t>包含导播1人、摄像2人、后期剪辑1人、技术保障1人，所有人员具备2年以上直播项目从业经验，导播需具备多平台同步推流实操经验</w:t>
            </w:r>
          </w:p>
        </w:tc>
      </w:tr>
      <w:tr w14:paraId="2833C78A">
        <w:tblPrEx>
          <w:tblBorders>
            <w:top w:val="single" w:color="C6CBD1" w:sz="6"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485"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51A82583">
            <w:pPr>
              <w:snapToGrid w:val="0"/>
              <w:ind w:left="0" w:leftChars="0" w:right="0" w:rightChars="0" w:firstLine="0" w:firstLineChars="0"/>
              <w:jc w:val="center"/>
              <w:rPr>
                <w:rFonts w:hint="default"/>
              </w:rPr>
            </w:pPr>
            <w:r>
              <w:rPr>
                <w:rFonts w:hint="default"/>
                <w:lang w:val="en-US" w:eastAsia="zh-CN"/>
              </w:rPr>
              <w:t>*直播执行组</w:t>
            </w:r>
          </w:p>
        </w:tc>
        <w:tc>
          <w:tcPr>
            <w:tcW w:w="796"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13E88589">
            <w:pPr>
              <w:snapToGrid w:val="0"/>
              <w:ind w:left="0" w:leftChars="0" w:right="0" w:rightChars="0" w:firstLine="0" w:firstLineChars="0"/>
              <w:jc w:val="center"/>
              <w:rPr>
                <w:rFonts w:hint="default"/>
              </w:rPr>
            </w:pPr>
            <w:r>
              <w:rPr>
                <w:rFonts w:hint="default"/>
                <w:lang w:val="en-US" w:eastAsia="zh-CN"/>
              </w:rPr>
              <w:t>3人/场</w:t>
            </w:r>
          </w:p>
        </w:tc>
        <w:tc>
          <w:tcPr>
            <w:tcW w:w="6240" w:type="dxa"/>
            <w:tcBorders>
              <w:top w:val="single" w:color="DFE2E5" w:sz="6" w:space="0"/>
              <w:left w:val="single" w:color="DFE2E5" w:sz="6" w:space="0"/>
              <w:bottom w:val="single" w:color="DFE2E5" w:sz="6" w:space="0"/>
              <w:right w:val="single" w:color="DFE2E5" w:sz="6" w:space="0"/>
            </w:tcBorders>
            <w:shd w:val="clear" w:color="auto" w:fill="auto"/>
            <w:noWrap/>
            <w:tcMar>
              <w:top w:w="90" w:type="dxa"/>
              <w:left w:w="195" w:type="dxa"/>
              <w:bottom w:w="90" w:type="dxa"/>
              <w:right w:w="195" w:type="dxa"/>
            </w:tcMar>
            <w:vAlign w:val="center"/>
          </w:tcPr>
          <w:p w14:paraId="4FA9AAA2">
            <w:pPr>
              <w:snapToGrid w:val="0"/>
              <w:ind w:left="0" w:leftChars="0" w:right="0" w:rightChars="0" w:firstLine="0" w:firstLineChars="0"/>
              <w:jc w:val="left"/>
              <w:rPr>
                <w:rFonts w:hint="default"/>
              </w:rPr>
            </w:pPr>
            <w:r>
              <w:rPr>
                <w:rFonts w:hint="eastAsia"/>
                <w:lang w:val="en-US" w:eastAsia="zh-CN"/>
              </w:rPr>
              <w:t>每场邀请嘉宾2人，均为新疆本地二甲以上医院副高及以上职称专家，嘉宾资质需提前报采购方审核，</w:t>
            </w:r>
            <w:r>
              <w:rPr>
                <w:rFonts w:hint="default"/>
                <w:lang w:val="en-US" w:eastAsia="zh-CN"/>
              </w:rPr>
              <w:t>嘉宾资质需提前报采购方审核</w:t>
            </w:r>
            <w:r>
              <w:rPr>
                <w:rFonts w:hint="eastAsia"/>
                <w:lang w:val="en-US" w:eastAsia="zh-CN"/>
              </w:rPr>
              <w:t>。</w:t>
            </w:r>
          </w:p>
        </w:tc>
      </w:tr>
    </w:tbl>
    <w:p w14:paraId="1BC0237D">
      <w:pPr>
        <w:rPr>
          <w:rFonts w:hint="default"/>
        </w:rPr>
      </w:pPr>
    </w:p>
    <w:p w14:paraId="3F21CF86">
      <w:pPr>
        <w:rPr>
          <w:rFonts w:hint="default"/>
        </w:rPr>
      </w:pPr>
      <w:r>
        <w:rPr>
          <w:rFonts w:hint="default"/>
        </w:rPr>
        <w:t>五、商务要求</w:t>
      </w:r>
    </w:p>
    <w:p w14:paraId="6F0A058D">
      <w:pPr>
        <w:rPr>
          <w:rFonts w:hint="default"/>
        </w:rPr>
      </w:pPr>
      <w:r>
        <w:rPr>
          <w:rFonts w:hint="default"/>
        </w:rPr>
        <w:t>服务商需提供“交钥匙”服务，承担项目全部成本：包括人员劳务费、设备租赁费、物料采购费、差旅交通费、</w:t>
      </w:r>
      <w:r>
        <w:rPr>
          <w:rFonts w:hint="eastAsia"/>
          <w:lang w:eastAsia="zh-CN"/>
        </w:rPr>
        <w:t>直播专家交通保障、</w:t>
      </w:r>
      <w:r>
        <w:rPr>
          <w:rFonts w:hint="default"/>
        </w:rPr>
        <w:t>宣发推广费等所有费用，采购方不再支付预算外费用。</w:t>
      </w:r>
    </w:p>
    <w:p w14:paraId="624F8D39">
      <w:pPr>
        <w:rPr>
          <w:rFonts w:hint="default"/>
        </w:rPr>
      </w:pPr>
      <w:r>
        <w:rPr>
          <w:rFonts w:hint="default"/>
        </w:rPr>
        <w:t>交付要求：每场直播结束后3个工作日内交付全部素材（直播原片、预热物料、二次传播物料、数据报告）；项目结束后10个工作日内交付年度复盘报告、全部内容素材汇总包。</w:t>
      </w:r>
    </w:p>
    <w:p w14:paraId="7C75EE5E">
      <w:pPr>
        <w:rPr>
          <w:rFonts w:hint="default"/>
        </w:rPr>
      </w:pPr>
      <w:r>
        <w:rPr>
          <w:rFonts w:hint="default"/>
        </w:rPr>
        <w:t>付款方式：合同签订后支付</w:t>
      </w:r>
      <w:r>
        <w:rPr>
          <w:rFonts w:hint="eastAsia"/>
          <w:lang w:val="en-US" w:eastAsia="zh-CN"/>
        </w:rPr>
        <w:t>100</w:t>
      </w:r>
      <w:r>
        <w:rPr>
          <w:rFonts w:hint="default"/>
        </w:rPr>
        <w:t>%预付款；</w:t>
      </w:r>
      <w:r>
        <w:rPr>
          <w:rFonts w:hint="eastAsia"/>
          <w:lang w:eastAsia="zh-CN"/>
        </w:rPr>
        <w:t>乙方提供项目金额</w:t>
      </w:r>
      <w:r>
        <w:rPr>
          <w:rFonts w:hint="eastAsia"/>
          <w:lang w:val="en-US" w:eastAsia="zh-CN"/>
        </w:rPr>
        <w:t>10%的电子保函，保函时间至项目结束后60天</w:t>
      </w:r>
      <w:r>
        <w:rPr>
          <w:rFonts w:hint="default"/>
        </w:rPr>
        <w:t>。</w:t>
      </w:r>
    </w:p>
    <w:p w14:paraId="35E6416C">
      <w:pPr>
        <w:rPr>
          <w:rFonts w:hint="default"/>
        </w:rPr>
      </w:pPr>
      <w:r>
        <w:rPr>
          <w:rFonts w:hint="default"/>
        </w:rPr>
        <w:t>权责划分：采购方负责提供官方渠道支持、专家资源对接、内容终审；服务商负责全流程策划、执行、运营，如因内容错误、直播事故造成不良影响，采购方有权扣除相应款项，情节严重的终止合同。</w:t>
      </w:r>
    </w:p>
    <w:p w14:paraId="245E7631">
      <w:pPr>
        <w:rPr>
          <w:rFonts w:hint="default"/>
        </w:rPr>
      </w:pPr>
    </w:p>
    <w:p w14:paraId="2CB2FFF2">
      <w:pPr>
        <w:rPr>
          <w:rFonts w:hint="default"/>
        </w:rPr>
      </w:pPr>
      <w:r>
        <w:rPr>
          <w:rFonts w:hint="default"/>
        </w:rPr>
        <w:t>六、验收标准</w:t>
      </w:r>
    </w:p>
    <w:p w14:paraId="2BBF4DAC">
      <w:pPr>
        <w:rPr>
          <w:rFonts w:hint="default"/>
        </w:rPr>
      </w:pPr>
      <w:r>
        <w:rPr>
          <w:rFonts w:hint="default"/>
        </w:rPr>
        <w:t>数量验收：完成全部24场节气直播、12场卫生健康节点日直播，所有预热、直播、二次传播物料数量符合要求。</w:t>
      </w:r>
    </w:p>
    <w:p w14:paraId="3AB739E9">
      <w:pPr>
        <w:rPr>
          <w:rFonts w:hint="default"/>
        </w:rPr>
      </w:pPr>
      <w:r>
        <w:rPr>
          <w:rFonts w:hint="default"/>
        </w:rPr>
        <w:t>质量验收：内容无科学错误、符合新疆地域特色、无违规表述，每场直播时长符合要求，直播过程无重大事故。</w:t>
      </w:r>
    </w:p>
    <w:p w14:paraId="5C77D8F1">
      <w:pPr>
        <w:rPr>
          <w:rFonts w:hint="default"/>
        </w:rPr>
      </w:pPr>
      <w:r>
        <w:rPr>
          <w:rFonts w:hint="default"/>
        </w:rPr>
        <w:t>数据验收：全网累计观看人次≥400万数据真实可溯源。</w:t>
      </w:r>
    </w:p>
    <w:p w14:paraId="217DCEF5">
      <w:pPr>
        <w:rPr>
          <w:rFonts w:hint="default"/>
        </w:rPr>
      </w:pPr>
    </w:p>
    <w:p w14:paraId="637F413A"/>
    <w:p w14:paraId="1BDA69BE">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25AA0118">
      <w:pPr>
        <w:pStyle w:val="2"/>
        <w:rPr>
          <w:rFonts w:hint="eastAsia" w:ascii="仿宋" w:hAnsi="仿宋" w:eastAsia="仿宋" w:cs="仿宋"/>
          <w:color w:val="auto"/>
          <w:highlight w:val="none"/>
        </w:rPr>
      </w:pPr>
      <w:r>
        <w:rPr>
          <w:rFonts w:hint="eastAsia" w:ascii="仿宋" w:hAnsi="仿宋" w:eastAsia="仿宋" w:cs="仿宋"/>
          <w:color w:val="auto"/>
          <w:highlight w:val="none"/>
        </w:rPr>
        <w:t xml:space="preserve">第五章  </w:t>
      </w:r>
      <w:bookmarkEnd w:id="32"/>
      <w:bookmarkEnd w:id="33"/>
      <w:r>
        <w:rPr>
          <w:rFonts w:hint="eastAsia" w:ascii="仿宋" w:hAnsi="仿宋" w:eastAsia="仿宋" w:cs="仿宋"/>
          <w:color w:val="auto"/>
          <w:highlight w:val="none"/>
          <w:lang w:eastAsia="zh-CN"/>
        </w:rPr>
        <w:t>响应文件</w:t>
      </w:r>
      <w:r>
        <w:rPr>
          <w:rFonts w:hint="eastAsia" w:ascii="仿宋" w:hAnsi="仿宋" w:eastAsia="仿宋" w:cs="仿宋"/>
          <w:color w:val="auto"/>
          <w:highlight w:val="none"/>
        </w:rPr>
        <w:t>格式</w:t>
      </w:r>
      <w:bookmarkEnd w:id="34"/>
    </w:p>
    <w:p w14:paraId="321FD2C0">
      <w:pPr>
        <w:adjustRightInd w:val="0"/>
        <w:snapToGrid w:val="0"/>
        <w:spacing w:line="400" w:lineRule="atLeast"/>
        <w:jc w:val="center"/>
        <w:rPr>
          <w:rFonts w:hint="eastAsia" w:ascii="仿宋" w:hAnsi="仿宋" w:eastAsia="仿宋" w:cs="仿宋"/>
          <w:bCs/>
          <w:color w:val="auto"/>
          <w:sz w:val="52"/>
          <w:szCs w:val="52"/>
          <w:highlight w:val="none"/>
        </w:rPr>
      </w:pPr>
    </w:p>
    <w:bookmarkEnd w:id="0"/>
    <w:p w14:paraId="36968897">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一、本章所制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格式有关表格中的备注栏，由投标人根据自身投标情况作解释性说明，不作为必填项。</w:t>
      </w:r>
    </w:p>
    <w:p w14:paraId="17B6E0BA">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、本章所制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格式中需要填写的相关内容事项，可能会与本采购项目无关，在不改变</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原义、不影响本项目采购需求的情况下，投标人可以不予填写。</w:t>
      </w:r>
    </w:p>
    <w:p w14:paraId="48A65F97">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5BDADA7">
      <w:pPr>
        <w:shd w:val="clear" w:color="auto" w:fill="auto"/>
        <w:spacing w:line="360" w:lineRule="auto"/>
        <w:rPr>
          <w:rFonts w:hint="eastAsia" w:ascii="仿宋" w:hAnsi="仿宋" w:eastAsia="仿宋" w:cs="仿宋"/>
          <w:b/>
          <w:color w:val="auto"/>
          <w:sz w:val="32"/>
          <w:szCs w:val="32"/>
          <w:highlight w:val="none"/>
        </w:rPr>
      </w:pPr>
      <w:bookmarkStart w:id="35" w:name="_Toc466298076"/>
      <w:bookmarkStart w:id="36" w:name="_Toc465085378"/>
      <w:bookmarkStart w:id="37" w:name="_Toc19094"/>
      <w:bookmarkStart w:id="38" w:name="_Toc445751949"/>
      <w:bookmarkStart w:id="39" w:name="_Toc308164824"/>
      <w:bookmarkStart w:id="40" w:name="_Toc445751864"/>
      <w:bookmarkStart w:id="41" w:name="_Toc448770627"/>
      <w:bookmarkStart w:id="42" w:name="_Toc472604631"/>
      <w:bookmarkStart w:id="43" w:name="_Toc12086"/>
      <w:bookmarkStart w:id="44" w:name="_Toc21418"/>
      <w:bookmarkStart w:id="45" w:name="_Toc13447"/>
      <w:bookmarkStart w:id="46" w:name="_Toc471489581"/>
      <w:r>
        <w:rPr>
          <w:rFonts w:hint="eastAsia" w:ascii="仿宋" w:hAnsi="仿宋" w:eastAsia="仿宋" w:cs="仿宋"/>
          <w:b/>
          <w:color w:val="auto"/>
          <w:sz w:val="32"/>
          <w:szCs w:val="32"/>
          <w:highlight w:val="none"/>
        </w:rPr>
        <w:t>封面：</w:t>
      </w:r>
    </w:p>
    <w:p w14:paraId="43CF5CE4">
      <w:pPr>
        <w:shd w:val="clear" w:color="auto" w:fill="auto"/>
        <w:spacing w:line="360" w:lineRule="auto"/>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 xml:space="preserve"> </w:t>
      </w:r>
    </w:p>
    <w:p w14:paraId="43634EC8">
      <w:pPr>
        <w:rPr>
          <w:rFonts w:hint="eastAsia" w:ascii="仿宋" w:hAnsi="仿宋" w:eastAsia="仿宋" w:cs="仿宋"/>
          <w:color w:val="auto"/>
          <w:highlight w:val="none"/>
          <w:lang w:val="en-US" w:eastAsia="zh-CN"/>
        </w:rPr>
      </w:pPr>
    </w:p>
    <w:p w14:paraId="3DC397B4">
      <w:pPr>
        <w:shd w:val="clear" w:color="auto" w:fill="auto"/>
        <w:spacing w:line="360" w:lineRule="auto"/>
        <w:jc w:val="center"/>
        <w:rPr>
          <w:rFonts w:hint="eastAsia" w:ascii="仿宋" w:hAnsi="仿宋" w:eastAsia="仿宋" w:cs="仿宋"/>
          <w:b/>
          <w:color w:val="auto"/>
          <w:sz w:val="72"/>
          <w:highlight w:val="none"/>
        </w:rPr>
      </w:pPr>
      <w:r>
        <w:rPr>
          <w:rFonts w:hint="eastAsia" w:ascii="仿宋" w:hAnsi="仿宋" w:eastAsia="仿宋" w:cs="仿宋"/>
          <w:b/>
          <w:color w:val="auto"/>
          <w:sz w:val="40"/>
          <w:szCs w:val="48"/>
          <w:highlight w:val="none"/>
        </w:rPr>
        <w:t>XXX项目</w:t>
      </w:r>
    </w:p>
    <w:p w14:paraId="65725E77">
      <w:pPr>
        <w:shd w:val="clear" w:color="auto" w:fill="auto"/>
        <w:spacing w:line="360" w:lineRule="auto"/>
        <w:rPr>
          <w:rFonts w:hint="eastAsia" w:ascii="仿宋" w:hAnsi="仿宋" w:eastAsia="仿宋" w:cs="仿宋"/>
          <w:b/>
          <w:color w:val="auto"/>
          <w:sz w:val="52"/>
          <w:szCs w:val="52"/>
          <w:highlight w:val="none"/>
        </w:rPr>
      </w:pPr>
    </w:p>
    <w:p w14:paraId="32834E3A">
      <w:pPr>
        <w:shd w:val="clear" w:color="auto" w:fill="auto"/>
        <w:spacing w:line="360" w:lineRule="auto"/>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52"/>
          <w:szCs w:val="52"/>
          <w:highlight w:val="none"/>
          <w:lang w:eastAsia="zh-CN"/>
        </w:rPr>
        <w:t>响应文件</w:t>
      </w:r>
    </w:p>
    <w:p w14:paraId="42BF6673">
      <w:pPr>
        <w:shd w:val="clear" w:color="auto" w:fill="auto"/>
        <w:spacing w:line="360" w:lineRule="auto"/>
        <w:rPr>
          <w:rFonts w:hint="eastAsia" w:ascii="仿宋" w:hAnsi="仿宋" w:eastAsia="仿宋" w:cs="仿宋"/>
          <w:b/>
          <w:color w:val="auto"/>
          <w:sz w:val="36"/>
          <w:highlight w:val="none"/>
        </w:rPr>
      </w:pPr>
    </w:p>
    <w:p w14:paraId="6D474677">
      <w:pPr>
        <w:shd w:val="clear" w:color="auto" w:fill="auto"/>
        <w:spacing w:line="360" w:lineRule="auto"/>
        <w:rPr>
          <w:rFonts w:hint="eastAsia" w:ascii="仿宋" w:hAnsi="仿宋" w:eastAsia="仿宋" w:cs="仿宋"/>
          <w:b/>
          <w:color w:val="auto"/>
          <w:sz w:val="36"/>
          <w:highlight w:val="none"/>
        </w:rPr>
      </w:pPr>
    </w:p>
    <w:p w14:paraId="4DA37551">
      <w:pPr>
        <w:shd w:val="clear" w:color="auto" w:fill="auto"/>
        <w:spacing w:line="360" w:lineRule="auto"/>
        <w:jc w:val="left"/>
        <w:rPr>
          <w:rFonts w:hint="eastAsia" w:ascii="仿宋" w:hAnsi="仿宋" w:eastAsia="仿宋" w:cs="仿宋"/>
          <w:b/>
          <w:color w:val="auto"/>
          <w:sz w:val="32"/>
          <w:highlight w:val="none"/>
          <w:u w:val="single"/>
        </w:rPr>
      </w:pPr>
      <w:r>
        <w:rPr>
          <w:rFonts w:hint="eastAsia" w:ascii="仿宋" w:hAnsi="仿宋" w:eastAsia="仿宋" w:cs="仿宋"/>
          <w:b/>
          <w:color w:val="auto"/>
          <w:sz w:val="32"/>
          <w:highlight w:val="none"/>
        </w:rPr>
        <w:t>投 标 人名称：</w:t>
      </w:r>
    </w:p>
    <w:p w14:paraId="1A307CF3">
      <w:pPr>
        <w:shd w:val="clear" w:color="auto" w:fill="auto"/>
        <w:spacing w:line="360" w:lineRule="auto"/>
        <w:jc w:val="left"/>
        <w:rPr>
          <w:rFonts w:hint="eastAsia" w:ascii="仿宋" w:hAnsi="仿宋" w:eastAsia="仿宋" w:cs="仿宋"/>
          <w:b/>
          <w:color w:val="auto"/>
          <w:sz w:val="32"/>
          <w:highlight w:val="none"/>
        </w:rPr>
      </w:pPr>
      <w:r>
        <w:rPr>
          <w:rFonts w:hint="eastAsia" w:ascii="仿宋" w:hAnsi="仿宋" w:eastAsia="仿宋" w:cs="仿宋"/>
          <w:b/>
          <w:color w:val="auto"/>
          <w:sz w:val="32"/>
          <w:highlight w:val="none"/>
        </w:rPr>
        <w:t>采购项目编号：</w:t>
      </w:r>
    </w:p>
    <w:p w14:paraId="5B9B47A9">
      <w:pPr>
        <w:shd w:val="clear" w:color="auto" w:fill="auto"/>
        <w:spacing w:line="360" w:lineRule="auto"/>
        <w:jc w:val="left"/>
        <w:rPr>
          <w:rFonts w:hint="default" w:ascii="仿宋" w:hAnsi="仿宋" w:eastAsia="仿宋" w:cs="仿宋"/>
          <w:b/>
          <w:color w:val="auto"/>
          <w:sz w:val="32"/>
          <w:highlight w:val="none"/>
          <w:lang w:val="en-US" w:eastAsia="zh-CN"/>
        </w:rPr>
      </w:pPr>
      <w:r>
        <w:rPr>
          <w:rFonts w:hint="eastAsia" w:ascii="仿宋" w:hAnsi="仿宋" w:eastAsia="仿宋" w:cs="仿宋"/>
          <w:b/>
          <w:color w:val="auto"/>
          <w:sz w:val="32"/>
          <w:highlight w:val="none"/>
          <w:lang w:eastAsia="zh-CN"/>
        </w:rPr>
        <w:t>标项号：</w:t>
      </w:r>
      <w:r>
        <w:rPr>
          <w:rFonts w:hint="eastAsia" w:ascii="仿宋" w:hAnsi="仿宋" w:eastAsia="仿宋" w:cs="仿宋"/>
          <w:b/>
          <w:color w:val="auto"/>
          <w:sz w:val="32"/>
          <w:highlight w:val="none"/>
          <w:lang w:val="en-US" w:eastAsia="zh-CN"/>
        </w:rPr>
        <w:t>/</w:t>
      </w:r>
    </w:p>
    <w:p w14:paraId="712EB1C3">
      <w:pPr>
        <w:shd w:val="clear" w:color="auto" w:fill="auto"/>
        <w:spacing w:line="360" w:lineRule="auto"/>
        <w:ind w:firstLine="790" w:firstLineChars="246"/>
        <w:jc w:val="center"/>
        <w:rPr>
          <w:rFonts w:hint="eastAsia" w:ascii="仿宋" w:hAnsi="仿宋" w:eastAsia="仿宋" w:cs="仿宋"/>
          <w:b/>
          <w:color w:val="auto"/>
          <w:sz w:val="32"/>
          <w:highlight w:val="none"/>
        </w:rPr>
      </w:pPr>
    </w:p>
    <w:p w14:paraId="5A636298">
      <w:pPr>
        <w:shd w:val="clear" w:color="auto" w:fill="auto"/>
        <w:spacing w:line="360" w:lineRule="auto"/>
        <w:ind w:firstLine="790" w:firstLineChars="246"/>
        <w:jc w:val="center"/>
        <w:rPr>
          <w:rFonts w:hint="eastAsia" w:ascii="仿宋" w:hAnsi="仿宋" w:eastAsia="仿宋" w:cs="仿宋"/>
          <w:b/>
          <w:color w:val="auto"/>
          <w:sz w:val="32"/>
          <w:highlight w:val="none"/>
        </w:rPr>
      </w:pPr>
    </w:p>
    <w:p w14:paraId="788DE213">
      <w:pPr>
        <w:shd w:val="clear" w:color="auto" w:fill="auto"/>
        <w:spacing w:line="360" w:lineRule="auto"/>
        <w:jc w:val="left"/>
        <w:rPr>
          <w:rFonts w:hint="eastAsia" w:ascii="仿宋" w:hAnsi="仿宋" w:eastAsia="仿宋" w:cs="仿宋"/>
          <w:b/>
          <w:color w:val="auto"/>
          <w:sz w:val="32"/>
          <w:highlight w:val="none"/>
        </w:rPr>
      </w:pPr>
      <w:r>
        <w:rPr>
          <w:rFonts w:hint="eastAsia" w:ascii="仿宋" w:hAnsi="仿宋" w:eastAsia="仿宋" w:cs="仿宋"/>
          <w:b/>
          <w:color w:val="auto"/>
          <w:sz w:val="32"/>
          <w:highlight w:val="none"/>
          <w:lang w:eastAsia="zh-CN"/>
        </w:rPr>
        <w:t>时间</w:t>
      </w:r>
      <w:r>
        <w:rPr>
          <w:rFonts w:hint="eastAsia" w:ascii="仿宋" w:hAnsi="仿宋" w:eastAsia="仿宋" w:cs="仿宋"/>
          <w:b/>
          <w:color w:val="auto"/>
          <w:sz w:val="32"/>
          <w:highlight w:val="none"/>
        </w:rPr>
        <w:t>：   年  月  日</w:t>
      </w:r>
    </w:p>
    <w:p w14:paraId="6CAEF6C7">
      <w:pPr>
        <w:shd w:val="clear" w:color="auto" w:fill="auto"/>
        <w:rPr>
          <w:rFonts w:hint="eastAsia" w:ascii="仿宋" w:hAnsi="仿宋" w:eastAsia="仿宋" w:cs="仿宋"/>
          <w:color w:val="auto"/>
          <w:sz w:val="24"/>
          <w:szCs w:val="24"/>
          <w:highlight w:val="none"/>
        </w:rPr>
      </w:pPr>
    </w:p>
    <w:p w14:paraId="70A6BADD">
      <w:pPr>
        <w:shd w:val="clear" w:color="auto" w:fill="auto"/>
        <w:rPr>
          <w:rFonts w:hint="eastAsia" w:ascii="仿宋" w:hAnsi="仿宋" w:eastAsia="仿宋" w:cs="仿宋"/>
          <w:color w:val="auto"/>
          <w:sz w:val="24"/>
          <w:szCs w:val="24"/>
          <w:highlight w:val="none"/>
        </w:rPr>
      </w:pPr>
    </w:p>
    <w:p w14:paraId="0169A080">
      <w:pPr>
        <w:pStyle w:val="6"/>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End w:id="35"/>
      <w:bookmarkEnd w:id="36"/>
      <w:bookmarkEnd w:id="37"/>
      <w:bookmarkEnd w:id="38"/>
      <w:bookmarkEnd w:id="39"/>
      <w:bookmarkEnd w:id="40"/>
      <w:bookmarkEnd w:id="41"/>
      <w:bookmarkEnd w:id="42"/>
      <w:bookmarkEnd w:id="43"/>
      <w:bookmarkEnd w:id="44"/>
      <w:bookmarkEnd w:id="45"/>
      <w:bookmarkEnd w:id="46"/>
      <w:bookmarkStart w:id="47" w:name="_Toc23466"/>
      <w:r>
        <w:rPr>
          <w:rFonts w:hint="eastAsia" w:ascii="仿宋" w:hAnsi="仿宋" w:eastAsia="仿宋" w:cs="仿宋"/>
          <w:color w:val="auto"/>
          <w:sz w:val="24"/>
          <w:szCs w:val="24"/>
          <w:highlight w:val="none"/>
        </w:rPr>
        <w:t>1、具有独立承担民事责任的能力的证明材料</w:t>
      </w:r>
      <w:bookmarkEnd w:id="47"/>
    </w:p>
    <w:p w14:paraId="16E4BE70">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若供应商为企业法人的，提供具有统一社会信用代码的“营业执照”复印件，未换证的提供“营业执照、税务登记证、组织机构代码证”复印件；②若供应商为事业法人的，提供统一社会信用代码的“事业单位法人证书”复印件，未换证的提交“事业单位法人证书或组织机构代码证”复印件；③若供应商为其他组织的，提供对应主管部门颁发的准许执业的证明文件或营业执照复印件；④若供应商为自然人的，提供相关“身份证明材料”</w:t>
      </w:r>
      <w:r>
        <w:rPr>
          <w:rFonts w:hint="eastAsia" w:ascii="仿宋" w:hAnsi="仿宋" w:eastAsia="仿宋" w:cs="仿宋"/>
          <w:color w:val="auto"/>
          <w:sz w:val="24"/>
          <w:szCs w:val="24"/>
          <w:highlight w:val="none"/>
        </w:rPr>
        <w:br w:type="page"/>
      </w:r>
    </w:p>
    <w:p w14:paraId="083A8A5A">
      <w:pPr>
        <w:pStyle w:val="6"/>
        <w:bidi w:val="0"/>
        <w:jc w:val="center"/>
        <w:rPr>
          <w:rFonts w:hint="eastAsia" w:ascii="仿宋" w:hAnsi="仿宋" w:eastAsia="仿宋" w:cs="仿宋"/>
          <w:b/>
          <w:color w:val="auto"/>
          <w:sz w:val="24"/>
          <w:szCs w:val="24"/>
          <w:highlight w:val="none"/>
        </w:rPr>
      </w:pPr>
      <w:bookmarkStart w:id="48" w:name="_Toc20162"/>
      <w:r>
        <w:rPr>
          <w:rFonts w:hint="eastAsia" w:ascii="仿宋" w:hAnsi="仿宋" w:eastAsia="仿宋" w:cs="仿宋"/>
          <w:color w:val="auto"/>
          <w:sz w:val="24"/>
          <w:szCs w:val="24"/>
          <w:highlight w:val="none"/>
        </w:rPr>
        <w:t>2、</w:t>
      </w:r>
      <w:bookmarkStart w:id="49" w:name="_Hlk535236685"/>
      <w:r>
        <w:rPr>
          <w:rFonts w:hint="eastAsia" w:ascii="仿宋" w:hAnsi="仿宋" w:eastAsia="仿宋" w:cs="仿宋"/>
          <w:b/>
          <w:color w:val="auto"/>
          <w:sz w:val="24"/>
          <w:szCs w:val="24"/>
          <w:highlight w:val="none"/>
        </w:rPr>
        <w:t>法定代表人身份证明(</w:t>
      </w:r>
      <w:r>
        <w:rPr>
          <w:rFonts w:hint="eastAsia" w:ascii="仿宋" w:hAnsi="仿宋" w:eastAsia="仿宋" w:cs="仿宋"/>
          <w:color w:val="auto"/>
          <w:sz w:val="24"/>
          <w:szCs w:val="24"/>
          <w:highlight w:val="none"/>
        </w:rPr>
        <w:t>法定</w:t>
      </w:r>
      <w:r>
        <w:rPr>
          <w:rFonts w:hint="eastAsia" w:ascii="仿宋" w:hAnsi="仿宋" w:eastAsia="仿宋" w:cs="仿宋"/>
          <w:b/>
          <w:color w:val="auto"/>
          <w:sz w:val="24"/>
          <w:szCs w:val="24"/>
          <w:highlight w:val="none"/>
        </w:rPr>
        <w:t>代表人参加投标)</w:t>
      </w:r>
      <w:bookmarkEnd w:id="48"/>
    </w:p>
    <w:p w14:paraId="02D7DC58">
      <w:pPr>
        <w:snapToGrid w:val="0"/>
        <w:spacing w:line="480" w:lineRule="auto"/>
        <w:rPr>
          <w:rFonts w:hint="eastAsia" w:ascii="仿宋" w:hAnsi="仿宋" w:eastAsia="仿宋" w:cs="仿宋"/>
          <w:color w:val="auto"/>
          <w:sz w:val="24"/>
          <w:szCs w:val="24"/>
          <w:highlight w:val="none"/>
        </w:rPr>
      </w:pPr>
    </w:p>
    <w:p w14:paraId="699AC5AE">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投标人</w:t>
      </w:r>
      <w:r>
        <w:rPr>
          <w:rFonts w:hint="eastAsia" w:ascii="仿宋" w:hAnsi="仿宋" w:eastAsia="仿宋" w:cs="仿宋"/>
          <w:color w:val="auto"/>
          <w:kern w:val="0"/>
          <w:sz w:val="24"/>
          <w:szCs w:val="24"/>
          <w:highlight w:val="none"/>
        </w:rPr>
        <w:t>名称：</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w:t>
      </w:r>
    </w:p>
    <w:p w14:paraId="028D01E4">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注册地址：</w:t>
      </w:r>
      <w:r>
        <w:rPr>
          <w:rFonts w:hint="eastAsia" w:ascii="仿宋" w:hAnsi="仿宋" w:eastAsia="仿宋" w:cs="仿宋"/>
          <w:color w:val="auto"/>
          <w:kern w:val="0"/>
          <w:sz w:val="24"/>
          <w:szCs w:val="24"/>
          <w:highlight w:val="none"/>
          <w:u w:val="single"/>
        </w:rPr>
        <w:t xml:space="preserve">                                    </w:t>
      </w:r>
    </w:p>
    <w:p w14:paraId="4E6C0498">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成立时间：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年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日</w:t>
      </w:r>
    </w:p>
    <w:p w14:paraId="3A92DC9B">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经营期限：</w:t>
      </w:r>
      <w:r>
        <w:rPr>
          <w:rFonts w:hint="eastAsia" w:ascii="仿宋" w:hAnsi="仿宋" w:eastAsia="仿宋" w:cs="仿宋"/>
          <w:color w:val="auto"/>
          <w:kern w:val="0"/>
          <w:sz w:val="24"/>
          <w:szCs w:val="24"/>
          <w:highlight w:val="none"/>
          <w:u w:val="single"/>
        </w:rPr>
        <w:t xml:space="preserve">                  </w:t>
      </w:r>
    </w:p>
    <w:p w14:paraId="6B0BD727">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经营范围：主营：</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；兼营：</w:t>
      </w:r>
      <w:r>
        <w:rPr>
          <w:rFonts w:hint="eastAsia" w:ascii="仿宋" w:hAnsi="仿宋" w:eastAsia="仿宋" w:cs="仿宋"/>
          <w:color w:val="auto"/>
          <w:kern w:val="0"/>
          <w:sz w:val="24"/>
          <w:szCs w:val="24"/>
          <w:highlight w:val="none"/>
          <w:u w:val="single"/>
        </w:rPr>
        <w:t xml:space="preserve">              </w:t>
      </w:r>
    </w:p>
    <w:p w14:paraId="6D1CCF07">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年龄：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投标人</w:t>
      </w:r>
      <w:r>
        <w:rPr>
          <w:rFonts w:hint="eastAsia" w:ascii="仿宋" w:hAnsi="仿宋" w:eastAsia="仿宋" w:cs="仿宋"/>
          <w:color w:val="auto"/>
          <w:kern w:val="0"/>
          <w:sz w:val="24"/>
          <w:szCs w:val="24"/>
          <w:highlight w:val="none"/>
        </w:rPr>
        <w:t>名称）的法定代表人。</w:t>
      </w:r>
    </w:p>
    <w:p w14:paraId="29F64B1A">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14:paraId="37769292">
      <w:pPr>
        <w:autoSpaceDE w:val="0"/>
        <w:autoSpaceDN w:val="0"/>
        <w:adjustRightInd w:val="0"/>
        <w:snapToGrid w:val="0"/>
        <w:spacing w:before="120" w:beforeLines="50"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附：法定代表人身份证复印件</w:t>
      </w:r>
    </w:p>
    <w:p w14:paraId="191BA5CE">
      <w:pPr>
        <w:snapToGrid w:val="0"/>
        <w:spacing w:line="480" w:lineRule="auto"/>
        <w:rPr>
          <w:rFonts w:hint="eastAsia" w:ascii="仿宋" w:hAnsi="仿宋" w:eastAsia="仿宋" w:cs="仿宋"/>
          <w:color w:val="auto"/>
          <w:sz w:val="24"/>
          <w:szCs w:val="24"/>
          <w:highlight w:val="none"/>
        </w:rPr>
      </w:pPr>
    </w:p>
    <w:p w14:paraId="02FA0696">
      <w:pPr>
        <w:snapToGrid w:val="0"/>
        <w:rPr>
          <w:rFonts w:hint="eastAsia" w:ascii="仿宋" w:hAnsi="仿宋" w:eastAsia="仿宋" w:cs="仿宋"/>
          <w:color w:val="auto"/>
          <w:sz w:val="24"/>
          <w:szCs w:val="24"/>
          <w:highlight w:val="none"/>
        </w:rPr>
      </w:pPr>
    </w:p>
    <w:p w14:paraId="1792415D">
      <w:pPr>
        <w:snapToGrid w:val="0"/>
        <w:rPr>
          <w:rFonts w:hint="eastAsia" w:ascii="仿宋" w:hAnsi="仿宋" w:eastAsia="仿宋" w:cs="仿宋"/>
          <w:color w:val="auto"/>
          <w:sz w:val="24"/>
          <w:szCs w:val="24"/>
          <w:highlight w:val="none"/>
        </w:rPr>
      </w:pPr>
    </w:p>
    <w:p w14:paraId="621D8BEC">
      <w:pPr>
        <w:snapToGrid w:val="0"/>
        <w:rPr>
          <w:rFonts w:hint="eastAsia" w:ascii="仿宋" w:hAnsi="仿宋" w:eastAsia="仿宋" w:cs="仿宋"/>
          <w:color w:val="auto"/>
          <w:sz w:val="24"/>
          <w:szCs w:val="24"/>
          <w:highlight w:val="none"/>
        </w:rPr>
      </w:pPr>
    </w:p>
    <w:p w14:paraId="39166BE9">
      <w:pPr>
        <w:snapToGrid w:val="0"/>
        <w:rPr>
          <w:rFonts w:hint="eastAsia" w:ascii="仿宋" w:hAnsi="仿宋" w:eastAsia="仿宋" w:cs="仿宋"/>
          <w:color w:val="auto"/>
          <w:sz w:val="24"/>
          <w:szCs w:val="24"/>
          <w:highlight w:val="none"/>
        </w:rPr>
      </w:pPr>
    </w:p>
    <w:p w14:paraId="049B0736">
      <w:pPr>
        <w:adjustRightInd w:val="0"/>
        <w:snapToGrid w:val="0"/>
        <w:spacing w:line="360" w:lineRule="auto"/>
        <w:rPr>
          <w:rFonts w:hint="eastAsia" w:ascii="仿宋" w:hAnsi="仿宋" w:eastAsia="仿宋" w:cs="仿宋"/>
          <w:color w:val="auto"/>
          <w:sz w:val="24"/>
          <w:szCs w:val="24"/>
          <w:highlight w:val="none"/>
        </w:rPr>
      </w:pPr>
    </w:p>
    <w:p w14:paraId="24D9676B">
      <w:pPr>
        <w:adjustRightInd w:val="0"/>
        <w:snapToGrid w:val="0"/>
        <w:spacing w:line="360" w:lineRule="auto"/>
        <w:ind w:right="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投标人名称（盖单位章）：</w:t>
      </w:r>
    </w:p>
    <w:p w14:paraId="4F931E53">
      <w:pPr>
        <w:adjustRightInd w:val="0"/>
        <w:snapToGrid w:val="0"/>
        <w:spacing w:line="360" w:lineRule="auto"/>
        <w:ind w:right="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14:paraId="26AB4800">
      <w:pPr>
        <w:adjustRightInd w:val="0"/>
        <w:snapToGrid w:val="0"/>
        <w:spacing w:before="120" w:beforeLines="50" w:line="360" w:lineRule="auto"/>
        <w:rPr>
          <w:rFonts w:hint="eastAsia" w:ascii="仿宋" w:hAnsi="仿宋" w:eastAsia="仿宋" w:cs="仿宋"/>
          <w:color w:val="auto"/>
          <w:sz w:val="24"/>
          <w:szCs w:val="24"/>
          <w:highlight w:val="none"/>
        </w:rPr>
      </w:pPr>
    </w:p>
    <w:p w14:paraId="7087AD20">
      <w:pPr>
        <w:adjustRightInd w:val="0"/>
        <w:snapToGrid w:val="0"/>
        <w:spacing w:before="120" w:beforeLines="50" w:line="360" w:lineRule="auto"/>
        <w:rPr>
          <w:rFonts w:hint="eastAsia" w:ascii="仿宋" w:hAnsi="仿宋" w:eastAsia="仿宋" w:cs="仿宋"/>
          <w:color w:val="auto"/>
          <w:sz w:val="24"/>
          <w:szCs w:val="24"/>
          <w:highlight w:val="none"/>
        </w:rPr>
      </w:pPr>
    </w:p>
    <w:p w14:paraId="102493A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7418171">
      <w:pPr>
        <w:pStyle w:val="6"/>
        <w:bidi w:val="0"/>
        <w:jc w:val="center"/>
        <w:rPr>
          <w:rFonts w:hint="eastAsia" w:ascii="仿宋" w:hAnsi="仿宋" w:eastAsia="仿宋" w:cs="仿宋"/>
          <w:color w:val="auto"/>
          <w:sz w:val="24"/>
          <w:szCs w:val="24"/>
          <w:highlight w:val="none"/>
        </w:rPr>
      </w:pPr>
      <w:bookmarkStart w:id="50" w:name="_Toc14050"/>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法定代表人/单位负责人授权书</w:t>
      </w:r>
      <w:bookmarkEnd w:id="49"/>
      <w:r>
        <w:rPr>
          <w:rFonts w:hint="eastAsia" w:ascii="仿宋" w:hAnsi="仿宋" w:eastAsia="仿宋" w:cs="仿宋"/>
          <w:color w:val="auto"/>
          <w:sz w:val="24"/>
          <w:szCs w:val="24"/>
          <w:highlight w:val="none"/>
        </w:rPr>
        <w:t>(委托代理人参加投标)</w:t>
      </w:r>
      <w:bookmarkEnd w:id="50"/>
    </w:p>
    <w:p w14:paraId="483217FC">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p>
    <w:p w14:paraId="2F743F02">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本授权声明：XXXX XXXX（投标人名称）XXXX（法定代表人/单位负责人姓名、职务）授权XXXX（被授权人姓名、职务）为我方 “XXXX” 项目（招标编号：XXXX）投标活动的合法代表，以我方名义全权处理该项目有关投标、签订合同以及执行合同等一切事宜。</w:t>
      </w:r>
    </w:p>
    <w:p w14:paraId="4F4EF1F0">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324DA77E">
      <w:pPr>
        <w:shd w:val="clear" w:color="auto" w:fill="auto"/>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（需提供法定代表人/单位负责人及被授权人身份证复印件）</w:t>
      </w:r>
    </w:p>
    <w:p w14:paraId="6118E578">
      <w:pPr>
        <w:shd w:val="clear" w:color="auto" w:fill="auto"/>
        <w:spacing w:line="360" w:lineRule="auto"/>
        <w:ind w:firstLine="480" w:firstLineChars="200"/>
        <w:rPr>
          <w:rFonts w:hint="eastAsia" w:ascii="仿宋" w:hAnsi="仿宋" w:eastAsia="仿宋" w:cs="仿宋"/>
          <w:color w:val="auto"/>
          <w:sz w:val="24"/>
          <w:szCs w:val="24"/>
          <w:highlight w:val="none"/>
        </w:rPr>
      </w:pPr>
      <w:bookmarkStart w:id="51" w:name="_Hlk535236712"/>
      <w:r>
        <w:rPr>
          <w:rFonts w:hint="eastAsia" w:ascii="仿宋" w:hAnsi="仿宋" w:eastAsia="仿宋" w:cs="仿宋"/>
          <w:color w:val="auto"/>
          <w:sz w:val="24"/>
          <w:szCs w:val="24"/>
          <w:highlight w:val="none"/>
        </w:rPr>
        <w:t>法定代表人/单位负责人签字</w:t>
      </w:r>
      <w:bookmarkEnd w:id="51"/>
      <w:r>
        <w:rPr>
          <w:rFonts w:hint="eastAsia" w:ascii="仿宋" w:hAnsi="仿宋" w:eastAsia="仿宋" w:cs="仿宋"/>
          <w:color w:val="auto"/>
          <w:sz w:val="24"/>
          <w:szCs w:val="24"/>
          <w:highlight w:val="none"/>
        </w:rPr>
        <w:t>或者加盖个人名章：XXXX</w:t>
      </w:r>
    </w:p>
    <w:p w14:paraId="3E7EDCEE">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授权代表签字：XXXX</w:t>
      </w:r>
    </w:p>
    <w:p w14:paraId="397CB37E">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投标人名称：XXXX（单位盖章）</w:t>
      </w:r>
    </w:p>
    <w:p w14:paraId="423823CC">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期：XXXX</w:t>
      </w:r>
    </w:p>
    <w:p w14:paraId="1661B4F4">
      <w:pPr>
        <w:shd w:val="clear" w:color="auto" w:fill="auto"/>
        <w:spacing w:line="360" w:lineRule="auto"/>
        <w:rPr>
          <w:rFonts w:hint="eastAsia" w:ascii="仿宋" w:hAnsi="仿宋" w:eastAsia="仿宋" w:cs="仿宋"/>
          <w:color w:val="auto"/>
          <w:sz w:val="24"/>
          <w:szCs w:val="24"/>
          <w:highlight w:val="none"/>
        </w:rPr>
      </w:pPr>
    </w:p>
    <w:p w14:paraId="7D1875C4">
      <w:pPr>
        <w:shd w:val="clear" w:color="auto" w:fill="auto"/>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213E74B1">
      <w:pPr>
        <w:shd w:val="clear" w:color="auto" w:fill="auto"/>
        <w:spacing w:line="360" w:lineRule="auto"/>
        <w:ind w:firstLine="480"/>
        <w:rPr>
          <w:rFonts w:hint="eastAsia" w:ascii="仿宋" w:hAnsi="仿宋" w:eastAsia="仿宋" w:cs="仿宋"/>
          <w:color w:val="auto"/>
          <w:sz w:val="24"/>
          <w:szCs w:val="24"/>
          <w:highlight w:val="none"/>
        </w:rPr>
      </w:pPr>
      <w:bookmarkStart w:id="52" w:name="_Hlk535236731"/>
      <w:r>
        <w:rPr>
          <w:rFonts w:hint="eastAsia" w:ascii="仿宋" w:hAnsi="仿宋" w:eastAsia="仿宋" w:cs="仿宋"/>
          <w:color w:val="auto"/>
          <w:sz w:val="24"/>
          <w:szCs w:val="24"/>
          <w:highlight w:val="none"/>
        </w:rPr>
        <w:t>1、供应商为法人单位提供“法定代表人授权书”，供应商为其他组织提供“单位负责人授权书”。</w:t>
      </w:r>
    </w:p>
    <w:p w14:paraId="026854CA">
      <w:pPr>
        <w:shd w:val="clear" w:color="auto" w:fill="auto"/>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2、如法定代表人/单位负责人参加投标的，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中不需提供授权委托书，但必须提供法定代表人身份证明材料。</w:t>
      </w:r>
    </w:p>
    <w:p w14:paraId="262818EA">
      <w:pPr>
        <w:shd w:val="clear" w:color="auto" w:fill="auto"/>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3、如委托代理人参加投标的，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中必须提供授权委托书、法定代表人/单位负责人和委托代理人的身份证明材料。</w:t>
      </w:r>
    </w:p>
    <w:p w14:paraId="69E1F3CB">
      <w:pPr>
        <w:shd w:val="clear" w:color="auto" w:fill="auto"/>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4、身份证明材料包括居民身份证或户口本或军官证或护照等，且应在有效期内。</w:t>
      </w:r>
    </w:p>
    <w:p w14:paraId="7D46E767">
      <w:pPr>
        <w:shd w:val="clear" w:color="auto" w:fill="auto"/>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
          <w:color w:val="auto"/>
          <w:sz w:val="24"/>
          <w:szCs w:val="24"/>
          <w:highlight w:val="none"/>
        </w:rPr>
        <w:t>法定代表人和授权代表均须</w:t>
      </w:r>
      <w:r>
        <w:rPr>
          <w:rFonts w:hint="eastAsia" w:ascii="仿宋" w:hAnsi="仿宋" w:eastAsia="仿宋" w:cs="仿宋"/>
          <w:b/>
          <w:color w:val="auto"/>
          <w:sz w:val="24"/>
          <w:szCs w:val="24"/>
          <w:highlight w:val="none"/>
          <w:lang w:eastAsia="zh-CN"/>
        </w:rPr>
        <w:t>按照格式要求</w:t>
      </w:r>
      <w:r>
        <w:rPr>
          <w:rFonts w:hint="eastAsia" w:ascii="仿宋" w:hAnsi="仿宋" w:eastAsia="仿宋" w:cs="仿宋"/>
          <w:b/>
          <w:color w:val="auto"/>
          <w:sz w:val="24"/>
          <w:szCs w:val="24"/>
          <w:highlight w:val="none"/>
        </w:rPr>
        <w:t>签字或加盖个人名章，并加盖单位公章，否则按无效标处理。</w:t>
      </w:r>
    </w:p>
    <w:bookmarkEnd w:id="52"/>
    <w:p w14:paraId="30F6E1BC">
      <w:pPr>
        <w:pStyle w:val="6"/>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53" w:name="_Toc32503"/>
      <w:bookmarkStart w:id="54" w:name="_Hlk535236837"/>
      <w:r>
        <w:rPr>
          <w:rFonts w:hint="eastAsia" w:ascii="仿宋" w:hAnsi="仿宋" w:eastAsia="仿宋" w:cs="仿宋"/>
          <w:color w:val="auto"/>
          <w:sz w:val="24"/>
          <w:szCs w:val="24"/>
          <w:highlight w:val="none"/>
        </w:rPr>
        <w:t>3、具有良好的商业信誉和健全的财务会计制度</w:t>
      </w:r>
      <w:bookmarkEnd w:id="53"/>
    </w:p>
    <w:p w14:paraId="165D55DA">
      <w:pPr>
        <w:shd w:val="clear" w:color="auto" w:fill="auto"/>
        <w:rPr>
          <w:rFonts w:hint="eastAsia" w:ascii="仿宋" w:hAnsi="仿宋" w:eastAsia="仿宋" w:cs="仿宋"/>
          <w:color w:val="auto"/>
          <w:sz w:val="24"/>
          <w:szCs w:val="24"/>
          <w:highlight w:val="none"/>
        </w:rPr>
      </w:pPr>
    </w:p>
    <w:p w14:paraId="7030206C">
      <w:pPr>
        <w:shd w:val="clear" w:color="auto" w:fill="auto"/>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b w:val="0"/>
          <w:bCs w:val="0"/>
          <w:color w:val="auto"/>
          <w:kern w:val="2"/>
          <w:sz w:val="24"/>
          <w:szCs w:val="24"/>
          <w:highlight w:val="none"/>
          <w:lang w:val="en-US" w:eastAsia="zh-CN" w:bidi="ar-SA"/>
        </w:rPr>
        <w:t>（提供2024年度经审计财务审计报告或开标前近12个月内基本开户银行出具的资信证明；成立不满一年的企业提供财务报表或开标前近3个月内基本开户银行出具的资信证明）</w:t>
      </w:r>
      <w:r>
        <w:rPr>
          <w:rFonts w:hint="eastAsia" w:ascii="仿宋" w:hAnsi="仿宋" w:eastAsia="仿宋" w:cs="仿宋"/>
          <w:color w:val="auto"/>
          <w:sz w:val="24"/>
          <w:szCs w:val="24"/>
          <w:highlight w:val="none"/>
        </w:rPr>
        <w:br w:type="page"/>
      </w:r>
    </w:p>
    <w:p w14:paraId="5C66CE72">
      <w:pPr>
        <w:pStyle w:val="6"/>
        <w:bidi w:val="0"/>
        <w:jc w:val="center"/>
        <w:rPr>
          <w:rFonts w:hint="eastAsia" w:ascii="仿宋" w:hAnsi="仿宋" w:eastAsia="仿宋" w:cs="仿宋"/>
          <w:color w:val="auto"/>
          <w:sz w:val="24"/>
          <w:szCs w:val="24"/>
          <w:highlight w:val="none"/>
        </w:rPr>
      </w:pPr>
      <w:bookmarkStart w:id="55" w:name="_Toc5965"/>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、具有履行合同所必需的设备和专业技术能力承诺函</w:t>
      </w:r>
      <w:bookmarkEnd w:id="55"/>
    </w:p>
    <w:p w14:paraId="616FB5DF">
      <w:pPr>
        <w:shd w:val="clear" w:color="auto" w:fill="auto"/>
        <w:spacing w:line="480" w:lineRule="auto"/>
        <w:rPr>
          <w:rFonts w:hint="eastAsia" w:ascii="仿宋" w:hAnsi="仿宋" w:eastAsia="仿宋" w:cs="仿宋"/>
          <w:color w:val="auto"/>
          <w:sz w:val="24"/>
          <w:szCs w:val="24"/>
          <w:highlight w:val="none"/>
        </w:rPr>
      </w:pPr>
    </w:p>
    <w:p w14:paraId="2C8A9CCE">
      <w:pPr>
        <w:shd w:val="clear" w:color="auto" w:fill="auto"/>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p>
    <w:p w14:paraId="5FC8673A">
      <w:pPr>
        <w:shd w:val="clear" w:color="auto" w:fill="auto"/>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（公司名称）参加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（项目名称）的采购活动，现承诺我公司具有履行合同所必需的设备和专业技术能力。</w:t>
      </w:r>
    </w:p>
    <w:p w14:paraId="2990DA90">
      <w:pPr>
        <w:shd w:val="clear" w:color="auto" w:fill="auto"/>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本公司对上述承诺内容事项真实性负责。如经查实上述承诺的内容事项存在虚假，我公司愿意接受以提供虚假材料谋取中标追究法律责任。</w:t>
      </w:r>
    </w:p>
    <w:p w14:paraId="0966E7BC">
      <w:pPr>
        <w:shd w:val="clear" w:color="auto" w:fill="auto"/>
        <w:spacing w:line="276" w:lineRule="auto"/>
        <w:ind w:firstLine="480" w:firstLineChars="200"/>
        <w:rPr>
          <w:rFonts w:hint="eastAsia" w:ascii="仿宋" w:hAnsi="仿宋" w:eastAsia="仿宋" w:cs="仿宋"/>
          <w:color w:val="auto"/>
          <w:sz w:val="24"/>
          <w:szCs w:val="24"/>
          <w:highlight w:val="none"/>
        </w:rPr>
      </w:pPr>
    </w:p>
    <w:p w14:paraId="2244C326">
      <w:pPr>
        <w:shd w:val="clear" w:color="auto" w:fill="auto"/>
        <w:spacing w:line="276" w:lineRule="auto"/>
        <w:ind w:firstLine="480" w:firstLineChars="200"/>
        <w:rPr>
          <w:rFonts w:hint="eastAsia" w:ascii="仿宋" w:hAnsi="仿宋" w:eastAsia="仿宋" w:cs="仿宋"/>
          <w:color w:val="auto"/>
          <w:sz w:val="24"/>
          <w:szCs w:val="24"/>
          <w:highlight w:val="none"/>
        </w:rPr>
      </w:pPr>
    </w:p>
    <w:p w14:paraId="15924A64">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投标人名称：XXXX（单位公章）</w:t>
      </w:r>
    </w:p>
    <w:p w14:paraId="0BDA0A41">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法定代表人/单位负责人或授权代表（签字或加盖个人名章）：XXXX</w:t>
      </w:r>
    </w:p>
    <w:p w14:paraId="11F4EDA1">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投标日期：XXXX</w:t>
      </w:r>
    </w:p>
    <w:p w14:paraId="6B2E4C07">
      <w:pPr>
        <w:shd w:val="clear" w:color="auto" w:fill="auto"/>
        <w:rPr>
          <w:rFonts w:hint="eastAsia" w:ascii="仿宋" w:hAnsi="仿宋" w:eastAsia="仿宋" w:cs="仿宋"/>
          <w:color w:val="auto"/>
          <w:sz w:val="24"/>
          <w:szCs w:val="24"/>
          <w:highlight w:val="none"/>
        </w:rPr>
      </w:pPr>
    </w:p>
    <w:p w14:paraId="494B6C75">
      <w:pPr>
        <w:shd w:val="clear" w:color="auto" w:fill="auto"/>
        <w:rPr>
          <w:rFonts w:hint="eastAsia" w:ascii="仿宋" w:hAnsi="仿宋" w:eastAsia="仿宋" w:cs="仿宋"/>
          <w:color w:val="auto"/>
          <w:sz w:val="24"/>
          <w:szCs w:val="24"/>
          <w:highlight w:val="none"/>
        </w:rPr>
      </w:pPr>
    </w:p>
    <w:p w14:paraId="15BA9F62">
      <w:pPr>
        <w:shd w:val="clear" w:color="auto" w:fill="auto"/>
        <w:rPr>
          <w:rFonts w:hint="eastAsia" w:ascii="仿宋" w:hAnsi="仿宋" w:eastAsia="仿宋" w:cs="仿宋"/>
          <w:color w:val="auto"/>
          <w:sz w:val="24"/>
          <w:szCs w:val="24"/>
          <w:highlight w:val="none"/>
        </w:rPr>
      </w:pPr>
    </w:p>
    <w:p w14:paraId="48435129">
      <w:pPr>
        <w:shd w:val="clear" w:color="auto" w:fill="auto"/>
        <w:rPr>
          <w:rFonts w:hint="eastAsia" w:ascii="仿宋" w:hAnsi="仿宋" w:eastAsia="仿宋" w:cs="仿宋"/>
          <w:color w:val="auto"/>
          <w:sz w:val="24"/>
          <w:szCs w:val="24"/>
          <w:highlight w:val="none"/>
        </w:rPr>
      </w:pPr>
    </w:p>
    <w:p w14:paraId="756EA0DE">
      <w:pPr>
        <w:shd w:val="clear" w:color="auto" w:fill="auto"/>
        <w:rPr>
          <w:rFonts w:hint="eastAsia" w:ascii="仿宋" w:hAnsi="仿宋" w:eastAsia="仿宋" w:cs="仿宋"/>
          <w:color w:val="auto"/>
          <w:sz w:val="24"/>
          <w:szCs w:val="24"/>
          <w:highlight w:val="none"/>
        </w:rPr>
      </w:pPr>
    </w:p>
    <w:p w14:paraId="7D4ACF6B">
      <w:pPr>
        <w:shd w:val="clear" w:color="auto" w:fill="auto"/>
        <w:rPr>
          <w:rFonts w:hint="eastAsia" w:ascii="仿宋" w:hAnsi="仿宋" w:eastAsia="仿宋" w:cs="仿宋"/>
          <w:color w:val="auto"/>
          <w:sz w:val="24"/>
          <w:szCs w:val="24"/>
          <w:highlight w:val="none"/>
        </w:rPr>
      </w:pPr>
    </w:p>
    <w:p w14:paraId="34CD43B1">
      <w:pPr>
        <w:shd w:val="clear" w:color="auto" w:fill="auto"/>
        <w:rPr>
          <w:rFonts w:hint="eastAsia" w:ascii="仿宋" w:hAnsi="仿宋" w:eastAsia="仿宋" w:cs="仿宋"/>
          <w:color w:val="auto"/>
          <w:sz w:val="24"/>
          <w:szCs w:val="24"/>
          <w:highlight w:val="none"/>
        </w:rPr>
      </w:pPr>
    </w:p>
    <w:p w14:paraId="2B777499">
      <w:pPr>
        <w:shd w:val="clear" w:color="auto" w:fill="auto"/>
        <w:rPr>
          <w:rFonts w:hint="eastAsia" w:ascii="仿宋" w:hAnsi="仿宋" w:eastAsia="仿宋" w:cs="仿宋"/>
          <w:color w:val="auto"/>
          <w:sz w:val="24"/>
          <w:szCs w:val="24"/>
          <w:highlight w:val="none"/>
        </w:rPr>
      </w:pPr>
    </w:p>
    <w:p w14:paraId="4EBF6D46">
      <w:pPr>
        <w:shd w:val="clear" w:color="auto" w:fill="auto"/>
        <w:rPr>
          <w:rFonts w:hint="eastAsia" w:ascii="仿宋" w:hAnsi="仿宋" w:eastAsia="仿宋" w:cs="仿宋"/>
          <w:color w:val="auto"/>
          <w:sz w:val="24"/>
          <w:szCs w:val="24"/>
          <w:highlight w:val="none"/>
        </w:rPr>
      </w:pPr>
    </w:p>
    <w:p w14:paraId="1E7C1E5B">
      <w:pPr>
        <w:shd w:val="clear" w:color="auto" w:fill="auto"/>
        <w:rPr>
          <w:rFonts w:hint="eastAsia" w:ascii="仿宋" w:hAnsi="仿宋" w:eastAsia="仿宋" w:cs="仿宋"/>
          <w:color w:val="auto"/>
          <w:sz w:val="24"/>
          <w:szCs w:val="24"/>
          <w:highlight w:val="none"/>
        </w:rPr>
      </w:pPr>
    </w:p>
    <w:p w14:paraId="7D34A77C">
      <w:pPr>
        <w:shd w:val="clear" w:color="auto" w:fill="auto"/>
        <w:rPr>
          <w:rFonts w:hint="eastAsia" w:ascii="仿宋" w:hAnsi="仿宋" w:eastAsia="仿宋" w:cs="仿宋"/>
          <w:color w:val="auto"/>
          <w:sz w:val="24"/>
          <w:szCs w:val="24"/>
          <w:highlight w:val="none"/>
        </w:rPr>
      </w:pPr>
    </w:p>
    <w:p w14:paraId="319E2AF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40D93FA">
      <w:pPr>
        <w:pStyle w:val="6"/>
        <w:bidi w:val="0"/>
        <w:jc w:val="center"/>
        <w:rPr>
          <w:rFonts w:hint="eastAsia" w:ascii="仿宋" w:hAnsi="仿宋" w:eastAsia="仿宋" w:cs="仿宋"/>
          <w:color w:val="auto"/>
          <w:sz w:val="24"/>
          <w:szCs w:val="24"/>
          <w:highlight w:val="none"/>
        </w:rPr>
      </w:pPr>
      <w:bookmarkStart w:id="56" w:name="_Toc12430"/>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、具有依法缴纳税收和社会保障资金的良好记录</w:t>
      </w:r>
      <w:bookmarkEnd w:id="56"/>
    </w:p>
    <w:p w14:paraId="539F108F">
      <w:pPr>
        <w:shd w:val="clear" w:color="auto" w:fill="auto"/>
        <w:jc w:val="center"/>
        <w:rPr>
          <w:rFonts w:hint="eastAsia" w:ascii="仿宋" w:hAnsi="仿宋" w:eastAsia="仿宋" w:cs="仿宋"/>
          <w:color w:val="auto"/>
          <w:sz w:val="24"/>
          <w:szCs w:val="24"/>
          <w:highlight w:val="none"/>
        </w:rPr>
      </w:pPr>
    </w:p>
    <w:p w14:paraId="68B23946">
      <w:pPr>
        <w:shd w:val="clear" w:color="auto" w:fill="auto"/>
        <w:spacing w:line="360" w:lineRule="auto"/>
        <w:jc w:val="center"/>
        <w:rPr>
          <w:rFonts w:hint="eastAsia" w:ascii="仿宋" w:hAnsi="仿宋" w:eastAsia="仿宋" w:cs="仿宋"/>
          <w:color w:val="auto"/>
          <w:sz w:val="24"/>
          <w:szCs w:val="24"/>
          <w:highlight w:val="none"/>
        </w:rPr>
      </w:pPr>
    </w:p>
    <w:p w14:paraId="4EE258EA">
      <w:pPr>
        <w:shd w:val="clear" w:color="auto" w:fill="auto"/>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提供开标前半年任意一</w:t>
      </w:r>
      <w:r>
        <w:rPr>
          <w:rFonts w:hint="eastAsia" w:ascii="仿宋" w:hAnsi="仿宋" w:eastAsia="仿宋" w:cs="仿宋"/>
          <w:color w:val="auto"/>
          <w:sz w:val="24"/>
          <w:szCs w:val="24"/>
          <w:highlight w:val="none"/>
        </w:rPr>
        <w:t>个月依法缴纳税收证明</w:t>
      </w:r>
      <w:r>
        <w:rPr>
          <w:rFonts w:hint="eastAsia" w:ascii="仿宋" w:hAnsi="仿宋" w:eastAsia="仿宋" w:cs="仿宋"/>
          <w:b/>
          <w:bCs/>
          <w:color w:val="auto"/>
          <w:sz w:val="24"/>
          <w:szCs w:val="24"/>
          <w:highlight w:val="none"/>
          <w:lang w:eastAsia="zh-CN"/>
        </w:rPr>
        <w:t>及</w:t>
      </w:r>
      <w:r>
        <w:rPr>
          <w:rFonts w:hint="eastAsia" w:ascii="仿宋" w:hAnsi="仿宋" w:eastAsia="仿宋" w:cs="仿宋"/>
          <w:b w:val="0"/>
          <w:bCs w:val="0"/>
          <w:color w:val="auto"/>
          <w:sz w:val="24"/>
          <w:szCs w:val="24"/>
          <w:highlight w:val="none"/>
        </w:rPr>
        <w:t>社</w:t>
      </w:r>
      <w:r>
        <w:rPr>
          <w:rFonts w:hint="eastAsia" w:ascii="仿宋" w:hAnsi="仿宋" w:eastAsia="仿宋" w:cs="仿宋"/>
          <w:color w:val="auto"/>
          <w:sz w:val="24"/>
          <w:szCs w:val="24"/>
          <w:highlight w:val="none"/>
        </w:rPr>
        <w:t>保机构出具的</w:t>
      </w:r>
      <w:r>
        <w:rPr>
          <w:rFonts w:hint="eastAsia" w:ascii="仿宋" w:hAnsi="仿宋" w:eastAsia="仿宋" w:cs="仿宋"/>
          <w:color w:val="auto"/>
          <w:sz w:val="24"/>
          <w:szCs w:val="24"/>
          <w:highlight w:val="none"/>
          <w:lang w:eastAsia="zh-CN"/>
        </w:rPr>
        <w:t>开标前半年任意一</w:t>
      </w:r>
      <w:r>
        <w:rPr>
          <w:rFonts w:hint="eastAsia" w:ascii="仿宋" w:hAnsi="仿宋" w:eastAsia="仿宋" w:cs="仿宋"/>
          <w:color w:val="auto"/>
          <w:sz w:val="24"/>
          <w:szCs w:val="24"/>
          <w:highlight w:val="none"/>
        </w:rPr>
        <w:t>个月社保缴纳证明</w:t>
      </w:r>
      <w:r>
        <w:rPr>
          <w:rFonts w:hint="eastAsia" w:ascii="仿宋" w:hAnsi="仿宋" w:eastAsia="仿宋" w:cs="仿宋"/>
          <w:color w:val="auto"/>
          <w:sz w:val="24"/>
          <w:szCs w:val="24"/>
          <w:highlight w:val="none"/>
          <w:lang w:eastAsia="zh-CN"/>
        </w:rPr>
        <w:t>（成立不足六个月的按实际时间提供）</w:t>
      </w:r>
    </w:p>
    <w:p w14:paraId="5E900336">
      <w:pPr>
        <w:shd w:val="clear" w:color="auto" w:fill="auto"/>
        <w:rPr>
          <w:rFonts w:hint="eastAsia" w:ascii="仿宋" w:hAnsi="仿宋" w:eastAsia="仿宋" w:cs="仿宋"/>
          <w:color w:val="auto"/>
          <w:sz w:val="24"/>
          <w:szCs w:val="24"/>
          <w:highlight w:val="none"/>
        </w:rPr>
      </w:pPr>
    </w:p>
    <w:p w14:paraId="619A87D9">
      <w:pPr>
        <w:shd w:val="clear" w:color="auto" w:fill="auto"/>
        <w:rPr>
          <w:rFonts w:hint="eastAsia" w:ascii="仿宋" w:hAnsi="仿宋" w:eastAsia="仿宋" w:cs="仿宋"/>
          <w:color w:val="auto"/>
          <w:sz w:val="24"/>
          <w:szCs w:val="24"/>
          <w:highlight w:val="none"/>
        </w:rPr>
      </w:pPr>
    </w:p>
    <w:p w14:paraId="0BD23A6D">
      <w:pPr>
        <w:shd w:val="clear" w:color="auto" w:fill="auto"/>
        <w:rPr>
          <w:rFonts w:hint="eastAsia" w:ascii="仿宋" w:hAnsi="仿宋" w:eastAsia="仿宋" w:cs="仿宋"/>
          <w:color w:val="auto"/>
          <w:sz w:val="24"/>
          <w:szCs w:val="24"/>
          <w:highlight w:val="none"/>
        </w:rPr>
      </w:pPr>
    </w:p>
    <w:p w14:paraId="1A3A6D72">
      <w:pPr>
        <w:shd w:val="clear" w:color="auto" w:fill="auto"/>
        <w:rPr>
          <w:rFonts w:hint="eastAsia" w:ascii="仿宋" w:hAnsi="仿宋" w:eastAsia="仿宋" w:cs="仿宋"/>
          <w:color w:val="auto"/>
          <w:sz w:val="24"/>
          <w:szCs w:val="24"/>
          <w:highlight w:val="none"/>
        </w:rPr>
      </w:pPr>
    </w:p>
    <w:p w14:paraId="1164BD08">
      <w:pPr>
        <w:shd w:val="clear" w:color="auto" w:fill="auto"/>
        <w:rPr>
          <w:rFonts w:hint="eastAsia" w:ascii="仿宋" w:hAnsi="仿宋" w:eastAsia="仿宋" w:cs="仿宋"/>
          <w:color w:val="auto"/>
          <w:sz w:val="24"/>
          <w:szCs w:val="24"/>
          <w:highlight w:val="none"/>
        </w:rPr>
      </w:pPr>
    </w:p>
    <w:p w14:paraId="03CD83A9">
      <w:pPr>
        <w:shd w:val="clear" w:color="auto" w:fill="auto"/>
        <w:rPr>
          <w:rFonts w:hint="eastAsia" w:ascii="仿宋" w:hAnsi="仿宋" w:eastAsia="仿宋" w:cs="仿宋"/>
          <w:color w:val="auto"/>
          <w:sz w:val="24"/>
          <w:szCs w:val="24"/>
          <w:highlight w:val="none"/>
        </w:rPr>
      </w:pPr>
    </w:p>
    <w:p w14:paraId="5C85C194">
      <w:pPr>
        <w:shd w:val="clear" w:color="auto" w:fill="auto"/>
        <w:rPr>
          <w:rFonts w:hint="eastAsia" w:ascii="仿宋" w:hAnsi="仿宋" w:eastAsia="仿宋" w:cs="仿宋"/>
          <w:color w:val="auto"/>
          <w:sz w:val="24"/>
          <w:szCs w:val="24"/>
          <w:highlight w:val="none"/>
        </w:rPr>
      </w:pPr>
    </w:p>
    <w:p w14:paraId="7A48D65D">
      <w:pPr>
        <w:shd w:val="clear" w:color="auto" w:fill="auto"/>
        <w:rPr>
          <w:rFonts w:hint="eastAsia" w:ascii="仿宋" w:hAnsi="仿宋" w:eastAsia="仿宋" w:cs="仿宋"/>
          <w:color w:val="auto"/>
          <w:sz w:val="24"/>
          <w:szCs w:val="24"/>
          <w:highlight w:val="none"/>
        </w:rPr>
      </w:pPr>
    </w:p>
    <w:p w14:paraId="56D79B36">
      <w:pPr>
        <w:shd w:val="clear" w:color="auto" w:fill="auto"/>
        <w:rPr>
          <w:rFonts w:hint="eastAsia" w:ascii="仿宋" w:hAnsi="仿宋" w:eastAsia="仿宋" w:cs="仿宋"/>
          <w:color w:val="auto"/>
          <w:sz w:val="24"/>
          <w:szCs w:val="24"/>
          <w:highlight w:val="none"/>
        </w:rPr>
      </w:pPr>
    </w:p>
    <w:p w14:paraId="73856868">
      <w:pPr>
        <w:shd w:val="clear" w:color="auto" w:fill="auto"/>
        <w:rPr>
          <w:rFonts w:hint="eastAsia" w:ascii="仿宋" w:hAnsi="仿宋" w:eastAsia="仿宋" w:cs="仿宋"/>
          <w:color w:val="auto"/>
          <w:sz w:val="24"/>
          <w:szCs w:val="24"/>
          <w:highlight w:val="none"/>
        </w:rPr>
      </w:pPr>
    </w:p>
    <w:p w14:paraId="143058C4">
      <w:pPr>
        <w:shd w:val="clear" w:color="auto" w:fill="auto"/>
        <w:rPr>
          <w:rFonts w:hint="eastAsia" w:ascii="仿宋" w:hAnsi="仿宋" w:eastAsia="仿宋" w:cs="仿宋"/>
          <w:color w:val="auto"/>
          <w:sz w:val="24"/>
          <w:szCs w:val="24"/>
          <w:highlight w:val="none"/>
        </w:rPr>
      </w:pPr>
    </w:p>
    <w:p w14:paraId="49AC0799">
      <w:pPr>
        <w:shd w:val="clear" w:color="auto" w:fill="auto"/>
        <w:rPr>
          <w:rFonts w:hint="eastAsia" w:ascii="仿宋" w:hAnsi="仿宋" w:eastAsia="仿宋" w:cs="仿宋"/>
          <w:color w:val="auto"/>
          <w:sz w:val="24"/>
          <w:szCs w:val="24"/>
          <w:highlight w:val="none"/>
        </w:rPr>
      </w:pPr>
    </w:p>
    <w:p w14:paraId="5EA315F9">
      <w:pPr>
        <w:shd w:val="clear" w:color="auto" w:fill="auto"/>
        <w:rPr>
          <w:rFonts w:hint="eastAsia" w:ascii="仿宋" w:hAnsi="仿宋" w:eastAsia="仿宋" w:cs="仿宋"/>
          <w:color w:val="auto"/>
          <w:sz w:val="24"/>
          <w:szCs w:val="24"/>
          <w:highlight w:val="none"/>
        </w:rPr>
      </w:pPr>
    </w:p>
    <w:p w14:paraId="4DF1DDAE">
      <w:pPr>
        <w:shd w:val="clear" w:color="auto" w:fill="auto"/>
        <w:rPr>
          <w:rFonts w:hint="eastAsia" w:ascii="仿宋" w:hAnsi="仿宋" w:eastAsia="仿宋" w:cs="仿宋"/>
          <w:color w:val="auto"/>
          <w:sz w:val="24"/>
          <w:szCs w:val="24"/>
          <w:highlight w:val="none"/>
        </w:rPr>
      </w:pPr>
    </w:p>
    <w:p w14:paraId="40A015B8">
      <w:pPr>
        <w:shd w:val="clear" w:color="auto" w:fill="auto"/>
        <w:rPr>
          <w:rFonts w:hint="eastAsia" w:ascii="仿宋" w:hAnsi="仿宋" w:eastAsia="仿宋" w:cs="仿宋"/>
          <w:color w:val="auto"/>
          <w:sz w:val="24"/>
          <w:szCs w:val="24"/>
          <w:highlight w:val="none"/>
        </w:rPr>
      </w:pPr>
    </w:p>
    <w:p w14:paraId="54F0FFD1">
      <w:pPr>
        <w:shd w:val="clear" w:color="auto" w:fill="auto"/>
        <w:rPr>
          <w:rFonts w:hint="eastAsia" w:ascii="仿宋" w:hAnsi="仿宋" w:eastAsia="仿宋" w:cs="仿宋"/>
          <w:color w:val="auto"/>
          <w:sz w:val="24"/>
          <w:szCs w:val="24"/>
          <w:highlight w:val="none"/>
        </w:rPr>
      </w:pPr>
    </w:p>
    <w:p w14:paraId="48078886">
      <w:pPr>
        <w:shd w:val="clear" w:color="auto" w:fill="auto"/>
        <w:rPr>
          <w:rFonts w:hint="eastAsia" w:ascii="仿宋" w:hAnsi="仿宋" w:eastAsia="仿宋" w:cs="仿宋"/>
          <w:color w:val="auto"/>
          <w:sz w:val="24"/>
          <w:szCs w:val="24"/>
          <w:highlight w:val="none"/>
        </w:rPr>
      </w:pPr>
    </w:p>
    <w:p w14:paraId="75A49A37">
      <w:pPr>
        <w:shd w:val="clear" w:color="auto" w:fill="auto"/>
        <w:rPr>
          <w:rFonts w:hint="eastAsia" w:ascii="仿宋" w:hAnsi="仿宋" w:eastAsia="仿宋" w:cs="仿宋"/>
          <w:color w:val="auto"/>
          <w:sz w:val="24"/>
          <w:szCs w:val="24"/>
          <w:highlight w:val="none"/>
        </w:rPr>
      </w:pPr>
    </w:p>
    <w:p w14:paraId="7596AC1B">
      <w:pPr>
        <w:shd w:val="clear" w:color="auto" w:fill="auto"/>
        <w:rPr>
          <w:rFonts w:hint="eastAsia" w:ascii="仿宋" w:hAnsi="仿宋" w:eastAsia="仿宋" w:cs="仿宋"/>
          <w:color w:val="auto"/>
          <w:sz w:val="24"/>
          <w:szCs w:val="24"/>
          <w:highlight w:val="none"/>
        </w:rPr>
      </w:pPr>
    </w:p>
    <w:p w14:paraId="4EB245A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C25D38A">
      <w:pPr>
        <w:pStyle w:val="6"/>
        <w:bidi w:val="0"/>
        <w:jc w:val="center"/>
        <w:rPr>
          <w:rFonts w:hint="eastAsia" w:ascii="仿宋" w:hAnsi="仿宋" w:eastAsia="仿宋" w:cs="仿宋"/>
          <w:color w:val="auto"/>
          <w:sz w:val="24"/>
          <w:szCs w:val="24"/>
          <w:highlight w:val="none"/>
        </w:rPr>
      </w:pPr>
      <w:bookmarkStart w:id="57" w:name="_Toc26225"/>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bookmarkEnd w:id="57"/>
      <w:r>
        <w:rPr>
          <w:rFonts w:hint="eastAsia" w:ascii="仿宋" w:hAnsi="仿宋" w:eastAsia="仿宋" w:cs="仿宋"/>
          <w:color w:val="auto"/>
          <w:sz w:val="24"/>
          <w:szCs w:val="24"/>
          <w:highlight w:val="none"/>
        </w:rPr>
        <w:t>参加政府采购活动前三年内，在在经营活动中没有重大违法记录</w:t>
      </w:r>
    </w:p>
    <w:p w14:paraId="3567A6E5">
      <w:pPr>
        <w:shd w:val="clear" w:color="auto" w:fill="auto"/>
        <w:adjustRightInd w:val="0"/>
        <w:spacing w:line="440" w:lineRule="exact"/>
        <w:jc w:val="left"/>
        <w:rPr>
          <w:rFonts w:hint="eastAsia" w:ascii="仿宋" w:hAnsi="仿宋" w:eastAsia="仿宋" w:cs="仿宋"/>
          <w:color w:val="auto"/>
          <w:sz w:val="24"/>
          <w:szCs w:val="24"/>
          <w:highlight w:val="none"/>
        </w:rPr>
      </w:pPr>
    </w:p>
    <w:bookmarkEnd w:id="54"/>
    <w:p w14:paraId="3DA2D5AE">
      <w:pPr>
        <w:shd w:val="clear" w:color="auto" w:fill="auto"/>
        <w:spacing w:line="440" w:lineRule="exact"/>
        <w:ind w:firstLine="424" w:firstLineChars="177"/>
        <w:jc w:val="center"/>
        <w:rPr>
          <w:rFonts w:hint="eastAsia" w:ascii="仿宋" w:hAnsi="仿宋" w:eastAsia="仿宋" w:cs="仿宋"/>
          <w:color w:val="auto"/>
          <w:sz w:val="24"/>
          <w:szCs w:val="24"/>
          <w:highlight w:val="none"/>
          <w:lang w:val="en-US"/>
        </w:rPr>
      </w:pPr>
      <w:r>
        <w:rPr>
          <w:rFonts w:hint="eastAsia" w:ascii="仿宋" w:hAnsi="仿宋" w:eastAsia="仿宋" w:cs="仿宋"/>
          <w:b w:val="0"/>
          <w:bCs w:val="0"/>
          <w:color w:val="auto"/>
          <w:sz w:val="24"/>
          <w:szCs w:val="24"/>
          <w:highlight w:val="none"/>
          <w:lang w:val="en-US" w:eastAsia="zh-CN"/>
        </w:rPr>
        <w:t>提供承诺函，格式自拟</w:t>
      </w:r>
    </w:p>
    <w:p w14:paraId="3063D3B5">
      <w:pPr>
        <w:shd w:val="clear" w:color="auto" w:fill="auto"/>
        <w:spacing w:line="44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3529AAB">
      <w:pPr>
        <w:pStyle w:val="6"/>
        <w:tabs>
          <w:tab w:val="left" w:pos="0"/>
        </w:tabs>
        <w:bidi w:val="0"/>
        <w:jc w:val="center"/>
        <w:rPr>
          <w:rFonts w:hint="eastAsia" w:ascii="宋体" w:hAnsi="宋体" w:eastAsia="宋体" w:cs="宋体"/>
          <w:b/>
          <w:bCs/>
          <w:color w:val="auto"/>
          <w:sz w:val="24"/>
          <w:szCs w:val="24"/>
          <w:highlight w:val="none"/>
          <w:lang w:val="en-US" w:eastAsia="zh-CN"/>
        </w:rPr>
      </w:pPr>
      <w:bookmarkStart w:id="58" w:name="_Toc9419"/>
      <w:r>
        <w:rPr>
          <w:rFonts w:hint="eastAsia" w:ascii="仿宋" w:hAnsi="仿宋" w:eastAsia="仿宋" w:cs="仿宋"/>
          <w:color w:val="auto"/>
          <w:sz w:val="24"/>
          <w:szCs w:val="24"/>
          <w:highlight w:val="none"/>
          <w:lang w:val="en-US" w:eastAsia="zh-CN"/>
        </w:rPr>
        <w:t>7、</w:t>
      </w:r>
      <w:bookmarkEnd w:id="58"/>
      <w:bookmarkStart w:id="59" w:name="_Toc3996"/>
      <w:r>
        <w:rPr>
          <w:rFonts w:hint="eastAsia" w:ascii="宋体" w:hAnsi="宋体" w:eastAsia="宋体" w:cs="宋体"/>
          <w:b/>
          <w:bCs/>
          <w:color w:val="auto"/>
          <w:sz w:val="24"/>
          <w:szCs w:val="24"/>
          <w:highlight w:val="none"/>
          <w:lang w:val="en-US" w:eastAsia="zh-CN"/>
        </w:rPr>
        <w:t>中小企业声明函(工程、服务)</w:t>
      </w:r>
    </w:p>
    <w:p w14:paraId="019B3ABB">
      <w:pPr>
        <w:rPr>
          <w:rFonts w:hint="eastAsia" w:ascii="宋体" w:hAnsi="宋体" w:eastAsia="宋体" w:cs="宋体"/>
          <w:sz w:val="24"/>
          <w:szCs w:val="24"/>
        </w:rPr>
      </w:pPr>
    </w:p>
    <w:p w14:paraId="73C376E3">
      <w:pPr>
        <w:adjustRightInd w:val="0"/>
        <w:snapToGrid w:val="0"/>
        <w:spacing w:line="360" w:lineRule="auto"/>
        <w:ind w:firstLine="630" w:firstLineChars="250"/>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本公司</w:t>
      </w:r>
      <w:r>
        <w:rPr>
          <w:rFonts w:hint="eastAsia" w:ascii="宋体" w:hAnsi="宋体" w:eastAsia="宋体" w:cs="宋体"/>
          <w:color w:val="auto"/>
          <w:spacing w:val="6"/>
          <w:kern w:val="0"/>
          <w:sz w:val="24"/>
          <w:szCs w:val="24"/>
          <w:highlight w:val="none"/>
          <w:lang w:eastAsia="zh-CN"/>
        </w:rPr>
        <w:t>（联合体）</w:t>
      </w:r>
      <w:r>
        <w:rPr>
          <w:rFonts w:hint="eastAsia" w:ascii="宋体" w:hAnsi="宋体" w:eastAsia="宋体" w:cs="宋体"/>
          <w:color w:val="auto"/>
          <w:spacing w:val="6"/>
          <w:kern w:val="0"/>
          <w:sz w:val="24"/>
          <w:szCs w:val="24"/>
          <w:highlight w:val="none"/>
        </w:rPr>
        <w:t>郑重声明，根据《政府采购促进中小企业发展管理办法》（财库〔2020〕[2020]46号）的规定，本公司参加</w:t>
      </w:r>
      <w:r>
        <w:rPr>
          <w:rFonts w:hint="eastAsia" w:ascii="宋体" w:hAnsi="宋体" w:eastAsia="宋体" w:cs="宋体"/>
          <w:color w:val="auto"/>
          <w:spacing w:val="6"/>
          <w:kern w:val="0"/>
          <w:sz w:val="24"/>
          <w:szCs w:val="24"/>
          <w:highlight w:val="none"/>
          <w:u w:val="single"/>
        </w:rPr>
        <w:t xml:space="preserve">      （单位名称）</w:t>
      </w:r>
      <w:r>
        <w:rPr>
          <w:rFonts w:hint="eastAsia" w:ascii="宋体" w:hAnsi="宋体" w:eastAsia="宋体" w:cs="宋体"/>
          <w:color w:val="auto"/>
          <w:spacing w:val="6"/>
          <w:kern w:val="0"/>
          <w:sz w:val="24"/>
          <w:szCs w:val="24"/>
          <w:highlight w:val="none"/>
        </w:rPr>
        <w:t xml:space="preserve">的 </w:t>
      </w:r>
      <w:r>
        <w:rPr>
          <w:rFonts w:hint="eastAsia" w:ascii="宋体" w:hAnsi="宋体" w:eastAsia="宋体" w:cs="宋体"/>
          <w:color w:val="auto"/>
          <w:spacing w:val="6"/>
          <w:kern w:val="0"/>
          <w:sz w:val="24"/>
          <w:szCs w:val="24"/>
          <w:highlight w:val="none"/>
          <w:u w:val="single"/>
        </w:rPr>
        <w:t xml:space="preserve">     （项目名称）</w:t>
      </w:r>
      <w:r>
        <w:rPr>
          <w:rFonts w:hint="eastAsia" w:ascii="宋体" w:hAnsi="宋体" w:eastAsia="宋体" w:cs="宋体"/>
          <w:color w:val="auto"/>
          <w:spacing w:val="6"/>
          <w:kern w:val="0"/>
          <w:sz w:val="24"/>
          <w:szCs w:val="24"/>
          <w:highlight w:val="none"/>
          <w:u w:val="single"/>
          <w:lang w:val="en-US" w:eastAsia="zh-CN"/>
        </w:rPr>
        <w:t xml:space="preserve">    </w:t>
      </w:r>
      <w:r>
        <w:rPr>
          <w:rFonts w:hint="eastAsia" w:ascii="宋体" w:hAnsi="宋体" w:eastAsia="宋体" w:cs="宋体"/>
          <w:color w:val="auto"/>
          <w:spacing w:val="6"/>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4B65694">
      <w:pPr>
        <w:adjustRightInd w:val="0"/>
        <w:snapToGrid w:val="0"/>
        <w:spacing w:line="360" w:lineRule="auto"/>
        <w:ind w:firstLine="630" w:firstLineChars="250"/>
        <w:rPr>
          <w:rFonts w:hint="eastAsia" w:ascii="宋体" w:hAnsi="宋体" w:eastAsia="宋体" w:cs="宋体"/>
          <w:color w:val="auto"/>
          <w:spacing w:val="6"/>
          <w:kern w:val="0"/>
          <w:sz w:val="24"/>
          <w:szCs w:val="24"/>
          <w:highlight w:val="none"/>
        </w:rPr>
      </w:pPr>
    </w:p>
    <w:p w14:paraId="269D029E">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firstLine="504" w:firstLineChars="200"/>
        <w:textAlignment w:val="auto"/>
        <w:rPr>
          <w:rFonts w:hint="eastAsia" w:ascii="宋体" w:hAnsi="宋体" w:eastAsia="宋体" w:cs="宋体"/>
          <w:b w:val="0"/>
          <w:bCs w:val="0"/>
          <w:color w:val="auto"/>
          <w:spacing w:val="6"/>
          <w:kern w:val="0"/>
          <w:sz w:val="24"/>
          <w:szCs w:val="24"/>
          <w:highlight w:val="none"/>
        </w:rPr>
      </w:pPr>
      <w:r>
        <w:rPr>
          <w:rFonts w:hint="eastAsia" w:ascii="宋体" w:hAnsi="宋体" w:eastAsia="宋体" w:cs="宋体"/>
          <w:color w:val="auto"/>
          <w:spacing w:val="6"/>
          <w:kern w:val="0"/>
          <w:sz w:val="24"/>
          <w:szCs w:val="24"/>
          <w:highlight w:val="none"/>
          <w:u w:val="single"/>
        </w:rPr>
        <w:t xml:space="preserve"> （标的名称） </w:t>
      </w:r>
      <w:r>
        <w:rPr>
          <w:rFonts w:hint="eastAsia" w:ascii="宋体" w:hAnsi="宋体" w:eastAsia="宋体" w:cs="宋体"/>
          <w:color w:val="auto"/>
          <w:spacing w:val="6"/>
          <w:kern w:val="0"/>
          <w:sz w:val="24"/>
          <w:szCs w:val="24"/>
          <w:highlight w:val="none"/>
        </w:rPr>
        <w:t xml:space="preserve">，属于 </w:t>
      </w:r>
      <w:r>
        <w:rPr>
          <w:rFonts w:hint="eastAsia" w:ascii="宋体" w:hAnsi="宋体" w:eastAsia="宋体" w:cs="宋体"/>
          <w:color w:val="auto"/>
          <w:spacing w:val="6"/>
          <w:kern w:val="0"/>
          <w:sz w:val="24"/>
          <w:szCs w:val="24"/>
          <w:highlight w:val="none"/>
          <w:u w:val="single"/>
        </w:rPr>
        <w:t xml:space="preserve">   （采购文件中明确的所属行业）  </w:t>
      </w:r>
      <w:r>
        <w:rPr>
          <w:rFonts w:hint="eastAsia" w:ascii="宋体" w:hAnsi="宋体" w:eastAsia="宋体" w:cs="宋体"/>
          <w:b w:val="0"/>
          <w:bCs w:val="0"/>
          <w:color w:val="auto"/>
          <w:spacing w:val="6"/>
          <w:kern w:val="0"/>
          <w:sz w:val="24"/>
          <w:szCs w:val="24"/>
          <w:highlight w:val="none"/>
        </w:rPr>
        <w:t>；</w:t>
      </w:r>
      <w:r>
        <w:rPr>
          <w:rFonts w:hint="eastAsia" w:ascii="宋体" w:hAnsi="宋体" w:eastAsia="宋体" w:cs="宋体"/>
          <w:b w:val="0"/>
          <w:bCs w:val="0"/>
          <w:color w:val="auto"/>
          <w:spacing w:val="6"/>
          <w:kern w:val="0"/>
          <w:sz w:val="24"/>
          <w:szCs w:val="24"/>
          <w:highlight w:val="none"/>
          <w:lang w:eastAsia="zh-CN"/>
        </w:rPr>
        <w:t>承建（承接）</w:t>
      </w:r>
      <w:r>
        <w:rPr>
          <w:rFonts w:hint="eastAsia" w:ascii="宋体" w:hAnsi="宋体" w:eastAsia="宋体" w:cs="宋体"/>
          <w:b w:val="0"/>
          <w:bCs w:val="0"/>
          <w:color w:val="auto"/>
          <w:spacing w:val="6"/>
          <w:kern w:val="0"/>
          <w:sz w:val="24"/>
          <w:szCs w:val="24"/>
          <w:highlight w:val="none"/>
        </w:rPr>
        <w:t>为</w:t>
      </w:r>
      <w:r>
        <w:rPr>
          <w:rFonts w:hint="eastAsia" w:ascii="宋体" w:hAnsi="宋体" w:eastAsia="宋体" w:cs="宋体"/>
          <w:b w:val="0"/>
          <w:bCs w:val="0"/>
          <w:color w:val="auto"/>
          <w:spacing w:val="6"/>
          <w:kern w:val="0"/>
          <w:sz w:val="24"/>
          <w:szCs w:val="24"/>
          <w:highlight w:val="none"/>
          <w:u w:val="single"/>
        </w:rPr>
        <w:t xml:space="preserve"> （企业名称）</w:t>
      </w:r>
      <w:r>
        <w:rPr>
          <w:rFonts w:hint="eastAsia" w:ascii="宋体" w:hAnsi="宋体" w:eastAsia="宋体" w:cs="宋体"/>
          <w:b w:val="0"/>
          <w:bCs w:val="0"/>
          <w:color w:val="auto"/>
          <w:spacing w:val="6"/>
          <w:kern w:val="0"/>
          <w:sz w:val="24"/>
          <w:szCs w:val="24"/>
          <w:highlight w:val="none"/>
        </w:rPr>
        <w:t>，从业人员</w:t>
      </w:r>
      <w:r>
        <w:rPr>
          <w:rFonts w:hint="eastAsia" w:ascii="宋体" w:hAnsi="宋体" w:eastAsia="宋体" w:cs="宋体"/>
          <w:b w:val="0"/>
          <w:bCs w:val="0"/>
          <w:color w:val="auto"/>
          <w:spacing w:val="6"/>
          <w:kern w:val="0"/>
          <w:sz w:val="24"/>
          <w:szCs w:val="24"/>
          <w:highlight w:val="none"/>
          <w:u w:val="single"/>
        </w:rPr>
        <w:t xml:space="preserve">  </w:t>
      </w:r>
      <w:r>
        <w:rPr>
          <w:rFonts w:hint="eastAsia" w:ascii="宋体" w:hAnsi="宋体" w:eastAsia="宋体" w:cs="宋体"/>
          <w:b w:val="0"/>
          <w:bCs w:val="0"/>
          <w:color w:val="auto"/>
          <w:spacing w:val="6"/>
          <w:kern w:val="0"/>
          <w:sz w:val="24"/>
          <w:szCs w:val="24"/>
          <w:highlight w:val="none"/>
        </w:rPr>
        <w:t>人，营业收入为</w:t>
      </w:r>
      <w:r>
        <w:rPr>
          <w:rFonts w:hint="eastAsia" w:ascii="宋体" w:hAnsi="宋体" w:eastAsia="宋体" w:cs="宋体"/>
          <w:b w:val="0"/>
          <w:bCs w:val="0"/>
          <w:color w:val="auto"/>
          <w:spacing w:val="6"/>
          <w:kern w:val="0"/>
          <w:sz w:val="24"/>
          <w:szCs w:val="24"/>
          <w:highlight w:val="none"/>
          <w:u w:val="single"/>
        </w:rPr>
        <w:t xml:space="preserve">  </w:t>
      </w:r>
      <w:r>
        <w:rPr>
          <w:rFonts w:hint="eastAsia" w:ascii="宋体" w:hAnsi="宋体" w:eastAsia="宋体" w:cs="宋体"/>
          <w:b w:val="0"/>
          <w:bCs w:val="0"/>
          <w:color w:val="auto"/>
          <w:spacing w:val="6"/>
          <w:kern w:val="0"/>
          <w:sz w:val="24"/>
          <w:szCs w:val="24"/>
          <w:highlight w:val="none"/>
        </w:rPr>
        <w:t>万元，资产总额为</w:t>
      </w:r>
      <w:r>
        <w:rPr>
          <w:rFonts w:hint="eastAsia" w:ascii="宋体" w:hAnsi="宋体" w:eastAsia="宋体" w:cs="宋体"/>
          <w:b w:val="0"/>
          <w:bCs w:val="0"/>
          <w:color w:val="auto"/>
          <w:spacing w:val="6"/>
          <w:kern w:val="0"/>
          <w:sz w:val="24"/>
          <w:szCs w:val="24"/>
          <w:highlight w:val="none"/>
          <w:u w:val="single"/>
        </w:rPr>
        <w:t xml:space="preserve">   </w:t>
      </w:r>
      <w:r>
        <w:rPr>
          <w:rFonts w:hint="eastAsia" w:ascii="宋体" w:hAnsi="宋体" w:eastAsia="宋体" w:cs="宋体"/>
          <w:b w:val="0"/>
          <w:bCs w:val="0"/>
          <w:color w:val="auto"/>
          <w:spacing w:val="6"/>
          <w:kern w:val="0"/>
          <w:sz w:val="24"/>
          <w:szCs w:val="24"/>
          <w:highlight w:val="none"/>
        </w:rPr>
        <w:t xml:space="preserve"> 万元，属于</w:t>
      </w:r>
      <w:r>
        <w:rPr>
          <w:rFonts w:hint="eastAsia" w:ascii="宋体" w:hAnsi="宋体" w:eastAsia="宋体" w:cs="宋体"/>
          <w:b w:val="0"/>
          <w:bCs w:val="0"/>
          <w:color w:val="auto"/>
          <w:spacing w:val="6"/>
          <w:kern w:val="0"/>
          <w:sz w:val="24"/>
          <w:szCs w:val="24"/>
          <w:highlight w:val="none"/>
          <w:u w:val="single"/>
        </w:rPr>
        <w:t>（中型企业、小型企业、微型企业）</w:t>
      </w:r>
      <w:r>
        <w:rPr>
          <w:rFonts w:hint="eastAsia" w:ascii="宋体" w:hAnsi="宋体" w:eastAsia="宋体" w:cs="宋体"/>
          <w:b w:val="0"/>
          <w:bCs w:val="0"/>
          <w:color w:val="auto"/>
          <w:spacing w:val="6"/>
          <w:kern w:val="0"/>
          <w:sz w:val="24"/>
          <w:szCs w:val="24"/>
          <w:highlight w:val="none"/>
        </w:rPr>
        <w:t>；</w:t>
      </w:r>
    </w:p>
    <w:p w14:paraId="438A0FD8">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firstLine="504" w:firstLineChars="200"/>
        <w:textAlignment w:val="auto"/>
        <w:rPr>
          <w:rFonts w:hint="eastAsia" w:ascii="宋体" w:hAnsi="宋体" w:eastAsia="宋体" w:cs="宋体"/>
          <w:color w:val="auto"/>
          <w:spacing w:val="6"/>
          <w:kern w:val="0"/>
          <w:sz w:val="24"/>
          <w:szCs w:val="24"/>
          <w:highlight w:val="none"/>
        </w:rPr>
      </w:pPr>
      <w:r>
        <w:rPr>
          <w:rFonts w:hint="eastAsia" w:ascii="宋体" w:hAnsi="宋体" w:eastAsia="宋体" w:cs="宋体"/>
          <w:b w:val="0"/>
          <w:bCs w:val="0"/>
          <w:color w:val="auto"/>
          <w:spacing w:val="6"/>
          <w:kern w:val="0"/>
          <w:sz w:val="24"/>
          <w:szCs w:val="24"/>
          <w:highlight w:val="none"/>
          <w:u w:val="single"/>
        </w:rPr>
        <w:t xml:space="preserve"> （标的名称） </w:t>
      </w:r>
      <w:r>
        <w:rPr>
          <w:rFonts w:hint="eastAsia" w:ascii="宋体" w:hAnsi="宋体" w:eastAsia="宋体" w:cs="宋体"/>
          <w:b w:val="0"/>
          <w:bCs w:val="0"/>
          <w:color w:val="auto"/>
          <w:spacing w:val="6"/>
          <w:kern w:val="0"/>
          <w:sz w:val="24"/>
          <w:szCs w:val="24"/>
          <w:highlight w:val="none"/>
        </w:rPr>
        <w:t xml:space="preserve">，属于 </w:t>
      </w:r>
      <w:r>
        <w:rPr>
          <w:rFonts w:hint="eastAsia" w:ascii="宋体" w:hAnsi="宋体" w:eastAsia="宋体" w:cs="宋体"/>
          <w:b w:val="0"/>
          <w:bCs w:val="0"/>
          <w:color w:val="auto"/>
          <w:spacing w:val="6"/>
          <w:kern w:val="0"/>
          <w:sz w:val="24"/>
          <w:szCs w:val="24"/>
          <w:highlight w:val="none"/>
          <w:u w:val="single"/>
        </w:rPr>
        <w:t xml:space="preserve">   （采购文件中明确的所属行业）  </w:t>
      </w:r>
      <w:r>
        <w:rPr>
          <w:rFonts w:hint="eastAsia" w:ascii="宋体" w:hAnsi="宋体" w:eastAsia="宋体" w:cs="宋体"/>
          <w:b w:val="0"/>
          <w:bCs w:val="0"/>
          <w:color w:val="auto"/>
          <w:spacing w:val="6"/>
          <w:kern w:val="0"/>
          <w:sz w:val="24"/>
          <w:szCs w:val="24"/>
          <w:highlight w:val="none"/>
        </w:rPr>
        <w:t>；</w:t>
      </w:r>
      <w:r>
        <w:rPr>
          <w:rFonts w:hint="eastAsia" w:ascii="宋体" w:hAnsi="宋体" w:eastAsia="宋体" w:cs="宋体"/>
          <w:b w:val="0"/>
          <w:bCs w:val="0"/>
          <w:color w:val="auto"/>
          <w:spacing w:val="6"/>
          <w:kern w:val="0"/>
          <w:sz w:val="24"/>
          <w:szCs w:val="24"/>
          <w:highlight w:val="none"/>
          <w:lang w:eastAsia="zh-CN"/>
        </w:rPr>
        <w:t>承建（承接）</w:t>
      </w:r>
      <w:r>
        <w:rPr>
          <w:rFonts w:hint="eastAsia" w:ascii="宋体" w:hAnsi="宋体" w:eastAsia="宋体" w:cs="宋体"/>
          <w:b w:val="0"/>
          <w:bCs w:val="0"/>
          <w:color w:val="auto"/>
          <w:spacing w:val="6"/>
          <w:kern w:val="0"/>
          <w:sz w:val="24"/>
          <w:szCs w:val="24"/>
          <w:highlight w:val="none"/>
        </w:rPr>
        <w:t>为</w:t>
      </w:r>
      <w:r>
        <w:rPr>
          <w:rFonts w:hint="eastAsia" w:ascii="宋体" w:hAnsi="宋体" w:eastAsia="宋体" w:cs="宋体"/>
          <w:b w:val="0"/>
          <w:bCs w:val="0"/>
          <w:color w:val="auto"/>
          <w:spacing w:val="6"/>
          <w:kern w:val="0"/>
          <w:sz w:val="24"/>
          <w:szCs w:val="24"/>
          <w:highlight w:val="none"/>
          <w:u w:val="single"/>
        </w:rPr>
        <w:t xml:space="preserve"> （企业名称）</w:t>
      </w:r>
      <w:r>
        <w:rPr>
          <w:rFonts w:hint="eastAsia" w:ascii="宋体" w:hAnsi="宋体" w:eastAsia="宋体" w:cs="宋体"/>
          <w:b w:val="0"/>
          <w:bCs w:val="0"/>
          <w:color w:val="auto"/>
          <w:spacing w:val="6"/>
          <w:kern w:val="0"/>
          <w:sz w:val="24"/>
          <w:szCs w:val="24"/>
          <w:highlight w:val="none"/>
        </w:rPr>
        <w:t>，从业人员</w:t>
      </w:r>
      <w:r>
        <w:rPr>
          <w:rFonts w:hint="eastAsia" w:ascii="宋体" w:hAnsi="宋体" w:eastAsia="宋体" w:cs="宋体"/>
          <w:b w:val="0"/>
          <w:bCs w:val="0"/>
          <w:color w:val="auto"/>
          <w:spacing w:val="6"/>
          <w:kern w:val="0"/>
          <w:sz w:val="24"/>
          <w:szCs w:val="24"/>
          <w:highlight w:val="none"/>
          <w:u w:val="single"/>
        </w:rPr>
        <w:t xml:space="preserve">  </w:t>
      </w:r>
      <w:r>
        <w:rPr>
          <w:rFonts w:hint="eastAsia" w:ascii="宋体" w:hAnsi="宋体" w:eastAsia="宋体" w:cs="宋体"/>
          <w:b w:val="0"/>
          <w:bCs w:val="0"/>
          <w:color w:val="auto"/>
          <w:spacing w:val="6"/>
          <w:kern w:val="0"/>
          <w:sz w:val="24"/>
          <w:szCs w:val="24"/>
          <w:highlight w:val="none"/>
        </w:rPr>
        <w:t>人，营业收入为</w:t>
      </w:r>
      <w:r>
        <w:rPr>
          <w:rFonts w:hint="eastAsia" w:ascii="宋体" w:hAnsi="宋体" w:eastAsia="宋体" w:cs="宋体"/>
          <w:b w:val="0"/>
          <w:bCs w:val="0"/>
          <w:color w:val="auto"/>
          <w:spacing w:val="6"/>
          <w:kern w:val="0"/>
          <w:sz w:val="24"/>
          <w:szCs w:val="24"/>
          <w:highlight w:val="none"/>
          <w:u w:val="single"/>
        </w:rPr>
        <w:t xml:space="preserve">  </w:t>
      </w:r>
      <w:r>
        <w:rPr>
          <w:rFonts w:hint="eastAsia" w:ascii="宋体" w:hAnsi="宋体" w:eastAsia="宋体" w:cs="宋体"/>
          <w:b w:val="0"/>
          <w:bCs w:val="0"/>
          <w:color w:val="auto"/>
          <w:spacing w:val="6"/>
          <w:kern w:val="0"/>
          <w:sz w:val="24"/>
          <w:szCs w:val="24"/>
          <w:highlight w:val="none"/>
        </w:rPr>
        <w:t>万元，资产总</w:t>
      </w:r>
      <w:r>
        <w:rPr>
          <w:rFonts w:hint="eastAsia" w:ascii="宋体" w:hAnsi="宋体" w:eastAsia="宋体" w:cs="宋体"/>
          <w:color w:val="auto"/>
          <w:spacing w:val="6"/>
          <w:kern w:val="0"/>
          <w:sz w:val="24"/>
          <w:szCs w:val="24"/>
          <w:highlight w:val="none"/>
        </w:rPr>
        <w:t>额为</w:t>
      </w:r>
      <w:r>
        <w:rPr>
          <w:rFonts w:hint="eastAsia" w:ascii="宋体" w:hAnsi="宋体" w:eastAsia="宋体" w:cs="宋体"/>
          <w:color w:val="auto"/>
          <w:spacing w:val="6"/>
          <w:kern w:val="0"/>
          <w:sz w:val="24"/>
          <w:szCs w:val="24"/>
          <w:highlight w:val="none"/>
          <w:u w:val="single"/>
        </w:rPr>
        <w:t xml:space="preserve">   </w:t>
      </w:r>
      <w:r>
        <w:rPr>
          <w:rFonts w:hint="eastAsia" w:ascii="宋体" w:hAnsi="宋体" w:eastAsia="宋体" w:cs="宋体"/>
          <w:color w:val="auto"/>
          <w:spacing w:val="6"/>
          <w:kern w:val="0"/>
          <w:sz w:val="24"/>
          <w:szCs w:val="24"/>
          <w:highlight w:val="none"/>
        </w:rPr>
        <w:t xml:space="preserve"> 万元，属于</w:t>
      </w:r>
      <w:r>
        <w:rPr>
          <w:rFonts w:hint="eastAsia" w:ascii="宋体" w:hAnsi="宋体" w:eastAsia="宋体" w:cs="宋体"/>
          <w:color w:val="auto"/>
          <w:spacing w:val="6"/>
          <w:kern w:val="0"/>
          <w:sz w:val="24"/>
          <w:szCs w:val="24"/>
          <w:highlight w:val="none"/>
          <w:u w:val="single"/>
        </w:rPr>
        <w:t>（中型企业、小型企业、微型企业）</w:t>
      </w:r>
      <w:r>
        <w:rPr>
          <w:rFonts w:hint="eastAsia" w:ascii="宋体" w:hAnsi="宋体" w:eastAsia="宋体" w:cs="宋体"/>
          <w:color w:val="auto"/>
          <w:spacing w:val="6"/>
          <w:kern w:val="0"/>
          <w:sz w:val="24"/>
          <w:szCs w:val="24"/>
          <w:highlight w:val="none"/>
        </w:rPr>
        <w:t>；</w:t>
      </w:r>
    </w:p>
    <w:p w14:paraId="0189D29E">
      <w:pPr>
        <w:adjustRightInd w:val="0"/>
        <w:snapToGrid w:val="0"/>
        <w:spacing w:line="360" w:lineRule="auto"/>
        <w:rPr>
          <w:rFonts w:hint="eastAsia" w:ascii="宋体" w:hAnsi="宋体" w:eastAsia="宋体" w:cs="宋体"/>
          <w:color w:val="auto"/>
          <w:spacing w:val="6"/>
          <w:kern w:val="0"/>
          <w:sz w:val="24"/>
          <w:szCs w:val="24"/>
          <w:highlight w:val="none"/>
        </w:rPr>
      </w:pPr>
    </w:p>
    <w:p w14:paraId="492895B0">
      <w:pPr>
        <w:adjustRightInd w:val="0"/>
        <w:snapToGrid w:val="0"/>
        <w:spacing w:line="360" w:lineRule="auto"/>
        <w:ind w:firstLine="630" w:firstLineChars="250"/>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以上企业，不属于大企业的分支机构，不存在控股股东为大企业的情形，也不存在与大企业的负责人为同一人的情形。</w:t>
      </w:r>
    </w:p>
    <w:p w14:paraId="268B75F9">
      <w:pPr>
        <w:adjustRightInd w:val="0"/>
        <w:snapToGrid w:val="0"/>
        <w:spacing w:line="360" w:lineRule="auto"/>
        <w:ind w:firstLine="630" w:firstLineChars="250"/>
        <w:rPr>
          <w:rFonts w:hint="eastAsia" w:ascii="宋体" w:hAnsi="宋体" w:eastAsia="宋体" w:cs="宋体"/>
          <w:color w:val="auto"/>
          <w:spacing w:val="6"/>
          <w:kern w:val="0"/>
          <w:sz w:val="24"/>
          <w:szCs w:val="24"/>
          <w:highlight w:val="none"/>
        </w:rPr>
      </w:pPr>
    </w:p>
    <w:p w14:paraId="40609BAE">
      <w:pPr>
        <w:adjustRightInd w:val="0"/>
        <w:snapToGrid w:val="0"/>
        <w:spacing w:line="360" w:lineRule="auto"/>
        <w:ind w:firstLine="630" w:firstLineChars="250"/>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本企业对上述声明内容的真实性负责。如有虚假，将依法承担相应责任。</w:t>
      </w:r>
    </w:p>
    <w:p w14:paraId="7799ABA7">
      <w:pPr>
        <w:widowControl/>
        <w:adjustRightInd w:val="0"/>
        <w:snapToGrid w:val="0"/>
        <w:spacing w:line="360" w:lineRule="auto"/>
        <w:jc w:val="left"/>
        <w:rPr>
          <w:rFonts w:hint="eastAsia" w:ascii="宋体" w:hAnsi="宋体" w:eastAsia="宋体" w:cs="宋体"/>
          <w:color w:val="auto"/>
          <w:spacing w:val="6"/>
          <w:kern w:val="0"/>
          <w:sz w:val="24"/>
          <w:szCs w:val="24"/>
          <w:highlight w:val="none"/>
        </w:rPr>
      </w:pPr>
    </w:p>
    <w:p w14:paraId="1821FD9F">
      <w:pPr>
        <w:widowControl/>
        <w:adjustRightInd w:val="0"/>
        <w:snapToGrid w:val="0"/>
        <w:spacing w:line="360" w:lineRule="auto"/>
        <w:jc w:val="left"/>
        <w:rPr>
          <w:rFonts w:hint="eastAsia" w:ascii="宋体" w:hAnsi="宋体" w:eastAsia="宋体" w:cs="宋体"/>
          <w:color w:val="auto"/>
          <w:spacing w:val="6"/>
          <w:kern w:val="0"/>
          <w:sz w:val="24"/>
          <w:szCs w:val="24"/>
          <w:highlight w:val="none"/>
        </w:rPr>
      </w:pPr>
    </w:p>
    <w:p w14:paraId="48879AB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2FB60FB4">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p>
    <w:p w14:paraId="2087A0CF">
      <w:pPr>
        <w:adjustRightInd w:val="0"/>
        <w:snapToGrid w:val="0"/>
        <w:spacing w:line="360" w:lineRule="auto"/>
        <w:ind w:firstLine="632" w:firstLineChars="250"/>
        <w:rPr>
          <w:rFonts w:hint="eastAsia" w:ascii="宋体" w:hAnsi="宋体" w:eastAsia="宋体" w:cs="宋体"/>
          <w:b/>
          <w:bCs/>
          <w:color w:val="auto"/>
          <w:spacing w:val="6"/>
          <w:kern w:val="0"/>
          <w:sz w:val="24"/>
          <w:szCs w:val="24"/>
          <w:highlight w:val="none"/>
        </w:rPr>
      </w:pPr>
    </w:p>
    <w:p w14:paraId="77D32EAB">
      <w:pPr>
        <w:adjustRightInd w:val="0"/>
        <w:snapToGrid w:val="0"/>
        <w:spacing w:line="360" w:lineRule="auto"/>
        <w:ind w:firstLine="600" w:firstLineChars="250"/>
        <w:rPr>
          <w:rFonts w:hint="eastAsia" w:ascii="宋体" w:hAnsi="宋体" w:eastAsia="宋体" w:cs="宋体"/>
          <w:color w:val="auto"/>
          <w:sz w:val="24"/>
          <w:szCs w:val="24"/>
          <w:highlight w:val="none"/>
        </w:rPr>
      </w:pPr>
    </w:p>
    <w:p w14:paraId="2903B106">
      <w:pPr>
        <w:widowControl/>
        <w:adjustRightInd w:val="0"/>
        <w:snapToGrid w:val="0"/>
        <w:spacing w:line="360" w:lineRule="auto"/>
        <w:ind w:firstLine="504" w:firstLineChars="200"/>
        <w:jc w:val="left"/>
        <w:rPr>
          <w:rFonts w:hint="eastAsia" w:ascii="宋体" w:hAnsi="宋体" w:eastAsia="宋体" w:cs="宋体"/>
          <w:b/>
          <w:color w:val="auto"/>
          <w:spacing w:val="6"/>
          <w:kern w:val="0"/>
          <w:sz w:val="24"/>
          <w:szCs w:val="24"/>
          <w:highlight w:val="none"/>
        </w:rPr>
      </w:pPr>
      <w:bookmarkStart w:id="60" w:name="_Hlk73465846"/>
      <w:r>
        <w:rPr>
          <w:rFonts w:hint="eastAsia" w:ascii="宋体" w:hAnsi="宋体" w:eastAsia="宋体" w:cs="宋体"/>
          <w:color w:val="auto"/>
          <w:spacing w:val="6"/>
          <w:kern w:val="0"/>
          <w:sz w:val="24"/>
          <w:szCs w:val="24"/>
          <w:highlight w:val="none"/>
        </w:rPr>
        <w:t>说明：按照《政府采购促进中小企业发展管理办法》（财库〔2020〕46号）的规定，中小企业仅需提供声明函，不需提供其他证明材料。非</w:t>
      </w:r>
      <w:r>
        <w:rPr>
          <w:rFonts w:hint="eastAsia" w:ascii="宋体" w:hAnsi="宋体" w:eastAsia="宋体" w:cs="宋体"/>
          <w:color w:val="auto"/>
          <w:spacing w:val="6"/>
          <w:kern w:val="0"/>
          <w:sz w:val="24"/>
          <w:szCs w:val="24"/>
          <w:highlight w:val="none"/>
          <w:lang w:eastAsia="zh-CN"/>
        </w:rPr>
        <w:t>中小</w:t>
      </w:r>
      <w:r>
        <w:rPr>
          <w:rFonts w:hint="eastAsia" w:ascii="宋体" w:hAnsi="宋体" w:eastAsia="宋体" w:cs="宋体"/>
          <w:color w:val="auto"/>
          <w:spacing w:val="6"/>
          <w:kern w:val="0"/>
          <w:sz w:val="24"/>
          <w:szCs w:val="24"/>
          <w:highlight w:val="none"/>
        </w:rPr>
        <w:t>企业，本表可不提供。</w:t>
      </w:r>
    </w:p>
    <w:bookmarkEnd w:id="60"/>
    <w:p w14:paraId="0F42CDD2">
      <w:pPr>
        <w:pStyle w:val="293"/>
        <w:rPr>
          <w:rFonts w:hint="eastAsia" w:ascii="宋体" w:hAnsi="宋体" w:eastAsia="宋体" w:cs="宋体"/>
          <w:color w:val="auto"/>
          <w:sz w:val="24"/>
          <w:szCs w:val="24"/>
          <w:highlight w:val="none"/>
        </w:rPr>
      </w:pPr>
    </w:p>
    <w:p w14:paraId="787EB8C4">
      <w:pPr>
        <w:pStyle w:val="6"/>
        <w:bidi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、监狱企业声明函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如涉及</w:t>
      </w:r>
      <w:r>
        <w:rPr>
          <w:rFonts w:hint="eastAsia" w:ascii="仿宋" w:hAnsi="仿宋" w:eastAsia="仿宋" w:cs="仿宋"/>
          <w:color w:val="auto"/>
          <w:sz w:val="24"/>
          <w:szCs w:val="24"/>
          <w:highlight w:val="none"/>
          <w:lang w:eastAsia="zh-CN"/>
        </w:rPr>
        <w:t>）</w:t>
      </w:r>
    </w:p>
    <w:p w14:paraId="20671DB6">
      <w:pPr>
        <w:shd w:val="clear" w:color="auto" w:fill="auto"/>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（格式自拟）</w:t>
      </w:r>
    </w:p>
    <w:p w14:paraId="1DCA3859">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439DCFD2">
      <w:pPr>
        <w:shd w:val="clear" w:color="auto" w:fill="auto"/>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1、投标人符合《政府采购支持监狱企业发展有关问题的通知》（财库【2014】68号）规定的划分标准为监狱企业适用。此项内容根据供应商自身情况自行选择是否提供，未提供则不享受价格优惠。</w:t>
      </w:r>
    </w:p>
    <w:p w14:paraId="57BE1ABF">
      <w:pPr>
        <w:shd w:val="clear" w:color="auto" w:fill="auto"/>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r>
        <w:rPr>
          <w:rFonts w:hint="eastAsia" w:ascii="仿宋" w:hAnsi="仿宋" w:eastAsia="仿宋" w:cs="仿宋"/>
          <w:b/>
          <w:color w:val="auto"/>
          <w:spacing w:val="6"/>
          <w:kern w:val="0"/>
          <w:sz w:val="24"/>
          <w:szCs w:val="24"/>
          <w:highlight w:val="none"/>
        </w:rPr>
        <w:t>非监狱企业，本表可不提供。</w:t>
      </w:r>
    </w:p>
    <w:p w14:paraId="19A83E2A">
      <w:pPr>
        <w:shd w:val="clear" w:color="auto" w:fill="auto"/>
        <w:rPr>
          <w:rFonts w:hint="eastAsia" w:ascii="仿宋" w:hAnsi="仿宋" w:eastAsia="仿宋" w:cs="仿宋"/>
          <w:color w:val="auto"/>
          <w:sz w:val="24"/>
          <w:szCs w:val="24"/>
          <w:highlight w:val="none"/>
        </w:rPr>
      </w:pPr>
    </w:p>
    <w:p w14:paraId="2D190ACE">
      <w:pPr>
        <w:shd w:val="clear" w:color="auto" w:fill="auto"/>
        <w:rPr>
          <w:rFonts w:hint="eastAsia" w:ascii="仿宋" w:hAnsi="仿宋" w:eastAsia="仿宋" w:cs="仿宋"/>
          <w:color w:val="auto"/>
          <w:sz w:val="24"/>
          <w:szCs w:val="24"/>
          <w:highlight w:val="none"/>
        </w:rPr>
      </w:pPr>
    </w:p>
    <w:p w14:paraId="46F7D2D3">
      <w:pPr>
        <w:shd w:val="clear" w:color="auto" w:fill="auto"/>
        <w:rPr>
          <w:rFonts w:hint="eastAsia" w:ascii="仿宋" w:hAnsi="仿宋" w:eastAsia="仿宋" w:cs="仿宋"/>
          <w:color w:val="auto"/>
          <w:sz w:val="24"/>
          <w:szCs w:val="24"/>
          <w:highlight w:val="none"/>
        </w:rPr>
      </w:pPr>
    </w:p>
    <w:p w14:paraId="22078A27">
      <w:pPr>
        <w:shd w:val="clear" w:color="auto" w:fill="auto"/>
        <w:rPr>
          <w:rFonts w:hint="eastAsia" w:ascii="仿宋" w:hAnsi="仿宋" w:eastAsia="仿宋" w:cs="仿宋"/>
          <w:color w:val="auto"/>
          <w:sz w:val="24"/>
          <w:szCs w:val="24"/>
          <w:highlight w:val="none"/>
        </w:rPr>
      </w:pPr>
    </w:p>
    <w:p w14:paraId="7D048D7F">
      <w:pPr>
        <w:shd w:val="clear" w:color="auto" w:fill="auto"/>
        <w:rPr>
          <w:rFonts w:hint="eastAsia" w:ascii="仿宋" w:hAnsi="仿宋" w:eastAsia="仿宋" w:cs="仿宋"/>
          <w:color w:val="auto"/>
          <w:sz w:val="24"/>
          <w:szCs w:val="24"/>
          <w:highlight w:val="none"/>
        </w:rPr>
      </w:pPr>
    </w:p>
    <w:p w14:paraId="6870B452">
      <w:pPr>
        <w:shd w:val="clear" w:color="auto" w:fill="auto"/>
        <w:rPr>
          <w:rFonts w:hint="eastAsia" w:ascii="仿宋" w:hAnsi="仿宋" w:eastAsia="仿宋" w:cs="仿宋"/>
          <w:color w:val="auto"/>
          <w:sz w:val="24"/>
          <w:szCs w:val="24"/>
          <w:highlight w:val="none"/>
        </w:rPr>
      </w:pPr>
    </w:p>
    <w:p w14:paraId="617C856C">
      <w:pPr>
        <w:shd w:val="clear" w:color="auto" w:fill="auto"/>
        <w:rPr>
          <w:rFonts w:hint="eastAsia" w:ascii="仿宋" w:hAnsi="仿宋" w:eastAsia="仿宋" w:cs="仿宋"/>
          <w:color w:val="auto"/>
          <w:sz w:val="24"/>
          <w:szCs w:val="24"/>
          <w:highlight w:val="none"/>
        </w:rPr>
      </w:pPr>
    </w:p>
    <w:p w14:paraId="03A3073F">
      <w:pPr>
        <w:shd w:val="clear" w:color="auto" w:fill="auto"/>
        <w:rPr>
          <w:rFonts w:hint="eastAsia" w:ascii="仿宋" w:hAnsi="仿宋" w:eastAsia="仿宋" w:cs="仿宋"/>
          <w:color w:val="auto"/>
          <w:sz w:val="24"/>
          <w:szCs w:val="24"/>
          <w:highlight w:val="none"/>
        </w:rPr>
      </w:pPr>
    </w:p>
    <w:p w14:paraId="4948332B">
      <w:pPr>
        <w:shd w:val="clear" w:color="auto" w:fill="auto"/>
        <w:rPr>
          <w:rFonts w:hint="eastAsia" w:ascii="仿宋" w:hAnsi="仿宋" w:eastAsia="仿宋" w:cs="仿宋"/>
          <w:color w:val="auto"/>
          <w:sz w:val="24"/>
          <w:szCs w:val="24"/>
          <w:highlight w:val="none"/>
        </w:rPr>
      </w:pPr>
    </w:p>
    <w:p w14:paraId="01F7EB09">
      <w:pPr>
        <w:shd w:val="clear" w:color="auto" w:fill="auto"/>
        <w:rPr>
          <w:rFonts w:hint="eastAsia" w:ascii="仿宋" w:hAnsi="仿宋" w:eastAsia="仿宋" w:cs="仿宋"/>
          <w:color w:val="auto"/>
          <w:sz w:val="24"/>
          <w:szCs w:val="24"/>
          <w:highlight w:val="none"/>
        </w:rPr>
      </w:pPr>
    </w:p>
    <w:p w14:paraId="21CAB66B">
      <w:pPr>
        <w:shd w:val="clear" w:color="auto" w:fill="auto"/>
        <w:rPr>
          <w:rFonts w:hint="eastAsia" w:ascii="仿宋" w:hAnsi="仿宋" w:eastAsia="仿宋" w:cs="仿宋"/>
          <w:color w:val="auto"/>
          <w:sz w:val="24"/>
          <w:szCs w:val="24"/>
          <w:highlight w:val="none"/>
        </w:rPr>
      </w:pPr>
    </w:p>
    <w:p w14:paraId="18538F44">
      <w:pPr>
        <w:shd w:val="clear" w:color="auto" w:fill="auto"/>
        <w:rPr>
          <w:rFonts w:hint="eastAsia" w:ascii="仿宋" w:hAnsi="仿宋" w:eastAsia="仿宋" w:cs="仿宋"/>
          <w:color w:val="auto"/>
          <w:sz w:val="24"/>
          <w:szCs w:val="24"/>
          <w:highlight w:val="none"/>
        </w:rPr>
      </w:pPr>
    </w:p>
    <w:p w14:paraId="40D3CA38">
      <w:pPr>
        <w:shd w:val="clear" w:color="auto" w:fill="auto"/>
        <w:rPr>
          <w:rFonts w:hint="eastAsia" w:ascii="仿宋" w:hAnsi="仿宋" w:eastAsia="仿宋" w:cs="仿宋"/>
          <w:color w:val="auto"/>
          <w:sz w:val="24"/>
          <w:szCs w:val="24"/>
          <w:highlight w:val="none"/>
        </w:rPr>
      </w:pPr>
    </w:p>
    <w:p w14:paraId="71D8E232">
      <w:pPr>
        <w:shd w:val="clear" w:color="auto" w:fill="auto"/>
        <w:rPr>
          <w:rFonts w:hint="eastAsia" w:ascii="仿宋" w:hAnsi="仿宋" w:eastAsia="仿宋" w:cs="仿宋"/>
          <w:color w:val="auto"/>
          <w:sz w:val="24"/>
          <w:szCs w:val="24"/>
          <w:highlight w:val="none"/>
        </w:rPr>
      </w:pPr>
    </w:p>
    <w:p w14:paraId="1961607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F119D8F">
      <w:pPr>
        <w:pStyle w:val="6"/>
        <w:bidi w:val="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、残疾人福利性单位声明函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如涉及</w:t>
      </w:r>
      <w:r>
        <w:rPr>
          <w:rFonts w:hint="eastAsia" w:ascii="仿宋" w:hAnsi="仿宋" w:eastAsia="仿宋" w:cs="仿宋"/>
          <w:color w:val="auto"/>
          <w:sz w:val="24"/>
          <w:szCs w:val="24"/>
          <w:highlight w:val="none"/>
          <w:lang w:eastAsia="zh-CN"/>
        </w:rPr>
        <w:t>）</w:t>
      </w:r>
    </w:p>
    <w:p w14:paraId="4D2B30E6">
      <w:pPr>
        <w:shd w:val="clear" w:color="auto" w:fill="auto"/>
        <w:snapToGrid w:val="0"/>
        <w:spacing w:line="480" w:lineRule="auto"/>
        <w:ind w:firstLine="420"/>
        <w:rPr>
          <w:rFonts w:hint="eastAsia" w:ascii="仿宋" w:hAnsi="仿宋" w:eastAsia="仿宋" w:cs="仿宋"/>
          <w:color w:val="auto"/>
          <w:sz w:val="24"/>
          <w:szCs w:val="24"/>
          <w:highlight w:val="none"/>
        </w:rPr>
      </w:pPr>
    </w:p>
    <w:p w14:paraId="09850265">
      <w:pPr>
        <w:shd w:val="clear" w:color="auto" w:fill="auto"/>
        <w:snapToGrid w:val="0"/>
        <w:spacing w:line="48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51903DD">
      <w:pPr>
        <w:shd w:val="clear" w:color="auto" w:fill="auto"/>
        <w:snapToGrid w:val="0"/>
        <w:spacing w:line="48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14:paraId="3504F47D">
      <w:pPr>
        <w:shd w:val="clear" w:color="auto" w:fill="auto"/>
        <w:rPr>
          <w:rFonts w:hint="eastAsia" w:ascii="仿宋" w:hAnsi="仿宋" w:eastAsia="仿宋" w:cs="仿宋"/>
          <w:color w:val="auto"/>
          <w:sz w:val="24"/>
          <w:szCs w:val="24"/>
          <w:highlight w:val="none"/>
        </w:rPr>
      </w:pPr>
    </w:p>
    <w:p w14:paraId="16F04AC0">
      <w:pPr>
        <w:shd w:val="clear" w:color="auto" w:fill="auto"/>
        <w:rPr>
          <w:rFonts w:hint="eastAsia" w:ascii="仿宋" w:hAnsi="仿宋" w:eastAsia="仿宋" w:cs="仿宋"/>
          <w:color w:val="auto"/>
          <w:sz w:val="24"/>
          <w:szCs w:val="24"/>
          <w:highlight w:val="none"/>
        </w:rPr>
      </w:pPr>
    </w:p>
    <w:p w14:paraId="546D84E2">
      <w:pPr>
        <w:shd w:val="clear" w:color="auto" w:fill="auto"/>
        <w:spacing w:line="440" w:lineRule="exact"/>
        <w:ind w:left="2940" w:leftChars="1400" w:right="296" w:rightChars="14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单位名称（公章）：</w:t>
      </w:r>
    </w:p>
    <w:p w14:paraId="287B2275">
      <w:pPr>
        <w:shd w:val="clear" w:color="auto" w:fill="auto"/>
        <w:spacing w:line="440" w:lineRule="exact"/>
        <w:ind w:left="2940" w:leftChars="1400" w:right="296" w:rightChars="14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14:paraId="5A3EDD56">
      <w:pPr>
        <w:shd w:val="clear" w:color="auto" w:fill="auto"/>
        <w:spacing w:line="440" w:lineRule="exact"/>
        <w:ind w:right="480"/>
        <w:rPr>
          <w:rFonts w:hint="eastAsia" w:ascii="仿宋" w:hAnsi="仿宋" w:eastAsia="仿宋" w:cs="仿宋"/>
          <w:color w:val="auto"/>
          <w:sz w:val="24"/>
          <w:szCs w:val="24"/>
          <w:highlight w:val="none"/>
        </w:rPr>
      </w:pPr>
    </w:p>
    <w:p w14:paraId="5922F6D4">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0D267773">
      <w:pPr>
        <w:shd w:val="clear" w:color="auto" w:fill="auto"/>
        <w:spacing w:line="44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1、此声明函根据供应商自身情况填写，自行选择是否提供，未提供则不享受价格优惠。</w:t>
      </w:r>
    </w:p>
    <w:p w14:paraId="37B39D4C">
      <w:pPr>
        <w:shd w:val="clear" w:color="auto" w:fill="auto"/>
        <w:spacing w:line="440" w:lineRule="exact"/>
        <w:ind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2、残疾人福利性单位视同小型、微型企业，享受预留份额、评审中价格扣除等促进中小企业发展的政府采购政策。残疾人福利性单位属于小型、微型企业的，不重复享受政策。</w:t>
      </w:r>
      <w:r>
        <w:rPr>
          <w:rFonts w:hint="eastAsia" w:ascii="仿宋" w:hAnsi="仿宋" w:eastAsia="仿宋" w:cs="仿宋"/>
          <w:b/>
          <w:color w:val="auto"/>
          <w:spacing w:val="6"/>
          <w:kern w:val="0"/>
          <w:sz w:val="24"/>
          <w:szCs w:val="24"/>
          <w:highlight w:val="none"/>
        </w:rPr>
        <w:t>非残疾人福利性单位，本表可不提供。</w:t>
      </w:r>
    </w:p>
    <w:p w14:paraId="6131CACE">
      <w:pPr>
        <w:rPr>
          <w:rFonts w:hint="eastAsia" w:ascii="仿宋" w:hAnsi="仿宋" w:eastAsia="仿宋" w:cs="仿宋"/>
          <w:color w:val="auto"/>
          <w:sz w:val="24"/>
          <w:szCs w:val="24"/>
          <w:highlight w:val="none"/>
          <w:lang w:val="en-US" w:eastAsia="zh-CN"/>
        </w:rPr>
      </w:pPr>
    </w:p>
    <w:p w14:paraId="50DA38C2">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6CF76820">
      <w:pPr>
        <w:pStyle w:val="6"/>
        <w:bidi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8、承诺函</w:t>
      </w:r>
      <w:bookmarkEnd w:id="59"/>
    </w:p>
    <w:p w14:paraId="38B4E5B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承诺函格式自拟，须包含以下承诺内容：</w:t>
      </w:r>
    </w:p>
    <w:p w14:paraId="38EB9A6A">
      <w:pPr>
        <w:adjustRightInd w:val="0"/>
        <w:snapToGrid w:val="0"/>
        <w:spacing w:line="360" w:lineRule="auto"/>
        <w:ind w:firstLine="480" w:firstLineChars="200"/>
        <w:rPr>
          <w:rFonts w:hint="eastAsia" w:ascii="仿宋" w:hAnsi="仿宋" w:eastAsia="仿宋" w:cs="仿宋"/>
          <w:color w:val="auto"/>
          <w:sz w:val="24"/>
          <w:szCs w:val="24"/>
          <w:highlight w:val="none"/>
        </w:rPr>
      </w:pPr>
    </w:p>
    <w:p w14:paraId="5D8A5AE2">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投标人不得存在下列情形之一：</w:t>
      </w:r>
    </w:p>
    <w:p w14:paraId="6A6F8E1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（l）与采购人、代理机构存在</w:t>
      </w:r>
      <w:r>
        <w:rPr>
          <w:rFonts w:hint="eastAsia" w:ascii="仿宋" w:hAnsi="仿宋" w:eastAsia="仿宋" w:cs="仿宋"/>
          <w:bCs/>
          <w:color w:val="auto"/>
          <w:sz w:val="24"/>
          <w:szCs w:val="24"/>
          <w:highlight w:val="none"/>
        </w:rPr>
        <w:t>利害关系</w:t>
      </w:r>
      <w:r>
        <w:rPr>
          <w:rFonts w:hint="eastAsia" w:ascii="仿宋" w:hAnsi="仿宋" w:eastAsia="仿宋" w:cs="仿宋"/>
          <w:color w:val="auto"/>
          <w:sz w:val="24"/>
          <w:szCs w:val="24"/>
          <w:highlight w:val="none"/>
        </w:rPr>
        <w:t>。</w:t>
      </w:r>
    </w:p>
    <w:p w14:paraId="29C3C0A9">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（2）单位负责人为同一人或者存在直接控股、管理关系的不同投标人，不得参加同一合同项下的政府采购活动。</w:t>
      </w:r>
    </w:p>
    <w:p w14:paraId="40861CB1">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（3）除单一来源采购项目外，为采购项目提供整体设计、规范编制或者项目管理、监理、检测等服务的投标人，不得再参加该采购项目的其他采购活动。</w:t>
      </w:r>
    </w:p>
    <w:p w14:paraId="7D992B9D">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被列入失信被执行人、重大税收违法案件当事人名单、政府采购严重违法失信行为记录名单（处罚决定规定的时间和地域范围内）。采购人或采购代理机构将查询投标人的信用记录。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人将被认定为投标</w:t>
      </w:r>
      <w:r>
        <w:rPr>
          <w:rFonts w:hint="eastAsia" w:ascii="仿宋" w:hAnsi="仿宋" w:eastAsia="仿宋" w:cs="仿宋"/>
          <w:b/>
          <w:color w:val="auto"/>
          <w:sz w:val="24"/>
          <w:szCs w:val="24"/>
          <w:highlight w:val="none"/>
        </w:rPr>
        <w:t>无效</w:t>
      </w:r>
      <w:r>
        <w:rPr>
          <w:rFonts w:hint="eastAsia" w:ascii="仿宋" w:hAnsi="仿宋" w:eastAsia="仿宋" w:cs="仿宋"/>
          <w:color w:val="auto"/>
          <w:sz w:val="24"/>
          <w:szCs w:val="24"/>
          <w:highlight w:val="none"/>
        </w:rPr>
        <w:t>。以联合体形式参加投标的，联合体任何成员存在以上不良信用记录的，联合体投标人将被认定为投标</w:t>
      </w:r>
      <w:r>
        <w:rPr>
          <w:rFonts w:hint="eastAsia" w:ascii="仿宋" w:hAnsi="仿宋" w:eastAsia="仿宋" w:cs="仿宋"/>
          <w:b/>
          <w:color w:val="auto"/>
          <w:sz w:val="24"/>
          <w:szCs w:val="24"/>
          <w:highlight w:val="none"/>
        </w:rPr>
        <w:t>无效</w:t>
      </w:r>
      <w:r>
        <w:rPr>
          <w:rFonts w:hint="eastAsia" w:ascii="仿宋" w:hAnsi="仿宋" w:eastAsia="仿宋" w:cs="仿宋"/>
          <w:color w:val="auto"/>
          <w:sz w:val="24"/>
          <w:szCs w:val="24"/>
          <w:highlight w:val="none"/>
        </w:rPr>
        <w:t>。</w:t>
      </w:r>
    </w:p>
    <w:p w14:paraId="0D83028C">
      <w:pPr>
        <w:rPr>
          <w:rFonts w:hint="eastAsia" w:ascii="仿宋" w:hAnsi="仿宋" w:eastAsia="仿宋" w:cs="仿宋"/>
          <w:b/>
          <w:bCs/>
          <w:color w:val="auto"/>
          <w:spacing w:val="6"/>
          <w:kern w:val="0"/>
          <w:sz w:val="24"/>
          <w:szCs w:val="24"/>
          <w:highlight w:val="none"/>
        </w:rPr>
      </w:pPr>
      <w:r>
        <w:rPr>
          <w:rFonts w:hint="eastAsia" w:ascii="仿宋" w:hAnsi="仿宋" w:eastAsia="仿宋" w:cs="仿宋"/>
          <w:b/>
          <w:bCs/>
          <w:color w:val="auto"/>
          <w:spacing w:val="6"/>
          <w:kern w:val="0"/>
          <w:sz w:val="24"/>
          <w:szCs w:val="24"/>
          <w:highlight w:val="none"/>
        </w:rPr>
        <w:br w:type="page"/>
      </w:r>
    </w:p>
    <w:p w14:paraId="57A2E2A5">
      <w:pPr>
        <w:pStyle w:val="6"/>
        <w:bidi w:val="0"/>
        <w:jc w:val="center"/>
        <w:rPr>
          <w:rFonts w:hint="eastAsia" w:ascii="仿宋" w:hAnsi="仿宋" w:eastAsia="仿宋" w:cs="仿宋"/>
          <w:color w:val="auto"/>
          <w:sz w:val="24"/>
          <w:szCs w:val="24"/>
          <w:highlight w:val="none"/>
        </w:rPr>
      </w:pPr>
      <w:bookmarkStart w:id="61" w:name="_Toc25734"/>
      <w:bookmarkStart w:id="62" w:name="_Toc472604630"/>
      <w:bookmarkStart w:id="63" w:name="_Toc471489580"/>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、投标函</w:t>
      </w:r>
      <w:bookmarkEnd w:id="61"/>
      <w:bookmarkEnd w:id="62"/>
      <w:bookmarkEnd w:id="63"/>
    </w:p>
    <w:p w14:paraId="2D48ED2A">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p>
    <w:p w14:paraId="182EE7A4">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我方全面研究了“XXXXXXXX”项目（招标编号：XXXX）</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，决定参加贵单位组织的本项目投标。我方授权XXXX（姓名、职务）代表我方XXXX（投标单位的名称）全权处理本项目投标的有关事宜。</w:t>
      </w:r>
    </w:p>
    <w:p w14:paraId="447C503A">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一、我方自愿按照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规定的各项要求向采购人提供所需服务。</w:t>
      </w:r>
    </w:p>
    <w:p w14:paraId="5EBC38F1">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二、一旦我方中标，我方将严格履行政府采购合同规定的责任和义务。</w:t>
      </w:r>
    </w:p>
    <w:p w14:paraId="0354FF68">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三、我方为本项目在政采云平台上传电子</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1份；</w:t>
      </w:r>
    </w:p>
    <w:p w14:paraId="1A39CB38">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四、我方同意本次招标的投标有效期</w:t>
      </w:r>
      <w:bookmarkStart w:id="64" w:name="_Hlk534905609"/>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val="en-US" w:eastAsia="zh-CN"/>
        </w:rPr>
        <w:t>90</w:t>
      </w:r>
      <w:r>
        <w:rPr>
          <w:rFonts w:hint="eastAsia" w:ascii="仿宋" w:hAnsi="仿宋" w:eastAsia="仿宋" w:cs="仿宋"/>
          <w:color w:val="auto"/>
          <w:sz w:val="24"/>
          <w:szCs w:val="24"/>
          <w:highlight w:val="none"/>
        </w:rPr>
        <w:t>日历天</w:t>
      </w:r>
      <w:bookmarkEnd w:id="64"/>
      <w:r>
        <w:rPr>
          <w:rFonts w:hint="eastAsia" w:ascii="仿宋" w:hAnsi="仿宋" w:eastAsia="仿宋" w:cs="仿宋"/>
          <w:color w:val="auto"/>
          <w:sz w:val="24"/>
          <w:szCs w:val="24"/>
          <w:highlight w:val="none"/>
        </w:rPr>
        <w:t>。</w:t>
      </w:r>
    </w:p>
    <w:p w14:paraId="3155C940">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五、我方愿意按照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要求的代理费收取方式及收取标准一次性足额支付招标代理费。</w:t>
      </w:r>
    </w:p>
    <w:p w14:paraId="42B98812">
      <w:pPr>
        <w:pStyle w:val="20"/>
        <w:shd w:val="clear" w:color="auto" w:fill="auto"/>
        <w:spacing w:after="0"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六、我方愿意按照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要求的</w:t>
      </w:r>
      <w:r>
        <w:rPr>
          <w:rFonts w:hint="eastAsia" w:ascii="仿宋" w:hAnsi="仿宋" w:eastAsia="仿宋" w:cs="仿宋"/>
          <w:color w:val="auto"/>
          <w:sz w:val="24"/>
          <w:szCs w:val="24"/>
          <w:highlight w:val="none"/>
          <w:lang w:eastAsia="zh-CN"/>
        </w:rPr>
        <w:t>磋商保证金</w:t>
      </w:r>
      <w:r>
        <w:rPr>
          <w:rFonts w:hint="eastAsia" w:ascii="仿宋" w:hAnsi="仿宋" w:eastAsia="仿宋" w:cs="仿宋"/>
          <w:color w:val="auto"/>
          <w:sz w:val="24"/>
          <w:szCs w:val="24"/>
          <w:highlight w:val="none"/>
        </w:rPr>
        <w:t>收取方式及金额缴纳</w:t>
      </w:r>
      <w:r>
        <w:rPr>
          <w:rFonts w:hint="eastAsia" w:ascii="仿宋" w:hAnsi="仿宋" w:eastAsia="仿宋" w:cs="仿宋"/>
          <w:color w:val="auto"/>
          <w:sz w:val="24"/>
          <w:szCs w:val="24"/>
          <w:highlight w:val="none"/>
          <w:lang w:eastAsia="zh-CN"/>
        </w:rPr>
        <w:t>磋商保证金</w:t>
      </w:r>
      <w:r>
        <w:rPr>
          <w:rFonts w:hint="eastAsia" w:ascii="仿宋" w:hAnsi="仿宋" w:eastAsia="仿宋" w:cs="仿宋"/>
          <w:color w:val="auto"/>
          <w:sz w:val="24"/>
          <w:szCs w:val="24"/>
          <w:highlight w:val="none"/>
        </w:rPr>
        <w:t>。</w:t>
      </w:r>
    </w:p>
    <w:p w14:paraId="7151BDFB">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七、我方愿意提供贵单位可能另外要求的，与投标有关的文件资料，并保证我方已提供和将要提供的文件资料是真实、准确的。</w:t>
      </w:r>
    </w:p>
    <w:p w14:paraId="7A7282FC">
      <w:pPr>
        <w:shd w:val="clear" w:color="auto" w:fill="auto"/>
        <w:spacing w:line="276" w:lineRule="auto"/>
        <w:ind w:firstLine="480" w:firstLineChars="200"/>
        <w:rPr>
          <w:rFonts w:hint="eastAsia" w:ascii="仿宋" w:hAnsi="仿宋" w:eastAsia="仿宋" w:cs="仿宋"/>
          <w:color w:val="auto"/>
          <w:sz w:val="24"/>
          <w:szCs w:val="24"/>
          <w:highlight w:val="none"/>
        </w:rPr>
      </w:pPr>
    </w:p>
    <w:p w14:paraId="50F86F8C">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投标人名称：XXXX（单位公章）</w:t>
      </w:r>
    </w:p>
    <w:p w14:paraId="27660853">
      <w:pPr>
        <w:shd w:val="clear" w:color="auto" w:fill="auto"/>
        <w:spacing w:line="360" w:lineRule="auto"/>
        <w:ind w:firstLine="480" w:firstLineChars="200"/>
        <w:rPr>
          <w:rFonts w:hint="eastAsia" w:ascii="仿宋" w:hAnsi="仿宋" w:eastAsia="仿宋" w:cs="仿宋"/>
          <w:color w:val="auto"/>
          <w:sz w:val="24"/>
          <w:szCs w:val="24"/>
          <w:highlight w:val="none"/>
        </w:rPr>
      </w:pPr>
      <w:bookmarkStart w:id="65" w:name="_Hlk534906119"/>
      <w:r>
        <w:rPr>
          <w:rFonts w:hint="eastAsia" w:ascii="仿宋" w:hAnsi="仿宋" w:eastAsia="仿宋" w:cs="仿宋"/>
          <w:color w:val="auto"/>
          <w:sz w:val="24"/>
          <w:szCs w:val="24"/>
          <w:highlight w:val="none"/>
        </w:rPr>
        <w:t>法定代表人/单位负责人或授权代表（签字或加盖个人名章）</w:t>
      </w:r>
      <w:bookmarkEnd w:id="65"/>
      <w:r>
        <w:rPr>
          <w:rFonts w:hint="eastAsia" w:ascii="仿宋" w:hAnsi="仿宋" w:eastAsia="仿宋" w:cs="仿宋"/>
          <w:color w:val="auto"/>
          <w:sz w:val="24"/>
          <w:szCs w:val="24"/>
          <w:highlight w:val="none"/>
        </w:rPr>
        <w:t>：XXXX</w:t>
      </w:r>
    </w:p>
    <w:p w14:paraId="5A92460C">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通讯地址：XXXX</w:t>
      </w:r>
    </w:p>
    <w:p w14:paraId="0B574B30">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邮政编码：XXXX</w:t>
      </w:r>
    </w:p>
    <w:p w14:paraId="33BD10C7">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联系电话：XXXX</w:t>
      </w:r>
    </w:p>
    <w:p w14:paraId="2E553657">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真：XXXX</w:t>
      </w:r>
    </w:p>
    <w:p w14:paraId="43F76090">
      <w:pPr>
        <w:shd w:val="clear" w:color="auto" w:fill="auto"/>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期：XXXX年XXXX月XXXX日</w:t>
      </w:r>
    </w:p>
    <w:p w14:paraId="0434AEF9">
      <w:pPr>
        <w:shd w:val="clear" w:color="auto" w:fill="auto"/>
        <w:rPr>
          <w:rFonts w:hint="eastAsia" w:ascii="仿宋" w:hAnsi="仿宋" w:eastAsia="仿宋" w:cs="仿宋"/>
          <w:color w:val="auto"/>
          <w:sz w:val="24"/>
          <w:szCs w:val="24"/>
          <w:highlight w:val="none"/>
        </w:rPr>
      </w:pPr>
    </w:p>
    <w:p w14:paraId="2AF8E16C">
      <w:pPr>
        <w:shd w:val="clear" w:color="auto" w:fill="auto"/>
        <w:rPr>
          <w:rFonts w:hint="eastAsia" w:ascii="仿宋" w:hAnsi="仿宋" w:eastAsia="仿宋" w:cs="仿宋"/>
          <w:color w:val="auto"/>
          <w:sz w:val="24"/>
          <w:szCs w:val="24"/>
          <w:highlight w:val="none"/>
        </w:rPr>
      </w:pPr>
    </w:p>
    <w:p w14:paraId="56CC3DC9">
      <w:pPr>
        <w:shd w:val="clear" w:color="auto" w:fill="auto"/>
        <w:rPr>
          <w:rFonts w:hint="eastAsia" w:ascii="仿宋" w:hAnsi="仿宋" w:eastAsia="仿宋" w:cs="仿宋"/>
          <w:color w:val="auto"/>
          <w:sz w:val="24"/>
          <w:szCs w:val="24"/>
          <w:highlight w:val="none"/>
        </w:rPr>
      </w:pPr>
      <w:bookmarkStart w:id="66" w:name="_Toc14668"/>
      <w:bookmarkStart w:id="67" w:name="_Toc31452"/>
      <w:bookmarkStart w:id="68" w:name="_Toc12622"/>
      <w:bookmarkStart w:id="69" w:name="_Toc466298080"/>
      <w:bookmarkStart w:id="70" w:name="_Toc465085382"/>
      <w:bookmarkStart w:id="71" w:name="_Toc472604633"/>
      <w:r>
        <w:rPr>
          <w:rFonts w:hint="eastAsia" w:ascii="仿宋" w:hAnsi="仿宋" w:eastAsia="仿宋" w:cs="仿宋"/>
          <w:color w:val="auto"/>
          <w:sz w:val="24"/>
          <w:szCs w:val="24"/>
          <w:highlight w:val="none"/>
        </w:rPr>
        <w:br w:type="page"/>
      </w:r>
    </w:p>
    <w:p w14:paraId="17930EC1">
      <w:pPr>
        <w:pStyle w:val="6"/>
        <w:bidi w:val="0"/>
        <w:jc w:val="center"/>
        <w:rPr>
          <w:rFonts w:hint="eastAsia" w:ascii="仿宋" w:hAnsi="仿宋" w:eastAsia="仿宋" w:cs="仿宋"/>
          <w:color w:val="auto"/>
          <w:sz w:val="24"/>
          <w:szCs w:val="24"/>
          <w:highlight w:val="none"/>
        </w:rPr>
      </w:pPr>
      <w:bookmarkStart w:id="72" w:name="_Toc7424"/>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、承诺函</w:t>
      </w:r>
      <w:bookmarkEnd w:id="72"/>
    </w:p>
    <w:p w14:paraId="72BBCC66">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p>
    <w:p w14:paraId="53C3B434">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我公司作为本次采购项目的投标人，根据</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要求，现郑重承诺如下：</w:t>
      </w:r>
    </w:p>
    <w:p w14:paraId="25A4B230">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一、具备《中华人民共和国政府采购法》第二十二条第一款和本项目规定的条件：</w:t>
      </w:r>
    </w:p>
    <w:p w14:paraId="114DDDC8">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（一）具有独立承担民事责任的能力； </w:t>
      </w:r>
    </w:p>
    <w:p w14:paraId="7899B402">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（二）具有良好的商业信誉和健全的财务会计制度； </w:t>
      </w:r>
    </w:p>
    <w:p w14:paraId="0C25BB8D">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（三）具有履行合同所必需的设备和专业技术能力； </w:t>
      </w:r>
    </w:p>
    <w:p w14:paraId="449326C9">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（四）有依法缴纳税收和社会保障资金的良好记录； </w:t>
      </w:r>
    </w:p>
    <w:p w14:paraId="2554DAA8">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（五）参加本次政府采购活动前三年内，在经营活动中没有重大违法记录；</w:t>
      </w:r>
    </w:p>
    <w:p w14:paraId="59AFEB58">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（六）法律、行政法规规定的其他条件；</w:t>
      </w:r>
    </w:p>
    <w:p w14:paraId="2DC1E780">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（七）根据采购项目提出的特殊条件。</w:t>
      </w:r>
    </w:p>
    <w:p w14:paraId="4035C696">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二、完全接受和满足本项目</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中规定的实质性要求，如对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有异议，已经在投标截止时间届满前依法进行维权救济，不存在对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有异议的同时又参加投标以求侥幸中标或者为实现其他非法目的的行为。</w:t>
      </w:r>
    </w:p>
    <w:p w14:paraId="016350A9">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三、参加本次招标采购活动，不存在与单位负责人为同一人或者存在直接控股、管理关系的其他供应商参与同一合同项下的政府采购活动的行为。</w:t>
      </w:r>
    </w:p>
    <w:p w14:paraId="00405794">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四、参加本次招标采购活动，不存在和其他供应商在同一合同项下的采购项目中，同时委托同一个自然人、同一家庭的人员、同一单位的人员作为代理人的行为。</w:t>
      </w:r>
    </w:p>
    <w:p w14:paraId="1D61403A">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中提供的能够给予我公司带来优惠、好处的任何材料资料和技术、服务、商务等响应承诺情况都是真实的、有效的、合法的。</w:t>
      </w:r>
    </w:p>
    <w:p w14:paraId="39513987">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六、在行贿犯罪信息查询期限内，我单位及其现任法定代表人、主要负责人有（ ）没有（ ）行贿犯罪记录。</w:t>
      </w:r>
    </w:p>
    <w:p w14:paraId="3389FF37">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七、我单位有（ ）没有（ ）被列入失信被执行人、重大税收违法失信主体、政府采购严重违法失信行为记录名单（如投标人在参加政府采购活动前被禁止在一定期限内参加政府采购活动，期限届满的，可以参加政府采购活动），有（ ）没有（ ）未依法缴纳税收和社会保障资金的不良记录，参加政府采购活动前三年内，在经营活动中有（ ）没有（ ）重大违法记录（如投标人在参加政府采购活动前3年内因违法经营被禁止在一定期限内参加政府采购活动，期限届满的，可以参加政府采购活动）；</w:t>
      </w:r>
    </w:p>
    <w:p w14:paraId="22B148F2">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八、如本项目评标过程中需要提供样品，则我公司提供的样品即为中标后将要提供的中标产品，我公司对提供样品的性能和质量负责，因样品存在缺陷或者不符合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要求导致未能中标的，我公司愿意承担相应不利后果。</w:t>
      </w:r>
    </w:p>
    <w:p w14:paraId="17B3860D">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本公司对上述承诺的内容事项真实性负责。如经查实上述承诺的内容事项存在虚假，我公司愿意接受以提供虚假材料谋取中标追究法律责任。</w:t>
      </w:r>
    </w:p>
    <w:p w14:paraId="4EB41F38">
      <w:pPr>
        <w:shd w:val="clear" w:color="auto" w:fill="auto"/>
        <w:spacing w:line="276"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6133BF78">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投标人名称：XXXX（单位公章）</w:t>
      </w:r>
    </w:p>
    <w:p w14:paraId="6745EF21">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法定代表人/单位负责人或授权代表（签字或加盖个人名章）：XXXX</w:t>
      </w:r>
    </w:p>
    <w:p w14:paraId="4971B366">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投标日期：XXXX</w:t>
      </w:r>
    </w:p>
    <w:p w14:paraId="38CFB793">
      <w:pPr>
        <w:shd w:val="clear" w:color="auto" w:fill="auto"/>
        <w:spacing w:line="276" w:lineRule="auto"/>
        <w:rPr>
          <w:rFonts w:hint="eastAsia" w:ascii="仿宋" w:hAnsi="仿宋" w:eastAsia="仿宋" w:cs="仿宋"/>
          <w:color w:val="auto"/>
          <w:sz w:val="24"/>
          <w:szCs w:val="24"/>
          <w:highlight w:val="none"/>
        </w:rPr>
      </w:pPr>
    </w:p>
    <w:p w14:paraId="1A57B776">
      <w:pPr>
        <w:pStyle w:val="6"/>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73" w:name="_Toc10298"/>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w:t>
      </w:r>
      <w:bookmarkEnd w:id="66"/>
      <w:r>
        <w:rPr>
          <w:rFonts w:hint="eastAsia" w:ascii="仿宋" w:hAnsi="仿宋" w:eastAsia="仿宋" w:cs="仿宋"/>
          <w:color w:val="auto"/>
          <w:sz w:val="24"/>
          <w:szCs w:val="24"/>
          <w:highlight w:val="none"/>
        </w:rPr>
        <w:t>开标一览表</w:t>
      </w:r>
      <w:bookmarkEnd w:id="67"/>
      <w:bookmarkEnd w:id="68"/>
      <w:bookmarkEnd w:id="69"/>
      <w:bookmarkEnd w:id="70"/>
      <w:bookmarkEnd w:id="71"/>
      <w:bookmarkEnd w:id="73"/>
    </w:p>
    <w:p w14:paraId="7DFD5F38">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项目名称：</w:t>
      </w:r>
    </w:p>
    <w:p w14:paraId="60DDBD1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项目编号：</w:t>
      </w:r>
    </w:p>
    <w:p w14:paraId="29ABEA30">
      <w:pPr>
        <w:jc w:val="right"/>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eastAsia="zh-CN"/>
        </w:rPr>
        <w:t>单位：元</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1"/>
        <w:gridCol w:w="1816"/>
        <w:gridCol w:w="4690"/>
        <w:gridCol w:w="1290"/>
      </w:tblGrid>
      <w:tr w14:paraId="72647E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91" w:type="dxa"/>
            <w:tcBorders>
              <w:top w:val="single" w:color="auto" w:sz="4" w:space="0"/>
              <w:left w:val="single" w:color="auto" w:sz="4" w:space="0"/>
              <w:right w:val="single" w:color="auto" w:sz="4" w:space="0"/>
            </w:tcBorders>
            <w:noWrap w:val="0"/>
            <w:vAlign w:val="center"/>
          </w:tcPr>
          <w:p w14:paraId="633621BF">
            <w:pPr>
              <w:snapToGrid w:val="0"/>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6506" w:type="dxa"/>
            <w:gridSpan w:val="2"/>
            <w:tcBorders>
              <w:top w:val="single" w:color="auto" w:sz="4" w:space="0"/>
              <w:left w:val="single" w:color="auto" w:sz="4" w:space="0"/>
              <w:right w:val="single" w:color="auto" w:sz="4" w:space="0"/>
            </w:tcBorders>
            <w:noWrap w:val="0"/>
            <w:vAlign w:val="center"/>
          </w:tcPr>
          <w:p w14:paraId="28EB87C9">
            <w:pPr>
              <w:snapToGrid w:val="0"/>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内容</w:t>
            </w:r>
          </w:p>
        </w:tc>
        <w:tc>
          <w:tcPr>
            <w:tcW w:w="1290" w:type="dxa"/>
            <w:tcBorders>
              <w:top w:val="single" w:color="auto" w:sz="4" w:space="0"/>
              <w:left w:val="single" w:color="auto" w:sz="4" w:space="0"/>
              <w:right w:val="single" w:color="auto" w:sz="4" w:space="0"/>
            </w:tcBorders>
            <w:noWrap w:val="0"/>
            <w:vAlign w:val="center"/>
          </w:tcPr>
          <w:p w14:paraId="0D0FEB60">
            <w:pPr>
              <w:snapToGrid w:val="0"/>
              <w:spacing w:line="4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备注</w:t>
            </w:r>
          </w:p>
        </w:tc>
      </w:tr>
      <w:tr w14:paraId="52241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426FBD5D">
            <w:pPr>
              <w:snapToGrid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49E54644">
            <w:pPr>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w:t>
            </w:r>
          </w:p>
        </w:tc>
        <w:tc>
          <w:tcPr>
            <w:tcW w:w="4690" w:type="dxa"/>
            <w:tcBorders>
              <w:top w:val="single" w:color="auto" w:sz="4" w:space="0"/>
              <w:left w:val="single" w:color="auto" w:sz="4" w:space="0"/>
              <w:right w:val="single" w:color="auto" w:sz="4" w:space="0"/>
            </w:tcBorders>
            <w:noWrap w:val="0"/>
            <w:vAlign w:val="center"/>
          </w:tcPr>
          <w:p w14:paraId="61978100">
            <w:pPr>
              <w:snapToGrid w:val="0"/>
              <w:spacing w:line="400" w:lineRule="exact"/>
              <w:rPr>
                <w:rFonts w:hint="eastAsia" w:ascii="仿宋" w:hAnsi="仿宋" w:eastAsia="仿宋" w:cs="仿宋"/>
                <w:sz w:val="24"/>
                <w:szCs w:val="24"/>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4BE6727">
            <w:pPr>
              <w:snapToGrid w:val="0"/>
              <w:spacing w:line="400" w:lineRule="exact"/>
              <w:jc w:val="center"/>
              <w:rPr>
                <w:rFonts w:hint="eastAsia" w:ascii="仿宋" w:hAnsi="仿宋" w:eastAsia="仿宋" w:cs="仿宋"/>
                <w:sz w:val="24"/>
                <w:szCs w:val="24"/>
                <w:highlight w:val="none"/>
              </w:rPr>
            </w:pPr>
          </w:p>
        </w:tc>
      </w:tr>
      <w:tr w14:paraId="1E1AB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691" w:type="dxa"/>
            <w:tcBorders>
              <w:top w:val="single" w:color="auto" w:sz="4" w:space="0"/>
              <w:left w:val="single" w:color="auto" w:sz="4" w:space="0"/>
              <w:right w:val="single" w:color="auto" w:sz="4" w:space="0"/>
            </w:tcBorders>
            <w:noWrap w:val="0"/>
            <w:vAlign w:val="center"/>
          </w:tcPr>
          <w:p w14:paraId="68071E86">
            <w:pPr>
              <w:snapToGrid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816" w:type="dxa"/>
            <w:tcBorders>
              <w:top w:val="single" w:color="auto" w:sz="4" w:space="0"/>
              <w:left w:val="single" w:color="auto" w:sz="4" w:space="0"/>
              <w:right w:val="single" w:color="auto" w:sz="4" w:space="0"/>
            </w:tcBorders>
            <w:noWrap w:val="0"/>
            <w:vAlign w:val="center"/>
          </w:tcPr>
          <w:p w14:paraId="597690D8">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报价</w:t>
            </w:r>
          </w:p>
        </w:tc>
        <w:tc>
          <w:tcPr>
            <w:tcW w:w="4690" w:type="dxa"/>
            <w:tcBorders>
              <w:top w:val="single" w:color="auto" w:sz="4" w:space="0"/>
              <w:left w:val="single" w:color="auto" w:sz="4" w:space="0"/>
              <w:bottom w:val="single" w:color="auto" w:sz="4" w:space="0"/>
              <w:right w:val="single" w:color="auto" w:sz="4" w:space="0"/>
            </w:tcBorders>
            <w:noWrap w:val="0"/>
            <w:vAlign w:val="center"/>
          </w:tcPr>
          <w:p w14:paraId="329E7EA0">
            <w:pPr>
              <w:widowControl/>
              <w:rPr>
                <w:rFonts w:hint="eastAsia" w:ascii="仿宋" w:hAnsi="仿宋" w:eastAsia="仿宋" w:cs="仿宋"/>
                <w:sz w:val="24"/>
                <w:szCs w:val="24"/>
                <w:highlight w:val="none"/>
              </w:rPr>
            </w:pPr>
            <w:r>
              <w:rPr>
                <w:rFonts w:hint="eastAsia" w:ascii="仿宋" w:hAnsi="仿宋" w:eastAsia="仿宋" w:cs="仿宋"/>
                <w:sz w:val="24"/>
                <w:szCs w:val="24"/>
                <w:highlight w:val="none"/>
              </w:rPr>
              <w:t>大写：</w:t>
            </w:r>
          </w:p>
          <w:p w14:paraId="47FF7450">
            <w:pPr>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小写：</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0791DEB7">
            <w:pPr>
              <w:snapToGrid w:val="0"/>
              <w:spacing w:line="400" w:lineRule="exact"/>
              <w:jc w:val="center"/>
              <w:rPr>
                <w:rFonts w:hint="eastAsia" w:ascii="仿宋" w:hAnsi="仿宋" w:eastAsia="仿宋" w:cs="仿宋"/>
                <w:sz w:val="24"/>
                <w:szCs w:val="24"/>
                <w:highlight w:val="none"/>
              </w:rPr>
            </w:pPr>
          </w:p>
        </w:tc>
      </w:tr>
      <w:tr w14:paraId="7A0233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2F45F9ED">
            <w:pPr>
              <w:snapToGrid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55E7D6AD">
            <w:pPr>
              <w:snapToGrid w:val="0"/>
              <w:spacing w:line="400" w:lineRule="exact"/>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lang w:eastAsia="zh-CN"/>
              </w:rPr>
              <w:t>服务期限</w:t>
            </w:r>
          </w:p>
        </w:tc>
        <w:tc>
          <w:tcPr>
            <w:tcW w:w="4690" w:type="dxa"/>
            <w:tcBorders>
              <w:top w:val="single" w:color="auto" w:sz="4" w:space="0"/>
              <w:left w:val="single" w:color="auto" w:sz="4" w:space="0"/>
              <w:bottom w:val="single" w:color="auto" w:sz="4" w:space="0"/>
              <w:right w:val="single" w:color="auto" w:sz="4" w:space="0"/>
            </w:tcBorders>
            <w:noWrap w:val="0"/>
            <w:vAlign w:val="center"/>
          </w:tcPr>
          <w:p w14:paraId="6F3FA144">
            <w:pPr>
              <w:snapToGrid w:val="0"/>
              <w:spacing w:line="400" w:lineRule="exact"/>
              <w:ind w:left="2559"/>
              <w:rPr>
                <w:rFonts w:hint="eastAsia" w:ascii="仿宋" w:hAnsi="仿宋" w:eastAsia="仿宋" w:cs="仿宋"/>
                <w:sz w:val="24"/>
                <w:szCs w:val="24"/>
                <w:highlight w:val="none"/>
                <w:u w:val="singl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4D2F09D0">
            <w:pPr>
              <w:snapToGrid w:val="0"/>
              <w:spacing w:line="400" w:lineRule="exact"/>
              <w:jc w:val="center"/>
              <w:rPr>
                <w:rFonts w:hint="eastAsia" w:ascii="仿宋" w:hAnsi="仿宋" w:eastAsia="仿宋" w:cs="仿宋"/>
                <w:sz w:val="24"/>
                <w:szCs w:val="24"/>
                <w:highlight w:val="none"/>
                <w:u w:val="single"/>
              </w:rPr>
            </w:pPr>
          </w:p>
        </w:tc>
      </w:tr>
      <w:tr w14:paraId="30CC8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266ECF3D">
            <w:pPr>
              <w:snapToGrid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2A2EA40F">
            <w:pPr>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其他事项声明</w:t>
            </w:r>
          </w:p>
        </w:tc>
        <w:tc>
          <w:tcPr>
            <w:tcW w:w="4690" w:type="dxa"/>
            <w:tcBorders>
              <w:top w:val="single" w:color="auto" w:sz="4" w:space="0"/>
              <w:left w:val="single" w:color="auto" w:sz="4" w:space="0"/>
              <w:bottom w:val="single" w:color="auto" w:sz="4" w:space="0"/>
              <w:right w:val="single" w:color="auto" w:sz="4" w:space="0"/>
            </w:tcBorders>
            <w:noWrap w:val="0"/>
            <w:vAlign w:val="center"/>
          </w:tcPr>
          <w:p w14:paraId="21FC1BFA">
            <w:pPr>
              <w:snapToGrid w:val="0"/>
              <w:spacing w:line="400" w:lineRule="exact"/>
              <w:ind w:left="2559"/>
              <w:jc w:val="left"/>
              <w:rPr>
                <w:rFonts w:hint="eastAsia" w:ascii="仿宋" w:hAnsi="仿宋" w:eastAsia="仿宋" w:cs="仿宋"/>
                <w:sz w:val="24"/>
                <w:szCs w:val="24"/>
                <w:highlight w:val="none"/>
                <w:u w:val="singl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4311DF6D">
            <w:pPr>
              <w:snapToGrid w:val="0"/>
              <w:spacing w:line="400" w:lineRule="exact"/>
              <w:jc w:val="center"/>
              <w:rPr>
                <w:rFonts w:hint="eastAsia" w:ascii="仿宋" w:hAnsi="仿宋" w:eastAsia="仿宋" w:cs="仿宋"/>
                <w:sz w:val="24"/>
                <w:szCs w:val="24"/>
                <w:highlight w:val="none"/>
                <w:u w:val="single"/>
              </w:rPr>
            </w:pPr>
          </w:p>
        </w:tc>
      </w:tr>
    </w:tbl>
    <w:p w14:paraId="4BA8D327">
      <w:pPr>
        <w:shd w:val="clear" w:color="auto" w:fill="auto"/>
        <w:spacing w:line="44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注：</w:t>
      </w:r>
    </w:p>
    <w:p w14:paraId="469187DA">
      <w:pPr>
        <w:numPr>
          <w:ilvl w:val="0"/>
          <w:numId w:val="0"/>
        </w:numPr>
        <w:shd w:val="clear" w:color="auto" w:fill="auto"/>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rPr>
        <w:t>在开标一览表中，按</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须知的规定不允许出现两种</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报价，否则其投标将被拒绝。</w:t>
      </w:r>
    </w:p>
    <w:p w14:paraId="32CBDE32">
      <w:pPr>
        <w:numPr>
          <w:ilvl w:val="0"/>
          <w:numId w:val="0"/>
        </w:numPr>
        <w:shd w:val="clear" w:color="auto" w:fill="auto"/>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rPr>
        <w:t xml:space="preserve">投标人报价不得超过最高限价，否则将导致废标。 </w:t>
      </w:r>
    </w:p>
    <w:p w14:paraId="17CE4F4A">
      <w:pPr>
        <w:numPr>
          <w:ilvl w:val="0"/>
          <w:numId w:val="0"/>
        </w:numPr>
        <w:shd w:val="clear" w:color="auto" w:fill="auto"/>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szCs w:val="24"/>
          <w:highlight w:val="none"/>
        </w:rPr>
        <w:t>报价为最终价格</w:t>
      </w:r>
      <w:r>
        <w:rPr>
          <w:rFonts w:hint="eastAsia" w:ascii="仿宋" w:hAnsi="仿宋" w:eastAsia="仿宋" w:cs="仿宋"/>
          <w:color w:val="auto"/>
          <w:sz w:val="24"/>
          <w:szCs w:val="24"/>
          <w:highlight w:val="none"/>
          <w:lang w:eastAsia="zh-CN"/>
        </w:rPr>
        <w:t>须</w:t>
      </w:r>
      <w:r>
        <w:rPr>
          <w:rFonts w:hint="eastAsia" w:ascii="仿宋" w:hAnsi="仿宋" w:eastAsia="仿宋" w:cs="仿宋"/>
          <w:color w:val="auto"/>
          <w:sz w:val="24"/>
          <w:szCs w:val="24"/>
          <w:highlight w:val="none"/>
        </w:rPr>
        <w:t>包含</w:t>
      </w:r>
      <w:r>
        <w:rPr>
          <w:rFonts w:hint="eastAsia" w:ascii="仿宋" w:hAnsi="仿宋" w:eastAsia="仿宋" w:cs="仿宋"/>
          <w:color w:val="auto"/>
          <w:sz w:val="24"/>
          <w:szCs w:val="24"/>
          <w:highlight w:val="none"/>
          <w:lang w:eastAsia="zh-CN"/>
        </w:rPr>
        <w:t>完成本项目的</w:t>
      </w:r>
      <w:r>
        <w:rPr>
          <w:rFonts w:hint="eastAsia" w:ascii="仿宋" w:hAnsi="仿宋" w:eastAsia="仿宋" w:cs="仿宋"/>
          <w:color w:val="auto"/>
          <w:sz w:val="24"/>
          <w:szCs w:val="24"/>
          <w:highlight w:val="none"/>
        </w:rPr>
        <w:t xml:space="preserve">各项费用。 </w:t>
      </w:r>
    </w:p>
    <w:p w14:paraId="7A566E95">
      <w:pPr>
        <w:numPr>
          <w:ilvl w:val="0"/>
          <w:numId w:val="0"/>
        </w:numPr>
        <w:shd w:val="clear" w:color="auto" w:fill="auto"/>
        <w:spacing w:line="440" w:lineRule="exac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4、须附详细的报价明细表，报价明细表中总金额和此表中报价一致。</w:t>
      </w:r>
    </w:p>
    <w:p w14:paraId="2C95FA0D">
      <w:pPr>
        <w:numPr>
          <w:ilvl w:val="0"/>
          <w:numId w:val="0"/>
        </w:numPr>
        <w:shd w:val="clear" w:color="auto" w:fill="auto"/>
        <w:spacing w:line="440" w:lineRule="exact"/>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5、本项目为竞争性磋商项目，涉及多轮报价</w:t>
      </w:r>
    </w:p>
    <w:p w14:paraId="3DC9467E">
      <w:pPr>
        <w:shd w:val="clear" w:color="auto" w:fill="auto"/>
        <w:spacing w:line="440" w:lineRule="exact"/>
        <w:jc w:val="left"/>
        <w:rPr>
          <w:rFonts w:hint="eastAsia" w:ascii="仿宋" w:hAnsi="仿宋" w:eastAsia="仿宋" w:cs="仿宋"/>
          <w:color w:val="auto"/>
          <w:sz w:val="24"/>
          <w:szCs w:val="24"/>
          <w:highlight w:val="none"/>
        </w:rPr>
      </w:pPr>
    </w:p>
    <w:p w14:paraId="410C402F">
      <w:pPr>
        <w:shd w:val="clear" w:color="auto" w:fill="auto"/>
        <w:spacing w:line="276" w:lineRule="auto"/>
        <w:ind w:firstLine="480" w:firstLineChars="200"/>
        <w:jc w:val="left"/>
        <w:rPr>
          <w:rFonts w:hint="eastAsia" w:ascii="仿宋" w:hAnsi="仿宋" w:eastAsia="仿宋" w:cs="仿宋"/>
          <w:color w:val="auto"/>
          <w:sz w:val="24"/>
          <w:szCs w:val="24"/>
          <w:highlight w:val="none"/>
        </w:rPr>
      </w:pPr>
    </w:p>
    <w:p w14:paraId="37F60DB5">
      <w:pPr>
        <w:shd w:val="clear" w:color="auto" w:fill="auto"/>
        <w:spacing w:line="276" w:lineRule="auto"/>
        <w:ind w:firstLine="480" w:firstLineChars="200"/>
        <w:jc w:val="left"/>
        <w:rPr>
          <w:rFonts w:hint="eastAsia" w:ascii="仿宋" w:hAnsi="仿宋" w:eastAsia="仿宋" w:cs="仿宋"/>
          <w:color w:val="auto"/>
          <w:sz w:val="24"/>
          <w:szCs w:val="24"/>
          <w:highlight w:val="none"/>
        </w:rPr>
      </w:pPr>
    </w:p>
    <w:p w14:paraId="0947F591">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投标人名称：XXXX（单位公章）</w:t>
      </w:r>
    </w:p>
    <w:p w14:paraId="593C3769">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法定代表人/单位负责人或授权代表（签字或加盖个人名章）：XXXX</w:t>
      </w:r>
    </w:p>
    <w:p w14:paraId="37D21CF6">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投标日期：XXXX</w:t>
      </w:r>
    </w:p>
    <w:p w14:paraId="1C363B98">
      <w:pPr>
        <w:pStyle w:val="6"/>
        <w:numPr>
          <w:ilvl w:val="0"/>
          <w:numId w:val="0"/>
        </w:numPr>
        <w:bidi w:val="0"/>
        <w:ind w:left="0" w:leftChars="0" w:firstLine="0" w:firstLineChars="0"/>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lang w:val="en-US" w:eastAsia="zh-CN"/>
        </w:rPr>
        <w:t>13、</w:t>
      </w:r>
      <w:r>
        <w:rPr>
          <w:rFonts w:hint="eastAsia" w:ascii="仿宋" w:hAnsi="仿宋" w:eastAsia="仿宋" w:cs="仿宋"/>
          <w:b/>
          <w:bCs/>
          <w:color w:val="auto"/>
          <w:kern w:val="2"/>
          <w:sz w:val="24"/>
          <w:szCs w:val="24"/>
          <w:highlight w:val="none"/>
          <w:lang w:val="en-US" w:eastAsia="zh-CN" w:bidi="ar-SA"/>
        </w:rPr>
        <w:t>报价明细表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901"/>
        <w:gridCol w:w="1362"/>
        <w:gridCol w:w="1211"/>
        <w:gridCol w:w="1044"/>
        <w:gridCol w:w="1265"/>
        <w:gridCol w:w="1266"/>
      </w:tblGrid>
      <w:tr w14:paraId="3E82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0572BAA0">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序号</w:t>
            </w:r>
          </w:p>
        </w:tc>
        <w:tc>
          <w:tcPr>
            <w:tcW w:w="1901" w:type="dxa"/>
            <w:vAlign w:val="center"/>
          </w:tcPr>
          <w:p w14:paraId="59BDE6C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rPr>
              <w:t>名称</w:t>
            </w:r>
          </w:p>
        </w:tc>
        <w:tc>
          <w:tcPr>
            <w:tcW w:w="1362" w:type="dxa"/>
            <w:vAlign w:val="center"/>
          </w:tcPr>
          <w:p w14:paraId="17307BD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rPr>
              <w:t>规格</w:t>
            </w:r>
          </w:p>
        </w:tc>
        <w:tc>
          <w:tcPr>
            <w:tcW w:w="1211" w:type="dxa"/>
            <w:vAlign w:val="center"/>
          </w:tcPr>
          <w:p w14:paraId="07CA3A7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rPr>
              <w:t>单位</w:t>
            </w:r>
          </w:p>
        </w:tc>
        <w:tc>
          <w:tcPr>
            <w:tcW w:w="1044" w:type="dxa"/>
            <w:vAlign w:val="center"/>
          </w:tcPr>
          <w:p w14:paraId="173E9B9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rPr>
              <w:t>数量</w:t>
            </w:r>
          </w:p>
        </w:tc>
        <w:tc>
          <w:tcPr>
            <w:tcW w:w="1265" w:type="dxa"/>
            <w:vAlign w:val="center"/>
          </w:tcPr>
          <w:p w14:paraId="7D3DDFB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单价（元）</w:t>
            </w:r>
          </w:p>
        </w:tc>
        <w:tc>
          <w:tcPr>
            <w:tcW w:w="1266" w:type="dxa"/>
            <w:vAlign w:val="center"/>
          </w:tcPr>
          <w:p w14:paraId="0816FA3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合计（元）</w:t>
            </w:r>
          </w:p>
        </w:tc>
      </w:tr>
      <w:tr w14:paraId="43EA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Pr>
          <w:p w14:paraId="68A4ADEB">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w:t>
            </w:r>
          </w:p>
        </w:tc>
        <w:tc>
          <w:tcPr>
            <w:tcW w:w="1901" w:type="dxa"/>
            <w:vAlign w:val="center"/>
          </w:tcPr>
          <w:p w14:paraId="41849B69">
            <w:pPr>
              <w:keepNext w:val="0"/>
              <w:keepLines w:val="0"/>
              <w:widowControl/>
              <w:suppressLineNumbers w:val="0"/>
              <w:jc w:val="center"/>
              <w:textAlignment w:val="center"/>
              <w:rPr>
                <w:rFonts w:hint="eastAsia" w:ascii="仿宋" w:hAnsi="仿宋" w:eastAsia="仿宋" w:cs="仿宋"/>
                <w:sz w:val="24"/>
                <w:szCs w:val="24"/>
                <w:highlight w:val="none"/>
                <w:vertAlign w:val="baseline"/>
                <w:lang w:val="en-US" w:eastAsia="zh-CN"/>
              </w:rPr>
            </w:pPr>
          </w:p>
        </w:tc>
        <w:tc>
          <w:tcPr>
            <w:tcW w:w="1362" w:type="dxa"/>
            <w:vAlign w:val="center"/>
          </w:tcPr>
          <w:p w14:paraId="7D68A0DF">
            <w:pPr>
              <w:keepNext w:val="0"/>
              <w:keepLines w:val="0"/>
              <w:widowControl/>
              <w:suppressLineNumbers w:val="0"/>
              <w:jc w:val="center"/>
              <w:textAlignment w:val="center"/>
              <w:rPr>
                <w:rFonts w:hint="eastAsia" w:ascii="仿宋" w:hAnsi="仿宋" w:eastAsia="仿宋" w:cs="仿宋"/>
                <w:sz w:val="24"/>
                <w:szCs w:val="24"/>
                <w:highlight w:val="none"/>
                <w:vertAlign w:val="baseline"/>
                <w:lang w:val="en-US" w:eastAsia="zh-CN"/>
              </w:rPr>
            </w:pPr>
          </w:p>
        </w:tc>
        <w:tc>
          <w:tcPr>
            <w:tcW w:w="1211" w:type="dxa"/>
            <w:vAlign w:val="center"/>
          </w:tcPr>
          <w:p w14:paraId="7D72AAE9">
            <w:pPr>
              <w:keepNext w:val="0"/>
              <w:keepLines w:val="0"/>
              <w:widowControl/>
              <w:suppressLineNumbers w:val="0"/>
              <w:jc w:val="center"/>
              <w:textAlignment w:val="center"/>
              <w:rPr>
                <w:rFonts w:hint="eastAsia" w:ascii="仿宋" w:hAnsi="仿宋" w:eastAsia="仿宋" w:cs="仿宋"/>
                <w:sz w:val="24"/>
                <w:szCs w:val="24"/>
                <w:highlight w:val="none"/>
                <w:vertAlign w:val="baseline"/>
                <w:lang w:val="en-US" w:eastAsia="zh-CN"/>
              </w:rPr>
            </w:pPr>
          </w:p>
        </w:tc>
        <w:tc>
          <w:tcPr>
            <w:tcW w:w="1044" w:type="dxa"/>
            <w:vAlign w:val="center"/>
          </w:tcPr>
          <w:p w14:paraId="5EFAD0C7">
            <w:pPr>
              <w:keepNext w:val="0"/>
              <w:keepLines w:val="0"/>
              <w:widowControl/>
              <w:suppressLineNumbers w:val="0"/>
              <w:jc w:val="center"/>
              <w:textAlignment w:val="center"/>
              <w:rPr>
                <w:rFonts w:hint="eastAsia" w:ascii="仿宋" w:hAnsi="仿宋" w:eastAsia="仿宋" w:cs="仿宋"/>
                <w:sz w:val="24"/>
                <w:szCs w:val="24"/>
                <w:highlight w:val="none"/>
                <w:vertAlign w:val="baseline"/>
                <w:lang w:val="en-US" w:eastAsia="zh-CN"/>
              </w:rPr>
            </w:pPr>
          </w:p>
        </w:tc>
        <w:tc>
          <w:tcPr>
            <w:tcW w:w="1265" w:type="dxa"/>
          </w:tcPr>
          <w:p w14:paraId="5A8733BB">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266" w:type="dxa"/>
          </w:tcPr>
          <w:p w14:paraId="14D94586">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r>
      <w:tr w14:paraId="433C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Pr>
          <w:p w14:paraId="63628693">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w:t>
            </w:r>
          </w:p>
        </w:tc>
        <w:tc>
          <w:tcPr>
            <w:tcW w:w="1901" w:type="dxa"/>
            <w:vAlign w:val="center"/>
          </w:tcPr>
          <w:p w14:paraId="7C6E56D9">
            <w:pPr>
              <w:keepNext w:val="0"/>
              <w:keepLines w:val="0"/>
              <w:widowControl/>
              <w:suppressLineNumbers w:val="0"/>
              <w:jc w:val="center"/>
              <w:textAlignment w:val="center"/>
              <w:rPr>
                <w:rFonts w:hint="eastAsia" w:ascii="仿宋" w:hAnsi="仿宋" w:eastAsia="仿宋" w:cs="仿宋"/>
                <w:sz w:val="24"/>
                <w:szCs w:val="24"/>
                <w:highlight w:val="none"/>
                <w:vertAlign w:val="baseline"/>
                <w:lang w:val="en-US" w:eastAsia="zh-CN"/>
              </w:rPr>
            </w:pPr>
          </w:p>
        </w:tc>
        <w:tc>
          <w:tcPr>
            <w:tcW w:w="1362" w:type="dxa"/>
            <w:vAlign w:val="center"/>
          </w:tcPr>
          <w:p w14:paraId="30983C49">
            <w:pPr>
              <w:keepNext w:val="0"/>
              <w:keepLines w:val="0"/>
              <w:widowControl/>
              <w:suppressLineNumbers w:val="0"/>
              <w:jc w:val="center"/>
              <w:textAlignment w:val="center"/>
              <w:rPr>
                <w:rFonts w:hint="eastAsia" w:ascii="仿宋" w:hAnsi="仿宋" w:eastAsia="仿宋" w:cs="仿宋"/>
                <w:sz w:val="24"/>
                <w:szCs w:val="24"/>
                <w:highlight w:val="none"/>
                <w:vertAlign w:val="baseline"/>
                <w:lang w:val="en-US" w:eastAsia="zh-CN"/>
              </w:rPr>
            </w:pPr>
          </w:p>
        </w:tc>
        <w:tc>
          <w:tcPr>
            <w:tcW w:w="1211" w:type="dxa"/>
            <w:vAlign w:val="center"/>
          </w:tcPr>
          <w:p w14:paraId="20B53008">
            <w:pPr>
              <w:keepNext w:val="0"/>
              <w:keepLines w:val="0"/>
              <w:widowControl/>
              <w:suppressLineNumbers w:val="0"/>
              <w:jc w:val="center"/>
              <w:textAlignment w:val="center"/>
              <w:rPr>
                <w:rFonts w:hint="eastAsia" w:ascii="仿宋" w:hAnsi="仿宋" w:eastAsia="仿宋" w:cs="仿宋"/>
                <w:sz w:val="24"/>
                <w:szCs w:val="24"/>
                <w:highlight w:val="none"/>
                <w:vertAlign w:val="baseline"/>
                <w:lang w:val="en-US" w:eastAsia="zh-CN"/>
              </w:rPr>
            </w:pPr>
          </w:p>
        </w:tc>
        <w:tc>
          <w:tcPr>
            <w:tcW w:w="1044" w:type="dxa"/>
            <w:vAlign w:val="center"/>
          </w:tcPr>
          <w:p w14:paraId="6A67E7F5">
            <w:pPr>
              <w:keepNext w:val="0"/>
              <w:keepLines w:val="0"/>
              <w:widowControl/>
              <w:suppressLineNumbers w:val="0"/>
              <w:jc w:val="center"/>
              <w:textAlignment w:val="center"/>
              <w:rPr>
                <w:rFonts w:hint="eastAsia" w:ascii="仿宋" w:hAnsi="仿宋" w:eastAsia="仿宋" w:cs="仿宋"/>
                <w:sz w:val="24"/>
                <w:szCs w:val="24"/>
                <w:highlight w:val="none"/>
                <w:vertAlign w:val="baseline"/>
                <w:lang w:val="en-US" w:eastAsia="zh-CN"/>
              </w:rPr>
            </w:pPr>
          </w:p>
        </w:tc>
        <w:tc>
          <w:tcPr>
            <w:tcW w:w="1265" w:type="dxa"/>
          </w:tcPr>
          <w:p w14:paraId="6C59703B">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266" w:type="dxa"/>
          </w:tcPr>
          <w:p w14:paraId="582912FA">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r>
      <w:tr w14:paraId="433F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Pr>
          <w:p w14:paraId="245F9A99">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w:t>
            </w:r>
          </w:p>
        </w:tc>
        <w:tc>
          <w:tcPr>
            <w:tcW w:w="1901" w:type="dxa"/>
          </w:tcPr>
          <w:p w14:paraId="6606E8F7">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362" w:type="dxa"/>
          </w:tcPr>
          <w:p w14:paraId="7DCF94F0">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211" w:type="dxa"/>
          </w:tcPr>
          <w:p w14:paraId="0DBD71DE">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044" w:type="dxa"/>
          </w:tcPr>
          <w:p w14:paraId="42A46761">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265" w:type="dxa"/>
          </w:tcPr>
          <w:p w14:paraId="43811807">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266" w:type="dxa"/>
          </w:tcPr>
          <w:p w14:paraId="3C2BF51D">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r>
      <w:tr w14:paraId="54DC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Pr>
          <w:p w14:paraId="5C425919">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w:t>
            </w:r>
          </w:p>
        </w:tc>
        <w:tc>
          <w:tcPr>
            <w:tcW w:w="1901" w:type="dxa"/>
          </w:tcPr>
          <w:p w14:paraId="327D9FD1">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362" w:type="dxa"/>
          </w:tcPr>
          <w:p w14:paraId="744F0915">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211" w:type="dxa"/>
          </w:tcPr>
          <w:p w14:paraId="36BD30E2">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044" w:type="dxa"/>
          </w:tcPr>
          <w:p w14:paraId="07E6B20A">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265" w:type="dxa"/>
          </w:tcPr>
          <w:p w14:paraId="26A48280">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c>
          <w:tcPr>
            <w:tcW w:w="1266" w:type="dxa"/>
          </w:tcPr>
          <w:p w14:paraId="4D154C00">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仿宋" w:hAnsi="仿宋" w:eastAsia="仿宋" w:cs="仿宋"/>
                <w:sz w:val="24"/>
                <w:szCs w:val="24"/>
                <w:highlight w:val="none"/>
                <w:vertAlign w:val="baseline"/>
                <w:lang w:val="en-US" w:eastAsia="zh-CN"/>
              </w:rPr>
            </w:pPr>
          </w:p>
        </w:tc>
      </w:tr>
      <w:tr w14:paraId="3E85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2" w:type="dxa"/>
            <w:gridSpan w:val="7"/>
          </w:tcPr>
          <w:p w14:paraId="1385B989">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 xml:space="preserve">汇总金额：小写（元）：        </w:t>
            </w:r>
          </w:p>
          <w:p w14:paraId="4DFD92FF">
            <w:pPr>
              <w:pStyle w:val="46"/>
              <w:keepNext w:val="0"/>
              <w:keepLines w:val="0"/>
              <w:pageBreakBefore w:val="0"/>
              <w:widowControl w:val="0"/>
              <w:kinsoku/>
              <w:wordWrap/>
              <w:overflowPunct/>
              <w:topLinePunct w:val="0"/>
              <w:autoSpaceDE/>
              <w:autoSpaceDN/>
              <w:bidi w:val="0"/>
              <w:adjustRightInd/>
              <w:snapToGrid/>
              <w:spacing w:after="0" w:line="360" w:lineRule="auto"/>
              <w:ind w:firstLine="0" w:firstLineChars="0"/>
              <w:jc w:val="left"/>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大写（人民币）：</w:t>
            </w:r>
          </w:p>
        </w:tc>
      </w:tr>
    </w:tbl>
    <w:p w14:paraId="6A67A681">
      <w:pPr>
        <w:pStyle w:val="46"/>
        <w:rPr>
          <w:rFonts w:hint="eastAsia"/>
          <w:highlight w:val="none"/>
          <w:lang w:val="en-US" w:eastAsia="zh-CN"/>
        </w:rPr>
      </w:pPr>
    </w:p>
    <w:p w14:paraId="7717DBD7">
      <w:pPr>
        <w:spacing w:line="360" w:lineRule="auto"/>
        <w:rPr>
          <w:rFonts w:hint="eastAsia" w:ascii="仿宋" w:hAnsi="仿宋" w:eastAsia="仿宋" w:cs="仿宋"/>
          <w:color w:val="auto"/>
          <w:sz w:val="24"/>
          <w:szCs w:val="24"/>
          <w:highlight w:val="none"/>
        </w:rPr>
      </w:pPr>
      <w:bookmarkStart w:id="74" w:name="_Toc4869"/>
      <w:bookmarkStart w:id="75" w:name="_Toc472604638"/>
      <w:bookmarkStart w:id="76" w:name="_Toc466298085"/>
      <w:bookmarkStart w:id="77" w:name="_Toc465085387"/>
      <w:r>
        <w:rPr>
          <w:rFonts w:hint="eastAsia" w:ascii="仿宋" w:hAnsi="仿宋" w:eastAsia="仿宋" w:cs="仿宋"/>
          <w:color w:val="auto"/>
          <w:sz w:val="24"/>
          <w:szCs w:val="24"/>
          <w:highlight w:val="none"/>
        </w:rPr>
        <w:t>注：</w:t>
      </w:r>
    </w:p>
    <w:p w14:paraId="301480F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1、如果按单价</w:t>
      </w:r>
      <w:r>
        <w:rPr>
          <w:rFonts w:hint="eastAsia" w:ascii="仿宋" w:hAnsi="仿宋" w:eastAsia="仿宋" w:cs="仿宋"/>
          <w:color w:val="auto"/>
          <w:sz w:val="24"/>
          <w:szCs w:val="24"/>
          <w:highlight w:val="none"/>
          <w:lang w:eastAsia="zh-CN"/>
        </w:rPr>
        <w:t>汇总</w:t>
      </w:r>
      <w:r>
        <w:rPr>
          <w:rFonts w:hint="eastAsia" w:ascii="仿宋" w:hAnsi="仿宋" w:eastAsia="仿宋" w:cs="仿宋"/>
          <w:color w:val="auto"/>
          <w:sz w:val="24"/>
          <w:szCs w:val="24"/>
          <w:highlight w:val="none"/>
        </w:rPr>
        <w:t>的结果与总价不一致，以单价</w:t>
      </w:r>
      <w:r>
        <w:rPr>
          <w:rFonts w:hint="eastAsia" w:ascii="仿宋" w:hAnsi="仿宋" w:eastAsia="仿宋" w:cs="仿宋"/>
          <w:color w:val="auto"/>
          <w:sz w:val="24"/>
          <w:szCs w:val="24"/>
          <w:highlight w:val="none"/>
          <w:lang w:eastAsia="zh-CN"/>
        </w:rPr>
        <w:t>汇总金额</w:t>
      </w:r>
      <w:r>
        <w:rPr>
          <w:rFonts w:hint="eastAsia" w:ascii="仿宋" w:hAnsi="仿宋" w:eastAsia="仿宋" w:cs="仿宋"/>
          <w:color w:val="auto"/>
          <w:sz w:val="24"/>
          <w:szCs w:val="24"/>
          <w:highlight w:val="none"/>
        </w:rPr>
        <w:t>为准修正总价。</w:t>
      </w:r>
    </w:p>
    <w:p w14:paraId="783CA30A">
      <w:pPr>
        <w:numPr>
          <w:ilvl w:val="0"/>
          <w:numId w:val="0"/>
        </w:numPr>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rPr>
        <w:t>供应商须参照第四章各包所列明的内容全部报价。如果不提供详细分项报价视为未实质性响应</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w:t>
      </w:r>
    </w:p>
    <w:p w14:paraId="19A5B96D">
      <w:pPr>
        <w:numPr>
          <w:ilvl w:val="0"/>
          <w:numId w:val="0"/>
        </w:numPr>
        <w:spacing w:line="360" w:lineRule="auto"/>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3、本项目为竞争性磋商项目，涉及多轮报价</w:t>
      </w:r>
    </w:p>
    <w:p w14:paraId="59A49A1B">
      <w:pPr>
        <w:shd w:val="clear" w:color="auto" w:fill="auto"/>
        <w:spacing w:line="276" w:lineRule="auto"/>
        <w:ind w:firstLine="480" w:firstLineChars="200"/>
        <w:jc w:val="left"/>
        <w:rPr>
          <w:rFonts w:hint="eastAsia" w:ascii="仿宋" w:hAnsi="仿宋" w:eastAsia="仿宋" w:cs="仿宋"/>
          <w:color w:val="auto"/>
          <w:sz w:val="24"/>
          <w:szCs w:val="24"/>
          <w:highlight w:val="none"/>
        </w:rPr>
      </w:pPr>
    </w:p>
    <w:p w14:paraId="083E8B6C">
      <w:pPr>
        <w:shd w:val="clear" w:color="auto" w:fill="auto"/>
        <w:spacing w:line="276" w:lineRule="auto"/>
        <w:ind w:firstLine="480" w:firstLineChars="200"/>
        <w:jc w:val="left"/>
        <w:rPr>
          <w:rFonts w:hint="eastAsia" w:ascii="仿宋" w:hAnsi="仿宋" w:eastAsia="仿宋" w:cs="仿宋"/>
          <w:color w:val="auto"/>
          <w:sz w:val="24"/>
          <w:szCs w:val="24"/>
          <w:highlight w:val="none"/>
        </w:rPr>
      </w:pPr>
    </w:p>
    <w:p w14:paraId="6C22BBFE">
      <w:pPr>
        <w:shd w:val="clear" w:color="auto" w:fill="auto"/>
        <w:spacing w:line="276" w:lineRule="auto"/>
        <w:ind w:firstLine="480" w:firstLineChars="200"/>
        <w:jc w:val="left"/>
        <w:rPr>
          <w:rFonts w:hint="eastAsia" w:ascii="仿宋" w:hAnsi="仿宋" w:eastAsia="仿宋" w:cs="仿宋"/>
          <w:color w:val="auto"/>
          <w:sz w:val="24"/>
          <w:szCs w:val="24"/>
          <w:highlight w:val="none"/>
        </w:rPr>
      </w:pPr>
    </w:p>
    <w:p w14:paraId="11BFB6BF">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投标人名称：XXXX（单位公章）</w:t>
      </w:r>
    </w:p>
    <w:p w14:paraId="3D8D2EED">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法定代表人/单位负责人或授权代表（签字或加盖个人名章）：XXXX</w:t>
      </w:r>
    </w:p>
    <w:p w14:paraId="7E4746E3">
      <w:pPr>
        <w:shd w:val="clear" w:color="auto" w:fill="auto"/>
        <w:spacing w:line="276"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投标日期：XXXX</w:t>
      </w:r>
    </w:p>
    <w:p w14:paraId="6022A472">
      <w:pPr>
        <w:numPr>
          <w:ilvl w:val="0"/>
          <w:numId w:val="0"/>
        </w:numPr>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bookmarkEnd w:id="74"/>
    <w:bookmarkEnd w:id="75"/>
    <w:bookmarkEnd w:id="76"/>
    <w:bookmarkEnd w:id="77"/>
    <w:p w14:paraId="7C252EFD">
      <w:pPr>
        <w:pStyle w:val="6"/>
        <w:numPr>
          <w:ilvl w:val="0"/>
          <w:numId w:val="0"/>
        </w:numPr>
        <w:bidi w:val="0"/>
        <w:ind w:left="0" w:leftChars="0" w:firstLine="0" w:firstLineChars="0"/>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14、响应/</w:t>
      </w:r>
      <w:r>
        <w:rPr>
          <w:rFonts w:hint="eastAsia" w:ascii="仿宋" w:hAnsi="仿宋" w:eastAsia="仿宋" w:cs="仿宋"/>
          <w:bCs/>
          <w:color w:val="auto"/>
          <w:sz w:val="24"/>
          <w:szCs w:val="24"/>
          <w:highlight w:val="none"/>
          <w:lang w:val="en-US" w:eastAsia="zh-CN"/>
        </w:rPr>
        <w:t>偏离表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690"/>
        <w:gridCol w:w="2263"/>
        <w:gridCol w:w="3924"/>
      </w:tblGrid>
      <w:tr w14:paraId="30C2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7116E8B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691" w:type="dxa"/>
            <w:vAlign w:val="center"/>
          </w:tcPr>
          <w:p w14:paraId="0656031C">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招标条款</w:t>
            </w:r>
          </w:p>
        </w:tc>
        <w:tc>
          <w:tcPr>
            <w:tcW w:w="2264" w:type="dxa"/>
            <w:vAlign w:val="center"/>
          </w:tcPr>
          <w:p w14:paraId="7E01437D">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投标条款</w:t>
            </w:r>
          </w:p>
        </w:tc>
        <w:tc>
          <w:tcPr>
            <w:tcW w:w="3927" w:type="dxa"/>
            <w:vAlign w:val="center"/>
          </w:tcPr>
          <w:p w14:paraId="0BC0F771">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响应情况</w:t>
            </w:r>
          </w:p>
          <w:p w14:paraId="0FF243B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（正偏离或负偏离或无偏离）</w:t>
            </w:r>
          </w:p>
        </w:tc>
      </w:tr>
      <w:tr w14:paraId="5946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4A3FFD39">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691" w:type="dxa"/>
            <w:vAlign w:val="center"/>
          </w:tcPr>
          <w:p w14:paraId="7968563C">
            <w:pPr>
              <w:jc w:val="center"/>
              <w:rPr>
                <w:rFonts w:hint="eastAsia" w:ascii="仿宋" w:hAnsi="仿宋" w:eastAsia="仿宋" w:cs="仿宋"/>
                <w:color w:val="auto"/>
                <w:sz w:val="24"/>
                <w:szCs w:val="24"/>
                <w:highlight w:val="none"/>
                <w:vertAlign w:val="baseline"/>
                <w:lang w:val="en-US" w:eastAsia="zh-CN"/>
              </w:rPr>
            </w:pPr>
          </w:p>
        </w:tc>
        <w:tc>
          <w:tcPr>
            <w:tcW w:w="2264" w:type="dxa"/>
            <w:vAlign w:val="center"/>
          </w:tcPr>
          <w:p w14:paraId="7A0F1E16">
            <w:pPr>
              <w:jc w:val="center"/>
              <w:rPr>
                <w:rFonts w:hint="eastAsia" w:ascii="仿宋" w:hAnsi="仿宋" w:eastAsia="仿宋" w:cs="仿宋"/>
                <w:color w:val="auto"/>
                <w:sz w:val="24"/>
                <w:szCs w:val="24"/>
                <w:highlight w:val="none"/>
                <w:vertAlign w:val="baseline"/>
                <w:lang w:val="en-US" w:eastAsia="zh-CN"/>
              </w:rPr>
            </w:pPr>
          </w:p>
        </w:tc>
        <w:tc>
          <w:tcPr>
            <w:tcW w:w="3927" w:type="dxa"/>
            <w:vAlign w:val="center"/>
          </w:tcPr>
          <w:p w14:paraId="72A88CF0">
            <w:pPr>
              <w:jc w:val="center"/>
              <w:rPr>
                <w:rFonts w:hint="eastAsia" w:ascii="仿宋" w:hAnsi="仿宋" w:eastAsia="仿宋" w:cs="仿宋"/>
                <w:color w:val="auto"/>
                <w:sz w:val="24"/>
                <w:szCs w:val="24"/>
                <w:highlight w:val="none"/>
                <w:vertAlign w:val="baseline"/>
                <w:lang w:val="en-US" w:eastAsia="zh-CN"/>
              </w:rPr>
            </w:pPr>
          </w:p>
        </w:tc>
      </w:tr>
      <w:tr w14:paraId="3B03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3B045AD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1691" w:type="dxa"/>
            <w:vAlign w:val="center"/>
          </w:tcPr>
          <w:p w14:paraId="57C11261">
            <w:pPr>
              <w:jc w:val="center"/>
              <w:rPr>
                <w:rFonts w:hint="eastAsia" w:ascii="仿宋" w:hAnsi="仿宋" w:eastAsia="仿宋" w:cs="仿宋"/>
                <w:color w:val="auto"/>
                <w:sz w:val="24"/>
                <w:szCs w:val="24"/>
                <w:highlight w:val="none"/>
                <w:vertAlign w:val="baseline"/>
                <w:lang w:val="en-US" w:eastAsia="zh-CN"/>
              </w:rPr>
            </w:pPr>
          </w:p>
        </w:tc>
        <w:tc>
          <w:tcPr>
            <w:tcW w:w="2264" w:type="dxa"/>
            <w:vAlign w:val="center"/>
          </w:tcPr>
          <w:p w14:paraId="436C2B3E">
            <w:pPr>
              <w:jc w:val="center"/>
              <w:rPr>
                <w:rFonts w:hint="eastAsia" w:ascii="仿宋" w:hAnsi="仿宋" w:eastAsia="仿宋" w:cs="仿宋"/>
                <w:color w:val="auto"/>
                <w:sz w:val="24"/>
                <w:szCs w:val="24"/>
                <w:highlight w:val="none"/>
                <w:vertAlign w:val="baseline"/>
                <w:lang w:val="en-US" w:eastAsia="zh-CN"/>
              </w:rPr>
            </w:pPr>
          </w:p>
        </w:tc>
        <w:tc>
          <w:tcPr>
            <w:tcW w:w="3927" w:type="dxa"/>
            <w:vAlign w:val="center"/>
          </w:tcPr>
          <w:p w14:paraId="23DBC8EB">
            <w:pPr>
              <w:jc w:val="center"/>
              <w:rPr>
                <w:rFonts w:hint="eastAsia" w:ascii="仿宋" w:hAnsi="仿宋" w:eastAsia="仿宋" w:cs="仿宋"/>
                <w:color w:val="auto"/>
                <w:sz w:val="24"/>
                <w:szCs w:val="24"/>
                <w:highlight w:val="none"/>
                <w:vertAlign w:val="baseline"/>
                <w:lang w:val="en-US" w:eastAsia="zh-CN"/>
              </w:rPr>
            </w:pPr>
          </w:p>
        </w:tc>
      </w:tr>
      <w:tr w14:paraId="02F8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61204A28">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w:t>
            </w:r>
          </w:p>
        </w:tc>
        <w:tc>
          <w:tcPr>
            <w:tcW w:w="1691" w:type="dxa"/>
            <w:vAlign w:val="center"/>
          </w:tcPr>
          <w:p w14:paraId="25151B1C">
            <w:pPr>
              <w:jc w:val="center"/>
              <w:rPr>
                <w:rFonts w:hint="eastAsia" w:ascii="仿宋" w:hAnsi="仿宋" w:eastAsia="仿宋" w:cs="仿宋"/>
                <w:color w:val="auto"/>
                <w:sz w:val="24"/>
                <w:szCs w:val="24"/>
                <w:highlight w:val="none"/>
                <w:vertAlign w:val="baseline"/>
                <w:lang w:val="en-US" w:eastAsia="zh-CN"/>
              </w:rPr>
            </w:pPr>
          </w:p>
        </w:tc>
        <w:tc>
          <w:tcPr>
            <w:tcW w:w="2264" w:type="dxa"/>
            <w:vAlign w:val="center"/>
          </w:tcPr>
          <w:p w14:paraId="4810A430">
            <w:pPr>
              <w:jc w:val="center"/>
              <w:rPr>
                <w:rFonts w:hint="eastAsia" w:ascii="仿宋" w:hAnsi="仿宋" w:eastAsia="仿宋" w:cs="仿宋"/>
                <w:color w:val="auto"/>
                <w:sz w:val="24"/>
                <w:szCs w:val="24"/>
                <w:highlight w:val="none"/>
                <w:vertAlign w:val="baseline"/>
                <w:lang w:val="en-US" w:eastAsia="zh-CN"/>
              </w:rPr>
            </w:pPr>
          </w:p>
        </w:tc>
        <w:tc>
          <w:tcPr>
            <w:tcW w:w="3927" w:type="dxa"/>
            <w:vAlign w:val="center"/>
          </w:tcPr>
          <w:p w14:paraId="614436F7">
            <w:pPr>
              <w:jc w:val="center"/>
              <w:rPr>
                <w:rFonts w:hint="eastAsia" w:ascii="仿宋" w:hAnsi="仿宋" w:eastAsia="仿宋" w:cs="仿宋"/>
                <w:color w:val="auto"/>
                <w:sz w:val="24"/>
                <w:szCs w:val="24"/>
                <w:highlight w:val="none"/>
                <w:vertAlign w:val="baseline"/>
                <w:lang w:val="en-US" w:eastAsia="zh-CN"/>
              </w:rPr>
            </w:pPr>
          </w:p>
        </w:tc>
      </w:tr>
      <w:tr w14:paraId="42D6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37A503A5">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1691" w:type="dxa"/>
            <w:vAlign w:val="center"/>
          </w:tcPr>
          <w:p w14:paraId="146B2567">
            <w:pPr>
              <w:jc w:val="center"/>
              <w:rPr>
                <w:rFonts w:hint="eastAsia" w:ascii="仿宋" w:hAnsi="仿宋" w:eastAsia="仿宋" w:cs="仿宋"/>
                <w:color w:val="auto"/>
                <w:sz w:val="24"/>
                <w:szCs w:val="24"/>
                <w:highlight w:val="none"/>
                <w:vertAlign w:val="baseline"/>
                <w:lang w:val="en-US" w:eastAsia="zh-CN"/>
              </w:rPr>
            </w:pPr>
          </w:p>
        </w:tc>
        <w:tc>
          <w:tcPr>
            <w:tcW w:w="2264" w:type="dxa"/>
            <w:vAlign w:val="center"/>
          </w:tcPr>
          <w:p w14:paraId="1D494D57">
            <w:pPr>
              <w:jc w:val="center"/>
              <w:rPr>
                <w:rFonts w:hint="eastAsia" w:ascii="仿宋" w:hAnsi="仿宋" w:eastAsia="仿宋" w:cs="仿宋"/>
                <w:color w:val="auto"/>
                <w:sz w:val="24"/>
                <w:szCs w:val="24"/>
                <w:highlight w:val="none"/>
                <w:vertAlign w:val="baseline"/>
                <w:lang w:val="en-US" w:eastAsia="zh-CN"/>
              </w:rPr>
            </w:pPr>
          </w:p>
        </w:tc>
        <w:tc>
          <w:tcPr>
            <w:tcW w:w="3927" w:type="dxa"/>
            <w:vAlign w:val="center"/>
          </w:tcPr>
          <w:p w14:paraId="31342C61">
            <w:pPr>
              <w:jc w:val="center"/>
              <w:rPr>
                <w:rFonts w:hint="eastAsia" w:ascii="仿宋" w:hAnsi="仿宋" w:eastAsia="仿宋" w:cs="仿宋"/>
                <w:color w:val="auto"/>
                <w:sz w:val="24"/>
                <w:szCs w:val="24"/>
                <w:highlight w:val="none"/>
                <w:vertAlign w:val="baseline"/>
                <w:lang w:val="en-US" w:eastAsia="zh-CN"/>
              </w:rPr>
            </w:pPr>
          </w:p>
        </w:tc>
      </w:tr>
      <w:tr w14:paraId="47B1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4AEF81DD">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p>
        </w:tc>
        <w:tc>
          <w:tcPr>
            <w:tcW w:w="1691" w:type="dxa"/>
            <w:vAlign w:val="center"/>
          </w:tcPr>
          <w:p w14:paraId="0EDB9C53">
            <w:pPr>
              <w:jc w:val="center"/>
              <w:rPr>
                <w:rFonts w:hint="eastAsia" w:ascii="仿宋" w:hAnsi="仿宋" w:eastAsia="仿宋" w:cs="仿宋"/>
                <w:color w:val="auto"/>
                <w:sz w:val="24"/>
                <w:szCs w:val="24"/>
                <w:highlight w:val="none"/>
                <w:vertAlign w:val="baseline"/>
                <w:lang w:val="en-US" w:eastAsia="zh-CN"/>
              </w:rPr>
            </w:pPr>
          </w:p>
        </w:tc>
        <w:tc>
          <w:tcPr>
            <w:tcW w:w="2264" w:type="dxa"/>
            <w:vAlign w:val="center"/>
          </w:tcPr>
          <w:p w14:paraId="666FB2C2">
            <w:pPr>
              <w:jc w:val="center"/>
              <w:rPr>
                <w:rFonts w:hint="eastAsia" w:ascii="仿宋" w:hAnsi="仿宋" w:eastAsia="仿宋" w:cs="仿宋"/>
                <w:color w:val="auto"/>
                <w:sz w:val="24"/>
                <w:szCs w:val="24"/>
                <w:highlight w:val="none"/>
                <w:vertAlign w:val="baseline"/>
                <w:lang w:val="en-US" w:eastAsia="zh-CN"/>
              </w:rPr>
            </w:pPr>
          </w:p>
        </w:tc>
        <w:tc>
          <w:tcPr>
            <w:tcW w:w="3927" w:type="dxa"/>
            <w:vAlign w:val="center"/>
          </w:tcPr>
          <w:p w14:paraId="1D675D68">
            <w:pPr>
              <w:jc w:val="center"/>
              <w:rPr>
                <w:rFonts w:hint="eastAsia" w:ascii="仿宋" w:hAnsi="仿宋" w:eastAsia="仿宋" w:cs="仿宋"/>
                <w:color w:val="auto"/>
                <w:sz w:val="24"/>
                <w:szCs w:val="24"/>
                <w:highlight w:val="none"/>
                <w:vertAlign w:val="baseline"/>
                <w:lang w:val="en-US" w:eastAsia="zh-CN"/>
              </w:rPr>
            </w:pPr>
          </w:p>
        </w:tc>
      </w:tr>
      <w:tr w14:paraId="163D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4DC78B92">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p>
        </w:tc>
        <w:tc>
          <w:tcPr>
            <w:tcW w:w="1691" w:type="dxa"/>
            <w:vAlign w:val="center"/>
          </w:tcPr>
          <w:p w14:paraId="4A202146">
            <w:pPr>
              <w:jc w:val="center"/>
              <w:rPr>
                <w:rFonts w:hint="eastAsia" w:ascii="仿宋" w:hAnsi="仿宋" w:eastAsia="仿宋" w:cs="仿宋"/>
                <w:color w:val="auto"/>
                <w:sz w:val="24"/>
                <w:szCs w:val="24"/>
                <w:highlight w:val="none"/>
                <w:vertAlign w:val="baseline"/>
                <w:lang w:val="en-US" w:eastAsia="zh-CN"/>
              </w:rPr>
            </w:pPr>
          </w:p>
        </w:tc>
        <w:tc>
          <w:tcPr>
            <w:tcW w:w="2264" w:type="dxa"/>
            <w:vAlign w:val="center"/>
          </w:tcPr>
          <w:p w14:paraId="25950891">
            <w:pPr>
              <w:jc w:val="center"/>
              <w:rPr>
                <w:rFonts w:hint="eastAsia" w:ascii="仿宋" w:hAnsi="仿宋" w:eastAsia="仿宋" w:cs="仿宋"/>
                <w:color w:val="auto"/>
                <w:sz w:val="24"/>
                <w:szCs w:val="24"/>
                <w:highlight w:val="none"/>
                <w:vertAlign w:val="baseline"/>
                <w:lang w:val="en-US" w:eastAsia="zh-CN"/>
              </w:rPr>
            </w:pPr>
          </w:p>
        </w:tc>
        <w:tc>
          <w:tcPr>
            <w:tcW w:w="3927" w:type="dxa"/>
            <w:vAlign w:val="center"/>
          </w:tcPr>
          <w:p w14:paraId="075C3A94">
            <w:pPr>
              <w:jc w:val="center"/>
              <w:rPr>
                <w:rFonts w:hint="eastAsia" w:ascii="仿宋" w:hAnsi="仿宋" w:eastAsia="仿宋" w:cs="仿宋"/>
                <w:color w:val="auto"/>
                <w:sz w:val="24"/>
                <w:szCs w:val="24"/>
                <w:highlight w:val="none"/>
                <w:vertAlign w:val="baseline"/>
                <w:lang w:val="en-US" w:eastAsia="zh-CN"/>
              </w:rPr>
            </w:pPr>
          </w:p>
        </w:tc>
      </w:tr>
    </w:tbl>
    <w:p w14:paraId="47A16E2E">
      <w:pPr>
        <w:rPr>
          <w:rFonts w:hint="eastAsia" w:ascii="仿宋" w:hAnsi="仿宋" w:eastAsia="仿宋" w:cs="仿宋"/>
          <w:color w:val="auto"/>
          <w:highlight w:val="none"/>
          <w:lang w:val="en-US" w:eastAsia="zh-CN"/>
        </w:rPr>
      </w:pPr>
    </w:p>
    <w:p w14:paraId="670E88F6">
      <w:pPr>
        <w:shd w:val="clear" w:color="auto" w:fill="auto"/>
        <w:spacing w:line="5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注：投标人须对第四章所有技术参数条款逐条列明是否响应，如有偏离，须</w:t>
      </w:r>
      <w:r>
        <w:rPr>
          <w:rFonts w:hint="eastAsia" w:ascii="仿宋" w:hAnsi="仿宋" w:eastAsia="仿宋" w:cs="仿宋"/>
          <w:color w:val="auto"/>
          <w:sz w:val="24"/>
          <w:szCs w:val="24"/>
          <w:highlight w:val="none"/>
          <w:lang w:eastAsia="zh-CN"/>
        </w:rPr>
        <w:t>逐一</w:t>
      </w:r>
      <w:r>
        <w:rPr>
          <w:rFonts w:hint="eastAsia" w:ascii="仿宋" w:hAnsi="仿宋" w:eastAsia="仿宋" w:cs="仿宋"/>
          <w:color w:val="auto"/>
          <w:sz w:val="24"/>
          <w:szCs w:val="24"/>
          <w:highlight w:val="none"/>
        </w:rPr>
        <w:t>列明</w:t>
      </w:r>
      <w:r>
        <w:rPr>
          <w:rFonts w:hint="eastAsia" w:ascii="仿宋" w:hAnsi="仿宋" w:eastAsia="仿宋" w:cs="仿宋"/>
          <w:color w:val="auto"/>
          <w:sz w:val="24"/>
          <w:szCs w:val="24"/>
          <w:highlight w:val="none"/>
          <w:lang w:eastAsia="zh-CN"/>
        </w:rPr>
        <w:t>。</w:t>
      </w:r>
    </w:p>
    <w:p w14:paraId="4EDCFA50">
      <w:pPr>
        <w:shd w:val="clear" w:color="auto" w:fill="auto"/>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 XXXX（盖章）</w:t>
      </w:r>
    </w:p>
    <w:p w14:paraId="4FEE4CE0">
      <w:pPr>
        <w:shd w:val="clear" w:color="auto" w:fill="auto"/>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法定代表人/单位负责人或授权代表（签字或加盖个人名章）：XXXX</w:t>
      </w:r>
    </w:p>
    <w:p w14:paraId="12673E1F">
      <w:pPr>
        <w:shd w:val="clear" w:color="auto" w:fill="auto"/>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投标日期: XXXX</w:t>
      </w:r>
    </w:p>
    <w:p w14:paraId="5E22131B">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br w:type="page"/>
      </w:r>
      <w:bookmarkStart w:id="78" w:name="_Toc2970"/>
      <w:bookmarkStart w:id="79" w:name="_Toc472604636"/>
      <w:bookmarkStart w:id="80" w:name="_Toc466298083"/>
      <w:bookmarkStart w:id="81" w:name="_Toc20572"/>
      <w:bookmarkStart w:id="82" w:name="_Toc28141"/>
      <w:bookmarkStart w:id="83" w:name="_Toc465085385"/>
      <w:bookmarkStart w:id="84" w:name="_Toc8502"/>
      <w:bookmarkStart w:id="85" w:name="_Toc18225"/>
    </w:p>
    <w:p w14:paraId="0DE80659">
      <w:pPr>
        <w:pStyle w:val="6"/>
        <w:bidi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、投标人基本情况表</w:t>
      </w:r>
      <w:bookmarkEnd w:id="78"/>
      <w:bookmarkEnd w:id="79"/>
      <w:bookmarkEnd w:id="80"/>
      <w:bookmarkEnd w:id="81"/>
      <w:bookmarkEnd w:id="82"/>
      <w:bookmarkEnd w:id="83"/>
      <w:bookmarkEnd w:id="84"/>
      <w:bookmarkEnd w:id="85"/>
    </w:p>
    <w:tbl>
      <w:tblPr>
        <w:tblStyle w:val="4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901"/>
        <w:gridCol w:w="360"/>
        <w:gridCol w:w="783"/>
        <w:gridCol w:w="1377"/>
        <w:gridCol w:w="63"/>
        <w:gridCol w:w="1377"/>
        <w:gridCol w:w="720"/>
        <w:gridCol w:w="609"/>
        <w:gridCol w:w="1596"/>
      </w:tblGrid>
      <w:tr w14:paraId="0F05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2"/>
            <w:vAlign w:val="center"/>
          </w:tcPr>
          <w:p w14:paraId="7BB3197A">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p>
        </w:tc>
        <w:tc>
          <w:tcPr>
            <w:tcW w:w="3960" w:type="dxa"/>
            <w:gridSpan w:val="5"/>
            <w:vAlign w:val="center"/>
          </w:tcPr>
          <w:p w14:paraId="10C308AD">
            <w:pPr>
              <w:topLinePunct/>
              <w:spacing w:line="440" w:lineRule="exact"/>
              <w:jc w:val="center"/>
              <w:rPr>
                <w:rFonts w:hint="eastAsia" w:ascii="仿宋" w:hAnsi="仿宋" w:eastAsia="仿宋" w:cs="仿宋"/>
                <w:color w:val="auto"/>
                <w:sz w:val="24"/>
                <w:szCs w:val="24"/>
                <w:highlight w:val="none"/>
              </w:rPr>
            </w:pPr>
          </w:p>
        </w:tc>
        <w:tc>
          <w:tcPr>
            <w:tcW w:w="1329" w:type="dxa"/>
            <w:gridSpan w:val="2"/>
            <w:vAlign w:val="center"/>
          </w:tcPr>
          <w:p w14:paraId="538BE8A2">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1596" w:type="dxa"/>
            <w:vAlign w:val="center"/>
          </w:tcPr>
          <w:p w14:paraId="6B5C78D1">
            <w:pPr>
              <w:topLinePunct/>
              <w:spacing w:line="440" w:lineRule="exact"/>
              <w:jc w:val="center"/>
              <w:rPr>
                <w:rFonts w:hint="eastAsia" w:ascii="仿宋" w:hAnsi="仿宋" w:eastAsia="仿宋" w:cs="仿宋"/>
                <w:color w:val="auto"/>
                <w:sz w:val="24"/>
                <w:szCs w:val="24"/>
                <w:highlight w:val="none"/>
              </w:rPr>
            </w:pPr>
          </w:p>
        </w:tc>
      </w:tr>
      <w:tr w14:paraId="5792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2"/>
            <w:vAlign w:val="center"/>
          </w:tcPr>
          <w:p w14:paraId="7BC8B3E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组织机构代码</w:t>
            </w:r>
          </w:p>
        </w:tc>
        <w:tc>
          <w:tcPr>
            <w:tcW w:w="3960" w:type="dxa"/>
            <w:gridSpan w:val="5"/>
            <w:vAlign w:val="center"/>
          </w:tcPr>
          <w:p w14:paraId="761109B3">
            <w:pPr>
              <w:topLinePunct/>
              <w:spacing w:line="440" w:lineRule="exact"/>
              <w:jc w:val="center"/>
              <w:rPr>
                <w:rFonts w:hint="eastAsia" w:ascii="仿宋" w:hAnsi="仿宋" w:eastAsia="仿宋" w:cs="仿宋"/>
                <w:color w:val="auto"/>
                <w:sz w:val="24"/>
                <w:szCs w:val="24"/>
                <w:highlight w:val="none"/>
              </w:rPr>
            </w:pPr>
          </w:p>
        </w:tc>
        <w:tc>
          <w:tcPr>
            <w:tcW w:w="1329" w:type="dxa"/>
            <w:gridSpan w:val="2"/>
            <w:vAlign w:val="center"/>
          </w:tcPr>
          <w:p w14:paraId="6743063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1596" w:type="dxa"/>
            <w:vAlign w:val="center"/>
          </w:tcPr>
          <w:p w14:paraId="27224C75">
            <w:pPr>
              <w:topLinePunct/>
              <w:spacing w:line="440" w:lineRule="exact"/>
              <w:jc w:val="center"/>
              <w:rPr>
                <w:rFonts w:hint="eastAsia" w:ascii="仿宋" w:hAnsi="仿宋" w:eastAsia="仿宋" w:cs="仿宋"/>
                <w:color w:val="auto"/>
                <w:sz w:val="24"/>
                <w:szCs w:val="24"/>
                <w:highlight w:val="none"/>
              </w:rPr>
            </w:pPr>
          </w:p>
        </w:tc>
      </w:tr>
      <w:tr w14:paraId="6A6C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2"/>
            <w:vAlign w:val="center"/>
          </w:tcPr>
          <w:p w14:paraId="6C9F124D">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tc>
        <w:tc>
          <w:tcPr>
            <w:tcW w:w="3960" w:type="dxa"/>
            <w:gridSpan w:val="5"/>
            <w:vAlign w:val="center"/>
          </w:tcPr>
          <w:p w14:paraId="648CD973">
            <w:pPr>
              <w:topLinePunct/>
              <w:spacing w:line="440" w:lineRule="exact"/>
              <w:jc w:val="center"/>
              <w:rPr>
                <w:rFonts w:hint="eastAsia" w:ascii="仿宋" w:hAnsi="仿宋" w:eastAsia="仿宋" w:cs="仿宋"/>
                <w:color w:val="auto"/>
                <w:sz w:val="24"/>
                <w:szCs w:val="24"/>
                <w:highlight w:val="none"/>
              </w:rPr>
            </w:pPr>
          </w:p>
        </w:tc>
        <w:tc>
          <w:tcPr>
            <w:tcW w:w="1329" w:type="dxa"/>
            <w:gridSpan w:val="2"/>
            <w:vAlign w:val="center"/>
          </w:tcPr>
          <w:p w14:paraId="37E0EB0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1596" w:type="dxa"/>
            <w:vAlign w:val="center"/>
          </w:tcPr>
          <w:p w14:paraId="0F2F68C3">
            <w:pPr>
              <w:topLinePunct/>
              <w:spacing w:line="440" w:lineRule="exact"/>
              <w:jc w:val="center"/>
              <w:rPr>
                <w:rFonts w:hint="eastAsia" w:ascii="仿宋" w:hAnsi="仿宋" w:eastAsia="仿宋" w:cs="仿宋"/>
                <w:color w:val="auto"/>
                <w:sz w:val="24"/>
                <w:szCs w:val="24"/>
                <w:highlight w:val="none"/>
              </w:rPr>
            </w:pPr>
          </w:p>
        </w:tc>
      </w:tr>
      <w:tr w14:paraId="784C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2"/>
            <w:vAlign w:val="center"/>
          </w:tcPr>
          <w:p w14:paraId="023C158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上年营业收入</w:t>
            </w:r>
          </w:p>
        </w:tc>
        <w:tc>
          <w:tcPr>
            <w:tcW w:w="3960" w:type="dxa"/>
            <w:gridSpan w:val="5"/>
            <w:vAlign w:val="center"/>
          </w:tcPr>
          <w:p w14:paraId="03312CC6">
            <w:pPr>
              <w:topLinePunct/>
              <w:spacing w:line="440" w:lineRule="exact"/>
              <w:jc w:val="center"/>
              <w:rPr>
                <w:rFonts w:hint="eastAsia" w:ascii="仿宋" w:hAnsi="仿宋" w:eastAsia="仿宋" w:cs="仿宋"/>
                <w:color w:val="auto"/>
                <w:sz w:val="24"/>
                <w:szCs w:val="24"/>
                <w:highlight w:val="none"/>
              </w:rPr>
            </w:pPr>
          </w:p>
        </w:tc>
        <w:tc>
          <w:tcPr>
            <w:tcW w:w="1329" w:type="dxa"/>
            <w:gridSpan w:val="2"/>
            <w:vAlign w:val="center"/>
          </w:tcPr>
          <w:p w14:paraId="5F8AE02E">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员工总人数</w:t>
            </w:r>
          </w:p>
        </w:tc>
        <w:tc>
          <w:tcPr>
            <w:tcW w:w="1596" w:type="dxa"/>
            <w:vAlign w:val="center"/>
          </w:tcPr>
          <w:p w14:paraId="0A1CB832">
            <w:pPr>
              <w:topLinePunct/>
              <w:spacing w:line="440" w:lineRule="exact"/>
              <w:jc w:val="center"/>
              <w:rPr>
                <w:rFonts w:hint="eastAsia" w:ascii="仿宋" w:hAnsi="仿宋" w:eastAsia="仿宋" w:cs="仿宋"/>
                <w:color w:val="auto"/>
                <w:sz w:val="24"/>
                <w:szCs w:val="24"/>
                <w:highlight w:val="none"/>
              </w:rPr>
            </w:pPr>
          </w:p>
        </w:tc>
      </w:tr>
      <w:tr w14:paraId="1118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2"/>
            <w:vAlign w:val="center"/>
          </w:tcPr>
          <w:p w14:paraId="74E645D2">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固定电话</w:t>
            </w:r>
          </w:p>
        </w:tc>
        <w:tc>
          <w:tcPr>
            <w:tcW w:w="3960" w:type="dxa"/>
            <w:gridSpan w:val="5"/>
            <w:vAlign w:val="center"/>
          </w:tcPr>
          <w:p w14:paraId="5943162D">
            <w:pPr>
              <w:topLinePunct/>
              <w:spacing w:line="440" w:lineRule="exact"/>
              <w:jc w:val="center"/>
              <w:rPr>
                <w:rFonts w:hint="eastAsia" w:ascii="仿宋" w:hAnsi="仿宋" w:eastAsia="仿宋" w:cs="仿宋"/>
                <w:color w:val="auto"/>
                <w:sz w:val="24"/>
                <w:szCs w:val="24"/>
                <w:highlight w:val="none"/>
              </w:rPr>
            </w:pPr>
          </w:p>
        </w:tc>
        <w:tc>
          <w:tcPr>
            <w:tcW w:w="1329" w:type="dxa"/>
            <w:gridSpan w:val="2"/>
            <w:vAlign w:val="center"/>
          </w:tcPr>
          <w:p w14:paraId="6E95E9B5">
            <w:pPr>
              <w:topLinePunct/>
              <w:spacing w:line="440" w:lineRule="exact"/>
              <w:jc w:val="center"/>
              <w:rPr>
                <w:rFonts w:hint="eastAsia" w:ascii="仿宋" w:hAnsi="仿宋" w:eastAsia="仿宋" w:cs="仿宋"/>
                <w:color w:val="auto"/>
                <w:sz w:val="24"/>
                <w:szCs w:val="24"/>
                <w:highlight w:val="none"/>
              </w:rPr>
            </w:pPr>
          </w:p>
        </w:tc>
        <w:tc>
          <w:tcPr>
            <w:tcW w:w="1596" w:type="dxa"/>
            <w:vAlign w:val="center"/>
          </w:tcPr>
          <w:p w14:paraId="53C14881">
            <w:pPr>
              <w:topLinePunct/>
              <w:spacing w:line="440" w:lineRule="exact"/>
              <w:jc w:val="center"/>
              <w:rPr>
                <w:rFonts w:hint="eastAsia" w:ascii="仿宋" w:hAnsi="仿宋" w:eastAsia="仿宋" w:cs="仿宋"/>
                <w:color w:val="auto"/>
                <w:sz w:val="24"/>
                <w:szCs w:val="24"/>
                <w:highlight w:val="none"/>
              </w:rPr>
            </w:pPr>
          </w:p>
        </w:tc>
      </w:tr>
      <w:tr w14:paraId="6A25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restart"/>
            <w:vAlign w:val="center"/>
          </w:tcPr>
          <w:p w14:paraId="16D8A80E">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w:t>
            </w:r>
          </w:p>
        </w:tc>
        <w:tc>
          <w:tcPr>
            <w:tcW w:w="2044" w:type="dxa"/>
            <w:gridSpan w:val="3"/>
            <w:vAlign w:val="center"/>
          </w:tcPr>
          <w:p w14:paraId="194C88C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注册号码</w:t>
            </w:r>
          </w:p>
        </w:tc>
        <w:tc>
          <w:tcPr>
            <w:tcW w:w="1440" w:type="dxa"/>
            <w:gridSpan w:val="2"/>
            <w:vAlign w:val="center"/>
          </w:tcPr>
          <w:p w14:paraId="42020D7F">
            <w:pPr>
              <w:topLinePunct/>
              <w:spacing w:line="440" w:lineRule="exact"/>
              <w:jc w:val="center"/>
              <w:rPr>
                <w:rFonts w:hint="eastAsia" w:ascii="仿宋" w:hAnsi="仿宋" w:eastAsia="仿宋" w:cs="仿宋"/>
                <w:color w:val="auto"/>
                <w:sz w:val="24"/>
                <w:szCs w:val="24"/>
                <w:highlight w:val="none"/>
              </w:rPr>
            </w:pPr>
          </w:p>
        </w:tc>
        <w:tc>
          <w:tcPr>
            <w:tcW w:w="1377" w:type="dxa"/>
            <w:vAlign w:val="center"/>
          </w:tcPr>
          <w:p w14:paraId="62B95A0F">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925" w:type="dxa"/>
            <w:gridSpan w:val="3"/>
            <w:vAlign w:val="center"/>
          </w:tcPr>
          <w:p w14:paraId="68D590FB">
            <w:pPr>
              <w:topLinePunct/>
              <w:spacing w:line="440" w:lineRule="exact"/>
              <w:ind w:firstLine="120" w:firstLineChars="50"/>
              <w:jc w:val="center"/>
              <w:rPr>
                <w:rFonts w:hint="eastAsia" w:ascii="仿宋" w:hAnsi="仿宋" w:eastAsia="仿宋" w:cs="仿宋"/>
                <w:color w:val="auto"/>
                <w:sz w:val="24"/>
                <w:szCs w:val="24"/>
                <w:highlight w:val="none"/>
              </w:rPr>
            </w:pPr>
          </w:p>
        </w:tc>
      </w:tr>
      <w:tr w14:paraId="2F51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71E8EF67">
            <w:pPr>
              <w:topLinePunct/>
              <w:spacing w:line="440" w:lineRule="exact"/>
              <w:jc w:val="center"/>
              <w:rPr>
                <w:rFonts w:hint="eastAsia" w:ascii="仿宋" w:hAnsi="仿宋" w:eastAsia="仿宋" w:cs="仿宋"/>
                <w:color w:val="auto"/>
                <w:sz w:val="24"/>
                <w:szCs w:val="24"/>
                <w:highlight w:val="none"/>
              </w:rPr>
            </w:pPr>
          </w:p>
        </w:tc>
        <w:tc>
          <w:tcPr>
            <w:tcW w:w="2044" w:type="dxa"/>
            <w:gridSpan w:val="3"/>
            <w:vAlign w:val="center"/>
          </w:tcPr>
          <w:p w14:paraId="194E2E4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发证机关</w:t>
            </w:r>
          </w:p>
        </w:tc>
        <w:tc>
          <w:tcPr>
            <w:tcW w:w="1440" w:type="dxa"/>
            <w:gridSpan w:val="2"/>
            <w:vAlign w:val="center"/>
          </w:tcPr>
          <w:p w14:paraId="76BE0590">
            <w:pPr>
              <w:topLinePunct/>
              <w:spacing w:line="440" w:lineRule="exact"/>
              <w:jc w:val="center"/>
              <w:rPr>
                <w:rFonts w:hint="eastAsia" w:ascii="仿宋" w:hAnsi="仿宋" w:eastAsia="仿宋" w:cs="仿宋"/>
                <w:color w:val="auto"/>
                <w:sz w:val="24"/>
                <w:szCs w:val="24"/>
                <w:highlight w:val="none"/>
              </w:rPr>
            </w:pPr>
          </w:p>
        </w:tc>
        <w:tc>
          <w:tcPr>
            <w:tcW w:w="1377" w:type="dxa"/>
            <w:vAlign w:val="center"/>
          </w:tcPr>
          <w:p w14:paraId="5CB90F10">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发证日期</w:t>
            </w:r>
          </w:p>
        </w:tc>
        <w:tc>
          <w:tcPr>
            <w:tcW w:w="2925" w:type="dxa"/>
            <w:gridSpan w:val="3"/>
            <w:vAlign w:val="center"/>
          </w:tcPr>
          <w:p w14:paraId="0C432ADD">
            <w:pPr>
              <w:topLinePunct/>
              <w:spacing w:line="440" w:lineRule="exact"/>
              <w:ind w:firstLine="120" w:firstLineChars="50"/>
              <w:jc w:val="center"/>
              <w:rPr>
                <w:rFonts w:hint="eastAsia" w:ascii="仿宋" w:hAnsi="仿宋" w:eastAsia="仿宋" w:cs="仿宋"/>
                <w:color w:val="auto"/>
                <w:sz w:val="24"/>
                <w:szCs w:val="24"/>
                <w:highlight w:val="none"/>
              </w:rPr>
            </w:pPr>
          </w:p>
        </w:tc>
      </w:tr>
      <w:tr w14:paraId="1BFF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3D3BCD39">
            <w:pPr>
              <w:topLinePunct/>
              <w:spacing w:line="440" w:lineRule="exact"/>
              <w:jc w:val="center"/>
              <w:rPr>
                <w:rFonts w:hint="eastAsia" w:ascii="仿宋" w:hAnsi="仿宋" w:eastAsia="仿宋" w:cs="仿宋"/>
                <w:color w:val="auto"/>
                <w:sz w:val="24"/>
                <w:szCs w:val="24"/>
                <w:highlight w:val="none"/>
              </w:rPr>
            </w:pPr>
          </w:p>
        </w:tc>
        <w:tc>
          <w:tcPr>
            <w:tcW w:w="2044" w:type="dxa"/>
            <w:gridSpan w:val="3"/>
            <w:vAlign w:val="center"/>
          </w:tcPr>
          <w:p w14:paraId="01AA01B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营业范围（主营）</w:t>
            </w:r>
          </w:p>
        </w:tc>
        <w:tc>
          <w:tcPr>
            <w:tcW w:w="5742" w:type="dxa"/>
            <w:gridSpan w:val="6"/>
            <w:vAlign w:val="center"/>
          </w:tcPr>
          <w:p w14:paraId="5BC7DFCB">
            <w:pPr>
              <w:topLinePunct/>
              <w:spacing w:line="440" w:lineRule="exact"/>
              <w:ind w:firstLine="120" w:firstLineChars="50"/>
              <w:jc w:val="center"/>
              <w:rPr>
                <w:rFonts w:hint="eastAsia" w:ascii="仿宋" w:hAnsi="仿宋" w:eastAsia="仿宋" w:cs="仿宋"/>
                <w:color w:val="auto"/>
                <w:sz w:val="24"/>
                <w:szCs w:val="24"/>
                <w:highlight w:val="none"/>
              </w:rPr>
            </w:pPr>
          </w:p>
        </w:tc>
      </w:tr>
      <w:tr w14:paraId="4E01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3C475A2C">
            <w:pPr>
              <w:topLinePunct/>
              <w:spacing w:line="440" w:lineRule="exact"/>
              <w:jc w:val="center"/>
              <w:rPr>
                <w:rFonts w:hint="eastAsia" w:ascii="仿宋" w:hAnsi="仿宋" w:eastAsia="仿宋" w:cs="仿宋"/>
                <w:color w:val="auto"/>
                <w:sz w:val="24"/>
                <w:szCs w:val="24"/>
                <w:highlight w:val="none"/>
              </w:rPr>
            </w:pPr>
          </w:p>
        </w:tc>
        <w:tc>
          <w:tcPr>
            <w:tcW w:w="2044" w:type="dxa"/>
            <w:gridSpan w:val="3"/>
            <w:vAlign w:val="center"/>
          </w:tcPr>
          <w:p w14:paraId="765FAB74">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营业范围（兼营）</w:t>
            </w:r>
          </w:p>
        </w:tc>
        <w:tc>
          <w:tcPr>
            <w:tcW w:w="5742" w:type="dxa"/>
            <w:gridSpan w:val="6"/>
            <w:vAlign w:val="center"/>
          </w:tcPr>
          <w:p w14:paraId="46D3501E">
            <w:pPr>
              <w:topLinePunct/>
              <w:spacing w:line="440" w:lineRule="exact"/>
              <w:ind w:firstLine="120" w:firstLineChars="50"/>
              <w:jc w:val="center"/>
              <w:rPr>
                <w:rFonts w:hint="eastAsia" w:ascii="仿宋" w:hAnsi="仿宋" w:eastAsia="仿宋" w:cs="仿宋"/>
                <w:color w:val="auto"/>
                <w:sz w:val="24"/>
                <w:szCs w:val="24"/>
                <w:highlight w:val="none"/>
              </w:rPr>
            </w:pPr>
          </w:p>
        </w:tc>
      </w:tr>
      <w:tr w14:paraId="6DAE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4"/>
            <w:vAlign w:val="center"/>
          </w:tcPr>
          <w:p w14:paraId="3D39C1C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基本账户开户行及帐号</w:t>
            </w:r>
          </w:p>
        </w:tc>
        <w:tc>
          <w:tcPr>
            <w:tcW w:w="5742" w:type="dxa"/>
            <w:gridSpan w:val="6"/>
            <w:vAlign w:val="center"/>
          </w:tcPr>
          <w:p w14:paraId="556FDB42">
            <w:pPr>
              <w:topLinePunct/>
              <w:spacing w:line="440" w:lineRule="exact"/>
              <w:jc w:val="center"/>
              <w:rPr>
                <w:rFonts w:hint="eastAsia" w:ascii="仿宋" w:hAnsi="仿宋" w:eastAsia="仿宋" w:cs="仿宋"/>
                <w:color w:val="auto"/>
                <w:sz w:val="24"/>
                <w:szCs w:val="24"/>
                <w:highlight w:val="none"/>
              </w:rPr>
            </w:pPr>
          </w:p>
        </w:tc>
      </w:tr>
      <w:tr w14:paraId="24B8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4"/>
            <w:vAlign w:val="center"/>
          </w:tcPr>
          <w:p w14:paraId="343E9241">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税务登记机关</w:t>
            </w:r>
          </w:p>
        </w:tc>
        <w:tc>
          <w:tcPr>
            <w:tcW w:w="5742" w:type="dxa"/>
            <w:gridSpan w:val="6"/>
            <w:vAlign w:val="center"/>
          </w:tcPr>
          <w:p w14:paraId="5267AC57">
            <w:pPr>
              <w:topLinePunct/>
              <w:spacing w:line="440" w:lineRule="exact"/>
              <w:jc w:val="center"/>
              <w:rPr>
                <w:rFonts w:hint="eastAsia" w:ascii="仿宋" w:hAnsi="仿宋" w:eastAsia="仿宋" w:cs="仿宋"/>
                <w:color w:val="auto"/>
                <w:sz w:val="24"/>
                <w:szCs w:val="24"/>
                <w:highlight w:val="none"/>
              </w:rPr>
            </w:pPr>
          </w:p>
        </w:tc>
      </w:tr>
      <w:tr w14:paraId="5A53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5" w:type="dxa"/>
            <w:gridSpan w:val="10"/>
            <w:vAlign w:val="center"/>
          </w:tcPr>
          <w:p w14:paraId="5A0AC7B9">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资质能力</w:t>
            </w:r>
          </w:p>
        </w:tc>
      </w:tr>
      <w:tr w14:paraId="7483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3"/>
            <w:vAlign w:val="center"/>
          </w:tcPr>
          <w:p w14:paraId="01A2FD3A">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资质名称</w:t>
            </w:r>
          </w:p>
        </w:tc>
        <w:tc>
          <w:tcPr>
            <w:tcW w:w="2160" w:type="dxa"/>
            <w:gridSpan w:val="2"/>
            <w:vAlign w:val="center"/>
          </w:tcPr>
          <w:p w14:paraId="4106B20E">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等级</w:t>
            </w:r>
          </w:p>
        </w:tc>
        <w:tc>
          <w:tcPr>
            <w:tcW w:w="2160" w:type="dxa"/>
            <w:gridSpan w:val="3"/>
            <w:vAlign w:val="center"/>
          </w:tcPr>
          <w:p w14:paraId="7C6FAADD">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发证机关</w:t>
            </w:r>
          </w:p>
        </w:tc>
        <w:tc>
          <w:tcPr>
            <w:tcW w:w="2205" w:type="dxa"/>
            <w:gridSpan w:val="2"/>
            <w:vAlign w:val="center"/>
          </w:tcPr>
          <w:p w14:paraId="3C083BBF">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有效期</w:t>
            </w:r>
          </w:p>
        </w:tc>
      </w:tr>
      <w:tr w14:paraId="6A53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3"/>
            <w:vAlign w:val="center"/>
          </w:tcPr>
          <w:p w14:paraId="452E056E">
            <w:pPr>
              <w:topLinePunct/>
              <w:spacing w:line="440" w:lineRule="exact"/>
              <w:jc w:val="center"/>
              <w:rPr>
                <w:rFonts w:hint="eastAsia" w:ascii="仿宋" w:hAnsi="仿宋" w:eastAsia="仿宋" w:cs="仿宋"/>
                <w:color w:val="auto"/>
                <w:sz w:val="24"/>
                <w:szCs w:val="24"/>
                <w:highlight w:val="none"/>
              </w:rPr>
            </w:pPr>
          </w:p>
        </w:tc>
        <w:tc>
          <w:tcPr>
            <w:tcW w:w="2160" w:type="dxa"/>
            <w:gridSpan w:val="2"/>
            <w:vAlign w:val="center"/>
          </w:tcPr>
          <w:p w14:paraId="4CB4C7BD">
            <w:pPr>
              <w:topLinePunct/>
              <w:spacing w:line="440" w:lineRule="exact"/>
              <w:jc w:val="center"/>
              <w:rPr>
                <w:rFonts w:hint="eastAsia" w:ascii="仿宋" w:hAnsi="仿宋" w:eastAsia="仿宋" w:cs="仿宋"/>
                <w:color w:val="auto"/>
                <w:sz w:val="24"/>
                <w:szCs w:val="24"/>
                <w:highlight w:val="none"/>
              </w:rPr>
            </w:pPr>
          </w:p>
        </w:tc>
        <w:tc>
          <w:tcPr>
            <w:tcW w:w="2160" w:type="dxa"/>
            <w:gridSpan w:val="3"/>
            <w:vAlign w:val="center"/>
          </w:tcPr>
          <w:p w14:paraId="3AB21D38">
            <w:pPr>
              <w:topLinePunct/>
              <w:spacing w:line="440" w:lineRule="exact"/>
              <w:jc w:val="center"/>
              <w:rPr>
                <w:rFonts w:hint="eastAsia" w:ascii="仿宋" w:hAnsi="仿宋" w:eastAsia="仿宋" w:cs="仿宋"/>
                <w:color w:val="auto"/>
                <w:sz w:val="24"/>
                <w:szCs w:val="24"/>
                <w:highlight w:val="none"/>
              </w:rPr>
            </w:pPr>
          </w:p>
        </w:tc>
        <w:tc>
          <w:tcPr>
            <w:tcW w:w="2205" w:type="dxa"/>
            <w:gridSpan w:val="2"/>
            <w:vAlign w:val="center"/>
          </w:tcPr>
          <w:p w14:paraId="0700049D">
            <w:pPr>
              <w:topLinePunct/>
              <w:spacing w:line="440" w:lineRule="exact"/>
              <w:jc w:val="center"/>
              <w:rPr>
                <w:rFonts w:hint="eastAsia" w:ascii="仿宋" w:hAnsi="仿宋" w:eastAsia="仿宋" w:cs="仿宋"/>
                <w:color w:val="auto"/>
                <w:sz w:val="24"/>
                <w:szCs w:val="24"/>
                <w:highlight w:val="none"/>
              </w:rPr>
            </w:pPr>
          </w:p>
        </w:tc>
      </w:tr>
      <w:tr w14:paraId="7A50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3"/>
            <w:vAlign w:val="center"/>
          </w:tcPr>
          <w:p w14:paraId="4869FC98">
            <w:pPr>
              <w:topLinePunct/>
              <w:spacing w:line="440" w:lineRule="exact"/>
              <w:jc w:val="center"/>
              <w:rPr>
                <w:rFonts w:hint="eastAsia" w:ascii="仿宋" w:hAnsi="仿宋" w:eastAsia="仿宋" w:cs="仿宋"/>
                <w:color w:val="auto"/>
                <w:sz w:val="24"/>
                <w:szCs w:val="24"/>
                <w:highlight w:val="none"/>
              </w:rPr>
            </w:pPr>
          </w:p>
        </w:tc>
        <w:tc>
          <w:tcPr>
            <w:tcW w:w="2160" w:type="dxa"/>
            <w:gridSpan w:val="2"/>
            <w:vAlign w:val="center"/>
          </w:tcPr>
          <w:p w14:paraId="1526AE85">
            <w:pPr>
              <w:topLinePunct/>
              <w:spacing w:line="440" w:lineRule="exact"/>
              <w:jc w:val="center"/>
              <w:rPr>
                <w:rFonts w:hint="eastAsia" w:ascii="仿宋" w:hAnsi="仿宋" w:eastAsia="仿宋" w:cs="仿宋"/>
                <w:color w:val="auto"/>
                <w:sz w:val="24"/>
                <w:szCs w:val="24"/>
                <w:highlight w:val="none"/>
              </w:rPr>
            </w:pPr>
          </w:p>
        </w:tc>
        <w:tc>
          <w:tcPr>
            <w:tcW w:w="2160" w:type="dxa"/>
            <w:gridSpan w:val="3"/>
            <w:vAlign w:val="center"/>
          </w:tcPr>
          <w:p w14:paraId="78BD829C">
            <w:pPr>
              <w:topLinePunct/>
              <w:spacing w:line="440" w:lineRule="exact"/>
              <w:jc w:val="center"/>
              <w:rPr>
                <w:rFonts w:hint="eastAsia" w:ascii="仿宋" w:hAnsi="仿宋" w:eastAsia="仿宋" w:cs="仿宋"/>
                <w:color w:val="auto"/>
                <w:sz w:val="24"/>
                <w:szCs w:val="24"/>
                <w:highlight w:val="none"/>
              </w:rPr>
            </w:pPr>
          </w:p>
        </w:tc>
        <w:tc>
          <w:tcPr>
            <w:tcW w:w="2205" w:type="dxa"/>
            <w:gridSpan w:val="2"/>
            <w:vAlign w:val="center"/>
          </w:tcPr>
          <w:p w14:paraId="74D3FE42">
            <w:pPr>
              <w:topLinePunct/>
              <w:spacing w:line="440" w:lineRule="exact"/>
              <w:jc w:val="center"/>
              <w:rPr>
                <w:rFonts w:hint="eastAsia" w:ascii="仿宋" w:hAnsi="仿宋" w:eastAsia="仿宋" w:cs="仿宋"/>
                <w:color w:val="auto"/>
                <w:sz w:val="24"/>
                <w:szCs w:val="24"/>
                <w:highlight w:val="none"/>
              </w:rPr>
            </w:pPr>
          </w:p>
        </w:tc>
      </w:tr>
    </w:tbl>
    <w:p w14:paraId="0CDEF86D">
      <w:pPr>
        <w:shd w:val="clear" w:color="auto" w:fill="auto"/>
        <w:rPr>
          <w:rFonts w:hint="eastAsia" w:ascii="仿宋" w:hAnsi="仿宋" w:eastAsia="仿宋" w:cs="仿宋"/>
          <w:color w:val="auto"/>
          <w:sz w:val="24"/>
          <w:szCs w:val="24"/>
          <w:highlight w:val="none"/>
        </w:rPr>
      </w:pPr>
    </w:p>
    <w:p w14:paraId="460A47A5">
      <w:pPr>
        <w:shd w:val="clear" w:color="auto" w:fill="auto"/>
        <w:adjustRightInd w:val="0"/>
        <w:spacing w:line="400" w:lineRule="exact"/>
        <w:ind w:firstLine="420" w:firstLineChars="175"/>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投标人名称：</w:t>
      </w:r>
      <w:r>
        <w:rPr>
          <w:rFonts w:hint="eastAsia" w:ascii="仿宋" w:hAnsi="仿宋" w:eastAsia="仿宋" w:cs="仿宋"/>
          <w:color w:val="auto"/>
          <w:sz w:val="24"/>
          <w:szCs w:val="24"/>
          <w:highlight w:val="none"/>
        </w:rPr>
        <w:t>XXXX</w:t>
      </w:r>
      <w:r>
        <w:rPr>
          <w:rFonts w:hint="eastAsia" w:ascii="仿宋" w:hAnsi="仿宋" w:eastAsia="仿宋" w:cs="仿宋"/>
          <w:bCs/>
          <w:color w:val="auto"/>
          <w:sz w:val="24"/>
          <w:szCs w:val="24"/>
          <w:highlight w:val="none"/>
        </w:rPr>
        <w:t>（盖章）</w:t>
      </w:r>
    </w:p>
    <w:p w14:paraId="48870551">
      <w:pPr>
        <w:shd w:val="clear" w:color="auto" w:fill="auto"/>
        <w:adjustRightInd w:val="0"/>
        <w:spacing w:line="400" w:lineRule="exact"/>
        <w:ind w:firstLine="420" w:firstLineChars="175"/>
        <w:jc w:val="lef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法定代表人/单位负责人或授权代表（签字或加盖个人名章）</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XXXX</w:t>
      </w:r>
    </w:p>
    <w:p w14:paraId="3E03BC93">
      <w:pPr>
        <w:shd w:val="clear" w:color="auto" w:fill="auto"/>
        <w:adjustRightInd w:val="0"/>
        <w:spacing w:line="400" w:lineRule="exact"/>
        <w:ind w:firstLine="420" w:firstLineChars="175"/>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投标日期:</w:t>
      </w:r>
      <w:r>
        <w:rPr>
          <w:rFonts w:hint="eastAsia" w:ascii="仿宋" w:hAnsi="仿宋" w:eastAsia="仿宋" w:cs="仿宋"/>
          <w:color w:val="auto"/>
          <w:sz w:val="24"/>
          <w:szCs w:val="24"/>
          <w:highlight w:val="none"/>
        </w:rPr>
        <w:t xml:space="preserve"> XXXX</w:t>
      </w:r>
    </w:p>
    <w:p w14:paraId="677F1760">
      <w:pPr>
        <w:shd w:val="clear" w:color="auto" w:fill="auto"/>
        <w:adjustRightInd w:val="0"/>
        <w:spacing w:line="400" w:lineRule="exact"/>
        <w:ind w:firstLine="420" w:firstLineChars="175"/>
        <w:jc w:val="lef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br w:type="page"/>
      </w:r>
    </w:p>
    <w:p w14:paraId="73F92A08">
      <w:pPr>
        <w:pStyle w:val="6"/>
        <w:bidi w:val="0"/>
        <w:jc w:val="center"/>
        <w:rPr>
          <w:rFonts w:hint="eastAsia" w:ascii="仿宋" w:hAnsi="仿宋" w:eastAsia="仿宋" w:cs="仿宋"/>
          <w:color w:val="auto"/>
          <w:sz w:val="24"/>
          <w:szCs w:val="24"/>
          <w:highlight w:val="none"/>
        </w:rPr>
      </w:pPr>
      <w:bookmarkStart w:id="86" w:name="_Toc466298084"/>
      <w:bookmarkStart w:id="87" w:name="_Toc2385"/>
      <w:bookmarkStart w:id="88" w:name="_Toc465085386"/>
      <w:bookmarkStart w:id="89" w:name="_Toc472604637"/>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、类似项目业绩一览表</w:t>
      </w:r>
      <w:bookmarkEnd w:id="86"/>
      <w:bookmarkEnd w:id="87"/>
      <w:bookmarkEnd w:id="88"/>
      <w:bookmarkEnd w:id="89"/>
    </w:p>
    <w:p w14:paraId="7BBC4694">
      <w:pPr>
        <w:pStyle w:val="297"/>
        <w:shd w:val="clear" w:color="auto" w:fill="auto"/>
        <w:rPr>
          <w:rFonts w:hint="eastAsia" w:ascii="仿宋" w:hAnsi="仿宋" w:eastAsia="仿宋" w:cs="仿宋"/>
          <w:color w:val="auto"/>
          <w:sz w:val="24"/>
          <w:szCs w:val="24"/>
          <w:highlight w:val="none"/>
        </w:rPr>
      </w:pPr>
    </w:p>
    <w:tbl>
      <w:tblPr>
        <w:tblStyle w:val="47"/>
        <w:tblW w:w="917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314"/>
        <w:gridCol w:w="1314"/>
        <w:gridCol w:w="1440"/>
        <w:gridCol w:w="2120"/>
        <w:gridCol w:w="2120"/>
        <w:gridCol w:w="871"/>
      </w:tblGrid>
      <w:tr w14:paraId="4A488C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14" w:type="dxa"/>
            <w:tcBorders>
              <w:top w:val="single" w:color="auto" w:sz="4" w:space="0"/>
            </w:tcBorders>
            <w:noWrap w:val="0"/>
            <w:vAlign w:val="center"/>
          </w:tcPr>
          <w:p w14:paraId="176FA373">
            <w:pPr>
              <w:spacing w:line="400" w:lineRule="exact"/>
              <w:ind w:firstLine="120" w:firstLineChars="5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序号</w:t>
            </w:r>
          </w:p>
        </w:tc>
        <w:tc>
          <w:tcPr>
            <w:tcW w:w="1314" w:type="dxa"/>
            <w:tcBorders>
              <w:top w:val="single" w:color="auto" w:sz="4" w:space="0"/>
            </w:tcBorders>
            <w:noWrap w:val="0"/>
            <w:vAlign w:val="center"/>
          </w:tcPr>
          <w:p w14:paraId="1CEE1739">
            <w:pPr>
              <w:spacing w:line="400" w:lineRule="exact"/>
              <w:ind w:firstLine="120" w:firstLineChars="5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甲方名称</w:t>
            </w:r>
          </w:p>
        </w:tc>
        <w:tc>
          <w:tcPr>
            <w:tcW w:w="1440" w:type="dxa"/>
            <w:noWrap w:val="0"/>
            <w:vAlign w:val="center"/>
          </w:tcPr>
          <w:p w14:paraId="6BBAE042">
            <w:pPr>
              <w:spacing w:line="4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项目名称</w:t>
            </w:r>
          </w:p>
        </w:tc>
        <w:tc>
          <w:tcPr>
            <w:tcW w:w="2120" w:type="dxa"/>
            <w:noWrap w:val="0"/>
            <w:vAlign w:val="center"/>
          </w:tcPr>
          <w:p w14:paraId="56E63D98">
            <w:pPr>
              <w:spacing w:line="400" w:lineRule="exact"/>
              <w:ind w:firstLine="120" w:firstLineChars="5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工作内容</w:t>
            </w:r>
          </w:p>
        </w:tc>
        <w:tc>
          <w:tcPr>
            <w:tcW w:w="2120" w:type="dxa"/>
            <w:noWrap w:val="0"/>
            <w:vAlign w:val="center"/>
          </w:tcPr>
          <w:p w14:paraId="35436978">
            <w:pPr>
              <w:spacing w:line="400" w:lineRule="exact"/>
              <w:ind w:firstLine="120" w:firstLineChars="5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时间</w:t>
            </w:r>
          </w:p>
          <w:p w14:paraId="66890383">
            <w:pPr>
              <w:spacing w:line="400" w:lineRule="exact"/>
              <w:ind w:firstLine="120" w:firstLineChars="5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（年月）</w:t>
            </w:r>
          </w:p>
        </w:tc>
        <w:tc>
          <w:tcPr>
            <w:tcW w:w="871" w:type="dxa"/>
            <w:tcBorders>
              <w:left w:val="single" w:color="auto" w:sz="4" w:space="0"/>
            </w:tcBorders>
            <w:noWrap w:val="0"/>
            <w:vAlign w:val="center"/>
          </w:tcPr>
          <w:p w14:paraId="3CDF1BC5">
            <w:pPr>
              <w:spacing w:line="4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备注</w:t>
            </w:r>
          </w:p>
        </w:tc>
      </w:tr>
      <w:tr w14:paraId="2377B6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14" w:type="dxa"/>
            <w:noWrap w:val="0"/>
            <w:vAlign w:val="center"/>
          </w:tcPr>
          <w:p w14:paraId="73BD2F61">
            <w:pPr>
              <w:spacing w:line="400" w:lineRule="exact"/>
              <w:jc w:val="center"/>
              <w:rPr>
                <w:rFonts w:hint="eastAsia" w:ascii="仿宋" w:hAnsi="仿宋" w:eastAsia="仿宋" w:cs="仿宋"/>
                <w:color w:val="auto"/>
                <w:sz w:val="24"/>
                <w:szCs w:val="24"/>
                <w:highlight w:val="none"/>
              </w:rPr>
            </w:pPr>
          </w:p>
        </w:tc>
        <w:tc>
          <w:tcPr>
            <w:tcW w:w="1314" w:type="dxa"/>
            <w:noWrap w:val="0"/>
            <w:vAlign w:val="center"/>
          </w:tcPr>
          <w:p w14:paraId="4B5F3911">
            <w:pPr>
              <w:spacing w:line="400" w:lineRule="exact"/>
              <w:jc w:val="center"/>
              <w:rPr>
                <w:rFonts w:hint="eastAsia" w:ascii="仿宋" w:hAnsi="仿宋" w:eastAsia="仿宋" w:cs="仿宋"/>
                <w:color w:val="auto"/>
                <w:sz w:val="24"/>
                <w:szCs w:val="24"/>
                <w:highlight w:val="none"/>
              </w:rPr>
            </w:pPr>
          </w:p>
        </w:tc>
        <w:tc>
          <w:tcPr>
            <w:tcW w:w="1440" w:type="dxa"/>
            <w:noWrap w:val="0"/>
            <w:vAlign w:val="center"/>
          </w:tcPr>
          <w:p w14:paraId="238B3C8A">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0CABD270">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0D33B0BA">
            <w:pPr>
              <w:spacing w:line="400" w:lineRule="exact"/>
              <w:jc w:val="center"/>
              <w:rPr>
                <w:rFonts w:hint="eastAsia" w:ascii="仿宋" w:hAnsi="仿宋" w:eastAsia="仿宋" w:cs="仿宋"/>
                <w:color w:val="auto"/>
                <w:sz w:val="24"/>
                <w:szCs w:val="24"/>
                <w:highlight w:val="none"/>
              </w:rPr>
            </w:pPr>
          </w:p>
        </w:tc>
        <w:tc>
          <w:tcPr>
            <w:tcW w:w="871" w:type="dxa"/>
            <w:tcBorders>
              <w:left w:val="single" w:color="auto" w:sz="4" w:space="0"/>
            </w:tcBorders>
            <w:noWrap w:val="0"/>
            <w:vAlign w:val="center"/>
          </w:tcPr>
          <w:p w14:paraId="23E4B4AE">
            <w:pPr>
              <w:spacing w:line="400" w:lineRule="exact"/>
              <w:jc w:val="center"/>
              <w:rPr>
                <w:rFonts w:hint="eastAsia" w:ascii="仿宋" w:hAnsi="仿宋" w:eastAsia="仿宋" w:cs="仿宋"/>
                <w:color w:val="auto"/>
                <w:sz w:val="24"/>
                <w:szCs w:val="24"/>
                <w:highlight w:val="none"/>
              </w:rPr>
            </w:pPr>
          </w:p>
        </w:tc>
      </w:tr>
      <w:tr w14:paraId="290980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14" w:type="dxa"/>
            <w:noWrap w:val="0"/>
            <w:vAlign w:val="center"/>
          </w:tcPr>
          <w:p w14:paraId="59902C3B">
            <w:pPr>
              <w:spacing w:line="400" w:lineRule="exact"/>
              <w:jc w:val="center"/>
              <w:rPr>
                <w:rFonts w:hint="eastAsia" w:ascii="仿宋" w:hAnsi="仿宋" w:eastAsia="仿宋" w:cs="仿宋"/>
                <w:color w:val="auto"/>
                <w:sz w:val="24"/>
                <w:szCs w:val="24"/>
                <w:highlight w:val="none"/>
              </w:rPr>
            </w:pPr>
          </w:p>
        </w:tc>
        <w:tc>
          <w:tcPr>
            <w:tcW w:w="1314" w:type="dxa"/>
            <w:noWrap w:val="0"/>
            <w:vAlign w:val="center"/>
          </w:tcPr>
          <w:p w14:paraId="2DA217DE">
            <w:pPr>
              <w:spacing w:line="400" w:lineRule="exact"/>
              <w:jc w:val="center"/>
              <w:rPr>
                <w:rFonts w:hint="eastAsia" w:ascii="仿宋" w:hAnsi="仿宋" w:eastAsia="仿宋" w:cs="仿宋"/>
                <w:color w:val="auto"/>
                <w:sz w:val="24"/>
                <w:szCs w:val="24"/>
                <w:highlight w:val="none"/>
              </w:rPr>
            </w:pPr>
          </w:p>
        </w:tc>
        <w:tc>
          <w:tcPr>
            <w:tcW w:w="1440" w:type="dxa"/>
            <w:noWrap w:val="0"/>
            <w:vAlign w:val="center"/>
          </w:tcPr>
          <w:p w14:paraId="4144E3E7">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36FAD61C">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0620FA23">
            <w:pPr>
              <w:spacing w:line="400" w:lineRule="exact"/>
              <w:jc w:val="center"/>
              <w:rPr>
                <w:rFonts w:hint="eastAsia" w:ascii="仿宋" w:hAnsi="仿宋" w:eastAsia="仿宋" w:cs="仿宋"/>
                <w:color w:val="auto"/>
                <w:sz w:val="24"/>
                <w:szCs w:val="24"/>
                <w:highlight w:val="none"/>
              </w:rPr>
            </w:pPr>
          </w:p>
        </w:tc>
        <w:tc>
          <w:tcPr>
            <w:tcW w:w="871" w:type="dxa"/>
            <w:tcBorders>
              <w:left w:val="single" w:color="auto" w:sz="4" w:space="0"/>
            </w:tcBorders>
            <w:noWrap w:val="0"/>
            <w:vAlign w:val="center"/>
          </w:tcPr>
          <w:p w14:paraId="12D64A2D">
            <w:pPr>
              <w:spacing w:line="400" w:lineRule="exact"/>
              <w:jc w:val="center"/>
              <w:rPr>
                <w:rFonts w:hint="eastAsia" w:ascii="仿宋" w:hAnsi="仿宋" w:eastAsia="仿宋" w:cs="仿宋"/>
                <w:color w:val="auto"/>
                <w:sz w:val="24"/>
                <w:szCs w:val="24"/>
                <w:highlight w:val="none"/>
              </w:rPr>
            </w:pPr>
          </w:p>
        </w:tc>
      </w:tr>
      <w:tr w14:paraId="6729A6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14" w:type="dxa"/>
            <w:noWrap w:val="0"/>
            <w:vAlign w:val="center"/>
          </w:tcPr>
          <w:p w14:paraId="2422852C">
            <w:pPr>
              <w:spacing w:line="400" w:lineRule="exact"/>
              <w:jc w:val="center"/>
              <w:rPr>
                <w:rFonts w:hint="eastAsia" w:ascii="仿宋" w:hAnsi="仿宋" w:eastAsia="仿宋" w:cs="仿宋"/>
                <w:color w:val="auto"/>
                <w:sz w:val="24"/>
                <w:szCs w:val="24"/>
                <w:highlight w:val="none"/>
              </w:rPr>
            </w:pPr>
          </w:p>
        </w:tc>
        <w:tc>
          <w:tcPr>
            <w:tcW w:w="1314" w:type="dxa"/>
            <w:noWrap w:val="0"/>
            <w:vAlign w:val="center"/>
          </w:tcPr>
          <w:p w14:paraId="5630877F">
            <w:pPr>
              <w:spacing w:line="400" w:lineRule="exact"/>
              <w:jc w:val="center"/>
              <w:rPr>
                <w:rFonts w:hint="eastAsia" w:ascii="仿宋" w:hAnsi="仿宋" w:eastAsia="仿宋" w:cs="仿宋"/>
                <w:color w:val="auto"/>
                <w:sz w:val="24"/>
                <w:szCs w:val="24"/>
                <w:highlight w:val="none"/>
              </w:rPr>
            </w:pPr>
          </w:p>
        </w:tc>
        <w:tc>
          <w:tcPr>
            <w:tcW w:w="1440" w:type="dxa"/>
            <w:noWrap w:val="0"/>
            <w:vAlign w:val="center"/>
          </w:tcPr>
          <w:p w14:paraId="45862955">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23D05C43">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12100576">
            <w:pPr>
              <w:spacing w:line="400" w:lineRule="exact"/>
              <w:jc w:val="center"/>
              <w:rPr>
                <w:rFonts w:hint="eastAsia" w:ascii="仿宋" w:hAnsi="仿宋" w:eastAsia="仿宋" w:cs="仿宋"/>
                <w:color w:val="auto"/>
                <w:sz w:val="24"/>
                <w:szCs w:val="24"/>
                <w:highlight w:val="none"/>
              </w:rPr>
            </w:pPr>
          </w:p>
        </w:tc>
        <w:tc>
          <w:tcPr>
            <w:tcW w:w="871" w:type="dxa"/>
            <w:tcBorders>
              <w:left w:val="single" w:color="auto" w:sz="4" w:space="0"/>
            </w:tcBorders>
            <w:noWrap w:val="0"/>
            <w:vAlign w:val="center"/>
          </w:tcPr>
          <w:p w14:paraId="704A51F6">
            <w:pPr>
              <w:spacing w:line="400" w:lineRule="exact"/>
              <w:jc w:val="center"/>
              <w:rPr>
                <w:rFonts w:hint="eastAsia" w:ascii="仿宋" w:hAnsi="仿宋" w:eastAsia="仿宋" w:cs="仿宋"/>
                <w:color w:val="auto"/>
                <w:sz w:val="24"/>
                <w:szCs w:val="24"/>
                <w:highlight w:val="none"/>
              </w:rPr>
            </w:pPr>
          </w:p>
        </w:tc>
      </w:tr>
      <w:tr w14:paraId="58A025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14" w:type="dxa"/>
            <w:noWrap w:val="0"/>
            <w:vAlign w:val="center"/>
          </w:tcPr>
          <w:p w14:paraId="3B59ACB8">
            <w:pPr>
              <w:spacing w:line="400" w:lineRule="exact"/>
              <w:jc w:val="center"/>
              <w:rPr>
                <w:rFonts w:hint="eastAsia" w:ascii="仿宋" w:hAnsi="仿宋" w:eastAsia="仿宋" w:cs="仿宋"/>
                <w:color w:val="auto"/>
                <w:sz w:val="24"/>
                <w:szCs w:val="24"/>
                <w:highlight w:val="none"/>
              </w:rPr>
            </w:pPr>
          </w:p>
        </w:tc>
        <w:tc>
          <w:tcPr>
            <w:tcW w:w="1314" w:type="dxa"/>
            <w:noWrap w:val="0"/>
            <w:vAlign w:val="center"/>
          </w:tcPr>
          <w:p w14:paraId="600276BD">
            <w:pPr>
              <w:spacing w:line="400" w:lineRule="exact"/>
              <w:jc w:val="center"/>
              <w:rPr>
                <w:rFonts w:hint="eastAsia" w:ascii="仿宋" w:hAnsi="仿宋" w:eastAsia="仿宋" w:cs="仿宋"/>
                <w:color w:val="auto"/>
                <w:sz w:val="24"/>
                <w:szCs w:val="24"/>
                <w:highlight w:val="none"/>
              </w:rPr>
            </w:pPr>
          </w:p>
        </w:tc>
        <w:tc>
          <w:tcPr>
            <w:tcW w:w="1440" w:type="dxa"/>
            <w:tcBorders>
              <w:right w:val="single" w:color="auto" w:sz="4" w:space="0"/>
            </w:tcBorders>
            <w:noWrap w:val="0"/>
            <w:vAlign w:val="center"/>
          </w:tcPr>
          <w:p w14:paraId="659DB642">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1D36BE15">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6C694D21">
            <w:pPr>
              <w:spacing w:line="400" w:lineRule="exact"/>
              <w:jc w:val="center"/>
              <w:rPr>
                <w:rFonts w:hint="eastAsia" w:ascii="仿宋" w:hAnsi="仿宋" w:eastAsia="仿宋" w:cs="仿宋"/>
                <w:color w:val="auto"/>
                <w:sz w:val="24"/>
                <w:szCs w:val="24"/>
                <w:highlight w:val="none"/>
              </w:rPr>
            </w:pPr>
          </w:p>
        </w:tc>
        <w:tc>
          <w:tcPr>
            <w:tcW w:w="871" w:type="dxa"/>
            <w:tcBorders>
              <w:left w:val="single" w:color="auto" w:sz="4" w:space="0"/>
            </w:tcBorders>
            <w:noWrap w:val="0"/>
            <w:vAlign w:val="center"/>
          </w:tcPr>
          <w:p w14:paraId="17F11DB2">
            <w:pPr>
              <w:spacing w:line="400" w:lineRule="exact"/>
              <w:jc w:val="center"/>
              <w:rPr>
                <w:rFonts w:hint="eastAsia" w:ascii="仿宋" w:hAnsi="仿宋" w:eastAsia="仿宋" w:cs="仿宋"/>
                <w:color w:val="auto"/>
                <w:sz w:val="24"/>
                <w:szCs w:val="24"/>
                <w:highlight w:val="none"/>
              </w:rPr>
            </w:pPr>
          </w:p>
        </w:tc>
      </w:tr>
      <w:tr w14:paraId="7E878E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14" w:type="dxa"/>
            <w:noWrap w:val="0"/>
            <w:vAlign w:val="center"/>
          </w:tcPr>
          <w:p w14:paraId="0147FB38">
            <w:pPr>
              <w:spacing w:line="400" w:lineRule="exact"/>
              <w:jc w:val="center"/>
              <w:rPr>
                <w:rFonts w:hint="eastAsia" w:ascii="仿宋" w:hAnsi="仿宋" w:eastAsia="仿宋" w:cs="仿宋"/>
                <w:color w:val="auto"/>
                <w:sz w:val="24"/>
                <w:szCs w:val="24"/>
                <w:highlight w:val="none"/>
              </w:rPr>
            </w:pPr>
          </w:p>
        </w:tc>
        <w:tc>
          <w:tcPr>
            <w:tcW w:w="1314" w:type="dxa"/>
            <w:noWrap w:val="0"/>
            <w:vAlign w:val="center"/>
          </w:tcPr>
          <w:p w14:paraId="7A221DCB">
            <w:pPr>
              <w:spacing w:line="400" w:lineRule="exact"/>
              <w:jc w:val="center"/>
              <w:rPr>
                <w:rFonts w:hint="eastAsia" w:ascii="仿宋" w:hAnsi="仿宋" w:eastAsia="仿宋" w:cs="仿宋"/>
                <w:color w:val="auto"/>
                <w:sz w:val="24"/>
                <w:szCs w:val="24"/>
                <w:highlight w:val="none"/>
              </w:rPr>
            </w:pPr>
          </w:p>
        </w:tc>
        <w:tc>
          <w:tcPr>
            <w:tcW w:w="1440" w:type="dxa"/>
            <w:tcBorders>
              <w:right w:val="single" w:color="auto" w:sz="4" w:space="0"/>
            </w:tcBorders>
            <w:noWrap w:val="0"/>
            <w:vAlign w:val="center"/>
          </w:tcPr>
          <w:p w14:paraId="16913F73">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5C772776">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43F6EC3E">
            <w:pPr>
              <w:spacing w:line="400" w:lineRule="exact"/>
              <w:jc w:val="center"/>
              <w:rPr>
                <w:rFonts w:hint="eastAsia" w:ascii="仿宋" w:hAnsi="仿宋" w:eastAsia="仿宋" w:cs="仿宋"/>
                <w:color w:val="auto"/>
                <w:sz w:val="24"/>
                <w:szCs w:val="24"/>
                <w:highlight w:val="none"/>
              </w:rPr>
            </w:pPr>
          </w:p>
        </w:tc>
        <w:tc>
          <w:tcPr>
            <w:tcW w:w="871" w:type="dxa"/>
            <w:tcBorders>
              <w:left w:val="single" w:color="auto" w:sz="4" w:space="0"/>
            </w:tcBorders>
            <w:noWrap w:val="0"/>
            <w:vAlign w:val="center"/>
          </w:tcPr>
          <w:p w14:paraId="64E3C0E3">
            <w:pPr>
              <w:spacing w:line="400" w:lineRule="exact"/>
              <w:jc w:val="center"/>
              <w:rPr>
                <w:rFonts w:hint="eastAsia" w:ascii="仿宋" w:hAnsi="仿宋" w:eastAsia="仿宋" w:cs="仿宋"/>
                <w:color w:val="auto"/>
                <w:sz w:val="24"/>
                <w:szCs w:val="24"/>
                <w:highlight w:val="none"/>
              </w:rPr>
            </w:pPr>
          </w:p>
        </w:tc>
      </w:tr>
      <w:tr w14:paraId="06F11F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14" w:type="dxa"/>
            <w:noWrap w:val="0"/>
            <w:vAlign w:val="center"/>
          </w:tcPr>
          <w:p w14:paraId="4BB68094">
            <w:pPr>
              <w:spacing w:line="400" w:lineRule="exact"/>
              <w:jc w:val="center"/>
              <w:rPr>
                <w:rFonts w:hint="eastAsia" w:ascii="仿宋" w:hAnsi="仿宋" w:eastAsia="仿宋" w:cs="仿宋"/>
                <w:color w:val="auto"/>
                <w:sz w:val="24"/>
                <w:szCs w:val="24"/>
                <w:highlight w:val="none"/>
              </w:rPr>
            </w:pPr>
          </w:p>
        </w:tc>
        <w:tc>
          <w:tcPr>
            <w:tcW w:w="1314" w:type="dxa"/>
            <w:noWrap w:val="0"/>
            <w:vAlign w:val="center"/>
          </w:tcPr>
          <w:p w14:paraId="6A65C0B1">
            <w:pPr>
              <w:spacing w:line="400" w:lineRule="exact"/>
              <w:jc w:val="center"/>
              <w:rPr>
                <w:rFonts w:hint="eastAsia" w:ascii="仿宋" w:hAnsi="仿宋" w:eastAsia="仿宋" w:cs="仿宋"/>
                <w:color w:val="auto"/>
                <w:sz w:val="24"/>
                <w:szCs w:val="24"/>
                <w:highlight w:val="none"/>
              </w:rPr>
            </w:pPr>
          </w:p>
        </w:tc>
        <w:tc>
          <w:tcPr>
            <w:tcW w:w="1440" w:type="dxa"/>
            <w:tcBorders>
              <w:right w:val="single" w:color="auto" w:sz="4" w:space="0"/>
            </w:tcBorders>
            <w:noWrap w:val="0"/>
            <w:vAlign w:val="center"/>
          </w:tcPr>
          <w:p w14:paraId="499CCA60">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5E368A60">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55B6E3E8">
            <w:pPr>
              <w:spacing w:line="400" w:lineRule="exact"/>
              <w:jc w:val="center"/>
              <w:rPr>
                <w:rFonts w:hint="eastAsia" w:ascii="仿宋" w:hAnsi="仿宋" w:eastAsia="仿宋" w:cs="仿宋"/>
                <w:color w:val="auto"/>
                <w:sz w:val="24"/>
                <w:szCs w:val="24"/>
                <w:highlight w:val="none"/>
              </w:rPr>
            </w:pPr>
          </w:p>
        </w:tc>
        <w:tc>
          <w:tcPr>
            <w:tcW w:w="871" w:type="dxa"/>
            <w:tcBorders>
              <w:left w:val="single" w:color="auto" w:sz="4" w:space="0"/>
            </w:tcBorders>
            <w:noWrap w:val="0"/>
            <w:vAlign w:val="center"/>
          </w:tcPr>
          <w:p w14:paraId="662274EA">
            <w:pPr>
              <w:spacing w:line="400" w:lineRule="exact"/>
              <w:jc w:val="center"/>
              <w:rPr>
                <w:rFonts w:hint="eastAsia" w:ascii="仿宋" w:hAnsi="仿宋" w:eastAsia="仿宋" w:cs="仿宋"/>
                <w:color w:val="auto"/>
                <w:sz w:val="24"/>
                <w:szCs w:val="24"/>
                <w:highlight w:val="none"/>
              </w:rPr>
            </w:pPr>
          </w:p>
        </w:tc>
      </w:tr>
      <w:tr w14:paraId="74909B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14" w:type="dxa"/>
            <w:noWrap w:val="0"/>
            <w:vAlign w:val="center"/>
          </w:tcPr>
          <w:p w14:paraId="289CCC53">
            <w:pPr>
              <w:spacing w:line="400" w:lineRule="exact"/>
              <w:jc w:val="center"/>
              <w:rPr>
                <w:rFonts w:hint="eastAsia" w:ascii="仿宋" w:hAnsi="仿宋" w:eastAsia="仿宋" w:cs="仿宋"/>
                <w:color w:val="auto"/>
                <w:sz w:val="24"/>
                <w:szCs w:val="24"/>
                <w:highlight w:val="none"/>
              </w:rPr>
            </w:pPr>
          </w:p>
        </w:tc>
        <w:tc>
          <w:tcPr>
            <w:tcW w:w="1314" w:type="dxa"/>
            <w:noWrap w:val="0"/>
            <w:vAlign w:val="center"/>
          </w:tcPr>
          <w:p w14:paraId="6ED6EED5">
            <w:pPr>
              <w:spacing w:line="400" w:lineRule="exact"/>
              <w:jc w:val="center"/>
              <w:rPr>
                <w:rFonts w:hint="eastAsia" w:ascii="仿宋" w:hAnsi="仿宋" w:eastAsia="仿宋" w:cs="仿宋"/>
                <w:color w:val="auto"/>
                <w:sz w:val="24"/>
                <w:szCs w:val="24"/>
                <w:highlight w:val="none"/>
              </w:rPr>
            </w:pPr>
          </w:p>
        </w:tc>
        <w:tc>
          <w:tcPr>
            <w:tcW w:w="1440" w:type="dxa"/>
            <w:tcBorders>
              <w:right w:val="single" w:color="auto" w:sz="4" w:space="0"/>
            </w:tcBorders>
            <w:noWrap w:val="0"/>
            <w:vAlign w:val="center"/>
          </w:tcPr>
          <w:p w14:paraId="4B6BEBCD">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1F1F00BD">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2F5243D7">
            <w:pPr>
              <w:spacing w:line="400" w:lineRule="exact"/>
              <w:jc w:val="center"/>
              <w:rPr>
                <w:rFonts w:hint="eastAsia" w:ascii="仿宋" w:hAnsi="仿宋" w:eastAsia="仿宋" w:cs="仿宋"/>
                <w:color w:val="auto"/>
                <w:sz w:val="24"/>
                <w:szCs w:val="24"/>
                <w:highlight w:val="none"/>
              </w:rPr>
            </w:pPr>
          </w:p>
        </w:tc>
        <w:tc>
          <w:tcPr>
            <w:tcW w:w="871" w:type="dxa"/>
            <w:tcBorders>
              <w:left w:val="single" w:color="auto" w:sz="4" w:space="0"/>
            </w:tcBorders>
            <w:noWrap w:val="0"/>
            <w:vAlign w:val="center"/>
          </w:tcPr>
          <w:p w14:paraId="01E7131A">
            <w:pPr>
              <w:spacing w:line="400" w:lineRule="exact"/>
              <w:jc w:val="center"/>
              <w:rPr>
                <w:rFonts w:hint="eastAsia" w:ascii="仿宋" w:hAnsi="仿宋" w:eastAsia="仿宋" w:cs="仿宋"/>
                <w:color w:val="auto"/>
                <w:sz w:val="24"/>
                <w:szCs w:val="24"/>
                <w:highlight w:val="none"/>
              </w:rPr>
            </w:pPr>
          </w:p>
        </w:tc>
      </w:tr>
      <w:tr w14:paraId="3036FF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314" w:type="dxa"/>
            <w:noWrap w:val="0"/>
            <w:vAlign w:val="center"/>
          </w:tcPr>
          <w:p w14:paraId="187D79E9">
            <w:pPr>
              <w:spacing w:line="400" w:lineRule="exact"/>
              <w:jc w:val="center"/>
              <w:rPr>
                <w:rFonts w:hint="eastAsia" w:ascii="仿宋" w:hAnsi="仿宋" w:eastAsia="仿宋" w:cs="仿宋"/>
                <w:color w:val="auto"/>
                <w:sz w:val="24"/>
                <w:szCs w:val="24"/>
                <w:highlight w:val="none"/>
              </w:rPr>
            </w:pPr>
          </w:p>
        </w:tc>
        <w:tc>
          <w:tcPr>
            <w:tcW w:w="1314" w:type="dxa"/>
            <w:noWrap w:val="0"/>
            <w:vAlign w:val="center"/>
          </w:tcPr>
          <w:p w14:paraId="12EED95A">
            <w:pPr>
              <w:spacing w:line="400" w:lineRule="exact"/>
              <w:jc w:val="center"/>
              <w:rPr>
                <w:rFonts w:hint="eastAsia" w:ascii="仿宋" w:hAnsi="仿宋" w:eastAsia="仿宋" w:cs="仿宋"/>
                <w:color w:val="auto"/>
                <w:sz w:val="24"/>
                <w:szCs w:val="24"/>
                <w:highlight w:val="none"/>
              </w:rPr>
            </w:pPr>
          </w:p>
        </w:tc>
        <w:tc>
          <w:tcPr>
            <w:tcW w:w="1440" w:type="dxa"/>
            <w:tcBorders>
              <w:right w:val="single" w:color="auto" w:sz="4" w:space="0"/>
            </w:tcBorders>
            <w:noWrap w:val="0"/>
            <w:vAlign w:val="center"/>
          </w:tcPr>
          <w:p w14:paraId="5E549545">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2561FEC9">
            <w:pPr>
              <w:spacing w:line="400" w:lineRule="exact"/>
              <w:jc w:val="center"/>
              <w:rPr>
                <w:rFonts w:hint="eastAsia" w:ascii="仿宋" w:hAnsi="仿宋" w:eastAsia="仿宋" w:cs="仿宋"/>
                <w:color w:val="auto"/>
                <w:sz w:val="24"/>
                <w:szCs w:val="24"/>
                <w:highlight w:val="none"/>
              </w:rPr>
            </w:pPr>
          </w:p>
        </w:tc>
        <w:tc>
          <w:tcPr>
            <w:tcW w:w="2120" w:type="dxa"/>
            <w:noWrap w:val="0"/>
            <w:vAlign w:val="center"/>
          </w:tcPr>
          <w:p w14:paraId="45B35E19">
            <w:pPr>
              <w:spacing w:line="400" w:lineRule="exact"/>
              <w:jc w:val="center"/>
              <w:rPr>
                <w:rFonts w:hint="eastAsia" w:ascii="仿宋" w:hAnsi="仿宋" w:eastAsia="仿宋" w:cs="仿宋"/>
                <w:color w:val="auto"/>
                <w:sz w:val="24"/>
                <w:szCs w:val="24"/>
                <w:highlight w:val="none"/>
              </w:rPr>
            </w:pPr>
          </w:p>
        </w:tc>
        <w:tc>
          <w:tcPr>
            <w:tcW w:w="871" w:type="dxa"/>
            <w:tcBorders>
              <w:left w:val="single" w:color="auto" w:sz="4" w:space="0"/>
            </w:tcBorders>
            <w:noWrap w:val="0"/>
            <w:vAlign w:val="center"/>
          </w:tcPr>
          <w:p w14:paraId="34B57E88">
            <w:pPr>
              <w:spacing w:line="400" w:lineRule="exact"/>
              <w:jc w:val="center"/>
              <w:rPr>
                <w:rFonts w:hint="eastAsia" w:ascii="仿宋" w:hAnsi="仿宋" w:eastAsia="仿宋" w:cs="仿宋"/>
                <w:color w:val="auto"/>
                <w:sz w:val="24"/>
                <w:szCs w:val="24"/>
                <w:highlight w:val="none"/>
              </w:rPr>
            </w:pPr>
          </w:p>
        </w:tc>
      </w:tr>
    </w:tbl>
    <w:p w14:paraId="1A8EF7D0">
      <w:pPr>
        <w:shd w:val="clear" w:color="auto" w:fill="auto"/>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w:t>
      </w:r>
      <w:bookmarkStart w:id="90" w:name="_Hlk535237100"/>
    </w:p>
    <w:p w14:paraId="3969332A">
      <w:pPr>
        <w:shd w:val="clear" w:color="auto" w:fill="auto"/>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以上业绩需提供</w:t>
      </w:r>
      <w:r>
        <w:rPr>
          <w:rFonts w:hint="eastAsia" w:ascii="仿宋" w:hAnsi="仿宋" w:eastAsia="仿宋" w:cs="仿宋"/>
          <w:b/>
          <w:bCs/>
          <w:color w:val="auto"/>
          <w:sz w:val="24"/>
          <w:szCs w:val="24"/>
          <w:highlight w:val="none"/>
          <w:lang w:eastAsia="zh-CN"/>
        </w:rPr>
        <w:t>竞争性磋商文件</w:t>
      </w:r>
      <w:r>
        <w:rPr>
          <w:rFonts w:hint="eastAsia" w:ascii="仿宋" w:hAnsi="仿宋" w:eastAsia="仿宋" w:cs="仿宋"/>
          <w:b/>
          <w:bCs/>
          <w:color w:val="auto"/>
          <w:sz w:val="24"/>
          <w:szCs w:val="24"/>
          <w:highlight w:val="none"/>
        </w:rPr>
        <w:t>要求的有关书面证明材料。</w:t>
      </w:r>
      <w:bookmarkEnd w:id="90"/>
    </w:p>
    <w:p w14:paraId="4AEDC577">
      <w:pPr>
        <w:shd w:val="clear" w:color="auto" w:fill="auto"/>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eastAsia="zh-CN"/>
        </w:rPr>
        <w:t>类似项目业绩时间以证明材料上注明的时间为准，若证明材料上没有时间，则做无效业绩处理。</w:t>
      </w:r>
    </w:p>
    <w:p w14:paraId="302FFF31">
      <w:pPr>
        <w:shd w:val="clear" w:color="auto" w:fill="auto"/>
        <w:spacing w:line="400" w:lineRule="exact"/>
        <w:rPr>
          <w:rFonts w:hint="eastAsia" w:ascii="仿宋" w:hAnsi="仿宋" w:eastAsia="仿宋" w:cs="仿宋"/>
          <w:color w:val="auto"/>
          <w:sz w:val="24"/>
          <w:szCs w:val="24"/>
          <w:highlight w:val="none"/>
        </w:rPr>
      </w:pPr>
    </w:p>
    <w:p w14:paraId="6DAED7E1">
      <w:pPr>
        <w:shd w:val="clear" w:color="auto" w:fill="auto"/>
        <w:adjustRightIn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投标人名称：XXXX  （盖章）</w:t>
      </w:r>
    </w:p>
    <w:p w14:paraId="095C57F4">
      <w:pPr>
        <w:shd w:val="clear" w:color="auto" w:fill="auto"/>
        <w:adjustRightIn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法定代表人/单位负责人或授权代表（签字或加盖个人名章）</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XXXX</w:t>
      </w:r>
    </w:p>
    <w:p w14:paraId="5419C910">
      <w:pPr>
        <w:shd w:val="clear" w:color="auto" w:fill="auto"/>
        <w:spacing w:line="40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投标日期:</w:t>
      </w:r>
      <w:r>
        <w:rPr>
          <w:rFonts w:hint="eastAsia" w:ascii="仿宋" w:hAnsi="仿宋" w:eastAsia="仿宋" w:cs="仿宋"/>
          <w:color w:val="auto"/>
          <w:sz w:val="24"/>
          <w:szCs w:val="24"/>
          <w:highlight w:val="none"/>
        </w:rPr>
        <w:t xml:space="preserve"> XXXX</w:t>
      </w:r>
    </w:p>
    <w:p w14:paraId="09ECB38D">
      <w:pPr>
        <w:shd w:val="clear" w:color="auto" w:fill="auto"/>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F2D4282">
      <w:pPr>
        <w:pStyle w:val="6"/>
        <w:numPr>
          <w:ilvl w:val="0"/>
          <w:numId w:val="4"/>
        </w:numPr>
        <w:bidi w:val="0"/>
        <w:jc w:val="center"/>
        <w:rPr>
          <w:rFonts w:hint="eastAsia" w:ascii="仿宋" w:hAnsi="仿宋" w:eastAsia="仿宋" w:cs="仿宋"/>
          <w:b/>
          <w:bCs/>
          <w:color w:val="auto"/>
          <w:sz w:val="24"/>
          <w:szCs w:val="24"/>
          <w:highlight w:val="none"/>
          <w:lang w:val="en-US" w:eastAsia="zh-CN" w:bidi="ar-SA"/>
        </w:rPr>
      </w:pPr>
      <w:bookmarkStart w:id="91" w:name="_Toc20755"/>
      <w:r>
        <w:rPr>
          <w:rFonts w:hint="eastAsia" w:ascii="仿宋" w:hAnsi="仿宋" w:eastAsia="仿宋" w:cs="仿宋"/>
          <w:b/>
          <w:bCs/>
          <w:color w:val="auto"/>
          <w:sz w:val="24"/>
          <w:szCs w:val="24"/>
          <w:highlight w:val="none"/>
          <w:lang w:val="en-US" w:eastAsia="zh-CN" w:bidi="ar-SA"/>
        </w:rPr>
        <w:t>磋商保证金凭证</w:t>
      </w:r>
      <w:bookmarkEnd w:id="91"/>
    </w:p>
    <w:p w14:paraId="66B5F916">
      <w:pPr>
        <w:jc w:val="center"/>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提供汇款凭证截图或其他证明材料</w:t>
      </w:r>
    </w:p>
    <w:p w14:paraId="5D6B93FB">
      <w:pPr>
        <w:pStyle w:val="6"/>
        <w:numPr>
          <w:ilvl w:val="0"/>
          <w:numId w:val="4"/>
        </w:numPr>
        <w:bidi w:val="0"/>
        <w:jc w:val="center"/>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人员配置及能力证明</w:t>
      </w:r>
    </w:p>
    <w:p w14:paraId="34ED4108">
      <w:pPr>
        <w:jc w:val="center"/>
        <w:rPr>
          <w:rFonts w:hint="eastAsia"/>
          <w:b w:val="0"/>
          <w:bCs w:val="0"/>
          <w:sz w:val="24"/>
          <w:szCs w:val="24"/>
          <w:highlight w:val="none"/>
          <w:lang w:val="en-US" w:eastAsia="zh-CN"/>
        </w:rPr>
      </w:pPr>
      <w:r>
        <w:rPr>
          <w:rFonts w:hint="eastAsia" w:ascii="仿宋" w:hAnsi="仿宋" w:eastAsia="仿宋" w:cs="仿宋"/>
          <w:b w:val="0"/>
          <w:bCs w:val="0"/>
          <w:color w:val="auto"/>
          <w:sz w:val="24"/>
          <w:szCs w:val="24"/>
          <w:highlight w:val="none"/>
          <w:lang w:val="en-US" w:eastAsia="zh-CN" w:bidi="ar-SA"/>
        </w:rPr>
        <w:t>根据综合评分表所需内容提供，格式自拟</w:t>
      </w:r>
    </w:p>
    <w:p w14:paraId="56CA00B9">
      <w:pPr>
        <w:rPr>
          <w:rFonts w:hint="eastAsia"/>
          <w:highlight w:val="none"/>
          <w:lang w:val="en-US" w:eastAsia="zh-CN"/>
        </w:rPr>
      </w:pPr>
    </w:p>
    <w:p w14:paraId="6FAED12B">
      <w:pPr>
        <w:pStyle w:val="6"/>
        <w:numPr>
          <w:ilvl w:val="0"/>
          <w:numId w:val="4"/>
        </w:numPr>
        <w:bidi w:val="0"/>
        <w:jc w:val="center"/>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服务方案</w:t>
      </w:r>
    </w:p>
    <w:p w14:paraId="379FE2EC">
      <w:pPr>
        <w:jc w:val="center"/>
        <w:rPr>
          <w:rFonts w:hint="eastAsia"/>
          <w:b w:val="0"/>
          <w:bCs w:val="0"/>
          <w:sz w:val="24"/>
          <w:szCs w:val="24"/>
          <w:highlight w:val="none"/>
          <w:lang w:val="en-US" w:eastAsia="zh-CN"/>
        </w:rPr>
      </w:pPr>
      <w:r>
        <w:rPr>
          <w:rFonts w:hint="eastAsia" w:ascii="仿宋" w:hAnsi="仿宋" w:eastAsia="仿宋" w:cs="仿宋"/>
          <w:b w:val="0"/>
          <w:bCs w:val="0"/>
          <w:color w:val="auto"/>
          <w:sz w:val="24"/>
          <w:szCs w:val="24"/>
          <w:highlight w:val="none"/>
          <w:lang w:val="en-US" w:eastAsia="zh-CN" w:bidi="ar-SA"/>
        </w:rPr>
        <w:t>根据综合评分表所需内容提供，格式自拟</w:t>
      </w:r>
    </w:p>
    <w:p w14:paraId="1EAFDD2C">
      <w:pPr>
        <w:rPr>
          <w:rFonts w:hint="eastAsia"/>
          <w:highlight w:val="none"/>
          <w:lang w:val="en-US" w:eastAsia="zh-CN"/>
        </w:rPr>
      </w:pPr>
    </w:p>
    <w:p w14:paraId="7BA7E167">
      <w:pPr>
        <w:pStyle w:val="6"/>
        <w:numPr>
          <w:ilvl w:val="0"/>
          <w:numId w:val="4"/>
        </w:numPr>
        <w:bidi w:val="0"/>
        <w:jc w:val="center"/>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进度控制方案</w:t>
      </w:r>
    </w:p>
    <w:p w14:paraId="20D4AFFA">
      <w:pPr>
        <w:jc w:val="center"/>
        <w:rPr>
          <w:rFonts w:hint="eastAsia"/>
          <w:b w:val="0"/>
          <w:bCs w:val="0"/>
          <w:sz w:val="24"/>
          <w:szCs w:val="24"/>
          <w:highlight w:val="none"/>
          <w:lang w:val="en-US" w:eastAsia="zh-CN"/>
        </w:rPr>
      </w:pPr>
      <w:r>
        <w:rPr>
          <w:rFonts w:hint="eastAsia" w:ascii="仿宋" w:hAnsi="仿宋" w:eastAsia="仿宋" w:cs="仿宋"/>
          <w:b w:val="0"/>
          <w:bCs w:val="0"/>
          <w:color w:val="auto"/>
          <w:sz w:val="24"/>
          <w:szCs w:val="24"/>
          <w:highlight w:val="none"/>
          <w:lang w:val="en-US" w:eastAsia="zh-CN" w:bidi="ar-SA"/>
        </w:rPr>
        <w:t>根据综合评分表所需内容提供，格式自拟</w:t>
      </w:r>
    </w:p>
    <w:p w14:paraId="2E9FD257">
      <w:pPr>
        <w:rPr>
          <w:rFonts w:hint="eastAsia"/>
          <w:highlight w:val="none"/>
          <w:lang w:val="en-US" w:eastAsia="zh-CN"/>
        </w:rPr>
      </w:pPr>
    </w:p>
    <w:p w14:paraId="250985EB">
      <w:pPr>
        <w:pStyle w:val="6"/>
        <w:numPr>
          <w:ilvl w:val="0"/>
          <w:numId w:val="4"/>
        </w:numPr>
        <w:bidi w:val="0"/>
        <w:jc w:val="center"/>
        <w:rPr>
          <w:rFonts w:hint="eastAsia" w:ascii="仿宋" w:hAnsi="仿宋" w:eastAsia="仿宋" w:cs="仿宋"/>
          <w:b/>
          <w:bCs/>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突发事件处理预案</w:t>
      </w:r>
    </w:p>
    <w:p w14:paraId="2B1236EC">
      <w:pPr>
        <w:jc w:val="center"/>
        <w:rPr>
          <w:rFonts w:hint="eastAsia"/>
          <w:b w:val="0"/>
          <w:bCs w:val="0"/>
          <w:sz w:val="24"/>
          <w:szCs w:val="24"/>
          <w:highlight w:val="none"/>
          <w:lang w:val="en-US" w:eastAsia="zh-CN"/>
        </w:rPr>
      </w:pPr>
      <w:r>
        <w:rPr>
          <w:rFonts w:hint="eastAsia" w:ascii="仿宋" w:hAnsi="仿宋" w:eastAsia="仿宋" w:cs="仿宋"/>
          <w:b w:val="0"/>
          <w:bCs w:val="0"/>
          <w:color w:val="auto"/>
          <w:sz w:val="24"/>
          <w:szCs w:val="24"/>
          <w:highlight w:val="none"/>
          <w:lang w:val="en-US" w:eastAsia="zh-CN" w:bidi="ar-SA"/>
        </w:rPr>
        <w:t>根据综合评分表所需内容提供，格式自拟</w:t>
      </w:r>
    </w:p>
    <w:p w14:paraId="0EA8CDC1">
      <w:pPr>
        <w:rPr>
          <w:rFonts w:hint="eastAsia"/>
          <w:highlight w:val="none"/>
          <w:lang w:val="en-US" w:eastAsia="zh-CN"/>
        </w:rPr>
      </w:pPr>
    </w:p>
    <w:p w14:paraId="00963CD9">
      <w:pPr>
        <w:pStyle w:val="6"/>
        <w:numPr>
          <w:ilvl w:val="0"/>
          <w:numId w:val="4"/>
        </w:numPr>
        <w:bidi w:val="0"/>
        <w:jc w:val="center"/>
        <w:rPr>
          <w:rFonts w:hint="eastAsia" w:ascii="仿宋" w:hAnsi="仿宋" w:eastAsia="仿宋" w:cs="仿宋"/>
          <w:b/>
          <w:bCs/>
          <w:color w:val="auto"/>
          <w:sz w:val="24"/>
          <w:szCs w:val="24"/>
          <w:highlight w:val="none"/>
          <w:lang w:val="en-US" w:eastAsia="zh-CN"/>
        </w:rPr>
      </w:pPr>
      <w:bookmarkStart w:id="92" w:name="_Toc31436"/>
      <w:bookmarkStart w:id="93" w:name="_Toc28911"/>
      <w:r>
        <w:rPr>
          <w:rFonts w:hint="eastAsia" w:ascii="仿宋" w:hAnsi="仿宋" w:eastAsia="仿宋" w:cs="仿宋"/>
          <w:b/>
          <w:bCs/>
          <w:color w:val="auto"/>
          <w:sz w:val="24"/>
          <w:szCs w:val="24"/>
          <w:highlight w:val="none"/>
          <w:lang w:val="en-US" w:eastAsia="zh-CN" w:bidi="ar-SA"/>
        </w:rPr>
        <w:br w:type="page"/>
      </w:r>
      <w:bookmarkEnd w:id="92"/>
      <w:r>
        <w:rPr>
          <w:rFonts w:hint="eastAsia" w:ascii="仿宋" w:hAnsi="仿宋" w:eastAsia="仿宋" w:cs="仿宋"/>
          <w:b/>
          <w:bCs/>
          <w:color w:val="auto"/>
          <w:sz w:val="24"/>
          <w:szCs w:val="24"/>
          <w:highlight w:val="none"/>
          <w:lang w:val="en-US" w:eastAsia="zh-CN"/>
        </w:rPr>
        <w:t>其他材料</w:t>
      </w:r>
      <w:bookmarkEnd w:id="93"/>
    </w:p>
    <w:p w14:paraId="1E220198">
      <w:pPr>
        <w:shd w:val="clear" w:color="auto" w:fill="auto"/>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sz w:val="24"/>
          <w:szCs w:val="24"/>
          <w:highlight w:val="none"/>
        </w:rPr>
        <w:t>附:供应商的信誉证明、获奖情况等相关材料及综合评分中评分标准及供应商认为需要提供的其他资料。</w:t>
      </w:r>
    </w:p>
    <w:p w14:paraId="6E17E2AC">
      <w:pPr>
        <w:rPr>
          <w:rFonts w:hint="eastAsia" w:ascii="仿宋" w:hAnsi="仿宋" w:eastAsia="仿宋" w:cs="仿宋"/>
          <w:color w:val="auto"/>
          <w:highlight w:val="none"/>
        </w:rPr>
      </w:pPr>
    </w:p>
    <w:p w14:paraId="5C8CC81E">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53CD0B75">
      <w:pPr>
        <w:pStyle w:val="2"/>
        <w:rPr>
          <w:rFonts w:hint="eastAsia" w:ascii="仿宋" w:hAnsi="仿宋" w:eastAsia="仿宋" w:cs="仿宋"/>
          <w:color w:val="auto"/>
          <w:highlight w:val="none"/>
          <w:lang w:eastAsia="zh-CN"/>
        </w:rPr>
      </w:pPr>
      <w:bookmarkStart w:id="94" w:name="_Toc8578"/>
      <w:r>
        <w:rPr>
          <w:rFonts w:hint="eastAsia" w:ascii="仿宋" w:hAnsi="仿宋" w:eastAsia="仿宋" w:cs="仿宋"/>
          <w:color w:val="auto"/>
          <w:highlight w:val="none"/>
        </w:rPr>
        <w:t>第</w:t>
      </w:r>
      <w:r>
        <w:rPr>
          <w:rFonts w:hint="eastAsia" w:ascii="仿宋" w:hAnsi="仿宋" w:eastAsia="仿宋" w:cs="仿宋"/>
          <w:color w:val="auto"/>
          <w:highlight w:val="none"/>
          <w:lang w:eastAsia="zh-CN"/>
        </w:rPr>
        <w:t>六</w:t>
      </w:r>
      <w:r>
        <w:rPr>
          <w:rFonts w:hint="eastAsia" w:ascii="仿宋" w:hAnsi="仿宋" w:eastAsia="仿宋" w:cs="仿宋"/>
          <w:color w:val="auto"/>
          <w:highlight w:val="none"/>
        </w:rPr>
        <w:t xml:space="preserve">章  </w:t>
      </w:r>
      <w:bookmarkStart w:id="95" w:name="_Toc420948017"/>
      <w:bookmarkStart w:id="96" w:name="_Toc433187361"/>
      <w:r>
        <w:rPr>
          <w:rFonts w:hint="eastAsia" w:ascii="仿宋" w:hAnsi="仿宋" w:eastAsia="仿宋" w:cs="仿宋"/>
          <w:color w:val="auto"/>
          <w:highlight w:val="none"/>
          <w:lang w:eastAsia="zh-CN"/>
        </w:rPr>
        <w:t>政府采购合同模板</w:t>
      </w:r>
      <w:bookmarkEnd w:id="94"/>
    </w:p>
    <w:bookmarkEnd w:id="95"/>
    <w:bookmarkEnd w:id="96"/>
    <w:p w14:paraId="551B410C">
      <w:pPr>
        <w:pStyle w:val="20"/>
        <w:spacing w:after="0"/>
        <w:jc w:val="center"/>
        <w:rPr>
          <w:rFonts w:hint="eastAsia" w:ascii="仿宋" w:hAnsi="仿宋" w:eastAsia="仿宋" w:cs="仿宋"/>
          <w:b/>
          <w:bCs/>
          <w:color w:val="auto"/>
          <w:spacing w:val="-20"/>
          <w:kern w:val="44"/>
          <w:sz w:val="48"/>
          <w:szCs w:val="48"/>
          <w:highlight w:val="none"/>
        </w:rPr>
      </w:pPr>
      <w:bookmarkStart w:id="97" w:name="_Toc3995"/>
    </w:p>
    <w:p w14:paraId="4B400CF0">
      <w:pPr>
        <w:spacing w:line="440" w:lineRule="exact"/>
        <w:ind w:firstLine="442" w:firstLineChars="200"/>
        <w:jc w:val="center"/>
        <w:rPr>
          <w:rFonts w:hint="eastAsia" w:ascii="仿宋" w:hAnsi="仿宋" w:eastAsia="仿宋" w:cs="仿宋"/>
          <w:b/>
          <w:bCs/>
          <w:color w:val="auto"/>
          <w:spacing w:val="-20"/>
          <w:kern w:val="44"/>
          <w:sz w:val="48"/>
          <w:szCs w:val="48"/>
          <w:highlight w:val="none"/>
        </w:rPr>
      </w:pPr>
      <w:r>
        <w:rPr>
          <w:rFonts w:hint="eastAsia" w:ascii="仿宋" w:hAnsi="仿宋" w:eastAsia="仿宋" w:cs="仿宋"/>
          <w:b/>
          <w:color w:val="auto"/>
          <w:sz w:val="22"/>
          <w:szCs w:val="22"/>
          <w:highlight w:val="none"/>
        </w:rPr>
        <w:t>（本合同仅供参考，具体以实际签订的为准）</w:t>
      </w:r>
    </w:p>
    <w:p w14:paraId="5547DBC0">
      <w:pPr>
        <w:pStyle w:val="20"/>
        <w:spacing w:after="0"/>
        <w:jc w:val="center"/>
        <w:rPr>
          <w:rFonts w:hint="eastAsia" w:ascii="仿宋" w:hAnsi="仿宋" w:eastAsia="仿宋" w:cs="仿宋"/>
          <w:b/>
          <w:bCs/>
          <w:color w:val="auto"/>
          <w:spacing w:val="-20"/>
          <w:kern w:val="44"/>
          <w:sz w:val="48"/>
          <w:szCs w:val="48"/>
          <w:highlight w:val="none"/>
        </w:rPr>
      </w:pPr>
    </w:p>
    <w:p w14:paraId="4CE128DD">
      <w:pPr>
        <w:pStyle w:val="20"/>
        <w:spacing w:after="0"/>
        <w:jc w:val="center"/>
        <w:rPr>
          <w:rFonts w:hint="eastAsia" w:ascii="仿宋" w:hAnsi="仿宋" w:eastAsia="仿宋" w:cs="仿宋"/>
          <w:b/>
          <w:bCs/>
          <w:color w:val="auto"/>
          <w:spacing w:val="-20"/>
          <w:kern w:val="44"/>
          <w:sz w:val="48"/>
          <w:szCs w:val="48"/>
          <w:highlight w:val="none"/>
        </w:rPr>
      </w:pPr>
    </w:p>
    <w:p w14:paraId="58FAA9CC">
      <w:pPr>
        <w:pStyle w:val="20"/>
        <w:spacing w:after="0"/>
        <w:jc w:val="center"/>
        <w:rPr>
          <w:rFonts w:hint="eastAsia" w:ascii="仿宋" w:hAnsi="仿宋" w:eastAsia="仿宋" w:cs="仿宋"/>
          <w:b/>
          <w:bCs/>
          <w:color w:val="auto"/>
          <w:spacing w:val="-20"/>
          <w:kern w:val="44"/>
          <w:sz w:val="48"/>
          <w:szCs w:val="48"/>
          <w:highlight w:val="none"/>
        </w:rPr>
      </w:pPr>
    </w:p>
    <w:bookmarkEnd w:id="97"/>
    <w:p w14:paraId="2FE4DD75">
      <w:pPr>
        <w:spacing w:line="480" w:lineRule="auto"/>
        <w:ind w:firstLine="2209" w:firstLineChars="500"/>
        <w:rPr>
          <w:rFonts w:ascii="宋体" w:hAnsi="宋体" w:cs="宋体"/>
          <w:b/>
          <w:sz w:val="44"/>
          <w:szCs w:val="44"/>
          <w:highlight w:val="none"/>
        </w:rPr>
      </w:pPr>
      <w:r>
        <w:rPr>
          <w:rFonts w:hint="eastAsia" w:ascii="宋体" w:hAnsi="宋体" w:cs="宋体"/>
          <w:b/>
          <w:sz w:val="44"/>
          <w:szCs w:val="44"/>
          <w:highlight w:val="none"/>
        </w:rPr>
        <w:t>政府采购合同参考范本</w:t>
      </w:r>
    </w:p>
    <w:p w14:paraId="6AED2097">
      <w:pPr>
        <w:spacing w:line="480" w:lineRule="auto"/>
        <w:jc w:val="center"/>
        <w:rPr>
          <w:rFonts w:ascii="宋体" w:hAnsi="宋体" w:cs="宋体"/>
          <w:b/>
          <w:sz w:val="24"/>
          <w:highlight w:val="none"/>
        </w:rPr>
      </w:pPr>
      <w:r>
        <w:rPr>
          <w:rFonts w:hint="eastAsia" w:ascii="宋体" w:hAnsi="宋体" w:cs="宋体"/>
          <w:b/>
          <w:sz w:val="24"/>
          <w:highlight w:val="none"/>
        </w:rPr>
        <w:t>（服务类）</w:t>
      </w:r>
    </w:p>
    <w:p w14:paraId="4287FA40">
      <w:pPr>
        <w:pStyle w:val="62"/>
        <w:ind w:firstLine="0"/>
        <w:rPr>
          <w:rFonts w:hAnsi="宋体" w:cs="宋体"/>
          <w:szCs w:val="24"/>
          <w:highlight w:val="none"/>
        </w:rPr>
      </w:pPr>
    </w:p>
    <w:p w14:paraId="0CE11175">
      <w:pPr>
        <w:pStyle w:val="62"/>
        <w:ind w:firstLine="0"/>
        <w:rPr>
          <w:rFonts w:hAnsi="宋体" w:cs="宋体"/>
          <w:szCs w:val="24"/>
          <w:highlight w:val="none"/>
        </w:rPr>
      </w:pPr>
    </w:p>
    <w:p w14:paraId="488EB6C5">
      <w:pPr>
        <w:pStyle w:val="62"/>
        <w:ind w:firstLine="0"/>
        <w:rPr>
          <w:rFonts w:hAnsi="宋体" w:cs="宋体"/>
          <w:szCs w:val="24"/>
          <w:highlight w:val="none"/>
        </w:rPr>
      </w:pPr>
    </w:p>
    <w:p w14:paraId="14AAC096">
      <w:pPr>
        <w:rPr>
          <w:rFonts w:hint="eastAsia" w:hAnsi="宋体" w:cs="宋体"/>
          <w:b/>
          <w:szCs w:val="24"/>
          <w:highlight w:val="none"/>
        </w:rPr>
      </w:pPr>
      <w:r>
        <w:rPr>
          <w:rFonts w:hint="eastAsia" w:hAnsi="宋体" w:cs="宋体"/>
          <w:b/>
          <w:szCs w:val="24"/>
          <w:highlight w:val="none"/>
        </w:rPr>
        <w:br w:type="page"/>
      </w:r>
    </w:p>
    <w:p w14:paraId="0104721D">
      <w:pPr>
        <w:pStyle w:val="62"/>
        <w:ind w:firstLine="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第一部分 合同书</w:t>
      </w:r>
    </w:p>
    <w:p w14:paraId="3A45DC5A">
      <w:pPr>
        <w:pStyle w:val="62"/>
        <w:ind w:firstLine="0"/>
        <w:rPr>
          <w:rFonts w:hint="eastAsia" w:ascii="仿宋" w:hAnsi="仿宋" w:eastAsia="仿宋" w:cs="仿宋"/>
          <w:sz w:val="24"/>
          <w:szCs w:val="24"/>
          <w:highlight w:val="none"/>
        </w:rPr>
      </w:pPr>
    </w:p>
    <w:p w14:paraId="29D779F8">
      <w:pPr>
        <w:pStyle w:val="62"/>
        <w:ind w:firstLine="0"/>
        <w:rPr>
          <w:rFonts w:hint="eastAsia" w:ascii="仿宋" w:hAnsi="仿宋" w:eastAsia="仿宋" w:cs="仿宋"/>
          <w:sz w:val="24"/>
          <w:szCs w:val="24"/>
          <w:highlight w:val="none"/>
        </w:rPr>
      </w:pPr>
    </w:p>
    <w:p w14:paraId="519CC933">
      <w:pPr>
        <w:spacing w:before="120" w:line="240" w:lineRule="auto"/>
        <w:ind w:left="960"/>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349B3A3E">
      <w:pPr>
        <w:spacing w:line="240" w:lineRule="auto"/>
        <w:rPr>
          <w:rFonts w:hint="eastAsia" w:ascii="仿宋" w:hAnsi="仿宋" w:eastAsia="仿宋" w:cs="仿宋"/>
          <w:sz w:val="24"/>
          <w:szCs w:val="24"/>
          <w:highlight w:val="none"/>
        </w:rPr>
      </w:pPr>
    </w:p>
    <w:p w14:paraId="61068BBD">
      <w:pPr>
        <w:spacing w:before="120" w:line="240" w:lineRule="auto"/>
        <w:ind w:left="96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甲方：</w:t>
      </w:r>
    </w:p>
    <w:p w14:paraId="070009C9">
      <w:pPr>
        <w:spacing w:before="120" w:line="240" w:lineRule="auto"/>
        <w:rPr>
          <w:rFonts w:hint="eastAsia" w:ascii="仿宋" w:hAnsi="仿宋" w:eastAsia="仿宋" w:cs="仿宋"/>
          <w:sz w:val="24"/>
          <w:szCs w:val="24"/>
          <w:highlight w:val="none"/>
        </w:rPr>
      </w:pPr>
    </w:p>
    <w:p w14:paraId="0C74CDE7">
      <w:pPr>
        <w:spacing w:before="120" w:line="240" w:lineRule="auto"/>
        <w:ind w:left="96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乙方：</w:t>
      </w:r>
    </w:p>
    <w:p w14:paraId="5E394494">
      <w:pPr>
        <w:spacing w:before="120" w:line="240" w:lineRule="auto"/>
        <w:rPr>
          <w:rFonts w:hint="eastAsia" w:ascii="仿宋" w:hAnsi="仿宋" w:eastAsia="仿宋" w:cs="仿宋"/>
          <w:sz w:val="24"/>
          <w:szCs w:val="24"/>
          <w:highlight w:val="none"/>
        </w:rPr>
      </w:pPr>
    </w:p>
    <w:p w14:paraId="2107E153">
      <w:pPr>
        <w:spacing w:before="120" w:line="240" w:lineRule="auto"/>
        <w:ind w:firstLine="960" w:firstLineChars="4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签订地：</w:t>
      </w:r>
    </w:p>
    <w:p w14:paraId="039A4629">
      <w:pPr>
        <w:spacing w:before="120" w:line="240" w:lineRule="auto"/>
        <w:rPr>
          <w:rFonts w:hint="eastAsia" w:ascii="仿宋" w:hAnsi="仿宋" w:eastAsia="仿宋" w:cs="仿宋"/>
          <w:sz w:val="24"/>
          <w:szCs w:val="24"/>
          <w:highlight w:val="none"/>
        </w:rPr>
      </w:pPr>
    </w:p>
    <w:p w14:paraId="5B0A72C5">
      <w:pPr>
        <w:spacing w:before="120" w:line="240" w:lineRule="auto"/>
        <w:ind w:firstLine="960" w:firstLineChars="4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签订日期：年 月 日</w:t>
      </w:r>
    </w:p>
    <w:p w14:paraId="6DB203C6">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（采购人名称）   </w:t>
      </w:r>
      <w:r>
        <w:rPr>
          <w:rFonts w:hint="eastAsia" w:ascii="仿宋" w:hAnsi="仿宋" w:eastAsia="仿宋" w:cs="仿宋"/>
          <w:sz w:val="24"/>
          <w:szCs w:val="24"/>
          <w:highlight w:val="none"/>
        </w:rPr>
        <w:t>以</w:t>
      </w:r>
      <w:r>
        <w:rPr>
          <w:rFonts w:hint="eastAsia" w:ascii="仿宋" w:hAnsi="仿宋" w:eastAsia="仿宋" w:cs="仿宋"/>
          <w:sz w:val="24"/>
          <w:szCs w:val="24"/>
          <w:highlight w:val="none"/>
          <w:u w:val="single"/>
        </w:rPr>
        <w:t xml:space="preserve">   （政府采购方式）  </w:t>
      </w:r>
      <w:r>
        <w:rPr>
          <w:rFonts w:hint="eastAsia" w:ascii="仿宋" w:hAnsi="仿宋" w:eastAsia="仿宋" w:cs="仿宋"/>
          <w:sz w:val="24"/>
          <w:szCs w:val="24"/>
          <w:highlight w:val="none"/>
        </w:rPr>
        <w:t>对</w:t>
      </w:r>
      <w:r>
        <w:rPr>
          <w:rFonts w:hint="eastAsia" w:ascii="仿宋" w:hAnsi="仿宋" w:eastAsia="仿宋" w:cs="仿宋"/>
          <w:sz w:val="24"/>
          <w:szCs w:val="24"/>
          <w:highlight w:val="none"/>
          <w:u w:val="single"/>
        </w:rPr>
        <w:t xml:space="preserve">   （同前页项目名称）   </w:t>
      </w:r>
      <w:r>
        <w:rPr>
          <w:rFonts w:hint="eastAsia" w:ascii="仿宋" w:hAnsi="仿宋" w:eastAsia="仿宋" w:cs="仿宋"/>
          <w:sz w:val="24"/>
          <w:szCs w:val="24"/>
          <w:highlight w:val="none"/>
        </w:rPr>
        <w:t>项目进行了采购。经</w:t>
      </w:r>
      <w:r>
        <w:rPr>
          <w:rFonts w:hint="eastAsia" w:ascii="仿宋" w:hAnsi="仿宋" w:eastAsia="仿宋" w:cs="仿宋"/>
          <w:sz w:val="24"/>
          <w:szCs w:val="24"/>
          <w:highlight w:val="none"/>
          <w:u w:val="single"/>
        </w:rPr>
        <w:t xml:space="preserve">   （相关评定主体名称）   </w:t>
      </w:r>
      <w:r>
        <w:rPr>
          <w:rFonts w:hint="eastAsia" w:ascii="仿宋" w:hAnsi="仿宋" w:eastAsia="仿宋" w:cs="仿宋"/>
          <w:sz w:val="24"/>
          <w:szCs w:val="24"/>
          <w:highlight w:val="none"/>
        </w:rPr>
        <w:t>评定，</w:t>
      </w:r>
      <w:r>
        <w:rPr>
          <w:rFonts w:hint="eastAsia" w:ascii="仿宋" w:hAnsi="仿宋" w:eastAsia="仿宋" w:cs="仿宋"/>
          <w:sz w:val="24"/>
          <w:szCs w:val="24"/>
          <w:highlight w:val="none"/>
          <w:u w:val="single"/>
        </w:rPr>
        <w:t xml:space="preserve">   （中标供应商名称） </w:t>
      </w:r>
      <w:r>
        <w:rPr>
          <w:rFonts w:hint="eastAsia" w:ascii="仿宋" w:hAnsi="仿宋" w:eastAsia="仿宋" w:cs="仿宋"/>
          <w:sz w:val="24"/>
          <w:szCs w:val="24"/>
          <w:highlight w:val="none"/>
        </w:rPr>
        <w:t>为该项目中标供应商。现于成交通知书发出之日起三十日内，按照采购文件确定的事项签订本合同。</w:t>
      </w:r>
    </w:p>
    <w:p w14:paraId="5C953F84">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根据《中华人民共和国合同法》、《中华人民共和国政府采购法》等相关法律法规之规定，按照平等、自愿、公平和诚实信用的原则，经</w:t>
      </w:r>
      <w:r>
        <w:rPr>
          <w:rFonts w:hint="eastAsia" w:ascii="仿宋" w:hAnsi="仿宋" w:eastAsia="仿宋" w:cs="仿宋"/>
          <w:sz w:val="24"/>
          <w:szCs w:val="24"/>
          <w:highlight w:val="none"/>
          <w:u w:val="single"/>
        </w:rPr>
        <w:t xml:space="preserve">   （采购人名称）   </w:t>
      </w:r>
      <w:r>
        <w:rPr>
          <w:rFonts w:hint="eastAsia" w:ascii="仿宋" w:hAnsi="仿宋" w:eastAsia="仿宋" w:cs="仿宋"/>
          <w:sz w:val="24"/>
          <w:szCs w:val="24"/>
          <w:highlight w:val="none"/>
          <w:lang w:val="zh-CN"/>
        </w:rPr>
        <w:t>(以下简称：甲方)和</w:t>
      </w:r>
      <w:r>
        <w:rPr>
          <w:rFonts w:hint="eastAsia" w:ascii="仿宋" w:hAnsi="仿宋" w:eastAsia="仿宋" w:cs="仿宋"/>
          <w:sz w:val="24"/>
          <w:szCs w:val="24"/>
          <w:highlight w:val="none"/>
          <w:u w:val="single"/>
        </w:rPr>
        <w:t xml:space="preserve">   （中标供应商名称）   </w:t>
      </w:r>
      <w:r>
        <w:rPr>
          <w:rFonts w:hint="eastAsia" w:ascii="仿宋" w:hAnsi="仿宋" w:eastAsia="仿宋" w:cs="仿宋"/>
          <w:sz w:val="24"/>
          <w:szCs w:val="24"/>
          <w:highlight w:val="none"/>
          <w:lang w:val="zh-CN"/>
        </w:rPr>
        <w:t>(以下简称：乙方)协商一致，约定以下合同</w:t>
      </w:r>
      <w:r>
        <w:rPr>
          <w:rFonts w:hint="eastAsia" w:ascii="仿宋" w:hAnsi="仿宋" w:eastAsia="仿宋" w:cs="仿宋"/>
          <w:sz w:val="24"/>
          <w:szCs w:val="24"/>
          <w:highlight w:val="none"/>
        </w:rPr>
        <w:t>条款，以兹共同遵守、全面履行。</w:t>
      </w:r>
    </w:p>
    <w:p w14:paraId="0DD49A0A">
      <w:pPr>
        <w:spacing w:line="560" w:lineRule="exact"/>
        <w:ind w:firstLine="482" w:firstLineChars="200"/>
        <w:outlineLvl w:val="9"/>
        <w:rPr>
          <w:rFonts w:hint="eastAsia" w:ascii="仿宋" w:hAnsi="仿宋" w:eastAsia="仿宋" w:cs="仿宋"/>
          <w:sz w:val="24"/>
          <w:szCs w:val="24"/>
          <w:highlight w:val="none"/>
        </w:rPr>
      </w:pPr>
      <w:bookmarkStart w:id="98" w:name="_Toc19273"/>
      <w:bookmarkStart w:id="99" w:name="_Toc28855"/>
      <w:bookmarkStart w:id="100" w:name="_Toc20261"/>
      <w:bookmarkStart w:id="101" w:name="_Toc20801"/>
      <w:bookmarkStart w:id="102" w:name="_Toc22967"/>
      <w:bookmarkStart w:id="103" w:name="_Toc15367"/>
      <w:bookmarkStart w:id="104" w:name="_Toc20421"/>
      <w:r>
        <w:rPr>
          <w:rFonts w:hint="eastAsia" w:ascii="仿宋" w:hAnsi="仿宋" w:eastAsia="仿宋" w:cs="仿宋"/>
          <w:b/>
          <w:sz w:val="24"/>
          <w:szCs w:val="24"/>
          <w:highlight w:val="none"/>
        </w:rPr>
        <w:t>1.1 合同组成部分</w:t>
      </w:r>
      <w:bookmarkEnd w:id="98"/>
      <w:bookmarkEnd w:id="99"/>
      <w:bookmarkEnd w:id="100"/>
      <w:bookmarkEnd w:id="101"/>
      <w:bookmarkEnd w:id="102"/>
      <w:bookmarkEnd w:id="103"/>
      <w:bookmarkEnd w:id="104"/>
    </w:p>
    <w:p w14:paraId="44370A38">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247DF59">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1.1.1 本合同及其补充合同、变更协议；</w:t>
      </w:r>
    </w:p>
    <w:p w14:paraId="571D9281">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1.1.2 成交通知书；</w:t>
      </w:r>
    </w:p>
    <w:p w14:paraId="5A600841">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1.1.3 投标文件（含澄清或者说明文件）；</w:t>
      </w:r>
    </w:p>
    <w:p w14:paraId="3F0F6F62">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1.1.4 磋商文件（含澄清或者修改文件）；</w:t>
      </w:r>
    </w:p>
    <w:p w14:paraId="3AF23242">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1.1.5 其他相关采购文件。</w:t>
      </w:r>
    </w:p>
    <w:p w14:paraId="21E00273">
      <w:pPr>
        <w:spacing w:line="560" w:lineRule="exact"/>
        <w:ind w:firstLine="482" w:firstLineChars="200"/>
        <w:outlineLvl w:val="9"/>
        <w:rPr>
          <w:rFonts w:hint="eastAsia" w:ascii="仿宋" w:hAnsi="仿宋" w:eastAsia="仿宋" w:cs="仿宋"/>
          <w:b/>
          <w:sz w:val="24"/>
          <w:szCs w:val="24"/>
          <w:highlight w:val="none"/>
        </w:rPr>
      </w:pPr>
      <w:bookmarkStart w:id="105" w:name="_Toc17511"/>
      <w:bookmarkStart w:id="106" w:name="_Toc18585"/>
      <w:bookmarkStart w:id="107" w:name="_Toc6773"/>
      <w:bookmarkStart w:id="108" w:name="_Toc2918"/>
      <w:bookmarkStart w:id="109" w:name="_Toc22185"/>
      <w:bookmarkStart w:id="110" w:name="_Toc20552"/>
      <w:bookmarkStart w:id="111" w:name="_Toc6311"/>
      <w:r>
        <w:rPr>
          <w:rFonts w:hint="eastAsia" w:ascii="仿宋" w:hAnsi="仿宋" w:eastAsia="仿宋" w:cs="仿宋"/>
          <w:b/>
          <w:sz w:val="24"/>
          <w:szCs w:val="24"/>
          <w:highlight w:val="none"/>
        </w:rPr>
        <w:t>1.2 标的</w:t>
      </w:r>
      <w:bookmarkEnd w:id="105"/>
      <w:bookmarkEnd w:id="106"/>
      <w:bookmarkEnd w:id="107"/>
      <w:bookmarkEnd w:id="108"/>
      <w:bookmarkEnd w:id="109"/>
      <w:bookmarkEnd w:id="110"/>
      <w:bookmarkEnd w:id="111"/>
    </w:p>
    <w:p w14:paraId="7EA5944F">
      <w:pPr>
        <w:spacing w:line="56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1.2.1 标的名称：；</w:t>
      </w:r>
    </w:p>
    <w:p w14:paraId="1DB38FE2">
      <w:pPr>
        <w:spacing w:line="56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1.2.2 标的数量：；</w:t>
      </w:r>
    </w:p>
    <w:p w14:paraId="504FA6C0">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1.2.3 标的质量：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09F2A050">
      <w:pPr>
        <w:spacing w:line="560" w:lineRule="exact"/>
        <w:ind w:firstLine="482" w:firstLineChars="200"/>
        <w:outlineLvl w:val="9"/>
        <w:rPr>
          <w:rFonts w:hint="eastAsia" w:ascii="仿宋" w:hAnsi="仿宋" w:eastAsia="仿宋" w:cs="仿宋"/>
          <w:b/>
          <w:sz w:val="24"/>
          <w:szCs w:val="24"/>
          <w:highlight w:val="none"/>
        </w:rPr>
      </w:pPr>
      <w:bookmarkStart w:id="112" w:name="_Toc4929"/>
      <w:bookmarkStart w:id="113" w:name="_Toc20584"/>
      <w:bookmarkStart w:id="114" w:name="_Toc1386"/>
      <w:bookmarkStart w:id="115" w:name="_Toc22508"/>
      <w:bookmarkStart w:id="116" w:name="_Toc21124"/>
      <w:bookmarkStart w:id="117" w:name="_Toc13918"/>
      <w:bookmarkStart w:id="118" w:name="_Toc5635"/>
      <w:r>
        <w:rPr>
          <w:rFonts w:hint="eastAsia" w:ascii="仿宋" w:hAnsi="仿宋" w:eastAsia="仿宋" w:cs="仿宋"/>
          <w:b/>
          <w:sz w:val="24"/>
          <w:szCs w:val="24"/>
          <w:highlight w:val="none"/>
        </w:rPr>
        <w:t>1.3 价款</w:t>
      </w:r>
      <w:bookmarkEnd w:id="112"/>
      <w:bookmarkEnd w:id="113"/>
      <w:bookmarkEnd w:id="114"/>
      <w:bookmarkEnd w:id="115"/>
      <w:bookmarkEnd w:id="116"/>
      <w:bookmarkEnd w:id="117"/>
      <w:bookmarkEnd w:id="118"/>
    </w:p>
    <w:p w14:paraId="0A939270">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本合同总价为：￥元（大写：元人民币）。</w:t>
      </w:r>
    </w:p>
    <w:p w14:paraId="7A5D4D72">
      <w:pPr>
        <w:spacing w:line="56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分项价格：</w:t>
      </w:r>
    </w:p>
    <w:tbl>
      <w:tblPr>
        <w:tblStyle w:val="47"/>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30A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B59B820">
            <w:pPr>
              <w:pStyle w:val="291"/>
              <w:spacing w:line="56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3402" w:type="dxa"/>
            <w:noWrap w:val="0"/>
            <w:vAlign w:val="center"/>
          </w:tcPr>
          <w:p w14:paraId="46979027">
            <w:pPr>
              <w:pStyle w:val="291"/>
              <w:spacing w:line="560" w:lineRule="exact"/>
              <w:ind w:firstLine="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分项名称</w:t>
            </w:r>
          </w:p>
        </w:tc>
        <w:tc>
          <w:tcPr>
            <w:tcW w:w="2552" w:type="dxa"/>
            <w:noWrap w:val="0"/>
            <w:vAlign w:val="center"/>
          </w:tcPr>
          <w:p w14:paraId="762F783D">
            <w:pPr>
              <w:pStyle w:val="291"/>
              <w:spacing w:line="56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分项价格</w:t>
            </w:r>
          </w:p>
        </w:tc>
      </w:tr>
      <w:tr w14:paraId="4AD2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F9FF217">
            <w:pPr>
              <w:pStyle w:val="291"/>
              <w:spacing w:line="560" w:lineRule="exact"/>
              <w:ind w:firstLine="200"/>
              <w:jc w:val="center"/>
              <w:rPr>
                <w:rFonts w:hint="eastAsia" w:ascii="仿宋" w:hAnsi="仿宋" w:eastAsia="仿宋" w:cs="仿宋"/>
                <w:sz w:val="24"/>
                <w:szCs w:val="24"/>
                <w:highlight w:val="none"/>
              </w:rPr>
            </w:pPr>
          </w:p>
        </w:tc>
        <w:tc>
          <w:tcPr>
            <w:tcW w:w="3402" w:type="dxa"/>
            <w:noWrap w:val="0"/>
            <w:vAlign w:val="center"/>
          </w:tcPr>
          <w:p w14:paraId="488C5720">
            <w:pPr>
              <w:pStyle w:val="291"/>
              <w:spacing w:line="560" w:lineRule="exact"/>
              <w:ind w:firstLine="200"/>
              <w:jc w:val="center"/>
              <w:rPr>
                <w:rFonts w:hint="eastAsia" w:ascii="仿宋" w:hAnsi="仿宋" w:eastAsia="仿宋" w:cs="仿宋"/>
                <w:sz w:val="24"/>
                <w:szCs w:val="24"/>
                <w:highlight w:val="none"/>
              </w:rPr>
            </w:pPr>
          </w:p>
        </w:tc>
        <w:tc>
          <w:tcPr>
            <w:tcW w:w="2552" w:type="dxa"/>
            <w:noWrap w:val="0"/>
            <w:vAlign w:val="center"/>
          </w:tcPr>
          <w:p w14:paraId="7133C8A0">
            <w:pPr>
              <w:pStyle w:val="291"/>
              <w:spacing w:line="560" w:lineRule="exact"/>
              <w:ind w:firstLine="200"/>
              <w:jc w:val="center"/>
              <w:rPr>
                <w:rFonts w:hint="eastAsia" w:ascii="仿宋" w:hAnsi="仿宋" w:eastAsia="仿宋" w:cs="仿宋"/>
                <w:sz w:val="24"/>
                <w:szCs w:val="24"/>
                <w:highlight w:val="none"/>
              </w:rPr>
            </w:pPr>
          </w:p>
        </w:tc>
      </w:tr>
      <w:tr w14:paraId="2903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01E2D5F">
            <w:pPr>
              <w:pStyle w:val="291"/>
              <w:spacing w:line="560" w:lineRule="exact"/>
              <w:ind w:firstLine="200"/>
              <w:jc w:val="center"/>
              <w:rPr>
                <w:rFonts w:hint="eastAsia" w:ascii="仿宋" w:hAnsi="仿宋" w:eastAsia="仿宋" w:cs="仿宋"/>
                <w:sz w:val="24"/>
                <w:szCs w:val="24"/>
                <w:highlight w:val="none"/>
              </w:rPr>
            </w:pPr>
          </w:p>
        </w:tc>
        <w:tc>
          <w:tcPr>
            <w:tcW w:w="3402" w:type="dxa"/>
            <w:noWrap w:val="0"/>
            <w:vAlign w:val="center"/>
          </w:tcPr>
          <w:p w14:paraId="134C6488">
            <w:pPr>
              <w:pStyle w:val="291"/>
              <w:spacing w:line="560" w:lineRule="exact"/>
              <w:ind w:firstLine="200"/>
              <w:jc w:val="center"/>
              <w:rPr>
                <w:rFonts w:hint="eastAsia" w:ascii="仿宋" w:hAnsi="仿宋" w:eastAsia="仿宋" w:cs="仿宋"/>
                <w:sz w:val="24"/>
                <w:szCs w:val="24"/>
                <w:highlight w:val="none"/>
              </w:rPr>
            </w:pPr>
          </w:p>
        </w:tc>
        <w:tc>
          <w:tcPr>
            <w:tcW w:w="2552" w:type="dxa"/>
            <w:noWrap w:val="0"/>
            <w:vAlign w:val="center"/>
          </w:tcPr>
          <w:p w14:paraId="7E8C034D">
            <w:pPr>
              <w:pStyle w:val="291"/>
              <w:spacing w:line="560" w:lineRule="exact"/>
              <w:ind w:firstLine="200"/>
              <w:jc w:val="center"/>
              <w:rPr>
                <w:rFonts w:hint="eastAsia" w:ascii="仿宋" w:hAnsi="仿宋" w:eastAsia="仿宋" w:cs="仿宋"/>
                <w:sz w:val="24"/>
                <w:szCs w:val="24"/>
                <w:highlight w:val="none"/>
              </w:rPr>
            </w:pPr>
          </w:p>
        </w:tc>
      </w:tr>
      <w:tr w14:paraId="5478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3F9B5B6">
            <w:pPr>
              <w:pStyle w:val="291"/>
              <w:spacing w:line="560" w:lineRule="exact"/>
              <w:ind w:firstLine="200"/>
              <w:jc w:val="center"/>
              <w:rPr>
                <w:rFonts w:hint="eastAsia" w:ascii="仿宋" w:hAnsi="仿宋" w:eastAsia="仿宋" w:cs="仿宋"/>
                <w:sz w:val="24"/>
                <w:szCs w:val="24"/>
                <w:highlight w:val="none"/>
              </w:rPr>
            </w:pPr>
          </w:p>
        </w:tc>
        <w:tc>
          <w:tcPr>
            <w:tcW w:w="3402" w:type="dxa"/>
            <w:noWrap w:val="0"/>
            <w:vAlign w:val="center"/>
          </w:tcPr>
          <w:p w14:paraId="317FDDE3">
            <w:pPr>
              <w:pStyle w:val="291"/>
              <w:spacing w:line="560" w:lineRule="exact"/>
              <w:ind w:firstLine="200"/>
              <w:jc w:val="center"/>
              <w:rPr>
                <w:rFonts w:hint="eastAsia" w:ascii="仿宋" w:hAnsi="仿宋" w:eastAsia="仿宋" w:cs="仿宋"/>
                <w:sz w:val="24"/>
                <w:szCs w:val="24"/>
                <w:highlight w:val="none"/>
              </w:rPr>
            </w:pPr>
          </w:p>
        </w:tc>
        <w:tc>
          <w:tcPr>
            <w:tcW w:w="2552" w:type="dxa"/>
            <w:noWrap w:val="0"/>
            <w:vAlign w:val="center"/>
          </w:tcPr>
          <w:p w14:paraId="7966A001">
            <w:pPr>
              <w:pStyle w:val="291"/>
              <w:spacing w:line="560" w:lineRule="exact"/>
              <w:ind w:firstLine="200"/>
              <w:jc w:val="center"/>
              <w:rPr>
                <w:rFonts w:hint="eastAsia" w:ascii="仿宋" w:hAnsi="仿宋" w:eastAsia="仿宋" w:cs="仿宋"/>
                <w:sz w:val="24"/>
                <w:szCs w:val="24"/>
                <w:highlight w:val="none"/>
              </w:rPr>
            </w:pPr>
          </w:p>
        </w:tc>
      </w:tr>
      <w:tr w14:paraId="6601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2931893">
            <w:pPr>
              <w:pStyle w:val="291"/>
              <w:spacing w:line="560" w:lineRule="exact"/>
              <w:ind w:firstLine="200"/>
              <w:jc w:val="center"/>
              <w:rPr>
                <w:rFonts w:hint="eastAsia" w:ascii="仿宋" w:hAnsi="仿宋" w:eastAsia="仿宋" w:cs="仿宋"/>
                <w:sz w:val="24"/>
                <w:szCs w:val="24"/>
                <w:highlight w:val="none"/>
              </w:rPr>
            </w:pPr>
          </w:p>
        </w:tc>
        <w:tc>
          <w:tcPr>
            <w:tcW w:w="3402" w:type="dxa"/>
            <w:noWrap w:val="0"/>
            <w:vAlign w:val="center"/>
          </w:tcPr>
          <w:p w14:paraId="009D9F41">
            <w:pPr>
              <w:pStyle w:val="291"/>
              <w:spacing w:line="560" w:lineRule="exact"/>
              <w:ind w:firstLine="200"/>
              <w:jc w:val="center"/>
              <w:rPr>
                <w:rFonts w:hint="eastAsia" w:ascii="仿宋" w:hAnsi="仿宋" w:eastAsia="仿宋" w:cs="仿宋"/>
                <w:sz w:val="24"/>
                <w:szCs w:val="24"/>
                <w:highlight w:val="none"/>
              </w:rPr>
            </w:pPr>
          </w:p>
        </w:tc>
        <w:tc>
          <w:tcPr>
            <w:tcW w:w="2552" w:type="dxa"/>
            <w:noWrap w:val="0"/>
            <w:vAlign w:val="center"/>
          </w:tcPr>
          <w:p w14:paraId="54E68BE2">
            <w:pPr>
              <w:pStyle w:val="291"/>
              <w:spacing w:line="560" w:lineRule="exact"/>
              <w:ind w:firstLine="200"/>
              <w:jc w:val="center"/>
              <w:rPr>
                <w:rFonts w:hint="eastAsia" w:ascii="仿宋" w:hAnsi="仿宋" w:eastAsia="仿宋" w:cs="仿宋"/>
                <w:sz w:val="24"/>
                <w:szCs w:val="24"/>
                <w:highlight w:val="none"/>
              </w:rPr>
            </w:pPr>
          </w:p>
        </w:tc>
      </w:tr>
      <w:tr w14:paraId="29BB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4EBDAC4D">
            <w:pPr>
              <w:pStyle w:val="291"/>
              <w:spacing w:line="560" w:lineRule="exact"/>
              <w:ind w:firstLine="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总价</w:t>
            </w:r>
          </w:p>
        </w:tc>
        <w:tc>
          <w:tcPr>
            <w:tcW w:w="2552" w:type="dxa"/>
            <w:noWrap w:val="0"/>
            <w:vAlign w:val="center"/>
          </w:tcPr>
          <w:p w14:paraId="06FB6F4A">
            <w:pPr>
              <w:pStyle w:val="291"/>
              <w:spacing w:line="560" w:lineRule="exact"/>
              <w:ind w:firstLine="200"/>
              <w:jc w:val="center"/>
              <w:rPr>
                <w:rFonts w:hint="eastAsia" w:ascii="仿宋" w:hAnsi="仿宋" w:eastAsia="仿宋" w:cs="仿宋"/>
                <w:sz w:val="24"/>
                <w:szCs w:val="24"/>
                <w:highlight w:val="none"/>
              </w:rPr>
            </w:pPr>
          </w:p>
        </w:tc>
      </w:tr>
    </w:tbl>
    <w:p w14:paraId="3FDE8857">
      <w:pPr>
        <w:spacing w:line="560" w:lineRule="exact"/>
        <w:ind w:firstLine="482" w:firstLineChars="200"/>
        <w:outlineLvl w:val="9"/>
        <w:rPr>
          <w:rFonts w:hint="eastAsia" w:ascii="仿宋" w:hAnsi="仿宋" w:eastAsia="仿宋" w:cs="仿宋"/>
          <w:b/>
          <w:sz w:val="24"/>
          <w:szCs w:val="24"/>
          <w:highlight w:val="none"/>
        </w:rPr>
      </w:pPr>
      <w:bookmarkStart w:id="119" w:name="_Toc16172"/>
      <w:bookmarkStart w:id="120" w:name="_Toc30506"/>
      <w:bookmarkStart w:id="121" w:name="_Toc2333"/>
      <w:bookmarkStart w:id="122" w:name="_Toc30158"/>
      <w:bookmarkStart w:id="123" w:name="_Toc3654"/>
      <w:bookmarkStart w:id="124" w:name="_Toc26916"/>
      <w:bookmarkStart w:id="125" w:name="_Toc14993"/>
      <w:r>
        <w:rPr>
          <w:rFonts w:hint="eastAsia" w:ascii="仿宋" w:hAnsi="仿宋" w:eastAsia="仿宋" w:cs="仿宋"/>
          <w:b/>
          <w:sz w:val="24"/>
          <w:szCs w:val="24"/>
          <w:highlight w:val="none"/>
        </w:rPr>
        <w:t>1.4 付款方式和发票开具方式</w:t>
      </w:r>
      <w:bookmarkEnd w:id="119"/>
      <w:bookmarkEnd w:id="120"/>
      <w:bookmarkEnd w:id="121"/>
      <w:bookmarkEnd w:id="122"/>
      <w:bookmarkEnd w:id="123"/>
      <w:bookmarkEnd w:id="124"/>
      <w:bookmarkEnd w:id="125"/>
    </w:p>
    <w:p w14:paraId="79524050">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1.4.1付款方式：；</w:t>
      </w:r>
    </w:p>
    <w:p w14:paraId="667D84BE">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1.4.2 发票开具方式：。</w:t>
      </w:r>
    </w:p>
    <w:p w14:paraId="07A75F04">
      <w:pPr>
        <w:spacing w:line="560" w:lineRule="exact"/>
        <w:ind w:firstLine="482" w:firstLineChars="200"/>
        <w:outlineLvl w:val="9"/>
        <w:rPr>
          <w:rFonts w:hint="eastAsia" w:ascii="仿宋" w:hAnsi="仿宋" w:eastAsia="仿宋" w:cs="仿宋"/>
          <w:b/>
          <w:sz w:val="24"/>
          <w:szCs w:val="24"/>
          <w:highlight w:val="none"/>
        </w:rPr>
      </w:pPr>
      <w:bookmarkStart w:id="126" w:name="_Toc8772"/>
      <w:bookmarkStart w:id="127" w:name="_Toc4760"/>
      <w:bookmarkStart w:id="128" w:name="_Toc11108"/>
      <w:bookmarkStart w:id="129" w:name="_Toc3625"/>
      <w:bookmarkStart w:id="130" w:name="_Toc25014"/>
      <w:bookmarkStart w:id="131" w:name="_Toc31421"/>
      <w:bookmarkStart w:id="132" w:name="_Toc28912"/>
      <w:r>
        <w:rPr>
          <w:rFonts w:hint="eastAsia" w:ascii="仿宋" w:hAnsi="仿宋" w:eastAsia="仿宋" w:cs="仿宋"/>
          <w:b/>
          <w:sz w:val="24"/>
          <w:szCs w:val="24"/>
          <w:highlight w:val="none"/>
        </w:rPr>
        <w:t>1.5 履行期限、地点和方式</w:t>
      </w:r>
      <w:bookmarkEnd w:id="126"/>
      <w:bookmarkEnd w:id="127"/>
      <w:bookmarkEnd w:id="128"/>
      <w:bookmarkEnd w:id="129"/>
      <w:bookmarkEnd w:id="130"/>
      <w:bookmarkEnd w:id="131"/>
      <w:bookmarkEnd w:id="132"/>
    </w:p>
    <w:p w14:paraId="10BC9C19">
      <w:pPr>
        <w:spacing w:line="560" w:lineRule="exact"/>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1.5.1 履行期限：；</w:t>
      </w:r>
    </w:p>
    <w:p w14:paraId="6E577B85">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1.5.2 履行地点：；</w:t>
      </w:r>
    </w:p>
    <w:p w14:paraId="0CC289CC">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1.5.3 履行方式：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14:paraId="60876ABE">
      <w:pPr>
        <w:spacing w:line="560" w:lineRule="exact"/>
        <w:ind w:firstLine="482" w:firstLineChars="200"/>
        <w:outlineLvl w:val="9"/>
        <w:rPr>
          <w:rFonts w:hint="eastAsia" w:ascii="仿宋" w:hAnsi="仿宋" w:eastAsia="仿宋" w:cs="仿宋"/>
          <w:sz w:val="24"/>
          <w:szCs w:val="24"/>
          <w:highlight w:val="none"/>
          <w:u w:val="single"/>
        </w:rPr>
      </w:pPr>
      <w:bookmarkStart w:id="133" w:name="_Toc24662"/>
      <w:bookmarkStart w:id="134" w:name="_Toc2375"/>
      <w:bookmarkStart w:id="135" w:name="_Toc5698"/>
      <w:bookmarkStart w:id="136" w:name="_Toc3079"/>
      <w:bookmarkStart w:id="137" w:name="_Toc32326"/>
      <w:bookmarkStart w:id="138" w:name="_Toc8586"/>
      <w:bookmarkStart w:id="139" w:name="_Toc1523"/>
      <w:r>
        <w:rPr>
          <w:rFonts w:hint="eastAsia" w:ascii="仿宋" w:hAnsi="仿宋" w:eastAsia="仿宋" w:cs="仿宋"/>
          <w:b/>
          <w:sz w:val="24"/>
          <w:szCs w:val="24"/>
          <w:highlight w:val="none"/>
        </w:rPr>
        <w:t>1.6 违约责任</w:t>
      </w:r>
      <w:bookmarkEnd w:id="133"/>
      <w:bookmarkEnd w:id="134"/>
      <w:bookmarkEnd w:id="135"/>
      <w:bookmarkEnd w:id="136"/>
      <w:bookmarkEnd w:id="137"/>
      <w:bookmarkEnd w:id="138"/>
      <w:bookmarkEnd w:id="139"/>
    </w:p>
    <w:p w14:paraId="0ED33D3B">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1.6.1 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14:paraId="25E3B284">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14:paraId="293B19DB">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36084A5B">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BE9B37E">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11B819D">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1A56AEC0">
      <w:pPr>
        <w:spacing w:line="560" w:lineRule="exact"/>
        <w:ind w:firstLine="482" w:firstLineChars="200"/>
        <w:outlineLvl w:val="9"/>
        <w:rPr>
          <w:rFonts w:hint="eastAsia" w:ascii="仿宋" w:hAnsi="仿宋" w:eastAsia="仿宋" w:cs="仿宋"/>
          <w:b/>
          <w:sz w:val="24"/>
          <w:szCs w:val="24"/>
          <w:highlight w:val="none"/>
        </w:rPr>
      </w:pPr>
      <w:bookmarkStart w:id="140" w:name="_Toc11411"/>
      <w:bookmarkStart w:id="141" w:name="_Toc9497"/>
      <w:bookmarkStart w:id="142" w:name="_Toc30329"/>
      <w:bookmarkStart w:id="143" w:name="_Toc8910"/>
      <w:bookmarkStart w:id="144" w:name="_Toc18683"/>
      <w:bookmarkStart w:id="145" w:name="_Toc32454"/>
      <w:bookmarkStart w:id="146" w:name="_Toc26807"/>
      <w:r>
        <w:rPr>
          <w:rFonts w:hint="eastAsia" w:ascii="仿宋" w:hAnsi="仿宋" w:eastAsia="仿宋" w:cs="仿宋"/>
          <w:b/>
          <w:sz w:val="24"/>
          <w:szCs w:val="24"/>
          <w:highlight w:val="none"/>
        </w:rPr>
        <w:t>1.7 合同争议的解决</w:t>
      </w:r>
      <w:bookmarkEnd w:id="140"/>
      <w:bookmarkEnd w:id="141"/>
      <w:bookmarkEnd w:id="142"/>
      <w:bookmarkEnd w:id="143"/>
      <w:bookmarkEnd w:id="144"/>
      <w:bookmarkEnd w:id="145"/>
      <w:bookmarkEnd w:id="146"/>
    </w:p>
    <w:p w14:paraId="6C9603D5">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本合同履行过程中发生的任何争议，双方当事人均可通过和解或者调解解决；不愿和解、调解或者和解、调解不成的，可以选择下列第种方式解决：</w:t>
      </w:r>
    </w:p>
    <w:p w14:paraId="69A67930">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1.7.1 将争议提交仲裁委员会依申请仲裁时其现行有效的仲裁规则裁决；</w:t>
      </w:r>
    </w:p>
    <w:p w14:paraId="1B5F637A">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1.7.2 向</w:t>
      </w:r>
      <w:r>
        <w:rPr>
          <w:rFonts w:hint="eastAsia" w:ascii="仿宋" w:hAnsi="仿宋" w:eastAsia="仿宋" w:cs="仿宋"/>
          <w:sz w:val="24"/>
          <w:szCs w:val="24"/>
          <w:highlight w:val="none"/>
          <w:u w:val="single"/>
        </w:rPr>
        <w:t xml:space="preserve">   （被告住所地、合同履行地、合同签订地、原告住所地、标的物所在地等与争议有实际联系的地点中选出的人民法院名称）    </w:t>
      </w:r>
      <w:r>
        <w:rPr>
          <w:rFonts w:hint="eastAsia" w:ascii="仿宋" w:hAnsi="仿宋" w:eastAsia="仿宋" w:cs="仿宋"/>
          <w:sz w:val="24"/>
          <w:szCs w:val="24"/>
          <w:highlight w:val="none"/>
        </w:rPr>
        <w:t>人民法院起诉。</w:t>
      </w:r>
    </w:p>
    <w:p w14:paraId="6E8C55CB">
      <w:pPr>
        <w:spacing w:line="560" w:lineRule="exact"/>
        <w:ind w:firstLine="482" w:firstLineChars="200"/>
        <w:outlineLvl w:val="9"/>
        <w:rPr>
          <w:rFonts w:hint="eastAsia" w:ascii="仿宋" w:hAnsi="仿宋" w:eastAsia="仿宋" w:cs="仿宋"/>
          <w:b/>
          <w:sz w:val="24"/>
          <w:szCs w:val="24"/>
          <w:highlight w:val="none"/>
        </w:rPr>
      </w:pPr>
      <w:bookmarkStart w:id="147" w:name="_Toc15827"/>
      <w:bookmarkStart w:id="148" w:name="_Toc16417"/>
      <w:bookmarkStart w:id="149" w:name="_Toc12273"/>
      <w:bookmarkStart w:id="150" w:name="_Toc23784"/>
      <w:bookmarkStart w:id="151" w:name="_Toc29261"/>
      <w:bookmarkStart w:id="152" w:name="_Toc26208"/>
      <w:bookmarkStart w:id="153" w:name="_Toc26227"/>
      <w:r>
        <w:rPr>
          <w:rFonts w:hint="eastAsia" w:ascii="仿宋" w:hAnsi="仿宋" w:eastAsia="仿宋" w:cs="仿宋"/>
          <w:b/>
          <w:sz w:val="24"/>
          <w:szCs w:val="24"/>
          <w:highlight w:val="none"/>
        </w:rPr>
        <w:t>1.8 合同生效</w:t>
      </w:r>
      <w:bookmarkEnd w:id="147"/>
      <w:bookmarkEnd w:id="148"/>
      <w:bookmarkEnd w:id="149"/>
      <w:bookmarkEnd w:id="150"/>
      <w:bookmarkEnd w:id="151"/>
      <w:bookmarkEnd w:id="152"/>
      <w:bookmarkEnd w:id="153"/>
    </w:p>
    <w:p w14:paraId="08E8005F">
      <w:pPr>
        <w:spacing w:line="560" w:lineRule="exact"/>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本合同自双方当事人盖章或者签字时生效。</w:t>
      </w:r>
    </w:p>
    <w:p w14:paraId="0BC1690D">
      <w:pPr>
        <w:autoSpaceDE w:val="0"/>
        <w:autoSpaceDN w:val="0"/>
        <w:adjustRightInd w:val="0"/>
        <w:spacing w:line="560" w:lineRule="exact"/>
        <w:rPr>
          <w:rFonts w:hint="eastAsia" w:ascii="仿宋" w:hAnsi="仿宋" w:eastAsia="仿宋" w:cs="仿宋"/>
          <w:sz w:val="24"/>
          <w:szCs w:val="24"/>
          <w:highlight w:val="none"/>
          <w:lang w:val="zh-CN"/>
        </w:rPr>
      </w:pPr>
    </w:p>
    <w:p w14:paraId="29B28A70">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b/>
          <w:sz w:val="24"/>
          <w:szCs w:val="24"/>
          <w:highlight w:val="none"/>
          <w:lang w:val="zh-CN"/>
        </w:rPr>
        <w:t>甲方</w:t>
      </w:r>
      <w:r>
        <w:rPr>
          <w:rFonts w:hint="eastAsia" w:ascii="仿宋" w:hAnsi="仿宋" w:eastAsia="仿宋" w:cs="仿宋"/>
          <w:sz w:val="24"/>
          <w:szCs w:val="24"/>
          <w:highlight w:val="none"/>
          <w:lang w:val="zh-CN"/>
        </w:rPr>
        <w:t xml:space="preserve">：                             </w:t>
      </w:r>
      <w:r>
        <w:rPr>
          <w:rFonts w:hint="eastAsia" w:ascii="仿宋" w:hAnsi="仿宋" w:eastAsia="仿宋" w:cs="仿宋"/>
          <w:b/>
          <w:sz w:val="24"/>
          <w:szCs w:val="24"/>
          <w:highlight w:val="none"/>
          <w:lang w:val="zh-CN"/>
        </w:rPr>
        <w:t xml:space="preserve">      乙方</w:t>
      </w:r>
      <w:r>
        <w:rPr>
          <w:rFonts w:hint="eastAsia" w:ascii="仿宋" w:hAnsi="仿宋" w:eastAsia="仿宋" w:cs="仿宋"/>
          <w:sz w:val="24"/>
          <w:szCs w:val="24"/>
          <w:highlight w:val="none"/>
          <w:lang w:val="zh-CN"/>
        </w:rPr>
        <w:t>：</w:t>
      </w:r>
    </w:p>
    <w:p w14:paraId="49D7560B">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统一社会信用代码：                        统一社会信用代码或身份证号码：</w:t>
      </w:r>
    </w:p>
    <w:p w14:paraId="6D8A4A7C">
      <w:pPr>
        <w:autoSpaceDE w:val="0"/>
        <w:autoSpaceDN w:val="0"/>
        <w:adjustRightInd w:val="0"/>
        <w:spacing w:line="560" w:lineRule="exact"/>
        <w:rPr>
          <w:rFonts w:hint="eastAsia" w:ascii="仿宋" w:hAnsi="仿宋" w:eastAsia="仿宋" w:cs="仿宋"/>
          <w:sz w:val="24"/>
          <w:szCs w:val="24"/>
          <w:highlight w:val="none"/>
          <w:lang w:val="zh-CN"/>
        </w:rPr>
      </w:pPr>
    </w:p>
    <w:p w14:paraId="70D24DBF">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住所：                                   住所：</w:t>
      </w:r>
    </w:p>
    <w:p w14:paraId="2251ABDF">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法定代表人或                             法定代表人</w:t>
      </w:r>
    </w:p>
    <w:p w14:paraId="01BBE23A">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 xml:space="preserve">授权代表（签字）：                        或授权代表（签字）: </w:t>
      </w:r>
    </w:p>
    <w:p w14:paraId="6EE9473C">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联系人：                                 联系人：</w:t>
      </w:r>
    </w:p>
    <w:p w14:paraId="1D7CF2E8">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约定送达地址：                           约定送达地址：</w:t>
      </w:r>
    </w:p>
    <w:p w14:paraId="2C0478B7">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邮政编码：                               邮政编码：</w:t>
      </w:r>
    </w:p>
    <w:p w14:paraId="12102573">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 xml:space="preserve">电话:                                    电话: </w:t>
      </w:r>
    </w:p>
    <w:p w14:paraId="6A434E4C">
      <w:pPr>
        <w:autoSpaceDE w:val="0"/>
        <w:autoSpaceDN w:val="0"/>
        <w:adjustRightInd w:val="0"/>
        <w:spacing w:line="56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传真:                                    传真:</w:t>
      </w:r>
    </w:p>
    <w:p w14:paraId="341AF166">
      <w:pPr>
        <w:autoSpaceDE w:val="0"/>
        <w:autoSpaceDN w:val="0"/>
        <w:adjustRightIn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电子邮箱：                               电子邮箱：</w:t>
      </w:r>
    </w:p>
    <w:p w14:paraId="27C5142C">
      <w:pPr>
        <w:autoSpaceDE w:val="0"/>
        <w:autoSpaceDN w:val="0"/>
        <w:adjustRightIn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开户银行：                               开户银行： </w:t>
      </w:r>
    </w:p>
    <w:p w14:paraId="760779CC">
      <w:pPr>
        <w:autoSpaceDE w:val="0"/>
        <w:autoSpaceDN w:val="0"/>
        <w:adjustRightIn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开户名称：                               开户名称： </w:t>
      </w:r>
    </w:p>
    <w:p w14:paraId="0EBBFFDC">
      <w:pPr>
        <w:autoSpaceDE w:val="0"/>
        <w:autoSpaceDN w:val="0"/>
        <w:adjustRightInd w:val="0"/>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开户账号：                               开户账号：</w:t>
      </w:r>
    </w:p>
    <w:p w14:paraId="220603E6">
      <w:pPr>
        <w:pStyle w:val="62"/>
        <w:spacing w:line="560" w:lineRule="exact"/>
        <w:ind w:firstLine="200"/>
        <w:jc w:val="center"/>
        <w:rPr>
          <w:rFonts w:hint="eastAsia" w:ascii="仿宋" w:hAnsi="仿宋" w:eastAsia="仿宋" w:cs="仿宋"/>
          <w:b/>
          <w:sz w:val="24"/>
          <w:szCs w:val="24"/>
          <w:highlight w:val="none"/>
        </w:rPr>
      </w:pPr>
      <w:bookmarkStart w:id="154" w:name="_Toc331685783"/>
      <w:r>
        <w:rPr>
          <w:rFonts w:hint="eastAsia" w:ascii="仿宋" w:hAnsi="仿宋" w:eastAsia="仿宋" w:cs="仿宋"/>
          <w:b/>
          <w:sz w:val="24"/>
          <w:szCs w:val="24"/>
          <w:highlight w:val="none"/>
        </w:rPr>
        <w:t>第二部分 合同一般条款</w:t>
      </w:r>
      <w:bookmarkEnd w:id="154"/>
    </w:p>
    <w:p w14:paraId="2A7DCA46">
      <w:pPr>
        <w:spacing w:line="560" w:lineRule="exact"/>
        <w:ind w:firstLine="482" w:firstLineChars="200"/>
        <w:outlineLvl w:val="9"/>
        <w:rPr>
          <w:rFonts w:hint="eastAsia" w:ascii="仿宋" w:hAnsi="仿宋" w:eastAsia="仿宋" w:cs="仿宋"/>
          <w:b/>
          <w:sz w:val="24"/>
          <w:szCs w:val="24"/>
          <w:highlight w:val="none"/>
        </w:rPr>
      </w:pPr>
      <w:bookmarkStart w:id="155" w:name="_Ref467379094"/>
      <w:bookmarkStart w:id="156" w:name="_Toc5228"/>
      <w:bookmarkStart w:id="157" w:name="_Toc14021"/>
      <w:bookmarkStart w:id="158" w:name="_Toc31297"/>
      <w:bookmarkStart w:id="159" w:name="_Toc25079"/>
      <w:bookmarkStart w:id="160" w:name="_Ref467379109"/>
      <w:bookmarkStart w:id="161" w:name="_Toc19680"/>
      <w:bookmarkStart w:id="162" w:name="_Ref467379101"/>
      <w:bookmarkStart w:id="163" w:name="_Ref467379214"/>
      <w:bookmarkStart w:id="164" w:name="_Toc9344"/>
      <w:bookmarkStart w:id="165" w:name="_Toc14561"/>
      <w:bookmarkStart w:id="166" w:name="_Toc259093669"/>
      <w:bookmarkStart w:id="167" w:name="_Ref467379225"/>
      <w:bookmarkStart w:id="168" w:name="_Ref467378463"/>
      <w:bookmarkStart w:id="169" w:name="_Ref467379195"/>
      <w:bookmarkStart w:id="170" w:name="_Ref467379205"/>
      <w:bookmarkStart w:id="171" w:name="_Ref467378404"/>
      <w:bookmarkStart w:id="172" w:name="_Ref467378499"/>
      <w:bookmarkStart w:id="173" w:name="_Toc279701240"/>
      <w:bookmarkStart w:id="174" w:name="_Toc487900349"/>
      <w:r>
        <w:rPr>
          <w:rFonts w:hint="eastAsia" w:ascii="仿宋" w:hAnsi="仿宋" w:eastAsia="仿宋" w:cs="仿宋"/>
          <w:b/>
          <w:sz w:val="24"/>
          <w:szCs w:val="24"/>
          <w:highlight w:val="none"/>
        </w:rPr>
        <w:t>2.1 定义</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581E73F6">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本合同中的下列词语应按以下内容进行解释：</w:t>
      </w:r>
    </w:p>
    <w:p w14:paraId="4140642F">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2.1.1 “合同”系指采购人和中标供应商签订的载明双方当事人所达成的协议，并包括所有的附件、附录和构成合同的其他文件。</w:t>
      </w:r>
    </w:p>
    <w:p w14:paraId="7CB68627">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2.1.2 “合同价”系指根据合同约定，中标供应商在完全履行合同义务后，采购人应支付给中标供应商的价格。</w:t>
      </w:r>
    </w:p>
    <w:p w14:paraId="37381433">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2.1.3 “服务”系指中标供应商根据合同约定应向采购人履行的除货物和工程以外的其他政府采购对象，包括采购人自身需要的服务和向社会公众提供的公共服务。</w:t>
      </w:r>
    </w:p>
    <w:p w14:paraId="30419194">
      <w:pPr>
        <w:spacing w:line="560" w:lineRule="exact"/>
        <w:ind w:firstLine="480" w:firstLineChars="200"/>
        <w:rPr>
          <w:rFonts w:hint="eastAsia" w:ascii="仿宋" w:hAnsi="仿宋" w:eastAsia="仿宋" w:cs="仿宋"/>
          <w:sz w:val="24"/>
          <w:szCs w:val="24"/>
          <w:highlight w:val="none"/>
        </w:rPr>
      </w:pPr>
      <w:bookmarkStart w:id="175" w:name="_Ref467378840"/>
      <w:r>
        <w:rPr>
          <w:rFonts w:hint="eastAsia" w:ascii="仿宋" w:hAnsi="仿宋" w:eastAsia="仿宋" w:cs="仿宋"/>
          <w:sz w:val="24"/>
          <w:szCs w:val="24"/>
          <w:highlight w:val="none"/>
        </w:rPr>
        <w:t>2.1.4 “甲方”系指与中标供应商签署合同的采购人</w:t>
      </w:r>
      <w:bookmarkEnd w:id="175"/>
      <w:r>
        <w:rPr>
          <w:rFonts w:hint="eastAsia" w:ascii="仿宋" w:hAnsi="仿宋" w:eastAsia="仿宋" w:cs="仿宋"/>
          <w:sz w:val="24"/>
          <w:szCs w:val="24"/>
          <w:highlight w:val="none"/>
        </w:rPr>
        <w:t>；采购人委托采购代理机构代表其与乙方签订合同的，采购人的授权委托书作为合同附件。</w:t>
      </w:r>
    </w:p>
    <w:p w14:paraId="38A31294">
      <w:pPr>
        <w:spacing w:line="560" w:lineRule="exact"/>
        <w:ind w:firstLine="480" w:firstLineChars="200"/>
        <w:rPr>
          <w:rFonts w:hint="eastAsia" w:ascii="仿宋" w:hAnsi="仿宋" w:eastAsia="仿宋" w:cs="仿宋"/>
          <w:sz w:val="24"/>
          <w:szCs w:val="24"/>
          <w:highlight w:val="none"/>
        </w:rPr>
      </w:pPr>
      <w:bookmarkStart w:id="176" w:name="_Ref467379400"/>
      <w:r>
        <w:rPr>
          <w:rFonts w:hint="eastAsia" w:ascii="仿宋" w:hAnsi="仿宋" w:eastAsia="仿宋" w:cs="仿宋"/>
          <w:sz w:val="24"/>
          <w:szCs w:val="24"/>
          <w:highlight w:val="none"/>
        </w:rPr>
        <w:t>2.1.5 “乙方”系指根据合同约定提供服务的中标供应商</w:t>
      </w:r>
      <w:bookmarkEnd w:id="176"/>
      <w:r>
        <w:rPr>
          <w:rFonts w:hint="eastAsia" w:ascii="仿宋" w:hAnsi="仿宋" w:eastAsia="仿宋" w:cs="仿宋"/>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8CFB07E">
      <w:pPr>
        <w:spacing w:line="560" w:lineRule="exact"/>
        <w:ind w:firstLine="480" w:firstLineChars="200"/>
        <w:rPr>
          <w:rFonts w:hint="eastAsia" w:ascii="仿宋" w:hAnsi="仿宋" w:eastAsia="仿宋" w:cs="仿宋"/>
          <w:sz w:val="24"/>
          <w:szCs w:val="24"/>
          <w:highlight w:val="none"/>
        </w:rPr>
      </w:pPr>
      <w:bookmarkStart w:id="177" w:name="_Ref467379436"/>
      <w:r>
        <w:rPr>
          <w:rFonts w:hint="eastAsia" w:ascii="仿宋" w:hAnsi="仿宋" w:eastAsia="仿宋" w:cs="仿宋"/>
          <w:sz w:val="24"/>
          <w:szCs w:val="24"/>
          <w:highlight w:val="none"/>
        </w:rPr>
        <w:t>2.1.6 “现场”系指合同约定提供服务的地点。</w:t>
      </w:r>
      <w:bookmarkEnd w:id="177"/>
    </w:p>
    <w:p w14:paraId="0894630B">
      <w:pPr>
        <w:spacing w:line="560" w:lineRule="exact"/>
        <w:ind w:firstLine="482" w:firstLineChars="200"/>
        <w:outlineLvl w:val="9"/>
        <w:rPr>
          <w:rFonts w:hint="eastAsia" w:ascii="仿宋" w:hAnsi="仿宋" w:eastAsia="仿宋" w:cs="仿宋"/>
          <w:b/>
          <w:sz w:val="24"/>
          <w:szCs w:val="24"/>
          <w:highlight w:val="none"/>
        </w:rPr>
      </w:pPr>
      <w:bookmarkStart w:id="178" w:name="_Toc259093670"/>
      <w:bookmarkStart w:id="179" w:name="_Toc487900350"/>
      <w:bookmarkStart w:id="180" w:name="_Toc3769"/>
      <w:bookmarkStart w:id="181" w:name="_Toc279701241"/>
      <w:bookmarkStart w:id="182" w:name="_Toc31402"/>
      <w:bookmarkStart w:id="183" w:name="_Toc19539"/>
      <w:bookmarkStart w:id="184" w:name="_Toc26327"/>
      <w:bookmarkStart w:id="185" w:name="_Toc25605"/>
      <w:bookmarkStart w:id="186" w:name="_Toc23289"/>
      <w:bookmarkStart w:id="187" w:name="_Toc16752"/>
      <w:r>
        <w:rPr>
          <w:rFonts w:hint="eastAsia" w:ascii="仿宋" w:hAnsi="仿宋" w:eastAsia="仿宋" w:cs="仿宋"/>
          <w:b/>
          <w:sz w:val="24"/>
          <w:szCs w:val="24"/>
          <w:highlight w:val="none"/>
        </w:rPr>
        <w:t>2.2 技术规范</w:t>
      </w:r>
      <w:bookmarkEnd w:id="178"/>
      <w:bookmarkEnd w:id="179"/>
      <w:bookmarkEnd w:id="180"/>
      <w:bookmarkEnd w:id="181"/>
      <w:bookmarkEnd w:id="182"/>
      <w:bookmarkEnd w:id="183"/>
      <w:bookmarkEnd w:id="184"/>
      <w:bookmarkEnd w:id="185"/>
      <w:bookmarkEnd w:id="186"/>
      <w:bookmarkEnd w:id="187"/>
    </w:p>
    <w:p w14:paraId="0785F232">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9030C50">
      <w:pPr>
        <w:spacing w:line="560" w:lineRule="exact"/>
        <w:ind w:firstLine="482" w:firstLineChars="200"/>
        <w:outlineLvl w:val="9"/>
        <w:rPr>
          <w:rFonts w:hint="eastAsia" w:ascii="仿宋" w:hAnsi="仿宋" w:eastAsia="仿宋" w:cs="仿宋"/>
          <w:b/>
          <w:sz w:val="24"/>
          <w:szCs w:val="24"/>
          <w:highlight w:val="none"/>
        </w:rPr>
      </w:pPr>
      <w:bookmarkStart w:id="188" w:name="_Toc14985"/>
      <w:bookmarkStart w:id="189" w:name="_Toc9161"/>
      <w:bookmarkStart w:id="190" w:name="_Toc487900351"/>
      <w:bookmarkStart w:id="191" w:name="_Toc259093671"/>
      <w:bookmarkStart w:id="192" w:name="_Toc27945"/>
      <w:bookmarkStart w:id="193" w:name="_Toc279701242"/>
      <w:bookmarkStart w:id="194" w:name="_Toc13673"/>
      <w:bookmarkStart w:id="195" w:name="_Toc12412"/>
      <w:bookmarkStart w:id="196" w:name="_Toc15608"/>
      <w:bookmarkStart w:id="197" w:name="_Toc4133"/>
      <w:r>
        <w:rPr>
          <w:rFonts w:hint="eastAsia" w:ascii="仿宋" w:hAnsi="仿宋" w:eastAsia="仿宋" w:cs="仿宋"/>
          <w:b/>
          <w:sz w:val="24"/>
          <w:szCs w:val="24"/>
          <w:highlight w:val="none"/>
        </w:rPr>
        <w:t>2.3 知识产权</w:t>
      </w:r>
      <w:bookmarkEnd w:id="188"/>
      <w:bookmarkEnd w:id="189"/>
      <w:bookmarkEnd w:id="190"/>
      <w:bookmarkEnd w:id="191"/>
      <w:bookmarkEnd w:id="192"/>
      <w:bookmarkEnd w:id="193"/>
      <w:bookmarkEnd w:id="194"/>
      <w:bookmarkEnd w:id="195"/>
      <w:bookmarkEnd w:id="196"/>
      <w:bookmarkEnd w:id="197"/>
    </w:p>
    <w:p w14:paraId="38808148">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6A968893">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2.3.2 合同涉及技术成果的归属和收益的分成办法的，详见</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w:t>
      </w:r>
    </w:p>
    <w:p w14:paraId="18288F0E">
      <w:pPr>
        <w:spacing w:line="56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2.4 履约检查和问题反馈</w:t>
      </w:r>
    </w:p>
    <w:p w14:paraId="5E50B451">
      <w:pPr>
        <w:spacing w:line="560" w:lineRule="exact"/>
        <w:ind w:firstLine="480" w:firstLineChars="200"/>
        <w:rPr>
          <w:rFonts w:hint="eastAsia" w:ascii="仿宋" w:hAnsi="仿宋" w:eastAsia="仿宋" w:cs="仿宋"/>
          <w:sz w:val="24"/>
          <w:szCs w:val="24"/>
          <w:highlight w:val="none"/>
        </w:rPr>
      </w:pPr>
      <w:bookmarkStart w:id="198" w:name="_Ref467379657"/>
      <w:r>
        <w:rPr>
          <w:rFonts w:hint="eastAsia" w:ascii="仿宋" w:hAnsi="仿宋" w:eastAsia="仿宋" w:cs="仿宋"/>
          <w:sz w:val="24"/>
          <w:szCs w:val="24"/>
          <w:highlight w:val="none"/>
        </w:rPr>
        <w:t>2.4.1</w:t>
      </w:r>
      <w:bookmarkEnd w:id="198"/>
      <w:bookmarkStart w:id="199" w:name="_Toc186431854"/>
      <w:bookmarkStart w:id="200" w:name="_Toc279701247"/>
      <w:bookmarkStart w:id="201" w:name="_Ref467379793"/>
      <w:bookmarkStart w:id="202" w:name="_Toc259093676"/>
      <w:bookmarkStart w:id="203" w:name="_Ref467379807"/>
      <w:bookmarkStart w:id="204" w:name="_Toc487900357"/>
      <w:r>
        <w:rPr>
          <w:rFonts w:hint="eastAsia" w:ascii="仿宋" w:hAnsi="仿宋" w:eastAsia="仿宋" w:cs="仿宋"/>
          <w:sz w:val="24"/>
          <w:szCs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118F43ED">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2.4.2 合同履行期间，甲方有权将履行过程中出现的问题反馈给乙方，双方当事人应以书面形式约定需要完善和改进的内容</w:t>
      </w:r>
      <w:bookmarkEnd w:id="199"/>
      <w:bookmarkStart w:id="205" w:name="_Toc186431855"/>
      <w:r>
        <w:rPr>
          <w:rFonts w:hint="eastAsia" w:ascii="仿宋" w:hAnsi="仿宋" w:eastAsia="仿宋" w:cs="仿宋"/>
          <w:sz w:val="24"/>
          <w:szCs w:val="24"/>
          <w:highlight w:val="none"/>
        </w:rPr>
        <w:t>。</w:t>
      </w:r>
    </w:p>
    <w:bookmarkEnd w:id="205"/>
    <w:p w14:paraId="2D96F4A4">
      <w:pPr>
        <w:spacing w:line="560" w:lineRule="exact"/>
        <w:ind w:firstLine="482" w:firstLineChars="200"/>
        <w:outlineLvl w:val="9"/>
        <w:rPr>
          <w:rFonts w:hint="eastAsia" w:ascii="仿宋" w:hAnsi="仿宋" w:eastAsia="仿宋" w:cs="仿宋"/>
          <w:b/>
          <w:sz w:val="24"/>
          <w:szCs w:val="24"/>
          <w:highlight w:val="none"/>
        </w:rPr>
      </w:pPr>
      <w:bookmarkStart w:id="206" w:name="_Toc31233"/>
      <w:bookmarkStart w:id="207" w:name="_Toc26938"/>
      <w:bookmarkStart w:id="208" w:name="_Toc32670"/>
      <w:bookmarkStart w:id="209" w:name="_Toc22011"/>
      <w:bookmarkStart w:id="210" w:name="_Toc26555"/>
      <w:bookmarkStart w:id="211" w:name="_Toc15447"/>
      <w:bookmarkStart w:id="212" w:name="_Toc29045"/>
      <w:r>
        <w:rPr>
          <w:rFonts w:hint="eastAsia" w:ascii="仿宋" w:hAnsi="仿宋" w:eastAsia="仿宋" w:cs="仿宋"/>
          <w:b/>
          <w:sz w:val="24"/>
          <w:szCs w:val="24"/>
          <w:highlight w:val="none"/>
        </w:rPr>
        <w:t>2.5 结算方式和付款条件</w:t>
      </w:r>
      <w:bookmarkEnd w:id="200"/>
      <w:bookmarkEnd w:id="201"/>
      <w:bookmarkEnd w:id="202"/>
      <w:bookmarkEnd w:id="203"/>
      <w:bookmarkEnd w:id="204"/>
      <w:bookmarkEnd w:id="206"/>
      <w:bookmarkEnd w:id="207"/>
      <w:bookmarkEnd w:id="208"/>
      <w:bookmarkEnd w:id="209"/>
      <w:bookmarkEnd w:id="210"/>
      <w:bookmarkEnd w:id="211"/>
      <w:bookmarkEnd w:id="212"/>
    </w:p>
    <w:p w14:paraId="5C81D675">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详见</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w:t>
      </w:r>
    </w:p>
    <w:p w14:paraId="0D9D08A3">
      <w:pPr>
        <w:spacing w:line="560" w:lineRule="exact"/>
        <w:ind w:firstLine="482" w:firstLineChars="200"/>
        <w:outlineLvl w:val="9"/>
        <w:rPr>
          <w:rFonts w:hint="eastAsia" w:ascii="仿宋" w:hAnsi="仿宋" w:eastAsia="仿宋" w:cs="仿宋"/>
          <w:b/>
          <w:sz w:val="24"/>
          <w:szCs w:val="24"/>
          <w:highlight w:val="none"/>
        </w:rPr>
      </w:pPr>
      <w:bookmarkStart w:id="213" w:name="_Toc259093677"/>
      <w:bookmarkStart w:id="214" w:name="_Ref467379863"/>
      <w:bookmarkStart w:id="215" w:name="_Toc279701248"/>
      <w:bookmarkStart w:id="216" w:name="_Ref467379852"/>
      <w:bookmarkStart w:id="217" w:name="_Toc487900358"/>
      <w:bookmarkStart w:id="218" w:name="_Ref467379923"/>
      <w:bookmarkStart w:id="219" w:name="_Toc18990"/>
      <w:bookmarkStart w:id="220" w:name="_Toc30507"/>
      <w:bookmarkStart w:id="221" w:name="_Toc13154"/>
      <w:bookmarkStart w:id="222" w:name="_Toc13467"/>
      <w:bookmarkStart w:id="223" w:name="_Toc11381"/>
      <w:bookmarkStart w:id="224" w:name="_Toc28728"/>
      <w:bookmarkStart w:id="225" w:name="_Toc16163"/>
      <w:r>
        <w:rPr>
          <w:rFonts w:hint="eastAsia" w:ascii="仿宋" w:hAnsi="仿宋" w:eastAsia="仿宋" w:cs="仿宋"/>
          <w:b/>
          <w:sz w:val="24"/>
          <w:szCs w:val="24"/>
          <w:highlight w:val="none"/>
        </w:rPr>
        <w:t>2.6 技术资料</w:t>
      </w:r>
      <w:bookmarkEnd w:id="213"/>
      <w:bookmarkEnd w:id="214"/>
      <w:bookmarkEnd w:id="215"/>
      <w:bookmarkEnd w:id="216"/>
      <w:bookmarkEnd w:id="217"/>
      <w:bookmarkEnd w:id="218"/>
      <w:r>
        <w:rPr>
          <w:rFonts w:hint="eastAsia" w:ascii="仿宋" w:hAnsi="仿宋" w:eastAsia="仿宋" w:cs="仿宋"/>
          <w:b/>
          <w:sz w:val="24"/>
          <w:szCs w:val="24"/>
          <w:highlight w:val="none"/>
        </w:rPr>
        <w:t>和保密义务</w:t>
      </w:r>
      <w:bookmarkEnd w:id="219"/>
      <w:bookmarkEnd w:id="220"/>
      <w:bookmarkEnd w:id="221"/>
      <w:bookmarkEnd w:id="222"/>
      <w:bookmarkEnd w:id="223"/>
      <w:bookmarkEnd w:id="224"/>
      <w:bookmarkEnd w:id="225"/>
    </w:p>
    <w:p w14:paraId="2D10A009">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2.6.1 乙方有权依据合同约定和项目需要，向甲方了解有关情况，调阅有关资料等，甲方应予积极配合；</w:t>
      </w:r>
    </w:p>
    <w:p w14:paraId="0A46CF37">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2.6.2 乙方有义务妥善保管和保护由甲方提供的前款信息和资料等；</w:t>
      </w:r>
    </w:p>
    <w:p w14:paraId="17865409">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FE67B55">
      <w:pPr>
        <w:spacing w:line="560" w:lineRule="exact"/>
        <w:ind w:firstLine="482" w:firstLineChars="200"/>
        <w:outlineLvl w:val="9"/>
        <w:rPr>
          <w:rFonts w:hint="eastAsia" w:ascii="仿宋" w:hAnsi="仿宋" w:eastAsia="仿宋" w:cs="仿宋"/>
          <w:b/>
          <w:sz w:val="24"/>
          <w:szCs w:val="24"/>
          <w:highlight w:val="none"/>
        </w:rPr>
      </w:pPr>
      <w:bookmarkStart w:id="226" w:name="_Toc20615"/>
      <w:bookmarkStart w:id="227" w:name="_Toc19069"/>
      <w:bookmarkStart w:id="228" w:name="_Toc20202"/>
      <w:bookmarkStart w:id="229" w:name="_Toc279701252"/>
      <w:bookmarkStart w:id="230" w:name="_Toc487900362"/>
      <w:bookmarkStart w:id="231" w:name="_Toc259093681"/>
      <w:r>
        <w:rPr>
          <w:rFonts w:hint="eastAsia" w:ascii="仿宋" w:hAnsi="仿宋" w:eastAsia="仿宋" w:cs="仿宋"/>
          <w:b/>
          <w:sz w:val="24"/>
          <w:szCs w:val="24"/>
          <w:highlight w:val="none"/>
        </w:rPr>
        <w:t>2.7 质量保证</w:t>
      </w:r>
      <w:bookmarkEnd w:id="226"/>
      <w:bookmarkEnd w:id="227"/>
      <w:bookmarkEnd w:id="228"/>
    </w:p>
    <w:p w14:paraId="452702DE">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2.7.1 乙方应建立和完善履行合同的内部质量保证体系，并提供相关内部规章制度给甲方，以便甲方进行监督检查；</w:t>
      </w:r>
    </w:p>
    <w:p w14:paraId="7A0AF64E">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2.7.2 乙方应保证履行合同的人员数量和素质、软件和硬件设备的配置、场地、环境和设施等满足全面履行合同的要求，并应接受甲方的监督检查。</w:t>
      </w:r>
    </w:p>
    <w:p w14:paraId="109259A7">
      <w:pPr>
        <w:spacing w:line="560" w:lineRule="exact"/>
        <w:ind w:firstLine="482" w:firstLineChars="200"/>
        <w:outlineLvl w:val="9"/>
        <w:rPr>
          <w:rFonts w:hint="eastAsia" w:ascii="仿宋" w:hAnsi="仿宋" w:eastAsia="仿宋" w:cs="仿宋"/>
          <w:b/>
          <w:sz w:val="24"/>
          <w:szCs w:val="24"/>
          <w:highlight w:val="none"/>
        </w:rPr>
      </w:pPr>
      <w:bookmarkStart w:id="232" w:name="_Toc5770"/>
      <w:bookmarkStart w:id="233" w:name="_Toc1092"/>
      <w:bookmarkStart w:id="234" w:name="_Toc22267"/>
      <w:r>
        <w:rPr>
          <w:rFonts w:hint="eastAsia" w:ascii="仿宋" w:hAnsi="仿宋" w:eastAsia="仿宋" w:cs="仿宋"/>
          <w:b/>
          <w:sz w:val="24"/>
          <w:szCs w:val="24"/>
          <w:highlight w:val="none"/>
        </w:rPr>
        <w:t>2.8 延迟</w:t>
      </w:r>
      <w:bookmarkEnd w:id="229"/>
      <w:bookmarkEnd w:id="230"/>
      <w:bookmarkEnd w:id="231"/>
      <w:r>
        <w:rPr>
          <w:rFonts w:hint="eastAsia" w:ascii="仿宋" w:hAnsi="仿宋" w:eastAsia="仿宋" w:cs="仿宋"/>
          <w:b/>
          <w:sz w:val="24"/>
          <w:szCs w:val="24"/>
          <w:highlight w:val="none"/>
        </w:rPr>
        <w:t>履行</w:t>
      </w:r>
      <w:bookmarkEnd w:id="232"/>
      <w:bookmarkEnd w:id="233"/>
      <w:bookmarkEnd w:id="234"/>
    </w:p>
    <w:p w14:paraId="73B5AEB8">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311EE795">
      <w:pPr>
        <w:spacing w:line="560" w:lineRule="exact"/>
        <w:ind w:firstLine="482" w:firstLineChars="200"/>
        <w:outlineLvl w:val="9"/>
        <w:rPr>
          <w:rFonts w:hint="eastAsia" w:ascii="仿宋" w:hAnsi="仿宋" w:eastAsia="仿宋" w:cs="仿宋"/>
          <w:b/>
          <w:sz w:val="24"/>
          <w:szCs w:val="24"/>
          <w:highlight w:val="none"/>
        </w:rPr>
      </w:pPr>
      <w:bookmarkStart w:id="235" w:name="_Toc27587"/>
      <w:bookmarkStart w:id="236" w:name="_Toc6240"/>
      <w:bookmarkStart w:id="237" w:name="_Toc10611"/>
      <w:bookmarkStart w:id="238" w:name="_Toc487900364"/>
      <w:bookmarkStart w:id="239" w:name="_Toc279701254"/>
      <w:bookmarkStart w:id="240" w:name="_Toc259093683"/>
      <w:bookmarkStart w:id="241" w:name="_Ref467378121"/>
      <w:r>
        <w:rPr>
          <w:rFonts w:hint="eastAsia" w:ascii="仿宋" w:hAnsi="仿宋" w:eastAsia="仿宋" w:cs="仿宋"/>
          <w:b/>
          <w:sz w:val="24"/>
          <w:szCs w:val="24"/>
          <w:highlight w:val="none"/>
        </w:rPr>
        <w:t>2.9 合同变更</w:t>
      </w:r>
      <w:bookmarkEnd w:id="235"/>
      <w:bookmarkEnd w:id="236"/>
      <w:bookmarkEnd w:id="237"/>
    </w:p>
    <w:p w14:paraId="272D91EB">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617F3B3B">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2.9.2 合同继续履行将损害国家利益和社会公共利益的，双方当事人应当以书面形式变更合同。有过错的一方应当承担赔偿责任，双方当事人都有过错的，各自承担相应的责任。</w:t>
      </w:r>
      <w:bookmarkStart w:id="242" w:name="_Toc259093688"/>
      <w:bookmarkStart w:id="243" w:name="_Toc279701259"/>
      <w:bookmarkStart w:id="244" w:name="_Toc487900369"/>
    </w:p>
    <w:p w14:paraId="26F16F7F">
      <w:pPr>
        <w:spacing w:line="560" w:lineRule="exact"/>
        <w:ind w:firstLine="482" w:firstLineChars="200"/>
        <w:outlineLvl w:val="9"/>
        <w:rPr>
          <w:rFonts w:hint="eastAsia" w:ascii="仿宋" w:hAnsi="仿宋" w:eastAsia="仿宋" w:cs="仿宋"/>
          <w:b/>
          <w:sz w:val="24"/>
          <w:szCs w:val="24"/>
          <w:highlight w:val="none"/>
        </w:rPr>
      </w:pPr>
      <w:bookmarkStart w:id="245" w:name="_Toc23368"/>
      <w:bookmarkStart w:id="246" w:name="_Toc27411"/>
      <w:bookmarkStart w:id="247" w:name="_Toc10663"/>
      <w:bookmarkStart w:id="248" w:name="_Toc26689"/>
      <w:bookmarkStart w:id="249" w:name="_Toc42"/>
      <w:bookmarkStart w:id="250" w:name="_Toc6058"/>
      <w:bookmarkStart w:id="251" w:name="_Toc21830"/>
      <w:r>
        <w:rPr>
          <w:rFonts w:hint="eastAsia" w:ascii="仿宋" w:hAnsi="仿宋" w:eastAsia="仿宋" w:cs="仿宋"/>
          <w:b/>
          <w:sz w:val="24"/>
          <w:szCs w:val="24"/>
          <w:highlight w:val="none"/>
        </w:rPr>
        <w:t>2.10 合同转让</w:t>
      </w:r>
      <w:bookmarkEnd w:id="242"/>
      <w:bookmarkEnd w:id="243"/>
      <w:bookmarkEnd w:id="244"/>
      <w:r>
        <w:rPr>
          <w:rFonts w:hint="eastAsia" w:ascii="仿宋" w:hAnsi="仿宋" w:eastAsia="仿宋" w:cs="仿宋"/>
          <w:b/>
          <w:sz w:val="24"/>
          <w:szCs w:val="24"/>
          <w:highlight w:val="none"/>
        </w:rPr>
        <w:t>和分包</w:t>
      </w:r>
      <w:bookmarkEnd w:id="245"/>
      <w:bookmarkEnd w:id="246"/>
      <w:bookmarkEnd w:id="247"/>
      <w:bookmarkEnd w:id="248"/>
      <w:bookmarkEnd w:id="249"/>
      <w:bookmarkEnd w:id="250"/>
      <w:bookmarkEnd w:id="251"/>
    </w:p>
    <w:p w14:paraId="33AD16F4">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A33DCE7">
      <w:pPr>
        <w:spacing w:line="560" w:lineRule="exact"/>
        <w:ind w:firstLine="482" w:firstLineChars="200"/>
        <w:outlineLvl w:val="9"/>
        <w:rPr>
          <w:rFonts w:hint="eastAsia" w:ascii="仿宋" w:hAnsi="仿宋" w:eastAsia="仿宋" w:cs="仿宋"/>
          <w:b/>
          <w:sz w:val="24"/>
          <w:szCs w:val="24"/>
          <w:highlight w:val="none"/>
        </w:rPr>
      </w:pPr>
      <w:bookmarkStart w:id="252" w:name="_Toc26633"/>
      <w:bookmarkStart w:id="253" w:name="_Toc20975"/>
      <w:bookmarkStart w:id="254" w:name="_Toc14371"/>
      <w:bookmarkStart w:id="255" w:name="_Toc25571"/>
      <w:bookmarkStart w:id="256" w:name="_Toc4720"/>
      <w:bookmarkStart w:id="257" w:name="_Toc7835"/>
      <w:bookmarkStart w:id="258" w:name="_Toc32494"/>
      <w:r>
        <w:rPr>
          <w:rFonts w:hint="eastAsia" w:ascii="仿宋" w:hAnsi="仿宋" w:eastAsia="仿宋" w:cs="仿宋"/>
          <w:b/>
          <w:sz w:val="24"/>
          <w:szCs w:val="24"/>
          <w:highlight w:val="none"/>
        </w:rPr>
        <w:t>2.11 不可抗力</w:t>
      </w:r>
      <w:bookmarkEnd w:id="252"/>
      <w:bookmarkEnd w:id="253"/>
      <w:bookmarkEnd w:id="254"/>
      <w:bookmarkEnd w:id="255"/>
      <w:bookmarkEnd w:id="256"/>
      <w:bookmarkEnd w:id="257"/>
      <w:bookmarkEnd w:id="258"/>
    </w:p>
    <w:p w14:paraId="70CA7582">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2.11.1如果任何一方遭遇法律规定的不可抗力，致使合同履行受阻时，履行合同的期限应予延长，延长的期限应相当于不可抗力所影响的时间；</w:t>
      </w:r>
    </w:p>
    <w:p w14:paraId="4D63EAF2">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2.11.2 因不可抗力致使不能实现合同目的的，当事人可以解除合同；</w:t>
      </w:r>
    </w:p>
    <w:p w14:paraId="4F6A7609">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2.11.3 因不可抗力致使合同有变更必要的，双方当事人应在</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约定时间内以书面形式变更合同；</w:t>
      </w:r>
    </w:p>
    <w:p w14:paraId="517E1C2A">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2.11.4受不可抗力影响的一方在不可抗力发生后，应在</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约定时间内以书面形式通知对方当事人，并在</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约定时间内，将有关部门出具的证明文件送达对方当事人。</w:t>
      </w:r>
    </w:p>
    <w:p w14:paraId="2CC3EDDA">
      <w:pPr>
        <w:spacing w:line="560" w:lineRule="exact"/>
        <w:ind w:firstLine="482" w:firstLineChars="200"/>
        <w:outlineLvl w:val="9"/>
        <w:rPr>
          <w:rFonts w:hint="eastAsia" w:ascii="仿宋" w:hAnsi="仿宋" w:eastAsia="仿宋" w:cs="仿宋"/>
          <w:b/>
          <w:sz w:val="24"/>
          <w:szCs w:val="24"/>
          <w:highlight w:val="none"/>
        </w:rPr>
      </w:pPr>
      <w:bookmarkStart w:id="259" w:name="_Toc23854"/>
      <w:bookmarkStart w:id="260" w:name="_Toc259093684"/>
      <w:bookmarkStart w:id="261" w:name="_Toc279701255"/>
      <w:bookmarkStart w:id="262" w:name="_Toc25783"/>
      <w:bookmarkStart w:id="263" w:name="_Toc458"/>
      <w:bookmarkStart w:id="264" w:name="_Toc487900365"/>
      <w:bookmarkStart w:id="265" w:name="_Toc24465"/>
      <w:bookmarkStart w:id="266" w:name="_Toc3638"/>
      <w:bookmarkStart w:id="267" w:name="_Toc14115"/>
      <w:bookmarkStart w:id="268" w:name="_Toc7269"/>
      <w:r>
        <w:rPr>
          <w:rFonts w:hint="eastAsia" w:ascii="仿宋" w:hAnsi="仿宋" w:eastAsia="仿宋" w:cs="仿宋"/>
          <w:b/>
          <w:sz w:val="24"/>
          <w:szCs w:val="24"/>
          <w:highlight w:val="none"/>
        </w:rPr>
        <w:t>2.12 税费</w:t>
      </w:r>
      <w:bookmarkEnd w:id="259"/>
      <w:bookmarkEnd w:id="260"/>
      <w:bookmarkEnd w:id="261"/>
      <w:bookmarkEnd w:id="262"/>
      <w:bookmarkEnd w:id="263"/>
      <w:bookmarkEnd w:id="264"/>
      <w:bookmarkEnd w:id="265"/>
      <w:bookmarkEnd w:id="266"/>
      <w:bookmarkEnd w:id="267"/>
      <w:bookmarkEnd w:id="268"/>
    </w:p>
    <w:p w14:paraId="1D3581C9">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与合同有关的一切税费，均按照中华人民共和国法律的相关规定缴纳。</w:t>
      </w:r>
    </w:p>
    <w:p w14:paraId="3172AF91">
      <w:pPr>
        <w:spacing w:line="560" w:lineRule="exact"/>
        <w:ind w:firstLine="482" w:firstLineChars="200"/>
        <w:outlineLvl w:val="9"/>
        <w:rPr>
          <w:rFonts w:hint="eastAsia" w:ascii="仿宋" w:hAnsi="仿宋" w:eastAsia="仿宋" w:cs="仿宋"/>
          <w:b/>
          <w:sz w:val="24"/>
          <w:szCs w:val="24"/>
          <w:highlight w:val="none"/>
        </w:rPr>
      </w:pPr>
      <w:bookmarkStart w:id="269" w:name="_Toc279701258"/>
      <w:bookmarkStart w:id="270" w:name="_Toc30105"/>
      <w:bookmarkStart w:id="271" w:name="_Toc7395"/>
      <w:bookmarkStart w:id="272" w:name="_Toc30612"/>
      <w:bookmarkStart w:id="273" w:name="_Toc259093687"/>
      <w:bookmarkStart w:id="274" w:name="_Toc487900368"/>
      <w:bookmarkStart w:id="275" w:name="_Toc7315"/>
      <w:bookmarkStart w:id="276" w:name="_Toc14814"/>
      <w:bookmarkStart w:id="277" w:name="_Toc26883"/>
      <w:bookmarkStart w:id="278" w:name="_Toc25525"/>
      <w:r>
        <w:rPr>
          <w:rFonts w:hint="eastAsia" w:ascii="仿宋" w:hAnsi="仿宋" w:eastAsia="仿宋" w:cs="仿宋"/>
          <w:b/>
          <w:sz w:val="24"/>
          <w:szCs w:val="24"/>
          <w:highlight w:val="none"/>
        </w:rPr>
        <w:t>2.13 乙方破产</w:t>
      </w:r>
      <w:bookmarkEnd w:id="269"/>
      <w:bookmarkEnd w:id="270"/>
      <w:bookmarkEnd w:id="271"/>
      <w:bookmarkEnd w:id="272"/>
      <w:bookmarkEnd w:id="273"/>
      <w:bookmarkEnd w:id="274"/>
      <w:bookmarkEnd w:id="275"/>
      <w:bookmarkEnd w:id="276"/>
      <w:bookmarkEnd w:id="277"/>
      <w:bookmarkEnd w:id="278"/>
    </w:p>
    <w:p w14:paraId="6F7D2F5E">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4A5A60B">
      <w:pPr>
        <w:spacing w:line="560" w:lineRule="exact"/>
        <w:ind w:firstLine="482" w:firstLineChars="200"/>
        <w:outlineLvl w:val="9"/>
        <w:rPr>
          <w:rFonts w:hint="eastAsia" w:ascii="仿宋" w:hAnsi="仿宋" w:eastAsia="仿宋" w:cs="仿宋"/>
          <w:b/>
          <w:sz w:val="24"/>
          <w:szCs w:val="24"/>
          <w:highlight w:val="none"/>
        </w:rPr>
      </w:pPr>
      <w:bookmarkStart w:id="279" w:name="_Toc1123"/>
      <w:bookmarkStart w:id="280" w:name="_Toc20290"/>
      <w:bookmarkStart w:id="281" w:name="_Toc14232"/>
      <w:bookmarkStart w:id="282" w:name="_Toc23323"/>
      <w:bookmarkStart w:id="283" w:name="_Toc2016"/>
      <w:r>
        <w:rPr>
          <w:rFonts w:hint="eastAsia" w:ascii="仿宋" w:hAnsi="仿宋" w:eastAsia="仿宋" w:cs="仿宋"/>
          <w:b/>
          <w:sz w:val="24"/>
          <w:szCs w:val="24"/>
          <w:highlight w:val="none"/>
        </w:rPr>
        <w:t>2.14 合同中止、终止</w:t>
      </w:r>
      <w:bookmarkEnd w:id="279"/>
      <w:bookmarkEnd w:id="280"/>
      <w:bookmarkEnd w:id="281"/>
      <w:bookmarkEnd w:id="282"/>
      <w:bookmarkEnd w:id="283"/>
    </w:p>
    <w:p w14:paraId="24957112">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2.14.1 双方当事人不得擅自中止或者终止合同；</w:t>
      </w:r>
    </w:p>
    <w:p w14:paraId="24BC371C">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2B523987">
      <w:pPr>
        <w:spacing w:line="560" w:lineRule="exact"/>
        <w:ind w:firstLine="482" w:firstLineChars="200"/>
        <w:outlineLvl w:val="9"/>
        <w:rPr>
          <w:rFonts w:hint="eastAsia" w:ascii="仿宋" w:hAnsi="仿宋" w:eastAsia="仿宋" w:cs="仿宋"/>
          <w:b/>
          <w:sz w:val="24"/>
          <w:szCs w:val="24"/>
          <w:highlight w:val="none"/>
        </w:rPr>
      </w:pPr>
      <w:bookmarkStart w:id="284" w:name="_Toc14525"/>
      <w:bookmarkStart w:id="285" w:name="_Toc17363"/>
      <w:bookmarkStart w:id="286" w:name="_Toc437"/>
      <w:bookmarkStart w:id="287" w:name="_Toc13740"/>
      <w:bookmarkStart w:id="288" w:name="_Toc1969"/>
      <w:r>
        <w:rPr>
          <w:rFonts w:hint="eastAsia" w:ascii="仿宋" w:hAnsi="仿宋" w:eastAsia="仿宋" w:cs="仿宋"/>
          <w:b/>
          <w:sz w:val="24"/>
          <w:szCs w:val="24"/>
          <w:highlight w:val="none"/>
        </w:rPr>
        <w:t>2.15 检验和验收</w:t>
      </w:r>
      <w:bookmarkEnd w:id="284"/>
      <w:bookmarkEnd w:id="285"/>
      <w:bookmarkEnd w:id="286"/>
      <w:bookmarkEnd w:id="287"/>
      <w:bookmarkEnd w:id="288"/>
    </w:p>
    <w:p w14:paraId="7CD99091">
      <w:pPr>
        <w:tabs>
          <w:tab w:val="left" w:pos="360"/>
          <w:tab w:val="left" w:pos="540"/>
          <w:tab w:val="left" w:pos="1080"/>
        </w:tabs>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2.15.1 乙方按照</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的约定，定期提交服务报告，甲方按照</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的约定进行定期验收；</w:t>
      </w:r>
    </w:p>
    <w:p w14:paraId="1BBA6117">
      <w:pPr>
        <w:tabs>
          <w:tab w:val="left" w:pos="360"/>
          <w:tab w:val="left" w:pos="540"/>
          <w:tab w:val="left" w:pos="1080"/>
        </w:tabs>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B41A0BE">
      <w:pPr>
        <w:tabs>
          <w:tab w:val="left" w:pos="360"/>
          <w:tab w:val="left" w:pos="540"/>
          <w:tab w:val="left" w:pos="1080"/>
        </w:tabs>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2.15.3 检验和验收标准、程序等具体内容以及前述验收书的效力详见</w:t>
      </w:r>
      <w:r>
        <w:rPr>
          <w:rFonts w:hint="eastAsia" w:ascii="仿宋" w:hAnsi="仿宋" w:eastAsia="仿宋" w:cs="仿宋"/>
          <w:b/>
          <w:i/>
          <w:sz w:val="24"/>
          <w:szCs w:val="24"/>
          <w:highlight w:val="none"/>
          <w:u w:val="single"/>
        </w:rPr>
        <w:t>合同专用条款</w:t>
      </w:r>
      <w:r>
        <w:rPr>
          <w:rFonts w:hint="eastAsia" w:ascii="仿宋" w:hAnsi="仿宋" w:eastAsia="仿宋" w:cs="仿宋"/>
          <w:i/>
          <w:sz w:val="24"/>
          <w:szCs w:val="24"/>
          <w:highlight w:val="none"/>
        </w:rPr>
        <w:t>。</w:t>
      </w:r>
    </w:p>
    <w:bookmarkEnd w:id="238"/>
    <w:bookmarkEnd w:id="239"/>
    <w:bookmarkEnd w:id="240"/>
    <w:bookmarkEnd w:id="241"/>
    <w:p w14:paraId="3285EDA1">
      <w:pPr>
        <w:spacing w:line="560" w:lineRule="exact"/>
        <w:ind w:firstLine="482" w:firstLineChars="200"/>
        <w:outlineLvl w:val="9"/>
        <w:rPr>
          <w:rFonts w:hint="eastAsia" w:ascii="仿宋" w:hAnsi="仿宋" w:eastAsia="仿宋" w:cs="仿宋"/>
          <w:b/>
          <w:sz w:val="24"/>
          <w:szCs w:val="24"/>
          <w:highlight w:val="none"/>
        </w:rPr>
      </w:pPr>
      <w:bookmarkStart w:id="289" w:name="_Toc259093690"/>
      <w:bookmarkStart w:id="290" w:name="_Toc279701261"/>
      <w:bookmarkStart w:id="291" w:name="_Toc487900371"/>
      <w:bookmarkStart w:id="292" w:name="_Toc23110"/>
      <w:bookmarkStart w:id="293" w:name="_Toc25198"/>
      <w:bookmarkStart w:id="294" w:name="_Toc7764"/>
      <w:bookmarkStart w:id="295" w:name="_Toc12666"/>
      <w:bookmarkStart w:id="296" w:name="_Toc9808"/>
      <w:bookmarkStart w:id="297" w:name="_Toc31892"/>
      <w:bookmarkStart w:id="298" w:name="_Toc2308"/>
      <w:r>
        <w:rPr>
          <w:rFonts w:hint="eastAsia" w:ascii="仿宋" w:hAnsi="仿宋" w:eastAsia="仿宋" w:cs="仿宋"/>
          <w:b/>
          <w:sz w:val="24"/>
          <w:szCs w:val="24"/>
          <w:highlight w:val="none"/>
        </w:rPr>
        <w:t>2.16 通知</w:t>
      </w:r>
      <w:bookmarkEnd w:id="289"/>
      <w:bookmarkEnd w:id="290"/>
      <w:bookmarkEnd w:id="291"/>
      <w:r>
        <w:rPr>
          <w:rFonts w:hint="eastAsia" w:ascii="仿宋" w:hAnsi="仿宋" w:eastAsia="仿宋" w:cs="仿宋"/>
          <w:b/>
          <w:sz w:val="24"/>
          <w:szCs w:val="24"/>
          <w:highlight w:val="none"/>
        </w:rPr>
        <w:t>和送达</w:t>
      </w:r>
      <w:bookmarkEnd w:id="292"/>
      <w:bookmarkEnd w:id="293"/>
      <w:bookmarkEnd w:id="294"/>
      <w:bookmarkEnd w:id="295"/>
      <w:bookmarkEnd w:id="296"/>
      <w:bookmarkEnd w:id="297"/>
      <w:bookmarkEnd w:id="298"/>
    </w:p>
    <w:p w14:paraId="5EC101E6">
      <w:pPr>
        <w:spacing w:line="560" w:lineRule="exact"/>
        <w:ind w:firstLine="480" w:firstLineChars="200"/>
        <w:rPr>
          <w:rFonts w:hint="eastAsia" w:ascii="仿宋" w:hAnsi="仿宋" w:eastAsia="仿宋" w:cs="仿宋"/>
          <w:sz w:val="24"/>
          <w:szCs w:val="24"/>
          <w:highlight w:val="none"/>
        </w:rPr>
      </w:pPr>
      <w:bookmarkStart w:id="299" w:name="_Toc7073"/>
      <w:bookmarkStart w:id="300" w:name="_Toc29220"/>
      <w:bookmarkStart w:id="301" w:name="_Toc279701262"/>
      <w:bookmarkStart w:id="302" w:name="_Toc487900372"/>
      <w:bookmarkStart w:id="303" w:name="_Toc259093691"/>
      <w:r>
        <w:rPr>
          <w:rFonts w:hint="eastAsia" w:ascii="仿宋" w:hAnsi="仿宋" w:eastAsia="仿宋" w:cs="仿宋"/>
          <w:sz w:val="24"/>
          <w:szCs w:val="24"/>
          <w:highlight w:val="none"/>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299"/>
      <w:bookmarkEnd w:id="300"/>
    </w:p>
    <w:p w14:paraId="6EA788F7">
      <w:pPr>
        <w:spacing w:line="560" w:lineRule="exact"/>
        <w:ind w:firstLine="480" w:firstLineChars="200"/>
        <w:rPr>
          <w:rFonts w:hint="eastAsia" w:ascii="仿宋" w:hAnsi="仿宋" w:eastAsia="仿宋" w:cs="仿宋"/>
          <w:sz w:val="24"/>
          <w:szCs w:val="24"/>
          <w:highlight w:val="none"/>
        </w:rPr>
      </w:pPr>
      <w:bookmarkStart w:id="304" w:name="_Toc18401"/>
      <w:bookmarkStart w:id="305" w:name="_Toc27674"/>
      <w:r>
        <w:rPr>
          <w:rFonts w:hint="eastAsia" w:ascii="仿宋" w:hAnsi="仿宋" w:eastAsia="仿宋" w:cs="仿宋"/>
          <w:sz w:val="24"/>
          <w:szCs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304"/>
      <w:bookmarkEnd w:id="305"/>
    </w:p>
    <w:bookmarkEnd w:id="301"/>
    <w:bookmarkEnd w:id="302"/>
    <w:bookmarkEnd w:id="303"/>
    <w:p w14:paraId="109D052E">
      <w:pPr>
        <w:spacing w:line="560" w:lineRule="exact"/>
        <w:ind w:firstLine="482" w:firstLineChars="200"/>
        <w:outlineLvl w:val="9"/>
        <w:rPr>
          <w:rFonts w:hint="eastAsia" w:ascii="仿宋" w:hAnsi="仿宋" w:eastAsia="仿宋" w:cs="仿宋"/>
          <w:b/>
          <w:sz w:val="24"/>
          <w:szCs w:val="24"/>
          <w:highlight w:val="none"/>
        </w:rPr>
      </w:pPr>
      <w:bookmarkStart w:id="306" w:name="_Toc279701263"/>
      <w:bookmarkStart w:id="307" w:name="_Toc259093692"/>
      <w:bookmarkStart w:id="308" w:name="_Toc487900373"/>
      <w:bookmarkStart w:id="309" w:name="_Toc5063"/>
      <w:bookmarkStart w:id="310" w:name="_Toc19263"/>
      <w:bookmarkStart w:id="311" w:name="_Toc12254"/>
      <w:bookmarkStart w:id="312" w:name="_Toc27644"/>
      <w:bookmarkStart w:id="313" w:name="_Toc28906"/>
      <w:bookmarkStart w:id="314" w:name="_Toc13223"/>
      <w:bookmarkStart w:id="315" w:name="_Toc20808"/>
      <w:r>
        <w:rPr>
          <w:rFonts w:hint="eastAsia" w:ascii="仿宋" w:hAnsi="仿宋" w:eastAsia="仿宋" w:cs="仿宋"/>
          <w:b/>
          <w:sz w:val="24"/>
          <w:szCs w:val="24"/>
          <w:highlight w:val="none"/>
        </w:rPr>
        <w:t>2.17 合同使用的文字和适用的法律</w:t>
      </w:r>
      <w:bookmarkEnd w:id="306"/>
      <w:bookmarkEnd w:id="307"/>
      <w:bookmarkEnd w:id="308"/>
      <w:bookmarkEnd w:id="309"/>
      <w:bookmarkEnd w:id="310"/>
      <w:bookmarkEnd w:id="311"/>
      <w:bookmarkEnd w:id="312"/>
      <w:bookmarkEnd w:id="313"/>
      <w:bookmarkEnd w:id="314"/>
      <w:bookmarkEnd w:id="315"/>
    </w:p>
    <w:p w14:paraId="0821891A">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2.17.1 合同使用汉语书就、变更和解释；</w:t>
      </w:r>
    </w:p>
    <w:p w14:paraId="0388F628">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2.17.2 合同适用中华人民共和国法律。</w:t>
      </w:r>
    </w:p>
    <w:p w14:paraId="2AC9B7CB">
      <w:pPr>
        <w:spacing w:line="560" w:lineRule="exact"/>
        <w:ind w:firstLine="482" w:firstLineChars="200"/>
        <w:outlineLvl w:val="9"/>
        <w:rPr>
          <w:rFonts w:hint="eastAsia" w:ascii="仿宋" w:hAnsi="仿宋" w:eastAsia="仿宋" w:cs="仿宋"/>
          <w:b/>
          <w:sz w:val="24"/>
          <w:szCs w:val="24"/>
          <w:highlight w:val="none"/>
        </w:rPr>
      </w:pPr>
      <w:bookmarkStart w:id="316" w:name="_Toc259093693"/>
      <w:bookmarkStart w:id="317" w:name="_Toc1492"/>
      <w:bookmarkStart w:id="318" w:name="_Toc22266"/>
      <w:bookmarkStart w:id="319" w:name="_Toc9956"/>
      <w:bookmarkStart w:id="320" w:name="_Toc279701264"/>
      <w:bookmarkStart w:id="321" w:name="_Toc27127"/>
      <w:bookmarkStart w:id="322" w:name="_Toc27403"/>
      <w:bookmarkStart w:id="323" w:name="_Toc8215"/>
      <w:bookmarkStart w:id="324" w:name="_Toc30096"/>
      <w:bookmarkStart w:id="325" w:name="_Toc487900374"/>
      <w:r>
        <w:rPr>
          <w:rFonts w:hint="eastAsia" w:ascii="仿宋" w:hAnsi="仿宋" w:eastAsia="仿宋" w:cs="仿宋"/>
          <w:b/>
          <w:sz w:val="24"/>
          <w:szCs w:val="24"/>
          <w:highlight w:val="none"/>
        </w:rPr>
        <w:t>2.18 履约保证金</w:t>
      </w:r>
      <w:bookmarkEnd w:id="316"/>
      <w:bookmarkEnd w:id="317"/>
      <w:bookmarkEnd w:id="318"/>
      <w:bookmarkEnd w:id="319"/>
      <w:bookmarkEnd w:id="320"/>
      <w:bookmarkEnd w:id="321"/>
      <w:bookmarkEnd w:id="322"/>
      <w:bookmarkEnd w:id="323"/>
      <w:bookmarkEnd w:id="324"/>
    </w:p>
    <w:p w14:paraId="34EA0AFB">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2.18.1 采购文件要求乙方提交履约保证金的，乙方应按</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约定的方式，以支票、汇票、本票或者金融机构、担保机构出具的保函等非现金形式，提交不超过合同价10%的履约保证金；</w:t>
      </w:r>
    </w:p>
    <w:p w14:paraId="29B5B9E0">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2.18.2 履约保证金在</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约定期间内不予退还或者应完全有效，前述约定期间届满之日起个工作日内，甲方应将履约保证金退还乙方；</w:t>
      </w:r>
    </w:p>
    <w:p w14:paraId="25B44D9F">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25"/>
    <w:p w14:paraId="12480EE9">
      <w:pPr>
        <w:spacing w:line="56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2.19 合同份数</w:t>
      </w:r>
    </w:p>
    <w:p w14:paraId="351B6551">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合同份数按</w:t>
      </w:r>
      <w:r>
        <w:rPr>
          <w:rFonts w:hint="eastAsia" w:ascii="仿宋" w:hAnsi="仿宋" w:eastAsia="仿宋" w:cs="仿宋"/>
          <w:b/>
          <w:i/>
          <w:sz w:val="24"/>
          <w:szCs w:val="24"/>
          <w:highlight w:val="none"/>
          <w:u w:val="single"/>
        </w:rPr>
        <w:t>合同专用条款</w:t>
      </w:r>
      <w:r>
        <w:rPr>
          <w:rFonts w:hint="eastAsia" w:ascii="仿宋" w:hAnsi="仿宋" w:eastAsia="仿宋" w:cs="仿宋"/>
          <w:sz w:val="24"/>
          <w:szCs w:val="24"/>
          <w:highlight w:val="none"/>
        </w:rPr>
        <w:t>规定，每份均具有同等法律效力。</w:t>
      </w:r>
      <w:bookmarkStart w:id="326" w:name="_Toc331685784"/>
    </w:p>
    <w:p w14:paraId="734FA70A">
      <w:pPr>
        <w:spacing w:line="560" w:lineRule="exact"/>
        <w:ind w:firstLine="482" w:firstLineChars="20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第三部分  合同专用条款</w:t>
      </w:r>
      <w:bookmarkEnd w:id="326"/>
    </w:p>
    <w:p w14:paraId="637411B3">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7"/>
        <w:tblW w:w="8434" w:type="dxa"/>
        <w:tblInd w:w="3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64B9A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119501AB">
            <w:pPr>
              <w:spacing w:line="56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条款号</w:t>
            </w:r>
          </w:p>
        </w:tc>
        <w:tc>
          <w:tcPr>
            <w:tcW w:w="7633" w:type="dxa"/>
            <w:noWrap w:val="0"/>
            <w:vAlign w:val="center"/>
          </w:tcPr>
          <w:p w14:paraId="7F63F0E0">
            <w:pPr>
              <w:spacing w:line="56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约定内容</w:t>
            </w:r>
          </w:p>
        </w:tc>
      </w:tr>
      <w:tr w14:paraId="2B88FA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5D6A89E8">
            <w:pPr>
              <w:spacing w:line="560" w:lineRule="exact"/>
              <w:rPr>
                <w:rFonts w:hint="eastAsia" w:ascii="仿宋" w:hAnsi="仿宋" w:eastAsia="仿宋" w:cs="仿宋"/>
                <w:sz w:val="24"/>
                <w:szCs w:val="24"/>
                <w:highlight w:val="none"/>
              </w:rPr>
            </w:pPr>
          </w:p>
        </w:tc>
        <w:tc>
          <w:tcPr>
            <w:tcW w:w="7633" w:type="dxa"/>
            <w:noWrap w:val="0"/>
            <w:vAlign w:val="center"/>
          </w:tcPr>
          <w:p w14:paraId="2FA6362B">
            <w:pPr>
              <w:spacing w:line="560" w:lineRule="exact"/>
              <w:rPr>
                <w:rFonts w:hint="eastAsia" w:ascii="仿宋" w:hAnsi="仿宋" w:eastAsia="仿宋" w:cs="仿宋"/>
                <w:sz w:val="24"/>
                <w:szCs w:val="24"/>
                <w:highlight w:val="none"/>
              </w:rPr>
            </w:pPr>
          </w:p>
        </w:tc>
      </w:tr>
      <w:tr w14:paraId="52A2A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02E259DD">
            <w:pPr>
              <w:spacing w:line="560" w:lineRule="exact"/>
              <w:rPr>
                <w:rFonts w:hint="eastAsia" w:ascii="仿宋" w:hAnsi="仿宋" w:eastAsia="仿宋" w:cs="仿宋"/>
                <w:sz w:val="24"/>
                <w:szCs w:val="24"/>
                <w:highlight w:val="none"/>
              </w:rPr>
            </w:pPr>
          </w:p>
        </w:tc>
        <w:tc>
          <w:tcPr>
            <w:tcW w:w="7633" w:type="dxa"/>
            <w:noWrap w:val="0"/>
            <w:vAlign w:val="center"/>
          </w:tcPr>
          <w:p w14:paraId="3279EE18">
            <w:pPr>
              <w:spacing w:line="560" w:lineRule="exact"/>
              <w:rPr>
                <w:rFonts w:hint="eastAsia" w:ascii="仿宋" w:hAnsi="仿宋" w:eastAsia="仿宋" w:cs="仿宋"/>
                <w:sz w:val="24"/>
                <w:szCs w:val="24"/>
                <w:highlight w:val="none"/>
              </w:rPr>
            </w:pPr>
          </w:p>
        </w:tc>
      </w:tr>
      <w:tr w14:paraId="57D53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064A096B">
            <w:pPr>
              <w:spacing w:line="560" w:lineRule="exact"/>
              <w:rPr>
                <w:rFonts w:hint="eastAsia" w:ascii="仿宋" w:hAnsi="仿宋" w:eastAsia="仿宋" w:cs="仿宋"/>
                <w:sz w:val="24"/>
                <w:szCs w:val="24"/>
                <w:highlight w:val="none"/>
              </w:rPr>
            </w:pPr>
          </w:p>
        </w:tc>
        <w:tc>
          <w:tcPr>
            <w:tcW w:w="7633" w:type="dxa"/>
            <w:noWrap w:val="0"/>
            <w:vAlign w:val="center"/>
          </w:tcPr>
          <w:p w14:paraId="524FDA25">
            <w:pPr>
              <w:spacing w:line="560" w:lineRule="exact"/>
              <w:rPr>
                <w:rFonts w:hint="eastAsia" w:ascii="仿宋" w:hAnsi="仿宋" w:eastAsia="仿宋" w:cs="仿宋"/>
                <w:sz w:val="24"/>
                <w:szCs w:val="24"/>
                <w:highlight w:val="none"/>
              </w:rPr>
            </w:pPr>
          </w:p>
        </w:tc>
      </w:tr>
      <w:tr w14:paraId="3D75F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37ED61C9">
            <w:pPr>
              <w:spacing w:line="560" w:lineRule="exact"/>
              <w:rPr>
                <w:rFonts w:hint="eastAsia" w:ascii="仿宋" w:hAnsi="仿宋" w:eastAsia="仿宋" w:cs="仿宋"/>
                <w:sz w:val="24"/>
                <w:szCs w:val="24"/>
                <w:highlight w:val="none"/>
              </w:rPr>
            </w:pPr>
          </w:p>
        </w:tc>
        <w:tc>
          <w:tcPr>
            <w:tcW w:w="7633" w:type="dxa"/>
            <w:noWrap w:val="0"/>
            <w:vAlign w:val="center"/>
          </w:tcPr>
          <w:p w14:paraId="72AF15A1">
            <w:pPr>
              <w:spacing w:line="560" w:lineRule="exact"/>
              <w:rPr>
                <w:rFonts w:hint="eastAsia" w:ascii="仿宋" w:hAnsi="仿宋" w:eastAsia="仿宋" w:cs="仿宋"/>
                <w:sz w:val="24"/>
                <w:szCs w:val="24"/>
                <w:highlight w:val="none"/>
              </w:rPr>
            </w:pPr>
          </w:p>
        </w:tc>
      </w:tr>
      <w:tr w14:paraId="42C3A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198445B">
            <w:pPr>
              <w:spacing w:line="560" w:lineRule="exact"/>
              <w:rPr>
                <w:rFonts w:hint="eastAsia" w:ascii="仿宋" w:hAnsi="仿宋" w:eastAsia="仿宋" w:cs="仿宋"/>
                <w:sz w:val="24"/>
                <w:szCs w:val="24"/>
                <w:highlight w:val="none"/>
              </w:rPr>
            </w:pPr>
          </w:p>
        </w:tc>
        <w:tc>
          <w:tcPr>
            <w:tcW w:w="7633" w:type="dxa"/>
            <w:noWrap w:val="0"/>
            <w:vAlign w:val="center"/>
          </w:tcPr>
          <w:p w14:paraId="33ED5D44">
            <w:pPr>
              <w:spacing w:line="560" w:lineRule="exact"/>
              <w:rPr>
                <w:rFonts w:hint="eastAsia" w:ascii="仿宋" w:hAnsi="仿宋" w:eastAsia="仿宋" w:cs="仿宋"/>
                <w:sz w:val="24"/>
                <w:szCs w:val="24"/>
                <w:highlight w:val="none"/>
                <w:u w:val="single"/>
              </w:rPr>
            </w:pPr>
          </w:p>
        </w:tc>
      </w:tr>
      <w:tr w14:paraId="77F3A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1E401D5">
            <w:pPr>
              <w:spacing w:line="560" w:lineRule="exact"/>
              <w:rPr>
                <w:rFonts w:hint="eastAsia" w:ascii="仿宋" w:hAnsi="仿宋" w:eastAsia="仿宋" w:cs="仿宋"/>
                <w:sz w:val="24"/>
                <w:szCs w:val="24"/>
                <w:highlight w:val="none"/>
              </w:rPr>
            </w:pPr>
          </w:p>
        </w:tc>
        <w:tc>
          <w:tcPr>
            <w:tcW w:w="7633" w:type="dxa"/>
            <w:noWrap w:val="0"/>
            <w:vAlign w:val="center"/>
          </w:tcPr>
          <w:p w14:paraId="25C990E1">
            <w:pPr>
              <w:spacing w:line="560" w:lineRule="exact"/>
              <w:rPr>
                <w:rFonts w:hint="eastAsia" w:ascii="仿宋" w:hAnsi="仿宋" w:eastAsia="仿宋" w:cs="仿宋"/>
                <w:sz w:val="24"/>
                <w:szCs w:val="24"/>
                <w:highlight w:val="none"/>
              </w:rPr>
            </w:pPr>
          </w:p>
        </w:tc>
      </w:tr>
      <w:tr w14:paraId="0A932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3FACD8D9">
            <w:pPr>
              <w:spacing w:line="560" w:lineRule="exact"/>
              <w:rPr>
                <w:rFonts w:hint="eastAsia" w:ascii="仿宋" w:hAnsi="仿宋" w:eastAsia="仿宋" w:cs="仿宋"/>
                <w:sz w:val="24"/>
                <w:szCs w:val="24"/>
                <w:highlight w:val="none"/>
              </w:rPr>
            </w:pPr>
          </w:p>
        </w:tc>
        <w:tc>
          <w:tcPr>
            <w:tcW w:w="7633" w:type="dxa"/>
            <w:noWrap w:val="0"/>
            <w:vAlign w:val="center"/>
          </w:tcPr>
          <w:p w14:paraId="6B62D174">
            <w:pPr>
              <w:spacing w:line="560" w:lineRule="exact"/>
              <w:rPr>
                <w:rFonts w:hint="eastAsia" w:ascii="仿宋" w:hAnsi="仿宋" w:eastAsia="仿宋" w:cs="仿宋"/>
                <w:sz w:val="24"/>
                <w:szCs w:val="24"/>
                <w:highlight w:val="none"/>
                <w:u w:val="single"/>
              </w:rPr>
            </w:pPr>
          </w:p>
        </w:tc>
      </w:tr>
      <w:tr w14:paraId="5C0A5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41E4E484">
            <w:pPr>
              <w:spacing w:line="560" w:lineRule="exact"/>
              <w:rPr>
                <w:rFonts w:hint="eastAsia" w:ascii="仿宋" w:hAnsi="仿宋" w:eastAsia="仿宋" w:cs="仿宋"/>
                <w:sz w:val="24"/>
                <w:szCs w:val="24"/>
                <w:highlight w:val="none"/>
              </w:rPr>
            </w:pPr>
          </w:p>
        </w:tc>
        <w:tc>
          <w:tcPr>
            <w:tcW w:w="7633" w:type="dxa"/>
            <w:noWrap w:val="0"/>
            <w:vAlign w:val="center"/>
          </w:tcPr>
          <w:p w14:paraId="138ABCB8">
            <w:pPr>
              <w:spacing w:line="560" w:lineRule="exact"/>
              <w:rPr>
                <w:rFonts w:hint="eastAsia" w:ascii="仿宋" w:hAnsi="仿宋" w:eastAsia="仿宋" w:cs="仿宋"/>
                <w:sz w:val="24"/>
                <w:szCs w:val="24"/>
                <w:highlight w:val="none"/>
              </w:rPr>
            </w:pPr>
          </w:p>
        </w:tc>
      </w:tr>
      <w:tr w14:paraId="6C3CA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3712A6A2">
            <w:pPr>
              <w:spacing w:line="560" w:lineRule="exact"/>
              <w:rPr>
                <w:rFonts w:hint="eastAsia" w:ascii="仿宋" w:hAnsi="仿宋" w:eastAsia="仿宋" w:cs="仿宋"/>
                <w:sz w:val="24"/>
                <w:szCs w:val="24"/>
                <w:highlight w:val="none"/>
              </w:rPr>
            </w:pPr>
          </w:p>
        </w:tc>
        <w:tc>
          <w:tcPr>
            <w:tcW w:w="7633" w:type="dxa"/>
            <w:noWrap w:val="0"/>
            <w:vAlign w:val="center"/>
          </w:tcPr>
          <w:p w14:paraId="4868E423">
            <w:pPr>
              <w:spacing w:line="560" w:lineRule="exact"/>
              <w:rPr>
                <w:rFonts w:hint="eastAsia" w:ascii="仿宋" w:hAnsi="仿宋" w:eastAsia="仿宋" w:cs="仿宋"/>
                <w:sz w:val="24"/>
                <w:szCs w:val="24"/>
                <w:highlight w:val="none"/>
              </w:rPr>
            </w:pPr>
          </w:p>
        </w:tc>
      </w:tr>
      <w:tr w14:paraId="1ADD2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FBBFAF9">
            <w:pPr>
              <w:spacing w:line="560" w:lineRule="exact"/>
              <w:rPr>
                <w:rFonts w:hint="eastAsia" w:ascii="仿宋" w:hAnsi="仿宋" w:eastAsia="仿宋" w:cs="仿宋"/>
                <w:sz w:val="24"/>
                <w:szCs w:val="24"/>
                <w:highlight w:val="none"/>
              </w:rPr>
            </w:pPr>
          </w:p>
        </w:tc>
        <w:tc>
          <w:tcPr>
            <w:tcW w:w="7633" w:type="dxa"/>
            <w:noWrap w:val="0"/>
            <w:vAlign w:val="center"/>
          </w:tcPr>
          <w:p w14:paraId="07FD1242">
            <w:pPr>
              <w:spacing w:line="560" w:lineRule="exact"/>
              <w:rPr>
                <w:rFonts w:hint="eastAsia" w:ascii="仿宋" w:hAnsi="仿宋" w:eastAsia="仿宋" w:cs="仿宋"/>
                <w:sz w:val="24"/>
                <w:szCs w:val="24"/>
                <w:highlight w:val="none"/>
              </w:rPr>
            </w:pPr>
          </w:p>
        </w:tc>
      </w:tr>
      <w:tr w14:paraId="4830E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3034D89">
            <w:pPr>
              <w:spacing w:line="560" w:lineRule="exact"/>
              <w:rPr>
                <w:rFonts w:hint="eastAsia" w:ascii="仿宋" w:hAnsi="仿宋" w:eastAsia="仿宋" w:cs="仿宋"/>
                <w:sz w:val="24"/>
                <w:szCs w:val="24"/>
                <w:highlight w:val="none"/>
              </w:rPr>
            </w:pPr>
          </w:p>
        </w:tc>
        <w:tc>
          <w:tcPr>
            <w:tcW w:w="7633" w:type="dxa"/>
            <w:noWrap w:val="0"/>
            <w:vAlign w:val="center"/>
          </w:tcPr>
          <w:p w14:paraId="3AB04C3F">
            <w:pPr>
              <w:spacing w:line="560" w:lineRule="exact"/>
              <w:rPr>
                <w:rFonts w:hint="eastAsia" w:ascii="仿宋" w:hAnsi="仿宋" w:eastAsia="仿宋" w:cs="仿宋"/>
                <w:sz w:val="24"/>
                <w:szCs w:val="24"/>
                <w:highlight w:val="none"/>
              </w:rPr>
            </w:pPr>
          </w:p>
        </w:tc>
      </w:tr>
      <w:tr w14:paraId="19062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9912878">
            <w:pPr>
              <w:spacing w:line="560" w:lineRule="exact"/>
              <w:rPr>
                <w:rFonts w:hint="eastAsia" w:ascii="仿宋" w:hAnsi="仿宋" w:eastAsia="仿宋" w:cs="仿宋"/>
                <w:sz w:val="24"/>
                <w:szCs w:val="24"/>
                <w:highlight w:val="none"/>
              </w:rPr>
            </w:pPr>
          </w:p>
        </w:tc>
        <w:tc>
          <w:tcPr>
            <w:tcW w:w="7633" w:type="dxa"/>
            <w:noWrap w:val="0"/>
            <w:vAlign w:val="center"/>
          </w:tcPr>
          <w:p w14:paraId="79582FCE">
            <w:pPr>
              <w:spacing w:line="560" w:lineRule="exact"/>
              <w:rPr>
                <w:rFonts w:hint="eastAsia" w:ascii="仿宋" w:hAnsi="仿宋" w:eastAsia="仿宋" w:cs="仿宋"/>
                <w:sz w:val="24"/>
                <w:szCs w:val="24"/>
                <w:highlight w:val="none"/>
              </w:rPr>
            </w:pPr>
          </w:p>
        </w:tc>
      </w:tr>
    </w:tbl>
    <w:p w14:paraId="76269CE2">
      <w:pPr>
        <w:rPr>
          <w:rFonts w:hint="eastAsia" w:ascii="仿宋" w:hAnsi="仿宋" w:eastAsia="仿宋" w:cs="仿宋"/>
          <w:color w:val="auto"/>
          <w:sz w:val="24"/>
          <w:szCs w:val="24"/>
          <w:highlight w:val="none"/>
        </w:rPr>
      </w:pPr>
    </w:p>
    <w:sectPr>
      <w:headerReference r:id="rId6" w:type="default"/>
      <w:footerReference r:id="rId7" w:type="default"/>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BEBFA6B4-00D5-4EEF-B20B-F8BC86157802}"/>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2" w:fontKey="{CC4F8E08-C9B3-4CD0-96EE-34B4B4185B06}"/>
  </w:font>
  <w:font w:name="华文楷体">
    <w:panose1 w:val="02010600040101010101"/>
    <w:charset w:val="86"/>
    <w:family w:val="auto"/>
    <w:pitch w:val="default"/>
    <w:sig w:usb0="00000287" w:usb1="080F0000" w:usb2="00000000" w:usb3="00000000" w:csb0="0004009F" w:csb1="DFD70000"/>
  </w:font>
  <w:font w:name="Arail">
    <w:altName w:val="Courier New"/>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auto"/>
    <w:pitch w:val="default"/>
    <w:sig w:usb0="00000000" w:usb1="00000000" w:usb2="00000000" w:usb3="00000000" w:csb0="FFFFFFFF" w:csb1="00000000"/>
  </w:font>
  <w:font w:name="Verdana">
    <w:panose1 w:val="020B0604030504040204"/>
    <w:charset w:val="00"/>
    <w:family w:val="swiss"/>
    <w:pitch w:val="default"/>
    <w:sig w:usb0="A00006FF" w:usb1="4000205B" w:usb2="0000001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FB869">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F5E72">
    <w:pPr>
      <w:pStyle w:val="3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039F5">
                          <w:pPr>
                            <w:pStyle w:val="31"/>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42039F5">
                    <w:pPr>
                      <w:pStyle w:val="31"/>
                    </w:pPr>
                    <w:r>
                      <w:fldChar w:fldCharType="begin"/>
                    </w:r>
                    <w:r>
                      <w:instrText xml:space="preserve"> PAGE  \* MERGEFORMAT </w:instrText>
                    </w:r>
                    <w:r>
                      <w:fldChar w:fldCharType="separate"/>
                    </w:r>
                    <w: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AB09E">
    <w:pPr>
      <w:pStyle w:val="3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C4A04">
    <w:pPr>
      <w:pStyle w:val="32"/>
      <w:pBdr>
        <w:bottom w:val="none" w:color="auto" w:sz="0" w:space="0"/>
      </w:pBdr>
      <w:jc w:val="right"/>
    </w:pPr>
    <w:r>
      <w:rPr>
        <w:rFonts w:hint="eastAsia"/>
      </w:rPr>
      <w:t xml:space="preserve"> </w:t>
    </w:r>
    <w:r>
      <w:t xml:space="preserve">   </w:t>
    </w:r>
    <w:r>
      <w:drawing>
        <wp:anchor distT="0" distB="0" distL="114300" distR="114300" simplePos="0" relativeHeight="251660288" behindDoc="0" locked="0" layoutInCell="1" allowOverlap="1">
          <wp:simplePos x="0" y="0"/>
          <wp:positionH relativeFrom="margin">
            <wp:posOffset>-657225</wp:posOffset>
          </wp:positionH>
          <wp:positionV relativeFrom="margin">
            <wp:posOffset>-333375</wp:posOffset>
          </wp:positionV>
          <wp:extent cx="3009900" cy="28575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009900" cy="285750"/>
                  </a:xfrm>
                  <a:prstGeom prst="rect">
                    <a:avLst/>
                  </a:prstGeom>
                  <a:noFill/>
                  <a:ln>
                    <a:noFill/>
                  </a:ln>
                </pic:spPr>
              </pic:pic>
            </a:graphicData>
          </a:graphic>
        </wp:anchor>
      </w:drawing>
    </w:r>
    <w:r>
      <w:rPr>
        <w:rFonts w:hint="eastAsia"/>
        <w:sz w:val="24"/>
        <w:szCs w:val="24"/>
      </w:rPr>
      <w:t>采购文件</w:t>
    </w:r>
  </w:p>
  <w:p w14:paraId="393E870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846AA">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C679B"/>
    <w:multiLevelType w:val="singleLevel"/>
    <w:tmpl w:val="83BC679B"/>
    <w:lvl w:ilvl="0" w:tentative="0">
      <w:start w:val="17"/>
      <w:numFmt w:val="decimal"/>
      <w:suff w:val="nothing"/>
      <w:lvlText w:val="%1、"/>
      <w:lvlJc w:val="left"/>
    </w:lvl>
  </w:abstractNum>
  <w:abstractNum w:abstractNumId="1">
    <w:nsid w:val="CB87709A"/>
    <w:multiLevelType w:val="singleLevel"/>
    <w:tmpl w:val="CB87709A"/>
    <w:lvl w:ilvl="0" w:tentative="0">
      <w:start w:val="4"/>
      <w:numFmt w:val="chineseCounting"/>
      <w:suff w:val="space"/>
      <w:lvlText w:val="第%1章"/>
      <w:lvlJc w:val="left"/>
      <w:rPr>
        <w:rFonts w:hint="eastAsia"/>
      </w:rPr>
    </w:lvl>
  </w:abstractNum>
  <w:abstractNum w:abstractNumId="2">
    <w:nsid w:val="EB147F1E"/>
    <w:multiLevelType w:val="singleLevel"/>
    <w:tmpl w:val="EB147F1E"/>
    <w:lvl w:ilvl="0" w:tentative="0">
      <w:start w:val="1"/>
      <w:numFmt w:val="decimal"/>
      <w:suff w:val="nothing"/>
      <w:lvlText w:val="(%1)"/>
      <w:lvlJc w:val="left"/>
      <w:pPr>
        <w:ind w:left="425" w:hanging="425"/>
      </w:pPr>
      <w:rPr>
        <w:rFonts w:hint="default"/>
      </w:rPr>
    </w:lvl>
  </w:abstractNum>
  <w:abstractNum w:abstractNumId="3">
    <w:nsid w:val="5E385750"/>
    <w:multiLevelType w:val="multilevel"/>
    <w:tmpl w:val="5E385750"/>
    <w:lvl w:ilvl="0" w:tentative="0">
      <w:start w:val="1"/>
      <w:numFmt w:val="decimal"/>
      <w:lvlText w:val="%1."/>
      <w:lvlJc w:val="left"/>
      <w:pPr>
        <w:ind w:left="915" w:hanging="360"/>
      </w:pPr>
      <w:rPr>
        <w:rFonts w:hint="default"/>
      </w:rPr>
    </w:lvl>
    <w:lvl w:ilvl="1" w:tentative="0">
      <w:start w:val="1"/>
      <w:numFmt w:val="lowerLetter"/>
      <w:lvlText w:val="%2)"/>
      <w:lvlJc w:val="left"/>
      <w:pPr>
        <w:ind w:left="1395" w:hanging="420"/>
      </w:p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jZDA5NWIyZDcwMWExMGMzNjhlNzQ5NGQ1NTJlNmMifQ=="/>
    <w:docVar w:name="KSO_WPS_MARK_KEY" w:val="4d569fe0-30f1-4c7d-857e-5e74b8522402"/>
  </w:docVars>
  <w:rsids>
    <w:rsidRoot w:val="002A5EDF"/>
    <w:rsid w:val="00003597"/>
    <w:rsid w:val="00007FB8"/>
    <w:rsid w:val="0002460D"/>
    <w:rsid w:val="00036F53"/>
    <w:rsid w:val="000416F9"/>
    <w:rsid w:val="000469F9"/>
    <w:rsid w:val="0007600A"/>
    <w:rsid w:val="0008605B"/>
    <w:rsid w:val="000A7C42"/>
    <w:rsid w:val="000C432F"/>
    <w:rsid w:val="000E5559"/>
    <w:rsid w:val="0010694A"/>
    <w:rsid w:val="00115F2D"/>
    <w:rsid w:val="00116183"/>
    <w:rsid w:val="001175E8"/>
    <w:rsid w:val="00130E68"/>
    <w:rsid w:val="001423F5"/>
    <w:rsid w:val="001512B7"/>
    <w:rsid w:val="001676DA"/>
    <w:rsid w:val="001A3BD2"/>
    <w:rsid w:val="001B5E05"/>
    <w:rsid w:val="001D37ED"/>
    <w:rsid w:val="001F1D1C"/>
    <w:rsid w:val="00211658"/>
    <w:rsid w:val="00213308"/>
    <w:rsid w:val="002765C6"/>
    <w:rsid w:val="00295F9E"/>
    <w:rsid w:val="002A5EDF"/>
    <w:rsid w:val="002B4591"/>
    <w:rsid w:val="002C009D"/>
    <w:rsid w:val="002C651E"/>
    <w:rsid w:val="002C7D74"/>
    <w:rsid w:val="002D4DB4"/>
    <w:rsid w:val="003061C7"/>
    <w:rsid w:val="003214D8"/>
    <w:rsid w:val="003303D3"/>
    <w:rsid w:val="003316B5"/>
    <w:rsid w:val="00346936"/>
    <w:rsid w:val="00354245"/>
    <w:rsid w:val="003547CC"/>
    <w:rsid w:val="00356CBB"/>
    <w:rsid w:val="00362D5A"/>
    <w:rsid w:val="00373CC3"/>
    <w:rsid w:val="00377635"/>
    <w:rsid w:val="003923A7"/>
    <w:rsid w:val="003B2056"/>
    <w:rsid w:val="003E4124"/>
    <w:rsid w:val="003E78AB"/>
    <w:rsid w:val="00406BB9"/>
    <w:rsid w:val="0042027B"/>
    <w:rsid w:val="004249FE"/>
    <w:rsid w:val="004272F2"/>
    <w:rsid w:val="00427E02"/>
    <w:rsid w:val="00447052"/>
    <w:rsid w:val="00453D27"/>
    <w:rsid w:val="00476FE4"/>
    <w:rsid w:val="004C1D86"/>
    <w:rsid w:val="004C279C"/>
    <w:rsid w:val="004F538B"/>
    <w:rsid w:val="00502FD9"/>
    <w:rsid w:val="005060EB"/>
    <w:rsid w:val="00511045"/>
    <w:rsid w:val="00514BAF"/>
    <w:rsid w:val="00516EBB"/>
    <w:rsid w:val="00522B02"/>
    <w:rsid w:val="005275C4"/>
    <w:rsid w:val="00535DAF"/>
    <w:rsid w:val="005377A8"/>
    <w:rsid w:val="00545821"/>
    <w:rsid w:val="0056592C"/>
    <w:rsid w:val="00566340"/>
    <w:rsid w:val="0057035E"/>
    <w:rsid w:val="00595064"/>
    <w:rsid w:val="005B13DC"/>
    <w:rsid w:val="00624533"/>
    <w:rsid w:val="0062612F"/>
    <w:rsid w:val="006505FE"/>
    <w:rsid w:val="0065412B"/>
    <w:rsid w:val="006550EE"/>
    <w:rsid w:val="00667C4A"/>
    <w:rsid w:val="00676114"/>
    <w:rsid w:val="006957EB"/>
    <w:rsid w:val="0069732F"/>
    <w:rsid w:val="006D2C40"/>
    <w:rsid w:val="006E2D30"/>
    <w:rsid w:val="006E66B0"/>
    <w:rsid w:val="00720B2A"/>
    <w:rsid w:val="00736C12"/>
    <w:rsid w:val="00764DFD"/>
    <w:rsid w:val="00786959"/>
    <w:rsid w:val="007B29B2"/>
    <w:rsid w:val="007C14FF"/>
    <w:rsid w:val="007C2A22"/>
    <w:rsid w:val="00842342"/>
    <w:rsid w:val="00843915"/>
    <w:rsid w:val="00854060"/>
    <w:rsid w:val="00867932"/>
    <w:rsid w:val="008701D8"/>
    <w:rsid w:val="00891F8B"/>
    <w:rsid w:val="008A5F9A"/>
    <w:rsid w:val="008B5C3F"/>
    <w:rsid w:val="008C5ECD"/>
    <w:rsid w:val="008C6987"/>
    <w:rsid w:val="008D005C"/>
    <w:rsid w:val="008F6850"/>
    <w:rsid w:val="00901231"/>
    <w:rsid w:val="009022E7"/>
    <w:rsid w:val="009054FE"/>
    <w:rsid w:val="00947564"/>
    <w:rsid w:val="0095038B"/>
    <w:rsid w:val="00955656"/>
    <w:rsid w:val="009D4C35"/>
    <w:rsid w:val="00A07E0D"/>
    <w:rsid w:val="00A12782"/>
    <w:rsid w:val="00A35D20"/>
    <w:rsid w:val="00A45422"/>
    <w:rsid w:val="00A467B8"/>
    <w:rsid w:val="00A51D8D"/>
    <w:rsid w:val="00A77480"/>
    <w:rsid w:val="00A775D2"/>
    <w:rsid w:val="00A86090"/>
    <w:rsid w:val="00A94ABF"/>
    <w:rsid w:val="00AA0706"/>
    <w:rsid w:val="00AA192C"/>
    <w:rsid w:val="00AB6E5B"/>
    <w:rsid w:val="00AD2FB3"/>
    <w:rsid w:val="00B163CA"/>
    <w:rsid w:val="00B40055"/>
    <w:rsid w:val="00B4535E"/>
    <w:rsid w:val="00B471C9"/>
    <w:rsid w:val="00BB62A5"/>
    <w:rsid w:val="00BC36B5"/>
    <w:rsid w:val="00BE1DBB"/>
    <w:rsid w:val="00C04B3D"/>
    <w:rsid w:val="00C051D6"/>
    <w:rsid w:val="00C117F7"/>
    <w:rsid w:val="00C21A0C"/>
    <w:rsid w:val="00C24B2E"/>
    <w:rsid w:val="00C90476"/>
    <w:rsid w:val="00CB7634"/>
    <w:rsid w:val="00CD0C95"/>
    <w:rsid w:val="00CF3291"/>
    <w:rsid w:val="00D02ADD"/>
    <w:rsid w:val="00D0748B"/>
    <w:rsid w:val="00D14004"/>
    <w:rsid w:val="00D32381"/>
    <w:rsid w:val="00D42563"/>
    <w:rsid w:val="00D51CFF"/>
    <w:rsid w:val="00D560F7"/>
    <w:rsid w:val="00DA741A"/>
    <w:rsid w:val="00DB25AB"/>
    <w:rsid w:val="00DD27D8"/>
    <w:rsid w:val="00DE2902"/>
    <w:rsid w:val="00DE55DF"/>
    <w:rsid w:val="00DF2B78"/>
    <w:rsid w:val="00DF4AD0"/>
    <w:rsid w:val="00E03CFD"/>
    <w:rsid w:val="00E264F8"/>
    <w:rsid w:val="00E33BF5"/>
    <w:rsid w:val="00E45D54"/>
    <w:rsid w:val="00E51BF3"/>
    <w:rsid w:val="00E54EDC"/>
    <w:rsid w:val="00E62EEB"/>
    <w:rsid w:val="00E775BC"/>
    <w:rsid w:val="00EA2A25"/>
    <w:rsid w:val="00F32475"/>
    <w:rsid w:val="00F34AF1"/>
    <w:rsid w:val="00F4193B"/>
    <w:rsid w:val="00F47A51"/>
    <w:rsid w:val="00F47CA2"/>
    <w:rsid w:val="00F71311"/>
    <w:rsid w:val="00F9447F"/>
    <w:rsid w:val="00FC3C97"/>
    <w:rsid w:val="00FC7028"/>
    <w:rsid w:val="010C1CF0"/>
    <w:rsid w:val="011A470B"/>
    <w:rsid w:val="02377801"/>
    <w:rsid w:val="033124A2"/>
    <w:rsid w:val="03711523"/>
    <w:rsid w:val="03B0247B"/>
    <w:rsid w:val="04B92839"/>
    <w:rsid w:val="05C406B5"/>
    <w:rsid w:val="06620BC5"/>
    <w:rsid w:val="06935222"/>
    <w:rsid w:val="06C8712F"/>
    <w:rsid w:val="0837460B"/>
    <w:rsid w:val="09B7601C"/>
    <w:rsid w:val="09D122E9"/>
    <w:rsid w:val="0AE24082"/>
    <w:rsid w:val="0B232B22"/>
    <w:rsid w:val="0C074168"/>
    <w:rsid w:val="0C465C06"/>
    <w:rsid w:val="0DB717F6"/>
    <w:rsid w:val="0E561490"/>
    <w:rsid w:val="0E65470A"/>
    <w:rsid w:val="0F601A19"/>
    <w:rsid w:val="0F6E2388"/>
    <w:rsid w:val="111F21DD"/>
    <w:rsid w:val="12E110C3"/>
    <w:rsid w:val="13AF20B8"/>
    <w:rsid w:val="146B6E96"/>
    <w:rsid w:val="14915E7A"/>
    <w:rsid w:val="15442992"/>
    <w:rsid w:val="16780FE6"/>
    <w:rsid w:val="182061EA"/>
    <w:rsid w:val="18243F2C"/>
    <w:rsid w:val="19E60D2E"/>
    <w:rsid w:val="1A890E05"/>
    <w:rsid w:val="1AA44EB0"/>
    <w:rsid w:val="1ADE10DB"/>
    <w:rsid w:val="1BF754B3"/>
    <w:rsid w:val="1BFC4701"/>
    <w:rsid w:val="1CA164DC"/>
    <w:rsid w:val="1D940AA2"/>
    <w:rsid w:val="1E3605D0"/>
    <w:rsid w:val="1FCC5B5B"/>
    <w:rsid w:val="20E27182"/>
    <w:rsid w:val="22893883"/>
    <w:rsid w:val="22A048E8"/>
    <w:rsid w:val="2532369D"/>
    <w:rsid w:val="2603166E"/>
    <w:rsid w:val="266B21A9"/>
    <w:rsid w:val="267526AD"/>
    <w:rsid w:val="26DD404D"/>
    <w:rsid w:val="27B83340"/>
    <w:rsid w:val="29043F2B"/>
    <w:rsid w:val="2918143A"/>
    <w:rsid w:val="2BF832AE"/>
    <w:rsid w:val="2C496CF0"/>
    <w:rsid w:val="2C6310D9"/>
    <w:rsid w:val="2CD511A2"/>
    <w:rsid w:val="2D373C3F"/>
    <w:rsid w:val="2DC750DA"/>
    <w:rsid w:val="32B9395B"/>
    <w:rsid w:val="338A1A9A"/>
    <w:rsid w:val="34EA659A"/>
    <w:rsid w:val="34F71498"/>
    <w:rsid w:val="354041AE"/>
    <w:rsid w:val="35571045"/>
    <w:rsid w:val="3623361D"/>
    <w:rsid w:val="37203B76"/>
    <w:rsid w:val="39205B9D"/>
    <w:rsid w:val="396E1053"/>
    <w:rsid w:val="3A630BA9"/>
    <w:rsid w:val="3B4C2F55"/>
    <w:rsid w:val="3B8E1ADF"/>
    <w:rsid w:val="3C9F5209"/>
    <w:rsid w:val="3D8D40E0"/>
    <w:rsid w:val="3F517C13"/>
    <w:rsid w:val="3F7A644A"/>
    <w:rsid w:val="3FF676AC"/>
    <w:rsid w:val="4143359F"/>
    <w:rsid w:val="41EC2605"/>
    <w:rsid w:val="431C38CE"/>
    <w:rsid w:val="43FC754F"/>
    <w:rsid w:val="445115C5"/>
    <w:rsid w:val="45B778DE"/>
    <w:rsid w:val="469C6C92"/>
    <w:rsid w:val="48851D6E"/>
    <w:rsid w:val="48E76711"/>
    <w:rsid w:val="49327964"/>
    <w:rsid w:val="4CCD4A50"/>
    <w:rsid w:val="4CE37EE8"/>
    <w:rsid w:val="4EDF1751"/>
    <w:rsid w:val="4F962089"/>
    <w:rsid w:val="4FBB0836"/>
    <w:rsid w:val="50015427"/>
    <w:rsid w:val="508D1F85"/>
    <w:rsid w:val="52D90214"/>
    <w:rsid w:val="53727313"/>
    <w:rsid w:val="5408251D"/>
    <w:rsid w:val="576A46E4"/>
    <w:rsid w:val="58692CBA"/>
    <w:rsid w:val="59432F25"/>
    <w:rsid w:val="5B2D45E3"/>
    <w:rsid w:val="5B9F5982"/>
    <w:rsid w:val="5C526716"/>
    <w:rsid w:val="5CE818CB"/>
    <w:rsid w:val="5D7E7207"/>
    <w:rsid w:val="5EB21D38"/>
    <w:rsid w:val="5EFE6967"/>
    <w:rsid w:val="5F2D1EA1"/>
    <w:rsid w:val="5FB11724"/>
    <w:rsid w:val="5FC058B5"/>
    <w:rsid w:val="60234096"/>
    <w:rsid w:val="61CD6067"/>
    <w:rsid w:val="65257F68"/>
    <w:rsid w:val="65C740DE"/>
    <w:rsid w:val="66315869"/>
    <w:rsid w:val="672777C9"/>
    <w:rsid w:val="69F26AF9"/>
    <w:rsid w:val="6AB26742"/>
    <w:rsid w:val="6D4B2536"/>
    <w:rsid w:val="6E1D0376"/>
    <w:rsid w:val="6E597053"/>
    <w:rsid w:val="6EAE7221"/>
    <w:rsid w:val="6F2D283B"/>
    <w:rsid w:val="6FBE656C"/>
    <w:rsid w:val="70044A3C"/>
    <w:rsid w:val="700A0A1D"/>
    <w:rsid w:val="70191889"/>
    <w:rsid w:val="70433998"/>
    <w:rsid w:val="71324139"/>
    <w:rsid w:val="715173C6"/>
    <w:rsid w:val="72A0544A"/>
    <w:rsid w:val="72AA4610"/>
    <w:rsid w:val="73110AB3"/>
    <w:rsid w:val="735A458E"/>
    <w:rsid w:val="73D06CA4"/>
    <w:rsid w:val="73F024A5"/>
    <w:rsid w:val="74114199"/>
    <w:rsid w:val="74C66D2B"/>
    <w:rsid w:val="762541FD"/>
    <w:rsid w:val="76F2529A"/>
    <w:rsid w:val="79761752"/>
    <w:rsid w:val="7A453003"/>
    <w:rsid w:val="7A461715"/>
    <w:rsid w:val="7A820405"/>
    <w:rsid w:val="7BF70459"/>
    <w:rsid w:val="7C921F30"/>
    <w:rsid w:val="7ECD70C9"/>
    <w:rsid w:val="7FA22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iPriority="99" w:semiHidden="0"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5"/>
    <w:qFormat/>
    <w:uiPriority w:val="0"/>
    <w:pPr>
      <w:keepNext/>
      <w:spacing w:line="360" w:lineRule="auto"/>
      <w:jc w:val="center"/>
      <w:outlineLvl w:val="0"/>
    </w:pPr>
    <w:rPr>
      <w:bCs/>
      <w:sz w:val="28"/>
      <w:szCs w:val="20"/>
    </w:rPr>
  </w:style>
  <w:style w:type="paragraph" w:styleId="4">
    <w:name w:val="heading 2"/>
    <w:basedOn w:val="1"/>
    <w:next w:val="1"/>
    <w:link w:val="66"/>
    <w:qFormat/>
    <w:uiPriority w:val="0"/>
    <w:pPr>
      <w:keepNext/>
      <w:keepLines/>
      <w:spacing w:line="360" w:lineRule="auto"/>
      <w:outlineLvl w:val="1"/>
    </w:pPr>
    <w:rPr>
      <w:rFonts w:ascii="Arial" w:hAnsi="Arial"/>
      <w:b/>
      <w:bCs/>
      <w:sz w:val="24"/>
      <w:szCs w:val="32"/>
    </w:rPr>
  </w:style>
  <w:style w:type="paragraph" w:styleId="5">
    <w:name w:val="heading 3"/>
    <w:basedOn w:val="1"/>
    <w:next w:val="1"/>
    <w:link w:val="67"/>
    <w:qFormat/>
    <w:uiPriority w:val="0"/>
    <w:pPr>
      <w:keepNext/>
      <w:keepLines/>
      <w:spacing w:before="260" w:after="260" w:line="416" w:lineRule="auto"/>
      <w:outlineLvl w:val="2"/>
    </w:pPr>
    <w:rPr>
      <w:b/>
      <w:bCs/>
      <w:sz w:val="32"/>
      <w:szCs w:val="32"/>
    </w:rPr>
  </w:style>
  <w:style w:type="paragraph" w:styleId="6">
    <w:name w:val="heading 4"/>
    <w:basedOn w:val="1"/>
    <w:next w:val="1"/>
    <w:link w:val="68"/>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9"/>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7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71"/>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3"/>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89"/>
    <w:qFormat/>
    <w:uiPriority w:val="0"/>
    <w:pPr>
      <w:spacing w:before="240" w:after="60"/>
      <w:jc w:val="center"/>
      <w:outlineLvl w:val="0"/>
    </w:pPr>
    <w:rPr>
      <w:rFonts w:ascii="Cambria" w:hAnsi="Cambria"/>
      <w:b/>
      <w:sz w:val="32"/>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99"/>
    <w:pPr>
      <w:widowControl/>
      <w:ind w:firstLine="420"/>
      <w:jc w:val="left"/>
    </w:pPr>
    <w:rPr>
      <w:kern w:val="0"/>
      <w:sz w:val="20"/>
      <w:szCs w:val="20"/>
    </w:rPr>
  </w:style>
  <w:style w:type="paragraph" w:styleId="14">
    <w:name w:val="Document Map"/>
    <w:basedOn w:val="1"/>
    <w:link w:val="75"/>
    <w:semiHidden/>
    <w:qFormat/>
    <w:uiPriority w:val="0"/>
    <w:pPr>
      <w:shd w:val="clear" w:color="auto" w:fill="000080"/>
    </w:pPr>
  </w:style>
  <w:style w:type="paragraph" w:styleId="15">
    <w:name w:val="toa heading"/>
    <w:basedOn w:val="1"/>
    <w:next w:val="1"/>
    <w:qFormat/>
    <w:uiPriority w:val="99"/>
    <w:pPr>
      <w:spacing w:before="120"/>
    </w:pPr>
    <w:rPr>
      <w:rFonts w:ascii="Cambria" w:hAnsi="Cambria"/>
      <w:sz w:val="24"/>
    </w:rPr>
  </w:style>
  <w:style w:type="paragraph" w:styleId="16">
    <w:name w:val="annotation text"/>
    <w:basedOn w:val="1"/>
    <w:link w:val="76"/>
    <w:qFormat/>
    <w:uiPriority w:val="0"/>
    <w:pPr>
      <w:jc w:val="left"/>
    </w:pPr>
  </w:style>
  <w:style w:type="paragraph" w:styleId="17">
    <w:name w:val="index 6"/>
    <w:basedOn w:val="1"/>
    <w:next w:val="1"/>
    <w:qFormat/>
    <w:uiPriority w:val="99"/>
    <w:pPr>
      <w:ind w:left="2100"/>
    </w:pPr>
  </w:style>
  <w:style w:type="paragraph" w:styleId="18">
    <w:name w:val="Salutation"/>
    <w:basedOn w:val="1"/>
    <w:next w:val="1"/>
    <w:link w:val="77"/>
    <w:qFormat/>
    <w:uiPriority w:val="0"/>
    <w:rPr>
      <w:rFonts w:ascii="仿宋_GB2312" w:eastAsia="仿宋_GB2312"/>
      <w:sz w:val="24"/>
    </w:rPr>
  </w:style>
  <w:style w:type="paragraph" w:styleId="19">
    <w:name w:val="Body Text 3"/>
    <w:basedOn w:val="1"/>
    <w:link w:val="78"/>
    <w:qFormat/>
    <w:uiPriority w:val="0"/>
    <w:pPr>
      <w:autoSpaceDE w:val="0"/>
      <w:autoSpaceDN w:val="0"/>
      <w:adjustRightInd w:val="0"/>
      <w:spacing w:line="410" w:lineRule="atLeast"/>
      <w:jc w:val="left"/>
    </w:pPr>
    <w:rPr>
      <w:rFonts w:ascii="宋体"/>
      <w:color w:val="000000"/>
      <w:kern w:val="0"/>
      <w:sz w:val="24"/>
      <w:szCs w:val="20"/>
    </w:rPr>
  </w:style>
  <w:style w:type="paragraph" w:styleId="20">
    <w:name w:val="Body Text"/>
    <w:basedOn w:val="1"/>
    <w:link w:val="74"/>
    <w:qFormat/>
    <w:uiPriority w:val="0"/>
    <w:pPr>
      <w:spacing w:after="120"/>
    </w:pPr>
  </w:style>
  <w:style w:type="paragraph" w:styleId="21">
    <w:name w:val="Body Text Indent"/>
    <w:basedOn w:val="1"/>
    <w:link w:val="79"/>
    <w:qFormat/>
    <w:uiPriority w:val="0"/>
    <w:pPr>
      <w:spacing w:after="120"/>
      <w:ind w:left="420" w:leftChars="200"/>
    </w:pPr>
  </w:style>
  <w:style w:type="paragraph" w:styleId="22">
    <w:name w:val="Block Text"/>
    <w:basedOn w:val="1"/>
    <w:qFormat/>
    <w:uiPriority w:val="0"/>
    <w:pPr>
      <w:ind w:left="1171" w:right="91" w:hanging="1080"/>
    </w:pPr>
    <w:rPr>
      <w:rFonts w:eastAsia="楷体_GB2312"/>
      <w:szCs w:val="20"/>
    </w:rPr>
  </w:style>
  <w:style w:type="paragraph" w:styleId="23">
    <w:name w:val="index 4"/>
    <w:basedOn w:val="1"/>
    <w:next w:val="1"/>
    <w:unhideWhenUsed/>
    <w:qFormat/>
    <w:uiPriority w:val="99"/>
    <w:pPr>
      <w:ind w:left="600" w:leftChars="600"/>
    </w:pPr>
    <w:rPr>
      <w:rFonts w:ascii="Calibri" w:hAnsi="Calibri"/>
    </w:r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39"/>
    <w:pPr>
      <w:ind w:left="840" w:leftChars="400"/>
    </w:pPr>
  </w:style>
  <w:style w:type="paragraph" w:styleId="26">
    <w:name w:val="Plain Text"/>
    <w:basedOn w:val="1"/>
    <w:link w:val="80"/>
    <w:qFormat/>
    <w:uiPriority w:val="0"/>
    <w:rPr>
      <w:sz w:val="24"/>
      <w:szCs w:val="20"/>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81"/>
    <w:qFormat/>
    <w:uiPriority w:val="0"/>
    <w:rPr>
      <w:sz w:val="24"/>
      <w:szCs w:val="20"/>
    </w:rPr>
  </w:style>
  <w:style w:type="paragraph" w:styleId="29">
    <w:name w:val="Body Text Indent 2"/>
    <w:basedOn w:val="1"/>
    <w:link w:val="82"/>
    <w:qFormat/>
    <w:uiPriority w:val="0"/>
    <w:pPr>
      <w:spacing w:after="120" w:line="480" w:lineRule="auto"/>
      <w:ind w:left="420" w:leftChars="200"/>
    </w:pPr>
  </w:style>
  <w:style w:type="paragraph" w:styleId="30">
    <w:name w:val="Balloon Text"/>
    <w:basedOn w:val="1"/>
    <w:link w:val="83"/>
    <w:qFormat/>
    <w:uiPriority w:val="0"/>
    <w:rPr>
      <w:rFonts w:ascii="Calibri" w:hAnsi="Calibri"/>
      <w:sz w:val="18"/>
      <w:szCs w:val="18"/>
    </w:rPr>
  </w:style>
  <w:style w:type="paragraph" w:styleId="31">
    <w:name w:val="footer"/>
    <w:basedOn w:val="1"/>
    <w:link w:val="84"/>
    <w:qFormat/>
    <w:uiPriority w:val="99"/>
    <w:pPr>
      <w:tabs>
        <w:tab w:val="center" w:pos="4153"/>
        <w:tab w:val="right" w:pos="8306"/>
      </w:tabs>
      <w:snapToGrid w:val="0"/>
      <w:jc w:val="left"/>
    </w:pPr>
    <w:rPr>
      <w:sz w:val="18"/>
      <w:szCs w:val="18"/>
    </w:rPr>
  </w:style>
  <w:style w:type="paragraph" w:styleId="32">
    <w:name w:val="header"/>
    <w:basedOn w:val="1"/>
    <w:link w:val="85"/>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line="500" w:lineRule="exact"/>
    </w:pPr>
    <w:rPr>
      <w:rFonts w:ascii="黑体"/>
      <w:b/>
      <w:sz w:val="24"/>
    </w:rPr>
  </w:style>
  <w:style w:type="paragraph" w:styleId="34">
    <w:name w:val="toc 4"/>
    <w:basedOn w:val="1"/>
    <w:next w:val="1"/>
    <w:qFormat/>
    <w:uiPriority w:val="0"/>
    <w:pPr>
      <w:ind w:left="1260" w:leftChars="600"/>
    </w:pPr>
  </w:style>
  <w:style w:type="paragraph" w:styleId="35">
    <w:name w:val="index heading"/>
    <w:basedOn w:val="1"/>
    <w:next w:val="36"/>
    <w:semiHidden/>
    <w:qFormat/>
    <w:uiPriority w:val="0"/>
  </w:style>
  <w:style w:type="paragraph" w:styleId="36">
    <w:name w:val="index 1"/>
    <w:basedOn w:val="1"/>
    <w:next w:val="1"/>
    <w:unhideWhenUsed/>
    <w:qFormat/>
    <w:uiPriority w:val="0"/>
  </w:style>
  <w:style w:type="paragraph" w:styleId="37">
    <w:name w:val="List"/>
    <w:basedOn w:val="1"/>
    <w:qFormat/>
    <w:uiPriority w:val="0"/>
    <w:pPr>
      <w:ind w:left="200" w:hanging="200" w:hangingChars="200"/>
    </w:pPr>
    <w:rPr>
      <w:sz w:val="28"/>
    </w:rPr>
  </w:style>
  <w:style w:type="paragraph" w:styleId="38">
    <w:name w:val="toc 6"/>
    <w:basedOn w:val="1"/>
    <w:next w:val="1"/>
    <w:qFormat/>
    <w:uiPriority w:val="0"/>
    <w:pPr>
      <w:ind w:left="2100" w:leftChars="1000"/>
    </w:pPr>
    <w:rPr>
      <w:rFonts w:ascii="Calibri" w:hAnsi="Calibri"/>
      <w:szCs w:val="22"/>
    </w:rPr>
  </w:style>
  <w:style w:type="paragraph" w:styleId="39">
    <w:name w:val="Body Text Indent 3"/>
    <w:basedOn w:val="1"/>
    <w:link w:val="86"/>
    <w:qFormat/>
    <w:uiPriority w:val="0"/>
    <w:pPr>
      <w:spacing w:after="120"/>
      <w:ind w:left="420" w:leftChars="200"/>
    </w:pPr>
    <w:rPr>
      <w:sz w:val="16"/>
      <w:szCs w:val="16"/>
    </w:rPr>
  </w:style>
  <w:style w:type="paragraph" w:styleId="40">
    <w:name w:val="toc 2"/>
    <w:basedOn w:val="1"/>
    <w:next w:val="1"/>
    <w:qFormat/>
    <w:uiPriority w:val="39"/>
    <w:pPr>
      <w:tabs>
        <w:tab w:val="right" w:leader="dot" w:pos="8302"/>
      </w:tabs>
      <w:spacing w:line="500" w:lineRule="exact"/>
      <w:ind w:left="420" w:leftChars="200"/>
    </w:pPr>
    <w:rPr>
      <w:rFonts w:ascii="宋体" w:hAnsi="宋体" w:cs="宋体"/>
    </w:rPr>
  </w:style>
  <w:style w:type="paragraph" w:styleId="41">
    <w:name w:val="toc 9"/>
    <w:basedOn w:val="1"/>
    <w:next w:val="1"/>
    <w:qFormat/>
    <w:uiPriority w:val="0"/>
    <w:pPr>
      <w:ind w:left="3360" w:leftChars="1600"/>
    </w:pPr>
    <w:rPr>
      <w:rFonts w:ascii="Calibri" w:hAnsi="Calibri"/>
      <w:szCs w:val="22"/>
    </w:rPr>
  </w:style>
  <w:style w:type="paragraph" w:styleId="42">
    <w:name w:val="Body Text 2"/>
    <w:basedOn w:val="1"/>
    <w:link w:val="87"/>
    <w:qFormat/>
    <w:uiPriority w:val="0"/>
    <w:pPr>
      <w:spacing w:after="120" w:line="480" w:lineRule="auto"/>
    </w:pPr>
  </w:style>
  <w:style w:type="paragraph" w:styleId="4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5">
    <w:name w:val="annotation subject"/>
    <w:basedOn w:val="16"/>
    <w:next w:val="16"/>
    <w:link w:val="90"/>
    <w:qFormat/>
    <w:uiPriority w:val="0"/>
    <w:rPr>
      <w:b/>
      <w:bCs/>
    </w:rPr>
  </w:style>
  <w:style w:type="paragraph" w:styleId="46">
    <w:name w:val="Body Text First Indent"/>
    <w:basedOn w:val="20"/>
    <w:link w:val="91"/>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paragraph" w:customStyle="1" w:styleId="62">
    <w:name w:val="正文缩进1"/>
    <w:basedOn w:val="1"/>
    <w:link w:val="285"/>
    <w:qFormat/>
    <w:uiPriority w:val="0"/>
    <w:pPr>
      <w:autoSpaceDE w:val="0"/>
      <w:autoSpaceDN w:val="0"/>
      <w:adjustRightInd w:val="0"/>
      <w:ind w:firstLine="420"/>
      <w:jc w:val="left"/>
    </w:pPr>
    <w:rPr>
      <w:rFonts w:ascii="宋体" w:hAnsiTheme="minorHAnsi" w:eastAsiaTheme="minorEastAsia" w:cstheme="minorBidi"/>
      <w:sz w:val="24"/>
      <w:szCs w:val="22"/>
    </w:rPr>
  </w:style>
  <w:style w:type="paragraph" w:customStyle="1" w:styleId="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Default"/>
    <w:basedOn w:val="3"/>
    <w:next w:val="1"/>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65">
    <w:name w:val="标题 1 字符"/>
    <w:basedOn w:val="49"/>
    <w:link w:val="2"/>
    <w:qFormat/>
    <w:uiPriority w:val="0"/>
    <w:rPr>
      <w:rFonts w:ascii="Times New Roman" w:hAnsi="Times New Roman" w:eastAsia="宋体" w:cs="Times New Roman"/>
      <w:b/>
      <w:bCs/>
      <w:sz w:val="28"/>
      <w:szCs w:val="20"/>
    </w:rPr>
  </w:style>
  <w:style w:type="character" w:customStyle="1" w:styleId="66">
    <w:name w:val="标题 2 字符"/>
    <w:basedOn w:val="49"/>
    <w:link w:val="4"/>
    <w:qFormat/>
    <w:uiPriority w:val="0"/>
    <w:rPr>
      <w:rFonts w:ascii="Arial" w:hAnsi="Arial" w:eastAsia="宋体" w:cs="Times New Roman"/>
      <w:b/>
      <w:bCs/>
      <w:sz w:val="24"/>
      <w:szCs w:val="32"/>
    </w:rPr>
  </w:style>
  <w:style w:type="character" w:customStyle="1" w:styleId="67">
    <w:name w:val="标题 3 字符"/>
    <w:basedOn w:val="49"/>
    <w:link w:val="5"/>
    <w:qFormat/>
    <w:uiPriority w:val="0"/>
    <w:rPr>
      <w:rFonts w:ascii="Times New Roman" w:hAnsi="Times New Roman" w:eastAsia="宋体" w:cs="Times New Roman"/>
      <w:b/>
      <w:bCs/>
      <w:sz w:val="32"/>
      <w:szCs w:val="32"/>
    </w:rPr>
  </w:style>
  <w:style w:type="character" w:customStyle="1" w:styleId="68">
    <w:name w:val="标题 4 字符"/>
    <w:basedOn w:val="49"/>
    <w:link w:val="6"/>
    <w:qFormat/>
    <w:uiPriority w:val="0"/>
    <w:rPr>
      <w:rFonts w:ascii="Arial" w:hAnsi="Arial" w:eastAsia="黑体" w:cs="Times New Roman"/>
      <w:b/>
      <w:bCs/>
      <w:sz w:val="28"/>
      <w:szCs w:val="28"/>
    </w:rPr>
  </w:style>
  <w:style w:type="character" w:customStyle="1" w:styleId="69">
    <w:name w:val="标题 5 字符"/>
    <w:basedOn w:val="49"/>
    <w:link w:val="7"/>
    <w:qFormat/>
    <w:uiPriority w:val="0"/>
    <w:rPr>
      <w:rFonts w:ascii="Times New Roman" w:hAnsi="Times New Roman" w:eastAsia="宋体" w:cs="Times New Roman"/>
      <w:b/>
      <w:bCs/>
      <w:kern w:val="0"/>
      <w:sz w:val="28"/>
      <w:szCs w:val="28"/>
    </w:rPr>
  </w:style>
  <w:style w:type="character" w:customStyle="1" w:styleId="70">
    <w:name w:val="标题 6 字符"/>
    <w:basedOn w:val="49"/>
    <w:link w:val="8"/>
    <w:qFormat/>
    <w:uiPriority w:val="0"/>
    <w:rPr>
      <w:rFonts w:ascii="Arial" w:hAnsi="Arial" w:eastAsia="黑体" w:cs="Times New Roman"/>
      <w:b/>
      <w:bCs/>
      <w:kern w:val="0"/>
      <w:sz w:val="24"/>
      <w:szCs w:val="24"/>
    </w:rPr>
  </w:style>
  <w:style w:type="character" w:customStyle="1" w:styleId="71">
    <w:name w:val="标题 7 字符"/>
    <w:basedOn w:val="49"/>
    <w:link w:val="9"/>
    <w:qFormat/>
    <w:uiPriority w:val="0"/>
    <w:rPr>
      <w:rFonts w:ascii="Times New Roman" w:hAnsi="Times New Roman" w:eastAsia="宋体" w:cs="Times New Roman"/>
      <w:b/>
      <w:bCs/>
      <w:kern w:val="0"/>
      <w:sz w:val="24"/>
      <w:szCs w:val="24"/>
    </w:rPr>
  </w:style>
  <w:style w:type="character" w:customStyle="1" w:styleId="72">
    <w:name w:val="标题 8 字符"/>
    <w:basedOn w:val="49"/>
    <w:link w:val="10"/>
    <w:qFormat/>
    <w:uiPriority w:val="0"/>
    <w:rPr>
      <w:rFonts w:ascii="Arial" w:hAnsi="Arial" w:eastAsia="黑体" w:cs="Times New Roman"/>
      <w:kern w:val="0"/>
      <w:sz w:val="24"/>
      <w:szCs w:val="24"/>
    </w:rPr>
  </w:style>
  <w:style w:type="character" w:customStyle="1" w:styleId="73">
    <w:name w:val="标题 9 字符"/>
    <w:basedOn w:val="49"/>
    <w:link w:val="11"/>
    <w:qFormat/>
    <w:uiPriority w:val="0"/>
    <w:rPr>
      <w:rFonts w:ascii="Arial" w:hAnsi="Arial" w:eastAsia="黑体" w:cs="Times New Roman"/>
      <w:kern w:val="0"/>
      <w:szCs w:val="21"/>
    </w:rPr>
  </w:style>
  <w:style w:type="character" w:customStyle="1" w:styleId="74">
    <w:name w:val="正文文本 字符"/>
    <w:basedOn w:val="49"/>
    <w:link w:val="20"/>
    <w:qFormat/>
    <w:uiPriority w:val="0"/>
    <w:rPr>
      <w:rFonts w:ascii="Times New Roman" w:hAnsi="Times New Roman" w:eastAsia="宋体" w:cs="Times New Roman"/>
      <w:szCs w:val="24"/>
    </w:rPr>
  </w:style>
  <w:style w:type="character" w:customStyle="1" w:styleId="75">
    <w:name w:val="文档结构图 字符"/>
    <w:basedOn w:val="49"/>
    <w:link w:val="14"/>
    <w:semiHidden/>
    <w:qFormat/>
    <w:uiPriority w:val="0"/>
    <w:rPr>
      <w:rFonts w:ascii="Times New Roman" w:hAnsi="Times New Roman" w:eastAsia="宋体" w:cs="Times New Roman"/>
      <w:szCs w:val="24"/>
      <w:shd w:val="clear" w:color="auto" w:fill="000080"/>
    </w:rPr>
  </w:style>
  <w:style w:type="character" w:customStyle="1" w:styleId="76">
    <w:name w:val="批注文字 字符"/>
    <w:basedOn w:val="49"/>
    <w:link w:val="16"/>
    <w:qFormat/>
    <w:uiPriority w:val="0"/>
    <w:rPr>
      <w:rFonts w:ascii="Times New Roman" w:hAnsi="Times New Roman" w:eastAsia="宋体" w:cs="Times New Roman"/>
      <w:szCs w:val="24"/>
    </w:rPr>
  </w:style>
  <w:style w:type="character" w:customStyle="1" w:styleId="77">
    <w:name w:val="称呼 字符"/>
    <w:basedOn w:val="49"/>
    <w:link w:val="18"/>
    <w:qFormat/>
    <w:uiPriority w:val="0"/>
    <w:rPr>
      <w:rFonts w:ascii="仿宋_GB2312" w:hAnsi="Times New Roman" w:eastAsia="仿宋_GB2312" w:cs="Times New Roman"/>
      <w:sz w:val="24"/>
      <w:szCs w:val="24"/>
    </w:rPr>
  </w:style>
  <w:style w:type="character" w:customStyle="1" w:styleId="78">
    <w:name w:val="正文文本 3 字符"/>
    <w:basedOn w:val="49"/>
    <w:link w:val="19"/>
    <w:qFormat/>
    <w:uiPriority w:val="0"/>
    <w:rPr>
      <w:rFonts w:ascii="宋体" w:hAnsi="Times New Roman" w:eastAsia="宋体" w:cs="Times New Roman"/>
      <w:color w:val="000000"/>
      <w:kern w:val="0"/>
      <w:sz w:val="24"/>
      <w:szCs w:val="20"/>
    </w:rPr>
  </w:style>
  <w:style w:type="character" w:customStyle="1" w:styleId="79">
    <w:name w:val="正文文本缩进 字符"/>
    <w:basedOn w:val="49"/>
    <w:link w:val="21"/>
    <w:qFormat/>
    <w:uiPriority w:val="0"/>
    <w:rPr>
      <w:rFonts w:ascii="Times New Roman" w:hAnsi="Times New Roman" w:eastAsia="宋体" w:cs="Times New Roman"/>
      <w:szCs w:val="24"/>
    </w:rPr>
  </w:style>
  <w:style w:type="character" w:customStyle="1" w:styleId="80">
    <w:name w:val="纯文本 字符"/>
    <w:basedOn w:val="49"/>
    <w:link w:val="26"/>
    <w:qFormat/>
    <w:uiPriority w:val="99"/>
    <w:rPr>
      <w:rFonts w:ascii="Times New Roman" w:hAnsi="Times New Roman" w:eastAsia="宋体" w:cs="Times New Roman"/>
      <w:sz w:val="24"/>
      <w:szCs w:val="20"/>
    </w:rPr>
  </w:style>
  <w:style w:type="character" w:customStyle="1" w:styleId="81">
    <w:name w:val="日期 字符"/>
    <w:basedOn w:val="49"/>
    <w:link w:val="28"/>
    <w:qFormat/>
    <w:uiPriority w:val="0"/>
    <w:rPr>
      <w:rFonts w:ascii="Times New Roman" w:hAnsi="Times New Roman" w:eastAsia="宋体" w:cs="Times New Roman"/>
      <w:sz w:val="24"/>
      <w:szCs w:val="20"/>
    </w:rPr>
  </w:style>
  <w:style w:type="character" w:customStyle="1" w:styleId="82">
    <w:name w:val="正文文本缩进 2 字符"/>
    <w:basedOn w:val="49"/>
    <w:link w:val="29"/>
    <w:qFormat/>
    <w:uiPriority w:val="0"/>
    <w:rPr>
      <w:rFonts w:ascii="Times New Roman" w:hAnsi="Times New Roman" w:eastAsia="宋体" w:cs="Times New Roman"/>
      <w:szCs w:val="24"/>
    </w:rPr>
  </w:style>
  <w:style w:type="character" w:customStyle="1" w:styleId="83">
    <w:name w:val="批注框文本 字符"/>
    <w:basedOn w:val="49"/>
    <w:link w:val="30"/>
    <w:qFormat/>
    <w:uiPriority w:val="0"/>
    <w:rPr>
      <w:rFonts w:ascii="Calibri" w:hAnsi="Calibri" w:eastAsia="宋体" w:cs="Times New Roman"/>
      <w:sz w:val="18"/>
      <w:szCs w:val="18"/>
    </w:rPr>
  </w:style>
  <w:style w:type="character" w:customStyle="1" w:styleId="84">
    <w:name w:val="页脚 字符"/>
    <w:basedOn w:val="49"/>
    <w:link w:val="31"/>
    <w:qFormat/>
    <w:uiPriority w:val="99"/>
    <w:rPr>
      <w:rFonts w:ascii="Times New Roman" w:hAnsi="Times New Roman" w:eastAsia="宋体" w:cs="Times New Roman"/>
      <w:sz w:val="18"/>
      <w:szCs w:val="18"/>
    </w:rPr>
  </w:style>
  <w:style w:type="character" w:customStyle="1" w:styleId="85">
    <w:name w:val="页眉 字符"/>
    <w:basedOn w:val="49"/>
    <w:link w:val="32"/>
    <w:qFormat/>
    <w:uiPriority w:val="0"/>
    <w:rPr>
      <w:rFonts w:ascii="Times New Roman" w:hAnsi="Times New Roman" w:eastAsia="宋体" w:cs="Times New Roman"/>
      <w:sz w:val="18"/>
      <w:szCs w:val="18"/>
    </w:rPr>
  </w:style>
  <w:style w:type="character" w:customStyle="1" w:styleId="86">
    <w:name w:val="正文文本缩进 3 字符"/>
    <w:basedOn w:val="49"/>
    <w:link w:val="39"/>
    <w:qFormat/>
    <w:uiPriority w:val="0"/>
    <w:rPr>
      <w:rFonts w:ascii="Times New Roman" w:hAnsi="Times New Roman" w:eastAsia="宋体" w:cs="Times New Roman"/>
      <w:sz w:val="16"/>
      <w:szCs w:val="16"/>
    </w:rPr>
  </w:style>
  <w:style w:type="character" w:customStyle="1" w:styleId="87">
    <w:name w:val="正文文本 2 字符"/>
    <w:basedOn w:val="49"/>
    <w:link w:val="42"/>
    <w:qFormat/>
    <w:uiPriority w:val="0"/>
    <w:rPr>
      <w:rFonts w:ascii="Times New Roman" w:hAnsi="Times New Roman" w:eastAsia="宋体" w:cs="Times New Roman"/>
      <w:szCs w:val="24"/>
    </w:rPr>
  </w:style>
  <w:style w:type="character" w:customStyle="1" w:styleId="88">
    <w:name w:val="HTML 预设格式 字符"/>
    <w:basedOn w:val="49"/>
    <w:link w:val="43"/>
    <w:qFormat/>
    <w:uiPriority w:val="0"/>
    <w:rPr>
      <w:rFonts w:ascii="Arial" w:hAnsi="Arial" w:eastAsia="宋体" w:cs="Arial"/>
      <w:kern w:val="0"/>
      <w:sz w:val="24"/>
      <w:szCs w:val="24"/>
    </w:rPr>
  </w:style>
  <w:style w:type="character" w:customStyle="1" w:styleId="89">
    <w:name w:val="标题 字符"/>
    <w:basedOn w:val="49"/>
    <w:link w:val="3"/>
    <w:qFormat/>
    <w:uiPriority w:val="0"/>
    <w:rPr>
      <w:rFonts w:ascii="Cambria" w:hAnsi="Cambria" w:eastAsia="宋体" w:cs="Times New Roman"/>
      <w:b/>
      <w:sz w:val="32"/>
      <w:szCs w:val="24"/>
    </w:rPr>
  </w:style>
  <w:style w:type="character" w:customStyle="1" w:styleId="90">
    <w:name w:val="批注主题 字符"/>
    <w:basedOn w:val="76"/>
    <w:link w:val="45"/>
    <w:qFormat/>
    <w:uiPriority w:val="0"/>
    <w:rPr>
      <w:rFonts w:ascii="Times New Roman" w:hAnsi="Times New Roman" w:eastAsia="宋体" w:cs="Times New Roman"/>
      <w:b/>
      <w:bCs/>
      <w:szCs w:val="24"/>
    </w:rPr>
  </w:style>
  <w:style w:type="character" w:customStyle="1" w:styleId="91">
    <w:name w:val="正文文本首行缩进 字符"/>
    <w:basedOn w:val="74"/>
    <w:link w:val="46"/>
    <w:qFormat/>
    <w:uiPriority w:val="0"/>
    <w:rPr>
      <w:rFonts w:ascii="Times New Roman" w:hAnsi="Times New Roman" w:eastAsia="宋体" w:cs="Times New Roman"/>
      <w:szCs w:val="24"/>
    </w:rPr>
  </w:style>
  <w:style w:type="character" w:customStyle="1" w:styleId="92">
    <w:name w:val="Font Style122"/>
    <w:unhideWhenUsed/>
    <w:qFormat/>
    <w:uiPriority w:val="0"/>
    <w:rPr>
      <w:rFonts w:hint="eastAsia" w:ascii="宋体" w:hAnsi="宋体" w:eastAsia="宋体"/>
      <w:spacing w:val="20"/>
      <w:sz w:val="24"/>
    </w:rPr>
  </w:style>
  <w:style w:type="character" w:customStyle="1" w:styleId="93">
    <w:name w:val="标题 4 Char Char"/>
    <w:qFormat/>
    <w:uiPriority w:val="0"/>
    <w:rPr>
      <w:rFonts w:ascii="Arial" w:hAnsi="Arial" w:eastAsia="宋体"/>
      <w:b/>
      <w:bCs/>
      <w:kern w:val="2"/>
      <w:sz w:val="21"/>
      <w:szCs w:val="28"/>
      <w:lang w:val="en-US" w:eastAsia="zh-CN" w:bidi="ar-SA"/>
    </w:rPr>
  </w:style>
  <w:style w:type="character" w:customStyle="1" w:styleId="94">
    <w:name w:val="标题 1 Char"/>
    <w:qFormat/>
    <w:uiPriority w:val="0"/>
    <w:rPr>
      <w:rFonts w:ascii="Cambria" w:hAnsi="Cambria"/>
      <w:b/>
      <w:bCs/>
      <w:kern w:val="32"/>
      <w:sz w:val="32"/>
      <w:szCs w:val="32"/>
    </w:rPr>
  </w:style>
  <w:style w:type="character" w:customStyle="1" w:styleId="95">
    <w:name w:val="Font Style116"/>
    <w:unhideWhenUsed/>
    <w:qFormat/>
    <w:uiPriority w:val="0"/>
    <w:rPr>
      <w:rFonts w:hint="eastAsia" w:ascii="宋体" w:hAnsi="宋体" w:eastAsia="宋体"/>
      <w:spacing w:val="-20"/>
      <w:sz w:val="24"/>
    </w:rPr>
  </w:style>
  <w:style w:type="character" w:customStyle="1" w:styleId="96">
    <w:name w:val="标题 6 Char"/>
    <w:qFormat/>
    <w:uiPriority w:val="0"/>
    <w:rPr>
      <w:rFonts w:ascii="Arial" w:hAnsi="Arial" w:eastAsia="黑体"/>
      <w:b/>
      <w:bCs/>
      <w:sz w:val="24"/>
      <w:szCs w:val="24"/>
    </w:rPr>
  </w:style>
  <w:style w:type="character" w:customStyle="1" w:styleId="97">
    <w:name w:val="Font Style127"/>
    <w:unhideWhenUsed/>
    <w:qFormat/>
    <w:uiPriority w:val="0"/>
    <w:rPr>
      <w:rFonts w:hint="eastAsia" w:ascii="Times New Roman" w:hAnsi="Times New Roman" w:eastAsia="Times New Roman"/>
      <w:sz w:val="20"/>
    </w:rPr>
  </w:style>
  <w:style w:type="character" w:customStyle="1" w:styleId="98">
    <w:name w:val="Font Style121"/>
    <w:unhideWhenUsed/>
    <w:qFormat/>
    <w:uiPriority w:val="0"/>
    <w:rPr>
      <w:rFonts w:hint="eastAsia" w:ascii="宋体" w:hAnsi="宋体" w:eastAsia="宋体"/>
      <w:spacing w:val="-10"/>
      <w:sz w:val="30"/>
    </w:rPr>
  </w:style>
  <w:style w:type="character" w:customStyle="1" w:styleId="99">
    <w:name w:val="bds_nopic2"/>
    <w:qFormat/>
    <w:uiPriority w:val="0"/>
    <w:rPr>
      <w:rFonts w:ascii="Times New Roman" w:hAnsi="Times New Roman" w:eastAsia="宋体"/>
    </w:rPr>
  </w:style>
  <w:style w:type="character" w:customStyle="1" w:styleId="100">
    <w:name w:val="param-name"/>
    <w:qFormat/>
    <w:uiPriority w:val="0"/>
  </w:style>
  <w:style w:type="character" w:customStyle="1" w:styleId="101">
    <w:name w:val="bookmark-item"/>
    <w:qFormat/>
    <w:uiPriority w:val="0"/>
  </w:style>
  <w:style w:type="character" w:customStyle="1" w:styleId="102">
    <w:name w:val="标题 5 Char"/>
    <w:qFormat/>
    <w:uiPriority w:val="0"/>
    <w:rPr>
      <w:b/>
      <w:bCs/>
      <w:kern w:val="2"/>
      <w:sz w:val="28"/>
      <w:szCs w:val="28"/>
    </w:rPr>
  </w:style>
  <w:style w:type="character" w:customStyle="1" w:styleId="103">
    <w:name w:val="Font Style119"/>
    <w:unhideWhenUsed/>
    <w:qFormat/>
    <w:uiPriority w:val="0"/>
    <w:rPr>
      <w:rFonts w:hint="eastAsia" w:ascii="宋体" w:hAnsi="宋体" w:eastAsia="宋体"/>
      <w:sz w:val="24"/>
    </w:rPr>
  </w:style>
  <w:style w:type="character" w:customStyle="1" w:styleId="104">
    <w:name w:val="批注文字 Char"/>
    <w:qFormat/>
    <w:uiPriority w:val="0"/>
    <w:rPr>
      <w:kern w:val="2"/>
      <w:sz w:val="21"/>
      <w:szCs w:val="24"/>
    </w:rPr>
  </w:style>
  <w:style w:type="character" w:customStyle="1" w:styleId="105">
    <w:name w:val="bds_more7"/>
    <w:qFormat/>
    <w:uiPriority w:val="0"/>
    <w:rPr>
      <w:rFonts w:ascii="Times New Roman" w:hAnsi="Times New Roman" w:eastAsia="宋体"/>
    </w:rPr>
  </w:style>
  <w:style w:type="character" w:customStyle="1" w:styleId="106">
    <w:name w:val="纯文本 Char1 Char Char Char"/>
    <w:semiHidden/>
    <w:qFormat/>
    <w:locked/>
    <w:uiPriority w:val="0"/>
    <w:rPr>
      <w:rFonts w:ascii="宋体" w:hAnsi="Courier New" w:eastAsia="宋体"/>
      <w:kern w:val="2"/>
      <w:sz w:val="24"/>
      <w:szCs w:val="24"/>
      <w:lang w:val="en-US" w:eastAsia="zh-CN" w:bidi="ar-SA"/>
    </w:rPr>
  </w:style>
  <w:style w:type="character" w:customStyle="1" w:styleId="107">
    <w:name w:val="sidecatalog-index2"/>
    <w:qFormat/>
    <w:uiPriority w:val="0"/>
    <w:rPr>
      <w:rFonts w:ascii="Arail" w:hAnsi="Arail" w:eastAsia="Arail" w:cs="Arail"/>
      <w:color w:val="999999"/>
      <w:sz w:val="21"/>
      <w:szCs w:val="21"/>
    </w:rPr>
  </w:style>
  <w:style w:type="character" w:customStyle="1" w:styleId="108">
    <w:name w:val="批注框文本 Char"/>
    <w:qFormat/>
    <w:uiPriority w:val="0"/>
    <w:rPr>
      <w:kern w:val="2"/>
      <w:sz w:val="18"/>
      <w:szCs w:val="18"/>
    </w:rPr>
  </w:style>
  <w:style w:type="character" w:customStyle="1" w:styleId="109">
    <w:name w:val="apple-converted-space"/>
    <w:qFormat/>
    <w:uiPriority w:val="0"/>
    <w:rPr>
      <w:rFonts w:ascii="Tahoma" w:hAnsi="Tahoma" w:cs="仿宋_GB2312"/>
      <w:sz w:val="24"/>
      <w:szCs w:val="28"/>
    </w:rPr>
  </w:style>
  <w:style w:type="character" w:customStyle="1" w:styleId="110">
    <w:name w:val="Char Char17"/>
    <w:qFormat/>
    <w:uiPriority w:val="0"/>
    <w:rPr>
      <w:rFonts w:ascii="宋体" w:hAnsi="Times New Roman" w:eastAsia="宋体"/>
      <w:b/>
      <w:sz w:val="28"/>
      <w:lang w:val="en-US" w:eastAsia="zh-CN" w:bidi="ar-SA"/>
    </w:rPr>
  </w:style>
  <w:style w:type="character" w:customStyle="1" w:styleId="111">
    <w:name w:val="标题 9 Char"/>
    <w:qFormat/>
    <w:uiPriority w:val="0"/>
    <w:rPr>
      <w:rFonts w:ascii="Arial" w:hAnsi="Arial" w:eastAsia="黑体"/>
      <w:sz w:val="21"/>
      <w:szCs w:val="21"/>
    </w:rPr>
  </w:style>
  <w:style w:type="character" w:customStyle="1" w:styleId="112">
    <w:name w:val="Font Style126"/>
    <w:unhideWhenUsed/>
    <w:qFormat/>
    <w:uiPriority w:val="0"/>
    <w:rPr>
      <w:rFonts w:hint="eastAsia" w:ascii="宋体" w:hAnsi="宋体" w:eastAsia="宋体"/>
      <w:b/>
      <w:spacing w:val="-30"/>
      <w:sz w:val="28"/>
    </w:rPr>
  </w:style>
  <w:style w:type="character" w:customStyle="1" w:styleId="113">
    <w:name w:val="Char Char15"/>
    <w:qFormat/>
    <w:uiPriority w:val="0"/>
    <w:rPr>
      <w:b/>
      <w:bCs/>
      <w:sz w:val="24"/>
      <w:szCs w:val="24"/>
    </w:rPr>
  </w:style>
  <w:style w:type="character" w:customStyle="1" w:styleId="114">
    <w:name w:val="Font Style94"/>
    <w:unhideWhenUsed/>
    <w:qFormat/>
    <w:uiPriority w:val="0"/>
    <w:rPr>
      <w:rFonts w:hint="eastAsia" w:ascii="Times New Roman" w:hAnsi="Times New Roman" w:eastAsia="Times New Roman"/>
      <w:sz w:val="28"/>
    </w:rPr>
  </w:style>
  <w:style w:type="character" w:customStyle="1" w:styleId="115">
    <w:name w:val="Char Char14"/>
    <w:qFormat/>
    <w:uiPriority w:val="0"/>
    <w:rPr>
      <w:rFonts w:ascii="Arial" w:hAnsi="Arial" w:eastAsia="黑体"/>
      <w:b/>
      <w:bCs/>
      <w:sz w:val="28"/>
      <w:szCs w:val="28"/>
      <w:lang w:val="en-US" w:eastAsia="zh-CN" w:bidi="ar-SA"/>
    </w:rPr>
  </w:style>
  <w:style w:type="character" w:customStyle="1" w:styleId="116">
    <w:name w:val="p0 Char"/>
    <w:link w:val="117"/>
    <w:qFormat/>
    <w:uiPriority w:val="0"/>
    <w:rPr>
      <w:rFonts w:eastAsia="宋体"/>
      <w:szCs w:val="21"/>
    </w:rPr>
  </w:style>
  <w:style w:type="paragraph" w:customStyle="1" w:styleId="117">
    <w:name w:val="p0"/>
    <w:basedOn w:val="1"/>
    <w:link w:val="116"/>
    <w:qFormat/>
    <w:uiPriority w:val="0"/>
    <w:pPr>
      <w:widowControl/>
    </w:pPr>
    <w:rPr>
      <w:rFonts w:asciiTheme="minorHAnsi" w:hAnsiTheme="minorHAnsi" w:cstheme="minorBidi"/>
      <w:szCs w:val="21"/>
    </w:rPr>
  </w:style>
  <w:style w:type="character" w:customStyle="1" w:styleId="118">
    <w:name w:val="Char Char16"/>
    <w:qFormat/>
    <w:uiPriority w:val="0"/>
    <w:rPr>
      <w:rFonts w:ascii="宋体" w:hAnsi="Times New Roman" w:eastAsia="宋体"/>
      <w:b/>
      <w:sz w:val="24"/>
      <w:lang w:val="en-US" w:eastAsia="zh-CN" w:bidi="ar-SA"/>
    </w:rPr>
  </w:style>
  <w:style w:type="character" w:customStyle="1" w:styleId="119">
    <w:name w:val="bds_more9"/>
    <w:qFormat/>
    <w:uiPriority w:val="0"/>
    <w:rPr>
      <w:rFonts w:ascii="Times New Roman" w:hAnsi="Times New Roman" w:eastAsia="宋体"/>
    </w:rPr>
  </w:style>
  <w:style w:type="character" w:customStyle="1" w:styleId="120">
    <w:name w:val="sidecatalog-index1"/>
    <w:qFormat/>
    <w:uiPriority w:val="0"/>
    <w:rPr>
      <w:rFonts w:ascii="Arial" w:hAnsi="Arial" w:eastAsia="宋体" w:cs="Arial"/>
      <w:b/>
      <w:color w:val="999999"/>
      <w:sz w:val="21"/>
      <w:szCs w:val="21"/>
    </w:rPr>
  </w:style>
  <w:style w:type="character" w:customStyle="1" w:styleId="121">
    <w:name w:val="Font Style104"/>
    <w:unhideWhenUsed/>
    <w:qFormat/>
    <w:uiPriority w:val="0"/>
    <w:rPr>
      <w:rFonts w:hint="eastAsia" w:ascii="宋体" w:hAnsi="宋体" w:eastAsia="宋体"/>
      <w:spacing w:val="30"/>
      <w:sz w:val="18"/>
    </w:rPr>
  </w:style>
  <w:style w:type="character" w:customStyle="1" w:styleId="122">
    <w:name w:val="sidecatalog-dot"/>
    <w:qFormat/>
    <w:uiPriority w:val="0"/>
    <w:rPr>
      <w:rFonts w:ascii="Times New Roman" w:hAnsi="Times New Roman" w:eastAsia="宋体"/>
    </w:rPr>
  </w:style>
  <w:style w:type="character" w:customStyle="1" w:styleId="123">
    <w:name w:val="bds_more8"/>
    <w:qFormat/>
    <w:uiPriority w:val="0"/>
    <w:rPr>
      <w:rFonts w:ascii="Times New Roman" w:hAnsi="Times New Roman" w:eastAsia="宋体"/>
    </w:rPr>
  </w:style>
  <w:style w:type="character" w:customStyle="1" w:styleId="124">
    <w:name w:val="plus"/>
    <w:qFormat/>
    <w:uiPriority w:val="0"/>
    <w:rPr>
      <w:rFonts w:ascii="Times New Roman" w:hAnsi="Times New Roman" w:eastAsia="宋体"/>
      <w:b/>
      <w:vanish/>
      <w:color w:val="1F8DEF"/>
      <w:sz w:val="24"/>
      <w:szCs w:val="24"/>
    </w:rPr>
  </w:style>
  <w:style w:type="character" w:customStyle="1" w:styleId="125">
    <w:name w:val="polysemyred"/>
    <w:qFormat/>
    <w:uiPriority w:val="0"/>
    <w:rPr>
      <w:rFonts w:ascii="Times New Roman" w:hAnsi="Times New Roman" w:eastAsia="宋体"/>
      <w:color w:val="FF6666"/>
      <w:sz w:val="18"/>
      <w:szCs w:val="18"/>
    </w:rPr>
  </w:style>
  <w:style w:type="character" w:customStyle="1" w:styleId="126">
    <w:name w:val="lemmatitleh12"/>
    <w:qFormat/>
    <w:uiPriority w:val="0"/>
    <w:rPr>
      <w:rFonts w:ascii="Times New Roman" w:hAnsi="Times New Roman" w:eastAsia="宋体"/>
    </w:rPr>
  </w:style>
  <w:style w:type="character" w:customStyle="1" w:styleId="127">
    <w:name w:val="页脚 Char"/>
    <w:qFormat/>
    <w:uiPriority w:val="99"/>
    <w:rPr>
      <w:kern w:val="2"/>
      <w:sz w:val="18"/>
      <w:szCs w:val="18"/>
    </w:rPr>
  </w:style>
  <w:style w:type="character" w:customStyle="1" w:styleId="128">
    <w:name w:val="批注文字 Char Char"/>
    <w:qFormat/>
    <w:uiPriority w:val="0"/>
    <w:rPr>
      <w:kern w:val="2"/>
      <w:sz w:val="21"/>
      <w:szCs w:val="24"/>
      <w:lang w:bidi="ar-SA"/>
    </w:rPr>
  </w:style>
  <w:style w:type="character" w:customStyle="1" w:styleId="129">
    <w:name w:val="p0 Char Char"/>
    <w:qFormat/>
    <w:uiPriority w:val="0"/>
    <w:rPr>
      <w:rFonts w:eastAsia="宋体"/>
      <w:kern w:val="2"/>
      <w:sz w:val="21"/>
      <w:szCs w:val="21"/>
      <w:lang w:val="en-US" w:eastAsia="zh-CN" w:bidi="ar-SA"/>
    </w:rPr>
  </w:style>
  <w:style w:type="character" w:customStyle="1" w:styleId="130">
    <w:name w:val="Font Style128"/>
    <w:unhideWhenUsed/>
    <w:qFormat/>
    <w:uiPriority w:val="0"/>
    <w:rPr>
      <w:rFonts w:hint="eastAsia" w:ascii="Times New Roman" w:hAnsi="Times New Roman" w:eastAsia="Times New Roman"/>
      <w:sz w:val="16"/>
    </w:rPr>
  </w:style>
  <w:style w:type="character" w:customStyle="1" w:styleId="131">
    <w:name w:val="desc"/>
    <w:qFormat/>
    <w:uiPriority w:val="0"/>
    <w:rPr>
      <w:rFonts w:ascii="Times New Roman" w:hAnsi="Times New Roman" w:eastAsia="宋体"/>
      <w:color w:val="000000"/>
      <w:sz w:val="18"/>
      <w:szCs w:val="18"/>
    </w:rPr>
  </w:style>
  <w:style w:type="character" w:customStyle="1" w:styleId="132">
    <w:name w:val="Font Style117"/>
    <w:unhideWhenUsed/>
    <w:qFormat/>
    <w:uiPriority w:val="0"/>
    <w:rPr>
      <w:rFonts w:hint="eastAsia" w:ascii="宋体" w:hAnsi="宋体" w:eastAsia="宋体"/>
      <w:spacing w:val="20"/>
      <w:sz w:val="24"/>
    </w:rPr>
  </w:style>
  <w:style w:type="character" w:customStyle="1" w:styleId="133">
    <w:name w:val="Font Style90"/>
    <w:unhideWhenUsed/>
    <w:qFormat/>
    <w:uiPriority w:val="0"/>
    <w:rPr>
      <w:rFonts w:hint="eastAsia" w:ascii="宋体" w:hAnsi="宋体" w:eastAsia="宋体"/>
      <w:b/>
      <w:spacing w:val="-20"/>
      <w:sz w:val="40"/>
    </w:rPr>
  </w:style>
  <w:style w:type="character" w:customStyle="1" w:styleId="134">
    <w:name w:val="批注主题 Char"/>
    <w:qFormat/>
    <w:uiPriority w:val="0"/>
    <w:rPr>
      <w:b/>
      <w:bCs/>
      <w:kern w:val="2"/>
      <w:sz w:val="21"/>
      <w:szCs w:val="24"/>
    </w:rPr>
  </w:style>
  <w:style w:type="character" w:customStyle="1" w:styleId="135">
    <w:name w:val="标题 Char1"/>
    <w:qFormat/>
    <w:uiPriority w:val="0"/>
    <w:rPr>
      <w:rFonts w:ascii="Cambria" w:hAnsi="Cambria" w:eastAsia="宋体" w:cs="Times New Roman"/>
      <w:b/>
      <w:bCs/>
      <w:sz w:val="32"/>
      <w:szCs w:val="32"/>
    </w:rPr>
  </w:style>
  <w:style w:type="character" w:customStyle="1" w:styleId="136">
    <w:name w:val="普通文字 Char"/>
    <w:semiHidden/>
    <w:qFormat/>
    <w:locked/>
    <w:uiPriority w:val="0"/>
    <w:rPr>
      <w:rFonts w:ascii="宋体" w:hAnsi="Courier New" w:eastAsia="宋体" w:cs="Courier New"/>
      <w:kern w:val="2"/>
      <w:sz w:val="21"/>
      <w:szCs w:val="21"/>
      <w:lang w:val="en-US" w:eastAsia="zh-CN" w:bidi="ar-SA"/>
    </w:rPr>
  </w:style>
  <w:style w:type="character" w:customStyle="1" w:styleId="137">
    <w:name w:val="Font Style131"/>
    <w:unhideWhenUsed/>
    <w:qFormat/>
    <w:uiPriority w:val="0"/>
    <w:rPr>
      <w:rFonts w:hint="eastAsia" w:ascii="Times New Roman" w:hAnsi="Times New Roman" w:eastAsia="Times New Roman"/>
      <w:sz w:val="18"/>
    </w:rPr>
  </w:style>
  <w:style w:type="character" w:customStyle="1" w:styleId="138">
    <w:name w:val="morelink-item"/>
    <w:qFormat/>
    <w:uiPriority w:val="0"/>
    <w:rPr>
      <w:rFonts w:ascii="Times New Roman" w:hAnsi="Times New Roman" w:eastAsia="宋体"/>
    </w:rPr>
  </w:style>
  <w:style w:type="character" w:customStyle="1" w:styleId="139">
    <w:name w:val="apple-style-span"/>
    <w:qFormat/>
    <w:uiPriority w:val="0"/>
    <w:rPr>
      <w:rFonts w:ascii="Tahoma" w:hAnsi="Tahoma" w:cs="仿宋_GB2312"/>
      <w:sz w:val="24"/>
      <w:szCs w:val="28"/>
    </w:rPr>
  </w:style>
  <w:style w:type="character" w:customStyle="1" w:styleId="140">
    <w:name w:val="bds_more10"/>
    <w:qFormat/>
    <w:uiPriority w:val="0"/>
    <w:rPr>
      <w:rFonts w:ascii="Times New Roman" w:hAnsi="Times New Roman" w:eastAsia="宋体"/>
    </w:rPr>
  </w:style>
  <w:style w:type="character" w:customStyle="1" w:styleId="141">
    <w:name w:val="普通文字1 Char"/>
    <w:qFormat/>
    <w:uiPriority w:val="0"/>
    <w:rPr>
      <w:rFonts w:ascii="宋体" w:hAnsi="Courier New" w:eastAsia="宋体" w:cs="Courier New"/>
      <w:kern w:val="2"/>
      <w:sz w:val="21"/>
      <w:szCs w:val="21"/>
      <w:lang w:val="en-US" w:eastAsia="zh-CN" w:bidi="ar-SA"/>
    </w:rPr>
  </w:style>
  <w:style w:type="character" w:customStyle="1" w:styleId="142">
    <w:name w:val="bds_nopic1"/>
    <w:qFormat/>
    <w:uiPriority w:val="0"/>
    <w:rPr>
      <w:rFonts w:ascii="Times New Roman" w:hAnsi="Times New Roman" w:eastAsia="宋体"/>
    </w:rPr>
  </w:style>
  <w:style w:type="character" w:customStyle="1" w:styleId="143">
    <w:name w:val="标题 3 Char"/>
    <w:qFormat/>
    <w:uiPriority w:val="0"/>
    <w:rPr>
      <w:b/>
      <w:bCs/>
      <w:sz w:val="24"/>
      <w:szCs w:val="24"/>
    </w:rPr>
  </w:style>
  <w:style w:type="character" w:customStyle="1" w:styleId="144">
    <w:name w:val="Font Style124"/>
    <w:unhideWhenUsed/>
    <w:qFormat/>
    <w:uiPriority w:val="0"/>
    <w:rPr>
      <w:rFonts w:hint="eastAsia" w:ascii="宋体" w:hAnsi="宋体" w:eastAsia="宋体"/>
      <w:spacing w:val="30"/>
      <w:sz w:val="24"/>
    </w:rPr>
  </w:style>
  <w:style w:type="character" w:customStyle="1" w:styleId="145">
    <w:name w:val="正文文本缩进 3 Char"/>
    <w:qFormat/>
    <w:uiPriority w:val="0"/>
    <w:rPr>
      <w:rFonts w:ascii="宋体" w:hAnsi="MS Sans Serif"/>
      <w:color w:val="000000"/>
      <w:sz w:val="24"/>
    </w:rPr>
  </w:style>
  <w:style w:type="character" w:customStyle="1" w:styleId="146">
    <w:name w:val="font21"/>
    <w:qFormat/>
    <w:uiPriority w:val="0"/>
    <w:rPr>
      <w:rFonts w:hint="eastAsia" w:ascii="宋体" w:hAnsi="宋体" w:eastAsia="宋体" w:cs="宋体"/>
      <w:color w:val="333333"/>
      <w:sz w:val="18"/>
      <w:szCs w:val="18"/>
      <w:u w:val="none"/>
      <w:vertAlign w:val="superscript"/>
    </w:rPr>
  </w:style>
  <w:style w:type="character" w:customStyle="1" w:styleId="147">
    <w:name w:val="zzi1"/>
    <w:qFormat/>
    <w:uiPriority w:val="0"/>
    <w:rPr>
      <w:rFonts w:ascii="Tahoma" w:hAnsi="Tahoma" w:cs="仿宋_GB2312"/>
      <w:sz w:val="22"/>
      <w:szCs w:val="22"/>
    </w:rPr>
  </w:style>
  <w:style w:type="character" w:customStyle="1" w:styleId="148">
    <w:name w:val="Font Style125"/>
    <w:unhideWhenUsed/>
    <w:qFormat/>
    <w:uiPriority w:val="0"/>
    <w:rPr>
      <w:rFonts w:hint="eastAsia" w:ascii="宋体" w:hAnsi="宋体" w:eastAsia="宋体"/>
      <w:b/>
      <w:sz w:val="26"/>
    </w:rPr>
  </w:style>
  <w:style w:type="character" w:customStyle="1" w:styleId="149">
    <w:name w:val="font11"/>
    <w:qFormat/>
    <w:uiPriority w:val="0"/>
    <w:rPr>
      <w:rFonts w:hint="default" w:ascii="Times New Roman" w:hAnsi="Times New Roman" w:cs="Times New Roman"/>
      <w:b/>
      <w:color w:val="000000"/>
      <w:sz w:val="21"/>
      <w:szCs w:val="21"/>
      <w:u w:val="none"/>
    </w:rPr>
  </w:style>
  <w:style w:type="character" w:customStyle="1" w:styleId="150">
    <w:name w:val="polysemyexp"/>
    <w:qFormat/>
    <w:uiPriority w:val="0"/>
    <w:rPr>
      <w:rFonts w:ascii="Times New Roman" w:hAnsi="Times New Roman" w:eastAsia="宋体"/>
      <w:color w:val="AAAAAA"/>
      <w:sz w:val="18"/>
      <w:szCs w:val="18"/>
    </w:rPr>
  </w:style>
  <w:style w:type="character" w:customStyle="1" w:styleId="151">
    <w:name w:val="Font Style115"/>
    <w:unhideWhenUsed/>
    <w:qFormat/>
    <w:uiPriority w:val="0"/>
    <w:rPr>
      <w:rFonts w:hint="eastAsia" w:ascii="Times New Roman" w:hAnsi="Times New Roman" w:eastAsia="Times New Roman"/>
      <w:sz w:val="16"/>
    </w:rPr>
  </w:style>
  <w:style w:type="character" w:customStyle="1" w:styleId="152">
    <w:name w:val="Font Style123"/>
    <w:unhideWhenUsed/>
    <w:qFormat/>
    <w:uiPriority w:val="0"/>
    <w:rPr>
      <w:rFonts w:hint="eastAsia" w:ascii="宋体" w:hAnsi="宋体" w:eastAsia="宋体"/>
      <w:b/>
      <w:sz w:val="32"/>
    </w:rPr>
  </w:style>
  <w:style w:type="character" w:customStyle="1" w:styleId="153">
    <w:name w:val="标题 4 Char"/>
    <w:qFormat/>
    <w:uiPriority w:val="0"/>
    <w:rPr>
      <w:rFonts w:ascii="Arial" w:hAnsi="Arial" w:eastAsia="宋体" w:cs="Times New Roman"/>
      <w:b/>
      <w:bCs/>
      <w:szCs w:val="28"/>
    </w:rPr>
  </w:style>
  <w:style w:type="character" w:customStyle="1" w:styleId="154">
    <w:name w:val="日期 Char"/>
    <w:qFormat/>
    <w:uiPriority w:val="0"/>
    <w:rPr>
      <w:kern w:val="2"/>
      <w:sz w:val="21"/>
      <w:szCs w:val="24"/>
    </w:rPr>
  </w:style>
  <w:style w:type="character" w:customStyle="1" w:styleId="155">
    <w:name w:val="Heading 2 Hidden Char"/>
    <w:qFormat/>
    <w:uiPriority w:val="0"/>
    <w:rPr>
      <w:rFonts w:ascii="Arial" w:hAnsi="Arial" w:eastAsia="宋体"/>
      <w:b/>
      <w:bCs/>
      <w:kern w:val="2"/>
      <w:sz w:val="24"/>
      <w:szCs w:val="32"/>
      <w:lang w:val="en-US" w:eastAsia="zh-CN" w:bidi="ar-SA"/>
    </w:rPr>
  </w:style>
  <w:style w:type="character" w:customStyle="1" w:styleId="156">
    <w:name w:val="标题 Char"/>
    <w:qFormat/>
    <w:uiPriority w:val="0"/>
    <w:rPr>
      <w:rFonts w:ascii="Cambria" w:hAnsi="Cambria"/>
      <w:b/>
      <w:kern w:val="2"/>
      <w:sz w:val="32"/>
      <w:szCs w:val="24"/>
    </w:rPr>
  </w:style>
  <w:style w:type="character" w:customStyle="1" w:styleId="157">
    <w:name w:val="Font Style105"/>
    <w:unhideWhenUsed/>
    <w:qFormat/>
    <w:uiPriority w:val="0"/>
    <w:rPr>
      <w:rFonts w:hint="eastAsia" w:ascii="Times New Roman" w:hAnsi="Times New Roman" w:eastAsia="Times New Roman"/>
      <w:w w:val="60"/>
      <w:sz w:val="26"/>
    </w:rPr>
  </w:style>
  <w:style w:type="character" w:customStyle="1" w:styleId="158">
    <w:name w:val="标题 2 Char"/>
    <w:qFormat/>
    <w:uiPriority w:val="0"/>
    <w:rPr>
      <w:rFonts w:ascii="Cambria" w:hAnsi="Cambria" w:eastAsia="宋体" w:cs="Times New Roman"/>
      <w:b/>
      <w:bCs/>
      <w:kern w:val="2"/>
      <w:sz w:val="32"/>
      <w:szCs w:val="32"/>
    </w:rPr>
  </w:style>
  <w:style w:type="character" w:customStyle="1" w:styleId="159">
    <w:name w:val="sidecatalog-dot1"/>
    <w:qFormat/>
    <w:uiPriority w:val="0"/>
    <w:rPr>
      <w:rFonts w:ascii="Times New Roman" w:hAnsi="Times New Roman" w:eastAsia="宋体"/>
    </w:rPr>
  </w:style>
  <w:style w:type="character" w:customStyle="1" w:styleId="160">
    <w:name w:val="Font Style133"/>
    <w:unhideWhenUsed/>
    <w:qFormat/>
    <w:uiPriority w:val="0"/>
    <w:rPr>
      <w:rFonts w:hint="eastAsia" w:ascii="宋体" w:hAnsi="宋体" w:eastAsia="宋体"/>
      <w:spacing w:val="30"/>
      <w:sz w:val="24"/>
    </w:rPr>
  </w:style>
  <w:style w:type="character" w:customStyle="1" w:styleId="161">
    <w:name w:val="标题 8 Char"/>
    <w:qFormat/>
    <w:uiPriority w:val="0"/>
    <w:rPr>
      <w:rFonts w:ascii="Arial" w:hAnsi="Arial" w:eastAsia="黑体"/>
      <w:sz w:val="24"/>
      <w:szCs w:val="24"/>
    </w:rPr>
  </w:style>
  <w:style w:type="character" w:customStyle="1" w:styleId="162">
    <w:name w:val="bds_nopic"/>
    <w:qFormat/>
    <w:uiPriority w:val="0"/>
    <w:rPr>
      <w:rFonts w:ascii="Times New Roman" w:hAnsi="Times New Roman" w:eastAsia="宋体"/>
    </w:rPr>
  </w:style>
  <w:style w:type="character" w:customStyle="1" w:styleId="163">
    <w:name w:val="sort1"/>
    <w:qFormat/>
    <w:uiPriority w:val="0"/>
    <w:rPr>
      <w:rFonts w:ascii="Times New Roman" w:hAnsi="Times New Roman" w:eastAsia="宋体"/>
    </w:rPr>
  </w:style>
  <w:style w:type="character" w:customStyle="1" w:styleId="164">
    <w:name w:val="font61"/>
    <w:qFormat/>
    <w:uiPriority w:val="0"/>
    <w:rPr>
      <w:rFonts w:hint="eastAsia" w:ascii="宋体" w:hAnsi="宋体" w:eastAsia="宋体" w:cs="宋体"/>
      <w:color w:val="333333"/>
      <w:sz w:val="18"/>
      <w:szCs w:val="18"/>
      <w:u w:val="none"/>
    </w:rPr>
  </w:style>
  <w:style w:type="character" w:customStyle="1" w:styleId="165">
    <w:name w:val="Char Char6"/>
    <w:qFormat/>
    <w:uiPriority w:val="0"/>
    <w:rPr>
      <w:rFonts w:ascii="Arial" w:hAnsi="Arial" w:eastAsia="黑体"/>
      <w:sz w:val="24"/>
      <w:szCs w:val="24"/>
      <w:lang w:val="en-US" w:eastAsia="zh-CN" w:bidi="ar-SA"/>
    </w:rPr>
  </w:style>
  <w:style w:type="character" w:customStyle="1" w:styleId="166">
    <w:name w:val="Font Style86"/>
    <w:unhideWhenUsed/>
    <w:qFormat/>
    <w:uiPriority w:val="0"/>
    <w:rPr>
      <w:rFonts w:hint="eastAsia" w:ascii="黑体" w:hAnsi="黑体" w:eastAsia="黑体"/>
      <w:spacing w:val="10"/>
      <w:sz w:val="30"/>
    </w:rPr>
  </w:style>
  <w:style w:type="character" w:customStyle="1" w:styleId="167">
    <w:name w:val="10_2_2"/>
    <w:qFormat/>
    <w:uiPriority w:val="0"/>
    <w:rPr>
      <w:rFonts w:hint="default" w:ascii="Times New Roman" w:hAnsi="Times New Roman" w:cs="Times New Roman"/>
      <w:sz w:val="20"/>
      <w:szCs w:val="20"/>
    </w:rPr>
  </w:style>
  <w:style w:type="character" w:customStyle="1" w:styleId="168">
    <w:name w:val="sort"/>
    <w:qFormat/>
    <w:uiPriority w:val="0"/>
    <w:rPr>
      <w:rFonts w:ascii="Times New Roman" w:hAnsi="Times New Roman" w:eastAsia="宋体"/>
      <w:color w:val="FFFFFF"/>
      <w:bdr w:val="single" w:color="auto" w:sz="24" w:space="0"/>
    </w:rPr>
  </w:style>
  <w:style w:type="character" w:customStyle="1" w:styleId="169">
    <w:name w:val="标题 7 Char"/>
    <w:qFormat/>
    <w:uiPriority w:val="0"/>
    <w:rPr>
      <w:b/>
      <w:bCs/>
      <w:sz w:val="24"/>
      <w:szCs w:val="24"/>
    </w:rPr>
  </w:style>
  <w:style w:type="character" w:customStyle="1" w:styleId="170">
    <w:name w:val="纯文本 字符1"/>
    <w:semiHidden/>
    <w:qFormat/>
    <w:locked/>
    <w:uiPriority w:val="0"/>
    <w:rPr>
      <w:kern w:val="2"/>
      <w:sz w:val="24"/>
    </w:rPr>
  </w:style>
  <w:style w:type="character" w:customStyle="1" w:styleId="171">
    <w:name w:val="bds_more6"/>
    <w:qFormat/>
    <w:uiPriority w:val="0"/>
    <w:rPr>
      <w:rFonts w:hint="eastAsia" w:ascii="宋体" w:hAnsi="宋体" w:eastAsia="宋体" w:cs="宋体"/>
    </w:rPr>
  </w:style>
  <w:style w:type="character" w:customStyle="1" w:styleId="172">
    <w:name w:val="页眉 Char"/>
    <w:qFormat/>
    <w:uiPriority w:val="0"/>
    <w:rPr>
      <w:kern w:val="2"/>
      <w:sz w:val="18"/>
      <w:szCs w:val="18"/>
    </w:rPr>
  </w:style>
  <w:style w:type="character" w:customStyle="1" w:styleId="173">
    <w:name w:val="样式2 Char Char"/>
    <w:qFormat/>
    <w:uiPriority w:val="0"/>
    <w:rPr>
      <w:rFonts w:eastAsia="宋体"/>
      <w:kern w:val="2"/>
      <w:sz w:val="18"/>
      <w:szCs w:val="18"/>
      <w:lang w:val="en-US" w:eastAsia="zh-CN" w:bidi="ar-SA"/>
    </w:rPr>
  </w:style>
  <w:style w:type="character" w:customStyle="1" w:styleId="174">
    <w:name w:val="Font Style134"/>
    <w:unhideWhenUsed/>
    <w:qFormat/>
    <w:uiPriority w:val="0"/>
    <w:rPr>
      <w:rFonts w:hint="eastAsia" w:ascii="宋体" w:hAnsi="宋体" w:eastAsia="宋体"/>
      <w:spacing w:val="20"/>
      <w:sz w:val="22"/>
    </w:rPr>
  </w:style>
  <w:style w:type="paragraph" w:customStyle="1" w:styleId="175">
    <w:name w:val="Char1 Char Char Char"/>
    <w:basedOn w:val="1"/>
    <w:qFormat/>
    <w:uiPriority w:val="0"/>
    <w:pPr>
      <w:widowControl/>
      <w:spacing w:after="160" w:line="240" w:lineRule="exact"/>
      <w:jc w:val="left"/>
    </w:pPr>
    <w:rPr>
      <w:kern w:val="0"/>
      <w:sz w:val="24"/>
      <w:szCs w:val="20"/>
    </w:rPr>
  </w:style>
  <w:style w:type="paragraph" w:customStyle="1" w:styleId="17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77">
    <w:name w:val="Char Char1 Char Char Char Char Char1 Char Char Char Char"/>
    <w:basedOn w:val="14"/>
    <w:qFormat/>
    <w:uiPriority w:val="0"/>
    <w:rPr>
      <w:rFonts w:ascii="Tahoma" w:hAnsi="Tahoma"/>
    </w:rPr>
  </w:style>
  <w:style w:type="paragraph" w:customStyle="1" w:styleId="178">
    <w:name w:val="Style26"/>
    <w:basedOn w:val="1"/>
    <w:unhideWhenUsed/>
    <w:qFormat/>
    <w:uiPriority w:val="0"/>
  </w:style>
  <w:style w:type="paragraph" w:customStyle="1" w:styleId="179">
    <w:name w:val="1"/>
    <w:basedOn w:val="1"/>
    <w:qFormat/>
    <w:uiPriority w:val="0"/>
    <w:pPr>
      <w:spacing w:after="156" w:afterLines="50" w:line="360" w:lineRule="auto"/>
    </w:pPr>
    <w:rPr>
      <w:rFonts w:ascii="宋体" w:hAnsi="宋体"/>
      <w:b/>
      <w:sz w:val="30"/>
      <w:szCs w:val="21"/>
    </w:rPr>
  </w:style>
  <w:style w:type="paragraph" w:customStyle="1" w:styleId="180">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81">
    <w:name w:val="Style11"/>
    <w:basedOn w:val="1"/>
    <w:unhideWhenUsed/>
    <w:qFormat/>
    <w:uiPriority w:val="0"/>
    <w:pPr>
      <w:spacing w:line="559" w:lineRule="exact"/>
      <w:ind w:firstLine="590"/>
    </w:pPr>
  </w:style>
  <w:style w:type="paragraph" w:customStyle="1" w:styleId="182">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183">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84">
    <w:name w:val="Char1 Char Char Char 字元 Char Char 字元 Char 字元 Char1 Char Char Char"/>
    <w:basedOn w:val="1"/>
    <w:qFormat/>
    <w:uiPriority w:val="0"/>
    <w:rPr>
      <w:szCs w:val="20"/>
    </w:rPr>
  </w:style>
  <w:style w:type="paragraph" w:customStyle="1" w:styleId="185">
    <w:name w:val="Style48"/>
    <w:basedOn w:val="1"/>
    <w:unhideWhenUsed/>
    <w:qFormat/>
    <w:uiPriority w:val="0"/>
    <w:pPr>
      <w:spacing w:line="542" w:lineRule="exact"/>
      <w:jc w:val="right"/>
    </w:pPr>
  </w:style>
  <w:style w:type="paragraph" w:customStyle="1" w:styleId="186">
    <w:name w:val="Style64"/>
    <w:basedOn w:val="1"/>
    <w:unhideWhenUsed/>
    <w:qFormat/>
    <w:uiPriority w:val="0"/>
  </w:style>
  <w:style w:type="paragraph" w:customStyle="1" w:styleId="187">
    <w:name w:val="Style73"/>
    <w:basedOn w:val="1"/>
    <w:unhideWhenUsed/>
    <w:qFormat/>
    <w:uiPriority w:val="0"/>
    <w:pPr>
      <w:spacing w:line="538" w:lineRule="exact"/>
      <w:ind w:firstLine="533"/>
    </w:pPr>
  </w:style>
  <w:style w:type="paragraph" w:customStyle="1" w:styleId="188">
    <w:name w:val="Style58"/>
    <w:basedOn w:val="1"/>
    <w:unhideWhenUsed/>
    <w:qFormat/>
    <w:uiPriority w:val="0"/>
    <w:pPr>
      <w:spacing w:line="413" w:lineRule="exact"/>
    </w:pPr>
  </w:style>
  <w:style w:type="paragraph" w:customStyle="1" w:styleId="189">
    <w:name w:val="p18_1_2"/>
    <w:basedOn w:val="1"/>
    <w:qFormat/>
    <w:uiPriority w:val="0"/>
    <w:pPr>
      <w:widowControl/>
    </w:pPr>
    <w:rPr>
      <w:kern w:val="0"/>
      <w:szCs w:val="21"/>
    </w:rPr>
  </w:style>
  <w:style w:type="paragraph" w:customStyle="1" w:styleId="190">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91">
    <w:name w:val="Style70"/>
    <w:basedOn w:val="1"/>
    <w:unhideWhenUsed/>
    <w:qFormat/>
    <w:uiPriority w:val="0"/>
    <w:pPr>
      <w:spacing w:line="549" w:lineRule="exact"/>
      <w:ind w:firstLine="686"/>
    </w:pPr>
  </w:style>
  <w:style w:type="paragraph" w:customStyle="1" w:styleId="192">
    <w:name w:val="表格内容"/>
    <w:basedOn w:val="20"/>
    <w:qFormat/>
    <w:uiPriority w:val="0"/>
    <w:pPr>
      <w:suppressLineNumbers/>
      <w:suppressAutoHyphens/>
      <w:jc w:val="left"/>
    </w:pPr>
    <w:rPr>
      <w:rFonts w:cs="Tahoma"/>
      <w:kern w:val="0"/>
      <w:sz w:val="24"/>
    </w:rPr>
  </w:style>
  <w:style w:type="paragraph" w:customStyle="1" w:styleId="193">
    <w:name w:val="Style56"/>
    <w:basedOn w:val="1"/>
    <w:unhideWhenUsed/>
    <w:qFormat/>
    <w:uiPriority w:val="0"/>
  </w:style>
  <w:style w:type="paragraph" w:customStyle="1" w:styleId="194">
    <w:name w:val="Style21"/>
    <w:basedOn w:val="1"/>
    <w:unhideWhenUsed/>
    <w:qFormat/>
    <w:uiPriority w:val="0"/>
    <w:pPr>
      <w:spacing w:line="566" w:lineRule="exact"/>
      <w:ind w:firstLine="682"/>
    </w:pPr>
  </w:style>
  <w:style w:type="paragraph" w:customStyle="1" w:styleId="195">
    <w:name w:val="附录标识"/>
    <w:basedOn w:val="196"/>
    <w:qFormat/>
    <w:uiPriority w:val="0"/>
    <w:pPr>
      <w:tabs>
        <w:tab w:val="left" w:pos="360"/>
        <w:tab w:val="left" w:pos="720"/>
        <w:tab w:val="left" w:pos="6405"/>
      </w:tabs>
      <w:spacing w:after="200"/>
    </w:pPr>
    <w:rPr>
      <w:sz w:val="21"/>
    </w:rPr>
  </w:style>
  <w:style w:type="paragraph" w:customStyle="1" w:styleId="196">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197">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8">
    <w:name w:val="Style53"/>
    <w:basedOn w:val="1"/>
    <w:unhideWhenUsed/>
    <w:qFormat/>
    <w:uiPriority w:val="0"/>
    <w:pPr>
      <w:spacing w:line="533" w:lineRule="exact"/>
      <w:ind w:firstLine="581"/>
    </w:pPr>
  </w:style>
  <w:style w:type="paragraph" w:customStyle="1" w:styleId="199">
    <w:name w:val="Style52"/>
    <w:basedOn w:val="1"/>
    <w:unhideWhenUsed/>
    <w:qFormat/>
    <w:uiPriority w:val="0"/>
    <w:pPr>
      <w:spacing w:line="682" w:lineRule="exact"/>
      <w:ind w:firstLine="557"/>
    </w:pPr>
  </w:style>
  <w:style w:type="paragraph" w:customStyle="1" w:styleId="200">
    <w:name w:val="Style81"/>
    <w:basedOn w:val="1"/>
    <w:unhideWhenUsed/>
    <w:qFormat/>
    <w:uiPriority w:val="0"/>
    <w:pPr>
      <w:spacing w:line="547" w:lineRule="exact"/>
    </w:pPr>
  </w:style>
  <w:style w:type="paragraph" w:customStyle="1" w:styleId="201">
    <w:name w:val="Char Char Char"/>
    <w:basedOn w:val="1"/>
    <w:qFormat/>
    <w:uiPriority w:val="0"/>
    <w:rPr>
      <w:rFonts w:ascii="宋体" w:hAnsi="宋体"/>
      <w:b/>
      <w:sz w:val="28"/>
      <w:szCs w:val="28"/>
    </w:rPr>
  </w:style>
  <w:style w:type="paragraph" w:customStyle="1" w:styleId="202">
    <w:name w:val="默认段落字体 Para Char Char Char Char Char Char Char Char Char1 Char Char Char Char"/>
    <w:basedOn w:val="1"/>
    <w:qFormat/>
    <w:uiPriority w:val="0"/>
    <w:rPr>
      <w:rFonts w:ascii="Tahoma" w:hAnsi="Tahoma"/>
      <w:sz w:val="24"/>
      <w:szCs w:val="20"/>
    </w:rPr>
  </w:style>
  <w:style w:type="paragraph" w:customStyle="1" w:styleId="203">
    <w:name w:val="Style36"/>
    <w:basedOn w:val="1"/>
    <w:unhideWhenUsed/>
    <w:qFormat/>
    <w:uiPriority w:val="0"/>
  </w:style>
  <w:style w:type="paragraph" w:customStyle="1" w:styleId="204">
    <w:name w:val="修订1"/>
    <w:qFormat/>
    <w:uiPriority w:val="0"/>
    <w:rPr>
      <w:rFonts w:ascii="Times New Roman" w:hAnsi="Times New Roman" w:eastAsia="宋体" w:cs="Times New Roman"/>
      <w:kern w:val="2"/>
      <w:sz w:val="21"/>
      <w:szCs w:val="24"/>
      <w:lang w:val="en-US" w:eastAsia="zh-CN" w:bidi="ar-SA"/>
    </w:rPr>
  </w:style>
  <w:style w:type="paragraph" w:customStyle="1" w:styleId="205">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6">
    <w:name w:val="Style46"/>
    <w:basedOn w:val="1"/>
    <w:unhideWhenUsed/>
    <w:qFormat/>
    <w:uiPriority w:val="0"/>
    <w:pPr>
      <w:spacing w:line="672" w:lineRule="exact"/>
    </w:pPr>
  </w:style>
  <w:style w:type="paragraph" w:customStyle="1" w:styleId="207">
    <w:name w:val="1 Char Char Char Char"/>
    <w:basedOn w:val="1"/>
    <w:qFormat/>
    <w:uiPriority w:val="0"/>
  </w:style>
  <w:style w:type="paragraph" w:customStyle="1" w:styleId="208">
    <w:name w:val="默认段落字体 Para Char Char Char Char Char Char Char"/>
    <w:basedOn w:val="1"/>
    <w:qFormat/>
    <w:uiPriority w:val="0"/>
    <w:pPr>
      <w:adjustRightInd w:val="0"/>
      <w:spacing w:line="360" w:lineRule="atLeast"/>
      <w:jc w:val="left"/>
      <w:textAlignment w:val="baseline"/>
    </w:pPr>
    <w:rPr>
      <w:kern w:val="0"/>
      <w:sz w:val="24"/>
      <w:szCs w:val="20"/>
    </w:rPr>
  </w:style>
  <w:style w:type="paragraph" w:customStyle="1" w:styleId="209">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10">
    <w:name w:val="Style13"/>
    <w:basedOn w:val="1"/>
    <w:unhideWhenUsed/>
    <w:qFormat/>
    <w:uiPriority w:val="0"/>
  </w:style>
  <w:style w:type="paragraph" w:customStyle="1" w:styleId="211">
    <w:name w:val="NO3"/>
    <w:basedOn w:val="1"/>
    <w:qFormat/>
    <w:uiPriority w:val="0"/>
    <w:pPr>
      <w:tabs>
        <w:tab w:val="left" w:pos="907"/>
      </w:tabs>
      <w:spacing w:line="360" w:lineRule="auto"/>
    </w:pPr>
    <w:rPr>
      <w:rFonts w:ascii="宋体" w:hAnsi="宋体"/>
      <w:sz w:val="24"/>
    </w:rPr>
  </w:style>
  <w:style w:type="paragraph" w:customStyle="1" w:styleId="212">
    <w:name w:val="Style72"/>
    <w:basedOn w:val="1"/>
    <w:unhideWhenUsed/>
    <w:qFormat/>
    <w:uiPriority w:val="0"/>
  </w:style>
  <w:style w:type="paragraph" w:customStyle="1" w:styleId="213">
    <w:name w:val="Style16"/>
    <w:basedOn w:val="1"/>
    <w:unhideWhenUsed/>
    <w:qFormat/>
    <w:uiPriority w:val="0"/>
    <w:pPr>
      <w:jc w:val="right"/>
    </w:pPr>
  </w:style>
  <w:style w:type="paragraph" w:customStyle="1" w:styleId="214">
    <w:name w:val="Style24"/>
    <w:basedOn w:val="1"/>
    <w:unhideWhenUsed/>
    <w:qFormat/>
    <w:uiPriority w:val="0"/>
  </w:style>
  <w:style w:type="paragraph" w:customStyle="1" w:styleId="215">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6">
    <w:name w:val="标题2"/>
    <w:basedOn w:val="3"/>
    <w:qFormat/>
    <w:uiPriority w:val="0"/>
    <w:pPr>
      <w:spacing w:after="240"/>
      <w:jc w:val="left"/>
    </w:pPr>
    <w:rPr>
      <w:sz w:val="30"/>
    </w:rPr>
  </w:style>
  <w:style w:type="paragraph" w:customStyle="1" w:styleId="21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8">
    <w:name w:val="Style29"/>
    <w:basedOn w:val="1"/>
    <w:unhideWhenUsed/>
    <w:qFormat/>
    <w:uiPriority w:val="0"/>
    <w:pPr>
      <w:spacing w:line="547" w:lineRule="exact"/>
      <w:ind w:firstLine="547"/>
    </w:pPr>
  </w:style>
  <w:style w:type="paragraph" w:customStyle="1" w:styleId="219">
    <w:name w:val="Char Char1 Char Char Char Char Char Char Char"/>
    <w:basedOn w:val="1"/>
    <w:qFormat/>
    <w:uiPriority w:val="0"/>
    <w:pPr>
      <w:widowControl/>
      <w:spacing w:after="160" w:line="240" w:lineRule="exact"/>
      <w:jc w:val="left"/>
    </w:pPr>
  </w:style>
  <w:style w:type="paragraph" w:customStyle="1" w:styleId="220">
    <w:name w:val="列表段落1"/>
    <w:basedOn w:val="1"/>
    <w:qFormat/>
    <w:uiPriority w:val="0"/>
    <w:pPr>
      <w:ind w:firstLine="420" w:firstLineChars="200"/>
    </w:pPr>
    <w:rPr>
      <w:rFonts w:ascii="Calibri" w:hAnsi="Calibri" w:cs="Calibri"/>
      <w:szCs w:val="21"/>
    </w:rPr>
  </w:style>
  <w:style w:type="paragraph" w:customStyle="1" w:styleId="221">
    <w:name w:val="Style61"/>
    <w:basedOn w:val="1"/>
    <w:unhideWhenUsed/>
    <w:qFormat/>
    <w:uiPriority w:val="0"/>
  </w:style>
  <w:style w:type="paragraph" w:customStyle="1" w:styleId="222">
    <w:name w:val="Style42"/>
    <w:basedOn w:val="1"/>
    <w:unhideWhenUsed/>
    <w:qFormat/>
    <w:uiPriority w:val="0"/>
    <w:pPr>
      <w:spacing w:line="542" w:lineRule="exact"/>
      <w:ind w:firstLine="547"/>
    </w:pPr>
  </w:style>
  <w:style w:type="paragraph" w:customStyle="1" w:styleId="223">
    <w:name w:val="Char1 Char Char Char Char Char Char Char Char Char"/>
    <w:basedOn w:val="1"/>
    <w:qFormat/>
    <w:uiPriority w:val="0"/>
    <w:rPr>
      <w:szCs w:val="20"/>
    </w:rPr>
  </w:style>
  <w:style w:type="paragraph" w:customStyle="1" w:styleId="224">
    <w:name w:val="Style44"/>
    <w:basedOn w:val="1"/>
    <w:unhideWhenUsed/>
    <w:qFormat/>
    <w:uiPriority w:val="0"/>
  </w:style>
  <w:style w:type="paragraph" w:customStyle="1" w:styleId="225">
    <w:name w:val="Style10"/>
    <w:basedOn w:val="1"/>
    <w:unhideWhenUsed/>
    <w:qFormat/>
    <w:uiPriority w:val="0"/>
    <w:pPr>
      <w:spacing w:line="538" w:lineRule="exact"/>
    </w:pPr>
  </w:style>
  <w:style w:type="paragraph" w:customStyle="1" w:styleId="226">
    <w:name w:val="Style63"/>
    <w:basedOn w:val="1"/>
    <w:unhideWhenUsed/>
    <w:qFormat/>
    <w:uiPriority w:val="0"/>
    <w:pPr>
      <w:spacing w:line="564" w:lineRule="exact"/>
      <w:ind w:firstLine="682"/>
    </w:pPr>
  </w:style>
  <w:style w:type="paragraph" w:customStyle="1" w:styleId="227">
    <w:name w:val="Style41"/>
    <w:basedOn w:val="1"/>
    <w:unhideWhenUsed/>
    <w:qFormat/>
    <w:uiPriority w:val="0"/>
    <w:pPr>
      <w:spacing w:line="542" w:lineRule="exact"/>
      <w:ind w:firstLine="125"/>
    </w:pPr>
  </w:style>
  <w:style w:type="paragraph" w:customStyle="1" w:styleId="228">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9">
    <w:name w:val="Style27"/>
    <w:basedOn w:val="1"/>
    <w:unhideWhenUsed/>
    <w:qFormat/>
    <w:uiPriority w:val="0"/>
  </w:style>
  <w:style w:type="paragraph" w:customStyle="1" w:styleId="230">
    <w:name w:val="Style45"/>
    <w:basedOn w:val="1"/>
    <w:unhideWhenUsed/>
    <w:qFormat/>
    <w:uiPriority w:val="0"/>
  </w:style>
  <w:style w:type="paragraph" w:customStyle="1" w:styleId="23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32">
    <w:name w:val="Style71"/>
    <w:basedOn w:val="1"/>
    <w:unhideWhenUsed/>
    <w:qFormat/>
    <w:uiPriority w:val="0"/>
    <w:pPr>
      <w:spacing w:line="538" w:lineRule="exact"/>
      <w:ind w:firstLine="101"/>
    </w:pPr>
  </w:style>
  <w:style w:type="paragraph" w:customStyle="1" w:styleId="233">
    <w:name w:val="Style5"/>
    <w:basedOn w:val="1"/>
    <w:unhideWhenUsed/>
    <w:qFormat/>
    <w:uiPriority w:val="0"/>
  </w:style>
  <w:style w:type="paragraph" w:customStyle="1" w:styleId="234">
    <w:name w:val="Style76"/>
    <w:basedOn w:val="1"/>
    <w:unhideWhenUsed/>
    <w:qFormat/>
    <w:uiPriority w:val="0"/>
  </w:style>
  <w:style w:type="paragraph" w:customStyle="1" w:styleId="235">
    <w:name w:val="Style50"/>
    <w:basedOn w:val="1"/>
    <w:unhideWhenUsed/>
    <w:qFormat/>
    <w:uiPriority w:val="0"/>
  </w:style>
  <w:style w:type="paragraph" w:customStyle="1" w:styleId="236">
    <w:name w:val="Char Char Char Char Char Char Char Char Char Char"/>
    <w:basedOn w:val="1"/>
    <w:qFormat/>
    <w:uiPriority w:val="0"/>
    <w:rPr>
      <w:kern w:val="16"/>
    </w:rPr>
  </w:style>
  <w:style w:type="paragraph" w:styleId="237">
    <w:name w:val="List Paragraph"/>
    <w:basedOn w:val="1"/>
    <w:link w:val="287"/>
    <w:qFormat/>
    <w:uiPriority w:val="34"/>
    <w:pPr>
      <w:ind w:firstLine="420" w:firstLineChars="200"/>
    </w:pPr>
    <w:rPr>
      <w:rFonts w:ascii="Calibri" w:hAnsi="Calibri"/>
      <w:szCs w:val="22"/>
    </w:rPr>
  </w:style>
  <w:style w:type="paragraph" w:customStyle="1" w:styleId="238">
    <w:name w:val="Style54"/>
    <w:basedOn w:val="1"/>
    <w:unhideWhenUsed/>
    <w:qFormat/>
    <w:uiPriority w:val="0"/>
  </w:style>
  <w:style w:type="paragraph" w:styleId="23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41">
    <w:name w:val="Char1"/>
    <w:basedOn w:val="1"/>
    <w:semiHidden/>
    <w:qFormat/>
    <w:uiPriority w:val="0"/>
    <w:rPr>
      <w:rFonts w:ascii="Tahoma" w:hAnsi="Tahoma" w:cs="仿宋_GB2312"/>
      <w:sz w:val="24"/>
      <w:szCs w:val="28"/>
    </w:rPr>
  </w:style>
  <w:style w:type="paragraph" w:customStyle="1" w:styleId="242">
    <w:name w:val="Style59"/>
    <w:basedOn w:val="1"/>
    <w:unhideWhenUsed/>
    <w:qFormat/>
    <w:uiPriority w:val="0"/>
  </w:style>
  <w:style w:type="paragraph" w:customStyle="1" w:styleId="243">
    <w:name w:val="Style69"/>
    <w:basedOn w:val="1"/>
    <w:unhideWhenUsed/>
    <w:qFormat/>
    <w:uiPriority w:val="0"/>
    <w:pPr>
      <w:spacing w:line="557" w:lineRule="exact"/>
      <w:ind w:firstLine="1666"/>
    </w:pPr>
  </w:style>
  <w:style w:type="paragraph" w:customStyle="1" w:styleId="244">
    <w:name w:val="Char Char1 Char Char Char"/>
    <w:basedOn w:val="1"/>
    <w:qFormat/>
    <w:uiPriority w:val="0"/>
    <w:rPr>
      <w:kern w:val="0"/>
      <w:sz w:val="20"/>
      <w:szCs w:val="20"/>
    </w:rPr>
  </w:style>
  <w:style w:type="paragraph" w:customStyle="1" w:styleId="245">
    <w:name w:val="Style12"/>
    <w:basedOn w:val="1"/>
    <w:unhideWhenUsed/>
    <w:qFormat/>
    <w:uiPriority w:val="0"/>
    <w:pPr>
      <w:spacing w:line="564" w:lineRule="exact"/>
      <w:ind w:hanging="115"/>
    </w:pPr>
  </w:style>
  <w:style w:type="paragraph" w:customStyle="1" w:styleId="246">
    <w:name w:val="标题3"/>
    <w:basedOn w:val="2"/>
    <w:qFormat/>
    <w:uiPriority w:val="0"/>
    <w:pPr>
      <w:spacing w:before="156" w:beforeLines="50" w:after="156" w:afterLines="50" w:line="400" w:lineRule="exact"/>
      <w:jc w:val="both"/>
    </w:pPr>
    <w:rPr>
      <w:rFonts w:ascii="宋体" w:hAnsi="宋体"/>
      <w:kern w:val="32"/>
      <w:szCs w:val="32"/>
    </w:rPr>
  </w:style>
  <w:style w:type="paragraph" w:customStyle="1" w:styleId="247">
    <w:name w:val="Style67"/>
    <w:basedOn w:val="1"/>
    <w:unhideWhenUsed/>
    <w:qFormat/>
    <w:uiPriority w:val="0"/>
    <w:pPr>
      <w:spacing w:line="566" w:lineRule="exact"/>
      <w:ind w:firstLine="552"/>
    </w:pPr>
  </w:style>
  <w:style w:type="paragraph" w:customStyle="1" w:styleId="248">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49">
    <w:name w:val="Style28"/>
    <w:basedOn w:val="1"/>
    <w:unhideWhenUsed/>
    <w:qFormat/>
    <w:uiPriority w:val="0"/>
    <w:pPr>
      <w:spacing w:line="552" w:lineRule="exact"/>
      <w:ind w:firstLine="547"/>
    </w:pPr>
  </w:style>
  <w:style w:type="paragraph" w:customStyle="1" w:styleId="250">
    <w:name w:val="Style8"/>
    <w:basedOn w:val="1"/>
    <w:unhideWhenUsed/>
    <w:qFormat/>
    <w:uiPriority w:val="0"/>
    <w:pPr>
      <w:spacing w:line="566" w:lineRule="exact"/>
      <w:jc w:val="center"/>
    </w:pPr>
  </w:style>
  <w:style w:type="paragraph" w:customStyle="1" w:styleId="251">
    <w:name w:val="Style62"/>
    <w:basedOn w:val="1"/>
    <w:unhideWhenUsed/>
    <w:qFormat/>
    <w:uiPriority w:val="0"/>
  </w:style>
  <w:style w:type="paragraph" w:customStyle="1" w:styleId="252">
    <w:name w:val="Style60"/>
    <w:basedOn w:val="1"/>
    <w:unhideWhenUsed/>
    <w:qFormat/>
    <w:uiPriority w:val="0"/>
    <w:pPr>
      <w:spacing w:line="566" w:lineRule="exact"/>
    </w:pPr>
  </w:style>
  <w:style w:type="paragraph" w:customStyle="1" w:styleId="253">
    <w:name w:val="Style15"/>
    <w:basedOn w:val="1"/>
    <w:unhideWhenUsed/>
    <w:qFormat/>
    <w:uiPriority w:val="0"/>
    <w:pPr>
      <w:spacing w:line="557" w:lineRule="exact"/>
      <w:ind w:firstLine="672"/>
    </w:pPr>
  </w:style>
  <w:style w:type="paragraph" w:customStyle="1" w:styleId="254">
    <w:name w:val="Style74"/>
    <w:basedOn w:val="1"/>
    <w:unhideWhenUsed/>
    <w:qFormat/>
    <w:uiPriority w:val="0"/>
    <w:pPr>
      <w:spacing w:line="437" w:lineRule="exact"/>
    </w:pPr>
  </w:style>
  <w:style w:type="paragraph" w:customStyle="1" w:styleId="25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56">
    <w:name w:val="Style9"/>
    <w:basedOn w:val="1"/>
    <w:unhideWhenUsed/>
    <w:qFormat/>
    <w:uiPriority w:val="0"/>
  </w:style>
  <w:style w:type="paragraph" w:customStyle="1" w:styleId="25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8">
    <w:name w:val="Style68"/>
    <w:basedOn w:val="1"/>
    <w:unhideWhenUsed/>
    <w:qFormat/>
    <w:uiPriority w:val="0"/>
    <w:pPr>
      <w:spacing w:line="547" w:lineRule="exact"/>
    </w:pPr>
  </w:style>
  <w:style w:type="paragraph" w:customStyle="1" w:styleId="259">
    <w:name w:val="Style47"/>
    <w:basedOn w:val="1"/>
    <w:unhideWhenUsed/>
    <w:qFormat/>
    <w:uiPriority w:val="0"/>
  </w:style>
  <w:style w:type="paragraph" w:customStyle="1" w:styleId="2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61">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62">
    <w:name w:val="_Style 39"/>
    <w:basedOn w:val="217"/>
    <w:qFormat/>
    <w:uiPriority w:val="0"/>
  </w:style>
  <w:style w:type="paragraph" w:customStyle="1" w:styleId="263">
    <w:name w:val="Style23"/>
    <w:basedOn w:val="1"/>
    <w:unhideWhenUsed/>
    <w:qFormat/>
    <w:uiPriority w:val="0"/>
  </w:style>
  <w:style w:type="paragraph" w:customStyle="1" w:styleId="264">
    <w:name w:val="默认段落字体 Para Char Char Char Char Char Char Char Char Char Char Char Char Char Char Char Char Char Char Char"/>
    <w:basedOn w:val="1"/>
    <w:qFormat/>
    <w:uiPriority w:val="0"/>
  </w:style>
  <w:style w:type="paragraph" w:customStyle="1" w:styleId="265">
    <w:name w:val="p16"/>
    <w:basedOn w:val="1"/>
    <w:qFormat/>
    <w:uiPriority w:val="0"/>
    <w:pPr>
      <w:widowControl/>
      <w:jc w:val="left"/>
    </w:pPr>
    <w:rPr>
      <w:kern w:val="0"/>
      <w:szCs w:val="21"/>
    </w:rPr>
  </w:style>
  <w:style w:type="paragraph" w:customStyle="1" w:styleId="266">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7">
    <w:name w:val="Style78"/>
    <w:basedOn w:val="1"/>
    <w:unhideWhenUsed/>
    <w:qFormat/>
    <w:uiPriority w:val="0"/>
  </w:style>
  <w:style w:type="paragraph" w:customStyle="1" w:styleId="268">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69">
    <w:name w:val="Char2"/>
    <w:basedOn w:val="1"/>
    <w:qFormat/>
    <w:uiPriority w:val="0"/>
    <w:pPr>
      <w:tabs>
        <w:tab w:val="left" w:pos="360"/>
      </w:tabs>
      <w:ind w:left="360" w:hanging="360" w:hangingChars="200"/>
    </w:pPr>
    <w:rPr>
      <w:sz w:val="24"/>
    </w:rPr>
  </w:style>
  <w:style w:type="paragraph" w:customStyle="1" w:styleId="270">
    <w:name w:val="Style4"/>
    <w:basedOn w:val="1"/>
    <w:unhideWhenUsed/>
    <w:qFormat/>
    <w:uiPriority w:val="0"/>
  </w:style>
  <w:style w:type="paragraph" w:customStyle="1" w:styleId="271">
    <w:name w:val="Style65"/>
    <w:basedOn w:val="1"/>
    <w:unhideWhenUsed/>
    <w:qFormat/>
    <w:uiPriority w:val="0"/>
  </w:style>
  <w:style w:type="paragraph" w:customStyle="1" w:styleId="272">
    <w:name w:val="标题 1 +"/>
    <w:basedOn w:val="2"/>
    <w:next w:val="1"/>
    <w:qFormat/>
    <w:uiPriority w:val="0"/>
    <w:pPr>
      <w:keepLines/>
      <w:spacing w:line="600" w:lineRule="auto"/>
    </w:pPr>
    <w:rPr>
      <w:rFonts w:eastAsia="黑体"/>
      <w:kern w:val="0"/>
      <w:sz w:val="32"/>
      <w:szCs w:val="32"/>
    </w:rPr>
  </w:style>
  <w:style w:type="paragraph" w:customStyle="1" w:styleId="273">
    <w:name w:val="Style77"/>
    <w:basedOn w:val="1"/>
    <w:unhideWhenUsed/>
    <w:qFormat/>
    <w:uiPriority w:val="0"/>
  </w:style>
  <w:style w:type="paragraph" w:customStyle="1" w:styleId="274">
    <w:name w:val="Style34"/>
    <w:basedOn w:val="1"/>
    <w:unhideWhenUsed/>
    <w:qFormat/>
    <w:uiPriority w:val="0"/>
    <w:pPr>
      <w:spacing w:line="375" w:lineRule="exact"/>
    </w:pPr>
  </w:style>
  <w:style w:type="paragraph" w:customStyle="1" w:styleId="275">
    <w:name w:val="Style80"/>
    <w:basedOn w:val="1"/>
    <w:unhideWhenUsed/>
    <w:qFormat/>
    <w:uiPriority w:val="0"/>
  </w:style>
  <w:style w:type="paragraph" w:customStyle="1" w:styleId="27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7">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27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9">
    <w:name w:val="Table Paragraph"/>
    <w:basedOn w:val="1"/>
    <w:qFormat/>
    <w:uiPriority w:val="1"/>
    <w:rPr>
      <w:rFonts w:ascii="宋体" w:hAnsi="宋体" w:cs="宋体"/>
      <w:lang w:val="ja-JP" w:eastAsia="ja-JP" w:bidi="ja-JP"/>
    </w:rPr>
  </w:style>
  <w:style w:type="paragraph" w:customStyle="1" w:styleId="280">
    <w:name w:val="列出段落1"/>
    <w:basedOn w:val="1"/>
    <w:qFormat/>
    <w:uiPriority w:val="34"/>
    <w:pPr>
      <w:ind w:firstLine="420" w:firstLineChars="200"/>
    </w:pPr>
  </w:style>
  <w:style w:type="paragraph" w:customStyle="1" w:styleId="281">
    <w:name w:val="1."/>
    <w:basedOn w:val="1"/>
    <w:qFormat/>
    <w:uiPriority w:val="0"/>
    <w:pPr>
      <w:tabs>
        <w:tab w:val="left" w:pos="420"/>
      </w:tabs>
      <w:spacing w:line="360" w:lineRule="auto"/>
      <w:ind w:left="420" w:hanging="420"/>
    </w:pPr>
    <w:rPr>
      <w:rFonts w:ascii="Calibri" w:hAnsi="Calibri"/>
      <w:sz w:val="24"/>
    </w:rPr>
  </w:style>
  <w:style w:type="paragraph" w:customStyle="1" w:styleId="282">
    <w:name w:val="tc"/>
    <w:basedOn w:val="1"/>
    <w:qFormat/>
    <w:uiPriority w:val="0"/>
    <w:pPr>
      <w:widowControl/>
      <w:spacing w:before="100" w:beforeAutospacing="1" w:after="100" w:afterAutospacing="1"/>
      <w:jc w:val="left"/>
    </w:pPr>
    <w:rPr>
      <w:rFonts w:ascii="宋体" w:hAnsi="宋体" w:cs="宋体"/>
      <w:kern w:val="0"/>
      <w:sz w:val="24"/>
    </w:rPr>
  </w:style>
  <w:style w:type="character" w:customStyle="1" w:styleId="283">
    <w:name w:val="displayarti"/>
    <w:basedOn w:val="49"/>
    <w:qFormat/>
    <w:uiPriority w:val="0"/>
  </w:style>
  <w:style w:type="table" w:customStyle="1" w:styleId="284">
    <w:name w:val="Table Normal"/>
    <w:basedOn w:val="47"/>
    <w:qFormat/>
    <w:uiPriority w:val="0"/>
    <w:rPr>
      <w:rFonts w:eastAsia="Times New Roman"/>
    </w:rPr>
    <w:tblPr>
      <w:tblCellMar>
        <w:left w:w="0" w:type="dxa"/>
        <w:right w:w="0" w:type="dxa"/>
      </w:tblCellMar>
    </w:tblPr>
  </w:style>
  <w:style w:type="character" w:customStyle="1" w:styleId="285">
    <w:name w:val="正文缩进 Char1"/>
    <w:link w:val="62"/>
    <w:qFormat/>
    <w:uiPriority w:val="0"/>
    <w:rPr>
      <w:rFonts w:ascii="宋体"/>
      <w:sz w:val="24"/>
    </w:rPr>
  </w:style>
  <w:style w:type="paragraph" w:customStyle="1" w:styleId="286">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87">
    <w:name w:val="列表段落 字符"/>
    <w:link w:val="237"/>
    <w:qFormat/>
    <w:uiPriority w:val="34"/>
    <w:rPr>
      <w:rFonts w:ascii="Calibri" w:hAnsi="Calibri" w:eastAsia="宋体" w:cs="Times New Roman"/>
    </w:rPr>
  </w:style>
  <w:style w:type="character" w:customStyle="1" w:styleId="288">
    <w:name w:val="font01"/>
    <w:basedOn w:val="49"/>
    <w:qFormat/>
    <w:uiPriority w:val="0"/>
    <w:rPr>
      <w:rFonts w:hint="eastAsia" w:ascii="宋体" w:hAnsi="宋体" w:eastAsia="宋体"/>
      <w:color w:val="000000"/>
      <w:sz w:val="22"/>
      <w:szCs w:val="22"/>
      <w:u w:val="none"/>
    </w:rPr>
  </w:style>
  <w:style w:type="character" w:customStyle="1" w:styleId="289">
    <w:name w:val="font31"/>
    <w:basedOn w:val="49"/>
    <w:qFormat/>
    <w:uiPriority w:val="0"/>
    <w:rPr>
      <w:rFonts w:hint="eastAsia" w:ascii="宋体" w:hAnsi="宋体" w:eastAsia="宋体"/>
      <w:color w:val="FF0000"/>
      <w:sz w:val="22"/>
      <w:szCs w:val="22"/>
      <w:u w:val="none"/>
    </w:rPr>
  </w:style>
  <w:style w:type="paragraph" w:customStyle="1" w:styleId="290">
    <w:name w:val="索引 11"/>
    <w:basedOn w:val="1"/>
    <w:next w:val="1"/>
    <w:qFormat/>
    <w:uiPriority w:val="0"/>
    <w:pPr>
      <w:spacing w:line="360" w:lineRule="auto"/>
    </w:pPr>
    <w:rPr>
      <w:rFonts w:ascii="仿宋_GB2312" w:eastAsia="仿宋_GB2312"/>
      <w:sz w:val="24"/>
      <w:szCs w:val="20"/>
    </w:rPr>
  </w:style>
  <w:style w:type="paragraph" w:customStyle="1" w:styleId="291">
    <w:name w:val="纯文本1"/>
    <w:basedOn w:val="1"/>
    <w:qFormat/>
    <w:uiPriority w:val="99"/>
    <w:rPr>
      <w:rFonts w:ascii="宋体" w:hAnsi="Courier New"/>
      <w:kern w:val="0"/>
      <w:sz w:val="20"/>
      <w:szCs w:val="20"/>
    </w:rPr>
  </w:style>
  <w:style w:type="paragraph" w:customStyle="1" w:styleId="292">
    <w:name w:val="一级标题"/>
    <w:basedOn w:val="1"/>
    <w:qFormat/>
    <w:uiPriority w:val="2"/>
    <w:pPr>
      <w:jc w:val="center"/>
      <w:outlineLvl w:val="0"/>
    </w:pPr>
    <w:rPr>
      <w:rFonts w:ascii="黑体" w:hAnsi="黑体" w:eastAsia="黑体"/>
      <w:b/>
      <w:bCs/>
      <w:sz w:val="32"/>
      <w:szCs w:val="36"/>
    </w:rPr>
  </w:style>
  <w:style w:type="paragraph" w:customStyle="1" w:styleId="293">
    <w:name w:val="BodyText1I"/>
    <w:basedOn w:val="294"/>
    <w:next w:val="1"/>
    <w:qFormat/>
    <w:uiPriority w:val="0"/>
    <w:pPr>
      <w:widowControl/>
      <w:spacing w:before="156" w:line="360" w:lineRule="auto"/>
      <w:ind w:firstLine="200" w:firstLineChars="200"/>
      <w:textAlignment w:val="baseline"/>
    </w:pPr>
    <w:rPr>
      <w:rFonts w:ascii="仿宋_GB2312" w:hAnsi="Times New Roman" w:eastAsia="仿宋_GB2312"/>
      <w:kern w:val="2"/>
      <w:sz w:val="30"/>
      <w:szCs w:val="30"/>
      <w:lang w:val="en-US" w:eastAsia="zh-CN" w:bidi="ar-SA"/>
    </w:rPr>
  </w:style>
  <w:style w:type="paragraph" w:customStyle="1" w:styleId="294">
    <w:name w:val="BodyText"/>
    <w:basedOn w:val="1"/>
    <w:next w:val="295"/>
    <w:qFormat/>
    <w:uiPriority w:val="0"/>
    <w:pPr>
      <w:widowControl/>
      <w:spacing w:before="156"/>
      <w:ind w:firstLine="200" w:firstLineChars="200"/>
      <w:textAlignment w:val="baseline"/>
    </w:pPr>
    <w:rPr>
      <w:rFonts w:ascii="楷体_GB2312" w:hAnsi="Arial" w:eastAsia="楷体_GB2312"/>
      <w:kern w:val="2"/>
      <w:sz w:val="28"/>
      <w:szCs w:val="28"/>
      <w:lang w:val="en-US" w:eastAsia="zh-CN" w:bidi="ar-SA"/>
    </w:rPr>
  </w:style>
  <w:style w:type="paragraph" w:customStyle="1" w:styleId="295">
    <w:name w:val="180"/>
    <w:basedOn w:val="1"/>
    <w:next w:val="1"/>
    <w:qFormat/>
    <w:uiPriority w:val="0"/>
    <w:pPr>
      <w:spacing w:after="160" w:line="259" w:lineRule="auto"/>
      <w:jc w:val="both"/>
      <w:textAlignment w:val="baseline"/>
    </w:pPr>
    <w:rPr>
      <w:rFonts w:ascii="Calibri" w:hAnsi="Calibri" w:eastAsia="宋体"/>
      <w:i/>
      <w:iCs/>
      <w:color w:val="000000"/>
      <w:kern w:val="2"/>
      <w:sz w:val="21"/>
      <w:szCs w:val="24"/>
      <w:lang w:val="en-US" w:eastAsia="zh-CN" w:bidi="ar-SA"/>
    </w:rPr>
  </w:style>
  <w:style w:type="paragraph" w:customStyle="1" w:styleId="296">
    <w:name w:val="表格"/>
    <w:basedOn w:val="1"/>
    <w:qFormat/>
    <w:uiPriority w:val="0"/>
    <w:pPr>
      <w:spacing w:line="400" w:lineRule="exact"/>
    </w:pPr>
    <w:rPr>
      <w:rFonts w:ascii="Times New Roman"/>
      <w:kern w:val="2"/>
      <w:sz w:val="24"/>
      <w:szCs w:val="24"/>
    </w:rPr>
  </w:style>
  <w:style w:type="paragraph" w:customStyle="1" w:styleId="297">
    <w:name w:val="小四1.0"/>
    <w:basedOn w:val="298"/>
    <w:qFormat/>
    <w:uiPriority w:val="6"/>
    <w:pPr>
      <w:spacing w:line="240" w:lineRule="auto"/>
    </w:pPr>
  </w:style>
  <w:style w:type="paragraph" w:customStyle="1" w:styleId="298">
    <w:name w:val="小四1.5"/>
    <w:basedOn w:val="1"/>
    <w:qFormat/>
    <w:uiPriority w:val="4"/>
    <w:pPr>
      <w:shd w:val="solid" w:color="FFFFFF" w:fill="auto"/>
      <w:autoSpaceDN w:val="0"/>
      <w:spacing w:line="360" w:lineRule="auto"/>
    </w:pPr>
    <w:rPr>
      <w:rFonts w:hAnsi="宋体"/>
      <w:sz w:val="24"/>
      <w:szCs w:val="24"/>
      <w:shd w:val="clear" w:color="auto" w:fill="FFFFFF"/>
    </w:rPr>
  </w:style>
  <w:style w:type="paragraph" w:customStyle="1" w:styleId="299">
    <w:name w:val="13、表格内居中正文"/>
    <w:basedOn w:val="1"/>
    <w:qFormat/>
    <w:uiPriority w:val="0"/>
    <w:pPr>
      <w:tabs>
        <w:tab w:val="left" w:pos="0"/>
      </w:tabs>
      <w:wordWrap w:val="0"/>
      <w:topLinePunct/>
      <w:adjustRightInd w:val="0"/>
      <w:snapToGrid w:val="0"/>
      <w:spacing w:line="360" w:lineRule="exact"/>
      <w:jc w:val="center"/>
    </w:pPr>
    <w:rPr>
      <w:rFonts w:ascii="宋体" w:hAnsi="宋体"/>
    </w:rPr>
  </w:style>
  <w:style w:type="paragraph" w:customStyle="1" w:styleId="300">
    <w:name w:val="标书正文"/>
    <w:basedOn w:val="1"/>
    <w:qFormat/>
    <w:uiPriority w:val="0"/>
    <w:pPr>
      <w:spacing w:line="360" w:lineRule="auto"/>
      <w:ind w:firstLine="497" w:firstLineChars="207"/>
    </w:pPr>
    <w:rPr>
      <w:sz w:val="24"/>
      <w:szCs w:val="20"/>
    </w:rPr>
  </w:style>
  <w:style w:type="paragraph" w:customStyle="1" w:styleId="301">
    <w:name w:val="Default Text"/>
    <w:basedOn w:val="1"/>
    <w:autoRedefine/>
    <w:qFormat/>
    <w:uiPriority w:val="0"/>
    <w:pPr>
      <w:autoSpaceDE w:val="0"/>
      <w:autoSpaceDN w:val="0"/>
      <w:adjustRightInd w:val="0"/>
      <w:jc w:val="left"/>
    </w:pPr>
    <w:rPr>
      <w:color w:val="000000"/>
      <w:kern w:val="0"/>
      <w:sz w:val="24"/>
    </w:rPr>
  </w:style>
  <w:style w:type="character" w:customStyle="1" w:styleId="302">
    <w:name w:val="font41"/>
    <w:basedOn w:val="4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21624</Words>
  <Characters>22990</Characters>
  <Lines>221</Lines>
  <Paragraphs>62</Paragraphs>
  <TotalTime>4</TotalTime>
  <ScaleCrop>false</ScaleCrop>
  <LinksUpToDate>false</LinksUpToDate>
  <CharactersWithSpaces>23618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2024-07-18T03:46:00Z</dcterms:created>
  <dc:creator>xie</dc:creator>
  <cp:lastModifiedBy>谢二狗</cp:lastModifiedBy>
  <cp:lastPrinted>2026-05-12T11:42:00Z</cp:lastPrinted>
  <dcterms:modified xsi:type="dcterms:W3CDTF">2026-05-15T10:32:51Z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3604D4A529DC48F7AFC9E78E9F9C250C_13</vt:lpwstr>
  </property>
  <property fmtid="{D5CDD505-2E9C-101B-9397-08002B2CF9AE}" pid="4" name="KSOTemplateDocerSaveRecord">
    <vt:lpwstr>eyJoZGlkIjoiZmUxYTU0NGZjMDgyN2I5NTQwMzAzYzUzMzgwMTc4YzEiLCJ1c2VySWQiOiIzNzczMjE0NzAifQ==</vt:lpwstr>
  </property>
</Properties>
</file>